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8640D" w14:textId="77777777" w:rsidR="004B4224" w:rsidRDefault="004B4224" w:rsidP="00790698">
      <w:pPr>
        <w:pStyle w:val="CoverPage"/>
      </w:pPr>
      <w:bookmarkStart w:id="0" w:name="_GoBack"/>
      <w:bookmarkEnd w:id="0"/>
    </w:p>
    <w:p w14:paraId="70731B8A" w14:textId="77777777" w:rsidR="004B4224" w:rsidRDefault="004B4224" w:rsidP="00A10310">
      <w:pPr>
        <w:pStyle w:val="CoverPage"/>
      </w:pPr>
    </w:p>
    <w:p w14:paraId="0AF46EA7" w14:textId="77777777" w:rsidR="00E972BB" w:rsidRDefault="00E972BB" w:rsidP="00A10310">
      <w:pPr>
        <w:pStyle w:val="CoverPage"/>
      </w:pPr>
    </w:p>
    <w:p w14:paraId="5E45B756" w14:textId="77777777" w:rsidR="004B4224" w:rsidRDefault="004B4224" w:rsidP="00A10310">
      <w:pPr>
        <w:pStyle w:val="CoverPage"/>
      </w:pPr>
    </w:p>
    <w:p w14:paraId="339740B3" w14:textId="77777777" w:rsidR="004B4224" w:rsidRDefault="004B4224" w:rsidP="00A10310">
      <w:pPr>
        <w:pStyle w:val="CoverPage"/>
      </w:pPr>
    </w:p>
    <w:p w14:paraId="4C99E06E" w14:textId="77777777" w:rsidR="004B4224" w:rsidRDefault="004B4224" w:rsidP="00A10310">
      <w:pPr>
        <w:pStyle w:val="CoverPage"/>
      </w:pPr>
    </w:p>
    <w:p w14:paraId="4643A7CA" w14:textId="77777777" w:rsidR="004B4224" w:rsidRDefault="004B4224" w:rsidP="00A10310">
      <w:pPr>
        <w:pStyle w:val="CoverPage"/>
      </w:pPr>
    </w:p>
    <w:p w14:paraId="2C88C354" w14:textId="77777777" w:rsidR="004B4224" w:rsidRDefault="004B4224" w:rsidP="00A10310">
      <w:pPr>
        <w:pStyle w:val="CoverPage"/>
      </w:pPr>
    </w:p>
    <w:p w14:paraId="15BA4A48" w14:textId="77777777" w:rsidR="004B4224" w:rsidRDefault="004B4224" w:rsidP="00A10310">
      <w:pPr>
        <w:pStyle w:val="CoverPage"/>
      </w:pPr>
    </w:p>
    <w:p w14:paraId="26C05AB0" w14:textId="77777777" w:rsidR="004B4224" w:rsidRDefault="004B4224" w:rsidP="00A10310">
      <w:pPr>
        <w:pStyle w:val="CoverPage"/>
      </w:pPr>
    </w:p>
    <w:p w14:paraId="3C63E40F" w14:textId="77777777" w:rsidR="004B4224" w:rsidRDefault="004B4224" w:rsidP="00A10310">
      <w:pPr>
        <w:pStyle w:val="CoverPage"/>
      </w:pPr>
    </w:p>
    <w:p w14:paraId="5F30F049" w14:textId="77777777" w:rsidR="004B4224" w:rsidRDefault="004B4224" w:rsidP="00A10310">
      <w:pPr>
        <w:pStyle w:val="CoverPage"/>
      </w:pPr>
    </w:p>
    <w:p w14:paraId="737EFC61" w14:textId="77777777" w:rsidR="004B4224" w:rsidRDefault="004B4224" w:rsidP="00A10310">
      <w:pPr>
        <w:pStyle w:val="CoverPage"/>
      </w:pPr>
    </w:p>
    <w:p w14:paraId="69A5099A" w14:textId="77777777" w:rsidR="000E6D69" w:rsidRDefault="000E6D69" w:rsidP="00A10310">
      <w:pPr>
        <w:pStyle w:val="CoverPage"/>
      </w:pPr>
    </w:p>
    <w:p w14:paraId="7B6E363A" w14:textId="77777777" w:rsidR="006C4DD1" w:rsidRPr="000C5235" w:rsidRDefault="0003349E" w:rsidP="00BD6313">
      <w:pPr>
        <w:pStyle w:val="CoverPage"/>
        <w:rPr>
          <w:sz w:val="40"/>
        </w:rPr>
      </w:pPr>
      <w:r w:rsidRPr="000C5235">
        <w:rPr>
          <w:sz w:val="40"/>
        </w:rPr>
        <w:t xml:space="preserve">Guide to preparing the </w:t>
      </w:r>
      <w:r w:rsidR="00795B04" w:rsidRPr="000C5235">
        <w:rPr>
          <w:sz w:val="40"/>
        </w:rPr>
        <w:t>2020</w:t>
      </w:r>
      <w:r w:rsidR="00A667A6" w:rsidRPr="000C5235">
        <w:rPr>
          <w:sz w:val="40"/>
        </w:rPr>
        <w:noBreakHyphen/>
      </w:r>
      <w:r w:rsidR="00795B04" w:rsidRPr="000C5235">
        <w:rPr>
          <w:sz w:val="40"/>
        </w:rPr>
        <w:t>21</w:t>
      </w:r>
      <w:r w:rsidR="004B4224" w:rsidRPr="000C5235">
        <w:rPr>
          <w:sz w:val="40"/>
        </w:rPr>
        <w:t> </w:t>
      </w:r>
      <w:r w:rsidR="00FA0945" w:rsidRPr="000C5235">
        <w:rPr>
          <w:sz w:val="40"/>
        </w:rPr>
        <w:t>Portfolio</w:t>
      </w:r>
      <w:r w:rsidR="004B4224" w:rsidRPr="000C5235">
        <w:rPr>
          <w:sz w:val="40"/>
        </w:rPr>
        <w:t> </w:t>
      </w:r>
      <w:r w:rsidR="00FA0945" w:rsidRPr="000C5235">
        <w:rPr>
          <w:sz w:val="40"/>
        </w:rPr>
        <w:t>Budget</w:t>
      </w:r>
      <w:r w:rsidR="004B4224" w:rsidRPr="000C5235">
        <w:rPr>
          <w:sz w:val="40"/>
        </w:rPr>
        <w:t> </w:t>
      </w:r>
      <w:r w:rsidR="00FA0945" w:rsidRPr="000C5235">
        <w:rPr>
          <w:sz w:val="40"/>
        </w:rPr>
        <w:t>Statements</w:t>
      </w:r>
    </w:p>
    <w:p w14:paraId="4E2354BE" w14:textId="77777777" w:rsidR="004B4224" w:rsidRPr="000C5235" w:rsidRDefault="004B4224"/>
    <w:p w14:paraId="3C76D8A9" w14:textId="77777777" w:rsidR="004B4224" w:rsidRPr="000C5235" w:rsidRDefault="004B4224"/>
    <w:p w14:paraId="3662AADB" w14:textId="77777777" w:rsidR="008579E7" w:rsidRPr="000C5235" w:rsidRDefault="00063C83" w:rsidP="000A7DEC">
      <w:r w:rsidRPr="000C5235">
        <w:t>August</w:t>
      </w:r>
      <w:r w:rsidR="00B74837" w:rsidRPr="000C5235">
        <w:t xml:space="preserve"> </w:t>
      </w:r>
      <w:r w:rsidR="00795B04" w:rsidRPr="000C5235">
        <w:t>2020</w:t>
      </w:r>
    </w:p>
    <w:p w14:paraId="024156C6" w14:textId="77777777" w:rsidR="00D157AC" w:rsidRPr="000C5235" w:rsidRDefault="00D157AC"/>
    <w:p w14:paraId="1FAA9AC9" w14:textId="77777777" w:rsidR="00D157AC" w:rsidRPr="000C5235" w:rsidRDefault="00D157AC">
      <w:pPr>
        <w:sectPr w:rsidR="00D157AC" w:rsidRPr="000C5235" w:rsidSect="005D3E0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418" w:bottom="1418" w:left="1418" w:header="567" w:footer="624" w:gutter="0"/>
          <w:cols w:space="708"/>
          <w:docGrid w:linePitch="360"/>
        </w:sectPr>
      </w:pPr>
    </w:p>
    <w:sdt>
      <w:sdtPr>
        <w:rPr>
          <w:rFonts w:asciiTheme="minorHAnsi" w:eastAsiaTheme="minorHAnsi" w:hAnsiTheme="minorHAnsi" w:cstheme="minorBidi"/>
          <w:bCs/>
          <w:noProof/>
          <w:color w:val="auto"/>
          <w:sz w:val="22"/>
          <w:szCs w:val="22"/>
          <w:lang w:val="en-AU"/>
        </w:rPr>
        <w:id w:val="-488476922"/>
        <w:docPartObj>
          <w:docPartGallery w:val="Table of Contents"/>
          <w:docPartUnique/>
        </w:docPartObj>
      </w:sdtPr>
      <w:sdtEndPr>
        <w:rPr>
          <w:bCs w:val="0"/>
          <w:szCs w:val="28"/>
        </w:rPr>
      </w:sdtEndPr>
      <w:sdtContent>
        <w:p w14:paraId="6F00D4FB" w14:textId="77777777" w:rsidR="00BE4298" w:rsidRPr="000C5235" w:rsidRDefault="00BE4298">
          <w:pPr>
            <w:pStyle w:val="TOCHeading"/>
            <w:rPr>
              <w:lang w:val="en-AU"/>
            </w:rPr>
          </w:pPr>
          <w:r w:rsidRPr="000C5235">
            <w:rPr>
              <w:lang w:val="en-AU"/>
            </w:rPr>
            <w:t>Table of Contents</w:t>
          </w:r>
        </w:p>
        <w:p w14:paraId="4A6A3AF3" w14:textId="11726852" w:rsidR="00507230" w:rsidRDefault="00BE4298">
          <w:pPr>
            <w:pStyle w:val="TOC1"/>
            <w:rPr>
              <w:rFonts w:eastAsiaTheme="minorEastAsia"/>
              <w:b w:val="0"/>
              <w:sz w:val="22"/>
              <w:szCs w:val="22"/>
              <w:lang w:eastAsia="en-AU"/>
            </w:rPr>
          </w:pPr>
          <w:r w:rsidRPr="000C5235">
            <w:rPr>
              <w:bCs/>
            </w:rPr>
            <w:fldChar w:fldCharType="begin"/>
          </w:r>
          <w:r w:rsidRPr="000C5235">
            <w:rPr>
              <w:bCs/>
            </w:rPr>
            <w:instrText xml:space="preserve"> TOC \o "1-3" \h \z \u </w:instrText>
          </w:r>
          <w:r w:rsidRPr="000C5235">
            <w:rPr>
              <w:bCs/>
            </w:rPr>
            <w:fldChar w:fldCharType="separate"/>
          </w:r>
          <w:hyperlink w:anchor="_Toc53564707" w:history="1">
            <w:r w:rsidR="00507230" w:rsidRPr="00C80E1C">
              <w:rPr>
                <w:rStyle w:val="Hyperlink"/>
              </w:rPr>
              <w:t>1.</w:t>
            </w:r>
            <w:r w:rsidR="00507230">
              <w:rPr>
                <w:rFonts w:eastAsiaTheme="minorEastAsia"/>
                <w:b w:val="0"/>
                <w:sz w:val="22"/>
                <w:szCs w:val="22"/>
                <w:lang w:eastAsia="en-AU"/>
              </w:rPr>
              <w:tab/>
            </w:r>
            <w:r w:rsidR="00507230" w:rsidRPr="00C80E1C">
              <w:rPr>
                <w:rStyle w:val="Hyperlink"/>
              </w:rPr>
              <w:t>Key Information</w:t>
            </w:r>
            <w:r w:rsidR="00507230">
              <w:rPr>
                <w:webHidden/>
              </w:rPr>
              <w:tab/>
            </w:r>
            <w:r w:rsidR="00507230">
              <w:rPr>
                <w:webHidden/>
              </w:rPr>
              <w:fldChar w:fldCharType="begin"/>
            </w:r>
            <w:r w:rsidR="00507230">
              <w:rPr>
                <w:webHidden/>
              </w:rPr>
              <w:instrText xml:space="preserve"> PAGEREF _Toc53564707 \h </w:instrText>
            </w:r>
            <w:r w:rsidR="00507230">
              <w:rPr>
                <w:webHidden/>
              </w:rPr>
            </w:r>
            <w:r w:rsidR="00507230">
              <w:rPr>
                <w:webHidden/>
              </w:rPr>
              <w:fldChar w:fldCharType="separate"/>
            </w:r>
            <w:r w:rsidR="00507230">
              <w:rPr>
                <w:webHidden/>
              </w:rPr>
              <w:t>6</w:t>
            </w:r>
            <w:r w:rsidR="00507230">
              <w:rPr>
                <w:webHidden/>
              </w:rPr>
              <w:fldChar w:fldCharType="end"/>
            </w:r>
          </w:hyperlink>
        </w:p>
        <w:p w14:paraId="686463C0" w14:textId="28CDFC38" w:rsidR="00507230" w:rsidRDefault="00854156">
          <w:pPr>
            <w:pStyle w:val="TOC1"/>
            <w:rPr>
              <w:rFonts w:eastAsiaTheme="minorEastAsia"/>
              <w:b w:val="0"/>
              <w:sz w:val="22"/>
              <w:szCs w:val="22"/>
              <w:lang w:eastAsia="en-AU"/>
            </w:rPr>
          </w:pPr>
          <w:hyperlink w:anchor="_Toc53564708" w:history="1">
            <w:r w:rsidR="00507230" w:rsidRPr="00C80E1C">
              <w:rPr>
                <w:rStyle w:val="Hyperlink"/>
              </w:rPr>
              <w:t>2.</w:t>
            </w:r>
            <w:r w:rsidR="00507230">
              <w:rPr>
                <w:rFonts w:eastAsiaTheme="minorEastAsia"/>
                <w:b w:val="0"/>
                <w:sz w:val="22"/>
                <w:szCs w:val="22"/>
                <w:lang w:eastAsia="en-AU"/>
              </w:rPr>
              <w:tab/>
            </w:r>
            <w:r w:rsidR="00507230" w:rsidRPr="00C80E1C">
              <w:rPr>
                <w:rStyle w:val="Hyperlink"/>
              </w:rPr>
              <w:t>Changes in 2020-21 PB Statements</w:t>
            </w:r>
            <w:r w:rsidR="00507230">
              <w:rPr>
                <w:webHidden/>
              </w:rPr>
              <w:tab/>
            </w:r>
            <w:r w:rsidR="00507230">
              <w:rPr>
                <w:webHidden/>
              </w:rPr>
              <w:fldChar w:fldCharType="begin"/>
            </w:r>
            <w:r w:rsidR="00507230">
              <w:rPr>
                <w:webHidden/>
              </w:rPr>
              <w:instrText xml:space="preserve"> PAGEREF _Toc53564708 \h </w:instrText>
            </w:r>
            <w:r w:rsidR="00507230">
              <w:rPr>
                <w:webHidden/>
              </w:rPr>
            </w:r>
            <w:r w:rsidR="00507230">
              <w:rPr>
                <w:webHidden/>
              </w:rPr>
              <w:fldChar w:fldCharType="separate"/>
            </w:r>
            <w:r w:rsidR="00507230">
              <w:rPr>
                <w:webHidden/>
              </w:rPr>
              <w:t>8</w:t>
            </w:r>
            <w:r w:rsidR="00507230">
              <w:rPr>
                <w:webHidden/>
              </w:rPr>
              <w:fldChar w:fldCharType="end"/>
            </w:r>
          </w:hyperlink>
        </w:p>
        <w:p w14:paraId="6E53B708" w14:textId="2D803D72" w:rsidR="00507230" w:rsidRDefault="00854156">
          <w:pPr>
            <w:pStyle w:val="TOC2"/>
            <w:rPr>
              <w:rFonts w:eastAsiaTheme="minorEastAsia"/>
              <w:szCs w:val="22"/>
              <w:lang w:eastAsia="en-AU"/>
            </w:rPr>
          </w:pPr>
          <w:hyperlink w:anchor="_Toc53564709" w:history="1">
            <w:r w:rsidR="00507230" w:rsidRPr="00C80E1C">
              <w:rPr>
                <w:rStyle w:val="Hyperlink"/>
              </w:rPr>
              <w:t>2.1</w:t>
            </w:r>
            <w:r w:rsidR="00507230">
              <w:rPr>
                <w:rFonts w:eastAsiaTheme="minorEastAsia"/>
                <w:szCs w:val="22"/>
                <w:lang w:eastAsia="en-AU"/>
              </w:rPr>
              <w:tab/>
            </w:r>
            <w:r w:rsidR="00507230" w:rsidRPr="00C80E1C">
              <w:rPr>
                <w:rStyle w:val="Hyperlink"/>
              </w:rPr>
              <w:t>AASB 16 Leases</w:t>
            </w:r>
            <w:r w:rsidR="00507230">
              <w:rPr>
                <w:webHidden/>
              </w:rPr>
              <w:tab/>
            </w:r>
            <w:r w:rsidR="00507230">
              <w:rPr>
                <w:webHidden/>
              </w:rPr>
              <w:fldChar w:fldCharType="begin"/>
            </w:r>
            <w:r w:rsidR="00507230">
              <w:rPr>
                <w:webHidden/>
              </w:rPr>
              <w:instrText xml:space="preserve"> PAGEREF _Toc53564709 \h </w:instrText>
            </w:r>
            <w:r w:rsidR="00507230">
              <w:rPr>
                <w:webHidden/>
              </w:rPr>
            </w:r>
            <w:r w:rsidR="00507230">
              <w:rPr>
                <w:webHidden/>
              </w:rPr>
              <w:fldChar w:fldCharType="separate"/>
            </w:r>
            <w:r w:rsidR="00507230">
              <w:rPr>
                <w:webHidden/>
              </w:rPr>
              <w:t>8</w:t>
            </w:r>
            <w:r w:rsidR="00507230">
              <w:rPr>
                <w:webHidden/>
              </w:rPr>
              <w:fldChar w:fldCharType="end"/>
            </w:r>
          </w:hyperlink>
        </w:p>
        <w:p w14:paraId="1CA19888" w14:textId="3BC24995" w:rsidR="00507230" w:rsidRDefault="00854156">
          <w:pPr>
            <w:pStyle w:val="TOC2"/>
            <w:rPr>
              <w:rFonts w:eastAsiaTheme="minorEastAsia"/>
              <w:szCs w:val="22"/>
              <w:lang w:eastAsia="en-AU"/>
            </w:rPr>
          </w:pPr>
          <w:hyperlink w:anchor="_Toc53564710" w:history="1">
            <w:r w:rsidR="00507230" w:rsidRPr="00C80E1C">
              <w:rPr>
                <w:rStyle w:val="Hyperlink"/>
              </w:rPr>
              <w:t>2.2</w:t>
            </w:r>
            <w:r w:rsidR="00507230">
              <w:rPr>
                <w:rFonts w:eastAsiaTheme="minorEastAsia"/>
                <w:szCs w:val="22"/>
                <w:lang w:eastAsia="en-AU"/>
              </w:rPr>
              <w:tab/>
            </w:r>
            <w:r w:rsidR="00507230" w:rsidRPr="00C80E1C">
              <w:rPr>
                <w:rStyle w:val="Hyperlink"/>
              </w:rPr>
              <w:t>The Reporting of Measures</w:t>
            </w:r>
            <w:r w:rsidR="00507230">
              <w:rPr>
                <w:webHidden/>
              </w:rPr>
              <w:tab/>
            </w:r>
            <w:r w:rsidR="00507230">
              <w:rPr>
                <w:webHidden/>
              </w:rPr>
              <w:fldChar w:fldCharType="begin"/>
            </w:r>
            <w:r w:rsidR="00507230">
              <w:rPr>
                <w:webHidden/>
              </w:rPr>
              <w:instrText xml:space="preserve"> PAGEREF _Toc53564710 \h </w:instrText>
            </w:r>
            <w:r w:rsidR="00507230">
              <w:rPr>
                <w:webHidden/>
              </w:rPr>
            </w:r>
            <w:r w:rsidR="00507230">
              <w:rPr>
                <w:webHidden/>
              </w:rPr>
              <w:fldChar w:fldCharType="separate"/>
            </w:r>
            <w:r w:rsidR="00507230">
              <w:rPr>
                <w:webHidden/>
              </w:rPr>
              <w:t>9</w:t>
            </w:r>
            <w:r w:rsidR="00507230">
              <w:rPr>
                <w:webHidden/>
              </w:rPr>
              <w:fldChar w:fldCharType="end"/>
            </w:r>
          </w:hyperlink>
        </w:p>
        <w:p w14:paraId="7E655F29" w14:textId="49AE7B46" w:rsidR="00507230" w:rsidRDefault="00854156">
          <w:pPr>
            <w:pStyle w:val="TOC2"/>
            <w:rPr>
              <w:rFonts w:eastAsiaTheme="minorEastAsia"/>
              <w:szCs w:val="22"/>
              <w:lang w:eastAsia="en-AU"/>
            </w:rPr>
          </w:pPr>
          <w:hyperlink w:anchor="_Toc53564711" w:history="1">
            <w:r w:rsidR="00507230" w:rsidRPr="00C80E1C">
              <w:rPr>
                <w:rStyle w:val="Hyperlink"/>
              </w:rPr>
              <w:t>2.3</w:t>
            </w:r>
            <w:r w:rsidR="00507230">
              <w:rPr>
                <w:rFonts w:eastAsiaTheme="minorEastAsia"/>
                <w:szCs w:val="22"/>
                <w:lang w:eastAsia="en-AU"/>
              </w:rPr>
              <w:tab/>
            </w:r>
            <w:r w:rsidR="00507230" w:rsidRPr="00C80E1C">
              <w:rPr>
                <w:rStyle w:val="Hyperlink"/>
              </w:rPr>
              <w:t>Changes to the PB Statement tables</w:t>
            </w:r>
            <w:r w:rsidR="00507230">
              <w:rPr>
                <w:webHidden/>
              </w:rPr>
              <w:tab/>
            </w:r>
            <w:r w:rsidR="00507230">
              <w:rPr>
                <w:webHidden/>
              </w:rPr>
              <w:fldChar w:fldCharType="begin"/>
            </w:r>
            <w:r w:rsidR="00507230">
              <w:rPr>
                <w:webHidden/>
              </w:rPr>
              <w:instrText xml:space="preserve"> PAGEREF _Toc53564711 \h </w:instrText>
            </w:r>
            <w:r w:rsidR="00507230">
              <w:rPr>
                <w:webHidden/>
              </w:rPr>
            </w:r>
            <w:r w:rsidR="00507230">
              <w:rPr>
                <w:webHidden/>
              </w:rPr>
              <w:fldChar w:fldCharType="separate"/>
            </w:r>
            <w:r w:rsidR="00507230">
              <w:rPr>
                <w:webHidden/>
              </w:rPr>
              <w:t>9</w:t>
            </w:r>
            <w:r w:rsidR="00507230">
              <w:rPr>
                <w:webHidden/>
              </w:rPr>
              <w:fldChar w:fldCharType="end"/>
            </w:r>
          </w:hyperlink>
        </w:p>
        <w:p w14:paraId="1200AC39" w14:textId="458EB17C" w:rsidR="00507230" w:rsidRDefault="00854156">
          <w:pPr>
            <w:pStyle w:val="TOC1"/>
            <w:rPr>
              <w:rFonts w:eastAsiaTheme="minorEastAsia"/>
              <w:b w:val="0"/>
              <w:sz w:val="22"/>
              <w:szCs w:val="22"/>
              <w:lang w:eastAsia="en-AU"/>
            </w:rPr>
          </w:pPr>
          <w:hyperlink w:anchor="_Toc53564712" w:history="1">
            <w:r w:rsidR="00507230" w:rsidRPr="00C80E1C">
              <w:rPr>
                <w:rStyle w:val="Hyperlink"/>
              </w:rPr>
              <w:t>3.</w:t>
            </w:r>
            <w:r w:rsidR="00507230">
              <w:rPr>
                <w:rFonts w:eastAsiaTheme="minorEastAsia"/>
                <w:b w:val="0"/>
                <w:sz w:val="22"/>
                <w:szCs w:val="22"/>
                <w:lang w:eastAsia="en-AU"/>
              </w:rPr>
              <w:tab/>
            </w:r>
            <w:r w:rsidR="00507230" w:rsidRPr="00C80E1C">
              <w:rPr>
                <w:rStyle w:val="Hyperlink"/>
              </w:rPr>
              <w:t>Purpose</w:t>
            </w:r>
            <w:r w:rsidR="00507230">
              <w:rPr>
                <w:webHidden/>
              </w:rPr>
              <w:tab/>
            </w:r>
            <w:r w:rsidR="00507230">
              <w:rPr>
                <w:webHidden/>
              </w:rPr>
              <w:fldChar w:fldCharType="begin"/>
            </w:r>
            <w:r w:rsidR="00507230">
              <w:rPr>
                <w:webHidden/>
              </w:rPr>
              <w:instrText xml:space="preserve"> PAGEREF _Toc53564712 \h </w:instrText>
            </w:r>
            <w:r w:rsidR="00507230">
              <w:rPr>
                <w:webHidden/>
              </w:rPr>
            </w:r>
            <w:r w:rsidR="00507230">
              <w:rPr>
                <w:webHidden/>
              </w:rPr>
              <w:fldChar w:fldCharType="separate"/>
            </w:r>
            <w:r w:rsidR="00507230">
              <w:rPr>
                <w:webHidden/>
              </w:rPr>
              <w:t>11</w:t>
            </w:r>
            <w:r w:rsidR="00507230">
              <w:rPr>
                <w:webHidden/>
              </w:rPr>
              <w:fldChar w:fldCharType="end"/>
            </w:r>
          </w:hyperlink>
        </w:p>
        <w:p w14:paraId="3EDBB1CB" w14:textId="18613BE2" w:rsidR="00507230" w:rsidRDefault="00854156">
          <w:pPr>
            <w:pStyle w:val="TOC1"/>
            <w:rPr>
              <w:rFonts w:eastAsiaTheme="minorEastAsia"/>
              <w:b w:val="0"/>
              <w:sz w:val="22"/>
              <w:szCs w:val="22"/>
              <w:lang w:eastAsia="en-AU"/>
            </w:rPr>
          </w:pPr>
          <w:hyperlink w:anchor="_Toc53564713" w:history="1">
            <w:r w:rsidR="00507230" w:rsidRPr="00C80E1C">
              <w:rPr>
                <w:rStyle w:val="Hyperlink"/>
              </w:rPr>
              <w:t>4.</w:t>
            </w:r>
            <w:r w:rsidR="00507230">
              <w:rPr>
                <w:rFonts w:eastAsiaTheme="minorEastAsia"/>
                <w:b w:val="0"/>
                <w:sz w:val="22"/>
                <w:szCs w:val="22"/>
                <w:lang w:eastAsia="en-AU"/>
              </w:rPr>
              <w:tab/>
            </w:r>
            <w:r w:rsidR="00507230" w:rsidRPr="00C80E1C">
              <w:rPr>
                <w:rStyle w:val="Hyperlink"/>
              </w:rPr>
              <w:t>Who should prepare PB Statements?</w:t>
            </w:r>
            <w:r w:rsidR="00507230">
              <w:rPr>
                <w:webHidden/>
              </w:rPr>
              <w:tab/>
            </w:r>
            <w:r w:rsidR="00507230">
              <w:rPr>
                <w:webHidden/>
              </w:rPr>
              <w:fldChar w:fldCharType="begin"/>
            </w:r>
            <w:r w:rsidR="00507230">
              <w:rPr>
                <w:webHidden/>
              </w:rPr>
              <w:instrText xml:space="preserve"> PAGEREF _Toc53564713 \h </w:instrText>
            </w:r>
            <w:r w:rsidR="00507230">
              <w:rPr>
                <w:webHidden/>
              </w:rPr>
            </w:r>
            <w:r w:rsidR="00507230">
              <w:rPr>
                <w:webHidden/>
              </w:rPr>
              <w:fldChar w:fldCharType="separate"/>
            </w:r>
            <w:r w:rsidR="00507230">
              <w:rPr>
                <w:webHidden/>
              </w:rPr>
              <w:t>11</w:t>
            </w:r>
            <w:r w:rsidR="00507230">
              <w:rPr>
                <w:webHidden/>
              </w:rPr>
              <w:fldChar w:fldCharType="end"/>
            </w:r>
          </w:hyperlink>
        </w:p>
        <w:p w14:paraId="0D407D3C" w14:textId="07C69118" w:rsidR="00507230" w:rsidRDefault="00854156">
          <w:pPr>
            <w:pStyle w:val="TOC1"/>
            <w:rPr>
              <w:rFonts w:eastAsiaTheme="minorEastAsia"/>
              <w:b w:val="0"/>
              <w:sz w:val="22"/>
              <w:szCs w:val="22"/>
              <w:lang w:eastAsia="en-AU"/>
            </w:rPr>
          </w:pPr>
          <w:hyperlink w:anchor="_Toc53564714" w:history="1">
            <w:r w:rsidR="00507230" w:rsidRPr="00C80E1C">
              <w:rPr>
                <w:rStyle w:val="Hyperlink"/>
              </w:rPr>
              <w:t>5.</w:t>
            </w:r>
            <w:r w:rsidR="00507230">
              <w:rPr>
                <w:rFonts w:eastAsiaTheme="minorEastAsia"/>
                <w:b w:val="0"/>
                <w:sz w:val="22"/>
                <w:szCs w:val="22"/>
                <w:lang w:eastAsia="en-AU"/>
              </w:rPr>
              <w:tab/>
            </w:r>
            <w:r w:rsidR="00507230" w:rsidRPr="00C80E1C">
              <w:rPr>
                <w:rStyle w:val="Hyperlink"/>
              </w:rPr>
              <w:t>Structure</w:t>
            </w:r>
            <w:r w:rsidR="00507230">
              <w:rPr>
                <w:webHidden/>
              </w:rPr>
              <w:tab/>
            </w:r>
            <w:r w:rsidR="00507230">
              <w:rPr>
                <w:webHidden/>
              </w:rPr>
              <w:fldChar w:fldCharType="begin"/>
            </w:r>
            <w:r w:rsidR="00507230">
              <w:rPr>
                <w:webHidden/>
              </w:rPr>
              <w:instrText xml:space="preserve"> PAGEREF _Toc53564714 \h </w:instrText>
            </w:r>
            <w:r w:rsidR="00507230">
              <w:rPr>
                <w:webHidden/>
              </w:rPr>
            </w:r>
            <w:r w:rsidR="00507230">
              <w:rPr>
                <w:webHidden/>
              </w:rPr>
              <w:fldChar w:fldCharType="separate"/>
            </w:r>
            <w:r w:rsidR="00507230">
              <w:rPr>
                <w:webHidden/>
              </w:rPr>
              <w:t>14</w:t>
            </w:r>
            <w:r w:rsidR="00507230">
              <w:rPr>
                <w:webHidden/>
              </w:rPr>
              <w:fldChar w:fldCharType="end"/>
            </w:r>
          </w:hyperlink>
        </w:p>
        <w:p w14:paraId="7E111B05" w14:textId="2B7A171B" w:rsidR="00507230" w:rsidRDefault="00854156">
          <w:pPr>
            <w:pStyle w:val="TOC2"/>
            <w:rPr>
              <w:rFonts w:eastAsiaTheme="minorEastAsia"/>
              <w:szCs w:val="22"/>
              <w:lang w:eastAsia="en-AU"/>
            </w:rPr>
          </w:pPr>
          <w:hyperlink w:anchor="_Toc53564715" w:history="1">
            <w:r w:rsidR="00507230" w:rsidRPr="00C80E1C">
              <w:rPr>
                <w:rStyle w:val="Hyperlink"/>
              </w:rPr>
              <w:t>5.1</w:t>
            </w:r>
            <w:r w:rsidR="00507230">
              <w:rPr>
                <w:rFonts w:eastAsiaTheme="minorEastAsia"/>
                <w:szCs w:val="22"/>
                <w:lang w:eastAsia="en-AU"/>
              </w:rPr>
              <w:tab/>
            </w:r>
            <w:r w:rsidR="00507230" w:rsidRPr="00C80E1C">
              <w:rPr>
                <w:rStyle w:val="Hyperlink"/>
              </w:rPr>
              <w:t>Commonwealth performance framework diagram located in the PB Statement's 'User Guide' chapter</w:t>
            </w:r>
            <w:r w:rsidR="00507230">
              <w:rPr>
                <w:webHidden/>
              </w:rPr>
              <w:tab/>
            </w:r>
            <w:r w:rsidR="00507230">
              <w:rPr>
                <w:webHidden/>
              </w:rPr>
              <w:fldChar w:fldCharType="begin"/>
            </w:r>
            <w:r w:rsidR="00507230">
              <w:rPr>
                <w:webHidden/>
              </w:rPr>
              <w:instrText xml:space="preserve"> PAGEREF _Toc53564715 \h </w:instrText>
            </w:r>
            <w:r w:rsidR="00507230">
              <w:rPr>
                <w:webHidden/>
              </w:rPr>
            </w:r>
            <w:r w:rsidR="00507230">
              <w:rPr>
                <w:webHidden/>
              </w:rPr>
              <w:fldChar w:fldCharType="separate"/>
            </w:r>
            <w:r w:rsidR="00507230">
              <w:rPr>
                <w:webHidden/>
              </w:rPr>
              <w:t>15</w:t>
            </w:r>
            <w:r w:rsidR="00507230">
              <w:rPr>
                <w:webHidden/>
              </w:rPr>
              <w:fldChar w:fldCharType="end"/>
            </w:r>
          </w:hyperlink>
        </w:p>
        <w:p w14:paraId="71467FCE" w14:textId="1AEF31A3" w:rsidR="00507230" w:rsidRDefault="00854156">
          <w:pPr>
            <w:pStyle w:val="TOC2"/>
            <w:rPr>
              <w:rFonts w:eastAsiaTheme="minorEastAsia"/>
              <w:szCs w:val="22"/>
              <w:lang w:eastAsia="en-AU"/>
            </w:rPr>
          </w:pPr>
          <w:hyperlink w:anchor="_Toc53564716" w:history="1">
            <w:r w:rsidR="00507230" w:rsidRPr="00C80E1C">
              <w:rPr>
                <w:rStyle w:val="Hyperlink"/>
              </w:rPr>
              <w:t>5.2</w:t>
            </w:r>
            <w:r w:rsidR="00507230">
              <w:rPr>
                <w:rFonts w:eastAsiaTheme="minorEastAsia"/>
                <w:szCs w:val="22"/>
                <w:lang w:eastAsia="en-AU"/>
              </w:rPr>
              <w:tab/>
            </w:r>
            <w:r w:rsidR="00507230" w:rsidRPr="00C80E1C">
              <w:rPr>
                <w:rStyle w:val="Hyperlink"/>
              </w:rPr>
              <w:t>Consistency of reporting – the “clear read” principle</w:t>
            </w:r>
            <w:r w:rsidR="00507230">
              <w:rPr>
                <w:webHidden/>
              </w:rPr>
              <w:tab/>
            </w:r>
            <w:r w:rsidR="00507230">
              <w:rPr>
                <w:webHidden/>
              </w:rPr>
              <w:fldChar w:fldCharType="begin"/>
            </w:r>
            <w:r w:rsidR="00507230">
              <w:rPr>
                <w:webHidden/>
              </w:rPr>
              <w:instrText xml:space="preserve"> PAGEREF _Toc53564716 \h </w:instrText>
            </w:r>
            <w:r w:rsidR="00507230">
              <w:rPr>
                <w:webHidden/>
              </w:rPr>
            </w:r>
            <w:r w:rsidR="00507230">
              <w:rPr>
                <w:webHidden/>
              </w:rPr>
              <w:fldChar w:fldCharType="separate"/>
            </w:r>
            <w:r w:rsidR="00507230">
              <w:rPr>
                <w:webHidden/>
              </w:rPr>
              <w:t>15</w:t>
            </w:r>
            <w:r w:rsidR="00507230">
              <w:rPr>
                <w:webHidden/>
              </w:rPr>
              <w:fldChar w:fldCharType="end"/>
            </w:r>
          </w:hyperlink>
        </w:p>
        <w:p w14:paraId="38A1FEBE" w14:textId="285862AB" w:rsidR="00507230" w:rsidRDefault="00854156">
          <w:pPr>
            <w:pStyle w:val="TOC3"/>
            <w:rPr>
              <w:rFonts w:eastAsiaTheme="minorEastAsia"/>
              <w:szCs w:val="22"/>
              <w:lang w:eastAsia="en-AU"/>
            </w:rPr>
          </w:pPr>
          <w:hyperlink w:anchor="_Toc53564717" w:history="1">
            <w:r w:rsidR="00507230" w:rsidRPr="00C80E1C">
              <w:rPr>
                <w:rStyle w:val="Hyperlink"/>
              </w:rPr>
              <w:t>5.2.1</w:t>
            </w:r>
            <w:r w:rsidR="00507230">
              <w:rPr>
                <w:rFonts w:eastAsiaTheme="minorEastAsia"/>
                <w:szCs w:val="22"/>
                <w:lang w:eastAsia="en-AU"/>
              </w:rPr>
              <w:tab/>
            </w:r>
            <w:r w:rsidR="00507230" w:rsidRPr="00C80E1C">
              <w:rPr>
                <w:rStyle w:val="Hyperlink"/>
              </w:rPr>
              <w:t>‘Clear read’ linkages</w:t>
            </w:r>
            <w:r w:rsidR="00507230">
              <w:rPr>
                <w:webHidden/>
              </w:rPr>
              <w:tab/>
            </w:r>
            <w:r w:rsidR="00507230">
              <w:rPr>
                <w:webHidden/>
              </w:rPr>
              <w:fldChar w:fldCharType="begin"/>
            </w:r>
            <w:r w:rsidR="00507230">
              <w:rPr>
                <w:webHidden/>
              </w:rPr>
              <w:instrText xml:space="preserve"> PAGEREF _Toc53564717 \h </w:instrText>
            </w:r>
            <w:r w:rsidR="00507230">
              <w:rPr>
                <w:webHidden/>
              </w:rPr>
            </w:r>
            <w:r w:rsidR="00507230">
              <w:rPr>
                <w:webHidden/>
              </w:rPr>
              <w:fldChar w:fldCharType="separate"/>
            </w:r>
            <w:r w:rsidR="00507230">
              <w:rPr>
                <w:webHidden/>
              </w:rPr>
              <w:t>15</w:t>
            </w:r>
            <w:r w:rsidR="00507230">
              <w:rPr>
                <w:webHidden/>
              </w:rPr>
              <w:fldChar w:fldCharType="end"/>
            </w:r>
          </w:hyperlink>
        </w:p>
        <w:p w14:paraId="39B69112" w14:textId="4524BCEB" w:rsidR="00507230" w:rsidRDefault="00854156">
          <w:pPr>
            <w:pStyle w:val="TOC2"/>
            <w:rPr>
              <w:rFonts w:eastAsiaTheme="minorEastAsia"/>
              <w:szCs w:val="22"/>
              <w:lang w:eastAsia="en-AU"/>
            </w:rPr>
          </w:pPr>
          <w:hyperlink w:anchor="_Toc53564718" w:history="1">
            <w:r w:rsidR="00507230" w:rsidRPr="00C80E1C">
              <w:rPr>
                <w:rStyle w:val="Hyperlink"/>
              </w:rPr>
              <w:t>5.3</w:t>
            </w:r>
            <w:r w:rsidR="00507230">
              <w:rPr>
                <w:rFonts w:eastAsiaTheme="minorEastAsia"/>
                <w:szCs w:val="22"/>
                <w:lang w:eastAsia="en-AU"/>
              </w:rPr>
              <w:tab/>
            </w:r>
            <w:r w:rsidR="00507230" w:rsidRPr="00C80E1C">
              <w:rPr>
                <w:rStyle w:val="Hyperlink"/>
              </w:rPr>
              <w:t>Clearance processes</w:t>
            </w:r>
            <w:r w:rsidR="00507230">
              <w:rPr>
                <w:webHidden/>
              </w:rPr>
              <w:tab/>
            </w:r>
            <w:r w:rsidR="00507230">
              <w:rPr>
                <w:webHidden/>
              </w:rPr>
              <w:fldChar w:fldCharType="begin"/>
            </w:r>
            <w:r w:rsidR="00507230">
              <w:rPr>
                <w:webHidden/>
              </w:rPr>
              <w:instrText xml:space="preserve"> PAGEREF _Toc53564718 \h </w:instrText>
            </w:r>
            <w:r w:rsidR="00507230">
              <w:rPr>
                <w:webHidden/>
              </w:rPr>
            </w:r>
            <w:r w:rsidR="00507230">
              <w:rPr>
                <w:webHidden/>
              </w:rPr>
              <w:fldChar w:fldCharType="separate"/>
            </w:r>
            <w:r w:rsidR="00507230">
              <w:rPr>
                <w:webHidden/>
              </w:rPr>
              <w:t>16</w:t>
            </w:r>
            <w:r w:rsidR="00507230">
              <w:rPr>
                <w:webHidden/>
              </w:rPr>
              <w:fldChar w:fldCharType="end"/>
            </w:r>
          </w:hyperlink>
        </w:p>
        <w:p w14:paraId="2BE83569" w14:textId="6EB7055D" w:rsidR="00507230" w:rsidRDefault="00854156">
          <w:pPr>
            <w:pStyle w:val="TOC1"/>
            <w:rPr>
              <w:rFonts w:eastAsiaTheme="minorEastAsia"/>
              <w:b w:val="0"/>
              <w:sz w:val="22"/>
              <w:szCs w:val="22"/>
              <w:lang w:eastAsia="en-AU"/>
            </w:rPr>
          </w:pPr>
          <w:hyperlink w:anchor="_Toc53564719" w:history="1">
            <w:r w:rsidR="00507230" w:rsidRPr="00C80E1C">
              <w:rPr>
                <w:rStyle w:val="Hyperlink"/>
              </w:rPr>
              <w:t>6.</w:t>
            </w:r>
            <w:r w:rsidR="00507230">
              <w:rPr>
                <w:rFonts w:eastAsiaTheme="minorEastAsia"/>
                <w:b w:val="0"/>
                <w:sz w:val="22"/>
                <w:szCs w:val="22"/>
                <w:lang w:eastAsia="en-AU"/>
              </w:rPr>
              <w:tab/>
            </w:r>
            <w:r w:rsidR="00507230" w:rsidRPr="00C80E1C">
              <w:rPr>
                <w:rStyle w:val="Hyperlink"/>
              </w:rPr>
              <w:t>Publication requirements</w:t>
            </w:r>
            <w:r w:rsidR="00507230">
              <w:rPr>
                <w:webHidden/>
              </w:rPr>
              <w:tab/>
            </w:r>
            <w:r w:rsidR="00507230">
              <w:rPr>
                <w:webHidden/>
              </w:rPr>
              <w:fldChar w:fldCharType="begin"/>
            </w:r>
            <w:r w:rsidR="00507230">
              <w:rPr>
                <w:webHidden/>
              </w:rPr>
              <w:instrText xml:space="preserve"> PAGEREF _Toc53564719 \h </w:instrText>
            </w:r>
            <w:r w:rsidR="00507230">
              <w:rPr>
                <w:webHidden/>
              </w:rPr>
            </w:r>
            <w:r w:rsidR="00507230">
              <w:rPr>
                <w:webHidden/>
              </w:rPr>
              <w:fldChar w:fldCharType="separate"/>
            </w:r>
            <w:r w:rsidR="00507230">
              <w:rPr>
                <w:webHidden/>
              </w:rPr>
              <w:t>17</w:t>
            </w:r>
            <w:r w:rsidR="00507230">
              <w:rPr>
                <w:webHidden/>
              </w:rPr>
              <w:fldChar w:fldCharType="end"/>
            </w:r>
          </w:hyperlink>
        </w:p>
        <w:p w14:paraId="0655B6C5" w14:textId="7EFCE859" w:rsidR="00507230" w:rsidRDefault="00854156">
          <w:pPr>
            <w:pStyle w:val="TOC2"/>
            <w:rPr>
              <w:rFonts w:eastAsiaTheme="minorEastAsia"/>
              <w:szCs w:val="22"/>
              <w:lang w:eastAsia="en-AU"/>
            </w:rPr>
          </w:pPr>
          <w:hyperlink w:anchor="_Toc53564720" w:history="1">
            <w:r w:rsidR="00507230" w:rsidRPr="00C80E1C">
              <w:rPr>
                <w:rStyle w:val="Hyperlink"/>
              </w:rPr>
              <w:t>6.1</w:t>
            </w:r>
            <w:r w:rsidR="00507230">
              <w:rPr>
                <w:rFonts w:eastAsiaTheme="minorEastAsia"/>
                <w:szCs w:val="22"/>
                <w:lang w:eastAsia="en-AU"/>
              </w:rPr>
              <w:tab/>
            </w:r>
            <w:r w:rsidR="00507230" w:rsidRPr="00C80E1C">
              <w:rPr>
                <w:rStyle w:val="Hyperlink"/>
              </w:rPr>
              <w:t>Security requirements</w:t>
            </w:r>
            <w:r w:rsidR="00507230">
              <w:rPr>
                <w:webHidden/>
              </w:rPr>
              <w:tab/>
            </w:r>
            <w:r w:rsidR="00507230">
              <w:rPr>
                <w:webHidden/>
              </w:rPr>
              <w:fldChar w:fldCharType="begin"/>
            </w:r>
            <w:r w:rsidR="00507230">
              <w:rPr>
                <w:webHidden/>
              </w:rPr>
              <w:instrText xml:space="preserve"> PAGEREF _Toc53564720 \h </w:instrText>
            </w:r>
            <w:r w:rsidR="00507230">
              <w:rPr>
                <w:webHidden/>
              </w:rPr>
            </w:r>
            <w:r w:rsidR="00507230">
              <w:rPr>
                <w:webHidden/>
              </w:rPr>
              <w:fldChar w:fldCharType="separate"/>
            </w:r>
            <w:r w:rsidR="00507230">
              <w:rPr>
                <w:webHidden/>
              </w:rPr>
              <w:t>17</w:t>
            </w:r>
            <w:r w:rsidR="00507230">
              <w:rPr>
                <w:webHidden/>
              </w:rPr>
              <w:fldChar w:fldCharType="end"/>
            </w:r>
          </w:hyperlink>
        </w:p>
        <w:p w14:paraId="21514AD5" w14:textId="398094A0" w:rsidR="00507230" w:rsidRDefault="00854156">
          <w:pPr>
            <w:pStyle w:val="TOC2"/>
            <w:rPr>
              <w:rFonts w:eastAsiaTheme="minorEastAsia"/>
              <w:szCs w:val="22"/>
              <w:lang w:eastAsia="en-AU"/>
            </w:rPr>
          </w:pPr>
          <w:hyperlink w:anchor="_Toc53564721" w:history="1">
            <w:r w:rsidR="00507230" w:rsidRPr="00C80E1C">
              <w:rPr>
                <w:rStyle w:val="Hyperlink"/>
              </w:rPr>
              <w:t>6.2</w:t>
            </w:r>
            <w:r w:rsidR="00507230">
              <w:rPr>
                <w:rFonts w:eastAsiaTheme="minorEastAsia"/>
                <w:szCs w:val="22"/>
                <w:lang w:eastAsia="en-AU"/>
              </w:rPr>
              <w:tab/>
            </w:r>
            <w:r w:rsidR="00507230" w:rsidRPr="00C80E1C">
              <w:rPr>
                <w:rStyle w:val="Hyperlink"/>
              </w:rPr>
              <w:t>Which printer to use and printing specifications</w:t>
            </w:r>
            <w:r w:rsidR="00507230">
              <w:rPr>
                <w:webHidden/>
              </w:rPr>
              <w:tab/>
            </w:r>
            <w:r w:rsidR="00507230">
              <w:rPr>
                <w:webHidden/>
              </w:rPr>
              <w:fldChar w:fldCharType="begin"/>
            </w:r>
            <w:r w:rsidR="00507230">
              <w:rPr>
                <w:webHidden/>
              </w:rPr>
              <w:instrText xml:space="preserve"> PAGEREF _Toc53564721 \h </w:instrText>
            </w:r>
            <w:r w:rsidR="00507230">
              <w:rPr>
                <w:webHidden/>
              </w:rPr>
            </w:r>
            <w:r w:rsidR="00507230">
              <w:rPr>
                <w:webHidden/>
              </w:rPr>
              <w:fldChar w:fldCharType="separate"/>
            </w:r>
            <w:r w:rsidR="00507230">
              <w:rPr>
                <w:webHidden/>
              </w:rPr>
              <w:t>17</w:t>
            </w:r>
            <w:r w:rsidR="00507230">
              <w:rPr>
                <w:webHidden/>
              </w:rPr>
              <w:fldChar w:fldCharType="end"/>
            </w:r>
          </w:hyperlink>
        </w:p>
        <w:p w14:paraId="46B087BF" w14:textId="4513A8B1" w:rsidR="00507230" w:rsidRDefault="00854156">
          <w:pPr>
            <w:pStyle w:val="TOC3"/>
            <w:rPr>
              <w:rFonts w:eastAsiaTheme="minorEastAsia"/>
              <w:szCs w:val="22"/>
              <w:lang w:eastAsia="en-AU"/>
            </w:rPr>
          </w:pPr>
          <w:hyperlink w:anchor="_Toc53564722" w:history="1">
            <w:r w:rsidR="00507230" w:rsidRPr="00C80E1C">
              <w:rPr>
                <w:rStyle w:val="Hyperlink"/>
              </w:rPr>
              <w:t>6.2.1</w:t>
            </w:r>
            <w:r w:rsidR="00507230">
              <w:rPr>
                <w:rFonts w:eastAsiaTheme="minorEastAsia"/>
                <w:szCs w:val="22"/>
                <w:lang w:eastAsia="en-AU"/>
              </w:rPr>
              <w:tab/>
            </w:r>
            <w:r w:rsidR="00507230" w:rsidRPr="00C80E1C">
              <w:rPr>
                <w:rStyle w:val="Hyperlink"/>
              </w:rPr>
              <w:t>Paper specifications</w:t>
            </w:r>
            <w:r w:rsidR="00507230">
              <w:rPr>
                <w:webHidden/>
              </w:rPr>
              <w:tab/>
            </w:r>
            <w:r w:rsidR="00507230">
              <w:rPr>
                <w:webHidden/>
              </w:rPr>
              <w:fldChar w:fldCharType="begin"/>
            </w:r>
            <w:r w:rsidR="00507230">
              <w:rPr>
                <w:webHidden/>
              </w:rPr>
              <w:instrText xml:space="preserve"> PAGEREF _Toc53564722 \h </w:instrText>
            </w:r>
            <w:r w:rsidR="00507230">
              <w:rPr>
                <w:webHidden/>
              </w:rPr>
            </w:r>
            <w:r w:rsidR="00507230">
              <w:rPr>
                <w:webHidden/>
              </w:rPr>
              <w:fldChar w:fldCharType="separate"/>
            </w:r>
            <w:r w:rsidR="00507230">
              <w:rPr>
                <w:webHidden/>
              </w:rPr>
              <w:t>17</w:t>
            </w:r>
            <w:r w:rsidR="00507230">
              <w:rPr>
                <w:webHidden/>
              </w:rPr>
              <w:fldChar w:fldCharType="end"/>
            </w:r>
          </w:hyperlink>
        </w:p>
        <w:p w14:paraId="7D549754" w14:textId="31AD3A46" w:rsidR="00507230" w:rsidRDefault="00854156">
          <w:pPr>
            <w:pStyle w:val="TOC3"/>
            <w:rPr>
              <w:rFonts w:eastAsiaTheme="minorEastAsia"/>
              <w:szCs w:val="22"/>
              <w:lang w:eastAsia="en-AU"/>
            </w:rPr>
          </w:pPr>
          <w:hyperlink w:anchor="_Toc53564723" w:history="1">
            <w:r w:rsidR="00507230" w:rsidRPr="00C80E1C">
              <w:rPr>
                <w:rStyle w:val="Hyperlink"/>
              </w:rPr>
              <w:t>6.2.2</w:t>
            </w:r>
            <w:r w:rsidR="00507230">
              <w:rPr>
                <w:rFonts w:eastAsiaTheme="minorEastAsia"/>
                <w:szCs w:val="22"/>
                <w:lang w:eastAsia="en-AU"/>
              </w:rPr>
              <w:tab/>
            </w:r>
            <w:r w:rsidR="00507230" w:rsidRPr="00C80E1C">
              <w:rPr>
                <w:rStyle w:val="Hyperlink"/>
              </w:rPr>
              <w:t>Printer</w:t>
            </w:r>
            <w:r w:rsidR="00507230">
              <w:rPr>
                <w:webHidden/>
              </w:rPr>
              <w:tab/>
            </w:r>
            <w:r w:rsidR="00507230">
              <w:rPr>
                <w:webHidden/>
              </w:rPr>
              <w:fldChar w:fldCharType="begin"/>
            </w:r>
            <w:r w:rsidR="00507230">
              <w:rPr>
                <w:webHidden/>
              </w:rPr>
              <w:instrText xml:space="preserve"> PAGEREF _Toc53564723 \h </w:instrText>
            </w:r>
            <w:r w:rsidR="00507230">
              <w:rPr>
                <w:webHidden/>
              </w:rPr>
            </w:r>
            <w:r w:rsidR="00507230">
              <w:rPr>
                <w:webHidden/>
              </w:rPr>
              <w:fldChar w:fldCharType="separate"/>
            </w:r>
            <w:r w:rsidR="00507230">
              <w:rPr>
                <w:webHidden/>
              </w:rPr>
              <w:t>18</w:t>
            </w:r>
            <w:r w:rsidR="00507230">
              <w:rPr>
                <w:webHidden/>
              </w:rPr>
              <w:fldChar w:fldCharType="end"/>
            </w:r>
          </w:hyperlink>
        </w:p>
        <w:p w14:paraId="313E75C4" w14:textId="5C462EE9" w:rsidR="00507230" w:rsidRDefault="00854156">
          <w:pPr>
            <w:pStyle w:val="TOC2"/>
            <w:rPr>
              <w:rFonts w:eastAsiaTheme="minorEastAsia"/>
              <w:szCs w:val="22"/>
              <w:lang w:eastAsia="en-AU"/>
            </w:rPr>
          </w:pPr>
          <w:hyperlink w:anchor="_Toc53564724" w:history="1">
            <w:r w:rsidR="00507230" w:rsidRPr="00C80E1C">
              <w:rPr>
                <w:rStyle w:val="Hyperlink"/>
              </w:rPr>
              <w:t>6.3</w:t>
            </w:r>
            <w:r w:rsidR="00507230">
              <w:rPr>
                <w:rFonts w:eastAsiaTheme="minorEastAsia"/>
                <w:szCs w:val="22"/>
                <w:lang w:eastAsia="en-AU"/>
              </w:rPr>
              <w:tab/>
            </w:r>
            <w:r w:rsidR="00507230" w:rsidRPr="00C80E1C">
              <w:rPr>
                <w:rStyle w:val="Hyperlink"/>
              </w:rPr>
              <w:t>Classification</w:t>
            </w:r>
            <w:r w:rsidR="00507230">
              <w:rPr>
                <w:webHidden/>
              </w:rPr>
              <w:tab/>
            </w:r>
            <w:r w:rsidR="00507230">
              <w:rPr>
                <w:webHidden/>
              </w:rPr>
              <w:fldChar w:fldCharType="begin"/>
            </w:r>
            <w:r w:rsidR="00507230">
              <w:rPr>
                <w:webHidden/>
              </w:rPr>
              <w:instrText xml:space="preserve"> PAGEREF _Toc53564724 \h </w:instrText>
            </w:r>
            <w:r w:rsidR="00507230">
              <w:rPr>
                <w:webHidden/>
              </w:rPr>
            </w:r>
            <w:r w:rsidR="00507230">
              <w:rPr>
                <w:webHidden/>
              </w:rPr>
              <w:fldChar w:fldCharType="separate"/>
            </w:r>
            <w:r w:rsidR="00507230">
              <w:rPr>
                <w:webHidden/>
              </w:rPr>
              <w:t>18</w:t>
            </w:r>
            <w:r w:rsidR="00507230">
              <w:rPr>
                <w:webHidden/>
              </w:rPr>
              <w:fldChar w:fldCharType="end"/>
            </w:r>
          </w:hyperlink>
        </w:p>
        <w:p w14:paraId="4438AA9B" w14:textId="4CB4C402" w:rsidR="00507230" w:rsidRDefault="00854156">
          <w:pPr>
            <w:pStyle w:val="TOC2"/>
            <w:rPr>
              <w:rFonts w:eastAsiaTheme="minorEastAsia"/>
              <w:szCs w:val="22"/>
              <w:lang w:eastAsia="en-AU"/>
            </w:rPr>
          </w:pPr>
          <w:hyperlink w:anchor="_Toc53564725" w:history="1">
            <w:r w:rsidR="00507230" w:rsidRPr="00C80E1C">
              <w:rPr>
                <w:rStyle w:val="Hyperlink"/>
              </w:rPr>
              <w:t>6.4</w:t>
            </w:r>
            <w:r w:rsidR="00507230">
              <w:rPr>
                <w:rFonts w:eastAsiaTheme="minorEastAsia"/>
                <w:szCs w:val="22"/>
                <w:lang w:eastAsia="en-AU"/>
              </w:rPr>
              <w:tab/>
            </w:r>
            <w:r w:rsidR="00507230" w:rsidRPr="00C80E1C">
              <w:rPr>
                <w:rStyle w:val="Hyperlink"/>
              </w:rPr>
              <w:t>Obtaining templates and covers</w:t>
            </w:r>
            <w:r w:rsidR="00507230">
              <w:rPr>
                <w:webHidden/>
              </w:rPr>
              <w:tab/>
            </w:r>
            <w:r w:rsidR="00507230">
              <w:rPr>
                <w:webHidden/>
              </w:rPr>
              <w:fldChar w:fldCharType="begin"/>
            </w:r>
            <w:r w:rsidR="00507230">
              <w:rPr>
                <w:webHidden/>
              </w:rPr>
              <w:instrText xml:space="preserve"> PAGEREF _Toc53564725 \h </w:instrText>
            </w:r>
            <w:r w:rsidR="00507230">
              <w:rPr>
                <w:webHidden/>
              </w:rPr>
            </w:r>
            <w:r w:rsidR="00507230">
              <w:rPr>
                <w:webHidden/>
              </w:rPr>
              <w:fldChar w:fldCharType="separate"/>
            </w:r>
            <w:r w:rsidR="00507230">
              <w:rPr>
                <w:webHidden/>
              </w:rPr>
              <w:t>18</w:t>
            </w:r>
            <w:r w:rsidR="00507230">
              <w:rPr>
                <w:webHidden/>
              </w:rPr>
              <w:fldChar w:fldCharType="end"/>
            </w:r>
          </w:hyperlink>
        </w:p>
        <w:p w14:paraId="4CF5E44F" w14:textId="7184A18C" w:rsidR="00507230" w:rsidRDefault="00854156">
          <w:pPr>
            <w:pStyle w:val="TOC3"/>
            <w:rPr>
              <w:rFonts w:eastAsiaTheme="minorEastAsia"/>
              <w:szCs w:val="22"/>
              <w:lang w:eastAsia="en-AU"/>
            </w:rPr>
          </w:pPr>
          <w:hyperlink w:anchor="_Toc53564726" w:history="1">
            <w:r w:rsidR="00507230" w:rsidRPr="00C80E1C">
              <w:rPr>
                <w:rStyle w:val="Hyperlink"/>
              </w:rPr>
              <w:t>6.4.1</w:t>
            </w:r>
            <w:r w:rsidR="00507230">
              <w:rPr>
                <w:rFonts w:eastAsiaTheme="minorEastAsia"/>
                <w:szCs w:val="22"/>
                <w:lang w:eastAsia="en-AU"/>
              </w:rPr>
              <w:tab/>
            </w:r>
            <w:r w:rsidR="00507230" w:rsidRPr="00C80E1C">
              <w:rPr>
                <w:rStyle w:val="Hyperlink"/>
              </w:rPr>
              <w:t>Obtaining Attachment B and C - Excel and Word templates</w:t>
            </w:r>
            <w:r w:rsidR="00507230">
              <w:rPr>
                <w:webHidden/>
              </w:rPr>
              <w:tab/>
            </w:r>
            <w:r w:rsidR="00507230">
              <w:rPr>
                <w:webHidden/>
              </w:rPr>
              <w:fldChar w:fldCharType="begin"/>
            </w:r>
            <w:r w:rsidR="00507230">
              <w:rPr>
                <w:webHidden/>
              </w:rPr>
              <w:instrText xml:space="preserve"> PAGEREF _Toc53564726 \h </w:instrText>
            </w:r>
            <w:r w:rsidR="00507230">
              <w:rPr>
                <w:webHidden/>
              </w:rPr>
            </w:r>
            <w:r w:rsidR="00507230">
              <w:rPr>
                <w:webHidden/>
              </w:rPr>
              <w:fldChar w:fldCharType="separate"/>
            </w:r>
            <w:r w:rsidR="00507230">
              <w:rPr>
                <w:webHidden/>
              </w:rPr>
              <w:t>18</w:t>
            </w:r>
            <w:r w:rsidR="00507230">
              <w:rPr>
                <w:webHidden/>
              </w:rPr>
              <w:fldChar w:fldCharType="end"/>
            </w:r>
          </w:hyperlink>
        </w:p>
        <w:p w14:paraId="1044890A" w14:textId="5DC8CAAE" w:rsidR="00507230" w:rsidRDefault="00854156">
          <w:pPr>
            <w:pStyle w:val="TOC3"/>
            <w:rPr>
              <w:rFonts w:eastAsiaTheme="minorEastAsia"/>
              <w:szCs w:val="22"/>
              <w:lang w:eastAsia="en-AU"/>
            </w:rPr>
          </w:pPr>
          <w:hyperlink w:anchor="_Toc53564727" w:history="1">
            <w:r w:rsidR="00507230" w:rsidRPr="00C80E1C">
              <w:rPr>
                <w:rStyle w:val="Hyperlink"/>
              </w:rPr>
              <w:t>6.4.2</w:t>
            </w:r>
            <w:r w:rsidR="00507230">
              <w:rPr>
                <w:rFonts w:eastAsiaTheme="minorEastAsia"/>
                <w:szCs w:val="22"/>
                <w:lang w:eastAsia="en-AU"/>
              </w:rPr>
              <w:tab/>
            </w:r>
            <w:r w:rsidR="00507230" w:rsidRPr="00C80E1C">
              <w:rPr>
                <w:rStyle w:val="Hyperlink"/>
              </w:rPr>
              <w:t>Obtaining Attachment D - Covers for the 2020-21 PB Statements</w:t>
            </w:r>
            <w:r w:rsidR="00507230">
              <w:rPr>
                <w:webHidden/>
              </w:rPr>
              <w:tab/>
            </w:r>
            <w:r w:rsidR="00507230">
              <w:rPr>
                <w:webHidden/>
              </w:rPr>
              <w:fldChar w:fldCharType="begin"/>
            </w:r>
            <w:r w:rsidR="00507230">
              <w:rPr>
                <w:webHidden/>
              </w:rPr>
              <w:instrText xml:space="preserve"> PAGEREF _Toc53564727 \h </w:instrText>
            </w:r>
            <w:r w:rsidR="00507230">
              <w:rPr>
                <w:webHidden/>
              </w:rPr>
            </w:r>
            <w:r w:rsidR="00507230">
              <w:rPr>
                <w:webHidden/>
              </w:rPr>
              <w:fldChar w:fldCharType="separate"/>
            </w:r>
            <w:r w:rsidR="00507230">
              <w:rPr>
                <w:webHidden/>
              </w:rPr>
              <w:t>19</w:t>
            </w:r>
            <w:r w:rsidR="00507230">
              <w:rPr>
                <w:webHidden/>
              </w:rPr>
              <w:fldChar w:fldCharType="end"/>
            </w:r>
          </w:hyperlink>
        </w:p>
        <w:p w14:paraId="3049EC0C" w14:textId="36B16CF4" w:rsidR="00507230" w:rsidRDefault="00854156">
          <w:pPr>
            <w:pStyle w:val="TOC2"/>
            <w:rPr>
              <w:rFonts w:eastAsiaTheme="minorEastAsia"/>
              <w:szCs w:val="22"/>
              <w:lang w:eastAsia="en-AU"/>
            </w:rPr>
          </w:pPr>
          <w:hyperlink w:anchor="_Toc53564728" w:history="1">
            <w:r w:rsidR="00507230" w:rsidRPr="00C80E1C">
              <w:rPr>
                <w:rStyle w:val="Hyperlink"/>
              </w:rPr>
              <w:t>6.5</w:t>
            </w:r>
            <w:r w:rsidR="00507230">
              <w:rPr>
                <w:rFonts w:eastAsiaTheme="minorEastAsia"/>
                <w:szCs w:val="22"/>
                <w:lang w:eastAsia="en-AU"/>
              </w:rPr>
              <w:tab/>
            </w:r>
            <w:r w:rsidR="00507230" w:rsidRPr="00C80E1C">
              <w:rPr>
                <w:rStyle w:val="Hyperlink"/>
              </w:rPr>
              <w:t>Delivery to Parliament House and Finance</w:t>
            </w:r>
            <w:r w:rsidR="00507230">
              <w:rPr>
                <w:webHidden/>
              </w:rPr>
              <w:tab/>
            </w:r>
            <w:r w:rsidR="00507230">
              <w:rPr>
                <w:webHidden/>
              </w:rPr>
              <w:fldChar w:fldCharType="begin"/>
            </w:r>
            <w:r w:rsidR="00507230">
              <w:rPr>
                <w:webHidden/>
              </w:rPr>
              <w:instrText xml:space="preserve"> PAGEREF _Toc53564728 \h </w:instrText>
            </w:r>
            <w:r w:rsidR="00507230">
              <w:rPr>
                <w:webHidden/>
              </w:rPr>
            </w:r>
            <w:r w:rsidR="00507230">
              <w:rPr>
                <w:webHidden/>
              </w:rPr>
              <w:fldChar w:fldCharType="separate"/>
            </w:r>
            <w:r w:rsidR="00507230">
              <w:rPr>
                <w:webHidden/>
              </w:rPr>
              <w:t>19</w:t>
            </w:r>
            <w:r w:rsidR="00507230">
              <w:rPr>
                <w:webHidden/>
              </w:rPr>
              <w:fldChar w:fldCharType="end"/>
            </w:r>
          </w:hyperlink>
        </w:p>
        <w:p w14:paraId="1EF150AB" w14:textId="18E31359" w:rsidR="00507230" w:rsidRDefault="00854156">
          <w:pPr>
            <w:pStyle w:val="TOC2"/>
            <w:rPr>
              <w:rFonts w:eastAsiaTheme="minorEastAsia"/>
              <w:szCs w:val="22"/>
              <w:lang w:eastAsia="en-AU"/>
            </w:rPr>
          </w:pPr>
          <w:hyperlink w:anchor="_Toc53564729" w:history="1">
            <w:r w:rsidR="00507230" w:rsidRPr="00C80E1C">
              <w:rPr>
                <w:rStyle w:val="Hyperlink"/>
              </w:rPr>
              <w:t>6.6</w:t>
            </w:r>
            <w:r w:rsidR="00507230">
              <w:rPr>
                <w:rFonts w:eastAsiaTheme="minorEastAsia"/>
                <w:szCs w:val="22"/>
                <w:lang w:eastAsia="en-AU"/>
              </w:rPr>
              <w:tab/>
            </w:r>
            <w:r w:rsidR="00507230" w:rsidRPr="00C80E1C">
              <w:rPr>
                <w:rStyle w:val="Hyperlink"/>
              </w:rPr>
              <w:t>Number of books</w:t>
            </w:r>
            <w:r w:rsidR="00507230">
              <w:rPr>
                <w:webHidden/>
              </w:rPr>
              <w:tab/>
            </w:r>
            <w:r w:rsidR="00507230">
              <w:rPr>
                <w:webHidden/>
              </w:rPr>
              <w:fldChar w:fldCharType="begin"/>
            </w:r>
            <w:r w:rsidR="00507230">
              <w:rPr>
                <w:webHidden/>
              </w:rPr>
              <w:instrText xml:space="preserve"> PAGEREF _Toc53564729 \h </w:instrText>
            </w:r>
            <w:r w:rsidR="00507230">
              <w:rPr>
                <w:webHidden/>
              </w:rPr>
            </w:r>
            <w:r w:rsidR="00507230">
              <w:rPr>
                <w:webHidden/>
              </w:rPr>
              <w:fldChar w:fldCharType="separate"/>
            </w:r>
            <w:r w:rsidR="00507230">
              <w:rPr>
                <w:webHidden/>
              </w:rPr>
              <w:t>20</w:t>
            </w:r>
            <w:r w:rsidR="00507230">
              <w:rPr>
                <w:webHidden/>
              </w:rPr>
              <w:fldChar w:fldCharType="end"/>
            </w:r>
          </w:hyperlink>
        </w:p>
        <w:p w14:paraId="2AB06E77" w14:textId="53A286AF" w:rsidR="00507230" w:rsidRDefault="00854156">
          <w:pPr>
            <w:pStyle w:val="TOC2"/>
            <w:rPr>
              <w:rFonts w:eastAsiaTheme="minorEastAsia"/>
              <w:szCs w:val="22"/>
              <w:lang w:eastAsia="en-AU"/>
            </w:rPr>
          </w:pPr>
          <w:hyperlink w:anchor="_Toc53564730" w:history="1">
            <w:r w:rsidR="00507230" w:rsidRPr="00C80E1C">
              <w:rPr>
                <w:rStyle w:val="Hyperlink"/>
              </w:rPr>
              <w:t>6.7</w:t>
            </w:r>
            <w:r w:rsidR="00507230">
              <w:rPr>
                <w:rFonts w:eastAsiaTheme="minorEastAsia"/>
                <w:szCs w:val="22"/>
                <w:lang w:eastAsia="en-AU"/>
              </w:rPr>
              <w:tab/>
            </w:r>
            <w:r w:rsidR="00507230" w:rsidRPr="00C80E1C">
              <w:rPr>
                <w:rStyle w:val="Hyperlink"/>
              </w:rPr>
              <w:t>Protected-rated email / CabNet requirements</w:t>
            </w:r>
            <w:r w:rsidR="00507230">
              <w:rPr>
                <w:webHidden/>
              </w:rPr>
              <w:tab/>
            </w:r>
            <w:r w:rsidR="00507230">
              <w:rPr>
                <w:webHidden/>
              </w:rPr>
              <w:fldChar w:fldCharType="begin"/>
            </w:r>
            <w:r w:rsidR="00507230">
              <w:rPr>
                <w:webHidden/>
              </w:rPr>
              <w:instrText xml:space="preserve"> PAGEREF _Toc53564730 \h </w:instrText>
            </w:r>
            <w:r w:rsidR="00507230">
              <w:rPr>
                <w:webHidden/>
              </w:rPr>
            </w:r>
            <w:r w:rsidR="00507230">
              <w:rPr>
                <w:webHidden/>
              </w:rPr>
              <w:fldChar w:fldCharType="separate"/>
            </w:r>
            <w:r w:rsidR="00507230">
              <w:rPr>
                <w:webHidden/>
              </w:rPr>
              <w:t>22</w:t>
            </w:r>
            <w:r w:rsidR="00507230">
              <w:rPr>
                <w:webHidden/>
              </w:rPr>
              <w:fldChar w:fldCharType="end"/>
            </w:r>
          </w:hyperlink>
        </w:p>
        <w:p w14:paraId="4D8A8380" w14:textId="4E37019E" w:rsidR="00507230" w:rsidRDefault="00854156">
          <w:pPr>
            <w:pStyle w:val="TOC2"/>
            <w:rPr>
              <w:rFonts w:eastAsiaTheme="minorEastAsia"/>
              <w:szCs w:val="22"/>
              <w:lang w:eastAsia="en-AU"/>
            </w:rPr>
          </w:pPr>
          <w:hyperlink w:anchor="_Toc53564731" w:history="1">
            <w:r w:rsidR="00507230" w:rsidRPr="00C80E1C">
              <w:rPr>
                <w:rStyle w:val="Hyperlink"/>
              </w:rPr>
              <w:t>6.8</w:t>
            </w:r>
            <w:r w:rsidR="00507230">
              <w:rPr>
                <w:rFonts w:eastAsiaTheme="minorEastAsia"/>
                <w:szCs w:val="22"/>
                <w:lang w:eastAsia="en-AU"/>
              </w:rPr>
              <w:tab/>
            </w:r>
            <w:r w:rsidR="00507230" w:rsidRPr="00C80E1C">
              <w:rPr>
                <w:rStyle w:val="Hyperlink"/>
              </w:rPr>
              <w:t>Budget media lockup hard copy and Adobe PDF requirements</w:t>
            </w:r>
            <w:r w:rsidR="00507230">
              <w:rPr>
                <w:webHidden/>
              </w:rPr>
              <w:tab/>
            </w:r>
            <w:r w:rsidR="00507230">
              <w:rPr>
                <w:webHidden/>
              </w:rPr>
              <w:fldChar w:fldCharType="begin"/>
            </w:r>
            <w:r w:rsidR="00507230">
              <w:rPr>
                <w:webHidden/>
              </w:rPr>
              <w:instrText xml:space="preserve"> PAGEREF _Toc53564731 \h </w:instrText>
            </w:r>
            <w:r w:rsidR="00507230">
              <w:rPr>
                <w:webHidden/>
              </w:rPr>
            </w:r>
            <w:r w:rsidR="00507230">
              <w:rPr>
                <w:webHidden/>
              </w:rPr>
              <w:fldChar w:fldCharType="separate"/>
            </w:r>
            <w:r w:rsidR="00507230">
              <w:rPr>
                <w:webHidden/>
              </w:rPr>
              <w:t>22</w:t>
            </w:r>
            <w:r w:rsidR="00507230">
              <w:rPr>
                <w:webHidden/>
              </w:rPr>
              <w:fldChar w:fldCharType="end"/>
            </w:r>
          </w:hyperlink>
        </w:p>
        <w:p w14:paraId="55E3AF26" w14:textId="519EBA95" w:rsidR="00507230" w:rsidRDefault="00854156">
          <w:pPr>
            <w:pStyle w:val="TOC2"/>
            <w:rPr>
              <w:rFonts w:eastAsiaTheme="minorEastAsia"/>
              <w:szCs w:val="22"/>
              <w:lang w:eastAsia="en-AU"/>
            </w:rPr>
          </w:pPr>
          <w:hyperlink w:anchor="_Toc53564732" w:history="1">
            <w:r w:rsidR="00507230" w:rsidRPr="00C80E1C">
              <w:rPr>
                <w:rStyle w:val="Hyperlink"/>
              </w:rPr>
              <w:t>6.9</w:t>
            </w:r>
            <w:r w:rsidR="00507230">
              <w:rPr>
                <w:rFonts w:eastAsiaTheme="minorEastAsia"/>
                <w:szCs w:val="22"/>
                <w:lang w:eastAsia="en-AU"/>
              </w:rPr>
              <w:tab/>
            </w:r>
            <w:r w:rsidR="00507230" w:rsidRPr="00C80E1C">
              <w:rPr>
                <w:rStyle w:val="Hyperlink"/>
              </w:rPr>
              <w:t>Online publication</w:t>
            </w:r>
            <w:r w:rsidR="00507230">
              <w:rPr>
                <w:webHidden/>
              </w:rPr>
              <w:tab/>
            </w:r>
            <w:r w:rsidR="00507230">
              <w:rPr>
                <w:webHidden/>
              </w:rPr>
              <w:fldChar w:fldCharType="begin"/>
            </w:r>
            <w:r w:rsidR="00507230">
              <w:rPr>
                <w:webHidden/>
              </w:rPr>
              <w:instrText xml:space="preserve"> PAGEREF _Toc53564732 \h </w:instrText>
            </w:r>
            <w:r w:rsidR="00507230">
              <w:rPr>
                <w:webHidden/>
              </w:rPr>
            </w:r>
            <w:r w:rsidR="00507230">
              <w:rPr>
                <w:webHidden/>
              </w:rPr>
              <w:fldChar w:fldCharType="separate"/>
            </w:r>
            <w:r w:rsidR="00507230">
              <w:rPr>
                <w:webHidden/>
              </w:rPr>
              <w:t>22</w:t>
            </w:r>
            <w:r w:rsidR="00507230">
              <w:rPr>
                <w:webHidden/>
              </w:rPr>
              <w:fldChar w:fldCharType="end"/>
            </w:r>
          </w:hyperlink>
        </w:p>
        <w:p w14:paraId="1AC322FE" w14:textId="62C27EA8" w:rsidR="00507230" w:rsidRDefault="00854156">
          <w:pPr>
            <w:pStyle w:val="TOC3"/>
            <w:rPr>
              <w:rFonts w:eastAsiaTheme="minorEastAsia"/>
              <w:szCs w:val="22"/>
              <w:lang w:eastAsia="en-AU"/>
            </w:rPr>
          </w:pPr>
          <w:hyperlink w:anchor="_Toc53564733" w:history="1">
            <w:r w:rsidR="00507230" w:rsidRPr="00C80E1C">
              <w:rPr>
                <w:rStyle w:val="Hyperlink"/>
              </w:rPr>
              <w:t>6.9.1</w:t>
            </w:r>
            <w:r w:rsidR="00507230">
              <w:rPr>
                <w:rFonts w:eastAsiaTheme="minorEastAsia"/>
                <w:szCs w:val="22"/>
                <w:lang w:eastAsia="en-AU"/>
              </w:rPr>
              <w:tab/>
            </w:r>
            <w:r w:rsidR="00507230" w:rsidRPr="00C80E1C">
              <w:rPr>
                <w:rStyle w:val="Hyperlink"/>
              </w:rPr>
              <w:t>Publishing the PB Statements on the internet</w:t>
            </w:r>
            <w:r w:rsidR="00507230">
              <w:rPr>
                <w:webHidden/>
              </w:rPr>
              <w:tab/>
            </w:r>
            <w:r w:rsidR="00507230">
              <w:rPr>
                <w:webHidden/>
              </w:rPr>
              <w:fldChar w:fldCharType="begin"/>
            </w:r>
            <w:r w:rsidR="00507230">
              <w:rPr>
                <w:webHidden/>
              </w:rPr>
              <w:instrText xml:space="preserve"> PAGEREF _Toc53564733 \h </w:instrText>
            </w:r>
            <w:r w:rsidR="00507230">
              <w:rPr>
                <w:webHidden/>
              </w:rPr>
            </w:r>
            <w:r w:rsidR="00507230">
              <w:rPr>
                <w:webHidden/>
              </w:rPr>
              <w:fldChar w:fldCharType="separate"/>
            </w:r>
            <w:r w:rsidR="00507230">
              <w:rPr>
                <w:webHidden/>
              </w:rPr>
              <w:t>22</w:t>
            </w:r>
            <w:r w:rsidR="00507230">
              <w:rPr>
                <w:webHidden/>
              </w:rPr>
              <w:fldChar w:fldCharType="end"/>
            </w:r>
          </w:hyperlink>
        </w:p>
        <w:p w14:paraId="4B222A1D" w14:textId="068797C6" w:rsidR="00507230" w:rsidRDefault="00854156">
          <w:pPr>
            <w:pStyle w:val="TOC3"/>
            <w:rPr>
              <w:rFonts w:eastAsiaTheme="minorEastAsia"/>
              <w:szCs w:val="22"/>
              <w:lang w:eastAsia="en-AU"/>
            </w:rPr>
          </w:pPr>
          <w:hyperlink w:anchor="_Toc53564734" w:history="1">
            <w:r w:rsidR="00507230" w:rsidRPr="00C80E1C">
              <w:rPr>
                <w:rStyle w:val="Hyperlink"/>
              </w:rPr>
              <w:t>6.9.2</w:t>
            </w:r>
            <w:r w:rsidR="00507230">
              <w:rPr>
                <w:rFonts w:eastAsiaTheme="minorEastAsia"/>
                <w:szCs w:val="22"/>
                <w:lang w:eastAsia="en-AU"/>
              </w:rPr>
              <w:tab/>
            </w:r>
            <w:r w:rsidR="00507230" w:rsidRPr="00C80E1C">
              <w:rPr>
                <w:rStyle w:val="Hyperlink"/>
              </w:rPr>
              <w:t>Open government initiative publication on data.gov.au</w:t>
            </w:r>
            <w:r w:rsidR="00507230">
              <w:rPr>
                <w:webHidden/>
              </w:rPr>
              <w:tab/>
            </w:r>
            <w:r w:rsidR="00507230">
              <w:rPr>
                <w:webHidden/>
              </w:rPr>
              <w:fldChar w:fldCharType="begin"/>
            </w:r>
            <w:r w:rsidR="00507230">
              <w:rPr>
                <w:webHidden/>
              </w:rPr>
              <w:instrText xml:space="preserve"> PAGEREF _Toc53564734 \h </w:instrText>
            </w:r>
            <w:r w:rsidR="00507230">
              <w:rPr>
                <w:webHidden/>
              </w:rPr>
            </w:r>
            <w:r w:rsidR="00507230">
              <w:rPr>
                <w:webHidden/>
              </w:rPr>
              <w:fldChar w:fldCharType="separate"/>
            </w:r>
            <w:r w:rsidR="00507230">
              <w:rPr>
                <w:webHidden/>
              </w:rPr>
              <w:t>23</w:t>
            </w:r>
            <w:r w:rsidR="00507230">
              <w:rPr>
                <w:webHidden/>
              </w:rPr>
              <w:fldChar w:fldCharType="end"/>
            </w:r>
          </w:hyperlink>
        </w:p>
        <w:p w14:paraId="78B66B14" w14:textId="6E7826DD" w:rsidR="00507230" w:rsidRDefault="00854156">
          <w:pPr>
            <w:pStyle w:val="TOC3"/>
            <w:rPr>
              <w:rFonts w:eastAsiaTheme="minorEastAsia"/>
              <w:szCs w:val="22"/>
              <w:lang w:eastAsia="en-AU"/>
            </w:rPr>
          </w:pPr>
          <w:hyperlink w:anchor="_Toc53564735" w:history="1">
            <w:r w:rsidR="00507230" w:rsidRPr="00C80E1C">
              <w:rPr>
                <w:rStyle w:val="Hyperlink"/>
              </w:rPr>
              <w:t>6.9.3</w:t>
            </w:r>
            <w:r w:rsidR="00507230">
              <w:rPr>
                <w:rFonts w:eastAsiaTheme="minorEastAsia"/>
                <w:szCs w:val="22"/>
                <w:lang w:eastAsia="en-AU"/>
              </w:rPr>
              <w:tab/>
            </w:r>
            <w:r w:rsidR="00507230" w:rsidRPr="00C80E1C">
              <w:rPr>
                <w:rStyle w:val="Hyperlink"/>
              </w:rPr>
              <w:t>Checklist for preparing files for online publication on data.gov.au</w:t>
            </w:r>
            <w:r w:rsidR="00507230">
              <w:rPr>
                <w:webHidden/>
              </w:rPr>
              <w:tab/>
            </w:r>
            <w:r w:rsidR="00507230">
              <w:rPr>
                <w:webHidden/>
              </w:rPr>
              <w:fldChar w:fldCharType="begin"/>
            </w:r>
            <w:r w:rsidR="00507230">
              <w:rPr>
                <w:webHidden/>
              </w:rPr>
              <w:instrText xml:space="preserve"> PAGEREF _Toc53564735 \h </w:instrText>
            </w:r>
            <w:r w:rsidR="00507230">
              <w:rPr>
                <w:webHidden/>
              </w:rPr>
            </w:r>
            <w:r w:rsidR="00507230">
              <w:rPr>
                <w:webHidden/>
              </w:rPr>
              <w:fldChar w:fldCharType="separate"/>
            </w:r>
            <w:r w:rsidR="00507230">
              <w:rPr>
                <w:webHidden/>
              </w:rPr>
              <w:t>25</w:t>
            </w:r>
            <w:r w:rsidR="00507230">
              <w:rPr>
                <w:webHidden/>
              </w:rPr>
              <w:fldChar w:fldCharType="end"/>
            </w:r>
          </w:hyperlink>
        </w:p>
        <w:p w14:paraId="0936E896" w14:textId="2C270095" w:rsidR="00507230" w:rsidRDefault="00854156">
          <w:pPr>
            <w:pStyle w:val="TOC2"/>
            <w:rPr>
              <w:rFonts w:eastAsiaTheme="minorEastAsia"/>
              <w:szCs w:val="22"/>
              <w:lang w:eastAsia="en-AU"/>
            </w:rPr>
          </w:pPr>
          <w:hyperlink w:anchor="_Toc53564736" w:history="1">
            <w:r w:rsidR="00507230" w:rsidRPr="00C80E1C">
              <w:rPr>
                <w:rStyle w:val="Hyperlink"/>
              </w:rPr>
              <w:t>6.10</w:t>
            </w:r>
            <w:r w:rsidR="00507230">
              <w:rPr>
                <w:rFonts w:eastAsiaTheme="minorEastAsia"/>
                <w:szCs w:val="22"/>
                <w:lang w:eastAsia="en-AU"/>
              </w:rPr>
              <w:tab/>
            </w:r>
            <w:r w:rsidR="00507230" w:rsidRPr="00C80E1C">
              <w:rPr>
                <w:rStyle w:val="Hyperlink"/>
              </w:rPr>
              <w:t>Use of ISBN/ISSN number</w:t>
            </w:r>
            <w:r w:rsidR="00507230">
              <w:rPr>
                <w:webHidden/>
              </w:rPr>
              <w:tab/>
            </w:r>
            <w:r w:rsidR="00507230">
              <w:rPr>
                <w:webHidden/>
              </w:rPr>
              <w:fldChar w:fldCharType="begin"/>
            </w:r>
            <w:r w:rsidR="00507230">
              <w:rPr>
                <w:webHidden/>
              </w:rPr>
              <w:instrText xml:space="preserve"> PAGEREF _Toc53564736 \h </w:instrText>
            </w:r>
            <w:r w:rsidR="00507230">
              <w:rPr>
                <w:webHidden/>
              </w:rPr>
            </w:r>
            <w:r w:rsidR="00507230">
              <w:rPr>
                <w:webHidden/>
              </w:rPr>
              <w:fldChar w:fldCharType="separate"/>
            </w:r>
            <w:r w:rsidR="00507230">
              <w:rPr>
                <w:webHidden/>
              </w:rPr>
              <w:t>26</w:t>
            </w:r>
            <w:r w:rsidR="00507230">
              <w:rPr>
                <w:webHidden/>
              </w:rPr>
              <w:fldChar w:fldCharType="end"/>
            </w:r>
          </w:hyperlink>
        </w:p>
        <w:p w14:paraId="1A8581F6" w14:textId="62AC489F" w:rsidR="00507230" w:rsidRDefault="00854156">
          <w:pPr>
            <w:pStyle w:val="TOC2"/>
            <w:rPr>
              <w:rFonts w:eastAsiaTheme="minorEastAsia"/>
              <w:szCs w:val="22"/>
              <w:lang w:eastAsia="en-AU"/>
            </w:rPr>
          </w:pPr>
          <w:hyperlink w:anchor="_Toc53564737" w:history="1">
            <w:r w:rsidR="00507230" w:rsidRPr="00C80E1C">
              <w:rPr>
                <w:rStyle w:val="Hyperlink"/>
                <w:spacing w:val="-6"/>
              </w:rPr>
              <w:t>6.11</w:t>
            </w:r>
            <w:r w:rsidR="00507230">
              <w:rPr>
                <w:rFonts w:eastAsiaTheme="minorEastAsia"/>
                <w:szCs w:val="22"/>
                <w:lang w:eastAsia="en-AU"/>
              </w:rPr>
              <w:tab/>
            </w:r>
            <w:r w:rsidR="00507230" w:rsidRPr="00C80E1C">
              <w:rPr>
                <w:rStyle w:val="Hyperlink"/>
              </w:rPr>
              <w:t>Issuing a corrigendum / addendum</w:t>
            </w:r>
            <w:r w:rsidR="00507230">
              <w:rPr>
                <w:webHidden/>
              </w:rPr>
              <w:tab/>
            </w:r>
            <w:r w:rsidR="00507230">
              <w:rPr>
                <w:webHidden/>
              </w:rPr>
              <w:fldChar w:fldCharType="begin"/>
            </w:r>
            <w:r w:rsidR="00507230">
              <w:rPr>
                <w:webHidden/>
              </w:rPr>
              <w:instrText xml:space="preserve"> PAGEREF _Toc53564737 \h </w:instrText>
            </w:r>
            <w:r w:rsidR="00507230">
              <w:rPr>
                <w:webHidden/>
              </w:rPr>
            </w:r>
            <w:r w:rsidR="00507230">
              <w:rPr>
                <w:webHidden/>
              </w:rPr>
              <w:fldChar w:fldCharType="separate"/>
            </w:r>
            <w:r w:rsidR="00507230">
              <w:rPr>
                <w:webHidden/>
              </w:rPr>
              <w:t>26</w:t>
            </w:r>
            <w:r w:rsidR="00507230">
              <w:rPr>
                <w:webHidden/>
              </w:rPr>
              <w:fldChar w:fldCharType="end"/>
            </w:r>
          </w:hyperlink>
        </w:p>
        <w:p w14:paraId="0ED76814" w14:textId="4D90D905" w:rsidR="00507230" w:rsidRDefault="00854156">
          <w:pPr>
            <w:pStyle w:val="TOC1"/>
            <w:rPr>
              <w:rFonts w:eastAsiaTheme="minorEastAsia"/>
              <w:b w:val="0"/>
              <w:sz w:val="22"/>
              <w:szCs w:val="22"/>
              <w:lang w:eastAsia="en-AU"/>
            </w:rPr>
          </w:pPr>
          <w:hyperlink w:anchor="_Toc53564738" w:history="1">
            <w:r w:rsidR="00507230" w:rsidRPr="00C80E1C">
              <w:rPr>
                <w:rStyle w:val="Hyperlink"/>
              </w:rPr>
              <w:t>7.</w:t>
            </w:r>
            <w:r w:rsidR="00507230">
              <w:rPr>
                <w:rFonts w:eastAsiaTheme="minorEastAsia"/>
                <w:b w:val="0"/>
                <w:sz w:val="22"/>
                <w:szCs w:val="22"/>
                <w:lang w:eastAsia="en-AU"/>
              </w:rPr>
              <w:tab/>
            </w:r>
            <w:r w:rsidR="00507230" w:rsidRPr="00C80E1C">
              <w:rPr>
                <w:rStyle w:val="Hyperlink"/>
              </w:rPr>
              <w:t>Portfolio overview section</w:t>
            </w:r>
            <w:r w:rsidR="00507230">
              <w:rPr>
                <w:webHidden/>
              </w:rPr>
              <w:tab/>
            </w:r>
            <w:r w:rsidR="00507230">
              <w:rPr>
                <w:webHidden/>
              </w:rPr>
              <w:fldChar w:fldCharType="begin"/>
            </w:r>
            <w:r w:rsidR="00507230">
              <w:rPr>
                <w:webHidden/>
              </w:rPr>
              <w:instrText xml:space="preserve"> PAGEREF _Toc53564738 \h </w:instrText>
            </w:r>
            <w:r w:rsidR="00507230">
              <w:rPr>
                <w:webHidden/>
              </w:rPr>
            </w:r>
            <w:r w:rsidR="00507230">
              <w:rPr>
                <w:webHidden/>
              </w:rPr>
              <w:fldChar w:fldCharType="separate"/>
            </w:r>
            <w:r w:rsidR="00507230">
              <w:rPr>
                <w:webHidden/>
              </w:rPr>
              <w:t>29</w:t>
            </w:r>
            <w:r w:rsidR="00507230">
              <w:rPr>
                <w:webHidden/>
              </w:rPr>
              <w:fldChar w:fldCharType="end"/>
            </w:r>
          </w:hyperlink>
        </w:p>
        <w:p w14:paraId="78C07318" w14:textId="401B3222" w:rsidR="00507230" w:rsidRDefault="00854156">
          <w:pPr>
            <w:pStyle w:val="TOC2"/>
            <w:rPr>
              <w:rFonts w:eastAsiaTheme="minorEastAsia"/>
              <w:szCs w:val="22"/>
              <w:lang w:eastAsia="en-AU"/>
            </w:rPr>
          </w:pPr>
          <w:hyperlink w:anchor="_Toc53564739" w:history="1">
            <w:r w:rsidR="00507230" w:rsidRPr="00C80E1C">
              <w:rPr>
                <w:rStyle w:val="Hyperlink"/>
                <w:rFonts w:eastAsia="Times New Roman"/>
                <w:spacing w:val="-6"/>
              </w:rPr>
              <w:t>7.1</w:t>
            </w:r>
            <w:r w:rsidR="00507230">
              <w:rPr>
                <w:rFonts w:eastAsiaTheme="minorEastAsia"/>
                <w:szCs w:val="22"/>
                <w:lang w:eastAsia="en-AU"/>
              </w:rPr>
              <w:tab/>
            </w:r>
            <w:r w:rsidR="00507230" w:rsidRPr="00C80E1C">
              <w:rPr>
                <w:rStyle w:val="Hyperlink"/>
                <w:rFonts w:eastAsia="Times New Roman"/>
              </w:rPr>
              <w:t>Minister(s) and portfolio responsibilities</w:t>
            </w:r>
            <w:r w:rsidR="00507230">
              <w:rPr>
                <w:webHidden/>
              </w:rPr>
              <w:tab/>
            </w:r>
            <w:r w:rsidR="00507230">
              <w:rPr>
                <w:webHidden/>
              </w:rPr>
              <w:fldChar w:fldCharType="begin"/>
            </w:r>
            <w:r w:rsidR="00507230">
              <w:rPr>
                <w:webHidden/>
              </w:rPr>
              <w:instrText xml:space="preserve"> PAGEREF _Toc53564739 \h </w:instrText>
            </w:r>
            <w:r w:rsidR="00507230">
              <w:rPr>
                <w:webHidden/>
              </w:rPr>
            </w:r>
            <w:r w:rsidR="00507230">
              <w:rPr>
                <w:webHidden/>
              </w:rPr>
              <w:fldChar w:fldCharType="separate"/>
            </w:r>
            <w:r w:rsidR="00507230">
              <w:rPr>
                <w:webHidden/>
              </w:rPr>
              <w:t>29</w:t>
            </w:r>
            <w:r w:rsidR="00507230">
              <w:rPr>
                <w:webHidden/>
              </w:rPr>
              <w:fldChar w:fldCharType="end"/>
            </w:r>
          </w:hyperlink>
        </w:p>
        <w:p w14:paraId="0A0C69E4" w14:textId="1AE85FA6" w:rsidR="00507230" w:rsidRDefault="00854156">
          <w:pPr>
            <w:pStyle w:val="TOC2"/>
            <w:rPr>
              <w:rFonts w:eastAsiaTheme="minorEastAsia"/>
              <w:szCs w:val="22"/>
              <w:lang w:eastAsia="en-AU"/>
            </w:rPr>
          </w:pPr>
          <w:hyperlink w:anchor="_Toc53564740" w:history="1">
            <w:r w:rsidR="00507230" w:rsidRPr="00C80E1C">
              <w:rPr>
                <w:rStyle w:val="Hyperlink"/>
                <w:rFonts w:eastAsia="Times New Roman"/>
                <w:spacing w:val="-6"/>
              </w:rPr>
              <w:t>7.2</w:t>
            </w:r>
            <w:r w:rsidR="00507230">
              <w:rPr>
                <w:rFonts w:eastAsiaTheme="minorEastAsia"/>
                <w:szCs w:val="22"/>
                <w:lang w:eastAsia="en-AU"/>
              </w:rPr>
              <w:tab/>
            </w:r>
            <w:r w:rsidR="00507230" w:rsidRPr="00C80E1C">
              <w:rPr>
                <w:rStyle w:val="Hyperlink"/>
                <w:rFonts w:eastAsia="Times New Roman"/>
              </w:rPr>
              <w:t>Portfolio structure and outcomes</w:t>
            </w:r>
            <w:r w:rsidR="00507230">
              <w:rPr>
                <w:webHidden/>
              </w:rPr>
              <w:tab/>
            </w:r>
            <w:r w:rsidR="00507230">
              <w:rPr>
                <w:webHidden/>
              </w:rPr>
              <w:fldChar w:fldCharType="begin"/>
            </w:r>
            <w:r w:rsidR="00507230">
              <w:rPr>
                <w:webHidden/>
              </w:rPr>
              <w:instrText xml:space="preserve"> PAGEREF _Toc53564740 \h </w:instrText>
            </w:r>
            <w:r w:rsidR="00507230">
              <w:rPr>
                <w:webHidden/>
              </w:rPr>
            </w:r>
            <w:r w:rsidR="00507230">
              <w:rPr>
                <w:webHidden/>
              </w:rPr>
              <w:fldChar w:fldCharType="separate"/>
            </w:r>
            <w:r w:rsidR="00507230">
              <w:rPr>
                <w:webHidden/>
              </w:rPr>
              <w:t>29</w:t>
            </w:r>
            <w:r w:rsidR="00507230">
              <w:rPr>
                <w:webHidden/>
              </w:rPr>
              <w:fldChar w:fldCharType="end"/>
            </w:r>
          </w:hyperlink>
        </w:p>
        <w:p w14:paraId="19470135" w14:textId="68C7BEB0" w:rsidR="00507230" w:rsidRDefault="00854156">
          <w:pPr>
            <w:pStyle w:val="TOC1"/>
            <w:rPr>
              <w:rFonts w:eastAsiaTheme="minorEastAsia"/>
              <w:b w:val="0"/>
              <w:sz w:val="22"/>
              <w:szCs w:val="22"/>
              <w:lang w:eastAsia="en-AU"/>
            </w:rPr>
          </w:pPr>
          <w:hyperlink w:anchor="_Toc53564741" w:history="1">
            <w:r w:rsidR="00507230" w:rsidRPr="00C80E1C">
              <w:rPr>
                <w:rStyle w:val="Hyperlink"/>
              </w:rPr>
              <w:t>8.</w:t>
            </w:r>
            <w:r w:rsidR="00507230">
              <w:rPr>
                <w:rFonts w:eastAsiaTheme="minorEastAsia"/>
                <w:b w:val="0"/>
                <w:sz w:val="22"/>
                <w:szCs w:val="22"/>
                <w:lang w:eastAsia="en-AU"/>
              </w:rPr>
              <w:tab/>
            </w:r>
            <w:r w:rsidR="00507230" w:rsidRPr="00C80E1C">
              <w:rPr>
                <w:rStyle w:val="Hyperlink"/>
                <w:rFonts w:eastAsia="Times New Roman"/>
              </w:rPr>
              <w:t>Entity overview and resources section</w:t>
            </w:r>
            <w:r w:rsidR="00507230">
              <w:rPr>
                <w:webHidden/>
              </w:rPr>
              <w:tab/>
            </w:r>
            <w:r w:rsidR="00507230">
              <w:rPr>
                <w:webHidden/>
              </w:rPr>
              <w:fldChar w:fldCharType="begin"/>
            </w:r>
            <w:r w:rsidR="00507230">
              <w:rPr>
                <w:webHidden/>
              </w:rPr>
              <w:instrText xml:space="preserve"> PAGEREF _Toc53564741 \h </w:instrText>
            </w:r>
            <w:r w:rsidR="00507230">
              <w:rPr>
                <w:webHidden/>
              </w:rPr>
            </w:r>
            <w:r w:rsidR="00507230">
              <w:rPr>
                <w:webHidden/>
              </w:rPr>
              <w:fldChar w:fldCharType="separate"/>
            </w:r>
            <w:r w:rsidR="00507230">
              <w:rPr>
                <w:webHidden/>
              </w:rPr>
              <w:t>30</w:t>
            </w:r>
            <w:r w:rsidR="00507230">
              <w:rPr>
                <w:webHidden/>
              </w:rPr>
              <w:fldChar w:fldCharType="end"/>
            </w:r>
          </w:hyperlink>
        </w:p>
        <w:p w14:paraId="54061CA1" w14:textId="292DFFFD" w:rsidR="00507230" w:rsidRDefault="00854156">
          <w:pPr>
            <w:pStyle w:val="TOC2"/>
            <w:rPr>
              <w:rFonts w:eastAsiaTheme="minorEastAsia"/>
              <w:szCs w:val="22"/>
              <w:lang w:eastAsia="en-AU"/>
            </w:rPr>
          </w:pPr>
          <w:hyperlink w:anchor="_Toc53564742" w:history="1">
            <w:r w:rsidR="00507230" w:rsidRPr="00C80E1C">
              <w:rPr>
                <w:rStyle w:val="Hyperlink"/>
                <w:rFonts w:eastAsia="Times New Roman"/>
                <w:spacing w:val="-6"/>
              </w:rPr>
              <w:t>8.1</w:t>
            </w:r>
            <w:r w:rsidR="00507230">
              <w:rPr>
                <w:rFonts w:eastAsiaTheme="minorEastAsia"/>
                <w:szCs w:val="22"/>
                <w:lang w:eastAsia="en-AU"/>
              </w:rPr>
              <w:tab/>
            </w:r>
            <w:r w:rsidR="00507230" w:rsidRPr="00C80E1C">
              <w:rPr>
                <w:rStyle w:val="Hyperlink"/>
                <w:rFonts w:eastAsia="Times New Roman"/>
              </w:rPr>
              <w:t>Strategic direction statement</w:t>
            </w:r>
            <w:r w:rsidR="00507230">
              <w:rPr>
                <w:webHidden/>
              </w:rPr>
              <w:tab/>
            </w:r>
            <w:r w:rsidR="00507230">
              <w:rPr>
                <w:webHidden/>
              </w:rPr>
              <w:fldChar w:fldCharType="begin"/>
            </w:r>
            <w:r w:rsidR="00507230">
              <w:rPr>
                <w:webHidden/>
              </w:rPr>
              <w:instrText xml:space="preserve"> PAGEREF _Toc53564742 \h </w:instrText>
            </w:r>
            <w:r w:rsidR="00507230">
              <w:rPr>
                <w:webHidden/>
              </w:rPr>
            </w:r>
            <w:r w:rsidR="00507230">
              <w:rPr>
                <w:webHidden/>
              </w:rPr>
              <w:fldChar w:fldCharType="separate"/>
            </w:r>
            <w:r w:rsidR="00507230">
              <w:rPr>
                <w:webHidden/>
              </w:rPr>
              <w:t>30</w:t>
            </w:r>
            <w:r w:rsidR="00507230">
              <w:rPr>
                <w:webHidden/>
              </w:rPr>
              <w:fldChar w:fldCharType="end"/>
            </w:r>
          </w:hyperlink>
        </w:p>
        <w:p w14:paraId="0985262E" w14:textId="4FE0A20E" w:rsidR="00507230" w:rsidRDefault="00854156">
          <w:pPr>
            <w:pStyle w:val="TOC2"/>
            <w:rPr>
              <w:rFonts w:eastAsiaTheme="minorEastAsia"/>
              <w:szCs w:val="22"/>
              <w:lang w:eastAsia="en-AU"/>
            </w:rPr>
          </w:pPr>
          <w:hyperlink w:anchor="_Toc53564743" w:history="1">
            <w:r w:rsidR="00507230" w:rsidRPr="00C80E1C">
              <w:rPr>
                <w:rStyle w:val="Hyperlink"/>
                <w:rFonts w:eastAsia="Times New Roman"/>
                <w:spacing w:val="-6"/>
              </w:rPr>
              <w:t>8.2</w:t>
            </w:r>
            <w:r w:rsidR="00507230">
              <w:rPr>
                <w:rFonts w:eastAsiaTheme="minorEastAsia"/>
                <w:szCs w:val="22"/>
                <w:lang w:eastAsia="en-AU"/>
              </w:rPr>
              <w:tab/>
            </w:r>
            <w:r w:rsidR="00507230" w:rsidRPr="00C80E1C">
              <w:rPr>
                <w:rStyle w:val="Hyperlink"/>
                <w:rFonts w:eastAsia="Times New Roman"/>
              </w:rPr>
              <w:t>Entity resource statement</w:t>
            </w:r>
            <w:r w:rsidR="00507230">
              <w:rPr>
                <w:webHidden/>
              </w:rPr>
              <w:tab/>
            </w:r>
            <w:r w:rsidR="00507230">
              <w:rPr>
                <w:webHidden/>
              </w:rPr>
              <w:fldChar w:fldCharType="begin"/>
            </w:r>
            <w:r w:rsidR="00507230">
              <w:rPr>
                <w:webHidden/>
              </w:rPr>
              <w:instrText xml:space="preserve"> PAGEREF _Toc53564743 \h </w:instrText>
            </w:r>
            <w:r w:rsidR="00507230">
              <w:rPr>
                <w:webHidden/>
              </w:rPr>
            </w:r>
            <w:r w:rsidR="00507230">
              <w:rPr>
                <w:webHidden/>
              </w:rPr>
              <w:fldChar w:fldCharType="separate"/>
            </w:r>
            <w:r w:rsidR="00507230">
              <w:rPr>
                <w:webHidden/>
              </w:rPr>
              <w:t>31</w:t>
            </w:r>
            <w:r w:rsidR="00507230">
              <w:rPr>
                <w:webHidden/>
              </w:rPr>
              <w:fldChar w:fldCharType="end"/>
            </w:r>
          </w:hyperlink>
        </w:p>
        <w:p w14:paraId="54167672" w14:textId="6E5D2DAA" w:rsidR="00507230" w:rsidRDefault="00854156">
          <w:pPr>
            <w:pStyle w:val="TOC3"/>
            <w:rPr>
              <w:rFonts w:eastAsiaTheme="minorEastAsia"/>
              <w:szCs w:val="22"/>
              <w:lang w:eastAsia="en-AU"/>
            </w:rPr>
          </w:pPr>
          <w:hyperlink w:anchor="_Toc53564744" w:history="1">
            <w:r w:rsidR="00507230" w:rsidRPr="00C80E1C">
              <w:rPr>
                <w:rStyle w:val="Hyperlink"/>
              </w:rPr>
              <w:t>8.2.1</w:t>
            </w:r>
            <w:r w:rsidR="00507230">
              <w:rPr>
                <w:rFonts w:eastAsiaTheme="minorEastAsia"/>
                <w:szCs w:val="22"/>
                <w:lang w:eastAsia="en-AU"/>
              </w:rPr>
              <w:tab/>
            </w:r>
            <w:r w:rsidR="00507230" w:rsidRPr="00C80E1C">
              <w:rPr>
                <w:rStyle w:val="Hyperlink"/>
              </w:rPr>
              <w:t>2019-20 Appropriation (Coronavirus Economic Response Package) Bills 1 &amp; 2 and the 2019-20 Appropriation Bills 5 &amp; 6</w:t>
            </w:r>
            <w:r w:rsidR="00507230">
              <w:rPr>
                <w:webHidden/>
              </w:rPr>
              <w:tab/>
            </w:r>
            <w:r w:rsidR="00507230">
              <w:rPr>
                <w:webHidden/>
              </w:rPr>
              <w:fldChar w:fldCharType="begin"/>
            </w:r>
            <w:r w:rsidR="00507230">
              <w:rPr>
                <w:webHidden/>
              </w:rPr>
              <w:instrText xml:space="preserve"> PAGEREF _Toc53564744 \h </w:instrText>
            </w:r>
            <w:r w:rsidR="00507230">
              <w:rPr>
                <w:webHidden/>
              </w:rPr>
            </w:r>
            <w:r w:rsidR="00507230">
              <w:rPr>
                <w:webHidden/>
              </w:rPr>
              <w:fldChar w:fldCharType="separate"/>
            </w:r>
            <w:r w:rsidR="00507230">
              <w:rPr>
                <w:webHidden/>
              </w:rPr>
              <w:t>31</w:t>
            </w:r>
            <w:r w:rsidR="00507230">
              <w:rPr>
                <w:webHidden/>
              </w:rPr>
              <w:fldChar w:fldCharType="end"/>
            </w:r>
          </w:hyperlink>
        </w:p>
        <w:p w14:paraId="7CCAD50B" w14:textId="743214DD" w:rsidR="00507230" w:rsidRDefault="00854156">
          <w:pPr>
            <w:pStyle w:val="TOC3"/>
            <w:rPr>
              <w:rFonts w:eastAsiaTheme="minorEastAsia"/>
              <w:szCs w:val="22"/>
              <w:lang w:eastAsia="en-AU"/>
            </w:rPr>
          </w:pPr>
          <w:hyperlink w:anchor="_Toc53564745" w:history="1">
            <w:r w:rsidR="00507230" w:rsidRPr="00C80E1C">
              <w:rPr>
                <w:rStyle w:val="Hyperlink"/>
              </w:rPr>
              <w:t>8.2.2</w:t>
            </w:r>
            <w:r w:rsidR="00507230">
              <w:rPr>
                <w:rFonts w:eastAsiaTheme="minorEastAsia"/>
                <w:szCs w:val="22"/>
                <w:lang w:eastAsia="en-AU"/>
              </w:rPr>
              <w:tab/>
            </w:r>
            <w:r w:rsidR="00507230" w:rsidRPr="00C80E1C">
              <w:rPr>
                <w:rStyle w:val="Hyperlink"/>
              </w:rPr>
              <w:t>Payments to the states</w:t>
            </w:r>
            <w:r w:rsidR="00507230">
              <w:rPr>
                <w:webHidden/>
              </w:rPr>
              <w:tab/>
            </w:r>
            <w:r w:rsidR="00507230">
              <w:rPr>
                <w:webHidden/>
              </w:rPr>
              <w:fldChar w:fldCharType="begin"/>
            </w:r>
            <w:r w:rsidR="00507230">
              <w:rPr>
                <w:webHidden/>
              </w:rPr>
              <w:instrText xml:space="preserve"> PAGEREF _Toc53564745 \h </w:instrText>
            </w:r>
            <w:r w:rsidR="00507230">
              <w:rPr>
                <w:webHidden/>
              </w:rPr>
            </w:r>
            <w:r w:rsidR="00507230">
              <w:rPr>
                <w:webHidden/>
              </w:rPr>
              <w:fldChar w:fldCharType="separate"/>
            </w:r>
            <w:r w:rsidR="00507230">
              <w:rPr>
                <w:webHidden/>
              </w:rPr>
              <w:t>32</w:t>
            </w:r>
            <w:r w:rsidR="00507230">
              <w:rPr>
                <w:webHidden/>
              </w:rPr>
              <w:fldChar w:fldCharType="end"/>
            </w:r>
          </w:hyperlink>
        </w:p>
        <w:p w14:paraId="0C5BFAD7" w14:textId="2C015F37" w:rsidR="00507230" w:rsidRDefault="00854156">
          <w:pPr>
            <w:pStyle w:val="TOC3"/>
            <w:rPr>
              <w:rFonts w:eastAsiaTheme="minorEastAsia"/>
              <w:szCs w:val="22"/>
              <w:lang w:eastAsia="en-AU"/>
            </w:rPr>
          </w:pPr>
          <w:hyperlink w:anchor="_Toc53564746" w:history="1">
            <w:r w:rsidR="00507230" w:rsidRPr="00C80E1C">
              <w:rPr>
                <w:rStyle w:val="Hyperlink"/>
              </w:rPr>
              <w:t>8.2.3</w:t>
            </w:r>
            <w:r w:rsidR="00507230">
              <w:rPr>
                <w:rFonts w:eastAsiaTheme="minorEastAsia"/>
                <w:szCs w:val="22"/>
                <w:lang w:eastAsia="en-AU"/>
              </w:rPr>
              <w:tab/>
            </w:r>
            <w:r w:rsidR="00507230" w:rsidRPr="00C80E1C">
              <w:rPr>
                <w:rStyle w:val="Hyperlink"/>
              </w:rPr>
              <w:t>Additional guidance on cash management reports and appropriation bills</w:t>
            </w:r>
            <w:r w:rsidR="00507230">
              <w:rPr>
                <w:webHidden/>
              </w:rPr>
              <w:tab/>
            </w:r>
            <w:r w:rsidR="00507230">
              <w:rPr>
                <w:webHidden/>
              </w:rPr>
              <w:fldChar w:fldCharType="begin"/>
            </w:r>
            <w:r w:rsidR="00507230">
              <w:rPr>
                <w:webHidden/>
              </w:rPr>
              <w:instrText xml:space="preserve"> PAGEREF _Toc53564746 \h </w:instrText>
            </w:r>
            <w:r w:rsidR="00507230">
              <w:rPr>
                <w:webHidden/>
              </w:rPr>
            </w:r>
            <w:r w:rsidR="00507230">
              <w:rPr>
                <w:webHidden/>
              </w:rPr>
              <w:fldChar w:fldCharType="separate"/>
            </w:r>
            <w:r w:rsidR="00507230">
              <w:rPr>
                <w:webHidden/>
              </w:rPr>
              <w:t>32</w:t>
            </w:r>
            <w:r w:rsidR="00507230">
              <w:rPr>
                <w:webHidden/>
              </w:rPr>
              <w:fldChar w:fldCharType="end"/>
            </w:r>
          </w:hyperlink>
        </w:p>
        <w:p w14:paraId="3FB2B6B0" w14:textId="2C98FB51" w:rsidR="00507230" w:rsidRDefault="00854156">
          <w:pPr>
            <w:pStyle w:val="TOC2"/>
            <w:rPr>
              <w:rFonts w:eastAsiaTheme="minorEastAsia"/>
              <w:szCs w:val="22"/>
              <w:lang w:eastAsia="en-AU"/>
            </w:rPr>
          </w:pPr>
          <w:hyperlink w:anchor="_Toc53564747" w:history="1">
            <w:r w:rsidR="00507230" w:rsidRPr="00C80E1C">
              <w:rPr>
                <w:rStyle w:val="Hyperlink"/>
                <w:rFonts w:eastAsia="Times New Roman"/>
                <w:spacing w:val="-6"/>
              </w:rPr>
              <w:t>8.3</w:t>
            </w:r>
            <w:r w:rsidR="00507230">
              <w:rPr>
                <w:rFonts w:eastAsiaTheme="minorEastAsia"/>
                <w:szCs w:val="22"/>
                <w:lang w:eastAsia="en-AU"/>
              </w:rPr>
              <w:tab/>
            </w:r>
            <w:r w:rsidR="00507230" w:rsidRPr="00C80E1C">
              <w:rPr>
                <w:rStyle w:val="Hyperlink"/>
                <w:rFonts w:eastAsia="Times New Roman"/>
              </w:rPr>
              <w:t>Resource statement sections</w:t>
            </w:r>
            <w:r w:rsidR="00507230">
              <w:rPr>
                <w:webHidden/>
              </w:rPr>
              <w:tab/>
            </w:r>
            <w:r w:rsidR="00507230">
              <w:rPr>
                <w:webHidden/>
              </w:rPr>
              <w:fldChar w:fldCharType="begin"/>
            </w:r>
            <w:r w:rsidR="00507230">
              <w:rPr>
                <w:webHidden/>
              </w:rPr>
              <w:instrText xml:space="preserve"> PAGEREF _Toc53564747 \h </w:instrText>
            </w:r>
            <w:r w:rsidR="00507230">
              <w:rPr>
                <w:webHidden/>
              </w:rPr>
            </w:r>
            <w:r w:rsidR="00507230">
              <w:rPr>
                <w:webHidden/>
              </w:rPr>
              <w:fldChar w:fldCharType="separate"/>
            </w:r>
            <w:r w:rsidR="00507230">
              <w:rPr>
                <w:webHidden/>
              </w:rPr>
              <w:t>33</w:t>
            </w:r>
            <w:r w:rsidR="00507230">
              <w:rPr>
                <w:webHidden/>
              </w:rPr>
              <w:fldChar w:fldCharType="end"/>
            </w:r>
          </w:hyperlink>
        </w:p>
        <w:p w14:paraId="46175AB3" w14:textId="7D4BE5A7" w:rsidR="00507230" w:rsidRDefault="00854156">
          <w:pPr>
            <w:pStyle w:val="TOC1"/>
            <w:rPr>
              <w:rFonts w:eastAsiaTheme="minorEastAsia"/>
              <w:b w:val="0"/>
              <w:sz w:val="22"/>
              <w:szCs w:val="22"/>
              <w:lang w:eastAsia="en-AU"/>
            </w:rPr>
          </w:pPr>
          <w:hyperlink w:anchor="_Toc53564748" w:history="1">
            <w:r w:rsidR="00507230" w:rsidRPr="00C80E1C">
              <w:rPr>
                <w:rStyle w:val="Hyperlink"/>
                <w:rFonts w:eastAsia="Times New Roman"/>
                <w:spacing w:val="-6"/>
              </w:rPr>
              <w:t>9.</w:t>
            </w:r>
            <w:r w:rsidR="00507230">
              <w:rPr>
                <w:rFonts w:eastAsiaTheme="minorEastAsia"/>
                <w:b w:val="0"/>
                <w:sz w:val="22"/>
                <w:szCs w:val="22"/>
                <w:lang w:eastAsia="en-AU"/>
              </w:rPr>
              <w:tab/>
            </w:r>
            <w:r w:rsidR="00507230" w:rsidRPr="00C80E1C">
              <w:rPr>
                <w:rStyle w:val="Hyperlink"/>
                <w:rFonts w:eastAsia="Times New Roman"/>
              </w:rPr>
              <w:t>Budget measures</w:t>
            </w:r>
            <w:r w:rsidR="00507230">
              <w:rPr>
                <w:webHidden/>
              </w:rPr>
              <w:tab/>
            </w:r>
            <w:r w:rsidR="00507230">
              <w:rPr>
                <w:webHidden/>
              </w:rPr>
              <w:fldChar w:fldCharType="begin"/>
            </w:r>
            <w:r w:rsidR="00507230">
              <w:rPr>
                <w:webHidden/>
              </w:rPr>
              <w:instrText xml:space="preserve"> PAGEREF _Toc53564748 \h </w:instrText>
            </w:r>
            <w:r w:rsidR="00507230">
              <w:rPr>
                <w:webHidden/>
              </w:rPr>
            </w:r>
            <w:r w:rsidR="00507230">
              <w:rPr>
                <w:webHidden/>
              </w:rPr>
              <w:fldChar w:fldCharType="separate"/>
            </w:r>
            <w:r w:rsidR="00507230">
              <w:rPr>
                <w:webHidden/>
              </w:rPr>
              <w:t>39</w:t>
            </w:r>
            <w:r w:rsidR="00507230">
              <w:rPr>
                <w:webHidden/>
              </w:rPr>
              <w:fldChar w:fldCharType="end"/>
            </w:r>
          </w:hyperlink>
        </w:p>
        <w:p w14:paraId="08FF59ED" w14:textId="2A274030" w:rsidR="00507230" w:rsidRDefault="00854156">
          <w:pPr>
            <w:pStyle w:val="TOC2"/>
            <w:rPr>
              <w:rFonts w:eastAsiaTheme="minorEastAsia"/>
              <w:szCs w:val="22"/>
              <w:lang w:eastAsia="en-AU"/>
            </w:rPr>
          </w:pPr>
          <w:hyperlink w:anchor="_Toc53564749" w:history="1">
            <w:r w:rsidR="00507230" w:rsidRPr="00C80E1C">
              <w:rPr>
                <w:rStyle w:val="Hyperlink"/>
                <w:rFonts w:eastAsia="MS Gothic" w:cs="Times New Roman"/>
              </w:rPr>
              <w:t>9.1</w:t>
            </w:r>
            <w:r w:rsidR="00507230">
              <w:rPr>
                <w:rFonts w:eastAsiaTheme="minorEastAsia"/>
                <w:szCs w:val="22"/>
                <w:lang w:eastAsia="en-AU"/>
              </w:rPr>
              <w:tab/>
            </w:r>
            <w:r w:rsidR="00507230" w:rsidRPr="00C80E1C">
              <w:rPr>
                <w:rStyle w:val="Hyperlink"/>
                <w:rFonts w:eastAsia="MS Gothic" w:cs="Times New Roman"/>
              </w:rPr>
              <w:t>Measure reversals</w:t>
            </w:r>
            <w:r w:rsidR="00507230">
              <w:rPr>
                <w:webHidden/>
              </w:rPr>
              <w:tab/>
            </w:r>
            <w:r w:rsidR="00507230">
              <w:rPr>
                <w:webHidden/>
              </w:rPr>
              <w:fldChar w:fldCharType="begin"/>
            </w:r>
            <w:r w:rsidR="00507230">
              <w:rPr>
                <w:webHidden/>
              </w:rPr>
              <w:instrText xml:space="preserve"> PAGEREF _Toc53564749 \h </w:instrText>
            </w:r>
            <w:r w:rsidR="00507230">
              <w:rPr>
                <w:webHidden/>
              </w:rPr>
            </w:r>
            <w:r w:rsidR="00507230">
              <w:rPr>
                <w:webHidden/>
              </w:rPr>
              <w:fldChar w:fldCharType="separate"/>
            </w:r>
            <w:r w:rsidR="00507230">
              <w:rPr>
                <w:webHidden/>
              </w:rPr>
              <w:t>40</w:t>
            </w:r>
            <w:r w:rsidR="00507230">
              <w:rPr>
                <w:webHidden/>
              </w:rPr>
              <w:fldChar w:fldCharType="end"/>
            </w:r>
          </w:hyperlink>
        </w:p>
        <w:p w14:paraId="472984DB" w14:textId="14E49792" w:rsidR="00507230" w:rsidRDefault="00854156">
          <w:pPr>
            <w:pStyle w:val="TOC2"/>
            <w:rPr>
              <w:rFonts w:eastAsiaTheme="minorEastAsia"/>
              <w:szCs w:val="22"/>
              <w:lang w:eastAsia="en-AU"/>
            </w:rPr>
          </w:pPr>
          <w:hyperlink w:anchor="_Toc53564750" w:history="1">
            <w:r w:rsidR="00507230" w:rsidRPr="00C80E1C">
              <w:rPr>
                <w:rStyle w:val="Hyperlink"/>
              </w:rPr>
              <w:t>9.2</w:t>
            </w:r>
            <w:r w:rsidR="00507230">
              <w:rPr>
                <w:rFonts w:eastAsiaTheme="minorEastAsia"/>
                <w:szCs w:val="22"/>
                <w:lang w:eastAsia="en-AU"/>
              </w:rPr>
              <w:tab/>
            </w:r>
            <w:r w:rsidR="00507230" w:rsidRPr="00C80E1C">
              <w:rPr>
                <w:rStyle w:val="Hyperlink"/>
              </w:rPr>
              <w:t>Decisions taken but not yet announced</w:t>
            </w:r>
            <w:r w:rsidR="00507230">
              <w:rPr>
                <w:webHidden/>
              </w:rPr>
              <w:tab/>
            </w:r>
            <w:r w:rsidR="00507230">
              <w:rPr>
                <w:webHidden/>
              </w:rPr>
              <w:fldChar w:fldCharType="begin"/>
            </w:r>
            <w:r w:rsidR="00507230">
              <w:rPr>
                <w:webHidden/>
              </w:rPr>
              <w:instrText xml:space="preserve"> PAGEREF _Toc53564750 \h </w:instrText>
            </w:r>
            <w:r w:rsidR="00507230">
              <w:rPr>
                <w:webHidden/>
              </w:rPr>
            </w:r>
            <w:r w:rsidR="00507230">
              <w:rPr>
                <w:webHidden/>
              </w:rPr>
              <w:fldChar w:fldCharType="separate"/>
            </w:r>
            <w:r w:rsidR="00507230">
              <w:rPr>
                <w:webHidden/>
              </w:rPr>
              <w:t>41</w:t>
            </w:r>
            <w:r w:rsidR="00507230">
              <w:rPr>
                <w:webHidden/>
              </w:rPr>
              <w:fldChar w:fldCharType="end"/>
            </w:r>
          </w:hyperlink>
        </w:p>
        <w:p w14:paraId="1EDAA266" w14:textId="3CC820D0" w:rsidR="00507230" w:rsidRDefault="00854156">
          <w:pPr>
            <w:pStyle w:val="TOC2"/>
            <w:rPr>
              <w:rFonts w:eastAsiaTheme="minorEastAsia"/>
              <w:szCs w:val="22"/>
              <w:lang w:eastAsia="en-AU"/>
            </w:rPr>
          </w:pPr>
          <w:hyperlink w:anchor="_Toc53564751" w:history="1">
            <w:r w:rsidR="00507230" w:rsidRPr="00C80E1C">
              <w:rPr>
                <w:rStyle w:val="Hyperlink"/>
              </w:rPr>
              <w:t>9.3</w:t>
            </w:r>
            <w:r w:rsidR="00507230">
              <w:rPr>
                <w:rFonts w:eastAsiaTheme="minorEastAsia"/>
                <w:szCs w:val="22"/>
                <w:lang w:eastAsia="en-AU"/>
              </w:rPr>
              <w:tab/>
            </w:r>
            <w:r w:rsidR="00507230" w:rsidRPr="00C80E1C">
              <w:rPr>
                <w:rStyle w:val="Hyperlink"/>
              </w:rPr>
              <w:t>Measures with indicative costs</w:t>
            </w:r>
            <w:r w:rsidR="00507230">
              <w:rPr>
                <w:webHidden/>
              </w:rPr>
              <w:tab/>
            </w:r>
            <w:r w:rsidR="00507230">
              <w:rPr>
                <w:webHidden/>
              </w:rPr>
              <w:fldChar w:fldCharType="begin"/>
            </w:r>
            <w:r w:rsidR="00507230">
              <w:rPr>
                <w:webHidden/>
              </w:rPr>
              <w:instrText xml:space="preserve"> PAGEREF _Toc53564751 \h </w:instrText>
            </w:r>
            <w:r w:rsidR="00507230">
              <w:rPr>
                <w:webHidden/>
              </w:rPr>
            </w:r>
            <w:r w:rsidR="00507230">
              <w:rPr>
                <w:webHidden/>
              </w:rPr>
              <w:fldChar w:fldCharType="separate"/>
            </w:r>
            <w:r w:rsidR="00507230">
              <w:rPr>
                <w:webHidden/>
              </w:rPr>
              <w:t>41</w:t>
            </w:r>
            <w:r w:rsidR="00507230">
              <w:rPr>
                <w:webHidden/>
              </w:rPr>
              <w:fldChar w:fldCharType="end"/>
            </w:r>
          </w:hyperlink>
        </w:p>
        <w:p w14:paraId="4494D88E" w14:textId="37397EC4" w:rsidR="00507230" w:rsidRDefault="00854156">
          <w:pPr>
            <w:pStyle w:val="TOC2"/>
            <w:rPr>
              <w:rFonts w:eastAsiaTheme="minorEastAsia"/>
              <w:szCs w:val="22"/>
              <w:lang w:eastAsia="en-AU"/>
            </w:rPr>
          </w:pPr>
          <w:hyperlink w:anchor="_Toc53564752" w:history="1">
            <w:r w:rsidR="00507230" w:rsidRPr="00C80E1C">
              <w:rPr>
                <w:rStyle w:val="Hyperlink"/>
              </w:rPr>
              <w:t>9.4</w:t>
            </w:r>
            <w:r w:rsidR="00507230">
              <w:rPr>
                <w:rFonts w:eastAsiaTheme="minorEastAsia"/>
                <w:szCs w:val="22"/>
                <w:lang w:eastAsia="en-AU"/>
              </w:rPr>
              <w:tab/>
            </w:r>
            <w:r w:rsidR="00507230" w:rsidRPr="00C80E1C">
              <w:rPr>
                <w:rStyle w:val="Hyperlink"/>
              </w:rPr>
              <w:t>Machinery of government changes</w:t>
            </w:r>
            <w:r w:rsidR="00507230">
              <w:rPr>
                <w:webHidden/>
              </w:rPr>
              <w:tab/>
            </w:r>
            <w:r w:rsidR="00507230">
              <w:rPr>
                <w:webHidden/>
              </w:rPr>
              <w:fldChar w:fldCharType="begin"/>
            </w:r>
            <w:r w:rsidR="00507230">
              <w:rPr>
                <w:webHidden/>
              </w:rPr>
              <w:instrText xml:space="preserve"> PAGEREF _Toc53564752 \h </w:instrText>
            </w:r>
            <w:r w:rsidR="00507230">
              <w:rPr>
                <w:webHidden/>
              </w:rPr>
            </w:r>
            <w:r w:rsidR="00507230">
              <w:rPr>
                <w:webHidden/>
              </w:rPr>
              <w:fldChar w:fldCharType="separate"/>
            </w:r>
            <w:r w:rsidR="00507230">
              <w:rPr>
                <w:webHidden/>
              </w:rPr>
              <w:t>42</w:t>
            </w:r>
            <w:r w:rsidR="00507230">
              <w:rPr>
                <w:webHidden/>
              </w:rPr>
              <w:fldChar w:fldCharType="end"/>
            </w:r>
          </w:hyperlink>
        </w:p>
        <w:p w14:paraId="1D448D97" w14:textId="2DC58901" w:rsidR="00507230" w:rsidRDefault="00854156">
          <w:pPr>
            <w:pStyle w:val="TOC1"/>
            <w:rPr>
              <w:rFonts w:eastAsiaTheme="minorEastAsia"/>
              <w:b w:val="0"/>
              <w:sz w:val="22"/>
              <w:szCs w:val="22"/>
              <w:lang w:eastAsia="en-AU"/>
            </w:rPr>
          </w:pPr>
          <w:hyperlink w:anchor="_Toc53564753" w:history="1">
            <w:r w:rsidR="00507230" w:rsidRPr="00C80E1C">
              <w:rPr>
                <w:rStyle w:val="Hyperlink"/>
              </w:rPr>
              <w:t>10.</w:t>
            </w:r>
            <w:r w:rsidR="00507230">
              <w:rPr>
                <w:rFonts w:eastAsiaTheme="minorEastAsia"/>
                <w:b w:val="0"/>
                <w:sz w:val="22"/>
                <w:szCs w:val="22"/>
                <w:lang w:eastAsia="en-AU"/>
              </w:rPr>
              <w:tab/>
            </w:r>
            <w:r w:rsidR="00507230" w:rsidRPr="00C80E1C">
              <w:rPr>
                <w:rStyle w:val="Hyperlink"/>
              </w:rPr>
              <w:t>Outcomes and planned performance</w:t>
            </w:r>
            <w:r w:rsidR="00507230">
              <w:rPr>
                <w:webHidden/>
              </w:rPr>
              <w:tab/>
            </w:r>
            <w:r w:rsidR="00507230">
              <w:rPr>
                <w:webHidden/>
              </w:rPr>
              <w:fldChar w:fldCharType="begin"/>
            </w:r>
            <w:r w:rsidR="00507230">
              <w:rPr>
                <w:webHidden/>
              </w:rPr>
              <w:instrText xml:space="preserve"> PAGEREF _Toc53564753 \h </w:instrText>
            </w:r>
            <w:r w:rsidR="00507230">
              <w:rPr>
                <w:webHidden/>
              </w:rPr>
            </w:r>
            <w:r w:rsidR="00507230">
              <w:rPr>
                <w:webHidden/>
              </w:rPr>
              <w:fldChar w:fldCharType="separate"/>
            </w:r>
            <w:r w:rsidR="00507230">
              <w:rPr>
                <w:webHidden/>
              </w:rPr>
              <w:t>43</w:t>
            </w:r>
            <w:r w:rsidR="00507230">
              <w:rPr>
                <w:webHidden/>
              </w:rPr>
              <w:fldChar w:fldCharType="end"/>
            </w:r>
          </w:hyperlink>
        </w:p>
        <w:p w14:paraId="69F890B3" w14:textId="0F2FF7DD" w:rsidR="00507230" w:rsidRDefault="00854156">
          <w:pPr>
            <w:pStyle w:val="TOC2"/>
            <w:rPr>
              <w:rFonts w:eastAsiaTheme="minorEastAsia"/>
              <w:szCs w:val="22"/>
              <w:lang w:eastAsia="en-AU"/>
            </w:rPr>
          </w:pPr>
          <w:hyperlink w:anchor="_Toc53564754" w:history="1">
            <w:r w:rsidR="00507230" w:rsidRPr="00C80E1C">
              <w:rPr>
                <w:rStyle w:val="Hyperlink"/>
                <w:rFonts w:eastAsia="Cambria" w:cs="Times New Roman"/>
              </w:rPr>
              <w:t>10.1</w:t>
            </w:r>
            <w:r w:rsidR="00507230">
              <w:rPr>
                <w:rFonts w:eastAsiaTheme="minorEastAsia"/>
                <w:szCs w:val="22"/>
                <w:lang w:eastAsia="en-AU"/>
              </w:rPr>
              <w:tab/>
            </w:r>
            <w:r w:rsidR="00507230" w:rsidRPr="00C80E1C">
              <w:rPr>
                <w:rStyle w:val="Hyperlink"/>
                <w:rFonts w:eastAsia="Cambria" w:cs="Times New Roman"/>
              </w:rPr>
              <w:t>Finance Secretary Direction</w:t>
            </w:r>
            <w:r w:rsidR="00507230">
              <w:rPr>
                <w:webHidden/>
              </w:rPr>
              <w:tab/>
            </w:r>
            <w:r w:rsidR="00507230">
              <w:rPr>
                <w:webHidden/>
              </w:rPr>
              <w:fldChar w:fldCharType="begin"/>
            </w:r>
            <w:r w:rsidR="00507230">
              <w:rPr>
                <w:webHidden/>
              </w:rPr>
              <w:instrText xml:space="preserve"> PAGEREF _Toc53564754 \h </w:instrText>
            </w:r>
            <w:r w:rsidR="00507230">
              <w:rPr>
                <w:webHidden/>
              </w:rPr>
            </w:r>
            <w:r w:rsidR="00507230">
              <w:rPr>
                <w:webHidden/>
              </w:rPr>
              <w:fldChar w:fldCharType="separate"/>
            </w:r>
            <w:r w:rsidR="00507230">
              <w:rPr>
                <w:webHidden/>
              </w:rPr>
              <w:t>43</w:t>
            </w:r>
            <w:r w:rsidR="00507230">
              <w:rPr>
                <w:webHidden/>
              </w:rPr>
              <w:fldChar w:fldCharType="end"/>
            </w:r>
          </w:hyperlink>
        </w:p>
        <w:p w14:paraId="7FD421BA" w14:textId="4DFC1C16" w:rsidR="00507230" w:rsidRDefault="00854156">
          <w:pPr>
            <w:pStyle w:val="TOC2"/>
            <w:rPr>
              <w:rFonts w:eastAsiaTheme="minorEastAsia"/>
              <w:szCs w:val="22"/>
              <w:lang w:eastAsia="en-AU"/>
            </w:rPr>
          </w:pPr>
          <w:hyperlink w:anchor="_Toc53564755" w:history="1">
            <w:r w:rsidR="00507230" w:rsidRPr="00C80E1C">
              <w:rPr>
                <w:rStyle w:val="Hyperlink"/>
                <w:rFonts w:eastAsia="Times New Roman"/>
                <w:spacing w:val="-6"/>
              </w:rPr>
              <w:t>10.2</w:t>
            </w:r>
            <w:r w:rsidR="00507230">
              <w:rPr>
                <w:rFonts w:eastAsiaTheme="minorEastAsia"/>
                <w:szCs w:val="22"/>
                <w:lang w:eastAsia="en-AU"/>
              </w:rPr>
              <w:tab/>
            </w:r>
            <w:r w:rsidR="00507230" w:rsidRPr="00C80E1C">
              <w:rPr>
                <w:rStyle w:val="Hyperlink"/>
                <w:rFonts w:eastAsia="Times New Roman"/>
              </w:rPr>
              <w:t>Structure of section 2</w:t>
            </w:r>
            <w:r w:rsidR="00507230">
              <w:rPr>
                <w:webHidden/>
              </w:rPr>
              <w:tab/>
            </w:r>
            <w:r w:rsidR="00507230">
              <w:rPr>
                <w:webHidden/>
              </w:rPr>
              <w:fldChar w:fldCharType="begin"/>
            </w:r>
            <w:r w:rsidR="00507230">
              <w:rPr>
                <w:webHidden/>
              </w:rPr>
              <w:instrText xml:space="preserve"> PAGEREF _Toc53564755 \h </w:instrText>
            </w:r>
            <w:r w:rsidR="00507230">
              <w:rPr>
                <w:webHidden/>
              </w:rPr>
            </w:r>
            <w:r w:rsidR="00507230">
              <w:rPr>
                <w:webHidden/>
              </w:rPr>
              <w:fldChar w:fldCharType="separate"/>
            </w:r>
            <w:r w:rsidR="00507230">
              <w:rPr>
                <w:webHidden/>
              </w:rPr>
              <w:t>44</w:t>
            </w:r>
            <w:r w:rsidR="00507230">
              <w:rPr>
                <w:webHidden/>
              </w:rPr>
              <w:fldChar w:fldCharType="end"/>
            </w:r>
          </w:hyperlink>
        </w:p>
        <w:p w14:paraId="081EE2B2" w14:textId="0AB49100" w:rsidR="00507230" w:rsidRDefault="00854156">
          <w:pPr>
            <w:pStyle w:val="TOC2"/>
            <w:rPr>
              <w:rFonts w:eastAsiaTheme="minorEastAsia"/>
              <w:szCs w:val="22"/>
              <w:lang w:eastAsia="en-AU"/>
            </w:rPr>
          </w:pPr>
          <w:hyperlink w:anchor="_Toc53564756" w:history="1">
            <w:r w:rsidR="00507230" w:rsidRPr="00C80E1C">
              <w:rPr>
                <w:rStyle w:val="Hyperlink"/>
                <w:rFonts w:eastAsia="Times New Roman"/>
                <w:spacing w:val="-6"/>
              </w:rPr>
              <w:t>10.3</w:t>
            </w:r>
            <w:r w:rsidR="00507230">
              <w:rPr>
                <w:rFonts w:eastAsiaTheme="minorEastAsia"/>
                <w:szCs w:val="22"/>
                <w:lang w:eastAsia="en-AU"/>
              </w:rPr>
              <w:tab/>
            </w:r>
            <w:r w:rsidR="00507230" w:rsidRPr="00C80E1C">
              <w:rPr>
                <w:rStyle w:val="Hyperlink"/>
                <w:rFonts w:eastAsia="Times New Roman"/>
              </w:rPr>
              <w:t>Outcome statements</w:t>
            </w:r>
            <w:r w:rsidR="00507230">
              <w:rPr>
                <w:webHidden/>
              </w:rPr>
              <w:tab/>
            </w:r>
            <w:r w:rsidR="00507230">
              <w:rPr>
                <w:webHidden/>
              </w:rPr>
              <w:fldChar w:fldCharType="begin"/>
            </w:r>
            <w:r w:rsidR="00507230">
              <w:rPr>
                <w:webHidden/>
              </w:rPr>
              <w:instrText xml:space="preserve"> PAGEREF _Toc53564756 \h </w:instrText>
            </w:r>
            <w:r w:rsidR="00507230">
              <w:rPr>
                <w:webHidden/>
              </w:rPr>
            </w:r>
            <w:r w:rsidR="00507230">
              <w:rPr>
                <w:webHidden/>
              </w:rPr>
              <w:fldChar w:fldCharType="separate"/>
            </w:r>
            <w:r w:rsidR="00507230">
              <w:rPr>
                <w:webHidden/>
              </w:rPr>
              <w:t>45</w:t>
            </w:r>
            <w:r w:rsidR="00507230">
              <w:rPr>
                <w:webHidden/>
              </w:rPr>
              <w:fldChar w:fldCharType="end"/>
            </w:r>
          </w:hyperlink>
        </w:p>
        <w:p w14:paraId="23EB7F89" w14:textId="63F9689E" w:rsidR="00507230" w:rsidRDefault="00854156">
          <w:pPr>
            <w:pStyle w:val="TOC2"/>
            <w:rPr>
              <w:rFonts w:eastAsiaTheme="minorEastAsia"/>
              <w:szCs w:val="22"/>
              <w:lang w:eastAsia="en-AU"/>
            </w:rPr>
          </w:pPr>
          <w:hyperlink w:anchor="_Toc53564757" w:history="1">
            <w:r w:rsidR="00507230" w:rsidRPr="00C80E1C">
              <w:rPr>
                <w:rStyle w:val="Hyperlink"/>
                <w:rFonts w:eastAsia="Times New Roman"/>
                <w:spacing w:val="-6"/>
              </w:rPr>
              <w:t>10.4</w:t>
            </w:r>
            <w:r w:rsidR="00507230">
              <w:rPr>
                <w:rFonts w:eastAsiaTheme="minorEastAsia"/>
                <w:szCs w:val="22"/>
                <w:lang w:eastAsia="en-AU"/>
              </w:rPr>
              <w:tab/>
            </w:r>
            <w:r w:rsidR="00507230" w:rsidRPr="00C80E1C">
              <w:rPr>
                <w:rStyle w:val="Hyperlink"/>
                <w:rFonts w:eastAsia="Times New Roman"/>
              </w:rPr>
              <w:t>Linked programs box</w:t>
            </w:r>
            <w:r w:rsidR="00507230">
              <w:rPr>
                <w:webHidden/>
              </w:rPr>
              <w:tab/>
            </w:r>
            <w:r w:rsidR="00507230">
              <w:rPr>
                <w:webHidden/>
              </w:rPr>
              <w:fldChar w:fldCharType="begin"/>
            </w:r>
            <w:r w:rsidR="00507230">
              <w:rPr>
                <w:webHidden/>
              </w:rPr>
              <w:instrText xml:space="preserve"> PAGEREF _Toc53564757 \h </w:instrText>
            </w:r>
            <w:r w:rsidR="00507230">
              <w:rPr>
                <w:webHidden/>
              </w:rPr>
            </w:r>
            <w:r w:rsidR="00507230">
              <w:rPr>
                <w:webHidden/>
              </w:rPr>
              <w:fldChar w:fldCharType="separate"/>
            </w:r>
            <w:r w:rsidR="00507230">
              <w:rPr>
                <w:webHidden/>
              </w:rPr>
              <w:t>46</w:t>
            </w:r>
            <w:r w:rsidR="00507230">
              <w:rPr>
                <w:webHidden/>
              </w:rPr>
              <w:fldChar w:fldCharType="end"/>
            </w:r>
          </w:hyperlink>
        </w:p>
        <w:p w14:paraId="1C887F71" w14:textId="4AC51D83" w:rsidR="00507230" w:rsidRDefault="00854156">
          <w:pPr>
            <w:pStyle w:val="TOC2"/>
            <w:rPr>
              <w:rFonts w:eastAsiaTheme="minorEastAsia"/>
              <w:szCs w:val="22"/>
              <w:lang w:eastAsia="en-AU"/>
            </w:rPr>
          </w:pPr>
          <w:hyperlink w:anchor="_Toc53564758" w:history="1">
            <w:r w:rsidR="00507230" w:rsidRPr="00C80E1C">
              <w:rPr>
                <w:rStyle w:val="Hyperlink"/>
                <w:rFonts w:eastAsia="Times New Roman"/>
                <w:spacing w:val="-6"/>
              </w:rPr>
              <w:t>10.5</w:t>
            </w:r>
            <w:r w:rsidR="00507230">
              <w:rPr>
                <w:rFonts w:eastAsiaTheme="minorEastAsia"/>
                <w:szCs w:val="22"/>
                <w:lang w:eastAsia="en-AU"/>
              </w:rPr>
              <w:tab/>
            </w:r>
            <w:r w:rsidR="00507230" w:rsidRPr="00C80E1C">
              <w:rPr>
                <w:rStyle w:val="Hyperlink"/>
                <w:rFonts w:eastAsia="Times New Roman"/>
              </w:rPr>
              <w:t>Budgeted expenses by outcome table</w:t>
            </w:r>
            <w:r w:rsidR="00507230">
              <w:rPr>
                <w:webHidden/>
              </w:rPr>
              <w:tab/>
            </w:r>
            <w:r w:rsidR="00507230">
              <w:rPr>
                <w:webHidden/>
              </w:rPr>
              <w:fldChar w:fldCharType="begin"/>
            </w:r>
            <w:r w:rsidR="00507230">
              <w:rPr>
                <w:webHidden/>
              </w:rPr>
              <w:instrText xml:space="preserve"> PAGEREF _Toc53564758 \h </w:instrText>
            </w:r>
            <w:r w:rsidR="00507230">
              <w:rPr>
                <w:webHidden/>
              </w:rPr>
            </w:r>
            <w:r w:rsidR="00507230">
              <w:rPr>
                <w:webHidden/>
              </w:rPr>
              <w:fldChar w:fldCharType="separate"/>
            </w:r>
            <w:r w:rsidR="00507230">
              <w:rPr>
                <w:webHidden/>
              </w:rPr>
              <w:t>48</w:t>
            </w:r>
            <w:r w:rsidR="00507230">
              <w:rPr>
                <w:webHidden/>
              </w:rPr>
              <w:fldChar w:fldCharType="end"/>
            </w:r>
          </w:hyperlink>
        </w:p>
        <w:p w14:paraId="3B8DCF45" w14:textId="3E05C1D0" w:rsidR="00507230" w:rsidRDefault="00854156">
          <w:pPr>
            <w:pStyle w:val="TOC3"/>
            <w:rPr>
              <w:rFonts w:eastAsiaTheme="minorEastAsia"/>
              <w:szCs w:val="22"/>
              <w:lang w:eastAsia="en-AU"/>
            </w:rPr>
          </w:pPr>
          <w:hyperlink w:anchor="_Toc53564759" w:history="1">
            <w:r w:rsidR="00507230" w:rsidRPr="00C80E1C">
              <w:rPr>
                <w:rStyle w:val="Hyperlink"/>
              </w:rPr>
              <w:t>10.5.1</w:t>
            </w:r>
            <w:r w:rsidR="00507230">
              <w:rPr>
                <w:rFonts w:eastAsiaTheme="minorEastAsia"/>
                <w:szCs w:val="22"/>
                <w:lang w:eastAsia="en-AU"/>
              </w:rPr>
              <w:tab/>
            </w:r>
            <w:r w:rsidR="00507230" w:rsidRPr="00C80E1C">
              <w:rPr>
                <w:rStyle w:val="Hyperlink"/>
              </w:rPr>
              <w:t>Minimum reporting requirements</w:t>
            </w:r>
            <w:r w:rsidR="00507230">
              <w:rPr>
                <w:webHidden/>
              </w:rPr>
              <w:tab/>
            </w:r>
            <w:r w:rsidR="00507230">
              <w:rPr>
                <w:webHidden/>
              </w:rPr>
              <w:fldChar w:fldCharType="begin"/>
            </w:r>
            <w:r w:rsidR="00507230">
              <w:rPr>
                <w:webHidden/>
              </w:rPr>
              <w:instrText xml:space="preserve"> PAGEREF _Toc53564759 \h </w:instrText>
            </w:r>
            <w:r w:rsidR="00507230">
              <w:rPr>
                <w:webHidden/>
              </w:rPr>
            </w:r>
            <w:r w:rsidR="00507230">
              <w:rPr>
                <w:webHidden/>
              </w:rPr>
              <w:fldChar w:fldCharType="separate"/>
            </w:r>
            <w:r w:rsidR="00507230">
              <w:rPr>
                <w:webHidden/>
              </w:rPr>
              <w:t>48</w:t>
            </w:r>
            <w:r w:rsidR="00507230">
              <w:rPr>
                <w:webHidden/>
              </w:rPr>
              <w:fldChar w:fldCharType="end"/>
            </w:r>
          </w:hyperlink>
        </w:p>
        <w:p w14:paraId="4A554CE7" w14:textId="7D84FA1E" w:rsidR="00507230" w:rsidRDefault="00854156">
          <w:pPr>
            <w:pStyle w:val="TOC3"/>
            <w:rPr>
              <w:rFonts w:eastAsiaTheme="minorEastAsia"/>
              <w:szCs w:val="22"/>
              <w:lang w:eastAsia="en-AU"/>
            </w:rPr>
          </w:pPr>
          <w:hyperlink w:anchor="_Toc53564760" w:history="1">
            <w:r w:rsidR="00507230" w:rsidRPr="00C80E1C">
              <w:rPr>
                <w:rStyle w:val="Hyperlink"/>
                <w:rFonts w:eastAsia="MS Gothic" w:cs="Times New Roman"/>
              </w:rPr>
              <w:t>10.5.2</w:t>
            </w:r>
            <w:r w:rsidR="00507230">
              <w:rPr>
                <w:rFonts w:eastAsiaTheme="minorEastAsia"/>
                <w:szCs w:val="22"/>
                <w:lang w:eastAsia="en-AU"/>
              </w:rPr>
              <w:tab/>
            </w:r>
            <w:r w:rsidR="00507230" w:rsidRPr="00C80E1C">
              <w:rPr>
                <w:rStyle w:val="Hyperlink"/>
                <w:rFonts w:eastAsia="MS Gothic" w:cs="Times New Roman"/>
              </w:rPr>
              <w:t>Interest and depreciation of Right-of-Use assets reported as part of departmental appropriation expenses</w:t>
            </w:r>
            <w:r w:rsidR="00507230">
              <w:rPr>
                <w:webHidden/>
              </w:rPr>
              <w:tab/>
            </w:r>
            <w:r w:rsidR="00507230">
              <w:rPr>
                <w:webHidden/>
              </w:rPr>
              <w:fldChar w:fldCharType="begin"/>
            </w:r>
            <w:r w:rsidR="00507230">
              <w:rPr>
                <w:webHidden/>
              </w:rPr>
              <w:instrText xml:space="preserve"> PAGEREF _Toc53564760 \h </w:instrText>
            </w:r>
            <w:r w:rsidR="00507230">
              <w:rPr>
                <w:webHidden/>
              </w:rPr>
            </w:r>
            <w:r w:rsidR="00507230">
              <w:rPr>
                <w:webHidden/>
              </w:rPr>
              <w:fldChar w:fldCharType="separate"/>
            </w:r>
            <w:r w:rsidR="00507230">
              <w:rPr>
                <w:webHidden/>
              </w:rPr>
              <w:t>50</w:t>
            </w:r>
            <w:r w:rsidR="00507230">
              <w:rPr>
                <w:webHidden/>
              </w:rPr>
              <w:fldChar w:fldCharType="end"/>
            </w:r>
          </w:hyperlink>
        </w:p>
        <w:p w14:paraId="457414A8" w14:textId="07A55600" w:rsidR="00507230" w:rsidRDefault="00854156">
          <w:pPr>
            <w:pStyle w:val="TOC2"/>
            <w:rPr>
              <w:rFonts w:eastAsiaTheme="minorEastAsia"/>
              <w:szCs w:val="22"/>
              <w:lang w:eastAsia="en-AU"/>
            </w:rPr>
          </w:pPr>
          <w:hyperlink w:anchor="_Toc53564761" w:history="1">
            <w:r w:rsidR="00507230" w:rsidRPr="00C80E1C">
              <w:rPr>
                <w:rStyle w:val="Hyperlink"/>
                <w:rFonts w:eastAsia="Times New Roman"/>
                <w:spacing w:val="-6"/>
              </w:rPr>
              <w:t>10.6</w:t>
            </w:r>
            <w:r w:rsidR="00507230">
              <w:rPr>
                <w:rFonts w:eastAsiaTheme="minorEastAsia"/>
                <w:szCs w:val="22"/>
                <w:lang w:eastAsia="en-AU"/>
              </w:rPr>
              <w:tab/>
            </w:r>
            <w:r w:rsidR="00507230" w:rsidRPr="00C80E1C">
              <w:rPr>
                <w:rStyle w:val="Hyperlink"/>
                <w:rFonts w:eastAsia="Times New Roman"/>
              </w:rPr>
              <w:t>Program components</w:t>
            </w:r>
            <w:r w:rsidR="00507230">
              <w:rPr>
                <w:webHidden/>
              </w:rPr>
              <w:tab/>
            </w:r>
            <w:r w:rsidR="00507230">
              <w:rPr>
                <w:webHidden/>
              </w:rPr>
              <w:fldChar w:fldCharType="begin"/>
            </w:r>
            <w:r w:rsidR="00507230">
              <w:rPr>
                <w:webHidden/>
              </w:rPr>
              <w:instrText xml:space="preserve"> PAGEREF _Toc53564761 \h </w:instrText>
            </w:r>
            <w:r w:rsidR="00507230">
              <w:rPr>
                <w:webHidden/>
              </w:rPr>
            </w:r>
            <w:r w:rsidR="00507230">
              <w:rPr>
                <w:webHidden/>
              </w:rPr>
              <w:fldChar w:fldCharType="separate"/>
            </w:r>
            <w:r w:rsidR="00507230">
              <w:rPr>
                <w:webHidden/>
              </w:rPr>
              <w:t>52</w:t>
            </w:r>
            <w:r w:rsidR="00507230">
              <w:rPr>
                <w:webHidden/>
              </w:rPr>
              <w:fldChar w:fldCharType="end"/>
            </w:r>
          </w:hyperlink>
        </w:p>
        <w:p w14:paraId="1149499A" w14:textId="3E9312DB" w:rsidR="00507230" w:rsidRDefault="00854156">
          <w:pPr>
            <w:pStyle w:val="TOC2"/>
            <w:rPr>
              <w:rFonts w:eastAsiaTheme="minorEastAsia"/>
              <w:szCs w:val="22"/>
              <w:lang w:eastAsia="en-AU"/>
            </w:rPr>
          </w:pPr>
          <w:hyperlink w:anchor="_Toc53564762" w:history="1">
            <w:r w:rsidR="00507230" w:rsidRPr="00C80E1C">
              <w:rPr>
                <w:rStyle w:val="Hyperlink"/>
                <w:rFonts w:eastAsia="Times New Roman"/>
                <w:spacing w:val="-6"/>
              </w:rPr>
              <w:t>10.7</w:t>
            </w:r>
            <w:r w:rsidR="00507230">
              <w:rPr>
                <w:rFonts w:eastAsiaTheme="minorEastAsia"/>
                <w:szCs w:val="22"/>
                <w:lang w:eastAsia="en-AU"/>
              </w:rPr>
              <w:tab/>
            </w:r>
            <w:r w:rsidR="00507230" w:rsidRPr="00C80E1C">
              <w:rPr>
                <w:rStyle w:val="Hyperlink"/>
                <w:rFonts w:eastAsia="Times New Roman"/>
              </w:rPr>
              <w:t>Overview of table 2.X.3 – performance information</w:t>
            </w:r>
            <w:r w:rsidR="00507230">
              <w:rPr>
                <w:webHidden/>
              </w:rPr>
              <w:tab/>
            </w:r>
            <w:r w:rsidR="00507230">
              <w:rPr>
                <w:webHidden/>
              </w:rPr>
              <w:fldChar w:fldCharType="begin"/>
            </w:r>
            <w:r w:rsidR="00507230">
              <w:rPr>
                <w:webHidden/>
              </w:rPr>
              <w:instrText xml:space="preserve"> PAGEREF _Toc53564762 \h </w:instrText>
            </w:r>
            <w:r w:rsidR="00507230">
              <w:rPr>
                <w:webHidden/>
              </w:rPr>
            </w:r>
            <w:r w:rsidR="00507230">
              <w:rPr>
                <w:webHidden/>
              </w:rPr>
              <w:fldChar w:fldCharType="separate"/>
            </w:r>
            <w:r w:rsidR="00507230">
              <w:rPr>
                <w:webHidden/>
              </w:rPr>
              <w:t>53</w:t>
            </w:r>
            <w:r w:rsidR="00507230">
              <w:rPr>
                <w:webHidden/>
              </w:rPr>
              <w:fldChar w:fldCharType="end"/>
            </w:r>
          </w:hyperlink>
        </w:p>
        <w:p w14:paraId="439940E2" w14:textId="3A899FF5" w:rsidR="00507230" w:rsidRDefault="00854156">
          <w:pPr>
            <w:pStyle w:val="TOC3"/>
            <w:rPr>
              <w:rFonts w:eastAsiaTheme="minorEastAsia"/>
              <w:szCs w:val="22"/>
              <w:lang w:eastAsia="en-AU"/>
            </w:rPr>
          </w:pPr>
          <w:hyperlink w:anchor="_Toc53564763" w:history="1">
            <w:r w:rsidR="00507230" w:rsidRPr="00C80E1C">
              <w:rPr>
                <w:rStyle w:val="Hyperlink"/>
              </w:rPr>
              <w:t>10.7.1</w:t>
            </w:r>
            <w:r w:rsidR="00507230">
              <w:rPr>
                <w:rFonts w:eastAsiaTheme="minorEastAsia"/>
                <w:szCs w:val="22"/>
                <w:lang w:eastAsia="en-AU"/>
              </w:rPr>
              <w:tab/>
            </w:r>
            <w:r w:rsidR="00507230" w:rsidRPr="00C80E1C">
              <w:rPr>
                <w:rStyle w:val="Hyperlink"/>
              </w:rPr>
              <w:t>Program title and brief description</w:t>
            </w:r>
            <w:r w:rsidR="00507230">
              <w:rPr>
                <w:webHidden/>
              </w:rPr>
              <w:tab/>
            </w:r>
            <w:r w:rsidR="00507230">
              <w:rPr>
                <w:webHidden/>
              </w:rPr>
              <w:fldChar w:fldCharType="begin"/>
            </w:r>
            <w:r w:rsidR="00507230">
              <w:rPr>
                <w:webHidden/>
              </w:rPr>
              <w:instrText xml:space="preserve"> PAGEREF _Toc53564763 \h </w:instrText>
            </w:r>
            <w:r w:rsidR="00507230">
              <w:rPr>
                <w:webHidden/>
              </w:rPr>
            </w:r>
            <w:r w:rsidR="00507230">
              <w:rPr>
                <w:webHidden/>
              </w:rPr>
              <w:fldChar w:fldCharType="separate"/>
            </w:r>
            <w:r w:rsidR="00507230">
              <w:rPr>
                <w:webHidden/>
              </w:rPr>
              <w:t>54</w:t>
            </w:r>
            <w:r w:rsidR="00507230">
              <w:rPr>
                <w:webHidden/>
              </w:rPr>
              <w:fldChar w:fldCharType="end"/>
            </w:r>
          </w:hyperlink>
        </w:p>
        <w:p w14:paraId="695AF0D2" w14:textId="4048E262" w:rsidR="00507230" w:rsidRDefault="00854156">
          <w:pPr>
            <w:pStyle w:val="TOC3"/>
            <w:rPr>
              <w:rFonts w:eastAsiaTheme="minorEastAsia"/>
              <w:szCs w:val="22"/>
              <w:lang w:eastAsia="en-AU"/>
            </w:rPr>
          </w:pPr>
          <w:hyperlink w:anchor="_Toc53564764" w:history="1">
            <w:r w:rsidR="00507230" w:rsidRPr="00C80E1C">
              <w:rPr>
                <w:rStyle w:val="Hyperlink"/>
              </w:rPr>
              <w:t>10.7.2</w:t>
            </w:r>
            <w:r w:rsidR="00507230">
              <w:rPr>
                <w:rFonts w:eastAsiaTheme="minorEastAsia"/>
                <w:szCs w:val="22"/>
                <w:lang w:eastAsia="en-AU"/>
              </w:rPr>
              <w:tab/>
            </w:r>
            <w:r w:rsidR="00507230" w:rsidRPr="00C80E1C">
              <w:rPr>
                <w:rStyle w:val="Hyperlink"/>
              </w:rPr>
              <w:t>Delivery</w:t>
            </w:r>
            <w:r w:rsidR="00507230">
              <w:rPr>
                <w:webHidden/>
              </w:rPr>
              <w:tab/>
            </w:r>
            <w:r w:rsidR="00507230">
              <w:rPr>
                <w:webHidden/>
              </w:rPr>
              <w:fldChar w:fldCharType="begin"/>
            </w:r>
            <w:r w:rsidR="00507230">
              <w:rPr>
                <w:webHidden/>
              </w:rPr>
              <w:instrText xml:space="preserve"> PAGEREF _Toc53564764 \h </w:instrText>
            </w:r>
            <w:r w:rsidR="00507230">
              <w:rPr>
                <w:webHidden/>
              </w:rPr>
            </w:r>
            <w:r w:rsidR="00507230">
              <w:rPr>
                <w:webHidden/>
              </w:rPr>
              <w:fldChar w:fldCharType="separate"/>
            </w:r>
            <w:r w:rsidR="00507230">
              <w:rPr>
                <w:webHidden/>
              </w:rPr>
              <w:t>55</w:t>
            </w:r>
            <w:r w:rsidR="00507230">
              <w:rPr>
                <w:webHidden/>
              </w:rPr>
              <w:fldChar w:fldCharType="end"/>
            </w:r>
          </w:hyperlink>
        </w:p>
        <w:p w14:paraId="60D59682" w14:textId="46C5B296" w:rsidR="00507230" w:rsidRDefault="00854156">
          <w:pPr>
            <w:pStyle w:val="TOC3"/>
            <w:rPr>
              <w:rFonts w:eastAsiaTheme="minorEastAsia"/>
              <w:szCs w:val="22"/>
              <w:lang w:eastAsia="en-AU"/>
            </w:rPr>
          </w:pPr>
          <w:hyperlink w:anchor="_Toc53564765" w:history="1">
            <w:r w:rsidR="00507230" w:rsidRPr="00C80E1C">
              <w:rPr>
                <w:rStyle w:val="Hyperlink"/>
              </w:rPr>
              <w:t>10.7.3</w:t>
            </w:r>
            <w:r w:rsidR="00507230">
              <w:rPr>
                <w:rFonts w:eastAsiaTheme="minorEastAsia"/>
                <w:szCs w:val="22"/>
                <w:lang w:eastAsia="en-AU"/>
              </w:rPr>
              <w:tab/>
            </w:r>
            <w:r w:rsidR="00507230" w:rsidRPr="00C80E1C">
              <w:rPr>
                <w:rStyle w:val="Hyperlink"/>
              </w:rPr>
              <w:t>Performance criteria</w:t>
            </w:r>
            <w:r w:rsidR="00507230">
              <w:rPr>
                <w:webHidden/>
              </w:rPr>
              <w:tab/>
            </w:r>
            <w:r w:rsidR="00507230">
              <w:rPr>
                <w:webHidden/>
              </w:rPr>
              <w:fldChar w:fldCharType="begin"/>
            </w:r>
            <w:r w:rsidR="00507230">
              <w:rPr>
                <w:webHidden/>
              </w:rPr>
              <w:instrText xml:space="preserve"> PAGEREF _Toc53564765 \h </w:instrText>
            </w:r>
            <w:r w:rsidR="00507230">
              <w:rPr>
                <w:webHidden/>
              </w:rPr>
            </w:r>
            <w:r w:rsidR="00507230">
              <w:rPr>
                <w:webHidden/>
              </w:rPr>
              <w:fldChar w:fldCharType="separate"/>
            </w:r>
            <w:r w:rsidR="00507230">
              <w:rPr>
                <w:webHidden/>
              </w:rPr>
              <w:t>57</w:t>
            </w:r>
            <w:r w:rsidR="00507230">
              <w:rPr>
                <w:webHidden/>
              </w:rPr>
              <w:fldChar w:fldCharType="end"/>
            </w:r>
          </w:hyperlink>
        </w:p>
        <w:p w14:paraId="7CFBDA7B" w14:textId="4B78052E" w:rsidR="00507230" w:rsidRDefault="00854156">
          <w:pPr>
            <w:pStyle w:val="TOC3"/>
            <w:rPr>
              <w:rFonts w:eastAsiaTheme="minorEastAsia"/>
              <w:szCs w:val="22"/>
              <w:lang w:eastAsia="en-AU"/>
            </w:rPr>
          </w:pPr>
          <w:hyperlink w:anchor="_Toc53564766" w:history="1">
            <w:r w:rsidR="00507230" w:rsidRPr="00C80E1C">
              <w:rPr>
                <w:rStyle w:val="Hyperlink"/>
              </w:rPr>
              <w:t>10.7.4</w:t>
            </w:r>
            <w:r w:rsidR="00507230">
              <w:rPr>
                <w:rFonts w:eastAsiaTheme="minorEastAsia"/>
                <w:szCs w:val="22"/>
                <w:lang w:eastAsia="en-AU"/>
              </w:rPr>
              <w:tab/>
            </w:r>
            <w:r w:rsidR="00507230" w:rsidRPr="00C80E1C">
              <w:rPr>
                <w:rStyle w:val="Hyperlink"/>
              </w:rPr>
              <w:t>Presentation of new or modified performance criteria</w:t>
            </w:r>
            <w:r w:rsidR="00507230">
              <w:rPr>
                <w:webHidden/>
              </w:rPr>
              <w:tab/>
            </w:r>
            <w:r w:rsidR="00507230">
              <w:rPr>
                <w:webHidden/>
              </w:rPr>
              <w:fldChar w:fldCharType="begin"/>
            </w:r>
            <w:r w:rsidR="00507230">
              <w:rPr>
                <w:webHidden/>
              </w:rPr>
              <w:instrText xml:space="preserve"> PAGEREF _Toc53564766 \h </w:instrText>
            </w:r>
            <w:r w:rsidR="00507230">
              <w:rPr>
                <w:webHidden/>
              </w:rPr>
            </w:r>
            <w:r w:rsidR="00507230">
              <w:rPr>
                <w:webHidden/>
              </w:rPr>
              <w:fldChar w:fldCharType="separate"/>
            </w:r>
            <w:r w:rsidR="00507230">
              <w:rPr>
                <w:webHidden/>
              </w:rPr>
              <w:t>58</w:t>
            </w:r>
            <w:r w:rsidR="00507230">
              <w:rPr>
                <w:webHidden/>
              </w:rPr>
              <w:fldChar w:fldCharType="end"/>
            </w:r>
          </w:hyperlink>
        </w:p>
        <w:p w14:paraId="64F9980B" w14:textId="65091BC1" w:rsidR="00507230" w:rsidRDefault="00854156">
          <w:pPr>
            <w:pStyle w:val="TOC3"/>
            <w:rPr>
              <w:rFonts w:eastAsiaTheme="minorEastAsia"/>
              <w:szCs w:val="22"/>
              <w:lang w:eastAsia="en-AU"/>
            </w:rPr>
          </w:pPr>
          <w:hyperlink w:anchor="_Toc53564767" w:history="1">
            <w:r w:rsidR="00507230" w:rsidRPr="00C80E1C">
              <w:rPr>
                <w:rStyle w:val="Hyperlink"/>
              </w:rPr>
              <w:t>10.7.5</w:t>
            </w:r>
            <w:r w:rsidR="00507230">
              <w:rPr>
                <w:rFonts w:eastAsiaTheme="minorEastAsia"/>
                <w:szCs w:val="22"/>
                <w:lang w:eastAsia="en-AU"/>
              </w:rPr>
              <w:tab/>
            </w:r>
            <w:r w:rsidR="00507230" w:rsidRPr="00C80E1C">
              <w:rPr>
                <w:rStyle w:val="Hyperlink"/>
              </w:rPr>
              <w:t>Purposes</w:t>
            </w:r>
            <w:r w:rsidR="00507230">
              <w:rPr>
                <w:webHidden/>
              </w:rPr>
              <w:tab/>
            </w:r>
            <w:r w:rsidR="00507230">
              <w:rPr>
                <w:webHidden/>
              </w:rPr>
              <w:fldChar w:fldCharType="begin"/>
            </w:r>
            <w:r w:rsidR="00507230">
              <w:rPr>
                <w:webHidden/>
              </w:rPr>
              <w:instrText xml:space="preserve"> PAGEREF _Toc53564767 \h </w:instrText>
            </w:r>
            <w:r w:rsidR="00507230">
              <w:rPr>
                <w:webHidden/>
              </w:rPr>
            </w:r>
            <w:r w:rsidR="00507230">
              <w:rPr>
                <w:webHidden/>
              </w:rPr>
              <w:fldChar w:fldCharType="separate"/>
            </w:r>
            <w:r w:rsidR="00507230">
              <w:rPr>
                <w:webHidden/>
              </w:rPr>
              <w:t>58</w:t>
            </w:r>
            <w:r w:rsidR="00507230">
              <w:rPr>
                <w:webHidden/>
              </w:rPr>
              <w:fldChar w:fldCharType="end"/>
            </w:r>
          </w:hyperlink>
        </w:p>
        <w:p w14:paraId="564AC579" w14:textId="41C9FF1A" w:rsidR="00507230" w:rsidRDefault="00854156">
          <w:pPr>
            <w:pStyle w:val="TOC1"/>
            <w:rPr>
              <w:rFonts w:eastAsiaTheme="minorEastAsia"/>
              <w:b w:val="0"/>
              <w:sz w:val="22"/>
              <w:szCs w:val="22"/>
              <w:lang w:eastAsia="en-AU"/>
            </w:rPr>
          </w:pPr>
          <w:hyperlink w:anchor="_Toc53564768" w:history="1">
            <w:r w:rsidR="00507230" w:rsidRPr="00C80E1C">
              <w:rPr>
                <w:rStyle w:val="Hyperlink"/>
                <w:rFonts w:eastAsia="Times New Roman"/>
                <w:spacing w:val="-6"/>
              </w:rPr>
              <w:t>11.</w:t>
            </w:r>
            <w:r w:rsidR="00507230">
              <w:rPr>
                <w:rFonts w:eastAsiaTheme="minorEastAsia"/>
                <w:b w:val="0"/>
                <w:sz w:val="22"/>
                <w:szCs w:val="22"/>
                <w:lang w:eastAsia="en-AU"/>
              </w:rPr>
              <w:tab/>
            </w:r>
            <w:r w:rsidR="00507230" w:rsidRPr="00C80E1C">
              <w:rPr>
                <w:rStyle w:val="Hyperlink"/>
                <w:rFonts w:eastAsia="Times New Roman"/>
              </w:rPr>
              <w:t>Budgeted financial statements</w:t>
            </w:r>
            <w:r w:rsidR="00507230">
              <w:rPr>
                <w:webHidden/>
              </w:rPr>
              <w:tab/>
            </w:r>
            <w:r w:rsidR="00507230">
              <w:rPr>
                <w:webHidden/>
              </w:rPr>
              <w:fldChar w:fldCharType="begin"/>
            </w:r>
            <w:r w:rsidR="00507230">
              <w:rPr>
                <w:webHidden/>
              </w:rPr>
              <w:instrText xml:space="preserve"> PAGEREF _Toc53564768 \h </w:instrText>
            </w:r>
            <w:r w:rsidR="00507230">
              <w:rPr>
                <w:webHidden/>
              </w:rPr>
            </w:r>
            <w:r w:rsidR="00507230">
              <w:rPr>
                <w:webHidden/>
              </w:rPr>
              <w:fldChar w:fldCharType="separate"/>
            </w:r>
            <w:r w:rsidR="00507230">
              <w:rPr>
                <w:webHidden/>
              </w:rPr>
              <w:t>60</w:t>
            </w:r>
            <w:r w:rsidR="00507230">
              <w:rPr>
                <w:webHidden/>
              </w:rPr>
              <w:fldChar w:fldCharType="end"/>
            </w:r>
          </w:hyperlink>
        </w:p>
        <w:p w14:paraId="0D8686E1" w14:textId="6C3A1577" w:rsidR="00507230" w:rsidRDefault="00854156">
          <w:pPr>
            <w:pStyle w:val="TOC2"/>
            <w:rPr>
              <w:rFonts w:eastAsiaTheme="minorEastAsia"/>
              <w:szCs w:val="22"/>
              <w:lang w:eastAsia="en-AU"/>
            </w:rPr>
          </w:pPr>
          <w:hyperlink w:anchor="_Toc53564769" w:history="1">
            <w:r w:rsidR="00507230" w:rsidRPr="00C80E1C">
              <w:rPr>
                <w:rStyle w:val="Hyperlink"/>
              </w:rPr>
              <w:t>11.1</w:t>
            </w:r>
            <w:r w:rsidR="00507230">
              <w:rPr>
                <w:rFonts w:eastAsiaTheme="minorEastAsia"/>
                <w:szCs w:val="22"/>
                <w:lang w:eastAsia="en-AU"/>
              </w:rPr>
              <w:tab/>
            </w:r>
            <w:r w:rsidR="00507230" w:rsidRPr="00C80E1C">
              <w:rPr>
                <w:rStyle w:val="Hyperlink"/>
              </w:rPr>
              <w:t>Tables constituting the budgeted financial Statements</w:t>
            </w:r>
            <w:r w:rsidR="00507230">
              <w:rPr>
                <w:webHidden/>
              </w:rPr>
              <w:tab/>
            </w:r>
            <w:r w:rsidR="00507230">
              <w:rPr>
                <w:webHidden/>
              </w:rPr>
              <w:fldChar w:fldCharType="begin"/>
            </w:r>
            <w:r w:rsidR="00507230">
              <w:rPr>
                <w:webHidden/>
              </w:rPr>
              <w:instrText xml:space="preserve"> PAGEREF _Toc53564769 \h </w:instrText>
            </w:r>
            <w:r w:rsidR="00507230">
              <w:rPr>
                <w:webHidden/>
              </w:rPr>
            </w:r>
            <w:r w:rsidR="00507230">
              <w:rPr>
                <w:webHidden/>
              </w:rPr>
              <w:fldChar w:fldCharType="separate"/>
            </w:r>
            <w:r w:rsidR="00507230">
              <w:rPr>
                <w:webHidden/>
              </w:rPr>
              <w:t>61</w:t>
            </w:r>
            <w:r w:rsidR="00507230">
              <w:rPr>
                <w:webHidden/>
              </w:rPr>
              <w:fldChar w:fldCharType="end"/>
            </w:r>
          </w:hyperlink>
        </w:p>
        <w:p w14:paraId="7CF129FF" w14:textId="13CC1485" w:rsidR="00507230" w:rsidRDefault="00854156">
          <w:pPr>
            <w:pStyle w:val="TOC2"/>
            <w:rPr>
              <w:rFonts w:eastAsiaTheme="minorEastAsia"/>
              <w:szCs w:val="22"/>
              <w:lang w:eastAsia="en-AU"/>
            </w:rPr>
          </w:pPr>
          <w:hyperlink w:anchor="_Toc53564770" w:history="1">
            <w:r w:rsidR="00507230" w:rsidRPr="00C80E1C">
              <w:rPr>
                <w:rStyle w:val="Hyperlink"/>
              </w:rPr>
              <w:t>11.2</w:t>
            </w:r>
            <w:r w:rsidR="00507230">
              <w:rPr>
                <w:rFonts w:eastAsiaTheme="minorEastAsia"/>
                <w:szCs w:val="22"/>
                <w:lang w:eastAsia="en-AU"/>
              </w:rPr>
              <w:tab/>
            </w:r>
            <w:r w:rsidR="00507230" w:rsidRPr="00C80E1C">
              <w:rPr>
                <w:rStyle w:val="Hyperlink"/>
              </w:rPr>
              <w:t>AASB 1055 link to budgetary reporting</w:t>
            </w:r>
            <w:r w:rsidR="00507230">
              <w:rPr>
                <w:webHidden/>
              </w:rPr>
              <w:tab/>
            </w:r>
            <w:r w:rsidR="00507230">
              <w:rPr>
                <w:webHidden/>
              </w:rPr>
              <w:fldChar w:fldCharType="begin"/>
            </w:r>
            <w:r w:rsidR="00507230">
              <w:rPr>
                <w:webHidden/>
              </w:rPr>
              <w:instrText xml:space="preserve"> PAGEREF _Toc53564770 \h </w:instrText>
            </w:r>
            <w:r w:rsidR="00507230">
              <w:rPr>
                <w:webHidden/>
              </w:rPr>
            </w:r>
            <w:r w:rsidR="00507230">
              <w:rPr>
                <w:webHidden/>
              </w:rPr>
              <w:fldChar w:fldCharType="separate"/>
            </w:r>
            <w:r w:rsidR="00507230">
              <w:rPr>
                <w:webHidden/>
              </w:rPr>
              <w:t>61</w:t>
            </w:r>
            <w:r w:rsidR="00507230">
              <w:rPr>
                <w:webHidden/>
              </w:rPr>
              <w:fldChar w:fldCharType="end"/>
            </w:r>
          </w:hyperlink>
        </w:p>
        <w:p w14:paraId="4AE507AF" w14:textId="7969D4D5" w:rsidR="00507230" w:rsidRDefault="00854156">
          <w:pPr>
            <w:pStyle w:val="TOC2"/>
            <w:rPr>
              <w:rFonts w:eastAsiaTheme="minorEastAsia"/>
              <w:szCs w:val="22"/>
              <w:lang w:eastAsia="en-AU"/>
            </w:rPr>
          </w:pPr>
          <w:hyperlink w:anchor="_Toc53564771" w:history="1">
            <w:r w:rsidR="00507230" w:rsidRPr="00C80E1C">
              <w:rPr>
                <w:rStyle w:val="Hyperlink"/>
              </w:rPr>
              <w:t>11.3</w:t>
            </w:r>
            <w:r w:rsidR="00507230">
              <w:rPr>
                <w:rFonts w:eastAsiaTheme="minorEastAsia"/>
                <w:szCs w:val="22"/>
                <w:lang w:eastAsia="en-AU"/>
              </w:rPr>
              <w:tab/>
            </w:r>
            <w:r w:rsidR="00507230" w:rsidRPr="00C80E1C">
              <w:rPr>
                <w:rStyle w:val="Hyperlink"/>
              </w:rPr>
              <w:t>Departmental comprehensive income statement (showing net cost of services)</w:t>
            </w:r>
            <w:r w:rsidR="00507230">
              <w:rPr>
                <w:webHidden/>
              </w:rPr>
              <w:tab/>
            </w:r>
            <w:r w:rsidR="00507230">
              <w:rPr>
                <w:webHidden/>
              </w:rPr>
              <w:fldChar w:fldCharType="begin"/>
            </w:r>
            <w:r w:rsidR="00507230">
              <w:rPr>
                <w:webHidden/>
              </w:rPr>
              <w:instrText xml:space="preserve"> PAGEREF _Toc53564771 \h </w:instrText>
            </w:r>
            <w:r w:rsidR="00507230">
              <w:rPr>
                <w:webHidden/>
              </w:rPr>
            </w:r>
            <w:r w:rsidR="00507230">
              <w:rPr>
                <w:webHidden/>
              </w:rPr>
              <w:fldChar w:fldCharType="separate"/>
            </w:r>
            <w:r w:rsidR="00507230">
              <w:rPr>
                <w:webHidden/>
              </w:rPr>
              <w:t>62</w:t>
            </w:r>
            <w:r w:rsidR="00507230">
              <w:rPr>
                <w:webHidden/>
              </w:rPr>
              <w:fldChar w:fldCharType="end"/>
            </w:r>
          </w:hyperlink>
        </w:p>
        <w:p w14:paraId="4F649BB7" w14:textId="0F54F775" w:rsidR="00507230" w:rsidRDefault="00854156">
          <w:pPr>
            <w:pStyle w:val="TOC2"/>
            <w:rPr>
              <w:rFonts w:eastAsiaTheme="minorEastAsia"/>
              <w:szCs w:val="22"/>
              <w:lang w:eastAsia="en-AU"/>
            </w:rPr>
          </w:pPr>
          <w:hyperlink w:anchor="_Toc53564772" w:history="1">
            <w:r w:rsidR="00507230" w:rsidRPr="00C80E1C">
              <w:rPr>
                <w:rStyle w:val="Hyperlink"/>
                <w:rFonts w:eastAsia="Times New Roman"/>
                <w:spacing w:val="-6"/>
              </w:rPr>
              <w:t>11.4</w:t>
            </w:r>
            <w:r w:rsidR="00507230">
              <w:rPr>
                <w:rFonts w:eastAsiaTheme="minorEastAsia"/>
                <w:szCs w:val="22"/>
                <w:lang w:eastAsia="en-AU"/>
              </w:rPr>
              <w:tab/>
            </w:r>
            <w:r w:rsidR="00507230" w:rsidRPr="00C80E1C">
              <w:rPr>
                <w:rStyle w:val="Hyperlink"/>
                <w:rFonts w:eastAsia="Times New Roman"/>
              </w:rPr>
              <w:t>Budgeted departmental balance sheet</w:t>
            </w:r>
            <w:r w:rsidR="00507230">
              <w:rPr>
                <w:webHidden/>
              </w:rPr>
              <w:tab/>
            </w:r>
            <w:r w:rsidR="00507230">
              <w:rPr>
                <w:webHidden/>
              </w:rPr>
              <w:fldChar w:fldCharType="begin"/>
            </w:r>
            <w:r w:rsidR="00507230">
              <w:rPr>
                <w:webHidden/>
              </w:rPr>
              <w:instrText xml:space="preserve"> PAGEREF _Toc53564772 \h </w:instrText>
            </w:r>
            <w:r w:rsidR="00507230">
              <w:rPr>
                <w:webHidden/>
              </w:rPr>
            </w:r>
            <w:r w:rsidR="00507230">
              <w:rPr>
                <w:webHidden/>
              </w:rPr>
              <w:fldChar w:fldCharType="separate"/>
            </w:r>
            <w:r w:rsidR="00507230">
              <w:rPr>
                <w:webHidden/>
              </w:rPr>
              <w:t>63</w:t>
            </w:r>
            <w:r w:rsidR="00507230">
              <w:rPr>
                <w:webHidden/>
              </w:rPr>
              <w:fldChar w:fldCharType="end"/>
            </w:r>
          </w:hyperlink>
        </w:p>
        <w:p w14:paraId="61B69ED5" w14:textId="4B6444EA" w:rsidR="00507230" w:rsidRDefault="00854156">
          <w:pPr>
            <w:pStyle w:val="TOC2"/>
            <w:rPr>
              <w:rFonts w:eastAsiaTheme="minorEastAsia"/>
              <w:szCs w:val="22"/>
              <w:lang w:eastAsia="en-AU"/>
            </w:rPr>
          </w:pPr>
          <w:hyperlink w:anchor="_Toc53564773" w:history="1">
            <w:r w:rsidR="00507230" w:rsidRPr="00C80E1C">
              <w:rPr>
                <w:rStyle w:val="Hyperlink"/>
              </w:rPr>
              <w:t>11.5</w:t>
            </w:r>
            <w:r w:rsidR="00507230">
              <w:rPr>
                <w:rFonts w:eastAsiaTheme="minorEastAsia"/>
                <w:szCs w:val="22"/>
                <w:lang w:eastAsia="en-AU"/>
              </w:rPr>
              <w:tab/>
            </w:r>
            <w:r w:rsidR="00507230" w:rsidRPr="00C80E1C">
              <w:rPr>
                <w:rStyle w:val="Hyperlink"/>
              </w:rPr>
              <w:t>Departmental statement of changes in equity</w:t>
            </w:r>
            <w:r w:rsidR="00507230">
              <w:rPr>
                <w:webHidden/>
              </w:rPr>
              <w:tab/>
            </w:r>
            <w:r w:rsidR="00507230">
              <w:rPr>
                <w:webHidden/>
              </w:rPr>
              <w:fldChar w:fldCharType="begin"/>
            </w:r>
            <w:r w:rsidR="00507230">
              <w:rPr>
                <w:webHidden/>
              </w:rPr>
              <w:instrText xml:space="preserve"> PAGEREF _Toc53564773 \h </w:instrText>
            </w:r>
            <w:r w:rsidR="00507230">
              <w:rPr>
                <w:webHidden/>
              </w:rPr>
            </w:r>
            <w:r w:rsidR="00507230">
              <w:rPr>
                <w:webHidden/>
              </w:rPr>
              <w:fldChar w:fldCharType="separate"/>
            </w:r>
            <w:r w:rsidR="00507230">
              <w:rPr>
                <w:webHidden/>
              </w:rPr>
              <w:t>63</w:t>
            </w:r>
            <w:r w:rsidR="00507230">
              <w:rPr>
                <w:webHidden/>
              </w:rPr>
              <w:fldChar w:fldCharType="end"/>
            </w:r>
          </w:hyperlink>
        </w:p>
        <w:p w14:paraId="35F84C0A" w14:textId="5AC2797A" w:rsidR="00507230" w:rsidRDefault="00854156">
          <w:pPr>
            <w:pStyle w:val="TOC2"/>
            <w:rPr>
              <w:rFonts w:eastAsiaTheme="minorEastAsia"/>
              <w:szCs w:val="22"/>
              <w:lang w:eastAsia="en-AU"/>
            </w:rPr>
          </w:pPr>
          <w:hyperlink w:anchor="_Toc53564774" w:history="1">
            <w:r w:rsidR="00507230" w:rsidRPr="00C80E1C">
              <w:rPr>
                <w:rStyle w:val="Hyperlink"/>
                <w:rFonts w:eastAsia="Times New Roman"/>
                <w:spacing w:val="-6"/>
              </w:rPr>
              <w:t>11.6</w:t>
            </w:r>
            <w:r w:rsidR="00507230">
              <w:rPr>
                <w:rFonts w:eastAsiaTheme="minorEastAsia"/>
                <w:szCs w:val="22"/>
                <w:lang w:eastAsia="en-AU"/>
              </w:rPr>
              <w:tab/>
            </w:r>
            <w:r w:rsidR="00507230" w:rsidRPr="00C80E1C">
              <w:rPr>
                <w:rStyle w:val="Hyperlink"/>
                <w:rFonts w:eastAsia="Times New Roman"/>
              </w:rPr>
              <w:t>Budgeted departmental statement of cash flows</w:t>
            </w:r>
            <w:r w:rsidR="00507230">
              <w:rPr>
                <w:webHidden/>
              </w:rPr>
              <w:tab/>
            </w:r>
            <w:r w:rsidR="00507230">
              <w:rPr>
                <w:webHidden/>
              </w:rPr>
              <w:fldChar w:fldCharType="begin"/>
            </w:r>
            <w:r w:rsidR="00507230">
              <w:rPr>
                <w:webHidden/>
              </w:rPr>
              <w:instrText xml:space="preserve"> PAGEREF _Toc53564774 \h </w:instrText>
            </w:r>
            <w:r w:rsidR="00507230">
              <w:rPr>
                <w:webHidden/>
              </w:rPr>
            </w:r>
            <w:r w:rsidR="00507230">
              <w:rPr>
                <w:webHidden/>
              </w:rPr>
              <w:fldChar w:fldCharType="separate"/>
            </w:r>
            <w:r w:rsidR="00507230">
              <w:rPr>
                <w:webHidden/>
              </w:rPr>
              <w:t>63</w:t>
            </w:r>
            <w:r w:rsidR="00507230">
              <w:rPr>
                <w:webHidden/>
              </w:rPr>
              <w:fldChar w:fldCharType="end"/>
            </w:r>
          </w:hyperlink>
        </w:p>
        <w:p w14:paraId="1189DC60" w14:textId="0CCE2D05" w:rsidR="00507230" w:rsidRDefault="00854156">
          <w:pPr>
            <w:pStyle w:val="TOC2"/>
            <w:rPr>
              <w:rFonts w:eastAsiaTheme="minorEastAsia"/>
              <w:szCs w:val="22"/>
              <w:lang w:eastAsia="en-AU"/>
            </w:rPr>
          </w:pPr>
          <w:hyperlink w:anchor="_Toc53564775" w:history="1">
            <w:r w:rsidR="00507230" w:rsidRPr="00C80E1C">
              <w:rPr>
                <w:rStyle w:val="Hyperlink"/>
                <w:spacing w:val="-6"/>
              </w:rPr>
              <w:t>11.7</w:t>
            </w:r>
            <w:r w:rsidR="00507230">
              <w:rPr>
                <w:rFonts w:eastAsiaTheme="minorEastAsia"/>
                <w:szCs w:val="22"/>
                <w:lang w:eastAsia="en-AU"/>
              </w:rPr>
              <w:tab/>
            </w:r>
            <w:r w:rsidR="00507230" w:rsidRPr="00C80E1C">
              <w:rPr>
                <w:rStyle w:val="Hyperlink"/>
                <w:rFonts w:eastAsia="Times New Roman"/>
              </w:rPr>
              <w:t>Departmental capital budget statement</w:t>
            </w:r>
            <w:r w:rsidR="00507230">
              <w:rPr>
                <w:webHidden/>
              </w:rPr>
              <w:tab/>
            </w:r>
            <w:r w:rsidR="00507230">
              <w:rPr>
                <w:webHidden/>
              </w:rPr>
              <w:fldChar w:fldCharType="begin"/>
            </w:r>
            <w:r w:rsidR="00507230">
              <w:rPr>
                <w:webHidden/>
              </w:rPr>
              <w:instrText xml:space="preserve"> PAGEREF _Toc53564775 \h </w:instrText>
            </w:r>
            <w:r w:rsidR="00507230">
              <w:rPr>
                <w:webHidden/>
              </w:rPr>
            </w:r>
            <w:r w:rsidR="00507230">
              <w:rPr>
                <w:webHidden/>
              </w:rPr>
              <w:fldChar w:fldCharType="separate"/>
            </w:r>
            <w:r w:rsidR="00507230">
              <w:rPr>
                <w:webHidden/>
              </w:rPr>
              <w:t>64</w:t>
            </w:r>
            <w:r w:rsidR="00507230">
              <w:rPr>
                <w:webHidden/>
              </w:rPr>
              <w:fldChar w:fldCharType="end"/>
            </w:r>
          </w:hyperlink>
        </w:p>
        <w:p w14:paraId="70D7FFF3" w14:textId="66386952" w:rsidR="00507230" w:rsidRDefault="00854156">
          <w:pPr>
            <w:pStyle w:val="TOC2"/>
            <w:rPr>
              <w:rFonts w:eastAsiaTheme="minorEastAsia"/>
              <w:szCs w:val="22"/>
              <w:lang w:eastAsia="en-AU"/>
            </w:rPr>
          </w:pPr>
          <w:hyperlink w:anchor="_Toc53564776" w:history="1">
            <w:r w:rsidR="00507230" w:rsidRPr="00C80E1C">
              <w:rPr>
                <w:rStyle w:val="Hyperlink"/>
                <w:spacing w:val="-6"/>
              </w:rPr>
              <w:t>11.8</w:t>
            </w:r>
            <w:r w:rsidR="00507230">
              <w:rPr>
                <w:rFonts w:eastAsiaTheme="minorEastAsia"/>
                <w:szCs w:val="22"/>
                <w:lang w:eastAsia="en-AU"/>
              </w:rPr>
              <w:tab/>
            </w:r>
            <w:r w:rsidR="00507230" w:rsidRPr="00C80E1C">
              <w:rPr>
                <w:rStyle w:val="Hyperlink"/>
                <w:rFonts w:eastAsia="Times New Roman"/>
              </w:rPr>
              <w:t>Departmental statement of asset movements</w:t>
            </w:r>
            <w:r w:rsidR="00507230">
              <w:rPr>
                <w:webHidden/>
              </w:rPr>
              <w:tab/>
            </w:r>
            <w:r w:rsidR="00507230">
              <w:rPr>
                <w:webHidden/>
              </w:rPr>
              <w:fldChar w:fldCharType="begin"/>
            </w:r>
            <w:r w:rsidR="00507230">
              <w:rPr>
                <w:webHidden/>
              </w:rPr>
              <w:instrText xml:space="preserve"> PAGEREF _Toc53564776 \h </w:instrText>
            </w:r>
            <w:r w:rsidR="00507230">
              <w:rPr>
                <w:webHidden/>
              </w:rPr>
            </w:r>
            <w:r w:rsidR="00507230">
              <w:rPr>
                <w:webHidden/>
              </w:rPr>
              <w:fldChar w:fldCharType="separate"/>
            </w:r>
            <w:r w:rsidR="00507230">
              <w:rPr>
                <w:webHidden/>
              </w:rPr>
              <w:t>64</w:t>
            </w:r>
            <w:r w:rsidR="00507230">
              <w:rPr>
                <w:webHidden/>
              </w:rPr>
              <w:fldChar w:fldCharType="end"/>
            </w:r>
          </w:hyperlink>
        </w:p>
        <w:p w14:paraId="29830C82" w14:textId="5F448BC6" w:rsidR="00507230" w:rsidRDefault="00854156">
          <w:pPr>
            <w:pStyle w:val="TOC2"/>
            <w:rPr>
              <w:rFonts w:eastAsiaTheme="minorEastAsia"/>
              <w:szCs w:val="22"/>
              <w:lang w:eastAsia="en-AU"/>
            </w:rPr>
          </w:pPr>
          <w:hyperlink w:anchor="_Toc53564777" w:history="1">
            <w:r w:rsidR="00507230" w:rsidRPr="00C80E1C">
              <w:rPr>
                <w:rStyle w:val="Hyperlink"/>
                <w:spacing w:val="-6"/>
              </w:rPr>
              <w:t>11.9</w:t>
            </w:r>
            <w:r w:rsidR="00507230">
              <w:rPr>
                <w:rFonts w:eastAsiaTheme="minorEastAsia"/>
                <w:szCs w:val="22"/>
                <w:lang w:eastAsia="en-AU"/>
              </w:rPr>
              <w:tab/>
            </w:r>
            <w:r w:rsidR="00507230" w:rsidRPr="00C80E1C">
              <w:rPr>
                <w:rStyle w:val="Hyperlink"/>
                <w:rFonts w:eastAsia="Times New Roman"/>
              </w:rPr>
              <w:t>Administered financial statements (Tables 3.7 to 3.11)</w:t>
            </w:r>
            <w:r w:rsidR="00507230">
              <w:rPr>
                <w:webHidden/>
              </w:rPr>
              <w:tab/>
            </w:r>
            <w:r w:rsidR="00507230">
              <w:rPr>
                <w:webHidden/>
              </w:rPr>
              <w:fldChar w:fldCharType="begin"/>
            </w:r>
            <w:r w:rsidR="00507230">
              <w:rPr>
                <w:webHidden/>
              </w:rPr>
              <w:instrText xml:space="preserve"> PAGEREF _Toc53564777 \h </w:instrText>
            </w:r>
            <w:r w:rsidR="00507230">
              <w:rPr>
                <w:webHidden/>
              </w:rPr>
            </w:r>
            <w:r w:rsidR="00507230">
              <w:rPr>
                <w:webHidden/>
              </w:rPr>
              <w:fldChar w:fldCharType="separate"/>
            </w:r>
            <w:r w:rsidR="00507230">
              <w:rPr>
                <w:webHidden/>
              </w:rPr>
              <w:t>65</w:t>
            </w:r>
            <w:r w:rsidR="00507230">
              <w:rPr>
                <w:webHidden/>
              </w:rPr>
              <w:fldChar w:fldCharType="end"/>
            </w:r>
          </w:hyperlink>
        </w:p>
        <w:p w14:paraId="23839B30" w14:textId="398ED044" w:rsidR="00507230" w:rsidRDefault="00854156">
          <w:pPr>
            <w:pStyle w:val="TOC1"/>
            <w:rPr>
              <w:rFonts w:eastAsiaTheme="minorEastAsia"/>
              <w:b w:val="0"/>
              <w:sz w:val="22"/>
              <w:szCs w:val="22"/>
              <w:lang w:eastAsia="en-AU"/>
            </w:rPr>
          </w:pPr>
          <w:hyperlink w:anchor="_Toc53564778" w:history="1">
            <w:r w:rsidR="00507230" w:rsidRPr="00C80E1C">
              <w:rPr>
                <w:rStyle w:val="Hyperlink"/>
              </w:rPr>
              <w:t>12.</w:t>
            </w:r>
            <w:r w:rsidR="00507230">
              <w:rPr>
                <w:rFonts w:eastAsiaTheme="minorEastAsia"/>
                <w:b w:val="0"/>
                <w:sz w:val="22"/>
                <w:szCs w:val="22"/>
                <w:lang w:eastAsia="en-AU"/>
              </w:rPr>
              <w:tab/>
            </w:r>
            <w:r w:rsidR="00507230" w:rsidRPr="00C80E1C">
              <w:rPr>
                <w:rStyle w:val="Hyperlink"/>
                <w:rFonts w:eastAsia="Times New Roman"/>
              </w:rPr>
              <w:t>Related issues</w:t>
            </w:r>
            <w:r w:rsidR="00507230">
              <w:rPr>
                <w:webHidden/>
              </w:rPr>
              <w:tab/>
            </w:r>
            <w:r w:rsidR="00507230">
              <w:rPr>
                <w:webHidden/>
              </w:rPr>
              <w:fldChar w:fldCharType="begin"/>
            </w:r>
            <w:r w:rsidR="00507230">
              <w:rPr>
                <w:webHidden/>
              </w:rPr>
              <w:instrText xml:space="preserve"> PAGEREF _Toc53564778 \h </w:instrText>
            </w:r>
            <w:r w:rsidR="00507230">
              <w:rPr>
                <w:webHidden/>
              </w:rPr>
            </w:r>
            <w:r w:rsidR="00507230">
              <w:rPr>
                <w:webHidden/>
              </w:rPr>
              <w:fldChar w:fldCharType="separate"/>
            </w:r>
            <w:r w:rsidR="00507230">
              <w:rPr>
                <w:webHidden/>
              </w:rPr>
              <w:t>66</w:t>
            </w:r>
            <w:r w:rsidR="00507230">
              <w:rPr>
                <w:webHidden/>
              </w:rPr>
              <w:fldChar w:fldCharType="end"/>
            </w:r>
          </w:hyperlink>
        </w:p>
        <w:p w14:paraId="0AE5509D" w14:textId="586A51D4" w:rsidR="00507230" w:rsidRDefault="00854156">
          <w:pPr>
            <w:pStyle w:val="TOC2"/>
            <w:rPr>
              <w:rFonts w:eastAsiaTheme="minorEastAsia"/>
              <w:szCs w:val="22"/>
              <w:lang w:eastAsia="en-AU"/>
            </w:rPr>
          </w:pPr>
          <w:hyperlink w:anchor="_Toc53564779" w:history="1">
            <w:r w:rsidR="00507230" w:rsidRPr="00C80E1C">
              <w:rPr>
                <w:rStyle w:val="Hyperlink"/>
              </w:rPr>
              <w:t>12.1</w:t>
            </w:r>
            <w:r w:rsidR="00507230">
              <w:rPr>
                <w:rFonts w:eastAsiaTheme="minorEastAsia"/>
                <w:szCs w:val="22"/>
                <w:lang w:eastAsia="en-AU"/>
              </w:rPr>
              <w:tab/>
            </w:r>
            <w:r w:rsidR="00507230" w:rsidRPr="00C80E1C">
              <w:rPr>
                <w:rStyle w:val="Hyperlink"/>
              </w:rPr>
              <w:t>Machinery of Government changes</w:t>
            </w:r>
            <w:r w:rsidR="00507230">
              <w:rPr>
                <w:webHidden/>
              </w:rPr>
              <w:tab/>
            </w:r>
            <w:r w:rsidR="00507230">
              <w:rPr>
                <w:webHidden/>
              </w:rPr>
              <w:fldChar w:fldCharType="begin"/>
            </w:r>
            <w:r w:rsidR="00507230">
              <w:rPr>
                <w:webHidden/>
              </w:rPr>
              <w:instrText xml:space="preserve"> PAGEREF _Toc53564779 \h </w:instrText>
            </w:r>
            <w:r w:rsidR="00507230">
              <w:rPr>
                <w:webHidden/>
              </w:rPr>
            </w:r>
            <w:r w:rsidR="00507230">
              <w:rPr>
                <w:webHidden/>
              </w:rPr>
              <w:fldChar w:fldCharType="separate"/>
            </w:r>
            <w:r w:rsidR="00507230">
              <w:rPr>
                <w:webHidden/>
              </w:rPr>
              <w:t>66</w:t>
            </w:r>
            <w:r w:rsidR="00507230">
              <w:rPr>
                <w:webHidden/>
              </w:rPr>
              <w:fldChar w:fldCharType="end"/>
            </w:r>
          </w:hyperlink>
        </w:p>
        <w:p w14:paraId="1A525827" w14:textId="38BDE315" w:rsidR="00507230" w:rsidRDefault="00854156">
          <w:pPr>
            <w:pStyle w:val="TOC3"/>
            <w:rPr>
              <w:rFonts w:eastAsiaTheme="minorEastAsia"/>
              <w:szCs w:val="22"/>
              <w:lang w:eastAsia="en-AU"/>
            </w:rPr>
          </w:pPr>
          <w:hyperlink w:anchor="_Toc53564780" w:history="1">
            <w:r w:rsidR="00507230" w:rsidRPr="00C80E1C">
              <w:rPr>
                <w:rStyle w:val="Hyperlink"/>
              </w:rPr>
              <w:t>12.1.1</w:t>
            </w:r>
            <w:r w:rsidR="00507230">
              <w:rPr>
                <w:rFonts w:eastAsiaTheme="minorEastAsia"/>
                <w:szCs w:val="22"/>
                <w:lang w:eastAsia="en-AU"/>
              </w:rPr>
              <w:tab/>
            </w:r>
            <w:r w:rsidR="00507230" w:rsidRPr="00C80E1C">
              <w:rPr>
                <w:rStyle w:val="Hyperlink"/>
              </w:rPr>
              <w:t>Entity resource statement (Table 1.1)</w:t>
            </w:r>
            <w:r w:rsidR="00507230">
              <w:rPr>
                <w:webHidden/>
              </w:rPr>
              <w:tab/>
            </w:r>
            <w:r w:rsidR="00507230">
              <w:rPr>
                <w:webHidden/>
              </w:rPr>
              <w:fldChar w:fldCharType="begin"/>
            </w:r>
            <w:r w:rsidR="00507230">
              <w:rPr>
                <w:webHidden/>
              </w:rPr>
              <w:instrText xml:space="preserve"> PAGEREF _Toc53564780 \h </w:instrText>
            </w:r>
            <w:r w:rsidR="00507230">
              <w:rPr>
                <w:webHidden/>
              </w:rPr>
            </w:r>
            <w:r w:rsidR="00507230">
              <w:rPr>
                <w:webHidden/>
              </w:rPr>
              <w:fldChar w:fldCharType="separate"/>
            </w:r>
            <w:r w:rsidR="00507230">
              <w:rPr>
                <w:webHidden/>
              </w:rPr>
              <w:t>66</w:t>
            </w:r>
            <w:r w:rsidR="00507230">
              <w:rPr>
                <w:webHidden/>
              </w:rPr>
              <w:fldChar w:fldCharType="end"/>
            </w:r>
          </w:hyperlink>
        </w:p>
        <w:p w14:paraId="640C7DB9" w14:textId="4836A6EB" w:rsidR="00507230" w:rsidRDefault="00854156">
          <w:pPr>
            <w:pStyle w:val="TOC3"/>
            <w:rPr>
              <w:rFonts w:eastAsiaTheme="minorEastAsia"/>
              <w:szCs w:val="22"/>
              <w:lang w:eastAsia="en-AU"/>
            </w:rPr>
          </w:pPr>
          <w:hyperlink w:anchor="_Toc53564781" w:history="1">
            <w:r w:rsidR="00507230" w:rsidRPr="00C80E1C">
              <w:rPr>
                <w:rStyle w:val="Hyperlink"/>
              </w:rPr>
              <w:t>12.1.2</w:t>
            </w:r>
            <w:r w:rsidR="00507230">
              <w:rPr>
                <w:rFonts w:eastAsiaTheme="minorEastAsia"/>
                <w:szCs w:val="22"/>
                <w:lang w:eastAsia="en-AU"/>
              </w:rPr>
              <w:tab/>
            </w:r>
            <w:r w:rsidR="00507230" w:rsidRPr="00C80E1C">
              <w:rPr>
                <w:rStyle w:val="Hyperlink"/>
              </w:rPr>
              <w:t>Outcome information</w:t>
            </w:r>
            <w:r w:rsidR="00507230">
              <w:rPr>
                <w:webHidden/>
              </w:rPr>
              <w:tab/>
            </w:r>
            <w:r w:rsidR="00507230">
              <w:rPr>
                <w:webHidden/>
              </w:rPr>
              <w:fldChar w:fldCharType="begin"/>
            </w:r>
            <w:r w:rsidR="00507230">
              <w:rPr>
                <w:webHidden/>
              </w:rPr>
              <w:instrText xml:space="preserve"> PAGEREF _Toc53564781 \h </w:instrText>
            </w:r>
            <w:r w:rsidR="00507230">
              <w:rPr>
                <w:webHidden/>
              </w:rPr>
            </w:r>
            <w:r w:rsidR="00507230">
              <w:rPr>
                <w:webHidden/>
              </w:rPr>
              <w:fldChar w:fldCharType="separate"/>
            </w:r>
            <w:r w:rsidR="00507230">
              <w:rPr>
                <w:webHidden/>
              </w:rPr>
              <w:t>67</w:t>
            </w:r>
            <w:r w:rsidR="00507230">
              <w:rPr>
                <w:webHidden/>
              </w:rPr>
              <w:fldChar w:fldCharType="end"/>
            </w:r>
          </w:hyperlink>
        </w:p>
        <w:p w14:paraId="4E400CD4" w14:textId="04B19C58" w:rsidR="00507230" w:rsidRDefault="00854156">
          <w:pPr>
            <w:pStyle w:val="TOC3"/>
            <w:rPr>
              <w:rFonts w:eastAsiaTheme="minorEastAsia"/>
              <w:szCs w:val="22"/>
              <w:lang w:eastAsia="en-AU"/>
            </w:rPr>
          </w:pPr>
          <w:hyperlink w:anchor="_Toc53564782" w:history="1">
            <w:r w:rsidR="00507230" w:rsidRPr="00C80E1C">
              <w:rPr>
                <w:rStyle w:val="Hyperlink"/>
              </w:rPr>
              <w:t>12.1.3</w:t>
            </w:r>
            <w:r w:rsidR="00507230">
              <w:rPr>
                <w:rFonts w:eastAsiaTheme="minorEastAsia"/>
                <w:szCs w:val="22"/>
                <w:lang w:eastAsia="en-AU"/>
              </w:rPr>
              <w:tab/>
            </w:r>
            <w:r w:rsidR="00507230" w:rsidRPr="00C80E1C">
              <w:rPr>
                <w:rStyle w:val="Hyperlink"/>
              </w:rPr>
              <w:t>Budgeted financial statements</w:t>
            </w:r>
            <w:r w:rsidR="00507230">
              <w:rPr>
                <w:webHidden/>
              </w:rPr>
              <w:tab/>
            </w:r>
            <w:r w:rsidR="00507230">
              <w:rPr>
                <w:webHidden/>
              </w:rPr>
              <w:fldChar w:fldCharType="begin"/>
            </w:r>
            <w:r w:rsidR="00507230">
              <w:rPr>
                <w:webHidden/>
              </w:rPr>
              <w:instrText xml:space="preserve"> PAGEREF _Toc53564782 \h </w:instrText>
            </w:r>
            <w:r w:rsidR="00507230">
              <w:rPr>
                <w:webHidden/>
              </w:rPr>
            </w:r>
            <w:r w:rsidR="00507230">
              <w:rPr>
                <w:webHidden/>
              </w:rPr>
              <w:fldChar w:fldCharType="separate"/>
            </w:r>
            <w:r w:rsidR="00507230">
              <w:rPr>
                <w:webHidden/>
              </w:rPr>
              <w:t>67</w:t>
            </w:r>
            <w:r w:rsidR="00507230">
              <w:rPr>
                <w:webHidden/>
              </w:rPr>
              <w:fldChar w:fldCharType="end"/>
            </w:r>
          </w:hyperlink>
        </w:p>
        <w:p w14:paraId="0A390D11" w14:textId="13F35DBC" w:rsidR="00507230" w:rsidRDefault="00854156">
          <w:pPr>
            <w:pStyle w:val="TOC3"/>
            <w:rPr>
              <w:rFonts w:eastAsiaTheme="minorEastAsia"/>
              <w:szCs w:val="22"/>
              <w:lang w:eastAsia="en-AU"/>
            </w:rPr>
          </w:pPr>
          <w:hyperlink w:anchor="_Toc53564783" w:history="1">
            <w:r w:rsidR="00507230" w:rsidRPr="00C80E1C">
              <w:rPr>
                <w:rStyle w:val="Hyperlink"/>
              </w:rPr>
              <w:t>12.1.4</w:t>
            </w:r>
            <w:r w:rsidR="00507230">
              <w:rPr>
                <w:rFonts w:eastAsiaTheme="minorEastAsia"/>
                <w:szCs w:val="22"/>
                <w:lang w:eastAsia="en-AU"/>
              </w:rPr>
              <w:tab/>
            </w:r>
            <w:r w:rsidR="00507230" w:rsidRPr="00C80E1C">
              <w:rPr>
                <w:rStyle w:val="Hyperlink"/>
              </w:rPr>
              <w:t>Other important information</w:t>
            </w:r>
            <w:r w:rsidR="00507230">
              <w:rPr>
                <w:webHidden/>
              </w:rPr>
              <w:tab/>
            </w:r>
            <w:r w:rsidR="00507230">
              <w:rPr>
                <w:webHidden/>
              </w:rPr>
              <w:fldChar w:fldCharType="begin"/>
            </w:r>
            <w:r w:rsidR="00507230">
              <w:rPr>
                <w:webHidden/>
              </w:rPr>
              <w:instrText xml:space="preserve"> PAGEREF _Toc53564783 \h </w:instrText>
            </w:r>
            <w:r w:rsidR="00507230">
              <w:rPr>
                <w:webHidden/>
              </w:rPr>
            </w:r>
            <w:r w:rsidR="00507230">
              <w:rPr>
                <w:webHidden/>
              </w:rPr>
              <w:fldChar w:fldCharType="separate"/>
            </w:r>
            <w:r w:rsidR="00507230">
              <w:rPr>
                <w:webHidden/>
              </w:rPr>
              <w:t>67</w:t>
            </w:r>
            <w:r w:rsidR="00507230">
              <w:rPr>
                <w:webHidden/>
              </w:rPr>
              <w:fldChar w:fldCharType="end"/>
            </w:r>
          </w:hyperlink>
        </w:p>
        <w:p w14:paraId="49B6F5CE" w14:textId="0824F39B" w:rsidR="00507230" w:rsidRDefault="00854156">
          <w:pPr>
            <w:pStyle w:val="TOC1"/>
            <w:rPr>
              <w:rFonts w:eastAsiaTheme="minorEastAsia"/>
              <w:b w:val="0"/>
              <w:sz w:val="22"/>
              <w:szCs w:val="22"/>
              <w:lang w:eastAsia="en-AU"/>
            </w:rPr>
          </w:pPr>
          <w:hyperlink w:anchor="_Toc53564784" w:history="1">
            <w:r w:rsidR="00507230" w:rsidRPr="00C80E1C">
              <w:rPr>
                <w:rStyle w:val="Hyperlink"/>
              </w:rPr>
              <w:t>13.</w:t>
            </w:r>
            <w:r w:rsidR="00507230">
              <w:rPr>
                <w:rFonts w:eastAsiaTheme="minorEastAsia"/>
                <w:b w:val="0"/>
                <w:sz w:val="22"/>
                <w:szCs w:val="22"/>
                <w:lang w:eastAsia="en-AU"/>
              </w:rPr>
              <w:tab/>
            </w:r>
            <w:r w:rsidR="00507230" w:rsidRPr="00C80E1C">
              <w:rPr>
                <w:rStyle w:val="Hyperlink"/>
              </w:rPr>
              <w:t>Working with the templates</w:t>
            </w:r>
            <w:r w:rsidR="00507230">
              <w:rPr>
                <w:webHidden/>
              </w:rPr>
              <w:tab/>
            </w:r>
            <w:r w:rsidR="00507230">
              <w:rPr>
                <w:webHidden/>
              </w:rPr>
              <w:fldChar w:fldCharType="begin"/>
            </w:r>
            <w:r w:rsidR="00507230">
              <w:rPr>
                <w:webHidden/>
              </w:rPr>
              <w:instrText xml:space="preserve"> PAGEREF _Toc53564784 \h </w:instrText>
            </w:r>
            <w:r w:rsidR="00507230">
              <w:rPr>
                <w:webHidden/>
              </w:rPr>
            </w:r>
            <w:r w:rsidR="00507230">
              <w:rPr>
                <w:webHidden/>
              </w:rPr>
              <w:fldChar w:fldCharType="separate"/>
            </w:r>
            <w:r w:rsidR="00507230">
              <w:rPr>
                <w:webHidden/>
              </w:rPr>
              <w:t>68</w:t>
            </w:r>
            <w:r w:rsidR="00507230">
              <w:rPr>
                <w:webHidden/>
              </w:rPr>
              <w:fldChar w:fldCharType="end"/>
            </w:r>
          </w:hyperlink>
        </w:p>
        <w:p w14:paraId="0B00B542" w14:textId="4B99D91A" w:rsidR="00507230" w:rsidRDefault="00854156">
          <w:pPr>
            <w:pStyle w:val="TOC2"/>
            <w:rPr>
              <w:rFonts w:eastAsiaTheme="minorEastAsia"/>
              <w:szCs w:val="22"/>
              <w:lang w:eastAsia="en-AU"/>
            </w:rPr>
          </w:pPr>
          <w:hyperlink w:anchor="_Toc53564785" w:history="1">
            <w:r w:rsidR="00507230" w:rsidRPr="00C80E1C">
              <w:rPr>
                <w:rStyle w:val="Hyperlink"/>
              </w:rPr>
              <w:t>13.1</w:t>
            </w:r>
            <w:r w:rsidR="00507230">
              <w:rPr>
                <w:rFonts w:eastAsiaTheme="minorEastAsia"/>
                <w:szCs w:val="22"/>
                <w:lang w:eastAsia="en-AU"/>
              </w:rPr>
              <w:tab/>
            </w:r>
            <w:r w:rsidR="00507230" w:rsidRPr="00C80E1C">
              <w:rPr>
                <w:rStyle w:val="Hyperlink"/>
              </w:rPr>
              <w:t>Saving the files</w:t>
            </w:r>
            <w:r w:rsidR="00507230">
              <w:rPr>
                <w:webHidden/>
              </w:rPr>
              <w:tab/>
            </w:r>
            <w:r w:rsidR="00507230">
              <w:rPr>
                <w:webHidden/>
              </w:rPr>
              <w:fldChar w:fldCharType="begin"/>
            </w:r>
            <w:r w:rsidR="00507230">
              <w:rPr>
                <w:webHidden/>
              </w:rPr>
              <w:instrText xml:space="preserve"> PAGEREF _Toc53564785 \h </w:instrText>
            </w:r>
            <w:r w:rsidR="00507230">
              <w:rPr>
                <w:webHidden/>
              </w:rPr>
            </w:r>
            <w:r w:rsidR="00507230">
              <w:rPr>
                <w:webHidden/>
              </w:rPr>
              <w:fldChar w:fldCharType="separate"/>
            </w:r>
            <w:r w:rsidR="00507230">
              <w:rPr>
                <w:webHidden/>
              </w:rPr>
              <w:t>68</w:t>
            </w:r>
            <w:r w:rsidR="00507230">
              <w:rPr>
                <w:webHidden/>
              </w:rPr>
              <w:fldChar w:fldCharType="end"/>
            </w:r>
          </w:hyperlink>
        </w:p>
        <w:p w14:paraId="35365B27" w14:textId="5423EAE7" w:rsidR="00507230" w:rsidRDefault="00854156">
          <w:pPr>
            <w:pStyle w:val="TOC2"/>
            <w:rPr>
              <w:rFonts w:eastAsiaTheme="minorEastAsia"/>
              <w:szCs w:val="22"/>
              <w:lang w:eastAsia="en-AU"/>
            </w:rPr>
          </w:pPr>
          <w:hyperlink w:anchor="_Toc53564786" w:history="1">
            <w:r w:rsidR="00507230" w:rsidRPr="00C80E1C">
              <w:rPr>
                <w:rStyle w:val="Hyperlink"/>
              </w:rPr>
              <w:t>13.2</w:t>
            </w:r>
            <w:r w:rsidR="00507230">
              <w:rPr>
                <w:rFonts w:eastAsiaTheme="minorEastAsia"/>
                <w:szCs w:val="22"/>
                <w:lang w:eastAsia="en-AU"/>
              </w:rPr>
              <w:tab/>
            </w:r>
            <w:r w:rsidR="00507230" w:rsidRPr="00C80E1C">
              <w:rPr>
                <w:rStyle w:val="Hyperlink"/>
              </w:rPr>
              <w:t>Excel table specifications</w:t>
            </w:r>
            <w:r w:rsidR="00507230">
              <w:rPr>
                <w:webHidden/>
              </w:rPr>
              <w:tab/>
            </w:r>
            <w:r w:rsidR="00507230">
              <w:rPr>
                <w:webHidden/>
              </w:rPr>
              <w:fldChar w:fldCharType="begin"/>
            </w:r>
            <w:r w:rsidR="00507230">
              <w:rPr>
                <w:webHidden/>
              </w:rPr>
              <w:instrText xml:space="preserve"> PAGEREF _Toc53564786 \h </w:instrText>
            </w:r>
            <w:r w:rsidR="00507230">
              <w:rPr>
                <w:webHidden/>
              </w:rPr>
            </w:r>
            <w:r w:rsidR="00507230">
              <w:rPr>
                <w:webHidden/>
              </w:rPr>
              <w:fldChar w:fldCharType="separate"/>
            </w:r>
            <w:r w:rsidR="00507230">
              <w:rPr>
                <w:webHidden/>
              </w:rPr>
              <w:t>68</w:t>
            </w:r>
            <w:r w:rsidR="00507230">
              <w:rPr>
                <w:webHidden/>
              </w:rPr>
              <w:fldChar w:fldCharType="end"/>
            </w:r>
          </w:hyperlink>
        </w:p>
        <w:p w14:paraId="0153A729" w14:textId="2AC19ECE" w:rsidR="00507230" w:rsidRDefault="00854156">
          <w:pPr>
            <w:pStyle w:val="TOC3"/>
            <w:rPr>
              <w:rFonts w:eastAsiaTheme="minorEastAsia"/>
              <w:szCs w:val="22"/>
              <w:lang w:eastAsia="en-AU"/>
            </w:rPr>
          </w:pPr>
          <w:hyperlink w:anchor="_Toc53564787" w:history="1">
            <w:r w:rsidR="00507230" w:rsidRPr="00C80E1C">
              <w:rPr>
                <w:rStyle w:val="Hyperlink"/>
              </w:rPr>
              <w:t>13.2.1</w:t>
            </w:r>
            <w:r w:rsidR="00507230">
              <w:rPr>
                <w:rFonts w:eastAsiaTheme="minorEastAsia"/>
                <w:szCs w:val="22"/>
                <w:lang w:eastAsia="en-AU"/>
              </w:rPr>
              <w:tab/>
            </w:r>
            <w:r w:rsidR="00507230" w:rsidRPr="00C80E1C">
              <w:rPr>
                <w:rStyle w:val="Hyperlink"/>
              </w:rPr>
              <w:t>Formatting an existing table to budget standards</w:t>
            </w:r>
            <w:r w:rsidR="00507230">
              <w:rPr>
                <w:webHidden/>
              </w:rPr>
              <w:tab/>
            </w:r>
            <w:r w:rsidR="00507230">
              <w:rPr>
                <w:webHidden/>
              </w:rPr>
              <w:fldChar w:fldCharType="begin"/>
            </w:r>
            <w:r w:rsidR="00507230">
              <w:rPr>
                <w:webHidden/>
              </w:rPr>
              <w:instrText xml:space="preserve"> PAGEREF _Toc53564787 \h </w:instrText>
            </w:r>
            <w:r w:rsidR="00507230">
              <w:rPr>
                <w:webHidden/>
              </w:rPr>
            </w:r>
            <w:r w:rsidR="00507230">
              <w:rPr>
                <w:webHidden/>
              </w:rPr>
              <w:fldChar w:fldCharType="separate"/>
            </w:r>
            <w:r w:rsidR="00507230">
              <w:rPr>
                <w:webHidden/>
              </w:rPr>
              <w:t>69</w:t>
            </w:r>
            <w:r w:rsidR="00507230">
              <w:rPr>
                <w:webHidden/>
              </w:rPr>
              <w:fldChar w:fldCharType="end"/>
            </w:r>
          </w:hyperlink>
        </w:p>
        <w:p w14:paraId="01408805" w14:textId="611B4CB2" w:rsidR="00507230" w:rsidRDefault="00854156">
          <w:pPr>
            <w:pStyle w:val="TOC3"/>
            <w:rPr>
              <w:rFonts w:eastAsiaTheme="minorEastAsia"/>
              <w:szCs w:val="22"/>
              <w:lang w:eastAsia="en-AU"/>
            </w:rPr>
          </w:pPr>
          <w:hyperlink w:anchor="_Toc53564788" w:history="1">
            <w:r w:rsidR="00507230" w:rsidRPr="00C80E1C">
              <w:rPr>
                <w:rStyle w:val="Hyperlink"/>
              </w:rPr>
              <w:t>13.2.2</w:t>
            </w:r>
            <w:r w:rsidR="00507230">
              <w:rPr>
                <w:rFonts w:eastAsiaTheme="minorEastAsia"/>
                <w:szCs w:val="22"/>
                <w:lang w:eastAsia="en-AU"/>
              </w:rPr>
              <w:tab/>
            </w:r>
            <w:r w:rsidR="00507230" w:rsidRPr="00C80E1C">
              <w:rPr>
                <w:rStyle w:val="Hyperlink"/>
              </w:rPr>
              <w:t>Setting font and text alignment</w:t>
            </w:r>
            <w:r w:rsidR="00507230">
              <w:rPr>
                <w:webHidden/>
              </w:rPr>
              <w:tab/>
            </w:r>
            <w:r w:rsidR="00507230">
              <w:rPr>
                <w:webHidden/>
              </w:rPr>
              <w:fldChar w:fldCharType="begin"/>
            </w:r>
            <w:r w:rsidR="00507230">
              <w:rPr>
                <w:webHidden/>
              </w:rPr>
              <w:instrText xml:space="preserve"> PAGEREF _Toc53564788 \h </w:instrText>
            </w:r>
            <w:r w:rsidR="00507230">
              <w:rPr>
                <w:webHidden/>
              </w:rPr>
            </w:r>
            <w:r w:rsidR="00507230">
              <w:rPr>
                <w:webHidden/>
              </w:rPr>
              <w:fldChar w:fldCharType="separate"/>
            </w:r>
            <w:r w:rsidR="00507230">
              <w:rPr>
                <w:webHidden/>
              </w:rPr>
              <w:t>69</w:t>
            </w:r>
            <w:r w:rsidR="00507230">
              <w:rPr>
                <w:webHidden/>
              </w:rPr>
              <w:fldChar w:fldCharType="end"/>
            </w:r>
          </w:hyperlink>
        </w:p>
        <w:p w14:paraId="23AEDD2B" w14:textId="62167230" w:rsidR="00507230" w:rsidRDefault="00854156">
          <w:pPr>
            <w:pStyle w:val="TOC3"/>
            <w:rPr>
              <w:rFonts w:eastAsiaTheme="minorEastAsia"/>
              <w:szCs w:val="22"/>
              <w:lang w:eastAsia="en-AU"/>
            </w:rPr>
          </w:pPr>
          <w:hyperlink w:anchor="_Toc53564789" w:history="1">
            <w:r w:rsidR="00507230" w:rsidRPr="00C80E1C">
              <w:rPr>
                <w:rStyle w:val="Hyperlink"/>
              </w:rPr>
              <w:t>13.2.3</w:t>
            </w:r>
            <w:r w:rsidR="00507230">
              <w:rPr>
                <w:rFonts w:eastAsiaTheme="minorEastAsia"/>
                <w:szCs w:val="22"/>
                <w:lang w:eastAsia="en-AU"/>
              </w:rPr>
              <w:tab/>
            </w:r>
            <w:r w:rsidR="00507230" w:rsidRPr="00C80E1C">
              <w:rPr>
                <w:rStyle w:val="Hyperlink"/>
              </w:rPr>
              <w:t>Row height</w:t>
            </w:r>
            <w:r w:rsidR="00507230">
              <w:rPr>
                <w:webHidden/>
              </w:rPr>
              <w:tab/>
            </w:r>
            <w:r w:rsidR="00507230">
              <w:rPr>
                <w:webHidden/>
              </w:rPr>
              <w:fldChar w:fldCharType="begin"/>
            </w:r>
            <w:r w:rsidR="00507230">
              <w:rPr>
                <w:webHidden/>
              </w:rPr>
              <w:instrText xml:space="preserve"> PAGEREF _Toc53564789 \h </w:instrText>
            </w:r>
            <w:r w:rsidR="00507230">
              <w:rPr>
                <w:webHidden/>
              </w:rPr>
            </w:r>
            <w:r w:rsidR="00507230">
              <w:rPr>
                <w:webHidden/>
              </w:rPr>
              <w:fldChar w:fldCharType="separate"/>
            </w:r>
            <w:r w:rsidR="00507230">
              <w:rPr>
                <w:webHidden/>
              </w:rPr>
              <w:t>70</w:t>
            </w:r>
            <w:r w:rsidR="00507230">
              <w:rPr>
                <w:webHidden/>
              </w:rPr>
              <w:fldChar w:fldCharType="end"/>
            </w:r>
          </w:hyperlink>
        </w:p>
        <w:p w14:paraId="06678630" w14:textId="3629B359" w:rsidR="00507230" w:rsidRDefault="00854156">
          <w:pPr>
            <w:pStyle w:val="TOC3"/>
            <w:rPr>
              <w:rFonts w:eastAsiaTheme="minorEastAsia"/>
              <w:szCs w:val="22"/>
              <w:lang w:eastAsia="en-AU"/>
            </w:rPr>
          </w:pPr>
          <w:hyperlink w:anchor="_Toc53564790" w:history="1">
            <w:r w:rsidR="00507230" w:rsidRPr="00C80E1C">
              <w:rPr>
                <w:rStyle w:val="Hyperlink"/>
              </w:rPr>
              <w:t>13.2.4</w:t>
            </w:r>
            <w:r w:rsidR="00507230">
              <w:rPr>
                <w:rFonts w:eastAsiaTheme="minorEastAsia"/>
                <w:szCs w:val="22"/>
                <w:lang w:eastAsia="en-AU"/>
              </w:rPr>
              <w:tab/>
            </w:r>
            <w:r w:rsidR="00507230" w:rsidRPr="00C80E1C">
              <w:rPr>
                <w:rStyle w:val="Hyperlink"/>
              </w:rPr>
              <w:t>Table borders</w:t>
            </w:r>
            <w:r w:rsidR="00507230">
              <w:rPr>
                <w:webHidden/>
              </w:rPr>
              <w:tab/>
            </w:r>
            <w:r w:rsidR="00507230">
              <w:rPr>
                <w:webHidden/>
              </w:rPr>
              <w:fldChar w:fldCharType="begin"/>
            </w:r>
            <w:r w:rsidR="00507230">
              <w:rPr>
                <w:webHidden/>
              </w:rPr>
              <w:instrText xml:space="preserve"> PAGEREF _Toc53564790 \h </w:instrText>
            </w:r>
            <w:r w:rsidR="00507230">
              <w:rPr>
                <w:webHidden/>
              </w:rPr>
            </w:r>
            <w:r w:rsidR="00507230">
              <w:rPr>
                <w:webHidden/>
              </w:rPr>
              <w:fldChar w:fldCharType="separate"/>
            </w:r>
            <w:r w:rsidR="00507230">
              <w:rPr>
                <w:webHidden/>
              </w:rPr>
              <w:t>70</w:t>
            </w:r>
            <w:r w:rsidR="00507230">
              <w:rPr>
                <w:webHidden/>
              </w:rPr>
              <w:fldChar w:fldCharType="end"/>
            </w:r>
          </w:hyperlink>
        </w:p>
        <w:p w14:paraId="4C93962C" w14:textId="604D3EEC" w:rsidR="00507230" w:rsidRDefault="00854156">
          <w:pPr>
            <w:pStyle w:val="TOC3"/>
            <w:rPr>
              <w:rFonts w:eastAsiaTheme="minorEastAsia"/>
              <w:szCs w:val="22"/>
              <w:lang w:eastAsia="en-AU"/>
            </w:rPr>
          </w:pPr>
          <w:hyperlink w:anchor="_Toc53564791" w:history="1">
            <w:r w:rsidR="00507230" w:rsidRPr="00C80E1C">
              <w:rPr>
                <w:rStyle w:val="Hyperlink"/>
              </w:rPr>
              <w:t>13.2.5</w:t>
            </w:r>
            <w:r w:rsidR="00507230">
              <w:rPr>
                <w:rFonts w:eastAsiaTheme="minorEastAsia"/>
                <w:szCs w:val="22"/>
                <w:lang w:eastAsia="en-AU"/>
              </w:rPr>
              <w:tab/>
            </w:r>
            <w:r w:rsidR="00507230" w:rsidRPr="00C80E1C">
              <w:rPr>
                <w:rStyle w:val="Hyperlink"/>
              </w:rPr>
              <w:t>Shading</w:t>
            </w:r>
            <w:r w:rsidR="00507230">
              <w:rPr>
                <w:webHidden/>
              </w:rPr>
              <w:tab/>
            </w:r>
            <w:r w:rsidR="00507230">
              <w:rPr>
                <w:webHidden/>
              </w:rPr>
              <w:fldChar w:fldCharType="begin"/>
            </w:r>
            <w:r w:rsidR="00507230">
              <w:rPr>
                <w:webHidden/>
              </w:rPr>
              <w:instrText xml:space="preserve"> PAGEREF _Toc53564791 \h </w:instrText>
            </w:r>
            <w:r w:rsidR="00507230">
              <w:rPr>
                <w:webHidden/>
              </w:rPr>
            </w:r>
            <w:r w:rsidR="00507230">
              <w:rPr>
                <w:webHidden/>
              </w:rPr>
              <w:fldChar w:fldCharType="separate"/>
            </w:r>
            <w:r w:rsidR="00507230">
              <w:rPr>
                <w:webHidden/>
              </w:rPr>
              <w:t>71</w:t>
            </w:r>
            <w:r w:rsidR="00507230">
              <w:rPr>
                <w:webHidden/>
              </w:rPr>
              <w:fldChar w:fldCharType="end"/>
            </w:r>
          </w:hyperlink>
        </w:p>
        <w:p w14:paraId="54F4F70E" w14:textId="24366A10" w:rsidR="00507230" w:rsidRDefault="00854156">
          <w:pPr>
            <w:pStyle w:val="TOC3"/>
            <w:rPr>
              <w:rFonts w:eastAsiaTheme="minorEastAsia"/>
              <w:szCs w:val="22"/>
              <w:lang w:eastAsia="en-AU"/>
            </w:rPr>
          </w:pPr>
          <w:hyperlink w:anchor="_Toc53564792" w:history="1">
            <w:r w:rsidR="00507230" w:rsidRPr="00C80E1C">
              <w:rPr>
                <w:rStyle w:val="Hyperlink"/>
              </w:rPr>
              <w:t>13.2.6</w:t>
            </w:r>
            <w:r w:rsidR="00507230">
              <w:rPr>
                <w:rFonts w:eastAsiaTheme="minorEastAsia"/>
                <w:szCs w:val="22"/>
                <w:lang w:eastAsia="en-AU"/>
              </w:rPr>
              <w:tab/>
            </w:r>
            <w:r w:rsidR="00507230" w:rsidRPr="00C80E1C">
              <w:rPr>
                <w:rStyle w:val="Hyperlink"/>
              </w:rPr>
              <w:t>Indenting text</w:t>
            </w:r>
            <w:r w:rsidR="00507230">
              <w:rPr>
                <w:webHidden/>
              </w:rPr>
              <w:tab/>
            </w:r>
            <w:r w:rsidR="00507230">
              <w:rPr>
                <w:webHidden/>
              </w:rPr>
              <w:fldChar w:fldCharType="begin"/>
            </w:r>
            <w:r w:rsidR="00507230">
              <w:rPr>
                <w:webHidden/>
              </w:rPr>
              <w:instrText xml:space="preserve"> PAGEREF _Toc53564792 \h </w:instrText>
            </w:r>
            <w:r w:rsidR="00507230">
              <w:rPr>
                <w:webHidden/>
              </w:rPr>
            </w:r>
            <w:r w:rsidR="00507230">
              <w:rPr>
                <w:webHidden/>
              </w:rPr>
              <w:fldChar w:fldCharType="separate"/>
            </w:r>
            <w:r w:rsidR="00507230">
              <w:rPr>
                <w:webHidden/>
              </w:rPr>
              <w:t>71</w:t>
            </w:r>
            <w:r w:rsidR="00507230">
              <w:rPr>
                <w:webHidden/>
              </w:rPr>
              <w:fldChar w:fldCharType="end"/>
            </w:r>
          </w:hyperlink>
        </w:p>
        <w:p w14:paraId="54B6A6CE" w14:textId="068BFCC5" w:rsidR="00507230" w:rsidRDefault="00854156">
          <w:pPr>
            <w:pStyle w:val="TOC3"/>
            <w:rPr>
              <w:rFonts w:eastAsiaTheme="minorEastAsia"/>
              <w:szCs w:val="22"/>
              <w:lang w:eastAsia="en-AU"/>
            </w:rPr>
          </w:pPr>
          <w:hyperlink w:anchor="_Toc53564793" w:history="1">
            <w:r w:rsidR="00507230" w:rsidRPr="00C80E1C">
              <w:rPr>
                <w:rStyle w:val="Hyperlink"/>
              </w:rPr>
              <w:t>13.2.7</w:t>
            </w:r>
            <w:r w:rsidR="00507230">
              <w:rPr>
                <w:rFonts w:eastAsiaTheme="minorEastAsia"/>
                <w:szCs w:val="22"/>
                <w:lang w:eastAsia="en-AU"/>
              </w:rPr>
              <w:tab/>
            </w:r>
            <w:r w:rsidR="00507230" w:rsidRPr="00C80E1C">
              <w:rPr>
                <w:rStyle w:val="Hyperlink"/>
              </w:rPr>
              <w:t>Inserting linked excel tables into the word template</w:t>
            </w:r>
            <w:r w:rsidR="00507230">
              <w:rPr>
                <w:webHidden/>
              </w:rPr>
              <w:tab/>
            </w:r>
            <w:r w:rsidR="00507230">
              <w:rPr>
                <w:webHidden/>
              </w:rPr>
              <w:fldChar w:fldCharType="begin"/>
            </w:r>
            <w:r w:rsidR="00507230">
              <w:rPr>
                <w:webHidden/>
              </w:rPr>
              <w:instrText xml:space="preserve"> PAGEREF _Toc53564793 \h </w:instrText>
            </w:r>
            <w:r w:rsidR="00507230">
              <w:rPr>
                <w:webHidden/>
              </w:rPr>
            </w:r>
            <w:r w:rsidR="00507230">
              <w:rPr>
                <w:webHidden/>
              </w:rPr>
              <w:fldChar w:fldCharType="separate"/>
            </w:r>
            <w:r w:rsidR="00507230">
              <w:rPr>
                <w:webHidden/>
              </w:rPr>
              <w:t>71</w:t>
            </w:r>
            <w:r w:rsidR="00507230">
              <w:rPr>
                <w:webHidden/>
              </w:rPr>
              <w:fldChar w:fldCharType="end"/>
            </w:r>
          </w:hyperlink>
        </w:p>
        <w:p w14:paraId="7E2A1B0D" w14:textId="02E3A567" w:rsidR="00507230" w:rsidRDefault="00854156">
          <w:pPr>
            <w:pStyle w:val="TOC2"/>
            <w:rPr>
              <w:rFonts w:eastAsiaTheme="minorEastAsia"/>
              <w:szCs w:val="22"/>
              <w:lang w:eastAsia="en-AU"/>
            </w:rPr>
          </w:pPr>
          <w:hyperlink w:anchor="_Toc53564794" w:history="1">
            <w:r w:rsidR="00507230" w:rsidRPr="00C80E1C">
              <w:rPr>
                <w:rStyle w:val="Hyperlink"/>
              </w:rPr>
              <w:t>13.3</w:t>
            </w:r>
            <w:r w:rsidR="00507230">
              <w:rPr>
                <w:rFonts w:eastAsiaTheme="minorEastAsia"/>
                <w:szCs w:val="22"/>
                <w:lang w:eastAsia="en-AU"/>
              </w:rPr>
              <w:tab/>
            </w:r>
            <w:r w:rsidR="00507230" w:rsidRPr="00C80E1C">
              <w:rPr>
                <w:rStyle w:val="Hyperlink"/>
              </w:rPr>
              <w:t>Preparing the word template for printing</w:t>
            </w:r>
            <w:r w:rsidR="00507230">
              <w:rPr>
                <w:webHidden/>
              </w:rPr>
              <w:tab/>
            </w:r>
            <w:r w:rsidR="00507230">
              <w:rPr>
                <w:webHidden/>
              </w:rPr>
              <w:fldChar w:fldCharType="begin"/>
            </w:r>
            <w:r w:rsidR="00507230">
              <w:rPr>
                <w:webHidden/>
              </w:rPr>
              <w:instrText xml:space="preserve"> PAGEREF _Toc53564794 \h </w:instrText>
            </w:r>
            <w:r w:rsidR="00507230">
              <w:rPr>
                <w:webHidden/>
              </w:rPr>
            </w:r>
            <w:r w:rsidR="00507230">
              <w:rPr>
                <w:webHidden/>
              </w:rPr>
              <w:fldChar w:fldCharType="separate"/>
            </w:r>
            <w:r w:rsidR="00507230">
              <w:rPr>
                <w:webHidden/>
              </w:rPr>
              <w:t>72</w:t>
            </w:r>
            <w:r w:rsidR="00507230">
              <w:rPr>
                <w:webHidden/>
              </w:rPr>
              <w:fldChar w:fldCharType="end"/>
            </w:r>
          </w:hyperlink>
        </w:p>
        <w:p w14:paraId="305CC958" w14:textId="45DE89A2" w:rsidR="00507230" w:rsidRDefault="00854156">
          <w:pPr>
            <w:pStyle w:val="TOC2"/>
            <w:rPr>
              <w:rFonts w:eastAsiaTheme="minorEastAsia"/>
              <w:szCs w:val="22"/>
              <w:lang w:eastAsia="en-AU"/>
            </w:rPr>
          </w:pPr>
          <w:hyperlink w:anchor="_Toc53564795" w:history="1">
            <w:r w:rsidR="00507230" w:rsidRPr="00C80E1C">
              <w:rPr>
                <w:rStyle w:val="Hyperlink"/>
              </w:rPr>
              <w:t>13.4</w:t>
            </w:r>
            <w:r w:rsidR="00507230">
              <w:rPr>
                <w:rFonts w:eastAsiaTheme="minorEastAsia"/>
                <w:szCs w:val="22"/>
                <w:lang w:eastAsia="en-AU"/>
              </w:rPr>
              <w:tab/>
            </w:r>
            <w:r w:rsidR="00507230" w:rsidRPr="00C80E1C">
              <w:rPr>
                <w:rStyle w:val="Hyperlink"/>
              </w:rPr>
              <w:t>Preparing the word template for online publication</w:t>
            </w:r>
            <w:r w:rsidR="00507230">
              <w:rPr>
                <w:webHidden/>
              </w:rPr>
              <w:tab/>
            </w:r>
            <w:r w:rsidR="00507230">
              <w:rPr>
                <w:webHidden/>
              </w:rPr>
              <w:fldChar w:fldCharType="begin"/>
            </w:r>
            <w:r w:rsidR="00507230">
              <w:rPr>
                <w:webHidden/>
              </w:rPr>
              <w:instrText xml:space="preserve"> PAGEREF _Toc53564795 \h </w:instrText>
            </w:r>
            <w:r w:rsidR="00507230">
              <w:rPr>
                <w:webHidden/>
              </w:rPr>
            </w:r>
            <w:r w:rsidR="00507230">
              <w:rPr>
                <w:webHidden/>
              </w:rPr>
              <w:fldChar w:fldCharType="separate"/>
            </w:r>
            <w:r w:rsidR="00507230">
              <w:rPr>
                <w:webHidden/>
              </w:rPr>
              <w:t>72</w:t>
            </w:r>
            <w:r w:rsidR="00507230">
              <w:rPr>
                <w:webHidden/>
              </w:rPr>
              <w:fldChar w:fldCharType="end"/>
            </w:r>
          </w:hyperlink>
        </w:p>
        <w:p w14:paraId="72A5061D" w14:textId="17F1CEE0" w:rsidR="00507230" w:rsidRDefault="00854156">
          <w:pPr>
            <w:pStyle w:val="TOC2"/>
            <w:rPr>
              <w:rFonts w:eastAsiaTheme="minorEastAsia"/>
              <w:szCs w:val="22"/>
              <w:lang w:eastAsia="en-AU"/>
            </w:rPr>
          </w:pPr>
          <w:hyperlink w:anchor="_Toc53564796" w:history="1">
            <w:r w:rsidR="00507230" w:rsidRPr="00C80E1C">
              <w:rPr>
                <w:rStyle w:val="Hyperlink"/>
              </w:rPr>
              <w:t>13.5</w:t>
            </w:r>
            <w:r w:rsidR="00507230">
              <w:rPr>
                <w:rFonts w:eastAsiaTheme="minorEastAsia"/>
                <w:szCs w:val="22"/>
                <w:lang w:eastAsia="en-AU"/>
              </w:rPr>
              <w:tab/>
            </w:r>
            <w:r w:rsidR="00507230" w:rsidRPr="00C80E1C">
              <w:rPr>
                <w:rStyle w:val="Hyperlink"/>
              </w:rPr>
              <w:t>Web accessibility requirements</w:t>
            </w:r>
            <w:r w:rsidR="00507230">
              <w:rPr>
                <w:webHidden/>
              </w:rPr>
              <w:tab/>
            </w:r>
            <w:r w:rsidR="00507230">
              <w:rPr>
                <w:webHidden/>
              </w:rPr>
              <w:fldChar w:fldCharType="begin"/>
            </w:r>
            <w:r w:rsidR="00507230">
              <w:rPr>
                <w:webHidden/>
              </w:rPr>
              <w:instrText xml:space="preserve"> PAGEREF _Toc53564796 \h </w:instrText>
            </w:r>
            <w:r w:rsidR="00507230">
              <w:rPr>
                <w:webHidden/>
              </w:rPr>
            </w:r>
            <w:r w:rsidR="00507230">
              <w:rPr>
                <w:webHidden/>
              </w:rPr>
              <w:fldChar w:fldCharType="separate"/>
            </w:r>
            <w:r w:rsidR="00507230">
              <w:rPr>
                <w:webHidden/>
              </w:rPr>
              <w:t>73</w:t>
            </w:r>
            <w:r w:rsidR="00507230">
              <w:rPr>
                <w:webHidden/>
              </w:rPr>
              <w:fldChar w:fldCharType="end"/>
            </w:r>
          </w:hyperlink>
        </w:p>
        <w:p w14:paraId="3FE87BE0" w14:textId="51D893B1" w:rsidR="00507230" w:rsidRDefault="00854156">
          <w:pPr>
            <w:pStyle w:val="TOC3"/>
            <w:rPr>
              <w:rFonts w:eastAsiaTheme="minorEastAsia"/>
              <w:szCs w:val="22"/>
              <w:lang w:eastAsia="en-AU"/>
            </w:rPr>
          </w:pPr>
          <w:hyperlink w:anchor="_Toc53564797" w:history="1">
            <w:r w:rsidR="00507230" w:rsidRPr="00C80E1C">
              <w:rPr>
                <w:rStyle w:val="Hyperlink"/>
              </w:rPr>
              <w:t>13.5.1</w:t>
            </w:r>
            <w:r w:rsidR="00507230">
              <w:rPr>
                <w:rFonts w:eastAsiaTheme="minorEastAsia"/>
                <w:szCs w:val="22"/>
                <w:lang w:eastAsia="en-AU"/>
              </w:rPr>
              <w:tab/>
            </w:r>
            <w:r w:rsidR="00507230" w:rsidRPr="00C80E1C">
              <w:rPr>
                <w:rStyle w:val="Hyperlink"/>
              </w:rPr>
              <w:t>Guide to making accessible soft copy documents</w:t>
            </w:r>
            <w:r w:rsidR="00507230">
              <w:rPr>
                <w:webHidden/>
              </w:rPr>
              <w:tab/>
            </w:r>
            <w:r w:rsidR="00507230">
              <w:rPr>
                <w:webHidden/>
              </w:rPr>
              <w:fldChar w:fldCharType="begin"/>
            </w:r>
            <w:r w:rsidR="00507230">
              <w:rPr>
                <w:webHidden/>
              </w:rPr>
              <w:instrText xml:space="preserve"> PAGEREF _Toc53564797 \h </w:instrText>
            </w:r>
            <w:r w:rsidR="00507230">
              <w:rPr>
                <w:webHidden/>
              </w:rPr>
            </w:r>
            <w:r w:rsidR="00507230">
              <w:rPr>
                <w:webHidden/>
              </w:rPr>
              <w:fldChar w:fldCharType="separate"/>
            </w:r>
            <w:r w:rsidR="00507230">
              <w:rPr>
                <w:webHidden/>
              </w:rPr>
              <w:t>73</w:t>
            </w:r>
            <w:r w:rsidR="00507230">
              <w:rPr>
                <w:webHidden/>
              </w:rPr>
              <w:fldChar w:fldCharType="end"/>
            </w:r>
          </w:hyperlink>
        </w:p>
        <w:p w14:paraId="54E5053C" w14:textId="3D32BD03" w:rsidR="00507230" w:rsidRDefault="00854156">
          <w:pPr>
            <w:pStyle w:val="TOC1"/>
            <w:rPr>
              <w:rFonts w:eastAsiaTheme="minorEastAsia"/>
              <w:b w:val="0"/>
              <w:sz w:val="22"/>
              <w:szCs w:val="22"/>
              <w:lang w:eastAsia="en-AU"/>
            </w:rPr>
          </w:pPr>
          <w:hyperlink w:anchor="_Toc53564798" w:history="1">
            <w:r w:rsidR="00507230" w:rsidRPr="00C80E1C">
              <w:rPr>
                <w:rStyle w:val="Hyperlink"/>
              </w:rPr>
              <w:t>14.</w:t>
            </w:r>
            <w:r w:rsidR="00507230">
              <w:rPr>
                <w:rFonts w:eastAsiaTheme="minorEastAsia"/>
                <w:b w:val="0"/>
                <w:sz w:val="22"/>
                <w:szCs w:val="22"/>
                <w:lang w:eastAsia="en-AU"/>
              </w:rPr>
              <w:tab/>
            </w:r>
            <w:r w:rsidR="00507230" w:rsidRPr="00C80E1C">
              <w:rPr>
                <w:rStyle w:val="Hyperlink"/>
              </w:rPr>
              <w:t>Contacts</w:t>
            </w:r>
            <w:r w:rsidR="00507230">
              <w:rPr>
                <w:webHidden/>
              </w:rPr>
              <w:tab/>
            </w:r>
            <w:r w:rsidR="00507230">
              <w:rPr>
                <w:webHidden/>
              </w:rPr>
              <w:fldChar w:fldCharType="begin"/>
            </w:r>
            <w:r w:rsidR="00507230">
              <w:rPr>
                <w:webHidden/>
              </w:rPr>
              <w:instrText xml:space="preserve"> PAGEREF _Toc53564798 \h </w:instrText>
            </w:r>
            <w:r w:rsidR="00507230">
              <w:rPr>
                <w:webHidden/>
              </w:rPr>
            </w:r>
            <w:r w:rsidR="00507230">
              <w:rPr>
                <w:webHidden/>
              </w:rPr>
              <w:fldChar w:fldCharType="separate"/>
            </w:r>
            <w:r w:rsidR="00507230">
              <w:rPr>
                <w:webHidden/>
              </w:rPr>
              <w:t>75</w:t>
            </w:r>
            <w:r w:rsidR="00507230">
              <w:rPr>
                <w:webHidden/>
              </w:rPr>
              <w:fldChar w:fldCharType="end"/>
            </w:r>
          </w:hyperlink>
        </w:p>
        <w:p w14:paraId="7106A5DC" w14:textId="465CE504" w:rsidR="00507230" w:rsidRDefault="00854156">
          <w:pPr>
            <w:pStyle w:val="TOC2"/>
            <w:rPr>
              <w:rFonts w:eastAsiaTheme="minorEastAsia"/>
              <w:szCs w:val="22"/>
              <w:lang w:eastAsia="en-AU"/>
            </w:rPr>
          </w:pPr>
          <w:hyperlink w:anchor="_Toc53564799" w:history="1">
            <w:r w:rsidR="00507230" w:rsidRPr="00C80E1C">
              <w:rPr>
                <w:rStyle w:val="Hyperlink"/>
              </w:rPr>
              <w:t>14.1</w:t>
            </w:r>
            <w:r w:rsidR="00507230">
              <w:rPr>
                <w:rFonts w:eastAsiaTheme="minorEastAsia"/>
                <w:szCs w:val="22"/>
                <w:lang w:eastAsia="en-AU"/>
              </w:rPr>
              <w:tab/>
            </w:r>
            <w:r w:rsidR="00507230" w:rsidRPr="00C80E1C">
              <w:rPr>
                <w:rStyle w:val="Hyperlink"/>
              </w:rPr>
              <w:t>Department of Finance</w:t>
            </w:r>
            <w:r w:rsidR="00507230">
              <w:rPr>
                <w:webHidden/>
              </w:rPr>
              <w:tab/>
            </w:r>
            <w:r w:rsidR="00507230">
              <w:rPr>
                <w:webHidden/>
              </w:rPr>
              <w:fldChar w:fldCharType="begin"/>
            </w:r>
            <w:r w:rsidR="00507230">
              <w:rPr>
                <w:webHidden/>
              </w:rPr>
              <w:instrText xml:space="preserve"> PAGEREF _Toc53564799 \h </w:instrText>
            </w:r>
            <w:r w:rsidR="00507230">
              <w:rPr>
                <w:webHidden/>
              </w:rPr>
            </w:r>
            <w:r w:rsidR="00507230">
              <w:rPr>
                <w:webHidden/>
              </w:rPr>
              <w:fldChar w:fldCharType="separate"/>
            </w:r>
            <w:r w:rsidR="00507230">
              <w:rPr>
                <w:webHidden/>
              </w:rPr>
              <w:t>75</w:t>
            </w:r>
            <w:r w:rsidR="00507230">
              <w:rPr>
                <w:webHidden/>
              </w:rPr>
              <w:fldChar w:fldCharType="end"/>
            </w:r>
          </w:hyperlink>
        </w:p>
        <w:p w14:paraId="2715EBAC" w14:textId="1AFCCE48" w:rsidR="00507230" w:rsidRDefault="00854156">
          <w:pPr>
            <w:pStyle w:val="TOC2"/>
            <w:rPr>
              <w:rFonts w:eastAsiaTheme="minorEastAsia"/>
              <w:szCs w:val="22"/>
              <w:lang w:eastAsia="en-AU"/>
            </w:rPr>
          </w:pPr>
          <w:hyperlink w:anchor="_Toc53564800" w:history="1">
            <w:r w:rsidR="00507230" w:rsidRPr="00C80E1C">
              <w:rPr>
                <w:rStyle w:val="Hyperlink"/>
              </w:rPr>
              <w:t>14.2</w:t>
            </w:r>
            <w:r w:rsidR="00507230">
              <w:rPr>
                <w:rFonts w:eastAsiaTheme="minorEastAsia"/>
                <w:szCs w:val="22"/>
                <w:lang w:eastAsia="en-AU"/>
              </w:rPr>
              <w:tab/>
            </w:r>
            <w:r w:rsidR="00507230" w:rsidRPr="00C80E1C">
              <w:rPr>
                <w:rStyle w:val="Hyperlink"/>
              </w:rPr>
              <w:t>Treasury</w:t>
            </w:r>
            <w:r w:rsidR="00507230">
              <w:rPr>
                <w:webHidden/>
              </w:rPr>
              <w:tab/>
            </w:r>
            <w:r w:rsidR="00507230">
              <w:rPr>
                <w:webHidden/>
              </w:rPr>
              <w:fldChar w:fldCharType="begin"/>
            </w:r>
            <w:r w:rsidR="00507230">
              <w:rPr>
                <w:webHidden/>
              </w:rPr>
              <w:instrText xml:space="preserve"> PAGEREF _Toc53564800 \h </w:instrText>
            </w:r>
            <w:r w:rsidR="00507230">
              <w:rPr>
                <w:webHidden/>
              </w:rPr>
            </w:r>
            <w:r w:rsidR="00507230">
              <w:rPr>
                <w:webHidden/>
              </w:rPr>
              <w:fldChar w:fldCharType="separate"/>
            </w:r>
            <w:r w:rsidR="00507230">
              <w:rPr>
                <w:webHidden/>
              </w:rPr>
              <w:t>76</w:t>
            </w:r>
            <w:r w:rsidR="00507230">
              <w:rPr>
                <w:webHidden/>
              </w:rPr>
              <w:fldChar w:fldCharType="end"/>
            </w:r>
          </w:hyperlink>
        </w:p>
        <w:p w14:paraId="0EFEFDFA" w14:textId="72292E5E" w:rsidR="00507230" w:rsidRDefault="00854156">
          <w:pPr>
            <w:pStyle w:val="TOC2"/>
            <w:rPr>
              <w:rFonts w:eastAsiaTheme="minorEastAsia"/>
              <w:szCs w:val="22"/>
              <w:lang w:eastAsia="en-AU"/>
            </w:rPr>
          </w:pPr>
          <w:hyperlink w:anchor="_Toc53564801" w:history="1">
            <w:r w:rsidR="00507230" w:rsidRPr="00C80E1C">
              <w:rPr>
                <w:rStyle w:val="Hyperlink"/>
              </w:rPr>
              <w:t>14.3</w:t>
            </w:r>
            <w:r w:rsidR="00507230">
              <w:rPr>
                <w:rFonts w:eastAsiaTheme="minorEastAsia"/>
                <w:szCs w:val="22"/>
                <w:lang w:eastAsia="en-AU"/>
              </w:rPr>
              <w:tab/>
            </w:r>
            <w:r w:rsidR="00507230" w:rsidRPr="00C80E1C">
              <w:rPr>
                <w:rStyle w:val="Hyperlink"/>
              </w:rPr>
              <w:t>CanPrint</w:t>
            </w:r>
            <w:r w:rsidR="00507230">
              <w:rPr>
                <w:webHidden/>
              </w:rPr>
              <w:tab/>
            </w:r>
            <w:r w:rsidR="00507230">
              <w:rPr>
                <w:webHidden/>
              </w:rPr>
              <w:fldChar w:fldCharType="begin"/>
            </w:r>
            <w:r w:rsidR="00507230">
              <w:rPr>
                <w:webHidden/>
              </w:rPr>
              <w:instrText xml:space="preserve"> PAGEREF _Toc53564801 \h </w:instrText>
            </w:r>
            <w:r w:rsidR="00507230">
              <w:rPr>
                <w:webHidden/>
              </w:rPr>
            </w:r>
            <w:r w:rsidR="00507230">
              <w:rPr>
                <w:webHidden/>
              </w:rPr>
              <w:fldChar w:fldCharType="separate"/>
            </w:r>
            <w:r w:rsidR="00507230">
              <w:rPr>
                <w:webHidden/>
              </w:rPr>
              <w:t>76</w:t>
            </w:r>
            <w:r w:rsidR="00507230">
              <w:rPr>
                <w:webHidden/>
              </w:rPr>
              <w:fldChar w:fldCharType="end"/>
            </w:r>
          </w:hyperlink>
        </w:p>
        <w:p w14:paraId="67622726" w14:textId="5E14A5A5" w:rsidR="00507230" w:rsidRDefault="00854156">
          <w:pPr>
            <w:pStyle w:val="TOC2"/>
            <w:rPr>
              <w:rFonts w:eastAsiaTheme="minorEastAsia"/>
              <w:szCs w:val="22"/>
              <w:lang w:eastAsia="en-AU"/>
            </w:rPr>
          </w:pPr>
          <w:hyperlink w:anchor="_Toc53564802" w:history="1">
            <w:r w:rsidR="00507230" w:rsidRPr="00C80E1C">
              <w:rPr>
                <w:rStyle w:val="Hyperlink"/>
              </w:rPr>
              <w:t>14.4</w:t>
            </w:r>
            <w:r w:rsidR="00507230">
              <w:rPr>
                <w:rFonts w:eastAsiaTheme="minorEastAsia"/>
                <w:szCs w:val="22"/>
                <w:lang w:eastAsia="en-AU"/>
              </w:rPr>
              <w:tab/>
            </w:r>
            <w:r w:rsidR="00507230" w:rsidRPr="00C80E1C">
              <w:rPr>
                <w:rStyle w:val="Hyperlink"/>
              </w:rPr>
              <w:t>Senate Table Office</w:t>
            </w:r>
            <w:r w:rsidR="00507230">
              <w:rPr>
                <w:webHidden/>
              </w:rPr>
              <w:tab/>
            </w:r>
            <w:r w:rsidR="00507230">
              <w:rPr>
                <w:webHidden/>
              </w:rPr>
              <w:fldChar w:fldCharType="begin"/>
            </w:r>
            <w:r w:rsidR="00507230">
              <w:rPr>
                <w:webHidden/>
              </w:rPr>
              <w:instrText xml:space="preserve"> PAGEREF _Toc53564802 \h </w:instrText>
            </w:r>
            <w:r w:rsidR="00507230">
              <w:rPr>
                <w:webHidden/>
              </w:rPr>
            </w:r>
            <w:r w:rsidR="00507230">
              <w:rPr>
                <w:webHidden/>
              </w:rPr>
              <w:fldChar w:fldCharType="separate"/>
            </w:r>
            <w:r w:rsidR="00507230">
              <w:rPr>
                <w:webHidden/>
              </w:rPr>
              <w:t>76</w:t>
            </w:r>
            <w:r w:rsidR="00507230">
              <w:rPr>
                <w:webHidden/>
              </w:rPr>
              <w:fldChar w:fldCharType="end"/>
            </w:r>
          </w:hyperlink>
        </w:p>
        <w:p w14:paraId="3B84DA03" w14:textId="52325856" w:rsidR="00507230" w:rsidRDefault="00854156">
          <w:pPr>
            <w:pStyle w:val="TOC1"/>
            <w:rPr>
              <w:rFonts w:eastAsiaTheme="minorEastAsia"/>
              <w:b w:val="0"/>
              <w:sz w:val="22"/>
              <w:szCs w:val="22"/>
              <w:lang w:eastAsia="en-AU"/>
            </w:rPr>
          </w:pPr>
          <w:hyperlink w:anchor="_Toc53564803" w:history="1">
            <w:r w:rsidR="00507230" w:rsidRPr="00C80E1C">
              <w:rPr>
                <w:rStyle w:val="Hyperlink"/>
              </w:rPr>
              <w:t>15.</w:t>
            </w:r>
            <w:r w:rsidR="00507230">
              <w:rPr>
                <w:rFonts w:eastAsiaTheme="minorEastAsia"/>
                <w:b w:val="0"/>
                <w:sz w:val="22"/>
                <w:szCs w:val="22"/>
                <w:lang w:eastAsia="en-AU"/>
              </w:rPr>
              <w:tab/>
            </w:r>
            <w:r w:rsidR="00507230" w:rsidRPr="00C80E1C">
              <w:rPr>
                <w:rStyle w:val="Hyperlink"/>
              </w:rPr>
              <w:t>Glossary of terms</w:t>
            </w:r>
            <w:r w:rsidR="00507230">
              <w:rPr>
                <w:webHidden/>
              </w:rPr>
              <w:tab/>
            </w:r>
            <w:r w:rsidR="00507230">
              <w:rPr>
                <w:webHidden/>
              </w:rPr>
              <w:fldChar w:fldCharType="begin"/>
            </w:r>
            <w:r w:rsidR="00507230">
              <w:rPr>
                <w:webHidden/>
              </w:rPr>
              <w:instrText xml:space="preserve"> PAGEREF _Toc53564803 \h </w:instrText>
            </w:r>
            <w:r w:rsidR="00507230">
              <w:rPr>
                <w:webHidden/>
              </w:rPr>
            </w:r>
            <w:r w:rsidR="00507230">
              <w:rPr>
                <w:webHidden/>
              </w:rPr>
              <w:fldChar w:fldCharType="separate"/>
            </w:r>
            <w:r w:rsidR="00507230">
              <w:rPr>
                <w:webHidden/>
              </w:rPr>
              <w:t>77</w:t>
            </w:r>
            <w:r w:rsidR="00507230">
              <w:rPr>
                <w:webHidden/>
              </w:rPr>
              <w:fldChar w:fldCharType="end"/>
            </w:r>
          </w:hyperlink>
        </w:p>
        <w:p w14:paraId="1564A008" w14:textId="577BFB72" w:rsidR="00BE4298" w:rsidRPr="000C5235" w:rsidRDefault="00BE4298" w:rsidP="00DB312F">
          <w:pPr>
            <w:pStyle w:val="TOC2"/>
          </w:pPr>
          <w:r w:rsidRPr="000C5235">
            <w:fldChar w:fldCharType="end"/>
          </w:r>
        </w:p>
      </w:sdtContent>
    </w:sdt>
    <w:p w14:paraId="505C1A50" w14:textId="77777777" w:rsidR="002A130F" w:rsidRPr="000C5235" w:rsidRDefault="00FA0945" w:rsidP="00A10310">
      <w:pPr>
        <w:pStyle w:val="CoverPage"/>
      </w:pPr>
      <w:bookmarkStart w:id="1" w:name="_Toc411852660"/>
      <w:bookmarkStart w:id="2" w:name="_Toc323051289"/>
      <w:bookmarkStart w:id="3" w:name="_Toc323302545"/>
      <w:bookmarkStart w:id="4" w:name="_Toc326738549"/>
      <w:bookmarkStart w:id="5" w:name="_Toc326741619"/>
      <w:bookmarkStart w:id="6" w:name="_Toc323302560"/>
      <w:r w:rsidRPr="000C5235">
        <w:t>Overvie</w:t>
      </w:r>
      <w:r w:rsidR="00701EA2" w:rsidRPr="000C5235">
        <w:t>w</w:t>
      </w:r>
    </w:p>
    <w:p w14:paraId="786A4CDF" w14:textId="77777777" w:rsidR="00E47F62" w:rsidRPr="000C5235" w:rsidRDefault="00E47F62" w:rsidP="000A7DEC">
      <w:pPr>
        <w:rPr>
          <w:sz w:val="44"/>
          <w:szCs w:val="44"/>
        </w:rPr>
        <w:sectPr w:rsidR="00E47F62" w:rsidRPr="000C5235" w:rsidSect="000A7DEC">
          <w:headerReference w:type="even" r:id="rId14"/>
          <w:headerReference w:type="default" r:id="rId15"/>
          <w:footerReference w:type="default" r:id="rId16"/>
          <w:headerReference w:type="first" r:id="rId17"/>
          <w:pgSz w:w="11900" w:h="16840" w:code="9"/>
          <w:pgMar w:top="1418" w:right="1418" w:bottom="1701" w:left="1418" w:header="510" w:footer="510" w:gutter="0"/>
          <w:cols w:space="708"/>
          <w:vAlign w:val="center"/>
          <w:docGrid w:linePitch="360"/>
        </w:sectPr>
      </w:pPr>
    </w:p>
    <w:p w14:paraId="2113F0BD" w14:textId="77777777" w:rsidR="00A10310" w:rsidRPr="000C5235" w:rsidRDefault="00A10310" w:rsidP="000A7DEC">
      <w:pPr>
        <w:pStyle w:val="Heading1Numbered"/>
      </w:pPr>
      <w:bookmarkStart w:id="7" w:name="_Toc534389757"/>
      <w:bookmarkStart w:id="8" w:name="_Toc534389898"/>
      <w:bookmarkStart w:id="9" w:name="_Toc534406194"/>
      <w:bookmarkStart w:id="10" w:name="_Toc534441471"/>
      <w:bookmarkStart w:id="11" w:name="_Toc534442812"/>
      <w:bookmarkStart w:id="12" w:name="_Toc534442953"/>
      <w:bookmarkStart w:id="13" w:name="_Toc534443094"/>
      <w:bookmarkStart w:id="14" w:name="_Toc534458849"/>
      <w:bookmarkStart w:id="15" w:name="_Toc534459638"/>
      <w:bookmarkStart w:id="16" w:name="_Toc534519133"/>
      <w:bookmarkStart w:id="17" w:name="_Toc534520043"/>
      <w:bookmarkStart w:id="18" w:name="_Toc534520313"/>
      <w:bookmarkStart w:id="19" w:name="_Toc534527525"/>
      <w:bookmarkStart w:id="20" w:name="_Toc534528255"/>
      <w:bookmarkStart w:id="21" w:name="_Toc534803473"/>
      <w:bookmarkStart w:id="22" w:name="_Toc534814164"/>
      <w:bookmarkStart w:id="23" w:name="_Toc536108534"/>
      <w:bookmarkStart w:id="24" w:name="_Toc536802085"/>
      <w:bookmarkStart w:id="25" w:name="Purpose"/>
      <w:bookmarkStart w:id="26" w:name="_Toc53564707"/>
      <w:bookmarkStart w:id="27" w:name="_Ref32914694"/>
      <w:bookmarkEnd w:id="1"/>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C5235">
        <w:t>Key Information</w:t>
      </w:r>
      <w:bookmarkEnd w:id="26"/>
    </w:p>
    <w:p w14:paraId="6DE525B8" w14:textId="65913247" w:rsidR="0079164B" w:rsidRDefault="007A0E16">
      <w:pPr>
        <w:pStyle w:val="Numbered"/>
      </w:pPr>
      <w:r w:rsidRPr="000C5235">
        <w:t xml:space="preserve">Entities must use the templates at </w:t>
      </w:r>
      <w:r w:rsidRPr="000C5235">
        <w:rPr>
          <w:u w:val="single"/>
        </w:rPr>
        <w:t>Attachments B</w:t>
      </w:r>
      <w:r w:rsidRPr="000C5235">
        <w:t xml:space="preserve">, </w:t>
      </w:r>
      <w:r w:rsidRPr="000C5235">
        <w:rPr>
          <w:u w:val="single"/>
        </w:rPr>
        <w:t>C</w:t>
      </w:r>
      <w:r w:rsidRPr="000C5235">
        <w:t xml:space="preserve"> and </w:t>
      </w:r>
      <w:r w:rsidRPr="000C5235">
        <w:rPr>
          <w:u w:val="single"/>
        </w:rPr>
        <w:t>D</w:t>
      </w:r>
      <w:r w:rsidR="00DB0943" w:rsidRPr="000C5235">
        <w:t xml:space="preserve"> to prepare their PB </w:t>
      </w:r>
      <w:r w:rsidR="004B5F4F" w:rsidRPr="000C5235">
        <w:t>Statements, which</w:t>
      </w:r>
      <w:r w:rsidRPr="000C5235">
        <w:t xml:space="preserve"> are consistent with the presentation of the Budget </w:t>
      </w:r>
      <w:r w:rsidR="00A671CE" w:rsidRPr="000C5235">
        <w:t>P</w:t>
      </w:r>
      <w:r w:rsidRPr="000C5235">
        <w:t>apers</w:t>
      </w:r>
      <w:r w:rsidR="00A671CE" w:rsidRPr="000C5235">
        <w:t xml:space="preserve"> (BP)</w:t>
      </w:r>
      <w:r w:rsidRPr="000C5235">
        <w:t>.</w:t>
      </w:r>
    </w:p>
    <w:p w14:paraId="334739C0" w14:textId="0E42C48F" w:rsidR="00C44BC3" w:rsidRDefault="00347499" w:rsidP="00A700FE">
      <w:pPr>
        <w:pStyle w:val="Numbered"/>
        <w:ind w:left="357" w:hanging="357"/>
      </w:pPr>
      <w:r>
        <w:t xml:space="preserve">Commencing from the 2020-21 Budget, measures will be published in Underlying Cash Balance (UCB) terms. Measures in </w:t>
      </w:r>
      <w:r w:rsidRPr="0079164B">
        <w:rPr>
          <w:i/>
        </w:rPr>
        <w:t xml:space="preserve">Table 1.2 Entity 2020-21 Budget measures </w:t>
      </w:r>
      <w:r w:rsidRPr="00347499">
        <w:t>will</w:t>
      </w:r>
      <w:r>
        <w:t xml:space="preserve"> also need to be reported on a UCB basis. </w:t>
      </w:r>
    </w:p>
    <w:p w14:paraId="0CE72F3D" w14:textId="14B1D3CC" w:rsidR="00C44BC3" w:rsidRDefault="00C44BC3">
      <w:pPr>
        <w:pStyle w:val="Numbered"/>
      </w:pPr>
      <w:r w:rsidRPr="00C44BC3">
        <w:t>Treasury will provide separate advice in the coming weeks to</w:t>
      </w:r>
      <w:r w:rsidR="004A024B">
        <w:t xml:space="preserve"> all Portfolio Departments</w:t>
      </w:r>
      <w:r w:rsidRPr="00C44BC3">
        <w:t xml:space="preserve"> </w:t>
      </w:r>
      <w:r w:rsidR="004A024B">
        <w:t xml:space="preserve">to </w:t>
      </w:r>
      <w:r w:rsidRPr="00C44BC3">
        <w:t xml:space="preserve">supplement advice provided under section </w:t>
      </w:r>
      <w:r w:rsidRPr="00A700FE">
        <w:rPr>
          <w:i/>
        </w:rPr>
        <w:t>6.5 Delivery to Parliament House and Finance</w:t>
      </w:r>
      <w:r w:rsidRPr="00C44BC3">
        <w:t xml:space="preserve"> within this guide. </w:t>
      </w:r>
      <w:r>
        <w:t xml:space="preserve"> This is because </w:t>
      </w:r>
      <w:r w:rsidRPr="00C44BC3">
        <w:t>the Budget lockup arrangement are still under consideration due to COVID restrictions.</w:t>
      </w:r>
    </w:p>
    <w:p w14:paraId="62DF06D8" w14:textId="7E981D93" w:rsidR="00C44BC3" w:rsidRPr="00347499" w:rsidRDefault="00C44BC3" w:rsidP="00A700FE">
      <w:pPr>
        <w:pStyle w:val="Numbered"/>
        <w:numPr>
          <w:ilvl w:val="0"/>
          <w:numId w:val="0"/>
        </w:numPr>
        <w:ind w:left="357"/>
      </w:pPr>
      <w:r w:rsidRPr="00C44BC3">
        <w:t>Treasury’s advice will confirm:</w:t>
      </w:r>
    </w:p>
    <w:p w14:paraId="44CA14DC" w14:textId="5E1919BD" w:rsidR="00C44BC3" w:rsidRPr="00C44BC3" w:rsidRDefault="00C44BC3" w:rsidP="00C44BC3">
      <w:pPr>
        <w:pStyle w:val="LetteredList"/>
      </w:pPr>
      <w:r w:rsidRPr="00C44BC3">
        <w:t xml:space="preserve">The number of books required for </w:t>
      </w:r>
      <w:r w:rsidR="004A024B">
        <w:t xml:space="preserve">both </w:t>
      </w:r>
      <w:r w:rsidRPr="00C44BC3">
        <w:t>the Treasury media and Treasury stakeholder lockup</w:t>
      </w:r>
      <w:r w:rsidR="004A024B">
        <w:t>s</w:t>
      </w:r>
      <w:r w:rsidRPr="00C44BC3">
        <w:t>.</w:t>
      </w:r>
    </w:p>
    <w:p w14:paraId="3C2D6C8D" w14:textId="601A6F02" w:rsidR="00C44BC3" w:rsidRPr="000C5235" w:rsidRDefault="00C44BC3" w:rsidP="000C42A6">
      <w:pPr>
        <w:pStyle w:val="LetteredList"/>
      </w:pPr>
      <w:r>
        <w:t>The delivery of the books for the Treasury media lockup and Treasury stakeholder lockup.</w:t>
      </w:r>
    </w:p>
    <w:p w14:paraId="410BEDC6" w14:textId="2DF2C568" w:rsidR="0079164B" w:rsidRDefault="0079164B" w:rsidP="00A700FE">
      <w:pPr>
        <w:pStyle w:val="Numbered"/>
        <w:ind w:left="357" w:hanging="357"/>
      </w:pPr>
      <w:r>
        <w:t xml:space="preserve">Finance </w:t>
      </w:r>
      <w:r w:rsidR="00E70395">
        <w:t>w</w:t>
      </w:r>
      <w:r w:rsidR="004A024B">
        <w:t xml:space="preserve">ill </w:t>
      </w:r>
      <w:r>
        <w:t xml:space="preserve">provide </w:t>
      </w:r>
      <w:r w:rsidR="00E70395">
        <w:t xml:space="preserve">updated </w:t>
      </w:r>
      <w:r>
        <w:t xml:space="preserve">advice under section </w:t>
      </w:r>
      <w:r w:rsidRPr="00A700FE">
        <w:rPr>
          <w:i/>
        </w:rPr>
        <w:fldChar w:fldCharType="begin"/>
      </w:r>
      <w:r w:rsidRPr="00A700FE">
        <w:rPr>
          <w:i/>
        </w:rPr>
        <w:instrText xml:space="preserve"> REF _Ref46933923 \w \h </w:instrText>
      </w:r>
      <w:r w:rsidRPr="0079164B">
        <w:rPr>
          <w:i/>
        </w:rPr>
        <w:instrText xml:space="preserve"> \* MERGEFORMAT </w:instrText>
      </w:r>
      <w:r w:rsidRPr="00A700FE">
        <w:rPr>
          <w:i/>
        </w:rPr>
      </w:r>
      <w:r w:rsidRPr="00A700FE">
        <w:rPr>
          <w:i/>
        </w:rPr>
        <w:fldChar w:fldCharType="separate"/>
      </w:r>
      <w:r w:rsidR="00507230">
        <w:rPr>
          <w:i/>
        </w:rPr>
        <w:t>6.5</w:t>
      </w:r>
      <w:r w:rsidRPr="00A700FE">
        <w:rPr>
          <w:i/>
        </w:rPr>
        <w:fldChar w:fldCharType="end"/>
      </w:r>
      <w:r w:rsidRPr="00A700FE">
        <w:rPr>
          <w:i/>
        </w:rPr>
        <w:t xml:space="preserve"> </w:t>
      </w:r>
      <w:r w:rsidRPr="00A700FE">
        <w:rPr>
          <w:i/>
        </w:rPr>
        <w:fldChar w:fldCharType="begin"/>
      </w:r>
      <w:r w:rsidRPr="00A700FE">
        <w:rPr>
          <w:i/>
        </w:rPr>
        <w:instrText xml:space="preserve"> REF _Ref46933923 \h </w:instrText>
      </w:r>
      <w:r w:rsidRPr="0079164B">
        <w:rPr>
          <w:i/>
        </w:rPr>
        <w:instrText xml:space="preserve"> \* MERGEFORMAT </w:instrText>
      </w:r>
      <w:r w:rsidRPr="00A700FE">
        <w:rPr>
          <w:i/>
        </w:rPr>
      </w:r>
      <w:r w:rsidRPr="00A700FE">
        <w:rPr>
          <w:i/>
        </w:rPr>
        <w:fldChar w:fldCharType="separate"/>
      </w:r>
      <w:r w:rsidR="00507230" w:rsidRPr="00507230">
        <w:rPr>
          <w:i/>
        </w:rPr>
        <w:t>Delivery to Parliament House and Finance</w:t>
      </w:r>
      <w:r w:rsidRPr="00A700FE">
        <w:rPr>
          <w:i/>
        </w:rPr>
        <w:fldChar w:fldCharType="end"/>
      </w:r>
      <w:r>
        <w:t xml:space="preserve"> for w</w:t>
      </w:r>
      <w:r w:rsidRPr="0079164B">
        <w:t xml:space="preserve">hen Portfolio Budget Statements (PB Statements) must be delivered to the Senate Tabling Office, House of Representatives, the Parliamentary Library and </w:t>
      </w:r>
      <w:r>
        <w:t>to</w:t>
      </w:r>
      <w:r w:rsidRPr="0079164B">
        <w:t xml:space="preserve"> the Department of Finance (Finance)</w:t>
      </w:r>
      <w:r>
        <w:t xml:space="preserve"> itself</w:t>
      </w:r>
      <w:r w:rsidRPr="0079164B">
        <w:t>.</w:t>
      </w:r>
    </w:p>
    <w:p w14:paraId="3F5F765C" w14:textId="77777777" w:rsidR="007A0E16" w:rsidRPr="000C5235" w:rsidRDefault="007A0E16">
      <w:pPr>
        <w:pStyle w:val="Numbered"/>
      </w:pPr>
      <w:r w:rsidRPr="000C5235">
        <w:t>The primary purpose of the PB Statements is to perform a legal function as 'relevant documents' under the Acts Interpretation Act 1901 to aid the interpretation of Appropriation Bills (No. 1 and 2) 2020-21 and the Appropriation (Parliamentary Departments) Bill (No. 1) 2020-21.</w:t>
      </w:r>
    </w:p>
    <w:p w14:paraId="4C4C812F" w14:textId="77777777" w:rsidR="007A0E16" w:rsidRPr="000C5235" w:rsidRDefault="007A0E16" w:rsidP="008C5A23">
      <w:pPr>
        <w:pStyle w:val="Numbered"/>
        <w:numPr>
          <w:ilvl w:val="0"/>
          <w:numId w:val="0"/>
        </w:numPr>
        <w:ind w:left="357"/>
      </w:pPr>
      <w:r w:rsidRPr="000C5235">
        <w:t>PB Statements are an important means by which the Executive Government (through Portfolio Ministers) are accountable to the Parliament. PB Statements inform Senators and Members of Parliament of changes in the proposed allocation of resources to entities within each portfolio.</w:t>
      </w:r>
    </w:p>
    <w:p w14:paraId="2E04D924" w14:textId="77777777" w:rsidR="007A0E16" w:rsidRPr="000C5235" w:rsidRDefault="007A0E16">
      <w:pPr>
        <w:pStyle w:val="Numbered"/>
      </w:pPr>
      <w:r w:rsidRPr="000C5235">
        <w:t>All Commonwealth entities in the General Government Sector that receive annual appropriation funding (whether directly or through their portfolio department) must have a separate chapter in their portfolio's PB Statements.</w:t>
      </w:r>
    </w:p>
    <w:p w14:paraId="0B0B1798" w14:textId="77777777" w:rsidR="007A0E16" w:rsidRPr="000C5235" w:rsidRDefault="007A0E16">
      <w:pPr>
        <w:pStyle w:val="Numbered"/>
      </w:pPr>
      <w:r w:rsidRPr="000C5235">
        <w:t>Guidance on the preparation of, and the templates for, the 2020</w:t>
      </w:r>
      <w:r w:rsidR="00DB0943" w:rsidRPr="000C5235">
        <w:t>-</w:t>
      </w:r>
      <w:r w:rsidRPr="000C5235">
        <w:t xml:space="preserve">21 PB Statements are provided in </w:t>
      </w:r>
      <w:r w:rsidRPr="000C5235">
        <w:rPr>
          <w:u w:val="single"/>
        </w:rPr>
        <w:t>Attachments A</w:t>
      </w:r>
      <w:r w:rsidRPr="000C5235">
        <w:t xml:space="preserve"> to </w:t>
      </w:r>
      <w:r w:rsidRPr="000C5235">
        <w:rPr>
          <w:u w:val="single"/>
        </w:rPr>
        <w:t>D</w:t>
      </w:r>
      <w:r w:rsidRPr="000C5235">
        <w:t xml:space="preserve">. In particular, </w:t>
      </w:r>
      <w:r w:rsidRPr="000C5235">
        <w:rPr>
          <w:u w:val="single"/>
        </w:rPr>
        <w:t>Attachment A</w:t>
      </w:r>
      <w:r w:rsidRPr="000C5235">
        <w:t xml:space="preserve"> </w:t>
      </w:r>
      <w:r w:rsidR="00DC7A19" w:rsidRPr="000C5235">
        <w:t xml:space="preserve">(this guide) </w:t>
      </w:r>
      <w:r w:rsidRPr="000C5235">
        <w:t>provides information on the printing and online publication requirements, sourcing and presentation of information and key contacts.</w:t>
      </w:r>
    </w:p>
    <w:p w14:paraId="3852894F" w14:textId="49B4AD39" w:rsidR="00EF30BE" w:rsidRDefault="00F045F2">
      <w:pPr>
        <w:pStyle w:val="Numbered"/>
        <w:keepNext/>
        <w:ind w:left="357" w:hanging="357"/>
      </w:pPr>
      <w:r w:rsidRPr="000C5235">
        <w:rPr>
          <w:u w:val="single"/>
        </w:rPr>
        <w:t>Attachments A</w:t>
      </w:r>
      <w:r w:rsidRPr="000C5235">
        <w:t xml:space="preserve"> </w:t>
      </w:r>
      <w:r w:rsidR="00763D1C" w:rsidRPr="000C5235">
        <w:t xml:space="preserve">to </w:t>
      </w:r>
      <w:r w:rsidR="00821C9C" w:rsidRPr="000C5235">
        <w:rPr>
          <w:u w:val="single"/>
        </w:rPr>
        <w:t>C</w:t>
      </w:r>
      <w:r w:rsidRPr="000C5235">
        <w:t xml:space="preserve"> the </w:t>
      </w:r>
      <w:r w:rsidR="00DB0943" w:rsidRPr="000C5235">
        <w:t xml:space="preserve">guide, </w:t>
      </w:r>
      <w:r w:rsidRPr="000C5235">
        <w:t xml:space="preserve">Excel and Word templates are available through </w:t>
      </w:r>
      <w:r w:rsidR="00676137" w:rsidRPr="000C5235">
        <w:t>the Central Budget Management System (</w:t>
      </w:r>
      <w:r w:rsidRPr="000C5235">
        <w:t>CBMS</w:t>
      </w:r>
      <w:r w:rsidR="00676137" w:rsidRPr="000C5235">
        <w:t>)</w:t>
      </w:r>
      <w:r w:rsidRPr="000C5235">
        <w:t xml:space="preserve">. For </w:t>
      </w:r>
      <w:r w:rsidRPr="000C5235">
        <w:rPr>
          <w:u w:val="single"/>
        </w:rPr>
        <w:t>Attachment D</w:t>
      </w:r>
      <w:r w:rsidRPr="000C5235">
        <w:t xml:space="preserve"> Covers for the 2020-21 PBS, </w:t>
      </w:r>
      <w:r w:rsidR="004B5F4F" w:rsidRPr="000C5235">
        <w:t>you will</w:t>
      </w:r>
      <w:r w:rsidRPr="000C5235">
        <w:t xml:space="preserve"> need to email the Agency Accounting and Budget Framework Team to acquire them. Refer to section </w:t>
      </w:r>
      <w:r w:rsidR="00821C9C" w:rsidRPr="000C5235">
        <w:rPr>
          <w:i/>
        </w:rPr>
        <w:fldChar w:fldCharType="begin"/>
      </w:r>
      <w:r w:rsidR="00821C9C" w:rsidRPr="000C5235">
        <w:rPr>
          <w:i/>
        </w:rPr>
        <w:instrText xml:space="preserve"> REF _Ref46251134 \r \h  \* MERGEFORMAT </w:instrText>
      </w:r>
      <w:r w:rsidR="00821C9C" w:rsidRPr="000C5235">
        <w:rPr>
          <w:i/>
        </w:rPr>
      </w:r>
      <w:r w:rsidR="00821C9C" w:rsidRPr="000C5235">
        <w:rPr>
          <w:i/>
        </w:rPr>
        <w:fldChar w:fldCharType="separate"/>
      </w:r>
      <w:r w:rsidR="00507230">
        <w:rPr>
          <w:i/>
        </w:rPr>
        <w:t>6.4</w:t>
      </w:r>
      <w:r w:rsidR="00821C9C" w:rsidRPr="000C5235">
        <w:rPr>
          <w:i/>
        </w:rPr>
        <w:fldChar w:fldCharType="end"/>
      </w:r>
      <w:r w:rsidR="00821C9C" w:rsidRPr="000C5235">
        <w:rPr>
          <w:i/>
        </w:rPr>
        <w:t xml:space="preserve"> </w:t>
      </w:r>
      <w:r w:rsidR="00A224CD" w:rsidRPr="000C5235">
        <w:rPr>
          <w:i/>
        </w:rPr>
        <w:fldChar w:fldCharType="begin"/>
      </w:r>
      <w:r w:rsidR="00A224CD" w:rsidRPr="000C5235">
        <w:rPr>
          <w:i/>
        </w:rPr>
        <w:instrText xml:space="preserve"> REF _Ref46311770 \h  \* MERGEFORMAT </w:instrText>
      </w:r>
      <w:r w:rsidR="00A224CD" w:rsidRPr="000C5235">
        <w:rPr>
          <w:i/>
        </w:rPr>
      </w:r>
      <w:r w:rsidR="00A224CD" w:rsidRPr="000C5235">
        <w:rPr>
          <w:i/>
        </w:rPr>
        <w:fldChar w:fldCharType="separate"/>
      </w:r>
      <w:r w:rsidR="00507230" w:rsidRPr="00507230">
        <w:rPr>
          <w:i/>
        </w:rPr>
        <w:t>Obtaining templates and covers</w:t>
      </w:r>
      <w:r w:rsidR="00A224CD" w:rsidRPr="000C5235">
        <w:rPr>
          <w:i/>
        </w:rPr>
        <w:fldChar w:fldCharType="end"/>
      </w:r>
      <w:r w:rsidR="00A224CD" w:rsidRPr="000C5235">
        <w:rPr>
          <w:i/>
        </w:rPr>
        <w:t xml:space="preserve"> </w:t>
      </w:r>
      <w:r w:rsidR="00E70395">
        <w:t xml:space="preserve">in </w:t>
      </w:r>
      <w:r w:rsidR="00821C9C" w:rsidRPr="000C5235">
        <w:t>this guide</w:t>
      </w:r>
      <w:r w:rsidRPr="000C5235">
        <w:t xml:space="preserve"> on how to access these templates.</w:t>
      </w:r>
    </w:p>
    <w:p w14:paraId="21BBF96C" w14:textId="77777777" w:rsidR="00EF30BE" w:rsidRDefault="00EF30BE">
      <w:pPr>
        <w:suppressAutoHyphens w:val="0"/>
        <w:spacing w:before="0" w:after="120" w:line="440" w:lineRule="atLeast"/>
        <w:rPr>
          <w:rFonts w:eastAsia="Cambria" w:cstheme="minorHAnsi"/>
        </w:rPr>
      </w:pPr>
      <w:r>
        <w:br w:type="page"/>
      </w:r>
    </w:p>
    <w:p w14:paraId="4394C9B5" w14:textId="6BBC77F3" w:rsidR="00577EB6" w:rsidRPr="00A700FE" w:rsidRDefault="00E70395" w:rsidP="00A700FE">
      <w:pPr>
        <w:pStyle w:val="Boxed2Text"/>
      </w:pPr>
      <w:r w:rsidRPr="00A700FE">
        <w:rPr>
          <w:u w:val="single"/>
        </w:rPr>
        <w:t>Note:</w:t>
      </w:r>
      <w:r w:rsidRPr="00A700FE">
        <w:t xml:space="preserve"> </w:t>
      </w:r>
      <w:r w:rsidR="00F63F82" w:rsidRPr="00A700FE">
        <w:t xml:space="preserve">to assist PB Statement Portfolio updaters Finance </w:t>
      </w:r>
      <w:r w:rsidR="00084E2F" w:rsidRPr="00A700FE">
        <w:t>re</w:t>
      </w:r>
      <w:r w:rsidR="00F63F82" w:rsidRPr="00A700FE">
        <w:t xml:space="preserve">sent </w:t>
      </w:r>
      <w:r w:rsidR="00084E2F" w:rsidRPr="00A700FE">
        <w:t xml:space="preserve">a revised set of covers prepared by the Department of the Treasury </w:t>
      </w:r>
      <w:r w:rsidR="00F63F82" w:rsidRPr="00A700FE">
        <w:t xml:space="preserve">on </w:t>
      </w:r>
      <w:r w:rsidR="00F63F82" w:rsidRPr="00A700FE">
        <w:rPr>
          <w:b/>
        </w:rPr>
        <w:t>27 August 2020</w:t>
      </w:r>
      <w:r w:rsidR="00F63F82" w:rsidRPr="00A700FE">
        <w:t xml:space="preserve">.  Portfolios should only use these covers and </w:t>
      </w:r>
      <w:r w:rsidR="00F63F82" w:rsidRPr="00A700FE">
        <w:rPr>
          <w:u w:val="single"/>
        </w:rPr>
        <w:t>discard the previous covers</w:t>
      </w:r>
      <w:r w:rsidR="00F63F82" w:rsidRPr="00A700FE">
        <w:t xml:space="preserve"> sent on the 13 August 2020 as they </w:t>
      </w:r>
      <w:r w:rsidR="00084E2F" w:rsidRPr="00A700FE">
        <w:t xml:space="preserve">were </w:t>
      </w:r>
      <w:r w:rsidR="00F63F82" w:rsidRPr="00A700FE">
        <w:t>superseded.</w:t>
      </w:r>
    </w:p>
    <w:p w14:paraId="3E0AF407" w14:textId="77777777" w:rsidR="007868A4" w:rsidRPr="000C5235" w:rsidRDefault="007868A4">
      <w:pPr>
        <w:pStyle w:val="Numbered"/>
      </w:pPr>
      <w:r w:rsidRPr="000C5235">
        <w:t>Portfolio entities are responsible for ensuring the consistency, accuracy and completeness of information presented in the PB Statements. Figures published must match those reported in CBMS, as CBMS information is used to prepare the Appropriation Bills and B</w:t>
      </w:r>
      <w:r w:rsidR="00A671CE" w:rsidRPr="000C5235">
        <w:t>P</w:t>
      </w:r>
      <w:r w:rsidRPr="000C5235">
        <w:t>.</w:t>
      </w:r>
    </w:p>
    <w:p w14:paraId="45409120" w14:textId="768A3C0D" w:rsidR="00692A3D" w:rsidRPr="000C5235" w:rsidRDefault="007868A4">
      <w:pPr>
        <w:pStyle w:val="Numbered"/>
      </w:pPr>
      <w:r w:rsidRPr="000C5235">
        <w:t xml:space="preserve">PB Statement financial tables will be published on </w:t>
      </w:r>
      <w:hyperlink r:id="rId18" w:history="1">
        <w:r w:rsidRPr="000C5235">
          <w:rPr>
            <w:rStyle w:val="Hyperlink"/>
          </w:rPr>
          <w:t>data.gov.au</w:t>
        </w:r>
      </w:hyperlink>
      <w:r w:rsidRPr="000C5235">
        <w:t xml:space="preserve"> on Budget night Tuesday, 6 October 2020. Portfolios are to provide versions of these tables with all extraneous material removed (such as comments, links to other spreadsheets and formulas) in Excel format to the Agency Accounting and Budget Framework Team (</w:t>
      </w:r>
      <w:hyperlink r:id="rId19" w:history="1">
        <w:r w:rsidRPr="000C5235">
          <w:rPr>
            <w:rStyle w:val="Hyperlink"/>
          </w:rPr>
          <w:t>Budget_Framework@finance.gov.au</w:t>
        </w:r>
      </w:hyperlink>
      <w:r w:rsidRPr="000C5235">
        <w:t>), who will coordinate the publication of these files on data.gov.au</w:t>
      </w:r>
    </w:p>
    <w:p w14:paraId="590C57A2" w14:textId="5953A03D" w:rsidR="007868A4" w:rsidRPr="000C5235" w:rsidRDefault="007868A4" w:rsidP="008C5A23">
      <w:pPr>
        <w:pStyle w:val="Numbered"/>
        <w:widowControl/>
        <w:numPr>
          <w:ilvl w:val="0"/>
          <w:numId w:val="0"/>
        </w:numPr>
        <w:ind w:left="357"/>
      </w:pPr>
      <w:r w:rsidRPr="000C5235">
        <w:t xml:space="preserve">When preparing files for online publication refer to section </w:t>
      </w:r>
      <w:r w:rsidR="0013119E" w:rsidRPr="000C5235">
        <w:rPr>
          <w:i/>
        </w:rPr>
        <w:fldChar w:fldCharType="begin"/>
      </w:r>
      <w:r w:rsidR="0013119E" w:rsidRPr="000C5235">
        <w:rPr>
          <w:i/>
        </w:rPr>
        <w:instrText xml:space="preserve"> REF _Ref46251412 \r \h  \* MERGEFORMAT </w:instrText>
      </w:r>
      <w:r w:rsidR="0013119E" w:rsidRPr="000C5235">
        <w:rPr>
          <w:i/>
        </w:rPr>
      </w:r>
      <w:r w:rsidR="0013119E" w:rsidRPr="000C5235">
        <w:rPr>
          <w:i/>
        </w:rPr>
        <w:fldChar w:fldCharType="separate"/>
      </w:r>
      <w:r w:rsidR="00507230">
        <w:rPr>
          <w:i/>
        </w:rPr>
        <w:t>6.9</w:t>
      </w:r>
      <w:r w:rsidR="0013119E" w:rsidRPr="000C5235">
        <w:rPr>
          <w:i/>
        </w:rPr>
        <w:fldChar w:fldCharType="end"/>
      </w:r>
      <w:r w:rsidR="0013119E" w:rsidRPr="000C5235">
        <w:rPr>
          <w:i/>
        </w:rPr>
        <w:t xml:space="preserve"> </w:t>
      </w:r>
      <w:r w:rsidR="0013119E" w:rsidRPr="000C5235">
        <w:rPr>
          <w:i/>
        </w:rPr>
        <w:fldChar w:fldCharType="begin"/>
      </w:r>
      <w:r w:rsidR="0013119E" w:rsidRPr="000C5235">
        <w:rPr>
          <w:i/>
        </w:rPr>
        <w:instrText xml:space="preserve"> REF _Ref46251417 \h  \* MERGEFORMAT </w:instrText>
      </w:r>
      <w:r w:rsidR="0013119E" w:rsidRPr="000C5235">
        <w:rPr>
          <w:i/>
        </w:rPr>
      </w:r>
      <w:r w:rsidR="0013119E" w:rsidRPr="000C5235">
        <w:rPr>
          <w:i/>
        </w:rPr>
        <w:fldChar w:fldCharType="separate"/>
      </w:r>
      <w:r w:rsidR="00507230" w:rsidRPr="00507230">
        <w:rPr>
          <w:i/>
        </w:rPr>
        <w:t>Online publication</w:t>
      </w:r>
      <w:r w:rsidR="0013119E" w:rsidRPr="000C5235">
        <w:rPr>
          <w:i/>
        </w:rPr>
        <w:fldChar w:fldCharType="end"/>
      </w:r>
      <w:r w:rsidRPr="000C5235">
        <w:t xml:space="preserve"> and use the </w:t>
      </w:r>
      <w:r w:rsidR="004B5F4F" w:rsidRPr="000C5235">
        <w:t>checklist</w:t>
      </w:r>
      <w:r w:rsidRPr="000C5235">
        <w:t xml:space="preserve"> in </w:t>
      </w:r>
      <w:r w:rsidR="00024B8C" w:rsidRPr="000C5235">
        <w:t xml:space="preserve">section </w:t>
      </w:r>
      <w:r w:rsidR="00821C9C" w:rsidRPr="000C5235">
        <w:rPr>
          <w:i/>
        </w:rPr>
        <w:fldChar w:fldCharType="begin"/>
      </w:r>
      <w:r w:rsidR="00821C9C" w:rsidRPr="000C5235">
        <w:rPr>
          <w:i/>
        </w:rPr>
        <w:instrText xml:space="preserve"> REF _Ref46250929 \r \h  \* MERGEFORMAT </w:instrText>
      </w:r>
      <w:r w:rsidR="00821C9C" w:rsidRPr="000C5235">
        <w:rPr>
          <w:i/>
        </w:rPr>
      </w:r>
      <w:r w:rsidR="00821C9C" w:rsidRPr="000C5235">
        <w:rPr>
          <w:i/>
        </w:rPr>
        <w:fldChar w:fldCharType="separate"/>
      </w:r>
      <w:r w:rsidR="00507230">
        <w:rPr>
          <w:i/>
        </w:rPr>
        <w:t>6.9.3</w:t>
      </w:r>
      <w:r w:rsidR="00821C9C" w:rsidRPr="000C5235">
        <w:rPr>
          <w:i/>
        </w:rPr>
        <w:fldChar w:fldCharType="end"/>
      </w:r>
      <w:r w:rsidR="00821C9C" w:rsidRPr="000C5235">
        <w:rPr>
          <w:i/>
        </w:rPr>
        <w:t xml:space="preserve"> </w:t>
      </w:r>
      <w:r w:rsidR="00821C9C" w:rsidRPr="000C5235">
        <w:rPr>
          <w:i/>
        </w:rPr>
        <w:fldChar w:fldCharType="begin"/>
      </w:r>
      <w:r w:rsidR="00821C9C" w:rsidRPr="000C5235">
        <w:rPr>
          <w:i/>
        </w:rPr>
        <w:instrText xml:space="preserve"> REF _Ref46250933 \h  \* MERGEFORMAT </w:instrText>
      </w:r>
      <w:r w:rsidR="00821C9C" w:rsidRPr="000C5235">
        <w:rPr>
          <w:i/>
        </w:rPr>
      </w:r>
      <w:r w:rsidR="00821C9C" w:rsidRPr="000C5235">
        <w:rPr>
          <w:i/>
        </w:rPr>
        <w:fldChar w:fldCharType="separate"/>
      </w:r>
      <w:r w:rsidR="00507230" w:rsidRPr="00507230">
        <w:rPr>
          <w:i/>
        </w:rPr>
        <w:t>Checklist for preparing files for online publication on data.gov.au</w:t>
      </w:r>
      <w:r w:rsidR="00821C9C" w:rsidRPr="000C5235">
        <w:rPr>
          <w:i/>
        </w:rPr>
        <w:fldChar w:fldCharType="end"/>
      </w:r>
      <w:r w:rsidRPr="000C5235">
        <w:t xml:space="preserve"> of </w:t>
      </w:r>
      <w:r w:rsidR="00AC0C8A" w:rsidRPr="000C5235">
        <w:t>this guide</w:t>
      </w:r>
      <w:r w:rsidRPr="000C5235">
        <w:t>.</w:t>
      </w:r>
    </w:p>
    <w:p w14:paraId="498AC7FB" w14:textId="77777777" w:rsidR="00B84E62" w:rsidRPr="000C5235" w:rsidRDefault="00B84E62">
      <w:pPr>
        <w:pStyle w:val="Numbered"/>
      </w:pPr>
      <w:r w:rsidRPr="000C5235">
        <w:t>Entities will need to use their internal financial information systems to prepare tables for Section 2.</w:t>
      </w:r>
    </w:p>
    <w:p w14:paraId="6C26B1C3" w14:textId="77777777" w:rsidR="0042016D" w:rsidRPr="000C5235" w:rsidRDefault="0042016D">
      <w:pPr>
        <w:pStyle w:val="Numbered"/>
      </w:pPr>
      <w:r w:rsidRPr="000C5235">
        <w:t>CBMS functionality exists that allows the system to pre-populate some of the information contained in the PBS tables for Section 2 and 3 tables (i.e. resourcing and the financial statements). The tables will be numbered in CBMS as they appear in th</w:t>
      </w:r>
      <w:r w:rsidR="00104E63" w:rsidRPr="000C5235">
        <w:t xml:space="preserve">is guide and </w:t>
      </w:r>
      <w:r w:rsidRPr="000C5235">
        <w:t xml:space="preserve">further information </w:t>
      </w:r>
      <w:r w:rsidR="00104E63" w:rsidRPr="000C5235">
        <w:t xml:space="preserve">can be found </w:t>
      </w:r>
      <w:r w:rsidRPr="000C5235">
        <w:t>on:</w:t>
      </w:r>
    </w:p>
    <w:p w14:paraId="78E435EC" w14:textId="47363AF1" w:rsidR="00B51CD3" w:rsidRPr="000C5235" w:rsidRDefault="0042016D" w:rsidP="00C75597">
      <w:pPr>
        <w:pStyle w:val="LetteredList"/>
      </w:pPr>
      <w:r w:rsidRPr="000C5235">
        <w:t xml:space="preserve">The chart of account mappings </w:t>
      </w:r>
      <w:r w:rsidR="00104E63" w:rsidRPr="000C5235">
        <w:t xml:space="preserve">which </w:t>
      </w:r>
      <w:r w:rsidRPr="000C5235">
        <w:t>explain how the tables are derived.  The document is available from</w:t>
      </w:r>
      <w:r w:rsidR="00B51CD3" w:rsidRPr="000C5235">
        <w:t>:</w:t>
      </w:r>
    </w:p>
    <w:p w14:paraId="237E6DEB" w14:textId="0B17864D" w:rsidR="0042016D" w:rsidRPr="000C5235" w:rsidRDefault="0042016D" w:rsidP="000C42A6">
      <w:pPr>
        <w:pStyle w:val="Bullet3"/>
        <w:rPr>
          <w:i/>
          <w:color w:val="0070C0"/>
        </w:rPr>
      </w:pPr>
      <w:r w:rsidRPr="000C5235">
        <w:rPr>
          <w:i/>
          <w:color w:val="0070C0"/>
        </w:rPr>
        <w:t xml:space="preserve">CBMS User Reference Material </w:t>
      </w:r>
      <w:r w:rsidRPr="000C5235">
        <w:rPr>
          <w:i/>
          <w:color w:val="0070C0"/>
        </w:rPr>
        <w:sym w:font="Wingdings" w:char="F0E0"/>
      </w:r>
      <w:r w:rsidRPr="000C5235">
        <w:rPr>
          <w:i/>
          <w:color w:val="0070C0"/>
        </w:rPr>
        <w:t xml:space="preserve"> 09. Reference Material </w:t>
      </w:r>
      <w:r w:rsidRPr="000C5235">
        <w:rPr>
          <w:i/>
          <w:color w:val="0070C0"/>
        </w:rPr>
        <w:sym w:font="Wingdings" w:char="F0E0"/>
      </w:r>
      <w:r w:rsidRPr="000C5235">
        <w:rPr>
          <w:i/>
          <w:color w:val="0070C0"/>
        </w:rPr>
        <w:t xml:space="preserve"> CBMS </w:t>
      </w:r>
      <w:r w:rsidRPr="000C5235">
        <w:rPr>
          <w:i/>
          <w:color w:val="0070C0"/>
        </w:rPr>
        <w:sym w:font="Wingdings" w:char="F0E0"/>
      </w:r>
      <w:r w:rsidRPr="000C5235">
        <w:rPr>
          <w:i/>
          <w:color w:val="0070C0"/>
        </w:rPr>
        <w:t xml:space="preserve"> Annual Estimates </w:t>
      </w:r>
      <w:r w:rsidRPr="000C5235">
        <w:rPr>
          <w:i/>
          <w:color w:val="0070C0"/>
        </w:rPr>
        <w:sym w:font="Wingdings" w:char="F0E0"/>
      </w:r>
      <w:r w:rsidRPr="000C5235">
        <w:rPr>
          <w:i/>
          <w:color w:val="0070C0"/>
        </w:rPr>
        <w:t xml:space="preserve"> PBS, PAES &amp; PSAES Mappings.</w:t>
      </w:r>
    </w:p>
    <w:p w14:paraId="444B8F63" w14:textId="77777777" w:rsidR="007868A4" w:rsidRPr="000C5235" w:rsidRDefault="00104E63" w:rsidP="00C75597">
      <w:pPr>
        <w:pStyle w:val="LetteredList"/>
      </w:pPr>
      <w:r w:rsidRPr="000C5235">
        <w:t xml:space="preserve">The reports to run / the </w:t>
      </w:r>
      <w:r w:rsidR="0042016D" w:rsidRPr="000C5235">
        <w:t xml:space="preserve">CBMS file paths for </w:t>
      </w:r>
      <w:r w:rsidRPr="000C5235">
        <w:t xml:space="preserve">the </w:t>
      </w:r>
      <w:r w:rsidR="0042016D" w:rsidRPr="000C5235">
        <w:t>source</w:t>
      </w:r>
      <w:r w:rsidR="00895FC3" w:rsidRPr="000C5235">
        <w:t>s</w:t>
      </w:r>
      <w:r w:rsidR="0042016D" w:rsidRPr="000C5235">
        <w:t xml:space="preserve"> </w:t>
      </w:r>
      <w:r w:rsidR="00895FC3" w:rsidRPr="000C5235">
        <w:t xml:space="preserve">of </w:t>
      </w:r>
      <w:r w:rsidR="0042016D" w:rsidRPr="000C5235">
        <w:t>information</w:t>
      </w:r>
      <w:r w:rsidRPr="000C5235">
        <w:t xml:space="preserve"> are explained in </w:t>
      </w:r>
      <w:r w:rsidR="00895FC3" w:rsidRPr="000C5235">
        <w:t xml:space="preserve">the relevant parts of this guide </w:t>
      </w:r>
      <w:r w:rsidR="00BD618C" w:rsidRPr="000C5235">
        <w:t>below</w:t>
      </w:r>
      <w:r w:rsidR="0042016D" w:rsidRPr="000C5235">
        <w:t>.</w:t>
      </w:r>
    </w:p>
    <w:p w14:paraId="21C89997" w14:textId="77777777" w:rsidR="007322F2" w:rsidRPr="000C5235" w:rsidRDefault="007322F2">
      <w:pPr>
        <w:pStyle w:val="Numbered"/>
      </w:pPr>
      <w:r w:rsidRPr="000C5235">
        <w:t>When preparing the PB Statements, entities should use data from the Budget Estimates update round in CBMS labelled "2021.04 - 2020/21 Budget".</w:t>
      </w:r>
    </w:p>
    <w:p w14:paraId="27B8FA6B" w14:textId="77777777" w:rsidR="007322F2" w:rsidRPr="000C5235" w:rsidRDefault="007322F2">
      <w:pPr>
        <w:pStyle w:val="Numbered"/>
      </w:pPr>
      <w:r w:rsidRPr="000C5235">
        <w:t>The PB Statement reports available from the CBMS have not yet been updated to align with the new leasing account codes created. This means entities will have to:</w:t>
      </w:r>
    </w:p>
    <w:p w14:paraId="7E6B9610" w14:textId="77777777" w:rsidR="007322F2" w:rsidRPr="000C5235" w:rsidRDefault="007322F2" w:rsidP="00C75597">
      <w:pPr>
        <w:pStyle w:val="LetteredList"/>
        <w:numPr>
          <w:ilvl w:val="0"/>
          <w:numId w:val="249"/>
        </w:numPr>
      </w:pPr>
      <w:r w:rsidRPr="000C5235">
        <w:t>For the Budgeted expenses by outcome table, report the Interest on R</w:t>
      </w:r>
      <w:r w:rsidR="00673397" w:rsidRPr="000C5235">
        <w:t>o</w:t>
      </w:r>
      <w:r w:rsidRPr="000C5235">
        <w:t>U</w:t>
      </w:r>
      <w:r w:rsidR="00673397" w:rsidRPr="000C5235">
        <w:t xml:space="preserve"> </w:t>
      </w:r>
      <w:r w:rsidRPr="000C5235">
        <w:t>and Depreciation of R</w:t>
      </w:r>
      <w:r w:rsidR="00673397" w:rsidRPr="000C5235">
        <w:t>o</w:t>
      </w:r>
      <w:r w:rsidRPr="000C5235">
        <w:t>U assets as part of Departmental Appropriation Expenses.</w:t>
      </w:r>
    </w:p>
    <w:p w14:paraId="0068D0B0" w14:textId="77777777" w:rsidR="007322F2" w:rsidRPr="000C5235" w:rsidRDefault="007322F2" w:rsidP="00C75597">
      <w:pPr>
        <w:pStyle w:val="LetteredList"/>
      </w:pPr>
      <w:r w:rsidRPr="000C5235">
        <w:t>Manually derive the leasing components in their Part 3 Budgeted Financial Statements.</w:t>
      </w:r>
    </w:p>
    <w:p w14:paraId="501AA091" w14:textId="77777777" w:rsidR="007322F2" w:rsidRPr="000C5235" w:rsidRDefault="007322F2">
      <w:pPr>
        <w:pStyle w:val="Numbered"/>
      </w:pPr>
      <w:r w:rsidRPr="000C5235">
        <w:t>To source the data for the new leasing accounts, entities may use the following CBMS reports:</w:t>
      </w:r>
    </w:p>
    <w:p w14:paraId="288EB019" w14:textId="77777777" w:rsidR="007322F2" w:rsidRPr="000C5235" w:rsidRDefault="007322F2" w:rsidP="00C75597">
      <w:pPr>
        <w:pStyle w:val="LetteredList"/>
        <w:numPr>
          <w:ilvl w:val="0"/>
          <w:numId w:val="250"/>
        </w:numPr>
      </w:pPr>
      <w:r w:rsidRPr="000C5235">
        <w:t>AE.OR.01 Annual Estimates Financial Statements</w:t>
      </w:r>
    </w:p>
    <w:p w14:paraId="050673A5" w14:textId="77777777" w:rsidR="007868A4" w:rsidRPr="000C5235" w:rsidRDefault="007322F2" w:rsidP="00C75597">
      <w:pPr>
        <w:pStyle w:val="LetteredList"/>
      </w:pPr>
      <w:r w:rsidRPr="000C5235">
        <w:t>AE.OR.13 Annual Estimates Detail Listing AEIFRS Report</w:t>
      </w:r>
      <w:r w:rsidR="00B64D20" w:rsidRPr="000C5235">
        <w:br/>
      </w:r>
    </w:p>
    <w:p w14:paraId="638F3C22" w14:textId="77777777" w:rsidR="00895FC3" w:rsidRPr="000C5235" w:rsidRDefault="00DB0943">
      <w:pPr>
        <w:pStyle w:val="Numbered"/>
      </w:pPr>
      <w:r w:rsidRPr="000C5235">
        <w:t xml:space="preserve">2019-20 </w:t>
      </w:r>
      <w:r w:rsidR="002231E7" w:rsidRPr="000C5235">
        <w:t xml:space="preserve">financial </w:t>
      </w:r>
      <w:r w:rsidRPr="000C5235">
        <w:t>outcomes will be available prior to the publication of the 2020</w:t>
      </w:r>
      <w:r w:rsidR="002231E7" w:rsidRPr="000C5235">
        <w:noBreakHyphen/>
        <w:t>21 </w:t>
      </w:r>
      <w:r w:rsidRPr="000C5235">
        <w:t xml:space="preserve">Budget. Finance will copy 2019-20 </w:t>
      </w:r>
      <w:r w:rsidR="002231E7" w:rsidRPr="000C5235">
        <w:t xml:space="preserve">actual </w:t>
      </w:r>
      <w:r w:rsidRPr="000C5235">
        <w:t xml:space="preserve">account balances (including income statement, balance sheet and cash flow accounts) from the Annual Actuals module into the Annual Estimates module </w:t>
      </w:r>
      <w:r w:rsidR="0082115C" w:rsidRPr="000C5235">
        <w:t xml:space="preserve">in early </w:t>
      </w:r>
      <w:r w:rsidRPr="000C5235">
        <w:t>September, following the submission of 2019</w:t>
      </w:r>
      <w:r w:rsidR="002231E7" w:rsidRPr="000C5235">
        <w:noBreakHyphen/>
        <w:t>20 </w:t>
      </w:r>
      <w:r w:rsidRPr="000C5235">
        <w:t xml:space="preserve">financial statements in CBMS. This means </w:t>
      </w:r>
      <w:r w:rsidR="008C0022" w:rsidRPr="000C5235">
        <w:t xml:space="preserve">nearly all </w:t>
      </w:r>
      <w:r w:rsidRPr="000C5235">
        <w:t>entities will automatically report 2019-20 Actuals in their PBS tables as part of their '2019-20 Estimated Actual' figures.</w:t>
      </w:r>
    </w:p>
    <w:p w14:paraId="0902D13A" w14:textId="77777777" w:rsidR="00DB0943" w:rsidRPr="000C5235" w:rsidRDefault="00DB0943" w:rsidP="008C5A23">
      <w:pPr>
        <w:pStyle w:val="Numbered"/>
        <w:numPr>
          <w:ilvl w:val="0"/>
          <w:numId w:val="0"/>
        </w:numPr>
        <w:ind w:left="357"/>
      </w:pPr>
      <w:r w:rsidRPr="000C5235">
        <w:t xml:space="preserve">Entities </w:t>
      </w:r>
      <w:r w:rsidRPr="000C5235">
        <w:rPr>
          <w:u w:val="single"/>
        </w:rPr>
        <w:t xml:space="preserve">must not </w:t>
      </w:r>
      <w:r w:rsidRPr="000C5235">
        <w:t>change the PBS table's column labelling from</w:t>
      </w:r>
      <w:r w:rsidR="00895FC3" w:rsidRPr="000C5235">
        <w:t xml:space="preserve"> </w:t>
      </w:r>
      <w:r w:rsidRPr="000C5235">
        <w:t>'2019</w:t>
      </w:r>
      <w:r w:rsidR="00895FC3" w:rsidRPr="000C5235">
        <w:t>-</w:t>
      </w:r>
      <w:r w:rsidRPr="000C5235">
        <w:t>20</w:t>
      </w:r>
      <w:r w:rsidR="00895FC3" w:rsidRPr="000C5235">
        <w:t xml:space="preserve"> </w:t>
      </w:r>
      <w:r w:rsidRPr="000C5235">
        <w:t>Estimated</w:t>
      </w:r>
      <w:r w:rsidR="00895FC3" w:rsidRPr="000C5235">
        <w:t xml:space="preserve"> </w:t>
      </w:r>
      <w:r w:rsidRPr="000C5235">
        <w:t>Actual</w:t>
      </w:r>
      <w:r w:rsidR="002231E7" w:rsidRPr="000C5235">
        <w:t>s</w:t>
      </w:r>
      <w:r w:rsidRPr="000C5235">
        <w:t>'</w:t>
      </w:r>
      <w:r w:rsidR="00895FC3" w:rsidRPr="000C5235">
        <w:t>.</w:t>
      </w:r>
    </w:p>
    <w:p w14:paraId="4C214EA0" w14:textId="77777777" w:rsidR="00DB0943" w:rsidRPr="000C5235" w:rsidRDefault="00DB0943" w:rsidP="008C5A23">
      <w:pPr>
        <w:pStyle w:val="Numbered"/>
        <w:numPr>
          <w:ilvl w:val="0"/>
          <w:numId w:val="0"/>
        </w:numPr>
        <w:ind w:left="357"/>
      </w:pPr>
      <w:r w:rsidRPr="000C5235">
        <w:t xml:space="preserve">The basis for continuing to report 2019-20 using the 'Estimated Actuals' label will </w:t>
      </w:r>
      <w:r w:rsidR="00636475" w:rsidRPr="000C5235">
        <w:t>provide leeway for any late changes to an entity’s financial statements that may not be fully reflected in an entity’s final statements</w:t>
      </w:r>
      <w:r w:rsidR="002661D6" w:rsidRPr="000C5235">
        <w:t xml:space="preserve">. This will </w:t>
      </w:r>
      <w:r w:rsidR="008C0022" w:rsidRPr="000C5235">
        <w:t xml:space="preserve">allow </w:t>
      </w:r>
      <w:r w:rsidRPr="000C5235">
        <w:t>the 2020-21 PB Statements</w:t>
      </w:r>
      <w:r w:rsidR="00955700" w:rsidRPr="000C5235">
        <w:t xml:space="preserve"> to</w:t>
      </w:r>
      <w:r w:rsidRPr="000C5235">
        <w:t xml:space="preserve"> be tabled on 6 October 2020 before entities are required to provide their Minister with their 2019-20 Annual Report on the 15</w:t>
      </w:r>
      <w:r w:rsidR="00955700" w:rsidRPr="000C5235">
        <w:t>th</w:t>
      </w:r>
      <w:r w:rsidRPr="000C5235">
        <w:t xml:space="preserve"> October 2020 for presentation to Parliament (as required by s46 of the </w:t>
      </w:r>
      <w:r w:rsidR="00761FCC" w:rsidRPr="000C5235">
        <w:rPr>
          <w:rStyle w:val="BodyTextChar"/>
          <w:i/>
        </w:rPr>
        <w:t xml:space="preserve">Public Governance, Performance and Accountability </w:t>
      </w:r>
      <w:r w:rsidRPr="000C5235">
        <w:rPr>
          <w:i/>
        </w:rPr>
        <w:t>Act 2013</w:t>
      </w:r>
      <w:r w:rsidR="00761FCC" w:rsidRPr="000C5235">
        <w:t xml:space="preserve"> (PGPA Act</w:t>
      </w:r>
      <w:r w:rsidRPr="000C5235">
        <w:t xml:space="preserve">).  </w:t>
      </w:r>
    </w:p>
    <w:p w14:paraId="34D21E93" w14:textId="77777777" w:rsidR="00C71CFD" w:rsidRPr="000C5235" w:rsidRDefault="00DB0943" w:rsidP="008C5A23">
      <w:pPr>
        <w:pStyle w:val="Numbered"/>
        <w:numPr>
          <w:ilvl w:val="0"/>
          <w:numId w:val="0"/>
        </w:numPr>
        <w:ind w:left="357"/>
      </w:pPr>
      <w:r w:rsidRPr="000C5235">
        <w:t>This approach prevents entities actively pre-empting the announcement of their actual results to be reported in their Annual Report.</w:t>
      </w:r>
    </w:p>
    <w:p w14:paraId="7BEBCE0E" w14:textId="77777777" w:rsidR="00B751D1" w:rsidRPr="000C5235" w:rsidRDefault="002376FB" w:rsidP="000A7DEC">
      <w:pPr>
        <w:pStyle w:val="Heading1Numbered"/>
      </w:pPr>
      <w:bookmarkStart w:id="28" w:name="_Toc53564708"/>
      <w:r w:rsidRPr="000C5235">
        <w:t>Changes in 2020-21 PB Statements</w:t>
      </w:r>
      <w:bookmarkEnd w:id="27"/>
      <w:bookmarkEnd w:id="28"/>
    </w:p>
    <w:p w14:paraId="204CFB6E" w14:textId="77777777" w:rsidR="0071376E" w:rsidRPr="000C5235" w:rsidRDefault="0071376E" w:rsidP="000A7DEC">
      <w:pPr>
        <w:pStyle w:val="Heading2Numbered"/>
      </w:pPr>
      <w:bookmarkStart w:id="29" w:name="1.2_Who_should_prepare_PB_Statements"/>
      <w:bookmarkStart w:id="30" w:name="_Toc29980636"/>
      <w:bookmarkStart w:id="31" w:name="_Toc30405511"/>
      <w:bookmarkStart w:id="32" w:name="_Toc30581252"/>
      <w:bookmarkStart w:id="33" w:name="_Toc32829914"/>
      <w:bookmarkStart w:id="34" w:name="_Toc32917416"/>
      <w:bookmarkStart w:id="35" w:name="_Toc32918222"/>
      <w:bookmarkStart w:id="36" w:name="_Toc32999605"/>
      <w:bookmarkStart w:id="37" w:name="_Toc33099324"/>
      <w:bookmarkStart w:id="38" w:name="_Toc33195954"/>
      <w:bookmarkStart w:id="39" w:name="_Toc33196256"/>
      <w:bookmarkStart w:id="40" w:name="_Toc29394517"/>
      <w:bookmarkStart w:id="41" w:name="_Toc29394815"/>
      <w:bookmarkStart w:id="42" w:name="_Toc29394946"/>
      <w:bookmarkStart w:id="43" w:name="_Toc29395342"/>
      <w:bookmarkStart w:id="44" w:name="_Toc29395428"/>
      <w:bookmarkStart w:id="45" w:name="_Toc29396859"/>
      <w:bookmarkStart w:id="46" w:name="_Toc29478096"/>
      <w:bookmarkStart w:id="47" w:name="_Toc29481833"/>
      <w:bookmarkStart w:id="48" w:name="_Toc29544135"/>
      <w:bookmarkStart w:id="49" w:name="_Toc29544722"/>
      <w:bookmarkStart w:id="50" w:name="_Toc29544797"/>
      <w:bookmarkStart w:id="51" w:name="_Toc29546661"/>
      <w:bookmarkStart w:id="52" w:name="_Toc29980637"/>
      <w:bookmarkStart w:id="53" w:name="_Toc30405512"/>
      <w:bookmarkStart w:id="54" w:name="_Toc30581253"/>
      <w:bookmarkStart w:id="55" w:name="_Toc32829915"/>
      <w:bookmarkStart w:id="56" w:name="_Toc32917417"/>
      <w:bookmarkStart w:id="57" w:name="_Toc32918223"/>
      <w:bookmarkStart w:id="58" w:name="_Toc32999606"/>
      <w:bookmarkStart w:id="59" w:name="_Toc33099325"/>
      <w:bookmarkStart w:id="60" w:name="_Toc33195955"/>
      <w:bookmarkStart w:id="61" w:name="_Toc33196257"/>
      <w:bookmarkStart w:id="62" w:name="_Toc29980638"/>
      <w:bookmarkStart w:id="63" w:name="_Toc30405513"/>
      <w:bookmarkStart w:id="64" w:name="_Toc30581254"/>
      <w:bookmarkStart w:id="65" w:name="_Toc32829916"/>
      <w:bookmarkStart w:id="66" w:name="_Toc32917418"/>
      <w:bookmarkStart w:id="67" w:name="_Toc32918224"/>
      <w:bookmarkStart w:id="68" w:name="_Toc32999607"/>
      <w:bookmarkStart w:id="69" w:name="_Toc33099326"/>
      <w:bookmarkStart w:id="70" w:name="_Toc33195956"/>
      <w:bookmarkStart w:id="71" w:name="_Toc33196258"/>
      <w:bookmarkStart w:id="72" w:name="_Toc53564709"/>
      <w:bookmarkStart w:id="73" w:name="_Toc50446880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C5235">
        <w:t>AASB 16 Leases</w:t>
      </w:r>
      <w:bookmarkEnd w:id="72"/>
    </w:p>
    <w:p w14:paraId="445666AE" w14:textId="77777777" w:rsidR="00DC6534" w:rsidRPr="000C5235" w:rsidRDefault="00052ECD" w:rsidP="000A7DEC">
      <w:r w:rsidRPr="000C5235">
        <w:t xml:space="preserve">The 2020-21 PB Statements need to reflect the changes as a consequence of AASB </w:t>
      </w:r>
      <w:r w:rsidR="00692A3D" w:rsidRPr="000C5235">
        <w:t>16 </w:t>
      </w:r>
      <w:r w:rsidRPr="000C5235">
        <w:rPr>
          <w:i/>
        </w:rPr>
        <w:t>Leases</w:t>
      </w:r>
      <w:r w:rsidRPr="000C5235">
        <w:t>. The Excel templat</w:t>
      </w:r>
      <w:r w:rsidR="00DC6534" w:rsidRPr="000C5235">
        <w:t>e</w:t>
      </w:r>
      <w:r w:rsidRPr="000C5235">
        <w:t xml:space="preserve"> in </w:t>
      </w:r>
      <w:r w:rsidRPr="000C5235">
        <w:rPr>
          <w:u w:val="single"/>
        </w:rPr>
        <w:t xml:space="preserve">Attachment </w:t>
      </w:r>
      <w:r w:rsidR="000457F9" w:rsidRPr="000C5235">
        <w:rPr>
          <w:u w:val="single"/>
        </w:rPr>
        <w:t>B</w:t>
      </w:r>
      <w:r w:rsidR="000457F9" w:rsidRPr="000C5235">
        <w:t xml:space="preserve"> </w:t>
      </w:r>
      <w:r w:rsidR="00DC6534" w:rsidRPr="000C5235">
        <w:t>includes</w:t>
      </w:r>
      <w:r w:rsidRPr="000C5235">
        <w:t xml:space="preserve"> the new line-items</w:t>
      </w:r>
      <w:r w:rsidR="00444E8C" w:rsidRPr="000C5235">
        <w:t xml:space="preserve"> </w:t>
      </w:r>
      <w:r w:rsidRPr="000C5235">
        <w:t xml:space="preserve">which entities are to include in their tables. </w:t>
      </w:r>
      <w:r w:rsidR="00DC6534" w:rsidRPr="000C5235">
        <w:t xml:space="preserve">A </w:t>
      </w:r>
      <w:r w:rsidR="00EE5A28" w:rsidRPr="000C5235">
        <w:t xml:space="preserve">user </w:t>
      </w:r>
      <w:r w:rsidR="00DC6534" w:rsidRPr="000C5235">
        <w:t>document also exists that provides suggested mappings to derive tables. This is available from:</w:t>
      </w:r>
    </w:p>
    <w:p w14:paraId="41ADF222" w14:textId="77777777" w:rsidR="00DC6534" w:rsidRPr="000C5235" w:rsidRDefault="00DC6534" w:rsidP="00493ED2">
      <w:pPr>
        <w:pStyle w:val="CBMSReportPath"/>
      </w:pPr>
      <w:r w:rsidRPr="000C5235">
        <w:t xml:space="preserve">CBMS User Reference Material </w:t>
      </w:r>
      <w:r w:rsidRPr="000C5235">
        <w:sym w:font="Wingdings" w:char="F0E0"/>
      </w:r>
      <w:r w:rsidRPr="000C5235">
        <w:t xml:space="preserve"> 09. Reference Material </w:t>
      </w:r>
      <w:r w:rsidRPr="000C5235">
        <w:sym w:font="Wingdings" w:char="F0E0"/>
      </w:r>
      <w:r w:rsidRPr="000C5235">
        <w:t xml:space="preserve"> CBMS </w:t>
      </w:r>
      <w:r w:rsidRPr="000C5235">
        <w:sym w:font="Wingdings" w:char="F0E0"/>
      </w:r>
      <w:r w:rsidRPr="000C5235">
        <w:t xml:space="preserve"> Annual Estimates </w:t>
      </w:r>
      <w:r w:rsidRPr="000C5235">
        <w:sym w:font="Wingdings" w:char="F0E0"/>
      </w:r>
      <w:r w:rsidRPr="000C5235">
        <w:t xml:space="preserve"> PBS, PAES &amp; PSAES Mappings</w:t>
      </w:r>
    </w:p>
    <w:p w14:paraId="492EE2C9" w14:textId="77777777" w:rsidR="008953C8" w:rsidRPr="000C5235" w:rsidRDefault="00052ECD" w:rsidP="000A7DEC">
      <w:r w:rsidRPr="000C5235">
        <w:t>The PB Statement reports available from the CBMS have not yet been updated to align with the new leasing account codes created.</w:t>
      </w:r>
    </w:p>
    <w:p w14:paraId="26BF0A18" w14:textId="77777777" w:rsidR="00052ECD" w:rsidRPr="000C5235" w:rsidRDefault="00052ECD" w:rsidP="000A7DEC">
      <w:r w:rsidRPr="000C5235">
        <w:t>This means entities will have to:</w:t>
      </w:r>
    </w:p>
    <w:p w14:paraId="09F302BA" w14:textId="77777777" w:rsidR="008953C8" w:rsidRPr="000C5235" w:rsidRDefault="00052ECD" w:rsidP="000A7DEC">
      <w:pPr>
        <w:pStyle w:val="Bullet1"/>
      </w:pPr>
      <w:r w:rsidRPr="000C5235">
        <w:t>For the Budgeted expenses by outcome table</w:t>
      </w:r>
      <w:r w:rsidR="008953C8" w:rsidRPr="000C5235">
        <w:t>,</w:t>
      </w:r>
      <w:r w:rsidRPr="000C5235">
        <w:t xml:space="preserve"> reflect the Interest on </w:t>
      </w:r>
      <w:r w:rsidR="009F3C94" w:rsidRPr="000C5235">
        <w:t>R</w:t>
      </w:r>
      <w:r w:rsidR="00DC6534" w:rsidRPr="000C5235">
        <w:t>ight-of</w:t>
      </w:r>
      <w:r w:rsidR="009F3C94" w:rsidRPr="000C5235">
        <w:t>-U</w:t>
      </w:r>
      <w:r w:rsidR="00DC6534" w:rsidRPr="000C5235">
        <w:t xml:space="preserve">se </w:t>
      </w:r>
      <w:r w:rsidR="00071DD0" w:rsidRPr="000C5235">
        <w:t>(</w:t>
      </w:r>
      <w:r w:rsidR="009F3C94" w:rsidRPr="000C5235">
        <w:t>RoU</w:t>
      </w:r>
      <w:r w:rsidR="00071DD0" w:rsidRPr="000C5235">
        <w:t>)</w:t>
      </w:r>
      <w:r w:rsidRPr="000C5235">
        <w:t xml:space="preserve"> </w:t>
      </w:r>
      <w:r w:rsidR="008A3568" w:rsidRPr="000C5235">
        <w:t xml:space="preserve">Assets </w:t>
      </w:r>
      <w:r w:rsidRPr="000C5235">
        <w:t xml:space="preserve">and Depreciation of </w:t>
      </w:r>
      <w:r w:rsidR="009F3C94" w:rsidRPr="000C5235">
        <w:t>RoU</w:t>
      </w:r>
      <w:r w:rsidRPr="000C5235">
        <w:t xml:space="preserve"> </w:t>
      </w:r>
      <w:r w:rsidR="008A3568" w:rsidRPr="000C5235">
        <w:t xml:space="preserve">Assets </w:t>
      </w:r>
      <w:r w:rsidRPr="000C5235">
        <w:t>to be reported as part of Departmental Appropriation Expenses.</w:t>
      </w:r>
    </w:p>
    <w:p w14:paraId="4ABC6266" w14:textId="77777777" w:rsidR="00D17B92" w:rsidRPr="000C5235" w:rsidRDefault="00095958" w:rsidP="00AC0C8A">
      <w:pPr>
        <w:pStyle w:val="Bullet1"/>
        <w:spacing w:before="0" w:after="120" w:line="440" w:lineRule="atLeast"/>
      </w:pPr>
      <w:r w:rsidRPr="000C5235">
        <w:t>Manually derive the leasing components in their Part 3 Budgeted Financial Statements.</w:t>
      </w:r>
    </w:p>
    <w:p w14:paraId="3817D22D" w14:textId="77777777" w:rsidR="00095958" w:rsidRPr="000C5235" w:rsidRDefault="00095958" w:rsidP="000A7DEC">
      <w:r w:rsidRPr="000C5235">
        <w:t>To source the data for the new leasing accounts, entities may use the following CBMS reports:</w:t>
      </w:r>
    </w:p>
    <w:p w14:paraId="04E6CA23" w14:textId="77777777" w:rsidR="00D5739D" w:rsidRPr="000C5235" w:rsidRDefault="00095958" w:rsidP="000A7DEC">
      <w:pPr>
        <w:pStyle w:val="Bullet1"/>
      </w:pPr>
      <w:r w:rsidRPr="000C5235">
        <w:t>AE.OR.01 Annual Estimates Financial Statements</w:t>
      </w:r>
    </w:p>
    <w:p w14:paraId="24E566A0" w14:textId="77777777" w:rsidR="00052ECD" w:rsidRPr="000C5235" w:rsidRDefault="00052ECD" w:rsidP="000A7DEC">
      <w:pPr>
        <w:pStyle w:val="Bullet1"/>
      </w:pPr>
      <w:r w:rsidRPr="000C5235">
        <w:t>AE.OR.13 Annual Estimates Detail Listing AEIFRS Report</w:t>
      </w:r>
      <w:r w:rsidR="00692A3D" w:rsidRPr="000C5235">
        <w:t>.</w:t>
      </w:r>
    </w:p>
    <w:p w14:paraId="0F9ECDA9" w14:textId="77777777" w:rsidR="00A403D6" w:rsidRPr="000C5235" w:rsidRDefault="00C83A20">
      <w:pPr>
        <w:pStyle w:val="Heading2Numbered"/>
      </w:pPr>
      <w:bookmarkStart w:id="74" w:name="_Toc53564710"/>
      <w:bookmarkStart w:id="75" w:name="_Toc26963537"/>
      <w:r w:rsidRPr="000C5235">
        <w:t xml:space="preserve">The Reporting of </w:t>
      </w:r>
      <w:r w:rsidR="00284C08" w:rsidRPr="000C5235">
        <w:t>Measures</w:t>
      </w:r>
      <w:bookmarkEnd w:id="74"/>
    </w:p>
    <w:p w14:paraId="5A449573" w14:textId="4073F550" w:rsidR="00284C08" w:rsidRPr="000C5235" w:rsidRDefault="00C83A20" w:rsidP="00DB312F">
      <w:r w:rsidRPr="000C5235">
        <w:t xml:space="preserve">Entities will only be required to report </w:t>
      </w:r>
      <w:r w:rsidR="00F14BCB" w:rsidRPr="000C5235">
        <w:t xml:space="preserve">measures announced </w:t>
      </w:r>
      <w:r w:rsidR="00026975" w:rsidRPr="000C5235">
        <w:rPr>
          <w:u w:val="single"/>
        </w:rPr>
        <w:t>after</w:t>
      </w:r>
      <w:r w:rsidR="00F14BCB" w:rsidRPr="000C5235">
        <w:t xml:space="preserve"> the </w:t>
      </w:r>
      <w:r w:rsidR="00DB6424" w:rsidRPr="000C5235">
        <w:rPr>
          <w:i/>
        </w:rPr>
        <w:t>Economic and Fiscal Update July 2020</w:t>
      </w:r>
      <w:r w:rsidR="00692A3D" w:rsidRPr="000C5235">
        <w:rPr>
          <w:i/>
        </w:rPr>
        <w:t xml:space="preserve"> </w:t>
      </w:r>
      <w:r w:rsidR="001321B8" w:rsidRPr="000C5235">
        <w:t xml:space="preserve">in </w:t>
      </w:r>
      <w:r w:rsidR="001321B8" w:rsidRPr="000C5235">
        <w:rPr>
          <w:i/>
        </w:rPr>
        <w:t>Table 1.2 Entity 2020-21 Budget measures</w:t>
      </w:r>
      <w:r w:rsidR="001321B8" w:rsidRPr="000C5235">
        <w:t>.</w:t>
      </w:r>
    </w:p>
    <w:p w14:paraId="3B96E444" w14:textId="4BDD3D5F" w:rsidR="00D573EB" w:rsidRPr="000C5235" w:rsidRDefault="001F391D" w:rsidP="000C42A6">
      <w:pPr>
        <w:pStyle w:val="Boxed2Text"/>
      </w:pPr>
      <w:r>
        <w:t xml:space="preserve">September update: </w:t>
      </w:r>
      <w:r w:rsidR="00114108">
        <w:t>Commencing from the 2020-21 Budget, m</w:t>
      </w:r>
      <w:r>
        <w:t xml:space="preserve">easures </w:t>
      </w:r>
      <w:r w:rsidR="00D573EB" w:rsidRPr="000C5235">
        <w:t xml:space="preserve">in </w:t>
      </w:r>
      <w:r w:rsidR="00D573EB" w:rsidRPr="000C5235">
        <w:rPr>
          <w:i/>
        </w:rPr>
        <w:t>Table 1.2 Entity 2020-21 Budget measures</w:t>
      </w:r>
      <w:r w:rsidR="00D573EB" w:rsidRPr="000C5235">
        <w:t xml:space="preserve"> </w:t>
      </w:r>
      <w:r>
        <w:t xml:space="preserve">will be published in Underlying Cash Balance (UCB) terms.  </w:t>
      </w:r>
    </w:p>
    <w:p w14:paraId="199CB67A" w14:textId="3EC274D7" w:rsidR="008D5596" w:rsidRPr="000C5235" w:rsidRDefault="00A403D6" w:rsidP="00A700FE">
      <w:r w:rsidRPr="000C5235">
        <w:t>For further information, please refer to section</w:t>
      </w:r>
      <w:r w:rsidR="00F14BCB" w:rsidRPr="000C5235">
        <w:t xml:space="preserve"> </w:t>
      </w:r>
      <w:r w:rsidR="00F14BCB" w:rsidRPr="000C5235">
        <w:rPr>
          <w:i/>
        </w:rPr>
        <w:fldChar w:fldCharType="begin"/>
      </w:r>
      <w:r w:rsidR="00F14BCB" w:rsidRPr="000C5235">
        <w:rPr>
          <w:i/>
        </w:rPr>
        <w:instrText xml:space="preserve"> REF _Ref47004664 \r \h </w:instrText>
      </w:r>
      <w:r w:rsidR="00FC3A97" w:rsidRPr="000C5235">
        <w:rPr>
          <w:i/>
        </w:rPr>
        <w:instrText xml:space="preserve"> \* MERGEFORMAT </w:instrText>
      </w:r>
      <w:r w:rsidR="00F14BCB" w:rsidRPr="000C5235">
        <w:rPr>
          <w:i/>
        </w:rPr>
      </w:r>
      <w:r w:rsidR="00F14BCB" w:rsidRPr="000C5235">
        <w:rPr>
          <w:i/>
        </w:rPr>
        <w:fldChar w:fldCharType="separate"/>
      </w:r>
      <w:r w:rsidR="00507230">
        <w:rPr>
          <w:i/>
        </w:rPr>
        <w:t>9</w:t>
      </w:r>
      <w:r w:rsidR="00F14BCB" w:rsidRPr="000C5235">
        <w:rPr>
          <w:i/>
        </w:rPr>
        <w:fldChar w:fldCharType="end"/>
      </w:r>
      <w:r w:rsidR="00F14BCB" w:rsidRPr="000C5235">
        <w:rPr>
          <w:i/>
        </w:rPr>
        <w:t xml:space="preserve"> </w:t>
      </w:r>
      <w:r w:rsidR="00F14BCB" w:rsidRPr="000C5235">
        <w:rPr>
          <w:i/>
        </w:rPr>
        <w:fldChar w:fldCharType="begin"/>
      </w:r>
      <w:r w:rsidR="00F14BCB" w:rsidRPr="000C5235">
        <w:rPr>
          <w:i/>
        </w:rPr>
        <w:instrText xml:space="preserve"> REF _Ref47004670 \h </w:instrText>
      </w:r>
      <w:r w:rsidR="00FC3A97" w:rsidRPr="000C5235">
        <w:rPr>
          <w:i/>
        </w:rPr>
        <w:instrText xml:space="preserve"> \* MERGEFORMAT </w:instrText>
      </w:r>
      <w:r w:rsidR="00F14BCB" w:rsidRPr="000C5235">
        <w:rPr>
          <w:i/>
        </w:rPr>
      </w:r>
      <w:r w:rsidR="00F14BCB" w:rsidRPr="000C5235">
        <w:rPr>
          <w:i/>
        </w:rPr>
        <w:fldChar w:fldCharType="separate"/>
      </w:r>
      <w:r w:rsidR="00507230" w:rsidRPr="00507230">
        <w:rPr>
          <w:rFonts w:eastAsia="Times New Roman"/>
          <w:i/>
        </w:rPr>
        <w:t>Budget measures</w:t>
      </w:r>
      <w:r w:rsidR="00F14BCB" w:rsidRPr="000C5235">
        <w:rPr>
          <w:i/>
        </w:rPr>
        <w:fldChar w:fldCharType="end"/>
      </w:r>
      <w:r w:rsidR="00624CEB" w:rsidRPr="000C5235">
        <w:t xml:space="preserve"> below.</w:t>
      </w:r>
    </w:p>
    <w:p w14:paraId="2C112D5B" w14:textId="00AF5615" w:rsidR="000457F9" w:rsidRPr="000C5235" w:rsidRDefault="000457F9">
      <w:pPr>
        <w:pStyle w:val="Heading2Numbered"/>
      </w:pPr>
      <w:bookmarkStart w:id="76" w:name="_Toc46327301"/>
      <w:bookmarkStart w:id="77" w:name="_Toc46327302"/>
      <w:bookmarkStart w:id="78" w:name="_Toc46327303"/>
      <w:bookmarkStart w:id="79" w:name="_Toc46327304"/>
      <w:bookmarkStart w:id="80" w:name="_Toc45801376"/>
      <w:bookmarkStart w:id="81" w:name="_Toc46241737"/>
      <w:bookmarkStart w:id="82" w:name="_Toc46248940"/>
      <w:bookmarkStart w:id="83" w:name="_Toc46249048"/>
      <w:bookmarkStart w:id="84" w:name="_Toc46250829"/>
      <w:bookmarkStart w:id="85" w:name="_Toc46311364"/>
      <w:bookmarkStart w:id="86" w:name="_Toc46311556"/>
      <w:bookmarkStart w:id="87" w:name="_Toc46311667"/>
      <w:bookmarkStart w:id="88" w:name="_Toc46327305"/>
      <w:bookmarkStart w:id="89" w:name="_Toc46929149"/>
      <w:bookmarkStart w:id="90" w:name="_Toc46327306"/>
      <w:bookmarkStart w:id="91" w:name="_Toc45801378"/>
      <w:bookmarkStart w:id="92" w:name="_Toc46241739"/>
      <w:bookmarkStart w:id="93" w:name="_Toc46248942"/>
      <w:bookmarkStart w:id="94" w:name="_Toc46249050"/>
      <w:bookmarkStart w:id="95" w:name="_Toc46250831"/>
      <w:bookmarkStart w:id="96" w:name="_Toc46311366"/>
      <w:bookmarkStart w:id="97" w:name="_Toc46311558"/>
      <w:bookmarkStart w:id="98" w:name="_Toc46311669"/>
      <w:bookmarkStart w:id="99" w:name="_Toc46327307"/>
      <w:bookmarkStart w:id="100" w:name="_Toc46929151"/>
      <w:bookmarkStart w:id="101" w:name="_Toc45801379"/>
      <w:bookmarkStart w:id="102" w:name="_Toc46241740"/>
      <w:bookmarkStart w:id="103" w:name="_Toc46248943"/>
      <w:bookmarkStart w:id="104" w:name="_Toc46249051"/>
      <w:bookmarkStart w:id="105" w:name="_Toc46250832"/>
      <w:bookmarkStart w:id="106" w:name="_Toc46311367"/>
      <w:bookmarkStart w:id="107" w:name="_Toc46311559"/>
      <w:bookmarkStart w:id="108" w:name="_Toc46311670"/>
      <w:bookmarkStart w:id="109" w:name="_Toc46327308"/>
      <w:bookmarkStart w:id="110" w:name="_Toc46929152"/>
      <w:bookmarkStart w:id="111" w:name="_Toc45801380"/>
      <w:bookmarkStart w:id="112" w:name="_Toc46241741"/>
      <w:bookmarkStart w:id="113" w:name="_Toc46248944"/>
      <w:bookmarkStart w:id="114" w:name="_Toc46249052"/>
      <w:bookmarkStart w:id="115" w:name="_Toc46250833"/>
      <w:bookmarkStart w:id="116" w:name="_Toc46311368"/>
      <w:bookmarkStart w:id="117" w:name="_Toc46311560"/>
      <w:bookmarkStart w:id="118" w:name="_Toc46311671"/>
      <w:bookmarkStart w:id="119" w:name="_Toc46327309"/>
      <w:bookmarkStart w:id="120" w:name="_Toc46929153"/>
      <w:bookmarkStart w:id="121" w:name="_Toc5356471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0C5235">
        <w:t>Changes to the PB Statement tables</w:t>
      </w:r>
      <w:bookmarkEnd w:id="121"/>
    </w:p>
    <w:p w14:paraId="2A05B707" w14:textId="77777777" w:rsidR="00B822AD" w:rsidRPr="000C5235" w:rsidRDefault="000457F9" w:rsidP="00A1067A">
      <w:r w:rsidRPr="000C5235">
        <w:t>Below is the list of changes to the PB Statement tables</w:t>
      </w:r>
      <w:r w:rsidR="00B822AD" w:rsidRPr="000C5235">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0457F9" w:rsidRPr="000C5235" w14:paraId="7D27058D" w14:textId="77777777" w:rsidTr="00145E47">
        <w:trPr>
          <w:trHeight w:val="300"/>
        </w:trPr>
        <w:tc>
          <w:tcPr>
            <w:tcW w:w="2972" w:type="dxa"/>
            <w:shd w:val="clear" w:color="000000" w:fill="D9D9D9"/>
            <w:noWrap/>
            <w:hideMark/>
          </w:tcPr>
          <w:p w14:paraId="384B5F82" w14:textId="77777777" w:rsidR="000457F9" w:rsidRPr="000C5235" w:rsidRDefault="000457F9" w:rsidP="00145E47">
            <w:pPr>
              <w:rPr>
                <w:rFonts w:ascii="Calibri" w:hAnsi="Calibri" w:cs="Calibri"/>
                <w:b/>
                <w:color w:val="000000"/>
              </w:rPr>
            </w:pPr>
            <w:r w:rsidRPr="000C5235">
              <w:rPr>
                <w:rFonts w:ascii="Calibri" w:hAnsi="Calibri" w:cs="Calibri"/>
                <w:b/>
                <w:color w:val="000000"/>
              </w:rPr>
              <w:t>PB Statement Report</w:t>
            </w:r>
          </w:p>
        </w:tc>
        <w:tc>
          <w:tcPr>
            <w:tcW w:w="6662" w:type="dxa"/>
            <w:shd w:val="clear" w:color="000000" w:fill="D9D9D9"/>
            <w:hideMark/>
          </w:tcPr>
          <w:p w14:paraId="3E9BE182" w14:textId="77777777" w:rsidR="000457F9" w:rsidRPr="000C5235" w:rsidRDefault="000457F9" w:rsidP="00145E47">
            <w:pPr>
              <w:rPr>
                <w:rFonts w:ascii="Calibri" w:hAnsi="Calibri" w:cs="Calibri"/>
                <w:b/>
                <w:color w:val="000000"/>
              </w:rPr>
            </w:pPr>
            <w:r w:rsidRPr="000C5235">
              <w:rPr>
                <w:rFonts w:ascii="Calibri" w:hAnsi="Calibri" w:cs="Calibri"/>
                <w:b/>
                <w:color w:val="000000"/>
              </w:rPr>
              <w:t>Changes</w:t>
            </w:r>
          </w:p>
        </w:tc>
      </w:tr>
      <w:tr w:rsidR="004A0734" w:rsidRPr="000C5235" w14:paraId="4CF0D592" w14:textId="77777777" w:rsidTr="00145E47">
        <w:trPr>
          <w:trHeight w:val="300"/>
        </w:trPr>
        <w:tc>
          <w:tcPr>
            <w:tcW w:w="2972" w:type="dxa"/>
            <w:shd w:val="clear" w:color="auto" w:fill="FFFFFF" w:themeFill="background1"/>
            <w:noWrap/>
          </w:tcPr>
          <w:p w14:paraId="5D0CDD72" w14:textId="77777777" w:rsidR="004A0734" w:rsidRPr="000C5235" w:rsidRDefault="004A0734">
            <w:pPr>
              <w:pStyle w:val="TableText-Medium"/>
              <w:rPr>
                <w:rFonts w:cstheme="minorHAnsi"/>
              </w:rPr>
            </w:pPr>
            <w:r w:rsidRPr="000C5235">
              <w:rPr>
                <w:rFonts w:cstheme="minorHAnsi"/>
              </w:rPr>
              <w:t>PBS T1.1 Entity Resource Statement</w:t>
            </w:r>
          </w:p>
        </w:tc>
        <w:tc>
          <w:tcPr>
            <w:tcW w:w="6662" w:type="dxa"/>
            <w:shd w:val="clear" w:color="auto" w:fill="FFFFFF" w:themeFill="background1"/>
          </w:tcPr>
          <w:p w14:paraId="5198358E" w14:textId="2087F557" w:rsidR="00C263A7" w:rsidRPr="000C5235" w:rsidRDefault="004A0734" w:rsidP="00B70B7F">
            <w:pPr>
              <w:pStyle w:val="TableText-Medium"/>
              <w:rPr>
                <w:rFonts w:cstheme="minorHAnsi"/>
              </w:rPr>
            </w:pPr>
            <w:r w:rsidRPr="000C5235">
              <w:rPr>
                <w:rFonts w:cstheme="minorHAnsi"/>
              </w:rPr>
              <w:t xml:space="preserve">Entities who received an appropriation under the </w:t>
            </w:r>
            <w:r w:rsidRPr="000C5235">
              <w:rPr>
                <w:rFonts w:cstheme="minorHAnsi"/>
                <w:i/>
              </w:rPr>
              <w:t>2019-20 Appropriation (Coronavirus Economic Response Package) Bills 1 &amp; 2</w:t>
            </w:r>
            <w:r w:rsidRPr="000C5235">
              <w:rPr>
                <w:rFonts w:cstheme="minorHAnsi"/>
              </w:rPr>
              <w:t xml:space="preserve"> and / or the </w:t>
            </w:r>
            <w:r w:rsidRPr="000C5235">
              <w:rPr>
                <w:rFonts w:cstheme="minorHAnsi"/>
                <w:i/>
              </w:rPr>
              <w:t xml:space="preserve">2019-20 </w:t>
            </w:r>
            <w:r w:rsidR="00B51CD3" w:rsidRPr="000C5235">
              <w:rPr>
                <w:rFonts w:cstheme="minorHAnsi"/>
                <w:i/>
              </w:rPr>
              <w:t xml:space="preserve">Appropriation </w:t>
            </w:r>
            <w:r w:rsidRPr="000C5235">
              <w:rPr>
                <w:rFonts w:cstheme="minorHAnsi"/>
                <w:i/>
              </w:rPr>
              <w:t>Bills 5 &amp; 6</w:t>
            </w:r>
            <w:r w:rsidRPr="000C5235">
              <w:rPr>
                <w:rFonts w:cstheme="minorHAnsi"/>
              </w:rPr>
              <w:t xml:space="preserve"> will be required to reflect the appropriations in T1.1 Entity resource statement.</w:t>
            </w:r>
            <w:r w:rsidR="00C263A7" w:rsidRPr="000C5235">
              <w:rPr>
                <w:rFonts w:cstheme="minorHAnsi"/>
              </w:rPr>
              <w:br/>
            </w:r>
            <w:r w:rsidR="00C263A7" w:rsidRPr="000C5235">
              <w:rPr>
                <w:rFonts w:cstheme="minorHAnsi"/>
              </w:rPr>
              <w:br/>
              <w:t xml:space="preserve">This is required because the above Bills received </w:t>
            </w:r>
            <w:r w:rsidR="00C263A7" w:rsidRPr="000C5235">
              <w:rPr>
                <w:rFonts w:cstheme="minorHAnsi"/>
                <w:i/>
              </w:rPr>
              <w:t>Royal Assent</w:t>
            </w:r>
            <w:r w:rsidR="00C263A7" w:rsidRPr="000C5235">
              <w:rPr>
                <w:rFonts w:cstheme="minorHAnsi"/>
              </w:rPr>
              <w:t xml:space="preserve"> </w:t>
            </w:r>
            <w:r w:rsidR="0096572D" w:rsidRPr="000C5235">
              <w:rPr>
                <w:rFonts w:cstheme="minorHAnsi"/>
              </w:rPr>
              <w:t>before the preparation of the 2020-21 PB Statement.  For</w:t>
            </w:r>
            <w:r w:rsidR="00C263A7" w:rsidRPr="000C5235">
              <w:rPr>
                <w:rFonts w:cstheme="minorHAnsi"/>
              </w:rPr>
              <w:t xml:space="preserve"> the:</w:t>
            </w:r>
          </w:p>
          <w:p w14:paraId="574B6BF1" w14:textId="77777777" w:rsidR="00C263A7" w:rsidRPr="000C5235" w:rsidRDefault="00C263A7" w:rsidP="005D722E">
            <w:pPr>
              <w:pStyle w:val="TableText-Medium"/>
              <w:numPr>
                <w:ilvl w:val="0"/>
                <w:numId w:val="241"/>
              </w:numPr>
              <w:rPr>
                <w:rFonts w:cstheme="minorHAnsi"/>
              </w:rPr>
            </w:pPr>
            <w:r w:rsidRPr="000C5235">
              <w:rPr>
                <w:rFonts w:cstheme="minorHAnsi"/>
              </w:rPr>
              <w:t xml:space="preserve">2019-20 Appropriation (Coronavirus Economic Response Package) Bills 1 &amp; 2 </w:t>
            </w:r>
            <w:r w:rsidR="0096572D" w:rsidRPr="000C5235">
              <w:rPr>
                <w:rFonts w:cstheme="minorHAnsi"/>
              </w:rPr>
              <w:t xml:space="preserve">assent was received </w:t>
            </w:r>
            <w:r w:rsidRPr="000C5235">
              <w:rPr>
                <w:rFonts w:cstheme="minorHAnsi"/>
              </w:rPr>
              <w:t>on the 24</w:t>
            </w:r>
            <w:r w:rsidR="008C5A23" w:rsidRPr="000C5235">
              <w:rPr>
                <w:rFonts w:cstheme="minorHAnsi"/>
              </w:rPr>
              <w:t>th</w:t>
            </w:r>
            <w:r w:rsidRPr="000C5235">
              <w:rPr>
                <w:rFonts w:cstheme="minorHAnsi"/>
              </w:rPr>
              <w:t xml:space="preserve"> Mar 2020.</w:t>
            </w:r>
          </w:p>
          <w:p w14:paraId="0378D0D9" w14:textId="1ADBDB61" w:rsidR="00C263A7" w:rsidRPr="000C5235" w:rsidRDefault="00B51CD3" w:rsidP="005D722E">
            <w:pPr>
              <w:pStyle w:val="TableText-Medium"/>
              <w:numPr>
                <w:ilvl w:val="0"/>
                <w:numId w:val="241"/>
              </w:numPr>
              <w:rPr>
                <w:rFonts w:cstheme="minorHAnsi"/>
              </w:rPr>
            </w:pPr>
            <w:r w:rsidRPr="000C5235">
              <w:rPr>
                <w:rFonts w:cstheme="minorHAnsi"/>
              </w:rPr>
              <w:t xml:space="preserve">Appropriation </w:t>
            </w:r>
            <w:r w:rsidR="00C263A7" w:rsidRPr="000C5235">
              <w:rPr>
                <w:rFonts w:cstheme="minorHAnsi"/>
              </w:rPr>
              <w:t>Bills 5 &amp; 6</w:t>
            </w:r>
            <w:r w:rsidR="0096572D" w:rsidRPr="000C5235">
              <w:rPr>
                <w:rFonts w:cstheme="minorHAnsi"/>
              </w:rPr>
              <w:t xml:space="preserve"> assent was received</w:t>
            </w:r>
            <w:r w:rsidR="00C263A7" w:rsidRPr="000C5235">
              <w:rPr>
                <w:rFonts w:cstheme="minorHAnsi"/>
              </w:rPr>
              <w:t xml:space="preserve"> on the 9</w:t>
            </w:r>
            <w:r w:rsidR="008C5A23" w:rsidRPr="000C5235">
              <w:rPr>
                <w:rFonts w:cstheme="minorHAnsi"/>
              </w:rPr>
              <w:t>th</w:t>
            </w:r>
            <w:r w:rsidR="00C263A7" w:rsidRPr="000C5235">
              <w:rPr>
                <w:rFonts w:cstheme="minorHAnsi"/>
              </w:rPr>
              <w:t xml:space="preserve"> April</w:t>
            </w:r>
            <w:r w:rsidR="00E17F75" w:rsidRPr="000C5235">
              <w:rPr>
                <w:rFonts w:cstheme="minorHAnsi"/>
              </w:rPr>
              <w:t>.</w:t>
            </w:r>
          </w:p>
        </w:tc>
      </w:tr>
      <w:tr w:rsidR="000457F9" w:rsidRPr="000C5235" w14:paraId="2EC5AC95" w14:textId="77777777" w:rsidTr="00145E47">
        <w:trPr>
          <w:trHeight w:val="300"/>
        </w:trPr>
        <w:tc>
          <w:tcPr>
            <w:tcW w:w="2972" w:type="dxa"/>
            <w:shd w:val="clear" w:color="auto" w:fill="FFFFFF" w:themeFill="background1"/>
            <w:noWrap/>
          </w:tcPr>
          <w:p w14:paraId="4E3E197B" w14:textId="77777777" w:rsidR="000457F9" w:rsidRPr="000C5235" w:rsidRDefault="000457F9" w:rsidP="00055A39">
            <w:pPr>
              <w:pStyle w:val="TableText-Medium"/>
              <w:rPr>
                <w:rFonts w:cstheme="minorHAnsi"/>
              </w:rPr>
            </w:pPr>
            <w:r w:rsidRPr="000C5235">
              <w:rPr>
                <w:rFonts w:cstheme="minorHAnsi"/>
              </w:rPr>
              <w:t>PBS.T1.2 Entity 2019-20 measures since Budget</w:t>
            </w:r>
          </w:p>
        </w:tc>
        <w:tc>
          <w:tcPr>
            <w:tcW w:w="6662" w:type="dxa"/>
            <w:shd w:val="clear" w:color="auto" w:fill="FFFFFF" w:themeFill="background1"/>
          </w:tcPr>
          <w:p w14:paraId="3F645C8D" w14:textId="77777777" w:rsidR="00B70B7F" w:rsidRPr="000C5235" w:rsidRDefault="00B70B7F" w:rsidP="00B70B7F">
            <w:pPr>
              <w:pStyle w:val="TableText-Medium"/>
              <w:rPr>
                <w:rFonts w:cstheme="minorHAnsi"/>
              </w:rPr>
            </w:pPr>
            <w:r w:rsidRPr="000C5235">
              <w:rPr>
                <w:rFonts w:cstheme="minorHAnsi"/>
              </w:rPr>
              <w:t>Table has been modified comprising of the following changes:</w:t>
            </w:r>
          </w:p>
          <w:p w14:paraId="083F5109" w14:textId="3B06836B" w:rsidR="00624CEB" w:rsidRDefault="00624CEB" w:rsidP="00DB312F">
            <w:pPr>
              <w:pStyle w:val="TableText-Medium"/>
              <w:numPr>
                <w:ilvl w:val="0"/>
                <w:numId w:val="222"/>
              </w:numPr>
              <w:rPr>
                <w:rFonts w:cstheme="minorHAnsi"/>
              </w:rPr>
            </w:pPr>
            <w:r w:rsidRPr="000C5235">
              <w:rPr>
                <w:rFonts w:cstheme="minorHAnsi"/>
              </w:rPr>
              <w:t xml:space="preserve">Removing the 2019-20 </w:t>
            </w:r>
            <w:r w:rsidR="00382E8F" w:rsidRPr="000C5235">
              <w:rPr>
                <w:rFonts w:cstheme="minorHAnsi"/>
              </w:rPr>
              <w:t>financial</w:t>
            </w:r>
            <w:r w:rsidRPr="000C5235">
              <w:rPr>
                <w:rFonts w:cstheme="minorHAnsi"/>
              </w:rPr>
              <w:t xml:space="preserve"> year column.</w:t>
            </w:r>
          </w:p>
          <w:p w14:paraId="03EC6E06" w14:textId="11C4C9B0" w:rsidR="007D004A" w:rsidRPr="000C5235" w:rsidRDefault="007D004A" w:rsidP="00DB312F">
            <w:pPr>
              <w:pStyle w:val="TableText-Medium"/>
              <w:numPr>
                <w:ilvl w:val="0"/>
                <w:numId w:val="222"/>
              </w:numPr>
              <w:rPr>
                <w:rFonts w:cstheme="minorHAnsi"/>
              </w:rPr>
            </w:pPr>
            <w:r>
              <w:rPr>
                <w:rFonts w:cstheme="minorHAnsi"/>
              </w:rPr>
              <w:t xml:space="preserve">With the change to reporting in UCB terms, there will only be two sections: payments and receipts. The capital component of measures will be reported in the payments section. </w:t>
            </w:r>
          </w:p>
          <w:p w14:paraId="42A3836C" w14:textId="77777777" w:rsidR="00B42725" w:rsidRPr="000C5235" w:rsidRDefault="00C2649B" w:rsidP="00DB312F">
            <w:pPr>
              <w:pStyle w:val="TableText-Medium"/>
              <w:numPr>
                <w:ilvl w:val="0"/>
                <w:numId w:val="222"/>
              </w:numPr>
              <w:rPr>
                <w:rFonts w:cstheme="minorHAnsi"/>
              </w:rPr>
            </w:pPr>
            <w:r w:rsidRPr="000C5235">
              <w:rPr>
                <w:rFonts w:cstheme="minorHAnsi"/>
              </w:rPr>
              <w:t>Removing the Part 2 sub-table to only report m</w:t>
            </w:r>
            <w:r w:rsidR="001321B8" w:rsidRPr="000C5235">
              <w:rPr>
                <w:rFonts w:cstheme="minorHAnsi"/>
              </w:rPr>
              <w:t xml:space="preserve">easures announced after </w:t>
            </w:r>
            <w:r w:rsidR="00803275" w:rsidRPr="000C5235">
              <w:rPr>
                <w:i/>
              </w:rPr>
              <w:t>Economic and Fiscal Update July 2020</w:t>
            </w:r>
            <w:r w:rsidR="001321B8" w:rsidRPr="000C5235">
              <w:rPr>
                <w:rFonts w:cstheme="minorHAnsi"/>
              </w:rPr>
              <w:t xml:space="preserve"> </w:t>
            </w:r>
            <w:r w:rsidRPr="000C5235">
              <w:rPr>
                <w:rFonts w:cstheme="minorHAnsi"/>
              </w:rPr>
              <w:t>ie only those reported in BP No.2</w:t>
            </w:r>
            <w:r w:rsidR="001321B8" w:rsidRPr="000C5235">
              <w:rPr>
                <w:rFonts w:cstheme="minorHAnsi"/>
              </w:rPr>
              <w:t>.</w:t>
            </w:r>
          </w:p>
          <w:p w14:paraId="00148883" w14:textId="33A6E095" w:rsidR="00D573EB" w:rsidRPr="000C5235" w:rsidRDefault="00D573EB" w:rsidP="000C42A6">
            <w:pPr>
              <w:pStyle w:val="TableText-Medium"/>
              <w:numPr>
                <w:ilvl w:val="0"/>
                <w:numId w:val="222"/>
              </w:numPr>
              <w:rPr>
                <w:rFonts w:cstheme="minorHAnsi"/>
              </w:rPr>
            </w:pPr>
            <w:r w:rsidRPr="000C5235">
              <w:rPr>
                <w:rFonts w:cstheme="minorHAnsi"/>
              </w:rPr>
              <w:t xml:space="preserve">Removed the reference </w:t>
            </w:r>
            <w:r w:rsidRPr="000C5235">
              <w:rPr>
                <w:rFonts w:cstheme="minorHAnsi"/>
                <w:i/>
              </w:rPr>
              <w:t>‘Prepared on a Government Finance Statistics (fiscal) basis’</w:t>
            </w:r>
            <w:r w:rsidRPr="000C5235">
              <w:rPr>
                <w:rFonts w:cstheme="minorHAnsi"/>
              </w:rPr>
              <w:t>.</w:t>
            </w:r>
          </w:p>
        </w:tc>
      </w:tr>
      <w:tr w:rsidR="00026975" w:rsidRPr="000C5235" w14:paraId="554E935E" w14:textId="77777777" w:rsidTr="00145E47">
        <w:trPr>
          <w:trHeight w:val="300"/>
        </w:trPr>
        <w:tc>
          <w:tcPr>
            <w:tcW w:w="2972" w:type="dxa"/>
            <w:shd w:val="clear" w:color="auto" w:fill="auto"/>
            <w:noWrap/>
          </w:tcPr>
          <w:p w14:paraId="707AA34C" w14:textId="77777777" w:rsidR="00026975" w:rsidRPr="000C5235" w:rsidRDefault="00A24398" w:rsidP="00A1067A">
            <w:pPr>
              <w:pStyle w:val="TableText-Medium"/>
              <w:rPr>
                <w:rFonts w:cstheme="minorHAnsi"/>
              </w:rPr>
            </w:pPr>
            <w:r w:rsidRPr="000C5235">
              <w:rPr>
                <w:rFonts w:cstheme="minorHAnsi"/>
              </w:rPr>
              <w:t>PBS T</w:t>
            </w:r>
            <w:r w:rsidR="00712BED" w:rsidRPr="000C5235">
              <w:rPr>
                <w:rFonts w:cstheme="minorHAnsi"/>
              </w:rPr>
              <w:t>2.X.3 Performance criteria for Outcome x</w:t>
            </w:r>
          </w:p>
        </w:tc>
        <w:tc>
          <w:tcPr>
            <w:tcW w:w="6662" w:type="dxa"/>
            <w:shd w:val="clear" w:color="auto" w:fill="auto"/>
          </w:tcPr>
          <w:p w14:paraId="2BD799EA" w14:textId="77777777" w:rsidR="00026975" w:rsidRPr="000C5235" w:rsidRDefault="00712BED" w:rsidP="00692A3D">
            <w:pPr>
              <w:pStyle w:val="TableText-Medium"/>
              <w:rPr>
                <w:rFonts w:cstheme="minorHAnsi"/>
              </w:rPr>
            </w:pPr>
            <w:r w:rsidRPr="000C5235">
              <w:rPr>
                <w:rFonts w:cstheme="minorHAnsi"/>
              </w:rPr>
              <w:t>2019-20 Year the targets to be described have been amended from ‘</w:t>
            </w:r>
            <w:r w:rsidRPr="000C5235">
              <w:rPr>
                <w:rFonts w:cstheme="minorHAnsi"/>
                <w:i/>
              </w:rPr>
              <w:t>Forecast against the targets for 2019-20 described in the 2019</w:t>
            </w:r>
            <w:r w:rsidR="00692A3D" w:rsidRPr="000C5235">
              <w:rPr>
                <w:rFonts w:cstheme="minorHAnsi"/>
                <w:i/>
              </w:rPr>
              <w:noBreakHyphen/>
              <w:t>20 </w:t>
            </w:r>
            <w:r w:rsidRPr="000C5235">
              <w:rPr>
                <w:rFonts w:cstheme="minorHAnsi"/>
                <w:i/>
              </w:rPr>
              <w:t>Portfolio Budget Statements’</w:t>
            </w:r>
            <w:r w:rsidRPr="000C5235">
              <w:rPr>
                <w:rFonts w:cstheme="minorHAnsi"/>
              </w:rPr>
              <w:t xml:space="preserve"> to </w:t>
            </w:r>
            <w:r w:rsidRPr="000C5235">
              <w:rPr>
                <w:rFonts w:cstheme="minorHAnsi"/>
                <w:i/>
              </w:rPr>
              <w:t>‘Actual performance against targets for 2019-20 Portfolio Budget Statements’</w:t>
            </w:r>
            <w:r w:rsidRPr="000C5235">
              <w:rPr>
                <w:rFonts w:cstheme="minorHAnsi"/>
              </w:rPr>
              <w:t>.</w:t>
            </w:r>
          </w:p>
          <w:p w14:paraId="093870DD" w14:textId="77777777" w:rsidR="009D01E8" w:rsidRPr="000C5235" w:rsidRDefault="009D01E8" w:rsidP="00692A3D">
            <w:pPr>
              <w:pStyle w:val="TableText-Medium"/>
              <w:rPr>
                <w:rFonts w:cstheme="minorHAnsi"/>
              </w:rPr>
            </w:pPr>
            <w:r w:rsidRPr="000C5235">
              <w:rPr>
                <w:rFonts w:cstheme="minorHAnsi"/>
              </w:rPr>
              <w:t xml:space="preserve">This is required because the Corporate Plans are due by the </w:t>
            </w:r>
            <w:r w:rsidR="008C5A23" w:rsidRPr="000C5235">
              <w:rPr>
                <w:rFonts w:cstheme="minorHAnsi"/>
              </w:rPr>
              <w:br/>
            </w:r>
            <w:r w:rsidRPr="000C5235">
              <w:rPr>
                <w:rFonts w:cstheme="minorHAnsi"/>
              </w:rPr>
              <w:t>31</w:t>
            </w:r>
            <w:r w:rsidR="008C5A23" w:rsidRPr="000C5235">
              <w:rPr>
                <w:rFonts w:cstheme="minorHAnsi"/>
              </w:rPr>
              <w:t>st</w:t>
            </w:r>
            <w:r w:rsidRPr="000C5235">
              <w:rPr>
                <w:rFonts w:cstheme="minorHAnsi"/>
              </w:rPr>
              <w:t xml:space="preserve"> August and will have reported actual performance so reporting needs to be consistent.</w:t>
            </w:r>
          </w:p>
        </w:tc>
      </w:tr>
      <w:tr w:rsidR="000457F9" w:rsidRPr="000C5235" w14:paraId="607FA345" w14:textId="77777777" w:rsidTr="00145E47">
        <w:trPr>
          <w:trHeight w:val="300"/>
        </w:trPr>
        <w:tc>
          <w:tcPr>
            <w:tcW w:w="2972" w:type="dxa"/>
            <w:shd w:val="clear" w:color="auto" w:fill="auto"/>
            <w:noWrap/>
            <w:hideMark/>
          </w:tcPr>
          <w:p w14:paraId="4278691F" w14:textId="77777777" w:rsidR="000457F9" w:rsidRPr="000C5235" w:rsidRDefault="000457F9" w:rsidP="00A1067A">
            <w:pPr>
              <w:pStyle w:val="TableText-Medium"/>
              <w:rPr>
                <w:rFonts w:cstheme="minorHAnsi"/>
              </w:rPr>
            </w:pPr>
            <w:r w:rsidRPr="000C5235">
              <w:rPr>
                <w:rFonts w:cstheme="minorHAnsi"/>
              </w:rPr>
              <w:t>PBS.T3.01 Comprehensive Income Statement</w:t>
            </w:r>
          </w:p>
        </w:tc>
        <w:tc>
          <w:tcPr>
            <w:tcW w:w="6662" w:type="dxa"/>
            <w:shd w:val="clear" w:color="auto" w:fill="auto"/>
            <w:hideMark/>
          </w:tcPr>
          <w:p w14:paraId="20659A4A" w14:textId="77777777" w:rsidR="000457F9" w:rsidRPr="000C5235" w:rsidRDefault="000457F9" w:rsidP="00A1067A">
            <w:pPr>
              <w:pStyle w:val="TableText-Medium"/>
              <w:rPr>
                <w:rFonts w:cstheme="minorHAnsi"/>
              </w:rPr>
            </w:pPr>
            <w:r w:rsidRPr="000C5235">
              <w:rPr>
                <w:rFonts w:cstheme="minorHAnsi"/>
              </w:rPr>
              <w:t>New line-items added:</w:t>
            </w:r>
          </w:p>
          <w:p w14:paraId="74DCBC0E" w14:textId="77777777" w:rsidR="000457F9" w:rsidRPr="000C5235" w:rsidRDefault="000457F9" w:rsidP="00A1067A">
            <w:pPr>
              <w:pStyle w:val="TableText-Medium-DotPoints"/>
              <w:rPr>
                <w:rFonts w:cstheme="minorHAnsi"/>
              </w:rPr>
            </w:pPr>
            <w:r w:rsidRPr="000C5235">
              <w:rPr>
                <w:rFonts w:cstheme="minorHAnsi"/>
              </w:rPr>
              <w:t>Sublease income</w:t>
            </w:r>
          </w:p>
          <w:p w14:paraId="5327679C" w14:textId="77777777" w:rsidR="000457F9" w:rsidRPr="000C5235" w:rsidRDefault="000457F9" w:rsidP="00A1067A">
            <w:pPr>
              <w:pStyle w:val="TableText-Medium-DotPoints"/>
              <w:rPr>
                <w:rFonts w:cstheme="minorHAnsi"/>
              </w:rPr>
            </w:pPr>
            <w:r w:rsidRPr="000C5235">
              <w:rPr>
                <w:rFonts w:cstheme="minorHAnsi"/>
              </w:rPr>
              <w:t>Sublease interest income</w:t>
            </w:r>
          </w:p>
          <w:p w14:paraId="29BEB5B2" w14:textId="77777777" w:rsidR="000457F9" w:rsidRPr="000C5235" w:rsidRDefault="000457F9" w:rsidP="00A1067A">
            <w:pPr>
              <w:pStyle w:val="TableText-Medium-DotPoints"/>
              <w:rPr>
                <w:rFonts w:cstheme="minorHAnsi"/>
              </w:rPr>
            </w:pPr>
            <w:r w:rsidRPr="000C5235">
              <w:rPr>
                <w:rFonts w:cstheme="minorHAnsi"/>
              </w:rPr>
              <w:t>Gain on lease disposal</w:t>
            </w:r>
          </w:p>
          <w:p w14:paraId="144D4855" w14:textId="77777777" w:rsidR="000457F9" w:rsidRPr="000C5235" w:rsidRDefault="000457F9" w:rsidP="00A1067A">
            <w:pPr>
              <w:pStyle w:val="TableText-Medium-DotPoints"/>
              <w:rPr>
                <w:rFonts w:cstheme="minorHAnsi"/>
              </w:rPr>
            </w:pPr>
            <w:r w:rsidRPr="000C5235">
              <w:rPr>
                <w:rFonts w:cstheme="minorHAnsi"/>
              </w:rPr>
              <w:t>Gain on finance sublease</w:t>
            </w:r>
          </w:p>
          <w:p w14:paraId="73DC901C" w14:textId="77777777" w:rsidR="000457F9" w:rsidRPr="000C5235" w:rsidRDefault="000457F9" w:rsidP="00A1067A">
            <w:pPr>
              <w:pStyle w:val="TableText-Medium"/>
              <w:rPr>
                <w:rFonts w:cstheme="minorHAnsi"/>
              </w:rPr>
            </w:pPr>
            <w:r w:rsidRPr="000C5235">
              <w:rPr>
                <w:rFonts w:cstheme="minorHAnsi"/>
              </w:rPr>
              <w:t xml:space="preserve">The reconciliation table note </w:t>
            </w:r>
            <w:r w:rsidRPr="000C5235">
              <w:rPr>
                <w:rFonts w:cstheme="minorHAnsi"/>
                <w:i/>
              </w:rPr>
              <w:t>impact of net cash appropriations</w:t>
            </w:r>
            <w:r w:rsidRPr="000C5235">
              <w:rPr>
                <w:rFonts w:cstheme="minorHAnsi"/>
              </w:rPr>
              <w:t xml:space="preserve"> will also have to be prepared by </w:t>
            </w:r>
            <w:r w:rsidRPr="000C5235">
              <w:rPr>
                <w:rFonts w:cstheme="minorHAnsi"/>
                <w:u w:val="single"/>
              </w:rPr>
              <w:t>all entities including Corporate Commonwealth Entities</w:t>
            </w:r>
            <w:r w:rsidRPr="000C5235">
              <w:rPr>
                <w:rFonts w:cstheme="minorHAnsi"/>
              </w:rPr>
              <w:t xml:space="preserve"> who report leased ROU Assets.  Changes to the reconciliation table note were made to include the following line-items:</w:t>
            </w:r>
          </w:p>
          <w:p w14:paraId="6F917AF4" w14:textId="77777777" w:rsidR="000457F9" w:rsidRPr="000C5235" w:rsidRDefault="000457F9" w:rsidP="00A1067A">
            <w:pPr>
              <w:pStyle w:val="TableText-Medium-DotPoints"/>
              <w:rPr>
                <w:rFonts w:cstheme="minorHAnsi"/>
              </w:rPr>
            </w:pPr>
            <w:r w:rsidRPr="000C5235">
              <w:rPr>
                <w:rFonts w:cstheme="minorHAnsi"/>
              </w:rPr>
              <w:t>Less: Depreciation/amortisation expenses for ROU assets</w:t>
            </w:r>
          </w:p>
          <w:p w14:paraId="3B26DB5A" w14:textId="77777777" w:rsidR="000457F9" w:rsidRPr="000C5235" w:rsidRDefault="000457F9" w:rsidP="00A1067A">
            <w:pPr>
              <w:pStyle w:val="TableText-Medium-DotPoints"/>
              <w:rPr>
                <w:rFonts w:cstheme="minorHAnsi"/>
              </w:rPr>
            </w:pPr>
            <w:r w:rsidRPr="000C5235">
              <w:rPr>
                <w:rFonts w:cstheme="minorHAnsi"/>
              </w:rPr>
              <w:t>Add: Principal repayments on leased assets</w:t>
            </w:r>
          </w:p>
          <w:p w14:paraId="5CB9D726" w14:textId="77777777" w:rsidR="000457F9" w:rsidRPr="000C5235" w:rsidRDefault="000457F9" w:rsidP="00A1067A">
            <w:pPr>
              <w:pStyle w:val="TableText-Medium"/>
              <w:rPr>
                <w:rFonts w:cstheme="minorHAnsi"/>
              </w:rPr>
            </w:pPr>
            <w:r w:rsidRPr="000C5235">
              <w:rPr>
                <w:rFonts w:cstheme="minorHAnsi"/>
              </w:rPr>
              <w:t xml:space="preserve">A new footnote for AASB 16 </w:t>
            </w:r>
            <w:r w:rsidRPr="000C5235">
              <w:rPr>
                <w:rFonts w:cstheme="minorHAnsi"/>
                <w:i/>
              </w:rPr>
              <w:t>Leases</w:t>
            </w:r>
            <w:r w:rsidRPr="000C5235">
              <w:rPr>
                <w:rFonts w:cstheme="minorHAnsi"/>
              </w:rPr>
              <w:t xml:space="preserve"> was added.</w:t>
            </w:r>
          </w:p>
        </w:tc>
      </w:tr>
      <w:tr w:rsidR="000457F9" w:rsidRPr="000C5235" w14:paraId="6116A51E" w14:textId="77777777" w:rsidTr="00145E47">
        <w:trPr>
          <w:trHeight w:val="300"/>
        </w:trPr>
        <w:tc>
          <w:tcPr>
            <w:tcW w:w="2972" w:type="dxa"/>
            <w:shd w:val="clear" w:color="auto" w:fill="auto"/>
            <w:noWrap/>
          </w:tcPr>
          <w:p w14:paraId="1BA77F6F" w14:textId="77777777" w:rsidR="000457F9" w:rsidRPr="000C5235" w:rsidRDefault="000457F9" w:rsidP="00A1067A">
            <w:pPr>
              <w:pStyle w:val="TableText-Medium"/>
              <w:rPr>
                <w:rFonts w:cstheme="minorHAnsi"/>
              </w:rPr>
            </w:pPr>
            <w:r w:rsidRPr="000C5235">
              <w:rPr>
                <w:rFonts w:cstheme="minorHAnsi"/>
              </w:rPr>
              <w:t>PBS.T3.04 Budgeted departmental statement of cash flows (for the period ended 30 June)</w:t>
            </w:r>
          </w:p>
        </w:tc>
        <w:tc>
          <w:tcPr>
            <w:tcW w:w="6662" w:type="dxa"/>
            <w:shd w:val="clear" w:color="auto" w:fill="auto"/>
          </w:tcPr>
          <w:p w14:paraId="03D09859" w14:textId="77777777" w:rsidR="000457F9" w:rsidRPr="000C5235" w:rsidRDefault="000457F9" w:rsidP="00A1067A">
            <w:pPr>
              <w:pStyle w:val="TableText-Normal"/>
              <w:rPr>
                <w:rFonts w:cstheme="minorHAnsi"/>
                <w:sz w:val="20"/>
                <w:szCs w:val="20"/>
              </w:rPr>
            </w:pPr>
            <w:r w:rsidRPr="000C5235">
              <w:rPr>
                <w:rFonts w:cstheme="minorHAnsi"/>
                <w:sz w:val="20"/>
                <w:szCs w:val="20"/>
              </w:rPr>
              <w:t>New line-items added:</w:t>
            </w:r>
          </w:p>
          <w:p w14:paraId="74714BB2" w14:textId="77777777" w:rsidR="000457F9" w:rsidRPr="000C5235" w:rsidRDefault="000457F9" w:rsidP="00A1067A">
            <w:pPr>
              <w:pStyle w:val="TableText-Medium-DotPoints"/>
              <w:rPr>
                <w:rFonts w:cstheme="minorHAnsi"/>
              </w:rPr>
            </w:pPr>
            <w:r w:rsidRPr="000C5235">
              <w:rPr>
                <w:rFonts w:cstheme="minorHAnsi"/>
              </w:rPr>
              <w:t>Interest payments on lease liability</w:t>
            </w:r>
          </w:p>
          <w:p w14:paraId="3971E2CD" w14:textId="77777777" w:rsidR="000457F9" w:rsidRPr="000C5235" w:rsidRDefault="000457F9" w:rsidP="00A1067A">
            <w:pPr>
              <w:pStyle w:val="TableText-Medium-DotPoints"/>
              <w:rPr>
                <w:rFonts w:cstheme="minorHAnsi"/>
              </w:rPr>
            </w:pPr>
            <w:r w:rsidRPr="000C5235">
              <w:rPr>
                <w:rFonts w:cstheme="minorHAnsi"/>
              </w:rPr>
              <w:t>Principal payments on lease liability</w:t>
            </w:r>
          </w:p>
        </w:tc>
      </w:tr>
      <w:tr w:rsidR="000457F9" w:rsidRPr="000C5235" w14:paraId="38DA6896" w14:textId="77777777" w:rsidTr="00145E47">
        <w:trPr>
          <w:trHeight w:val="300"/>
        </w:trPr>
        <w:tc>
          <w:tcPr>
            <w:tcW w:w="2972" w:type="dxa"/>
            <w:shd w:val="clear" w:color="auto" w:fill="auto"/>
            <w:noWrap/>
          </w:tcPr>
          <w:p w14:paraId="3CC95726" w14:textId="77777777" w:rsidR="000457F9" w:rsidRPr="000C5235" w:rsidRDefault="000457F9" w:rsidP="00A1067A">
            <w:pPr>
              <w:pStyle w:val="TableText-Medium"/>
              <w:rPr>
                <w:rFonts w:cstheme="minorHAnsi"/>
              </w:rPr>
            </w:pPr>
            <w:r w:rsidRPr="000C5235">
              <w:rPr>
                <w:rFonts w:cstheme="minorHAnsi"/>
              </w:rPr>
              <w:t>PBS.T3.05 Departmental capital budget statement (for the period ended 30 June)</w:t>
            </w:r>
          </w:p>
        </w:tc>
        <w:tc>
          <w:tcPr>
            <w:tcW w:w="6662" w:type="dxa"/>
            <w:shd w:val="clear" w:color="auto" w:fill="auto"/>
          </w:tcPr>
          <w:p w14:paraId="13213230" w14:textId="77777777" w:rsidR="000457F9" w:rsidRPr="000C5235" w:rsidRDefault="000457F9" w:rsidP="00A1067A">
            <w:pPr>
              <w:pStyle w:val="TableText-Normal"/>
              <w:rPr>
                <w:rFonts w:cstheme="minorHAnsi"/>
                <w:sz w:val="20"/>
                <w:szCs w:val="20"/>
              </w:rPr>
            </w:pPr>
            <w:r w:rsidRPr="000C5235">
              <w:rPr>
                <w:rFonts w:cstheme="minorHAnsi"/>
                <w:sz w:val="20"/>
                <w:szCs w:val="20"/>
              </w:rPr>
              <w:t>New line-item added:</w:t>
            </w:r>
          </w:p>
          <w:p w14:paraId="7B8F05B2" w14:textId="77777777" w:rsidR="000457F9" w:rsidRPr="000C5235" w:rsidRDefault="000457F9" w:rsidP="00A1067A">
            <w:pPr>
              <w:pStyle w:val="TableText-Medium-DotPoints"/>
              <w:rPr>
                <w:rFonts w:cstheme="minorHAnsi"/>
                <w:color w:val="000000"/>
                <w:u w:val="single"/>
              </w:rPr>
            </w:pPr>
            <w:r w:rsidRPr="000C5235">
              <w:rPr>
                <w:rFonts w:cstheme="minorHAnsi"/>
              </w:rPr>
              <w:t>Funded by special appropriations</w:t>
            </w:r>
          </w:p>
        </w:tc>
      </w:tr>
      <w:tr w:rsidR="000457F9" w:rsidRPr="000C5235" w14:paraId="4B70FE0F" w14:textId="77777777" w:rsidTr="00145E47">
        <w:trPr>
          <w:trHeight w:val="300"/>
        </w:trPr>
        <w:tc>
          <w:tcPr>
            <w:tcW w:w="2972" w:type="dxa"/>
            <w:shd w:val="clear" w:color="auto" w:fill="auto"/>
            <w:noWrap/>
          </w:tcPr>
          <w:p w14:paraId="2DEB2420" w14:textId="77777777" w:rsidR="000457F9" w:rsidRPr="000C5235" w:rsidRDefault="000457F9" w:rsidP="00A1067A">
            <w:pPr>
              <w:pStyle w:val="TableText-Medium"/>
              <w:rPr>
                <w:rFonts w:cstheme="minorHAnsi"/>
              </w:rPr>
            </w:pPr>
            <w:r w:rsidRPr="000C5235">
              <w:rPr>
                <w:rFonts w:cstheme="minorHAnsi"/>
              </w:rPr>
              <w:t>PBS.T3.06 Statement of Departmental Asset Movements</w:t>
            </w:r>
          </w:p>
        </w:tc>
        <w:tc>
          <w:tcPr>
            <w:tcW w:w="6662" w:type="dxa"/>
            <w:shd w:val="clear" w:color="auto" w:fill="auto"/>
          </w:tcPr>
          <w:p w14:paraId="30D5AD1A" w14:textId="77777777" w:rsidR="000457F9" w:rsidRPr="000C5235" w:rsidRDefault="000457F9" w:rsidP="00A1067A">
            <w:pPr>
              <w:pStyle w:val="TableText-Medium"/>
              <w:rPr>
                <w:rFonts w:cstheme="minorHAnsi"/>
              </w:rPr>
            </w:pPr>
            <w:r w:rsidRPr="000C5235">
              <w:rPr>
                <w:rFonts w:cstheme="minorHAnsi"/>
              </w:rPr>
              <w:t>New line-items added:</w:t>
            </w:r>
          </w:p>
          <w:p w14:paraId="105E913F" w14:textId="77777777" w:rsidR="000457F9" w:rsidRPr="000C5235" w:rsidRDefault="000457F9" w:rsidP="00A1067A">
            <w:pPr>
              <w:pStyle w:val="TableText-Medium-DotPoints"/>
              <w:rPr>
                <w:rFonts w:cstheme="minorHAnsi"/>
                <w:color w:val="000000"/>
                <w:u w:val="single"/>
              </w:rPr>
            </w:pPr>
            <w:r w:rsidRPr="000C5235">
              <w:rPr>
                <w:rFonts w:cstheme="minorHAnsi"/>
              </w:rPr>
              <w:t xml:space="preserve">Gross book value - ROU assets (for both </w:t>
            </w:r>
            <w:r w:rsidRPr="000C5235">
              <w:rPr>
                <w:rFonts w:cstheme="minorHAnsi"/>
                <w:i/>
              </w:rPr>
              <w:t>‘As at 1 July 2020’</w:t>
            </w:r>
            <w:r w:rsidRPr="000C5235">
              <w:rPr>
                <w:rFonts w:cstheme="minorHAnsi"/>
              </w:rPr>
              <w:t xml:space="preserve"> and </w:t>
            </w:r>
            <w:r w:rsidRPr="000C5235">
              <w:rPr>
                <w:rFonts w:cstheme="minorHAnsi"/>
                <w:i/>
              </w:rPr>
              <w:t>‘As at 30 June 2021’</w:t>
            </w:r>
            <w:r w:rsidRPr="000C5235">
              <w:rPr>
                <w:rFonts w:cstheme="minorHAnsi"/>
              </w:rPr>
              <w:t>)</w:t>
            </w:r>
          </w:p>
          <w:p w14:paraId="16F6C65A" w14:textId="77777777" w:rsidR="000457F9" w:rsidRPr="000C5235" w:rsidRDefault="000457F9" w:rsidP="00A1067A">
            <w:pPr>
              <w:pStyle w:val="TableText-Medium-DotPoints"/>
              <w:rPr>
                <w:rFonts w:cstheme="minorHAnsi"/>
                <w:u w:val="single"/>
              </w:rPr>
            </w:pPr>
            <w:r w:rsidRPr="000C5235">
              <w:rPr>
                <w:rFonts w:cstheme="minorHAnsi"/>
              </w:rPr>
              <w:t>Accumulated depreciation/amortisation and impairment – ROU</w:t>
            </w:r>
            <w:r w:rsidRPr="000C5235">
              <w:rPr>
                <w:rFonts w:cstheme="minorHAnsi"/>
              </w:rPr>
              <w:br/>
              <w:t>(for both</w:t>
            </w:r>
            <w:r w:rsidRPr="000C5235">
              <w:rPr>
                <w:rFonts w:cstheme="minorHAnsi"/>
                <w:i/>
              </w:rPr>
              <w:t xml:space="preserve"> ‘As at 1 July 2020’ </w:t>
            </w:r>
            <w:r w:rsidRPr="000C5235">
              <w:rPr>
                <w:rFonts w:cstheme="minorHAnsi"/>
              </w:rPr>
              <w:t xml:space="preserve">and </w:t>
            </w:r>
            <w:r w:rsidRPr="000C5235">
              <w:rPr>
                <w:rFonts w:cstheme="minorHAnsi"/>
                <w:i/>
              </w:rPr>
              <w:t>‘As at 30 June 2021’</w:t>
            </w:r>
            <w:r w:rsidRPr="000C5235">
              <w:rPr>
                <w:rFonts w:cstheme="minorHAnsi"/>
              </w:rPr>
              <w:t>)</w:t>
            </w:r>
          </w:p>
          <w:p w14:paraId="14242179" w14:textId="77777777" w:rsidR="000457F9" w:rsidRPr="000C5235" w:rsidRDefault="000457F9" w:rsidP="00A1067A">
            <w:pPr>
              <w:pStyle w:val="TableText-Medium-DotPoints"/>
              <w:rPr>
                <w:rFonts w:cstheme="minorHAnsi"/>
              </w:rPr>
            </w:pPr>
            <w:r w:rsidRPr="000C5235">
              <w:rPr>
                <w:rFonts w:cstheme="minorHAnsi"/>
              </w:rPr>
              <w:t>By purchase - appropriation equity - ROU assets</w:t>
            </w:r>
          </w:p>
          <w:p w14:paraId="4924C9F7" w14:textId="77777777" w:rsidR="000457F9" w:rsidRPr="000C5235" w:rsidRDefault="000457F9" w:rsidP="00A1067A">
            <w:pPr>
              <w:pStyle w:val="TableText-Medium-DotPoints"/>
              <w:rPr>
                <w:rFonts w:cstheme="minorHAnsi"/>
              </w:rPr>
            </w:pPr>
            <w:r w:rsidRPr="000C5235">
              <w:rPr>
                <w:rFonts w:cstheme="minorHAnsi"/>
              </w:rPr>
              <w:t>By purchase - appropriation ordinary annual services – ROU assets</w:t>
            </w:r>
          </w:p>
          <w:p w14:paraId="2364EC9D" w14:textId="77777777" w:rsidR="000457F9" w:rsidRPr="000C5235" w:rsidRDefault="000457F9" w:rsidP="00A1067A">
            <w:pPr>
              <w:pStyle w:val="TableText-Medium-DotPoints"/>
              <w:rPr>
                <w:rFonts w:cstheme="minorHAnsi"/>
              </w:rPr>
            </w:pPr>
            <w:r w:rsidRPr="000C5235">
              <w:rPr>
                <w:rFonts w:cstheme="minorHAnsi"/>
              </w:rPr>
              <w:t>By purchase - other - ROU assets</w:t>
            </w:r>
          </w:p>
          <w:p w14:paraId="71D5FB61" w14:textId="77777777" w:rsidR="000457F9" w:rsidRPr="000C5235" w:rsidRDefault="000457F9" w:rsidP="00A1067A">
            <w:pPr>
              <w:pStyle w:val="TableText-Medium-DotPoints"/>
              <w:rPr>
                <w:rFonts w:cstheme="minorHAnsi"/>
              </w:rPr>
            </w:pPr>
            <w:r w:rsidRPr="000C5235">
              <w:rPr>
                <w:rFonts w:cstheme="minorHAnsi"/>
              </w:rPr>
              <w:t>ROU assets held for sale or in a disposal group held for sale</w:t>
            </w:r>
          </w:p>
          <w:p w14:paraId="3919A8DB" w14:textId="77777777" w:rsidR="000457F9" w:rsidRPr="000C5235" w:rsidRDefault="000457F9" w:rsidP="00A1067A">
            <w:pPr>
              <w:pStyle w:val="TableText-Medium-DotPoints"/>
              <w:rPr>
                <w:rFonts w:cstheme="minorHAnsi"/>
              </w:rPr>
            </w:pPr>
            <w:r w:rsidRPr="000C5235">
              <w:rPr>
                <w:rFonts w:cstheme="minorHAnsi"/>
              </w:rPr>
              <w:t>Depreciation/amortisation on ROU assets</w:t>
            </w:r>
          </w:p>
          <w:p w14:paraId="286FB3B3" w14:textId="77777777" w:rsidR="000457F9" w:rsidRPr="000C5235" w:rsidRDefault="000457F9" w:rsidP="00A1067A">
            <w:pPr>
              <w:pStyle w:val="TableText-Medium-DotPoints"/>
              <w:rPr>
                <w:rFonts w:cstheme="minorHAnsi"/>
                <w:u w:val="single"/>
              </w:rPr>
            </w:pPr>
            <w:r w:rsidRPr="000C5235">
              <w:rPr>
                <w:rFonts w:cstheme="minorHAnsi"/>
              </w:rPr>
              <w:t>From disposal of entities or operations (including restructuring) on ROU assets</w:t>
            </w:r>
          </w:p>
          <w:p w14:paraId="604DA135" w14:textId="77777777" w:rsidR="000457F9" w:rsidRPr="000C5235" w:rsidRDefault="000457F9" w:rsidP="00A1067A">
            <w:pPr>
              <w:pStyle w:val="TableText-Medium-DotPoints"/>
              <w:rPr>
                <w:rFonts w:cstheme="minorHAnsi"/>
                <w:u w:val="single"/>
              </w:rPr>
            </w:pPr>
            <w:r w:rsidRPr="000C5235">
              <w:rPr>
                <w:rFonts w:cstheme="minorHAnsi"/>
              </w:rPr>
              <w:t>Other - ROU assets</w:t>
            </w:r>
          </w:p>
          <w:p w14:paraId="1D2E5D86" w14:textId="77777777" w:rsidR="000457F9" w:rsidRPr="000C5235" w:rsidRDefault="000457F9" w:rsidP="00BD6313">
            <w:pPr>
              <w:pStyle w:val="TableText-Medium"/>
              <w:ind w:left="0"/>
              <w:rPr>
                <w:rFonts w:cstheme="minorHAnsi"/>
              </w:rPr>
            </w:pPr>
          </w:p>
          <w:p w14:paraId="16C6AD68" w14:textId="77777777" w:rsidR="000457F9" w:rsidRPr="000C5235" w:rsidRDefault="000457F9" w:rsidP="00A1067A">
            <w:pPr>
              <w:pStyle w:val="TableText-Medium"/>
              <w:rPr>
                <w:rFonts w:cstheme="minorHAnsi"/>
                <w:color w:val="000000"/>
              </w:rPr>
            </w:pPr>
            <w:r w:rsidRPr="000C5235">
              <w:rPr>
                <w:rFonts w:cstheme="minorHAnsi"/>
              </w:rPr>
              <w:t>Line-item removed</w:t>
            </w:r>
            <w:r w:rsidRPr="000C5235">
              <w:rPr>
                <w:rFonts w:cstheme="minorHAnsi"/>
                <w:color w:val="000000"/>
              </w:rPr>
              <w:t>:</w:t>
            </w:r>
          </w:p>
          <w:p w14:paraId="5EF72C72" w14:textId="77777777" w:rsidR="000457F9" w:rsidRPr="000C5235" w:rsidRDefault="000457F9" w:rsidP="00A1067A">
            <w:pPr>
              <w:pStyle w:val="TableText-Medium-DotPoints"/>
              <w:rPr>
                <w:rFonts w:cstheme="minorHAnsi"/>
              </w:rPr>
            </w:pPr>
            <w:r w:rsidRPr="000C5235">
              <w:rPr>
                <w:rFonts w:cstheme="minorHAnsi"/>
              </w:rPr>
              <w:t>Gross Value - Additions - By Finance Lease</w:t>
            </w:r>
          </w:p>
        </w:tc>
      </w:tr>
      <w:tr w:rsidR="000457F9" w:rsidRPr="000C5235" w14:paraId="04AB1471" w14:textId="77777777" w:rsidTr="00145E47">
        <w:trPr>
          <w:trHeight w:val="300"/>
        </w:trPr>
        <w:tc>
          <w:tcPr>
            <w:tcW w:w="2972" w:type="dxa"/>
            <w:shd w:val="clear" w:color="auto" w:fill="auto"/>
            <w:noWrap/>
          </w:tcPr>
          <w:p w14:paraId="48CF6DD3" w14:textId="77777777" w:rsidR="000457F9" w:rsidRPr="000C5235" w:rsidRDefault="000457F9" w:rsidP="00A1067A">
            <w:pPr>
              <w:pStyle w:val="TableText-Medium"/>
              <w:rPr>
                <w:rFonts w:cstheme="minorHAnsi"/>
              </w:rPr>
            </w:pPr>
            <w:r w:rsidRPr="000C5235">
              <w:rPr>
                <w:rFonts w:cstheme="minorHAnsi"/>
              </w:rPr>
              <w:t>PBS.T3.07 Schedule of budgeted income and expenses administered on behalf of Government</w:t>
            </w:r>
          </w:p>
        </w:tc>
        <w:tc>
          <w:tcPr>
            <w:tcW w:w="6662" w:type="dxa"/>
            <w:shd w:val="clear" w:color="auto" w:fill="auto"/>
          </w:tcPr>
          <w:p w14:paraId="58B51277" w14:textId="77777777" w:rsidR="000457F9" w:rsidRPr="000C5235" w:rsidRDefault="000457F9" w:rsidP="00A1067A">
            <w:pPr>
              <w:pStyle w:val="TableText-Medium"/>
              <w:rPr>
                <w:rFonts w:cstheme="minorHAnsi"/>
              </w:rPr>
            </w:pPr>
            <w:r w:rsidRPr="000C5235">
              <w:rPr>
                <w:rFonts w:cstheme="minorHAnsi"/>
              </w:rPr>
              <w:t>New line-items added:</w:t>
            </w:r>
          </w:p>
          <w:p w14:paraId="35923EC4" w14:textId="77777777" w:rsidR="000457F9" w:rsidRPr="000C5235" w:rsidRDefault="000457F9" w:rsidP="00A1067A">
            <w:pPr>
              <w:pStyle w:val="TableText-Medium-DotPoints"/>
              <w:rPr>
                <w:rFonts w:cstheme="minorHAnsi"/>
                <w:color w:val="000000"/>
              </w:rPr>
            </w:pPr>
            <w:r w:rsidRPr="000C5235">
              <w:rPr>
                <w:rFonts w:cstheme="minorHAnsi"/>
              </w:rPr>
              <w:t>Sublease income</w:t>
            </w:r>
          </w:p>
          <w:p w14:paraId="467EAF62" w14:textId="77777777" w:rsidR="000457F9" w:rsidRPr="000C5235" w:rsidRDefault="000457F9" w:rsidP="00A1067A">
            <w:pPr>
              <w:pStyle w:val="TableText-Medium-DotPoints"/>
              <w:rPr>
                <w:rFonts w:cstheme="minorHAnsi"/>
              </w:rPr>
            </w:pPr>
            <w:r w:rsidRPr="000C5235">
              <w:rPr>
                <w:rFonts w:cstheme="minorHAnsi"/>
              </w:rPr>
              <w:t>Sublease interest income</w:t>
            </w:r>
          </w:p>
          <w:p w14:paraId="051B15B3" w14:textId="77777777" w:rsidR="000457F9" w:rsidRPr="000C5235" w:rsidRDefault="000457F9" w:rsidP="00A1067A">
            <w:pPr>
              <w:pStyle w:val="TableText-Medium-DotPoints"/>
              <w:rPr>
                <w:rFonts w:cstheme="minorHAnsi"/>
              </w:rPr>
            </w:pPr>
            <w:r w:rsidRPr="000C5235">
              <w:rPr>
                <w:rFonts w:cstheme="minorHAnsi"/>
              </w:rPr>
              <w:t>Gain on lease disposal</w:t>
            </w:r>
          </w:p>
          <w:p w14:paraId="7B1C385C" w14:textId="77777777" w:rsidR="000457F9" w:rsidRPr="000C5235" w:rsidRDefault="000457F9" w:rsidP="00A1067A">
            <w:pPr>
              <w:pStyle w:val="TableText-Medium-DotPoints"/>
              <w:rPr>
                <w:rFonts w:cstheme="minorHAnsi"/>
                <w:color w:val="000000"/>
                <w:u w:val="single"/>
              </w:rPr>
            </w:pPr>
            <w:r w:rsidRPr="000C5235">
              <w:rPr>
                <w:rFonts w:cstheme="minorHAnsi"/>
              </w:rPr>
              <w:t>Gain on finance sublease</w:t>
            </w:r>
          </w:p>
        </w:tc>
      </w:tr>
      <w:tr w:rsidR="000457F9" w:rsidRPr="000C5235" w14:paraId="178E6DF8" w14:textId="77777777" w:rsidTr="00145E47">
        <w:trPr>
          <w:trHeight w:val="300"/>
        </w:trPr>
        <w:tc>
          <w:tcPr>
            <w:tcW w:w="2972" w:type="dxa"/>
            <w:shd w:val="clear" w:color="auto" w:fill="auto"/>
            <w:noWrap/>
          </w:tcPr>
          <w:p w14:paraId="323BDFA2" w14:textId="77777777" w:rsidR="000457F9" w:rsidRPr="000C5235" w:rsidRDefault="000457F9" w:rsidP="00A1067A">
            <w:pPr>
              <w:pStyle w:val="TableText-Medium"/>
              <w:rPr>
                <w:rFonts w:cstheme="minorHAnsi"/>
              </w:rPr>
            </w:pPr>
            <w:r w:rsidRPr="000C5235">
              <w:rPr>
                <w:rFonts w:cstheme="minorHAnsi"/>
              </w:rPr>
              <w:t>PBS.T3.09 Schedule of budget administered cash flows (for the period ended 30 June)</w:t>
            </w:r>
          </w:p>
        </w:tc>
        <w:tc>
          <w:tcPr>
            <w:tcW w:w="6662" w:type="dxa"/>
            <w:shd w:val="clear" w:color="auto" w:fill="auto"/>
          </w:tcPr>
          <w:p w14:paraId="3DFF269D" w14:textId="77777777" w:rsidR="000457F9" w:rsidRPr="000C5235" w:rsidRDefault="000457F9" w:rsidP="00A1067A">
            <w:pPr>
              <w:pStyle w:val="TableText-Medium"/>
              <w:rPr>
                <w:rFonts w:cstheme="minorHAnsi"/>
              </w:rPr>
            </w:pPr>
            <w:r w:rsidRPr="000C5235">
              <w:rPr>
                <w:rFonts w:cstheme="minorHAnsi"/>
              </w:rPr>
              <w:t>New line-items added:</w:t>
            </w:r>
          </w:p>
          <w:p w14:paraId="007929EF" w14:textId="77777777" w:rsidR="000457F9" w:rsidRPr="000C5235" w:rsidRDefault="000457F9" w:rsidP="00A1067A">
            <w:pPr>
              <w:pStyle w:val="TableText-Medium-DotPoints"/>
              <w:rPr>
                <w:rFonts w:cstheme="minorHAnsi"/>
              </w:rPr>
            </w:pPr>
            <w:r w:rsidRPr="000C5235">
              <w:rPr>
                <w:rFonts w:cstheme="minorHAnsi"/>
              </w:rPr>
              <w:t>Interest payments on lease liability</w:t>
            </w:r>
          </w:p>
          <w:p w14:paraId="434A6195" w14:textId="77777777" w:rsidR="000457F9" w:rsidRPr="000C5235" w:rsidRDefault="000457F9" w:rsidP="00A1067A">
            <w:pPr>
              <w:pStyle w:val="TableText-Medium-DotPoints"/>
              <w:rPr>
                <w:rFonts w:cstheme="minorHAnsi"/>
              </w:rPr>
            </w:pPr>
            <w:r w:rsidRPr="000C5235">
              <w:rPr>
                <w:rFonts w:cstheme="minorHAnsi"/>
              </w:rPr>
              <w:t>Principal payments on lease liability</w:t>
            </w:r>
          </w:p>
        </w:tc>
      </w:tr>
      <w:tr w:rsidR="000457F9" w:rsidRPr="000C5235" w14:paraId="456100F3" w14:textId="77777777" w:rsidTr="00145E47">
        <w:trPr>
          <w:trHeight w:val="300"/>
        </w:trPr>
        <w:tc>
          <w:tcPr>
            <w:tcW w:w="2972" w:type="dxa"/>
            <w:shd w:val="clear" w:color="auto" w:fill="auto"/>
            <w:noWrap/>
          </w:tcPr>
          <w:p w14:paraId="4E1D840E" w14:textId="77777777" w:rsidR="000457F9" w:rsidRPr="000C5235" w:rsidRDefault="000457F9" w:rsidP="00A1067A">
            <w:pPr>
              <w:pStyle w:val="TableText-Medium"/>
              <w:rPr>
                <w:rFonts w:cstheme="minorHAnsi"/>
              </w:rPr>
            </w:pPr>
            <w:r w:rsidRPr="000C5235">
              <w:rPr>
                <w:rFonts w:cstheme="minorHAnsi"/>
              </w:rPr>
              <w:t>PBS.T3.10 Administered Capital Budget Statement (for the period ended 30 June)</w:t>
            </w:r>
          </w:p>
        </w:tc>
        <w:tc>
          <w:tcPr>
            <w:tcW w:w="6662" w:type="dxa"/>
            <w:shd w:val="clear" w:color="auto" w:fill="auto"/>
          </w:tcPr>
          <w:p w14:paraId="5D5FF96E" w14:textId="77777777" w:rsidR="000457F9" w:rsidRPr="000C5235" w:rsidRDefault="000457F9" w:rsidP="00A1067A">
            <w:pPr>
              <w:pStyle w:val="TableText-Medium"/>
              <w:rPr>
                <w:rFonts w:cstheme="minorHAnsi"/>
              </w:rPr>
            </w:pPr>
            <w:r w:rsidRPr="000C5235">
              <w:rPr>
                <w:rFonts w:cstheme="minorHAnsi"/>
              </w:rPr>
              <w:t>New line-item added:</w:t>
            </w:r>
          </w:p>
          <w:p w14:paraId="45F0E3D3" w14:textId="77777777" w:rsidR="000457F9" w:rsidRPr="000C5235" w:rsidRDefault="000457F9" w:rsidP="00A1067A">
            <w:pPr>
              <w:pStyle w:val="TableText-Medium-DotPoints"/>
              <w:rPr>
                <w:rFonts w:cstheme="minorHAnsi"/>
                <w:color w:val="000000"/>
              </w:rPr>
            </w:pPr>
            <w:r w:rsidRPr="000C5235">
              <w:rPr>
                <w:rFonts w:cstheme="minorHAnsi"/>
              </w:rPr>
              <w:t>Funded by special appropriations</w:t>
            </w:r>
          </w:p>
        </w:tc>
      </w:tr>
      <w:tr w:rsidR="000457F9" w:rsidRPr="000C5235" w14:paraId="3787BF0A" w14:textId="77777777" w:rsidTr="00145E47">
        <w:trPr>
          <w:trHeight w:val="300"/>
        </w:trPr>
        <w:tc>
          <w:tcPr>
            <w:tcW w:w="2972" w:type="dxa"/>
            <w:shd w:val="clear" w:color="auto" w:fill="auto"/>
            <w:noWrap/>
          </w:tcPr>
          <w:p w14:paraId="356E4850" w14:textId="77777777" w:rsidR="000457F9" w:rsidRPr="000C5235" w:rsidRDefault="000457F9" w:rsidP="00A1067A">
            <w:pPr>
              <w:pStyle w:val="TableText-Medium"/>
              <w:rPr>
                <w:rFonts w:cstheme="minorHAnsi"/>
              </w:rPr>
            </w:pPr>
            <w:r w:rsidRPr="000C5235">
              <w:rPr>
                <w:rFonts w:cstheme="minorHAnsi"/>
              </w:rPr>
              <w:t>PBS.T3.11 Statement of Administered Asset Movements</w:t>
            </w:r>
          </w:p>
        </w:tc>
        <w:tc>
          <w:tcPr>
            <w:tcW w:w="6662" w:type="dxa"/>
            <w:shd w:val="clear" w:color="auto" w:fill="auto"/>
          </w:tcPr>
          <w:p w14:paraId="62D8FD54" w14:textId="77777777" w:rsidR="000457F9" w:rsidRPr="000C5235" w:rsidRDefault="000457F9" w:rsidP="00A1067A">
            <w:pPr>
              <w:pStyle w:val="TableText-Medium"/>
              <w:rPr>
                <w:rFonts w:cstheme="minorHAnsi"/>
              </w:rPr>
            </w:pPr>
            <w:r w:rsidRPr="000C5235">
              <w:rPr>
                <w:rFonts w:cstheme="minorHAnsi"/>
              </w:rPr>
              <w:t>New line-items added:</w:t>
            </w:r>
          </w:p>
          <w:p w14:paraId="397B584E" w14:textId="77777777" w:rsidR="000457F9" w:rsidRPr="000C5235" w:rsidRDefault="000457F9" w:rsidP="00A1067A">
            <w:pPr>
              <w:pStyle w:val="TableText-Medium-DotPoints"/>
              <w:rPr>
                <w:rFonts w:cstheme="minorHAnsi"/>
                <w:color w:val="000000"/>
                <w:u w:val="single"/>
              </w:rPr>
            </w:pPr>
            <w:r w:rsidRPr="000C5235">
              <w:rPr>
                <w:rFonts w:cstheme="minorHAnsi"/>
              </w:rPr>
              <w:t>Gross book value – ROU assets (for both ‘As at 1 July 2020’ and ‘As at 30 June 2021’)</w:t>
            </w:r>
          </w:p>
          <w:p w14:paraId="4BF78B8A" w14:textId="77777777" w:rsidR="000457F9" w:rsidRPr="000C5235" w:rsidRDefault="000457F9" w:rsidP="00A1067A">
            <w:pPr>
              <w:pStyle w:val="TableText-Medium-DotPoints"/>
              <w:rPr>
                <w:rFonts w:cstheme="minorHAnsi"/>
                <w:u w:val="single"/>
              </w:rPr>
            </w:pPr>
            <w:r w:rsidRPr="000C5235">
              <w:rPr>
                <w:rFonts w:cstheme="minorHAnsi"/>
              </w:rPr>
              <w:t xml:space="preserve">Accumulated depreciation/amortisation and impairment – ROU </w:t>
            </w:r>
            <w:r w:rsidRPr="000C5235">
              <w:rPr>
                <w:rFonts w:cstheme="minorHAnsi"/>
                <w:i/>
              </w:rPr>
              <w:t>(for both ‘As at 1 July 2020’ and ‘As at 30 June 2021’)</w:t>
            </w:r>
          </w:p>
          <w:p w14:paraId="72B119DA" w14:textId="77777777" w:rsidR="000457F9" w:rsidRPr="000C5235" w:rsidRDefault="000457F9" w:rsidP="00A1067A">
            <w:pPr>
              <w:pStyle w:val="TableText-Medium-DotPoints"/>
              <w:rPr>
                <w:rFonts w:cstheme="minorHAnsi"/>
              </w:rPr>
            </w:pPr>
            <w:r w:rsidRPr="000C5235">
              <w:rPr>
                <w:rFonts w:cstheme="minorHAnsi"/>
              </w:rPr>
              <w:t>By purchase - appropriation equity - ROU assets</w:t>
            </w:r>
          </w:p>
          <w:p w14:paraId="0F39AF8B" w14:textId="77777777" w:rsidR="000457F9" w:rsidRPr="000C5235" w:rsidRDefault="000457F9" w:rsidP="00A1067A">
            <w:pPr>
              <w:pStyle w:val="TableText-Medium-DotPoints"/>
              <w:rPr>
                <w:rFonts w:cstheme="minorHAnsi"/>
              </w:rPr>
            </w:pPr>
            <w:r w:rsidRPr="000C5235">
              <w:rPr>
                <w:rFonts w:cstheme="minorHAnsi"/>
              </w:rPr>
              <w:t>By purchase - appropriation ordinary annual services – ROU assets</w:t>
            </w:r>
          </w:p>
          <w:p w14:paraId="331017FA" w14:textId="77777777" w:rsidR="000457F9" w:rsidRPr="000C5235" w:rsidRDefault="000457F9" w:rsidP="00A1067A">
            <w:pPr>
              <w:pStyle w:val="TableText-Medium-DotPoints"/>
              <w:rPr>
                <w:rFonts w:cstheme="minorHAnsi"/>
              </w:rPr>
            </w:pPr>
            <w:r w:rsidRPr="000C5235">
              <w:rPr>
                <w:rFonts w:cstheme="minorHAnsi"/>
              </w:rPr>
              <w:t>By purchase – other - ROU assets</w:t>
            </w:r>
          </w:p>
          <w:p w14:paraId="0B74994E" w14:textId="77777777" w:rsidR="000457F9" w:rsidRPr="000C5235" w:rsidRDefault="000457F9" w:rsidP="00A1067A">
            <w:pPr>
              <w:pStyle w:val="TableText-Medium-DotPoints"/>
              <w:rPr>
                <w:rFonts w:cstheme="minorHAnsi"/>
              </w:rPr>
            </w:pPr>
            <w:r w:rsidRPr="000C5235">
              <w:rPr>
                <w:rFonts w:cstheme="minorHAnsi"/>
              </w:rPr>
              <w:t>ROU assets held for sale or in a disposal group held for sale</w:t>
            </w:r>
          </w:p>
          <w:p w14:paraId="132A03C1" w14:textId="77777777" w:rsidR="000457F9" w:rsidRPr="000C5235" w:rsidRDefault="000457F9" w:rsidP="00A1067A">
            <w:pPr>
              <w:pStyle w:val="TableText-Medium-DotPoints"/>
              <w:rPr>
                <w:rFonts w:cstheme="minorHAnsi"/>
              </w:rPr>
            </w:pPr>
            <w:r w:rsidRPr="000C5235">
              <w:rPr>
                <w:rFonts w:cstheme="minorHAnsi"/>
              </w:rPr>
              <w:t>Depreciation/amortisation on ROU assets</w:t>
            </w:r>
          </w:p>
          <w:p w14:paraId="4DDEC25A" w14:textId="77777777" w:rsidR="000457F9" w:rsidRPr="000C5235" w:rsidRDefault="000457F9" w:rsidP="00A1067A">
            <w:pPr>
              <w:pStyle w:val="TableText-Medium-DotPoints"/>
              <w:rPr>
                <w:rFonts w:cstheme="minorHAnsi"/>
                <w:u w:val="single"/>
              </w:rPr>
            </w:pPr>
            <w:r w:rsidRPr="000C5235">
              <w:rPr>
                <w:rFonts w:cstheme="minorHAnsi"/>
              </w:rPr>
              <w:t>From disposal of entities or operations (including restructuring) on ROU assets</w:t>
            </w:r>
          </w:p>
          <w:p w14:paraId="75D2DC38" w14:textId="77777777" w:rsidR="000457F9" w:rsidRPr="000C5235" w:rsidRDefault="000457F9" w:rsidP="00A1067A">
            <w:pPr>
              <w:pStyle w:val="TableText-Medium-DotPoints"/>
              <w:rPr>
                <w:rFonts w:cstheme="minorHAnsi"/>
                <w:u w:val="single"/>
              </w:rPr>
            </w:pPr>
            <w:r w:rsidRPr="000C5235">
              <w:rPr>
                <w:rFonts w:cstheme="minorHAnsi"/>
              </w:rPr>
              <w:t>Other - ROU assets</w:t>
            </w:r>
          </w:p>
          <w:p w14:paraId="35575544" w14:textId="77777777" w:rsidR="000457F9" w:rsidRPr="000C5235" w:rsidRDefault="000457F9" w:rsidP="00A1067A">
            <w:pPr>
              <w:pStyle w:val="TableText-Medium"/>
              <w:rPr>
                <w:rFonts w:cstheme="minorHAnsi"/>
              </w:rPr>
            </w:pPr>
          </w:p>
          <w:p w14:paraId="726EF488" w14:textId="77777777" w:rsidR="000457F9" w:rsidRPr="000C5235" w:rsidRDefault="000457F9" w:rsidP="00A1067A">
            <w:pPr>
              <w:pStyle w:val="TableText-Medium"/>
              <w:rPr>
                <w:rFonts w:cstheme="minorHAnsi"/>
                <w:color w:val="000000"/>
              </w:rPr>
            </w:pPr>
            <w:r w:rsidRPr="000C5235">
              <w:rPr>
                <w:rFonts w:cstheme="minorHAnsi"/>
              </w:rPr>
              <w:t>Line-item removed</w:t>
            </w:r>
            <w:r w:rsidRPr="000C5235">
              <w:rPr>
                <w:rFonts w:cstheme="minorHAnsi"/>
                <w:color w:val="000000"/>
              </w:rPr>
              <w:t>:</w:t>
            </w:r>
          </w:p>
          <w:p w14:paraId="25A7F5A7" w14:textId="77777777" w:rsidR="000457F9" w:rsidRPr="000C5235" w:rsidRDefault="000457F9" w:rsidP="002872C3">
            <w:pPr>
              <w:pStyle w:val="TableText-Medium-DotPoints"/>
              <w:rPr>
                <w:rFonts w:cstheme="minorHAnsi"/>
              </w:rPr>
            </w:pPr>
            <w:r w:rsidRPr="000C5235">
              <w:rPr>
                <w:rFonts w:cstheme="minorHAnsi"/>
              </w:rPr>
              <w:t>By Finance Lease</w:t>
            </w:r>
          </w:p>
        </w:tc>
      </w:tr>
    </w:tbl>
    <w:p w14:paraId="6DB8C563" w14:textId="77777777" w:rsidR="00B6312C" w:rsidRPr="000C5235" w:rsidRDefault="00B6312C" w:rsidP="00B6312C">
      <w:pPr>
        <w:pStyle w:val="Heading1Numbered"/>
      </w:pPr>
      <w:bookmarkStart w:id="122" w:name="_Toc29980641"/>
      <w:bookmarkStart w:id="123" w:name="_Toc30405516"/>
      <w:bookmarkStart w:id="124" w:name="_Toc30581257"/>
      <w:bookmarkStart w:id="125" w:name="_Toc32829919"/>
      <w:bookmarkStart w:id="126" w:name="_Toc32917421"/>
      <w:bookmarkStart w:id="127" w:name="_Toc32918227"/>
      <w:bookmarkStart w:id="128" w:name="_Toc32999610"/>
      <w:bookmarkStart w:id="129" w:name="_Toc33099329"/>
      <w:bookmarkStart w:id="130" w:name="_Toc33195959"/>
      <w:bookmarkStart w:id="131" w:name="_Toc33196261"/>
      <w:bookmarkStart w:id="132" w:name="_Toc29980642"/>
      <w:bookmarkStart w:id="133" w:name="_Toc30405517"/>
      <w:bookmarkStart w:id="134" w:name="_Toc30581258"/>
      <w:bookmarkStart w:id="135" w:name="_Toc32829920"/>
      <w:bookmarkStart w:id="136" w:name="_Toc32917422"/>
      <w:bookmarkStart w:id="137" w:name="_Toc32918228"/>
      <w:bookmarkStart w:id="138" w:name="_Toc32999611"/>
      <w:bookmarkStart w:id="139" w:name="_Toc33099330"/>
      <w:bookmarkStart w:id="140" w:name="_Toc33195960"/>
      <w:bookmarkStart w:id="141" w:name="_Toc33196262"/>
      <w:bookmarkStart w:id="142" w:name="_Toc29980643"/>
      <w:bookmarkStart w:id="143" w:name="_Toc30405518"/>
      <w:bookmarkStart w:id="144" w:name="_Toc30581259"/>
      <w:bookmarkStart w:id="145" w:name="_Toc32829921"/>
      <w:bookmarkStart w:id="146" w:name="_Toc32917423"/>
      <w:bookmarkStart w:id="147" w:name="_Toc32918229"/>
      <w:bookmarkStart w:id="148" w:name="_Toc32999612"/>
      <w:bookmarkStart w:id="149" w:name="_Toc33099331"/>
      <w:bookmarkStart w:id="150" w:name="_Toc33195961"/>
      <w:bookmarkStart w:id="151" w:name="_Toc33196263"/>
      <w:bookmarkStart w:id="152" w:name="_Toc29980644"/>
      <w:bookmarkStart w:id="153" w:name="_Toc30405519"/>
      <w:bookmarkStart w:id="154" w:name="_Toc30581260"/>
      <w:bookmarkStart w:id="155" w:name="_Toc32829922"/>
      <w:bookmarkStart w:id="156" w:name="_Toc32917424"/>
      <w:bookmarkStart w:id="157" w:name="_Toc32918230"/>
      <w:bookmarkStart w:id="158" w:name="_Toc32999613"/>
      <w:bookmarkStart w:id="159" w:name="_Toc33099332"/>
      <w:bookmarkStart w:id="160" w:name="_Toc33195962"/>
      <w:bookmarkStart w:id="161" w:name="_Toc33196264"/>
      <w:bookmarkStart w:id="162" w:name="_Toc504468807"/>
      <w:bookmarkStart w:id="163" w:name="_Ref29395987"/>
      <w:bookmarkStart w:id="164" w:name="_Ref33521637"/>
      <w:bookmarkStart w:id="165" w:name="_Toc5356471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0C5235">
        <w:t>Purpose</w:t>
      </w:r>
      <w:bookmarkEnd w:id="162"/>
      <w:bookmarkEnd w:id="163"/>
      <w:bookmarkEnd w:id="164"/>
      <w:bookmarkEnd w:id="165"/>
    </w:p>
    <w:p w14:paraId="6479503D" w14:textId="77777777" w:rsidR="00B6312C" w:rsidRPr="000C5235" w:rsidRDefault="00B6312C" w:rsidP="00B6312C">
      <w:r w:rsidRPr="000C5235">
        <w:t xml:space="preserve">The PB Statements are formal ministerial documents signed by each respective </w:t>
      </w:r>
      <w:r w:rsidR="00676137" w:rsidRPr="000C5235">
        <w:t>Portfolio </w:t>
      </w:r>
      <w:r w:rsidRPr="000C5235">
        <w:t>Minister. Together with the B</w:t>
      </w:r>
      <w:r w:rsidR="00A671CE" w:rsidRPr="000C5235">
        <w:t>P</w:t>
      </w:r>
      <w:r w:rsidRPr="000C5235">
        <w:t xml:space="preserve">, the PB Statements represent a package of documents tabled in Parliament on Budget night that explains the </w:t>
      </w:r>
      <w:r w:rsidRPr="000C5235">
        <w:rPr>
          <w:rFonts w:ascii="Arial" w:eastAsia="Times New Roman" w:hAnsi="Arial" w:cs="Arial"/>
          <w:szCs w:val="22"/>
          <w:lang w:eastAsia="en-AU"/>
        </w:rPr>
        <w:t xml:space="preserve">allocation of resources to </w:t>
      </w:r>
      <w:r w:rsidRPr="000C5235">
        <w:rPr>
          <w:rFonts w:ascii="Arial" w:eastAsia="Times New Roman" w:hAnsi="Arial" w:cs="Arial"/>
          <w:lang w:eastAsia="en-AU"/>
        </w:rPr>
        <w:t>entities’</w:t>
      </w:r>
      <w:r w:rsidRPr="000C5235">
        <w:rPr>
          <w:rFonts w:ascii="Arial" w:eastAsia="Times New Roman" w:hAnsi="Arial" w:cs="Arial"/>
          <w:szCs w:val="22"/>
          <w:lang w:eastAsia="en-AU"/>
        </w:rPr>
        <w:t xml:space="preserve"> outcomes based on the </w:t>
      </w:r>
      <w:r w:rsidRPr="000C5235">
        <w:t>Government’s decisions.</w:t>
      </w:r>
    </w:p>
    <w:p w14:paraId="1D0815F2" w14:textId="77777777" w:rsidR="00B6312C" w:rsidRPr="000C5235" w:rsidRDefault="00B6312C" w:rsidP="00B6312C">
      <w:r w:rsidRPr="000C5235">
        <w:t xml:space="preserve">The Appropriation Acts refer to the PB Statements as ‘relevant documents’ to the interpretation of the Acts, according to section 15AB of the </w:t>
      </w:r>
      <w:r w:rsidRPr="000C5235">
        <w:rPr>
          <w:i/>
        </w:rPr>
        <w:t>Acts Interpretation Act 1901</w:t>
      </w:r>
      <w:r w:rsidRPr="000C5235">
        <w:t xml:space="preserve">. The PB Statements provide additional explanation to the Appropriation Bills and, as a result, they must be consistent with the Bills, which once passed by Parliament, become law as Appropriation Acts. Should a discrepancy occur between the Appropriation Acts and the PB Statements, it is the </w:t>
      </w:r>
      <w:r w:rsidRPr="000C5235">
        <w:rPr>
          <w:u w:val="single"/>
        </w:rPr>
        <w:t>Appropriation Acts that are definitive</w:t>
      </w:r>
      <w:r w:rsidRPr="000C5235">
        <w:t>.</w:t>
      </w:r>
    </w:p>
    <w:p w14:paraId="5A3E99F6" w14:textId="77777777" w:rsidR="00B6312C" w:rsidRPr="000C5235" w:rsidRDefault="00B6312C" w:rsidP="00B6312C">
      <w:r w:rsidRPr="000C5235">
        <w:t>The PB Statements also provide further information (financial and non-financial) at the Portfolio and entity level about the ongoing policy and program delivery initiatives undertaken by the Government.</w:t>
      </w:r>
    </w:p>
    <w:p w14:paraId="2EA56349" w14:textId="45093379" w:rsidR="00B6312C" w:rsidRPr="000C5235" w:rsidRDefault="00B6312C" w:rsidP="00B6312C">
      <w:r w:rsidRPr="000C5235">
        <w:t xml:space="preserve">Signing arrangements for PB Statements will be determined by the senior Portfolio Minister (the first minister shown in the current Ministry List issued by PM&amp;C at </w:t>
      </w:r>
      <w:hyperlink r:id="rId20" w:history="1">
        <w:r w:rsidRPr="000C5235">
          <w:rPr>
            <w:rStyle w:val="Hyperlink"/>
          </w:rPr>
          <w:t>www.pmc.gov.au/resource-centre/government/ministry-list</w:t>
        </w:r>
      </w:hyperlink>
      <w:r w:rsidRPr="000C5235">
        <w:t>). The responsible Portfolio Minister can delegate the signing of the document to an Assistant Minister.</w:t>
      </w:r>
    </w:p>
    <w:p w14:paraId="19DEB719" w14:textId="77777777" w:rsidR="00B751D1" w:rsidRPr="000C5235" w:rsidRDefault="00B751D1" w:rsidP="000A7DEC">
      <w:pPr>
        <w:pStyle w:val="Heading1Numbered"/>
      </w:pPr>
      <w:bookmarkStart w:id="166" w:name="_Toc53564713"/>
      <w:r w:rsidRPr="000C5235">
        <w:t xml:space="preserve">Who should prepare PB </w:t>
      </w:r>
      <w:bookmarkEnd w:id="73"/>
      <w:r w:rsidR="000E692C" w:rsidRPr="000C5235">
        <w:t>S</w:t>
      </w:r>
      <w:r w:rsidR="00FD4BA3" w:rsidRPr="000C5235">
        <w:t>tatements?</w:t>
      </w:r>
      <w:bookmarkEnd w:id="166"/>
    </w:p>
    <w:p w14:paraId="1022E9D1" w14:textId="77777777" w:rsidR="000B7C09" w:rsidRPr="000C5235" w:rsidRDefault="009D4EB9" w:rsidP="000A7DEC">
      <w:r w:rsidRPr="000C5235">
        <w:t xml:space="preserve">All Commonwealth entities who receive </w:t>
      </w:r>
      <w:r w:rsidR="005B357F" w:rsidRPr="000C5235">
        <w:t xml:space="preserve">annual </w:t>
      </w:r>
      <w:r w:rsidRPr="000C5235">
        <w:t>appropriations (whether direct</w:t>
      </w:r>
      <w:r w:rsidR="006E5DBC" w:rsidRPr="000C5235">
        <w:t>ly</w:t>
      </w:r>
      <w:r w:rsidRPr="000C5235">
        <w:t xml:space="preserve"> or through a </w:t>
      </w:r>
      <w:r w:rsidR="000B7C09" w:rsidRPr="000C5235">
        <w:t>P</w:t>
      </w:r>
      <w:r w:rsidRPr="000C5235">
        <w:t xml:space="preserve">ortfolio </w:t>
      </w:r>
      <w:r w:rsidR="000B7C09" w:rsidRPr="000C5235">
        <w:t>D</w:t>
      </w:r>
      <w:r w:rsidRPr="000C5235">
        <w:t>epartment) in</w:t>
      </w:r>
      <w:r w:rsidR="006E5DBC" w:rsidRPr="000C5235">
        <w:t xml:space="preserve"> </w:t>
      </w:r>
      <w:r w:rsidRPr="000C5235">
        <w:t>Appropriation Bill No.</w:t>
      </w:r>
      <w:r w:rsidR="00B907EC" w:rsidRPr="000C5235">
        <w:t xml:space="preserve"> </w:t>
      </w:r>
      <w:r w:rsidRPr="000C5235">
        <w:t>1 or No.</w:t>
      </w:r>
      <w:r w:rsidR="004D64A6" w:rsidRPr="000C5235">
        <w:t xml:space="preserve"> </w:t>
      </w:r>
      <w:r w:rsidRPr="000C5235">
        <w:t>2</w:t>
      </w:r>
      <w:r w:rsidR="006E5DBC" w:rsidRPr="000C5235">
        <w:t>;</w:t>
      </w:r>
      <w:r w:rsidRPr="000C5235">
        <w:t xml:space="preserve"> or </w:t>
      </w:r>
      <w:r w:rsidR="006E5DBC" w:rsidRPr="000C5235">
        <w:t xml:space="preserve">through </w:t>
      </w:r>
      <w:r w:rsidRPr="000C5235">
        <w:t>Appropriation (Parliamentary Departments) Bill No</w:t>
      </w:r>
      <w:r w:rsidR="004D64A6" w:rsidRPr="000C5235">
        <w:t xml:space="preserve">. </w:t>
      </w:r>
      <w:r w:rsidRPr="000C5235">
        <w:t xml:space="preserve">1 </w:t>
      </w:r>
      <w:r w:rsidR="00B907EC" w:rsidRPr="000C5235">
        <w:t>or</w:t>
      </w:r>
      <w:r w:rsidR="004D64A6" w:rsidRPr="000C5235">
        <w:t xml:space="preserve"> </w:t>
      </w:r>
      <w:r w:rsidR="00B907EC" w:rsidRPr="000C5235">
        <w:t>No</w:t>
      </w:r>
      <w:r w:rsidR="004D64A6" w:rsidRPr="000C5235">
        <w:t>. 2</w:t>
      </w:r>
      <w:r w:rsidR="00B907EC" w:rsidRPr="000C5235">
        <w:t xml:space="preserve"> </w:t>
      </w:r>
      <w:r w:rsidR="00B5535A" w:rsidRPr="000C5235">
        <w:t>in</w:t>
      </w:r>
      <w:r w:rsidR="008216A3" w:rsidRPr="000C5235">
        <w:t xml:space="preserve"> the </w:t>
      </w:r>
      <w:r w:rsidR="004D64A6" w:rsidRPr="000C5235">
        <w:t>2020-21</w:t>
      </w:r>
      <w:r w:rsidRPr="000C5235">
        <w:t xml:space="preserve"> </w:t>
      </w:r>
      <w:r w:rsidR="008216A3" w:rsidRPr="000C5235">
        <w:t xml:space="preserve">Budget </w:t>
      </w:r>
      <w:r w:rsidR="00B5535A" w:rsidRPr="000C5235">
        <w:t xml:space="preserve">Appropriation Bills </w:t>
      </w:r>
      <w:r w:rsidRPr="000C5235">
        <w:t xml:space="preserve">are </w:t>
      </w:r>
      <w:r w:rsidRPr="000C5235">
        <w:rPr>
          <w:u w:val="single"/>
        </w:rPr>
        <w:t>required</w:t>
      </w:r>
      <w:r w:rsidRPr="000C5235">
        <w:t xml:space="preserve"> to produce a PB Statement.</w:t>
      </w:r>
    </w:p>
    <w:p w14:paraId="26709F17" w14:textId="77777777" w:rsidR="009D4EB9" w:rsidRPr="000C5235" w:rsidRDefault="00A15857" w:rsidP="000A7DEC">
      <w:r w:rsidRPr="000C5235">
        <w:t>In some instances, Finance may require a</w:t>
      </w:r>
      <w:r w:rsidR="000B7C09" w:rsidRPr="000C5235">
        <w:t xml:space="preserve"> non-Budget appropriated</w:t>
      </w:r>
      <w:r w:rsidRPr="000C5235">
        <w:t xml:space="preserve"> entity to produce </w:t>
      </w:r>
      <w:r w:rsidR="004D64A6" w:rsidRPr="000C5235">
        <w:t>PB</w:t>
      </w:r>
      <w:r w:rsidR="00A667A6" w:rsidRPr="000C5235">
        <w:t> </w:t>
      </w:r>
      <w:r w:rsidR="004D64A6" w:rsidRPr="000C5235">
        <w:t xml:space="preserve">Statements </w:t>
      </w:r>
      <w:r w:rsidR="000B7C09" w:rsidRPr="000C5235">
        <w:t>(</w:t>
      </w:r>
      <w:r w:rsidR="001754FC" w:rsidRPr="000C5235">
        <w:t>ie</w:t>
      </w:r>
      <w:r w:rsidR="000B7C09" w:rsidRPr="000C5235">
        <w:t xml:space="preserve"> the Future Fund Management Agency) </w:t>
      </w:r>
      <w:r w:rsidRPr="000C5235">
        <w:t>when there is greater scrutiny on its operations or Budget and f</w:t>
      </w:r>
      <w:r w:rsidR="000D5628" w:rsidRPr="000C5235">
        <w:t>orward</w:t>
      </w:r>
      <w:r w:rsidRPr="000C5235">
        <w:t xml:space="preserve"> estimates.</w:t>
      </w:r>
    </w:p>
    <w:p w14:paraId="4993F69E" w14:textId="77777777" w:rsidR="009D4EB9" w:rsidRPr="000C5235" w:rsidRDefault="009D4EB9" w:rsidP="000A7DEC">
      <w:r w:rsidRPr="000C5235">
        <w:t>Entities will normally be shown as separate chapters in the PB Statements, unless they are in the process of being merged or consolidated into another</w:t>
      </w:r>
      <w:r w:rsidR="00154BA2" w:rsidRPr="000C5235">
        <w:t xml:space="preserve"> Department or entity</w:t>
      </w:r>
      <w:r w:rsidR="00FC320D" w:rsidRPr="000C5235">
        <w:t xml:space="preserve"> </w:t>
      </w:r>
      <w:r w:rsidR="005B357F" w:rsidRPr="000C5235">
        <w:t xml:space="preserve">at </w:t>
      </w:r>
      <w:r w:rsidR="00FC320D" w:rsidRPr="000C5235">
        <w:t xml:space="preserve">the </w:t>
      </w:r>
      <w:r w:rsidR="005B357F" w:rsidRPr="000C5235">
        <w:t>start of th</w:t>
      </w:r>
      <w:r w:rsidR="006444C8" w:rsidRPr="000C5235">
        <w:t>e</w:t>
      </w:r>
      <w:r w:rsidR="005B357F" w:rsidRPr="000C5235">
        <w:t xml:space="preserve"> </w:t>
      </w:r>
      <w:r w:rsidR="00FC320D" w:rsidRPr="000C5235">
        <w:t>Budget year.</w:t>
      </w:r>
    </w:p>
    <w:p w14:paraId="4C68ED41" w14:textId="77777777" w:rsidR="00CA3725" w:rsidRPr="000C5235" w:rsidRDefault="00B751D1" w:rsidP="000A7DEC">
      <w:r w:rsidRPr="000C5235">
        <w:t xml:space="preserve">Where there is more than one department in a portfolio, senior Portfolio Ministers determine how the portfolio should be represented </w:t>
      </w:r>
      <w:r w:rsidR="00E10C89" w:rsidRPr="000C5235">
        <w:t>(ie</w:t>
      </w:r>
      <w:r w:rsidRPr="000C5235">
        <w:t xml:space="preserve"> whether there is to be a book for each department, or one consolidated book for the portfolio</w:t>
      </w:r>
      <w:r w:rsidR="00E10C89" w:rsidRPr="000C5235">
        <w:t>)</w:t>
      </w:r>
      <w:r w:rsidRPr="000C5235">
        <w:t>.</w:t>
      </w:r>
    </w:p>
    <w:p w14:paraId="7062B8FE" w14:textId="77777777" w:rsidR="00895FC3" w:rsidRPr="000C5235" w:rsidRDefault="00895FC3">
      <w:pPr>
        <w:suppressAutoHyphens w:val="0"/>
        <w:spacing w:before="0" w:after="120" w:line="440" w:lineRule="atLeast"/>
      </w:pPr>
      <w:r w:rsidRPr="000C5235">
        <w:br w:type="page"/>
      </w:r>
    </w:p>
    <w:p w14:paraId="165FD512" w14:textId="77777777" w:rsidR="00FC5FF9" w:rsidRPr="000C5235" w:rsidRDefault="00B751D1" w:rsidP="000A7DEC">
      <w:r w:rsidRPr="000C5235">
        <w:t>Entities are to use the following Portfolio numbers for the covers of their PB Statements:</w:t>
      </w:r>
    </w:p>
    <w:p w14:paraId="757DE37C" w14:textId="77777777" w:rsidR="001923C9" w:rsidRPr="000C5235" w:rsidRDefault="001923C9" w:rsidP="000A7DEC"/>
    <w:tbl>
      <w:tblPr>
        <w:tblStyle w:val="TableGrid"/>
        <w:tblW w:w="0" w:type="auto"/>
        <w:shd w:val="clear" w:color="auto" w:fill="D9D9D9" w:themeFill="background1" w:themeFillShade="D9"/>
        <w:tblLook w:val="04A0" w:firstRow="1" w:lastRow="0" w:firstColumn="1" w:lastColumn="0" w:noHBand="0" w:noVBand="1"/>
      </w:tblPr>
      <w:tblGrid>
        <w:gridCol w:w="9054"/>
      </w:tblGrid>
      <w:tr w:rsidR="00DC2750" w:rsidRPr="000C5235" w14:paraId="09CA61D8" w14:textId="77777777" w:rsidTr="000A7DEC">
        <w:tc>
          <w:tcPr>
            <w:tcW w:w="9054" w:type="dxa"/>
            <w:shd w:val="clear" w:color="auto" w:fill="D9D9D9" w:themeFill="background1" w:themeFillShade="D9"/>
          </w:tcPr>
          <w:p w14:paraId="798D04FA" w14:textId="77777777" w:rsidR="00DC2750" w:rsidRPr="000C5235" w:rsidRDefault="00DC2750">
            <w:pPr>
              <w:pStyle w:val="PortfolioNumberingText"/>
            </w:pPr>
            <w:r w:rsidRPr="000C5235">
              <w:t>1.</w:t>
            </w:r>
            <w:r w:rsidR="00033997" w:rsidRPr="000C5235">
              <w:t>1</w:t>
            </w:r>
            <w:r w:rsidRPr="000C5235">
              <w:tab/>
            </w:r>
            <w:r w:rsidR="00CC6BB0" w:rsidRPr="000C5235">
              <w:t>Agriculture, Water and the Environment Portfolio</w:t>
            </w:r>
          </w:p>
          <w:p w14:paraId="3204F19E" w14:textId="77777777" w:rsidR="00033997" w:rsidRPr="000C5235" w:rsidRDefault="00033997">
            <w:pPr>
              <w:pStyle w:val="PortfolioNumberingText"/>
            </w:pPr>
            <w:r w:rsidRPr="000C5235">
              <w:t>1.2</w:t>
            </w:r>
            <w:r w:rsidR="0017521A" w:rsidRPr="000C5235">
              <w:tab/>
            </w:r>
            <w:r w:rsidR="00CC6BB0" w:rsidRPr="000C5235">
              <w:t>Attorney-General’s Portfolio</w:t>
            </w:r>
          </w:p>
          <w:p w14:paraId="02B60B8D" w14:textId="77777777" w:rsidR="00DC2750" w:rsidRPr="000C5235" w:rsidRDefault="00DC2750">
            <w:pPr>
              <w:pStyle w:val="PortfolioNumberingText"/>
            </w:pPr>
            <w:r w:rsidRPr="000C5235">
              <w:t>1.</w:t>
            </w:r>
            <w:r w:rsidR="00CC6BB0" w:rsidRPr="000C5235">
              <w:t>3</w:t>
            </w:r>
            <w:r w:rsidRPr="000C5235">
              <w:t>A</w:t>
            </w:r>
            <w:r w:rsidRPr="000C5235">
              <w:tab/>
              <w:t>Defence Portfolio</w:t>
            </w:r>
          </w:p>
          <w:p w14:paraId="1CE5C8D6" w14:textId="77777777" w:rsidR="00DC2750" w:rsidRPr="000C5235" w:rsidRDefault="00DC2750">
            <w:pPr>
              <w:pStyle w:val="PortfolioNumberingText"/>
            </w:pPr>
            <w:r w:rsidRPr="000C5235">
              <w:t>1.</w:t>
            </w:r>
            <w:r w:rsidR="00CC6BB0" w:rsidRPr="000C5235">
              <w:t>3</w:t>
            </w:r>
            <w:r w:rsidRPr="000C5235">
              <w:t>B</w:t>
            </w:r>
            <w:r w:rsidRPr="000C5235">
              <w:tab/>
              <w:t xml:space="preserve">Defence Portfolio (Department of Veterans’ Affairs) – subject to confirmation </w:t>
            </w:r>
            <w:r w:rsidR="0017521A" w:rsidRPr="000C5235">
              <w:br/>
            </w:r>
            <w:r w:rsidRPr="000C5235">
              <w:t>by their senior Portfolio Minister</w:t>
            </w:r>
          </w:p>
          <w:p w14:paraId="36567E74" w14:textId="77777777" w:rsidR="00DC2750" w:rsidRPr="000C5235" w:rsidRDefault="00DC2750">
            <w:pPr>
              <w:pStyle w:val="PortfolioNumberingText"/>
            </w:pPr>
            <w:r w:rsidRPr="000C5235">
              <w:t>1.</w:t>
            </w:r>
            <w:r w:rsidR="00CC6BB0" w:rsidRPr="000C5235">
              <w:t>4</w:t>
            </w:r>
            <w:r w:rsidRPr="000C5235">
              <w:tab/>
            </w:r>
            <w:r w:rsidR="0017521A" w:rsidRPr="000C5235">
              <w:t>Education, Skills and Employment Portfolio</w:t>
            </w:r>
          </w:p>
          <w:p w14:paraId="2F3E0846" w14:textId="77777777" w:rsidR="00DC2750" w:rsidRPr="000C5235" w:rsidRDefault="00DC2750">
            <w:pPr>
              <w:pStyle w:val="PortfolioNumberingText"/>
            </w:pPr>
            <w:r w:rsidRPr="000C5235">
              <w:t>1.</w:t>
            </w:r>
            <w:r w:rsidR="00CC6BB0" w:rsidRPr="000C5235">
              <w:t>5</w:t>
            </w:r>
            <w:r w:rsidRPr="000C5235">
              <w:tab/>
              <w:t>Finance Portfolio</w:t>
            </w:r>
          </w:p>
          <w:p w14:paraId="79D040FD" w14:textId="77777777" w:rsidR="00DC2750" w:rsidRPr="000C5235" w:rsidRDefault="00DC2750">
            <w:pPr>
              <w:pStyle w:val="PortfolioNumberingText"/>
            </w:pPr>
            <w:r w:rsidRPr="000C5235">
              <w:t>1.</w:t>
            </w:r>
            <w:r w:rsidR="00CC6BB0" w:rsidRPr="000C5235">
              <w:t>6</w:t>
            </w:r>
            <w:r w:rsidRPr="000C5235">
              <w:tab/>
              <w:t>Foreign Affairs and Trade Portfolio</w:t>
            </w:r>
          </w:p>
          <w:p w14:paraId="455A28C4" w14:textId="77777777" w:rsidR="00DC2750" w:rsidRPr="000C5235" w:rsidRDefault="00DC2750">
            <w:pPr>
              <w:pStyle w:val="PortfolioNumberingText"/>
            </w:pPr>
            <w:r w:rsidRPr="000C5235">
              <w:t>1.</w:t>
            </w:r>
            <w:r w:rsidR="00CC6BB0" w:rsidRPr="000C5235">
              <w:t>7</w:t>
            </w:r>
            <w:r w:rsidRPr="000C5235">
              <w:tab/>
              <w:t>Health Portfolio</w:t>
            </w:r>
          </w:p>
          <w:p w14:paraId="2EDAAE9C" w14:textId="77777777" w:rsidR="00DC2750" w:rsidRPr="000C5235" w:rsidRDefault="00DC2750">
            <w:pPr>
              <w:pStyle w:val="PortfolioNumberingText"/>
            </w:pPr>
            <w:r w:rsidRPr="000C5235">
              <w:t>1.</w:t>
            </w:r>
            <w:r w:rsidR="00CC6BB0" w:rsidRPr="000C5235">
              <w:t>8</w:t>
            </w:r>
            <w:r w:rsidRPr="000C5235">
              <w:tab/>
              <w:t>Home Affairs Portfolio</w:t>
            </w:r>
          </w:p>
          <w:p w14:paraId="1669747C" w14:textId="77777777" w:rsidR="00DC2750" w:rsidRPr="000C5235" w:rsidRDefault="00DC2750">
            <w:pPr>
              <w:pStyle w:val="PortfolioNumberingText"/>
            </w:pPr>
            <w:r w:rsidRPr="000C5235">
              <w:t>1.</w:t>
            </w:r>
            <w:r w:rsidR="00CC6BB0" w:rsidRPr="000C5235">
              <w:t>9</w:t>
            </w:r>
            <w:r w:rsidRPr="000C5235">
              <w:tab/>
            </w:r>
            <w:r w:rsidR="0017521A" w:rsidRPr="000C5235">
              <w:t>Industry, Science, Energy and Resources Portfolio</w:t>
            </w:r>
          </w:p>
          <w:p w14:paraId="66A67C68" w14:textId="77777777" w:rsidR="00DC2750" w:rsidRPr="000C5235" w:rsidRDefault="00DC2750">
            <w:pPr>
              <w:pStyle w:val="PortfolioNumberingText"/>
            </w:pPr>
            <w:r w:rsidRPr="000C5235">
              <w:t>1.</w:t>
            </w:r>
            <w:r w:rsidR="00CC6BB0" w:rsidRPr="000C5235">
              <w:t>10</w:t>
            </w:r>
            <w:r w:rsidRPr="000C5235">
              <w:tab/>
            </w:r>
            <w:r w:rsidR="0017521A" w:rsidRPr="000C5235">
              <w:t>Infrastructure, Transport, Regional Development and Communications Portfolio</w:t>
            </w:r>
          </w:p>
          <w:p w14:paraId="1BFF86F0" w14:textId="77777777" w:rsidR="00DC2750" w:rsidRPr="000C5235" w:rsidRDefault="00DC2750">
            <w:pPr>
              <w:pStyle w:val="PortfolioNumberingText"/>
            </w:pPr>
            <w:r w:rsidRPr="000C5235">
              <w:t>1.1</w:t>
            </w:r>
            <w:r w:rsidR="00CC6BB0" w:rsidRPr="000C5235">
              <w:t>1</w:t>
            </w:r>
            <w:r w:rsidRPr="000C5235">
              <w:tab/>
              <w:t>Prime Minister and Cabinet Portfolio</w:t>
            </w:r>
          </w:p>
          <w:p w14:paraId="34E860E8" w14:textId="77777777" w:rsidR="00DC2750" w:rsidRPr="000C5235" w:rsidRDefault="00DC2750">
            <w:pPr>
              <w:pStyle w:val="PortfolioNumberingText"/>
            </w:pPr>
            <w:r w:rsidRPr="000C5235">
              <w:t>1.1</w:t>
            </w:r>
            <w:r w:rsidR="00CC6BB0" w:rsidRPr="000C5235">
              <w:t>2</w:t>
            </w:r>
            <w:r w:rsidRPr="000C5235">
              <w:tab/>
              <w:t>Social Services Portfolio</w:t>
            </w:r>
          </w:p>
          <w:p w14:paraId="51DA7534" w14:textId="77777777" w:rsidR="00DC2750" w:rsidRPr="000C5235" w:rsidRDefault="00DC2750">
            <w:pPr>
              <w:pStyle w:val="PortfolioNumberingText"/>
            </w:pPr>
            <w:r w:rsidRPr="000C5235">
              <w:t>1.1</w:t>
            </w:r>
            <w:r w:rsidR="00CC6BB0" w:rsidRPr="000C5235">
              <w:t>3</w:t>
            </w:r>
            <w:r w:rsidRPr="000C5235">
              <w:tab/>
              <w:t>Treasury Portfolio</w:t>
            </w:r>
          </w:p>
          <w:p w14:paraId="44CF2C53" w14:textId="77777777" w:rsidR="00DC2750" w:rsidRPr="000C5235" w:rsidRDefault="00DC2750">
            <w:pPr>
              <w:pStyle w:val="PortfolioNumberingText"/>
            </w:pPr>
            <w:r w:rsidRPr="000C5235">
              <w:t>1.1</w:t>
            </w:r>
            <w:r w:rsidR="00CC6BB0" w:rsidRPr="000C5235">
              <w:t>4</w:t>
            </w:r>
            <w:r w:rsidRPr="000C5235">
              <w:t xml:space="preserve">A </w:t>
            </w:r>
            <w:r w:rsidRPr="000C5235">
              <w:tab/>
              <w:t>Department of the House of Representatives</w:t>
            </w:r>
          </w:p>
          <w:p w14:paraId="5AE43D39" w14:textId="77777777" w:rsidR="00DC2750" w:rsidRPr="000C5235" w:rsidRDefault="00DC2750">
            <w:pPr>
              <w:pStyle w:val="PortfolioNumberingText"/>
            </w:pPr>
            <w:r w:rsidRPr="000C5235">
              <w:t>1.1</w:t>
            </w:r>
            <w:r w:rsidR="00CC6BB0" w:rsidRPr="000C5235">
              <w:t>4</w:t>
            </w:r>
            <w:r w:rsidRPr="000C5235">
              <w:t>B</w:t>
            </w:r>
            <w:r w:rsidRPr="000C5235">
              <w:tab/>
              <w:t>Department of the Senate</w:t>
            </w:r>
          </w:p>
          <w:p w14:paraId="010DA215" w14:textId="77777777" w:rsidR="00DC2750" w:rsidRPr="000C5235" w:rsidRDefault="00DC2750">
            <w:pPr>
              <w:pStyle w:val="PortfolioNumberingText"/>
            </w:pPr>
            <w:r w:rsidRPr="000C5235">
              <w:t>1.1</w:t>
            </w:r>
            <w:r w:rsidR="00CC6BB0" w:rsidRPr="000C5235">
              <w:t>4</w:t>
            </w:r>
            <w:r w:rsidRPr="000C5235">
              <w:t>C</w:t>
            </w:r>
            <w:r w:rsidRPr="000C5235">
              <w:tab/>
              <w:t xml:space="preserve">Department of Parliamentary Services </w:t>
            </w:r>
          </w:p>
          <w:p w14:paraId="030FA21A" w14:textId="77777777" w:rsidR="00DC2750" w:rsidRPr="000C5235" w:rsidRDefault="00DC2750">
            <w:pPr>
              <w:pStyle w:val="PortfolioNumberingText"/>
            </w:pPr>
            <w:r w:rsidRPr="000C5235">
              <w:t>1.1</w:t>
            </w:r>
            <w:r w:rsidR="00CC6BB0" w:rsidRPr="000C5235">
              <w:t>4</w:t>
            </w:r>
            <w:r w:rsidRPr="000C5235">
              <w:t xml:space="preserve">D </w:t>
            </w:r>
            <w:r w:rsidRPr="000C5235">
              <w:tab/>
              <w:t>Parliamentary Budget Office</w:t>
            </w:r>
          </w:p>
        </w:tc>
      </w:tr>
    </w:tbl>
    <w:p w14:paraId="34184265" w14:textId="77777777" w:rsidR="00B751D1" w:rsidRPr="000C5235" w:rsidRDefault="00B751D1" w:rsidP="000A7DEC">
      <w:pPr>
        <w:pStyle w:val="NormalTextRed"/>
      </w:pPr>
      <w:bookmarkStart w:id="167" w:name="_Toc411852663"/>
    </w:p>
    <w:p w14:paraId="21B7DA42" w14:textId="77777777" w:rsidR="00071B5B" w:rsidRPr="000C5235" w:rsidRDefault="0082509B">
      <w:pPr>
        <w:pStyle w:val="NormalTextRed"/>
      </w:pPr>
      <w:r w:rsidRPr="000C5235">
        <w:rPr>
          <w:u w:val="single"/>
        </w:rPr>
        <w:t>N</w:t>
      </w:r>
      <w:r w:rsidR="00B751D1" w:rsidRPr="000C5235">
        <w:rPr>
          <w:u w:val="single"/>
        </w:rPr>
        <w:t>ote</w:t>
      </w:r>
      <w:r w:rsidRPr="000C5235">
        <w:rPr>
          <w:u w:val="single"/>
        </w:rPr>
        <w:t>:</w:t>
      </w:r>
      <w:r w:rsidR="00B751D1" w:rsidRPr="000C5235">
        <w:t xml:space="preserve"> that these portfolio numbers and names may change from time to time as a result of Administrative Arrangement Orders.</w:t>
      </w:r>
      <w:r w:rsidR="00071B5B" w:rsidRPr="000C5235">
        <w:br w:type="page"/>
      </w:r>
    </w:p>
    <w:p w14:paraId="253CCDE0" w14:textId="77777777" w:rsidR="00B751D1" w:rsidRPr="000C5235" w:rsidRDefault="00D976AA" w:rsidP="000A7DEC">
      <w:pPr>
        <w:pStyle w:val="Heading1Numbered"/>
      </w:pPr>
      <w:bookmarkStart w:id="168" w:name="_Toc534385662"/>
      <w:bookmarkStart w:id="169" w:name="_Toc534385802"/>
      <w:bookmarkStart w:id="170" w:name="_Toc534386354"/>
      <w:bookmarkStart w:id="171" w:name="_Toc534386561"/>
      <w:bookmarkStart w:id="172" w:name="_Toc534389760"/>
      <w:bookmarkStart w:id="173" w:name="_Toc534389901"/>
      <w:bookmarkStart w:id="174" w:name="_Toc534406197"/>
      <w:bookmarkStart w:id="175" w:name="_Toc534441474"/>
      <w:bookmarkStart w:id="176" w:name="_Toc534442815"/>
      <w:bookmarkStart w:id="177" w:name="_Toc534442956"/>
      <w:bookmarkStart w:id="178" w:name="_Toc534443097"/>
      <w:bookmarkStart w:id="179" w:name="_Toc534458852"/>
      <w:bookmarkStart w:id="180" w:name="_Toc534459641"/>
      <w:bookmarkStart w:id="181" w:name="_Toc534519136"/>
      <w:bookmarkStart w:id="182" w:name="_Toc534520046"/>
      <w:bookmarkStart w:id="183" w:name="_Toc534520316"/>
      <w:bookmarkStart w:id="184" w:name="_Toc534527528"/>
      <w:bookmarkStart w:id="185" w:name="_Toc534528258"/>
      <w:bookmarkStart w:id="186" w:name="_Toc534803476"/>
      <w:bookmarkStart w:id="187" w:name="_Toc534814167"/>
      <w:bookmarkStart w:id="188" w:name="_Toc536108537"/>
      <w:bookmarkStart w:id="189" w:name="_Toc536802088"/>
      <w:bookmarkStart w:id="190" w:name="_Toc422692"/>
      <w:bookmarkStart w:id="191" w:name="_Toc5356471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0C5235">
        <w:t>Structure</w:t>
      </w:r>
      <w:bookmarkEnd w:id="191"/>
    </w:p>
    <w:p w14:paraId="28B2D12F" w14:textId="77777777" w:rsidR="00FA0945" w:rsidRPr="000C5235" w:rsidRDefault="00FA0945" w:rsidP="000A7DEC">
      <w:r w:rsidRPr="000C5235">
        <w:t xml:space="preserve">The PB Statements contain four levels of information: Portfolio, Entity, Outcome and Program. To ensure that PB Statements are clear and concise, it is important for entities to include information where it is most relevant. Guidance on the information required in each section of the PB Statements is included throughout this document. </w:t>
      </w:r>
    </w:p>
    <w:p w14:paraId="6F0FC480" w14:textId="77777777" w:rsidR="00FA0945" w:rsidRPr="000C5235" w:rsidRDefault="00FA0945" w:rsidP="000A7DEC">
      <w:r w:rsidRPr="000C5235">
        <w:t>Entities should produce PB Statements that present three key messages:</w:t>
      </w:r>
    </w:p>
    <w:p w14:paraId="4AF246D4" w14:textId="77777777" w:rsidR="00FA0945" w:rsidRPr="000C5235" w:rsidRDefault="00FA0945" w:rsidP="000A7DEC">
      <w:pPr>
        <w:pStyle w:val="Bullet1"/>
        <w:spacing w:before="80" w:after="80"/>
      </w:pPr>
      <w:r w:rsidRPr="000C5235">
        <w:t>What does the Government (through the entity) want to achieve?</w:t>
      </w:r>
    </w:p>
    <w:p w14:paraId="4B94153F" w14:textId="77777777" w:rsidR="00FA0945" w:rsidRPr="000C5235" w:rsidRDefault="00FA0945" w:rsidP="000A7DEC">
      <w:pPr>
        <w:pStyle w:val="Bullet1"/>
        <w:spacing w:before="80" w:after="80"/>
      </w:pPr>
      <w:r w:rsidRPr="000C5235">
        <w:t xml:space="preserve">How and through what means </w:t>
      </w:r>
      <w:r w:rsidR="00C73B4C" w:rsidRPr="000C5235">
        <w:t>does it propose</w:t>
      </w:r>
      <w:r w:rsidRPr="000C5235">
        <w:t xml:space="preserve"> to achieve this?</w:t>
      </w:r>
    </w:p>
    <w:p w14:paraId="0AFFF0C0" w14:textId="77777777" w:rsidR="00FA0945" w:rsidRPr="000C5235" w:rsidRDefault="00FA0945" w:rsidP="000A7DEC">
      <w:pPr>
        <w:pStyle w:val="Bullet1"/>
        <w:spacing w:before="80" w:after="80"/>
      </w:pPr>
      <w:r w:rsidRPr="000C5235">
        <w:t>How will it know if it is succeeding or making progress?</w:t>
      </w:r>
    </w:p>
    <w:p w14:paraId="17C3A795" w14:textId="77777777" w:rsidR="00DC2750" w:rsidRPr="000C5235" w:rsidRDefault="00FA0945" w:rsidP="000A7DEC">
      <w:r w:rsidRPr="000C5235">
        <w:t xml:space="preserve">Entities can publish additional information that goes beyond the requirements of the </w:t>
      </w:r>
      <w:r w:rsidR="00676137" w:rsidRPr="000C5235">
        <w:t>PB </w:t>
      </w:r>
      <w:r w:rsidRPr="000C5235">
        <w:t>Statements on their websites. Entities should also include a cross-reference at the start of their PB Statement chapter to their corporate plans, which provide a more granular, operational level of detail.</w:t>
      </w:r>
    </w:p>
    <w:p w14:paraId="4800AA96" w14:textId="77777777" w:rsidR="00FC5FF9" w:rsidRPr="000C5235" w:rsidRDefault="00B751D1" w:rsidP="000A7DEC">
      <w:r w:rsidRPr="000C5235">
        <w:t xml:space="preserve">The </w:t>
      </w:r>
      <w:r w:rsidR="006669B1" w:rsidRPr="000C5235">
        <w:t>2020-21</w:t>
      </w:r>
      <w:r w:rsidR="00FA0945" w:rsidRPr="000C5235">
        <w:t xml:space="preserve"> PB Statements will have the following structure:</w:t>
      </w:r>
      <w:r w:rsidR="003D1B46" w:rsidRPr="000C5235">
        <w:br/>
      </w:r>
    </w:p>
    <w:tbl>
      <w:tblPr>
        <w:tblW w:w="8784" w:type="dxa"/>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784"/>
      </w:tblGrid>
      <w:tr w:rsidR="00FA0945" w:rsidRPr="000C5235" w14:paraId="21DD18DC" w14:textId="77777777" w:rsidTr="000A7DEC">
        <w:trPr>
          <w:jc w:val="center"/>
        </w:trPr>
        <w:tc>
          <w:tcPr>
            <w:tcW w:w="8784" w:type="dxa"/>
            <w:shd w:val="clear" w:color="auto" w:fill="D9D9D9" w:themeFill="background1" w:themeFillShade="D9"/>
          </w:tcPr>
          <w:p w14:paraId="5C9D23D1" w14:textId="77777777" w:rsidR="00FC5FF9" w:rsidRPr="000C5235" w:rsidRDefault="00FA0945" w:rsidP="000A7DEC">
            <w:pPr>
              <w:pStyle w:val="TableText-Normal"/>
              <w:spacing w:before="0" w:after="60" w:line="240" w:lineRule="auto"/>
            </w:pPr>
            <w:r w:rsidRPr="000C5235">
              <w:t>Portfolio reporting</w:t>
            </w:r>
          </w:p>
          <w:p w14:paraId="1373F546" w14:textId="77777777" w:rsidR="00FA0945" w:rsidRPr="000C5235" w:rsidRDefault="00FA0945" w:rsidP="000A7DEC">
            <w:pPr>
              <w:pStyle w:val="TableText-Normal"/>
              <w:spacing w:before="0" w:after="60" w:line="240" w:lineRule="auto"/>
            </w:pPr>
            <w:r w:rsidRPr="000C5235">
              <w:t>User Guide to the Portfolio Budget Statements</w:t>
            </w:r>
          </w:p>
          <w:p w14:paraId="62954AEE" w14:textId="77777777" w:rsidR="00FA0945" w:rsidRPr="000C5235" w:rsidRDefault="00FA0945" w:rsidP="000A7DEC">
            <w:pPr>
              <w:pStyle w:val="TableText-Normal"/>
              <w:spacing w:before="0" w:after="60" w:line="240" w:lineRule="auto"/>
            </w:pPr>
            <w:r w:rsidRPr="000C5235">
              <w:t>Portfolio overview</w:t>
            </w:r>
          </w:p>
          <w:p w14:paraId="146877C3" w14:textId="77777777" w:rsidR="00FA0945" w:rsidRPr="000C5235" w:rsidRDefault="00FA0945" w:rsidP="000A7DEC">
            <w:pPr>
              <w:pStyle w:val="Bullet2"/>
              <w:spacing w:before="0" w:after="60"/>
            </w:pPr>
            <w:r w:rsidRPr="000C5235">
              <w:t>Minister(s) and portfolio responsibilities</w:t>
            </w:r>
          </w:p>
          <w:p w14:paraId="06C72B84" w14:textId="77777777" w:rsidR="00FA0945" w:rsidRPr="000C5235" w:rsidRDefault="00FA0945" w:rsidP="000A7DEC">
            <w:pPr>
              <w:pStyle w:val="Bullet2"/>
              <w:spacing w:before="0" w:after="60"/>
            </w:pPr>
            <w:r w:rsidRPr="000C5235">
              <w:t>Portfolio structure and outcomes</w:t>
            </w:r>
          </w:p>
        </w:tc>
      </w:tr>
      <w:tr w:rsidR="00FA0945" w:rsidRPr="000C5235" w14:paraId="2C7E9A9D" w14:textId="77777777" w:rsidTr="000A7DEC">
        <w:trPr>
          <w:jc w:val="center"/>
        </w:trPr>
        <w:tc>
          <w:tcPr>
            <w:tcW w:w="8784" w:type="dxa"/>
            <w:shd w:val="clear" w:color="auto" w:fill="D9D9D9" w:themeFill="background1" w:themeFillShade="D9"/>
          </w:tcPr>
          <w:p w14:paraId="3A0F6259" w14:textId="77777777" w:rsidR="00FA0945" w:rsidRPr="000C5235" w:rsidRDefault="00FA0945" w:rsidP="000A7DEC">
            <w:pPr>
              <w:pStyle w:val="TableText-Normal"/>
              <w:spacing w:before="0" w:after="60" w:line="240" w:lineRule="auto"/>
            </w:pPr>
            <w:r w:rsidRPr="000C5235">
              <w:t>Department/entity reporting</w:t>
            </w:r>
          </w:p>
          <w:p w14:paraId="7B3CD389" w14:textId="77777777" w:rsidR="00FA0945" w:rsidRPr="000C5235" w:rsidRDefault="00FA0945" w:rsidP="000A7DEC">
            <w:pPr>
              <w:pStyle w:val="TableText-Normal"/>
              <w:spacing w:before="0" w:after="60" w:line="240" w:lineRule="auto"/>
            </w:pPr>
            <w:r w:rsidRPr="000C5235">
              <w:t>Entity resources and planned performance</w:t>
            </w:r>
          </w:p>
          <w:p w14:paraId="678C1B7D" w14:textId="77777777" w:rsidR="00FA0945" w:rsidRPr="000C5235" w:rsidRDefault="00FA0945" w:rsidP="000A7DEC">
            <w:pPr>
              <w:pStyle w:val="Bullet2"/>
              <w:spacing w:before="0" w:after="60"/>
            </w:pPr>
            <w:r w:rsidRPr="000C5235">
              <w:rPr>
                <w:u w:val="single"/>
              </w:rPr>
              <w:t>Section One</w:t>
            </w:r>
            <w:r w:rsidRPr="000C5235">
              <w:t>: Entity overview and resources</w:t>
            </w:r>
          </w:p>
          <w:p w14:paraId="050779D5" w14:textId="77777777" w:rsidR="00FA0945" w:rsidRPr="000C5235" w:rsidRDefault="00FA0945" w:rsidP="000A7DEC">
            <w:pPr>
              <w:pStyle w:val="Bullet3"/>
              <w:spacing w:before="0" w:after="60"/>
            </w:pPr>
            <w:r w:rsidRPr="000C5235">
              <w:t>Strategic direction statement</w:t>
            </w:r>
          </w:p>
          <w:p w14:paraId="0AD997AE" w14:textId="77777777" w:rsidR="00FA0945" w:rsidRPr="000C5235" w:rsidRDefault="00FA0945" w:rsidP="000A7DEC">
            <w:pPr>
              <w:pStyle w:val="Bullet3"/>
              <w:spacing w:before="0" w:after="60"/>
            </w:pPr>
            <w:r w:rsidRPr="000C5235">
              <w:t>Entity resource statement</w:t>
            </w:r>
          </w:p>
          <w:p w14:paraId="589CA3A2" w14:textId="77777777" w:rsidR="00FA0945" w:rsidRPr="000C5235" w:rsidRDefault="00FA0945" w:rsidP="000A7DEC">
            <w:pPr>
              <w:pStyle w:val="Bullet3"/>
              <w:spacing w:before="0" w:after="60"/>
            </w:pPr>
            <w:r w:rsidRPr="000C5235">
              <w:t>Budget measures</w:t>
            </w:r>
          </w:p>
          <w:p w14:paraId="0C3E6B40" w14:textId="77777777" w:rsidR="00FA0945" w:rsidRPr="000C5235" w:rsidRDefault="00FA0945" w:rsidP="000A7DEC">
            <w:pPr>
              <w:pStyle w:val="Bullet3"/>
              <w:spacing w:before="0" w:after="60"/>
            </w:pPr>
            <w:r w:rsidRPr="000C5235">
              <w:t>Changes in entity outcomes and programs (where applicable)</w:t>
            </w:r>
          </w:p>
          <w:p w14:paraId="51A53138" w14:textId="77777777" w:rsidR="00FA0945" w:rsidRPr="000C5235" w:rsidRDefault="00FA0945" w:rsidP="000A7DEC">
            <w:pPr>
              <w:pStyle w:val="Bullet2"/>
              <w:spacing w:before="0" w:after="60"/>
            </w:pPr>
            <w:r w:rsidRPr="000C5235">
              <w:rPr>
                <w:u w:val="single"/>
              </w:rPr>
              <w:t>Section Two</w:t>
            </w:r>
            <w:r w:rsidRPr="000C5235">
              <w:t>: Outcomes and planned performance</w:t>
            </w:r>
          </w:p>
          <w:p w14:paraId="495E094F" w14:textId="77777777" w:rsidR="00FA0945" w:rsidRPr="000C5235" w:rsidRDefault="00FA0945" w:rsidP="000A7DEC">
            <w:pPr>
              <w:pStyle w:val="Bullet3"/>
              <w:spacing w:before="0" w:after="60"/>
            </w:pPr>
            <w:r w:rsidRPr="000C5235">
              <w:t>Budgeted expenses and performance for Outcome X</w:t>
            </w:r>
          </w:p>
          <w:p w14:paraId="3797FEFB" w14:textId="77777777" w:rsidR="00FA0945" w:rsidRPr="000C5235" w:rsidRDefault="00FA0945" w:rsidP="000A7DEC">
            <w:pPr>
              <w:pStyle w:val="Bullet4"/>
              <w:spacing w:before="0" w:after="60" w:line="240" w:lineRule="auto"/>
            </w:pPr>
            <w:r w:rsidRPr="000C5235">
              <w:t>Linked programs</w:t>
            </w:r>
          </w:p>
          <w:p w14:paraId="5D1DB082" w14:textId="77777777" w:rsidR="00FA0945" w:rsidRPr="000C5235" w:rsidRDefault="00FA0945" w:rsidP="000A7DEC">
            <w:pPr>
              <w:pStyle w:val="Bullet4"/>
              <w:spacing w:before="0" w:after="60" w:line="240" w:lineRule="auto"/>
            </w:pPr>
            <w:r w:rsidRPr="000C5235">
              <w:t>Budgeted expenses for Outcome X</w:t>
            </w:r>
          </w:p>
          <w:p w14:paraId="57095673" w14:textId="77777777" w:rsidR="00FA0945" w:rsidRPr="000C5235" w:rsidRDefault="00FA0945" w:rsidP="000A7DEC">
            <w:pPr>
              <w:pStyle w:val="Bullet5"/>
              <w:spacing w:before="0" w:after="60" w:line="240" w:lineRule="auto"/>
            </w:pPr>
            <w:r w:rsidRPr="000C5235">
              <w:t>Program components of Outcome X (optional)</w:t>
            </w:r>
          </w:p>
          <w:p w14:paraId="1C4650D9" w14:textId="77777777" w:rsidR="00FA0945" w:rsidRPr="000C5235" w:rsidRDefault="00FA0945" w:rsidP="000A7DEC">
            <w:pPr>
              <w:pStyle w:val="Bullet4"/>
              <w:spacing w:before="0" w:after="60" w:line="240" w:lineRule="auto"/>
            </w:pPr>
            <w:r w:rsidRPr="000C5235">
              <w:t>Planned performance criteria for Outcome X</w:t>
            </w:r>
          </w:p>
          <w:p w14:paraId="50984ADB" w14:textId="77777777" w:rsidR="00FA0945" w:rsidRPr="000C5235" w:rsidRDefault="00FA0945" w:rsidP="000A7DEC">
            <w:pPr>
              <w:pStyle w:val="Bullet2"/>
              <w:spacing w:before="0" w:after="60"/>
            </w:pPr>
            <w:r w:rsidRPr="000C5235">
              <w:rPr>
                <w:u w:val="single"/>
              </w:rPr>
              <w:t>Section Three</w:t>
            </w:r>
            <w:r w:rsidRPr="000C5235">
              <w:t>: Budgeted financial statements</w:t>
            </w:r>
          </w:p>
          <w:p w14:paraId="7D7C8BF8" w14:textId="77777777" w:rsidR="001923C9" w:rsidRPr="000C5235" w:rsidRDefault="00FA0945" w:rsidP="000A7DEC">
            <w:pPr>
              <w:pStyle w:val="Bullet3"/>
              <w:spacing w:before="0" w:after="60"/>
            </w:pPr>
            <w:r w:rsidRPr="000C5235">
              <w:t>Differences between entity resourcing and financial statements (optional)</w:t>
            </w:r>
          </w:p>
          <w:p w14:paraId="2E12B62F" w14:textId="77777777" w:rsidR="001923C9" w:rsidRPr="000C5235" w:rsidRDefault="00FA0945" w:rsidP="000A7DEC">
            <w:pPr>
              <w:pStyle w:val="Bullet3"/>
              <w:spacing w:before="0" w:after="60"/>
            </w:pPr>
            <w:r w:rsidRPr="000C5235">
              <w:t>Explanatory notes and analysis of financial statements</w:t>
            </w:r>
          </w:p>
          <w:p w14:paraId="1EE4041D" w14:textId="77777777" w:rsidR="00FA0945" w:rsidRPr="000C5235" w:rsidRDefault="001923C9" w:rsidP="000A7DEC">
            <w:pPr>
              <w:pStyle w:val="Bullet3"/>
              <w:spacing w:before="0" w:after="60"/>
            </w:pPr>
            <w:r w:rsidRPr="000C5235">
              <w:t>Budgeted financial statement tables</w:t>
            </w:r>
          </w:p>
        </w:tc>
      </w:tr>
      <w:tr w:rsidR="00FA0945" w:rsidRPr="000C5235" w14:paraId="41F44BA4" w14:textId="77777777" w:rsidTr="000A7DEC">
        <w:trPr>
          <w:jc w:val="center"/>
        </w:trPr>
        <w:tc>
          <w:tcPr>
            <w:tcW w:w="8784" w:type="dxa"/>
            <w:shd w:val="clear" w:color="auto" w:fill="D9D9D9" w:themeFill="background1" w:themeFillShade="D9"/>
          </w:tcPr>
          <w:p w14:paraId="0FFE36DB" w14:textId="77777777" w:rsidR="00FA0945" w:rsidRPr="000C5235" w:rsidRDefault="00FA0945" w:rsidP="000A7DEC">
            <w:pPr>
              <w:pStyle w:val="TableText-Normal"/>
              <w:spacing w:before="0" w:after="60" w:line="240" w:lineRule="auto"/>
            </w:pPr>
            <w:r w:rsidRPr="000C5235">
              <w:t>Portfolio glossary</w:t>
            </w:r>
          </w:p>
          <w:p w14:paraId="268B1D6B" w14:textId="77777777" w:rsidR="00FC5FF9" w:rsidRPr="000C5235" w:rsidRDefault="00FC5FF9" w:rsidP="000A7DEC">
            <w:pPr>
              <w:pStyle w:val="TableText-Normal"/>
              <w:spacing w:before="0" w:after="60" w:line="240" w:lineRule="auto"/>
            </w:pPr>
            <w:r w:rsidRPr="000C5235">
              <w:t>Index</w:t>
            </w:r>
          </w:p>
        </w:tc>
      </w:tr>
    </w:tbl>
    <w:p w14:paraId="5406AE24" w14:textId="77777777" w:rsidR="00BC527A" w:rsidRPr="000C5235" w:rsidRDefault="00FA0945" w:rsidP="000A7DEC">
      <w:pPr>
        <w:pStyle w:val="Heading2Numbered"/>
      </w:pPr>
      <w:r w:rsidRPr="000C5235">
        <w:br w:type="page"/>
      </w:r>
      <w:bookmarkStart w:id="192" w:name="_Toc53564715"/>
      <w:r w:rsidR="00BC527A" w:rsidRPr="000C5235">
        <w:t xml:space="preserve">Commonwealth performance framework diagram located in the </w:t>
      </w:r>
      <w:r w:rsidR="003C2572" w:rsidRPr="000C5235">
        <w:t>PB Statement's '</w:t>
      </w:r>
      <w:r w:rsidR="00B16668" w:rsidRPr="000C5235">
        <w:t>User Guide</w:t>
      </w:r>
      <w:r w:rsidR="003C2572" w:rsidRPr="000C5235">
        <w:t>'</w:t>
      </w:r>
      <w:r w:rsidR="00B16668" w:rsidRPr="000C5235">
        <w:t xml:space="preserve"> </w:t>
      </w:r>
      <w:r w:rsidR="003C2572" w:rsidRPr="000C5235">
        <w:t>chapter</w:t>
      </w:r>
      <w:bookmarkEnd w:id="192"/>
    </w:p>
    <w:p w14:paraId="1F537392" w14:textId="77777777" w:rsidR="00F10C66" w:rsidRPr="000C5235" w:rsidRDefault="00B16668" w:rsidP="000A7DEC">
      <w:pPr>
        <w:pStyle w:val="Boxed2Text"/>
      </w:pPr>
      <w:r w:rsidRPr="000C5235">
        <w:t xml:space="preserve">The Word PB Statement template include the </w:t>
      </w:r>
      <w:r w:rsidR="00F10C66" w:rsidRPr="000C5235">
        <w:rPr>
          <w:i/>
        </w:rPr>
        <w:t>Commonwealth performance framework</w:t>
      </w:r>
      <w:r w:rsidRPr="000C5235">
        <w:rPr>
          <w:i/>
        </w:rPr>
        <w:t xml:space="preserve"> diagram</w:t>
      </w:r>
      <w:r w:rsidR="00F10C66" w:rsidRPr="000C5235">
        <w:t>. It identifies the content of each publication and the relationships between them. This diagram must be included and not be moved, reworded or deleted from its position in the PB Statement Word template.</w:t>
      </w:r>
    </w:p>
    <w:p w14:paraId="5F856F5F" w14:textId="77777777" w:rsidR="00FA0945" w:rsidRPr="000C5235" w:rsidRDefault="00FA0945" w:rsidP="000A7DEC">
      <w:pPr>
        <w:pStyle w:val="Heading2Numbered"/>
      </w:pPr>
      <w:bookmarkStart w:id="193" w:name="_Toc53564716"/>
      <w:r w:rsidRPr="000C5235">
        <w:t>Consistency of reporting – the “clear read” principle</w:t>
      </w:r>
      <w:bookmarkEnd w:id="193"/>
    </w:p>
    <w:p w14:paraId="1D0E665B" w14:textId="77777777" w:rsidR="00B751D1" w:rsidRPr="000C5235" w:rsidRDefault="00B751D1" w:rsidP="000A7DEC">
      <w:r w:rsidRPr="000C5235">
        <w:t xml:space="preserve">The </w:t>
      </w:r>
      <w:r w:rsidR="00374898" w:rsidRPr="000C5235">
        <w:t>2020-21</w:t>
      </w:r>
      <w:r w:rsidRPr="000C5235">
        <w:t xml:space="preserve"> PB Statements will cover the </w:t>
      </w:r>
      <w:r w:rsidR="00927D41" w:rsidRPr="000C5235">
        <w:t xml:space="preserve">previous </w:t>
      </w:r>
      <w:r w:rsidRPr="000C5235">
        <w:t>financial year (</w:t>
      </w:r>
      <w:r w:rsidR="00374898" w:rsidRPr="000C5235">
        <w:t>2019-20</w:t>
      </w:r>
      <w:r w:rsidRPr="000C5235">
        <w:t>), the budget year (</w:t>
      </w:r>
      <w:r w:rsidR="00374898" w:rsidRPr="000C5235">
        <w:t>2020</w:t>
      </w:r>
      <w:r w:rsidR="00C27C04" w:rsidRPr="000C5235">
        <w:noBreakHyphen/>
      </w:r>
      <w:r w:rsidR="00374898" w:rsidRPr="000C5235">
        <w:t>21</w:t>
      </w:r>
      <w:r w:rsidRPr="000C5235">
        <w:t>) and the forward estimates years (</w:t>
      </w:r>
      <w:r w:rsidR="00374898" w:rsidRPr="000C5235">
        <w:t>2021</w:t>
      </w:r>
      <w:r w:rsidR="00C27C04" w:rsidRPr="000C5235">
        <w:noBreakHyphen/>
      </w:r>
      <w:r w:rsidR="00374898" w:rsidRPr="000C5235">
        <w:t>22</w:t>
      </w:r>
      <w:r w:rsidRPr="000C5235">
        <w:t xml:space="preserve">, </w:t>
      </w:r>
      <w:r w:rsidR="00374898" w:rsidRPr="000C5235">
        <w:t>2022</w:t>
      </w:r>
      <w:r w:rsidR="00C27C04" w:rsidRPr="000C5235">
        <w:noBreakHyphen/>
      </w:r>
      <w:r w:rsidR="00374898" w:rsidRPr="000C5235">
        <w:t>23</w:t>
      </w:r>
      <w:r w:rsidRPr="000C5235">
        <w:t xml:space="preserve"> and</w:t>
      </w:r>
      <w:r w:rsidR="00374898" w:rsidRPr="000C5235">
        <w:t xml:space="preserve"> 2023</w:t>
      </w:r>
      <w:r w:rsidR="00C27C04" w:rsidRPr="000C5235">
        <w:noBreakHyphen/>
      </w:r>
      <w:r w:rsidR="00374898" w:rsidRPr="000C5235">
        <w:t>24</w:t>
      </w:r>
      <w:r w:rsidRPr="000C5235">
        <w:t>).</w:t>
      </w:r>
    </w:p>
    <w:p w14:paraId="4C79788A" w14:textId="77777777" w:rsidR="00FA0945" w:rsidRPr="000C5235" w:rsidRDefault="00DF1385" w:rsidP="000A7DEC">
      <w:r w:rsidRPr="000C5235">
        <w:t xml:space="preserve">The Commonwealth Resource Management </w:t>
      </w:r>
      <w:r w:rsidR="00FA0945" w:rsidRPr="000C5235">
        <w:t>Framework is</w:t>
      </w:r>
      <w:r w:rsidRPr="000C5235">
        <w:t xml:space="preserve"> designed to support an accountable and transparent public sector by providing the opportunity for judgments to be made on the</w:t>
      </w:r>
      <w:r w:rsidR="00FA0945" w:rsidRPr="000C5235">
        <w:t xml:space="preserve"> </w:t>
      </w:r>
      <w:r w:rsidRPr="000C5235">
        <w:t>performance of Commonwealth entities. To assist readers to form judgment,</w:t>
      </w:r>
      <w:r w:rsidR="00FA0945" w:rsidRPr="000C5235">
        <w:t xml:space="preserve"> reporting </w:t>
      </w:r>
      <w:r w:rsidRPr="000C5235">
        <w:t>by entities should provide a clear linkage (a “clear read”) between the allocation and use of public resources, and the results being achieved.</w:t>
      </w:r>
    </w:p>
    <w:p w14:paraId="6B122AE9" w14:textId="77777777" w:rsidR="00895608" w:rsidRPr="000C5235" w:rsidRDefault="00FA0945" w:rsidP="000A7DEC">
      <w:r w:rsidRPr="000C5235">
        <w:t xml:space="preserve">To achieve this, there must be a clear linkage from the Appropriation Bills to the budget statements, to the </w:t>
      </w:r>
      <w:r w:rsidR="00433124" w:rsidRPr="000C5235">
        <w:t xml:space="preserve">corporate plan and to the entity annual report. Entities should present </w:t>
      </w:r>
      <w:r w:rsidRPr="000C5235">
        <w:t xml:space="preserve">performance </w:t>
      </w:r>
      <w:r w:rsidR="00433124" w:rsidRPr="000C5235">
        <w:t>information clearly and consistently (and ensure it is reconcilable) between the budget statements, corporate plan and annual report within a reporting cycle</w:t>
      </w:r>
      <w:r w:rsidRPr="000C5235">
        <w:t>.</w:t>
      </w:r>
    </w:p>
    <w:p w14:paraId="33051240" w14:textId="77777777" w:rsidR="00E86EC8" w:rsidRPr="000C5235" w:rsidRDefault="00FA0945" w:rsidP="000A7DEC">
      <w:pPr>
        <w:pStyle w:val="Heading3Numbered"/>
      </w:pPr>
      <w:bookmarkStart w:id="194" w:name="_Toc53564717"/>
      <w:r w:rsidRPr="000C5235">
        <w:t>‘Clear read’ linkages</w:t>
      </w:r>
      <w:bookmarkEnd w:id="194"/>
    </w:p>
    <w:p w14:paraId="6499E06A" w14:textId="77777777" w:rsidR="00FA0945" w:rsidRPr="000C5235" w:rsidRDefault="00E86EC8" w:rsidP="00E86EC8">
      <w:pPr>
        <w:pStyle w:val="BodyText1"/>
      </w:pPr>
      <w:r w:rsidRPr="000C5235">
        <w:rPr>
          <w:noProof/>
          <w:lang w:eastAsia="en-AU"/>
        </w:rPr>
        <mc:AlternateContent>
          <mc:Choice Requires="wpc">
            <w:drawing>
              <wp:inline distT="0" distB="0" distL="0" distR="0" wp14:anchorId="454B2607" wp14:editId="6EFEB414">
                <wp:extent cx="5414963" cy="3757295"/>
                <wp:effectExtent l="0" t="0" r="14605" b="1460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9" name="Text Box 26"/>
                        <wps:cNvSpPr txBox="1">
                          <a:spLocks noChangeArrowheads="1"/>
                        </wps:cNvSpPr>
                        <wps:spPr bwMode="auto">
                          <a:xfrm>
                            <a:off x="444082" y="756391"/>
                            <a:ext cx="2534703" cy="1486746"/>
                          </a:xfrm>
                          <a:prstGeom prst="rect">
                            <a:avLst/>
                          </a:prstGeom>
                          <a:solidFill>
                            <a:srgbClr val="FFFFFF"/>
                          </a:solidFill>
                          <a:ln w="9525">
                            <a:solidFill>
                              <a:srgbClr val="000000"/>
                            </a:solidFill>
                            <a:miter lim="800000"/>
                            <a:headEnd/>
                            <a:tailEnd/>
                          </a:ln>
                        </wps:spPr>
                        <wps:txbx>
                          <w:txbxContent>
                            <w:p w14:paraId="7C5D6646" w14:textId="77777777" w:rsidR="00E70395" w:rsidRPr="000A7DEC" w:rsidRDefault="00E70395" w:rsidP="000A7DEC">
                              <w:pPr>
                                <w:pStyle w:val="TableText"/>
                                <w:rPr>
                                  <w:b/>
                                  <w:u w:val="single"/>
                                </w:rPr>
                              </w:pPr>
                              <w:r w:rsidRPr="000A7DEC">
                                <w:rPr>
                                  <w:b/>
                                  <w:u w:val="single"/>
                                </w:rPr>
                                <w:t>Budget statements</w:t>
                              </w:r>
                            </w:p>
                            <w:p w14:paraId="26297B26" w14:textId="517382AE" w:rsidR="00E70395" w:rsidRPr="00CB2E1E" w:rsidRDefault="00E70395" w:rsidP="000A7DEC">
                              <w:pPr>
                                <w:pStyle w:val="TableText"/>
                              </w:pPr>
                              <w:r w:rsidRPr="00CB2E1E">
                                <w:t>[PB Statements PAES, PSAES)]</w:t>
                              </w:r>
                            </w:p>
                            <w:p w14:paraId="2066340D" w14:textId="77777777" w:rsidR="00E70395" w:rsidRPr="00CB2E1E" w:rsidRDefault="00E70395" w:rsidP="000A7DEC">
                              <w:pPr>
                                <w:pStyle w:val="TableText-Bullets"/>
                              </w:pPr>
                              <w:r w:rsidRPr="00CB2E1E">
                                <w:t>Appropriations available/received, budgeted financial information and performance criteria.</w:t>
                              </w:r>
                            </w:p>
                          </w:txbxContent>
                        </wps:txbx>
                        <wps:bodyPr rot="0" vert="horz" wrap="square" lIns="91440" tIns="45720" rIns="91440" bIns="45720" anchor="t" anchorCtr="0" upright="1">
                          <a:noAutofit/>
                        </wps:bodyPr>
                      </wps:wsp>
                      <wps:wsp>
                        <wps:cNvPr id="40" name="Text Box 27"/>
                        <wps:cNvSpPr txBox="1">
                          <a:spLocks noChangeArrowheads="1"/>
                        </wps:cNvSpPr>
                        <wps:spPr bwMode="auto">
                          <a:xfrm>
                            <a:off x="3444168" y="930996"/>
                            <a:ext cx="1726877" cy="883516"/>
                          </a:xfrm>
                          <a:prstGeom prst="rect">
                            <a:avLst/>
                          </a:prstGeom>
                          <a:solidFill>
                            <a:srgbClr val="FFFFFF"/>
                          </a:solidFill>
                          <a:ln w="9525">
                            <a:solidFill>
                              <a:srgbClr val="000000"/>
                            </a:solidFill>
                            <a:miter lim="800000"/>
                            <a:headEnd/>
                            <a:tailEnd/>
                          </a:ln>
                        </wps:spPr>
                        <wps:txbx>
                          <w:txbxContent>
                            <w:p w14:paraId="514B030C" w14:textId="77777777" w:rsidR="00E70395" w:rsidRPr="000A7DEC" w:rsidRDefault="00E70395" w:rsidP="000A7DEC">
                              <w:pPr>
                                <w:pStyle w:val="TableText"/>
                                <w:rPr>
                                  <w:b/>
                                  <w:u w:val="single"/>
                                </w:rPr>
                              </w:pPr>
                              <w:r w:rsidRPr="000A7DEC">
                                <w:rPr>
                                  <w:b/>
                                  <w:u w:val="single"/>
                                </w:rPr>
                                <w:t>Corporate plan</w:t>
                              </w:r>
                            </w:p>
                            <w:p w14:paraId="45C0B6FB" w14:textId="77777777" w:rsidR="00E70395" w:rsidRPr="00CE4E65" w:rsidRDefault="00E70395" w:rsidP="000A7DEC">
                              <w:pPr>
                                <w:pStyle w:val="TableText-Bullets"/>
                              </w:pPr>
                              <w:r w:rsidRPr="00875911">
                                <w:t>Purposes</w:t>
                              </w:r>
                            </w:p>
                            <w:p w14:paraId="0D3889F0" w14:textId="77777777" w:rsidR="00E70395" w:rsidRPr="00CB2E1E" w:rsidRDefault="00E70395" w:rsidP="000A7DEC">
                              <w:pPr>
                                <w:pStyle w:val="TableText-Bullets"/>
                              </w:pPr>
                              <w:r w:rsidRPr="00CB2E1E">
                                <w:t>Performance criteria</w:t>
                              </w:r>
                            </w:p>
                          </w:txbxContent>
                        </wps:txbx>
                        <wps:bodyPr rot="0" vert="horz" wrap="square" lIns="91440" tIns="45720" rIns="91440" bIns="45720" anchor="t" anchorCtr="0" upright="1">
                          <a:noAutofit/>
                        </wps:bodyPr>
                      </wps:wsp>
                      <wps:wsp>
                        <wps:cNvPr id="41" name="Text Box 28"/>
                        <wps:cNvSpPr txBox="1">
                          <a:spLocks noChangeArrowheads="1"/>
                        </wps:cNvSpPr>
                        <wps:spPr bwMode="auto">
                          <a:xfrm>
                            <a:off x="1254477" y="2522570"/>
                            <a:ext cx="2981950" cy="1163605"/>
                          </a:xfrm>
                          <a:prstGeom prst="rect">
                            <a:avLst/>
                          </a:prstGeom>
                          <a:solidFill>
                            <a:srgbClr val="FFFFFF"/>
                          </a:solidFill>
                          <a:ln w="9525">
                            <a:solidFill>
                              <a:srgbClr val="000000"/>
                            </a:solidFill>
                            <a:miter lim="800000"/>
                            <a:headEnd/>
                            <a:tailEnd/>
                          </a:ln>
                        </wps:spPr>
                        <wps:txbx>
                          <w:txbxContent>
                            <w:p w14:paraId="0A0BC4C5" w14:textId="77777777" w:rsidR="00E70395" w:rsidRPr="000A7DEC" w:rsidRDefault="00E70395" w:rsidP="000A7DEC">
                              <w:pPr>
                                <w:pStyle w:val="TableText"/>
                                <w:rPr>
                                  <w:b/>
                                  <w:u w:val="single"/>
                                </w:rPr>
                              </w:pPr>
                              <w:r w:rsidRPr="000A7DEC">
                                <w:rPr>
                                  <w:b/>
                                  <w:u w:val="single"/>
                                </w:rPr>
                                <w:t>Annual report</w:t>
                              </w:r>
                            </w:p>
                            <w:p w14:paraId="008876B6" w14:textId="77777777" w:rsidR="00E70395" w:rsidRPr="00CB2E1E" w:rsidRDefault="00E70395" w:rsidP="000A7DEC">
                              <w:pPr>
                                <w:pStyle w:val="TableText"/>
                              </w:pPr>
                              <w:r w:rsidRPr="00CB2E1E">
                                <w:t>[</w:t>
                              </w:r>
                              <w:r>
                                <w:t>I</w:t>
                              </w:r>
                              <w:r w:rsidRPr="00CB2E1E">
                                <w:t>ncludes annual performance statements]</w:t>
                              </w:r>
                            </w:p>
                            <w:p w14:paraId="0E3EDFFD" w14:textId="77777777" w:rsidR="00E70395" w:rsidRPr="00CB2E1E" w:rsidRDefault="00E70395" w:rsidP="000A7DEC">
                              <w:pPr>
                                <w:pStyle w:val="TableText-Bullets"/>
                              </w:pPr>
                              <w:r w:rsidRPr="00CB2E1E">
                                <w:t>Use of appropriations, actual financial information and actual performance against criteria</w:t>
                              </w:r>
                            </w:p>
                          </w:txbxContent>
                        </wps:txbx>
                        <wps:bodyPr rot="0" vert="horz" wrap="square" lIns="91440" tIns="45720" rIns="91440" bIns="45720" anchor="t" anchorCtr="0" upright="1">
                          <a:noAutofit/>
                        </wps:bodyPr>
                      </wps:wsp>
                      <wps:wsp>
                        <wps:cNvPr id="42" name="AutoShape 29" descr="Arrow from Annual Appropriation Acts to Budget Statements"/>
                        <wps:cNvCnPr>
                          <a:cxnSpLocks noChangeShapeType="1"/>
                          <a:stCxn id="38" idx="2"/>
                          <a:endCxn id="39" idx="0"/>
                        </wps:cNvCnPr>
                        <wps:spPr bwMode="auto">
                          <a:xfrm flipH="1">
                            <a:off x="1711434" y="588396"/>
                            <a:ext cx="255961" cy="1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0" descr="Arrow from Budget Statements to Annual report"/>
                        <wps:cNvCnPr>
                          <a:cxnSpLocks noChangeShapeType="1"/>
                          <a:stCxn id="39" idx="2"/>
                          <a:endCxn id="41" idx="0"/>
                        </wps:cNvCnPr>
                        <wps:spPr bwMode="auto">
                          <a:xfrm>
                            <a:off x="1711434" y="2243137"/>
                            <a:ext cx="1033931" cy="2794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1" descr="Arrow from Corporate plans to Annual report"/>
                        <wps:cNvCnPr>
                          <a:cxnSpLocks noChangeShapeType="1"/>
                          <a:stCxn id="40" idx="2"/>
                          <a:endCxn id="41" idx="0"/>
                        </wps:cNvCnPr>
                        <wps:spPr bwMode="auto">
                          <a:xfrm flipH="1">
                            <a:off x="2745365" y="1814512"/>
                            <a:ext cx="1562242" cy="7080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2" descr="Double headed arrow between Budget Statements and Corporate Plans"/>
                        <wps:cNvCnPr>
                          <a:cxnSpLocks noChangeShapeType="1"/>
                        </wps:cNvCnPr>
                        <wps:spPr bwMode="auto">
                          <a:xfrm>
                            <a:off x="2994977" y="1295100"/>
                            <a:ext cx="431800" cy="63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Text Box 25"/>
                        <wps:cNvSpPr txBox="1">
                          <a:spLocks noChangeArrowheads="1"/>
                        </wps:cNvSpPr>
                        <wps:spPr bwMode="auto">
                          <a:xfrm>
                            <a:off x="890558" y="71092"/>
                            <a:ext cx="2153674" cy="517304"/>
                          </a:xfrm>
                          <a:prstGeom prst="rect">
                            <a:avLst/>
                          </a:prstGeom>
                          <a:solidFill>
                            <a:srgbClr val="FFFFFF"/>
                          </a:solidFill>
                          <a:ln w="9525">
                            <a:solidFill>
                              <a:srgbClr val="000000"/>
                            </a:solidFill>
                            <a:miter lim="800000"/>
                            <a:headEnd/>
                            <a:tailEnd/>
                          </a:ln>
                        </wps:spPr>
                        <wps:txbx>
                          <w:txbxContent>
                            <w:p w14:paraId="7B8D6A78" w14:textId="77777777" w:rsidR="00E70395" w:rsidRPr="000A7DEC" w:rsidRDefault="00E70395" w:rsidP="000A7DEC">
                              <w:pPr>
                                <w:pStyle w:val="TableText"/>
                                <w:jc w:val="center"/>
                                <w:rPr>
                                  <w:b/>
                                  <w:u w:val="single"/>
                                </w:rPr>
                              </w:pPr>
                              <w:r w:rsidRPr="000A7DEC">
                                <w:rPr>
                                  <w:b/>
                                  <w:u w:val="single"/>
                                </w:rPr>
                                <w:t>Annual Appropriation Acts</w:t>
                              </w:r>
                            </w:p>
                          </w:txbxContent>
                        </wps:txbx>
                        <wps:bodyPr rot="0" vert="horz" wrap="square" lIns="91440" tIns="45720" rIns="91440" bIns="45720" anchor="ctr" anchorCtr="0" upright="1">
                          <a:noAutofit/>
                        </wps:bodyPr>
                      </wps:wsp>
                    </wpc:wpc>
                  </a:graphicData>
                </a:graphic>
              </wp:inline>
            </w:drawing>
          </mc:Choice>
          <mc:Fallback>
            <w:pict>
              <v:group w14:anchorId="454B2607" id="Canvas 46" o:spid="_x0000_s1026" editas="canvas" style="width:426.4pt;height:295.85pt;mso-position-horizontal-relative:char;mso-position-vertical-relative:line" coordsize="54146,3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46;height:37572;visibility:visible;mso-wrap-style:square" filled="t" fillcolor="#d8d8d8 [2732]" stroked="t" strokecolor="black [3213]">
                  <v:fill o:detectmouseclick="t"/>
                  <v:path o:connecttype="none"/>
                </v:shape>
                <v:shapetype id="_x0000_t202" coordsize="21600,21600" o:spt="202" path="m,l,21600r21600,l21600,xe">
                  <v:stroke joinstyle="miter"/>
                  <v:path gradientshapeok="t" o:connecttype="rect"/>
                </v:shapetype>
                <v:shape id="Text Box 26" o:spid="_x0000_s1028" type="#_x0000_t202" style="position:absolute;left:4440;top:7563;width:25347;height:1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7C5D6646" w14:textId="77777777" w:rsidR="00E70395" w:rsidRPr="000A7DEC" w:rsidRDefault="00E70395" w:rsidP="000A7DEC">
                        <w:pPr>
                          <w:pStyle w:val="TableText"/>
                          <w:rPr>
                            <w:b/>
                            <w:u w:val="single"/>
                          </w:rPr>
                        </w:pPr>
                        <w:r w:rsidRPr="000A7DEC">
                          <w:rPr>
                            <w:b/>
                            <w:u w:val="single"/>
                          </w:rPr>
                          <w:t>Budget statements</w:t>
                        </w:r>
                      </w:p>
                      <w:p w14:paraId="26297B26" w14:textId="517382AE" w:rsidR="00E70395" w:rsidRPr="00CB2E1E" w:rsidRDefault="00E70395" w:rsidP="000A7DEC">
                        <w:pPr>
                          <w:pStyle w:val="TableText"/>
                        </w:pPr>
                        <w:r w:rsidRPr="00CB2E1E">
                          <w:t>[PB Statements PAES, PSAES)]</w:t>
                        </w:r>
                      </w:p>
                      <w:p w14:paraId="2066340D" w14:textId="77777777" w:rsidR="00E70395" w:rsidRPr="00CB2E1E" w:rsidRDefault="00E70395" w:rsidP="000A7DEC">
                        <w:pPr>
                          <w:pStyle w:val="TableText-Bullets"/>
                        </w:pPr>
                        <w:r w:rsidRPr="00CB2E1E">
                          <w:t>Appropriations available/received, budgeted financial information and performance criteria.</w:t>
                        </w:r>
                      </w:p>
                    </w:txbxContent>
                  </v:textbox>
                </v:shape>
                <v:shape id="Text Box 27" o:spid="_x0000_s1029" type="#_x0000_t202" style="position:absolute;left:34441;top:9309;width:17269;height:8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14B030C" w14:textId="77777777" w:rsidR="00E70395" w:rsidRPr="000A7DEC" w:rsidRDefault="00E70395" w:rsidP="000A7DEC">
                        <w:pPr>
                          <w:pStyle w:val="TableText"/>
                          <w:rPr>
                            <w:b/>
                            <w:u w:val="single"/>
                          </w:rPr>
                        </w:pPr>
                        <w:r w:rsidRPr="000A7DEC">
                          <w:rPr>
                            <w:b/>
                            <w:u w:val="single"/>
                          </w:rPr>
                          <w:t>Corporate plan</w:t>
                        </w:r>
                      </w:p>
                      <w:p w14:paraId="45C0B6FB" w14:textId="77777777" w:rsidR="00E70395" w:rsidRPr="00CE4E65" w:rsidRDefault="00E70395" w:rsidP="000A7DEC">
                        <w:pPr>
                          <w:pStyle w:val="TableText-Bullets"/>
                        </w:pPr>
                        <w:r w:rsidRPr="00875911">
                          <w:t>Purposes</w:t>
                        </w:r>
                      </w:p>
                      <w:p w14:paraId="0D3889F0" w14:textId="77777777" w:rsidR="00E70395" w:rsidRPr="00CB2E1E" w:rsidRDefault="00E70395" w:rsidP="000A7DEC">
                        <w:pPr>
                          <w:pStyle w:val="TableText-Bullets"/>
                        </w:pPr>
                        <w:r w:rsidRPr="00CB2E1E">
                          <w:t>Performance criteria</w:t>
                        </w:r>
                      </w:p>
                    </w:txbxContent>
                  </v:textbox>
                </v:shape>
                <v:shape id="Text Box 28" o:spid="_x0000_s1030" type="#_x0000_t202" style="position:absolute;left:12544;top:25225;width:29820;height:1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0A0BC4C5" w14:textId="77777777" w:rsidR="00E70395" w:rsidRPr="000A7DEC" w:rsidRDefault="00E70395" w:rsidP="000A7DEC">
                        <w:pPr>
                          <w:pStyle w:val="TableText"/>
                          <w:rPr>
                            <w:b/>
                            <w:u w:val="single"/>
                          </w:rPr>
                        </w:pPr>
                        <w:r w:rsidRPr="000A7DEC">
                          <w:rPr>
                            <w:b/>
                            <w:u w:val="single"/>
                          </w:rPr>
                          <w:t>Annual report</w:t>
                        </w:r>
                      </w:p>
                      <w:p w14:paraId="008876B6" w14:textId="77777777" w:rsidR="00E70395" w:rsidRPr="00CB2E1E" w:rsidRDefault="00E70395" w:rsidP="000A7DEC">
                        <w:pPr>
                          <w:pStyle w:val="TableText"/>
                        </w:pPr>
                        <w:r w:rsidRPr="00CB2E1E">
                          <w:t>[</w:t>
                        </w:r>
                        <w:r>
                          <w:t>I</w:t>
                        </w:r>
                        <w:r w:rsidRPr="00CB2E1E">
                          <w:t>ncludes annual performance statements]</w:t>
                        </w:r>
                      </w:p>
                      <w:p w14:paraId="0E3EDFFD" w14:textId="77777777" w:rsidR="00E70395" w:rsidRPr="00CB2E1E" w:rsidRDefault="00E70395" w:rsidP="000A7DEC">
                        <w:pPr>
                          <w:pStyle w:val="TableText-Bullets"/>
                        </w:pPr>
                        <w:r w:rsidRPr="00CB2E1E">
                          <w:t>Use of appropriations, actual financial information and actual performance against criteria</w:t>
                        </w:r>
                      </w:p>
                    </w:txbxContent>
                  </v:textbox>
                </v:shape>
                <v:shapetype id="_x0000_t32" coordsize="21600,21600" o:spt="32" o:oned="t" path="m,l21600,21600e" filled="f">
                  <v:path arrowok="t" fillok="f" o:connecttype="none"/>
                  <o:lock v:ext="edit" shapetype="t"/>
                </v:shapetype>
                <v:shape id="AutoShape 29" o:spid="_x0000_s1031" type="#_x0000_t32" alt="Arrow from Annual Appropriation Acts to Budget Statements" style="position:absolute;left:17114;top:5883;width:2559;height:1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30" o:spid="_x0000_s1032" type="#_x0000_t32" alt="Arrow from Budget Statements to Annual report" style="position:absolute;left:17114;top:22431;width:10339;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31" o:spid="_x0000_s1033" type="#_x0000_t32" alt="Arrow from Corporate plans to Annual report" style="position:absolute;left:27453;top:18145;width:15623;height:70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32" o:spid="_x0000_s1034" type="#_x0000_t32" alt="Double headed arrow between Budget Statements and Corporate Plans" style="position:absolute;left:29949;top:12951;width:431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">
                  <v:stroke startarrow="block" endarrow="block"/>
                </v:shape>
                <v:shape id="Text Box 25" o:spid="_x0000_s1035" type="#_x0000_t202" style="position:absolute;left:8905;top:710;width:21537;height:5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14:paraId="7B8D6A78" w14:textId="77777777" w:rsidR="00E70395" w:rsidRPr="000A7DEC" w:rsidRDefault="00E70395" w:rsidP="000A7DEC">
                        <w:pPr>
                          <w:pStyle w:val="TableText"/>
                          <w:jc w:val="center"/>
                          <w:rPr>
                            <w:b/>
                            <w:u w:val="single"/>
                          </w:rPr>
                        </w:pPr>
                        <w:r w:rsidRPr="000A7DEC">
                          <w:rPr>
                            <w:b/>
                            <w:u w:val="single"/>
                          </w:rPr>
                          <w:t>Annual Appropriation Acts</w:t>
                        </w:r>
                      </w:p>
                    </w:txbxContent>
                  </v:textbox>
                </v:shape>
                <w10:anchorlock/>
              </v:group>
            </w:pict>
          </mc:Fallback>
        </mc:AlternateContent>
      </w:r>
    </w:p>
    <w:p w14:paraId="7E432110" w14:textId="77777777" w:rsidR="00FA0945" w:rsidRPr="000C5235" w:rsidRDefault="00FA0945" w:rsidP="000A7DEC">
      <w:r w:rsidRPr="000C5235">
        <w:t xml:space="preserve">Under the accounting standard </w:t>
      </w:r>
      <w:r w:rsidRPr="000C5235">
        <w:rPr>
          <w:i/>
        </w:rPr>
        <w:t xml:space="preserve">AASB 1055 Budgetary Reporting, </w:t>
      </w:r>
      <w:r w:rsidRPr="000C5235">
        <w:t xml:space="preserve">entities are also required to explain variances between the financial statements presented in their PB Statements (and where appropriate, their revised Budget figures in their </w:t>
      </w:r>
      <w:r w:rsidR="00C20907" w:rsidRPr="000C5235">
        <w:t>Portfolio Additional Estimates Statements (</w:t>
      </w:r>
      <w:r w:rsidRPr="000C5235">
        <w:t>PAES</w:t>
      </w:r>
      <w:r w:rsidR="00C20907" w:rsidRPr="000C5235">
        <w:t>)</w:t>
      </w:r>
      <w:r w:rsidRPr="000C5235">
        <w:t xml:space="preserve"> or the following year’s </w:t>
      </w:r>
      <w:r w:rsidR="00676137" w:rsidRPr="000C5235">
        <w:t>PB </w:t>
      </w:r>
      <w:r w:rsidRPr="000C5235">
        <w:t xml:space="preserve">Statements) and the financial statements presented in their annual reports. These explanations will be audited by the Australian National Audit Office (ANAO) as part of their audit of the annual financial statements. Consequently, entities are reminded of the importance of maintaining internal documentation in order to substantiate the basis of the estimates included in the PB Statements. </w:t>
      </w:r>
    </w:p>
    <w:p w14:paraId="70586BDB" w14:textId="77777777" w:rsidR="00FA0945" w:rsidRPr="000C5235" w:rsidRDefault="00FA0945" w:rsidP="000A7DEC">
      <w:pPr>
        <w:pStyle w:val="Heading4nonumbers"/>
      </w:pPr>
      <w:bookmarkStart w:id="195" w:name="_Toc411852664"/>
      <w:r w:rsidRPr="000C5235">
        <w:t>Sourcing information</w:t>
      </w:r>
      <w:bookmarkEnd w:id="195"/>
    </w:p>
    <w:p w14:paraId="0B2E92F1" w14:textId="77777777" w:rsidR="00FA0945" w:rsidRPr="000C5235" w:rsidRDefault="00FA0945" w:rsidP="000A7DEC">
      <w:r w:rsidRPr="000C5235">
        <w:t xml:space="preserve">The financial information reported in the PB Statements </w:t>
      </w:r>
      <w:r w:rsidRPr="000C5235">
        <w:rPr>
          <w:u w:val="single"/>
        </w:rPr>
        <w:t>must match</w:t>
      </w:r>
      <w:r w:rsidRPr="000C5235">
        <w:t xml:space="preserve"> the figures in the CBMS.</w:t>
      </w:r>
    </w:p>
    <w:p w14:paraId="14C7EE10" w14:textId="77777777" w:rsidR="00FA0945" w:rsidRPr="000C5235" w:rsidRDefault="00FA0945" w:rsidP="000A7DEC">
      <w:r w:rsidRPr="000C5235">
        <w:t xml:space="preserve">CBMS is the central source of </w:t>
      </w:r>
      <w:r w:rsidR="00577C1F" w:rsidRPr="000C5235">
        <w:t xml:space="preserve">published </w:t>
      </w:r>
      <w:r w:rsidRPr="000C5235">
        <w:t>budget information and is the basis of whole</w:t>
      </w:r>
      <w:r w:rsidR="00851548" w:rsidRPr="000C5235">
        <w:noBreakHyphen/>
      </w:r>
      <w:r w:rsidRPr="000C5235">
        <w:t>of</w:t>
      </w:r>
      <w:r w:rsidR="00851548" w:rsidRPr="000C5235">
        <w:noBreakHyphen/>
      </w:r>
      <w:r w:rsidRPr="000C5235">
        <w:t xml:space="preserve">government figures, the Appropriation Bills, financial data and BP Nos. 1-4. As such, all appropriation figures must be sourced from CBMS to ensure consistency between the PB Statements, the Appropriation Bills and the </w:t>
      </w:r>
      <w:r w:rsidR="00A671CE" w:rsidRPr="000C5235">
        <w:t>BP</w:t>
      </w:r>
      <w:r w:rsidRPr="000C5235">
        <w:t>.</w:t>
      </w:r>
    </w:p>
    <w:p w14:paraId="55048C5D" w14:textId="77777777" w:rsidR="00FA0945" w:rsidRPr="000C5235" w:rsidRDefault="00FA0945" w:rsidP="000A7DEC">
      <w:r w:rsidRPr="000C5235">
        <w:t xml:space="preserve">An entity’s financial management information system may be used to supplement information in CBMS, particularly </w:t>
      </w:r>
      <w:r w:rsidR="005B357F" w:rsidRPr="000C5235">
        <w:t>where</w:t>
      </w:r>
      <w:r w:rsidRPr="000C5235">
        <w:t xml:space="preserve"> information </w:t>
      </w:r>
      <w:r w:rsidR="005B357F" w:rsidRPr="000C5235">
        <w:t xml:space="preserve">that is </w:t>
      </w:r>
      <w:r w:rsidRPr="000C5235">
        <w:t xml:space="preserve">to be published </w:t>
      </w:r>
      <w:r w:rsidR="00737100" w:rsidRPr="000C5235">
        <w:t xml:space="preserve">in a PB Statement </w:t>
      </w:r>
      <w:r w:rsidRPr="000C5235">
        <w:t xml:space="preserve">is </w:t>
      </w:r>
      <w:r w:rsidR="00737100" w:rsidRPr="000C5235">
        <w:t xml:space="preserve">reported </w:t>
      </w:r>
      <w:r w:rsidRPr="000C5235">
        <w:t xml:space="preserve">at a </w:t>
      </w:r>
      <w:r w:rsidR="00737100" w:rsidRPr="000C5235">
        <w:t xml:space="preserve">finer </w:t>
      </w:r>
      <w:r w:rsidRPr="000C5235">
        <w:t xml:space="preserve">level </w:t>
      </w:r>
      <w:r w:rsidR="00E3581B" w:rsidRPr="000C5235">
        <w:t>of granularity</w:t>
      </w:r>
      <w:r w:rsidRPr="000C5235">
        <w:t>.</w:t>
      </w:r>
    </w:p>
    <w:p w14:paraId="2A89C09A" w14:textId="77777777" w:rsidR="00FA0945" w:rsidRPr="000C5235" w:rsidRDefault="00FA0945" w:rsidP="000A7DEC">
      <w:pPr>
        <w:pStyle w:val="Heading2Numbered"/>
      </w:pPr>
      <w:bookmarkStart w:id="196" w:name="_Toc411852665"/>
      <w:bookmarkStart w:id="197" w:name="_Toc53564718"/>
      <w:r w:rsidRPr="000C5235">
        <w:t>Clearance processes</w:t>
      </w:r>
      <w:bookmarkEnd w:id="196"/>
      <w:bookmarkEnd w:id="197"/>
    </w:p>
    <w:p w14:paraId="01AE8E3E" w14:textId="77777777" w:rsidR="00FA0945" w:rsidRPr="000C5235" w:rsidRDefault="00C73B4C" w:rsidP="000A7DEC">
      <w:r w:rsidRPr="000C5235">
        <w:t>While there is no requirement for p</w:t>
      </w:r>
      <w:r w:rsidR="00FA0945" w:rsidRPr="000C5235">
        <w:t xml:space="preserve">ortfolios </w:t>
      </w:r>
      <w:r w:rsidRPr="000C5235">
        <w:t>to</w:t>
      </w:r>
      <w:r w:rsidR="00FA0945" w:rsidRPr="000C5235">
        <w:t xml:space="preserve"> provide their whole PB Statements document to Finance </w:t>
      </w:r>
      <w:r w:rsidRPr="000C5235">
        <w:t>for checking, c</w:t>
      </w:r>
      <w:r w:rsidR="00FA0945" w:rsidRPr="000C5235">
        <w:t xml:space="preserve">ertain material however needs to </w:t>
      </w:r>
      <w:r w:rsidR="00FC1DDF" w:rsidRPr="000C5235">
        <w:t xml:space="preserve">exactly </w:t>
      </w:r>
      <w:r w:rsidR="00FA0945" w:rsidRPr="000C5235">
        <w:t xml:space="preserve">match information contained elsewhere in the </w:t>
      </w:r>
      <w:r w:rsidR="00A671CE" w:rsidRPr="000C5235">
        <w:t>BP</w:t>
      </w:r>
      <w:r w:rsidR="00FA0945" w:rsidRPr="000C5235">
        <w:t xml:space="preserve"> for which the Treasurer and Minister for Finance are responsible. This includes information on the appropriations and the measures tables. As the PB Statements describe measures that are published in BP No.</w:t>
      </w:r>
      <w:r w:rsidR="00EE4AE2" w:rsidRPr="000C5235">
        <w:t xml:space="preserve"> </w:t>
      </w:r>
      <w:r w:rsidR="00FA0945" w:rsidRPr="000C5235">
        <w:t xml:space="preserve">2, the two documents should be consistent and the PB Statements must not be printed until </w:t>
      </w:r>
      <w:r w:rsidR="00A671CE" w:rsidRPr="000C5235">
        <w:t>BP </w:t>
      </w:r>
      <w:r w:rsidR="00FA0945" w:rsidRPr="000C5235">
        <w:t>No.</w:t>
      </w:r>
      <w:r w:rsidR="00EE4AE2" w:rsidRPr="000C5235">
        <w:t xml:space="preserve"> </w:t>
      </w:r>
      <w:r w:rsidR="00FA0945" w:rsidRPr="000C5235">
        <w:t>2 is cleared.</w:t>
      </w:r>
    </w:p>
    <w:p w14:paraId="2093A024" w14:textId="77777777" w:rsidR="00FA0945" w:rsidRPr="000C5235" w:rsidRDefault="00FA0945" w:rsidP="000A7DEC">
      <w:r w:rsidRPr="000C5235">
        <w:rPr>
          <w:i/>
        </w:rPr>
        <w:t>Table 1.2: Budget measures</w:t>
      </w:r>
      <w:r w:rsidRPr="000C5235">
        <w:t xml:space="preserve"> should be provided to your Finance Agency Advice Unit (AAU) for checking against BP No.</w:t>
      </w:r>
      <w:r w:rsidR="00EE4AE2" w:rsidRPr="000C5235">
        <w:t xml:space="preserve"> </w:t>
      </w:r>
      <w:r w:rsidRPr="000C5235">
        <w:t>2 measures titles and Appropriation Bills reports prior to the PB Statements being printed.</w:t>
      </w:r>
    </w:p>
    <w:p w14:paraId="5A7340B9" w14:textId="77777777" w:rsidR="00FA0945" w:rsidRPr="000C5235" w:rsidRDefault="00FA0945" w:rsidP="000A7DEC">
      <w:r w:rsidRPr="000C5235">
        <w:t>Portfolio entities are responsible for ensuring the accuracy and completeness of the information contained in their PB Statements, including the presentation of information that is consistent with CBMS. The following areas should be checked by entities prior to publication:</w:t>
      </w:r>
    </w:p>
    <w:p w14:paraId="1286DA2B" w14:textId="77777777" w:rsidR="00FA0945" w:rsidRPr="000C5235" w:rsidRDefault="00FA0945">
      <w:pPr>
        <w:pStyle w:val="Bullet1"/>
      </w:pPr>
      <w:r w:rsidRPr="000C5235">
        <w:t>the PB Statements are completed in accordance with the guidance and templates provided</w:t>
      </w:r>
    </w:p>
    <w:p w14:paraId="5A6C58BE" w14:textId="77777777" w:rsidR="00FA0945" w:rsidRPr="000C5235" w:rsidRDefault="00FA0945">
      <w:pPr>
        <w:pStyle w:val="Bullet1"/>
      </w:pPr>
      <w:r w:rsidRPr="000C5235">
        <w:t>the measures table matches the final measures list provided by your Finance AAU</w:t>
      </w:r>
    </w:p>
    <w:p w14:paraId="099568EA" w14:textId="77777777" w:rsidR="00FA0945" w:rsidRPr="000C5235" w:rsidRDefault="00FA0945">
      <w:pPr>
        <w:pStyle w:val="Bullet1"/>
      </w:pPr>
      <w:r w:rsidRPr="000C5235">
        <w:t>the Average Staffing Level (ASL) numbers match the numbers to be published in BP No.4</w:t>
      </w:r>
    </w:p>
    <w:p w14:paraId="43E67E19" w14:textId="77777777" w:rsidR="00FA0945" w:rsidRPr="000C5235" w:rsidRDefault="00FA0945">
      <w:pPr>
        <w:pStyle w:val="Bullet1"/>
      </w:pPr>
      <w:r w:rsidRPr="000C5235">
        <w:t>all Bills information matches the Appropriation Bill Schedule in the Appropriation Bill report from CBMS</w:t>
      </w:r>
    </w:p>
    <w:p w14:paraId="7C805B8C" w14:textId="77777777" w:rsidR="00C72A5A" w:rsidRPr="000C5235" w:rsidRDefault="00FA0945" w:rsidP="000A7DEC">
      <w:pPr>
        <w:pStyle w:val="Bullet1"/>
      </w:pPr>
      <w:r w:rsidRPr="000C5235">
        <w:t>the relevant Chief Finance Officer (CFO) sign-offs on Bills and estimates have been provided to your Finance AAU.</w:t>
      </w:r>
      <w:r w:rsidR="00C72A5A" w:rsidRPr="000C5235">
        <w:br w:type="page"/>
      </w:r>
    </w:p>
    <w:p w14:paraId="6344FB39" w14:textId="77777777" w:rsidR="00FA0945" w:rsidRPr="000C5235" w:rsidRDefault="00FA0945" w:rsidP="000A7DEC">
      <w:pPr>
        <w:pStyle w:val="Heading1Numbered"/>
      </w:pPr>
      <w:bookmarkStart w:id="198" w:name="_Toc29980653"/>
      <w:bookmarkStart w:id="199" w:name="_Toc30405530"/>
      <w:bookmarkStart w:id="200" w:name="_Toc30581271"/>
      <w:bookmarkStart w:id="201" w:name="_Toc32829933"/>
      <w:bookmarkStart w:id="202" w:name="_Toc32917435"/>
      <w:bookmarkStart w:id="203" w:name="_Toc32918241"/>
      <w:bookmarkStart w:id="204" w:name="_Toc32999624"/>
      <w:bookmarkStart w:id="205" w:name="_Toc33099343"/>
      <w:bookmarkStart w:id="206" w:name="_Toc33195973"/>
      <w:bookmarkStart w:id="207" w:name="_Toc33196275"/>
      <w:bookmarkStart w:id="208" w:name="_Toc29980654"/>
      <w:bookmarkStart w:id="209" w:name="_Toc30405531"/>
      <w:bookmarkStart w:id="210" w:name="_Toc30581272"/>
      <w:bookmarkStart w:id="211" w:name="_Toc32829934"/>
      <w:bookmarkStart w:id="212" w:name="_Toc32917436"/>
      <w:bookmarkStart w:id="213" w:name="_Toc32918242"/>
      <w:bookmarkStart w:id="214" w:name="_Toc32999625"/>
      <w:bookmarkStart w:id="215" w:name="_Toc33099344"/>
      <w:bookmarkStart w:id="216" w:name="_Toc33195974"/>
      <w:bookmarkStart w:id="217" w:name="_Toc33196276"/>
      <w:bookmarkStart w:id="218" w:name="_Toc29980655"/>
      <w:bookmarkStart w:id="219" w:name="_Toc30405532"/>
      <w:bookmarkStart w:id="220" w:name="_Toc30581273"/>
      <w:bookmarkStart w:id="221" w:name="_Toc32829935"/>
      <w:bookmarkStart w:id="222" w:name="_Toc32917437"/>
      <w:bookmarkStart w:id="223" w:name="_Toc32918243"/>
      <w:bookmarkStart w:id="224" w:name="_Toc32999626"/>
      <w:bookmarkStart w:id="225" w:name="_Toc33099345"/>
      <w:bookmarkStart w:id="226" w:name="_Toc33195975"/>
      <w:bookmarkStart w:id="227" w:name="_Toc33196277"/>
      <w:bookmarkStart w:id="228" w:name="_Toc29394530"/>
      <w:bookmarkStart w:id="229" w:name="_Toc29394828"/>
      <w:bookmarkStart w:id="230" w:name="_Toc29394959"/>
      <w:bookmarkStart w:id="231" w:name="_Toc29395355"/>
      <w:bookmarkStart w:id="232" w:name="_Toc29395441"/>
      <w:bookmarkStart w:id="233" w:name="_Toc29396872"/>
      <w:bookmarkStart w:id="234" w:name="_Toc29478109"/>
      <w:bookmarkStart w:id="235" w:name="_Toc29481846"/>
      <w:bookmarkStart w:id="236" w:name="_Toc29544149"/>
      <w:bookmarkStart w:id="237" w:name="_Toc29544736"/>
      <w:bookmarkStart w:id="238" w:name="_Toc29544811"/>
      <w:bookmarkStart w:id="239" w:name="_Toc29546675"/>
      <w:bookmarkStart w:id="240" w:name="_Toc29980656"/>
      <w:bookmarkStart w:id="241" w:name="_Toc30405533"/>
      <w:bookmarkStart w:id="242" w:name="_Toc30581274"/>
      <w:bookmarkStart w:id="243" w:name="_Toc32829936"/>
      <w:bookmarkStart w:id="244" w:name="_Toc32917438"/>
      <w:bookmarkStart w:id="245" w:name="_Toc32918244"/>
      <w:bookmarkStart w:id="246" w:name="_Toc32999627"/>
      <w:bookmarkStart w:id="247" w:name="_Toc33099346"/>
      <w:bookmarkStart w:id="248" w:name="_Toc33195976"/>
      <w:bookmarkStart w:id="249" w:name="_Toc33196278"/>
      <w:bookmarkStart w:id="250" w:name="_Toc534803483"/>
      <w:bookmarkStart w:id="251" w:name="_Toc534814174"/>
      <w:bookmarkStart w:id="252" w:name="_Toc536108544"/>
      <w:bookmarkStart w:id="253" w:name="_Toc411852666"/>
      <w:bookmarkStart w:id="254" w:name="_Toc5356471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0C5235">
        <w:t>Publication requirements</w:t>
      </w:r>
      <w:bookmarkEnd w:id="253"/>
      <w:bookmarkEnd w:id="254"/>
    </w:p>
    <w:p w14:paraId="6866B32A" w14:textId="77777777" w:rsidR="00FA0945" w:rsidRPr="000C5235" w:rsidRDefault="00FA0945" w:rsidP="000A7DEC">
      <w:pPr>
        <w:pStyle w:val="Heading2Numbered"/>
      </w:pPr>
      <w:bookmarkStart w:id="255" w:name="_Toc406683943"/>
      <w:bookmarkStart w:id="256" w:name="_Toc411852667"/>
      <w:bookmarkStart w:id="257" w:name="_Toc53564720"/>
      <w:r w:rsidRPr="000C5235">
        <w:t>Security requirements</w:t>
      </w:r>
      <w:bookmarkEnd w:id="255"/>
      <w:bookmarkEnd w:id="256"/>
      <w:bookmarkEnd w:id="257"/>
    </w:p>
    <w:p w14:paraId="46F43CF5" w14:textId="77777777" w:rsidR="00FA0945" w:rsidRPr="000C5235" w:rsidRDefault="00FA0945" w:rsidP="000A7DEC">
      <w:r w:rsidRPr="000C5235">
        <w:t>The PB Statements ar</w:t>
      </w:r>
      <w:r w:rsidR="00EC6C73" w:rsidRPr="000C5235">
        <w:t>e c</w:t>
      </w:r>
      <w:r w:rsidRPr="000C5235">
        <w:t xml:space="preserve">lassified as </w:t>
      </w:r>
      <w:r w:rsidRPr="000C5235">
        <w:rPr>
          <w:b/>
          <w:u w:val="single"/>
        </w:rPr>
        <w:t>Protected</w:t>
      </w:r>
      <w:r w:rsidRPr="000C5235">
        <w:rPr>
          <w:b/>
        </w:rPr>
        <w:t xml:space="preserve"> </w:t>
      </w:r>
      <w:r w:rsidRPr="000C5235">
        <w:t xml:space="preserve">and </w:t>
      </w:r>
      <w:r w:rsidR="00AA7AEF" w:rsidRPr="000C5235">
        <w:rPr>
          <w:u w:val="single"/>
        </w:rPr>
        <w:t xml:space="preserve">are </w:t>
      </w:r>
      <w:r w:rsidRPr="000C5235">
        <w:rPr>
          <w:u w:val="single"/>
        </w:rPr>
        <w:t>under embargo</w:t>
      </w:r>
      <w:r w:rsidRPr="000C5235">
        <w:t xml:space="preserve"> </w:t>
      </w:r>
      <w:r w:rsidR="00AA7AEF" w:rsidRPr="000C5235">
        <w:t xml:space="preserve">right </w:t>
      </w:r>
      <w:r w:rsidRPr="000C5235">
        <w:t>up until they are tabled in Parliament and publicly released. The Treasurer has endorsed this classification and it is the responsibility of each portfolio entity to ensure appropriate security arrangements are made. If staff are unsure of the correct security processes during the budget preparation period, they should contact their entity’s security adviser.</w:t>
      </w:r>
    </w:p>
    <w:p w14:paraId="22D34FA8" w14:textId="77777777" w:rsidR="00FA0945" w:rsidRPr="000C5235" w:rsidRDefault="00FA0945" w:rsidP="000A7DEC">
      <w:r w:rsidRPr="000C5235">
        <w:t>Issues to keep in mind include:</w:t>
      </w:r>
    </w:p>
    <w:p w14:paraId="1FA3B2E7" w14:textId="77777777" w:rsidR="00FA0945" w:rsidRPr="000C5235" w:rsidRDefault="00FA0945">
      <w:pPr>
        <w:pStyle w:val="Bullet1"/>
      </w:pPr>
      <w:r w:rsidRPr="000C5235">
        <w:t>PB Statements should be prepared in an area of the entity appropriate for managing Protected-level material</w:t>
      </w:r>
    </w:p>
    <w:p w14:paraId="66131DB5" w14:textId="77777777" w:rsidR="00FA0945" w:rsidRPr="000C5235" w:rsidRDefault="00FA0945">
      <w:pPr>
        <w:pStyle w:val="Bullet1"/>
      </w:pPr>
      <w:r w:rsidRPr="000C5235">
        <w:t>PB Statements documentation should</w:t>
      </w:r>
      <w:r w:rsidR="00C73B4C" w:rsidRPr="000C5235">
        <w:t xml:space="preserve"> not</w:t>
      </w:r>
      <w:r w:rsidRPr="000C5235">
        <w:t>,</w:t>
      </w:r>
      <w:r w:rsidR="00C73B4C" w:rsidRPr="000C5235">
        <w:t xml:space="preserve"> under any</w:t>
      </w:r>
      <w:r w:rsidRPr="000C5235">
        <w:t xml:space="preserve"> circumstances, be distributed via unsecure electronic mail</w:t>
      </w:r>
    </w:p>
    <w:p w14:paraId="0667A823" w14:textId="77777777" w:rsidR="00FA0945" w:rsidRPr="000C5235" w:rsidRDefault="00FA0945">
      <w:pPr>
        <w:pStyle w:val="Bullet1"/>
      </w:pPr>
      <w:r w:rsidRPr="000C5235">
        <w:t>The ‘need to know’ principle should be applied in the distribution of all material</w:t>
      </w:r>
    </w:p>
    <w:p w14:paraId="51A9F219" w14:textId="0D087ADB" w:rsidR="00FA0945" w:rsidRPr="000C5235" w:rsidRDefault="00FA0945">
      <w:pPr>
        <w:pStyle w:val="Bullet1"/>
      </w:pPr>
      <w:r w:rsidRPr="000C5235">
        <w:t>PB Statements should not be prepared by external companies or contractors who cannot demonstrate that their premises meet the security standards for protected information as provided by the Protective Security Policy Framework (</w:t>
      </w:r>
      <w:hyperlink r:id="rId21" w:history="1">
        <w:r w:rsidRPr="000C5235">
          <w:rPr>
            <w:rStyle w:val="Hyperlink"/>
          </w:rPr>
          <w:t>http://www.protectivesecurity.gov.au</w:t>
        </w:r>
      </w:hyperlink>
      <w:r w:rsidRPr="000C5235">
        <w:t>).</w:t>
      </w:r>
    </w:p>
    <w:p w14:paraId="7FB98970" w14:textId="77777777" w:rsidR="004B3AF6" w:rsidRPr="000C5235" w:rsidRDefault="00FA0945" w:rsidP="000A7DEC">
      <w:r w:rsidRPr="000C5235">
        <w:t>If you have any questions regarding security issues, please speak to the security adviser in your entity.</w:t>
      </w:r>
    </w:p>
    <w:p w14:paraId="0BDA7E29" w14:textId="77777777" w:rsidR="00FA0945" w:rsidRPr="000C5235" w:rsidRDefault="00FA0945" w:rsidP="000A7DEC">
      <w:pPr>
        <w:pStyle w:val="Heading2Numbered"/>
      </w:pPr>
      <w:bookmarkStart w:id="258" w:name="_Toc32917441"/>
      <w:bookmarkStart w:id="259" w:name="_Toc32918247"/>
      <w:bookmarkStart w:id="260" w:name="_Toc32999630"/>
      <w:bookmarkStart w:id="261" w:name="_Toc33099349"/>
      <w:bookmarkStart w:id="262" w:name="_Toc33195979"/>
      <w:bookmarkStart w:id="263" w:name="_Toc33196281"/>
      <w:bookmarkStart w:id="264" w:name="_Toc406683946"/>
      <w:bookmarkStart w:id="265" w:name="_Toc411852668"/>
      <w:bookmarkStart w:id="266" w:name="_Toc53564721"/>
      <w:bookmarkEnd w:id="258"/>
      <w:bookmarkEnd w:id="259"/>
      <w:bookmarkEnd w:id="260"/>
      <w:bookmarkEnd w:id="261"/>
      <w:bookmarkEnd w:id="262"/>
      <w:bookmarkEnd w:id="263"/>
      <w:r w:rsidRPr="000C5235">
        <w:t>Which printer to use and printing specifications</w:t>
      </w:r>
      <w:bookmarkEnd w:id="264"/>
      <w:bookmarkEnd w:id="265"/>
      <w:bookmarkEnd w:id="266"/>
    </w:p>
    <w:p w14:paraId="582690BB" w14:textId="77777777" w:rsidR="00FA0945" w:rsidRPr="000C5235" w:rsidRDefault="00B57CBB" w:rsidP="000A7DEC">
      <w:pPr>
        <w:pStyle w:val="Heading3Numbered"/>
      </w:pPr>
      <w:bookmarkStart w:id="267" w:name="_Toc53564722"/>
      <w:r w:rsidRPr="000C5235">
        <w:t xml:space="preserve">Paper </w:t>
      </w:r>
      <w:r w:rsidR="00B51040" w:rsidRPr="000C5235">
        <w:t>s</w:t>
      </w:r>
      <w:r w:rsidR="00FA0945" w:rsidRPr="000C5235">
        <w:t>pecifications</w:t>
      </w:r>
      <w:bookmarkEnd w:id="267"/>
    </w:p>
    <w:p w14:paraId="5A8B4BB8" w14:textId="77777777" w:rsidR="00B751D1" w:rsidRPr="000C5235" w:rsidRDefault="00B751D1" w:rsidP="000A7DEC">
      <w:r w:rsidRPr="000C5235">
        <w:t xml:space="preserve">Hard copies of the PB Statements </w:t>
      </w:r>
      <w:r w:rsidRPr="000C5235">
        <w:rPr>
          <w:b/>
        </w:rPr>
        <w:t>must</w:t>
      </w:r>
      <w:r w:rsidRPr="000C5235">
        <w:t xml:space="preserve"> be produced on standard B5 size paper (17.6 cm x 25 cm) with </w:t>
      </w:r>
      <w:r w:rsidR="00895608" w:rsidRPr="000C5235">
        <w:t>the following font requirements:</w:t>
      </w:r>
    </w:p>
    <w:p w14:paraId="2CE4C05D" w14:textId="77777777" w:rsidR="00895608" w:rsidRPr="000C5235" w:rsidRDefault="00895608">
      <w:pPr>
        <w:pStyle w:val="Bullet1"/>
      </w:pPr>
      <w:r w:rsidRPr="000C5235">
        <w:t>For tables (including those in the Excel workbook), Arial and 8 point (minimum font size 7.5 point)</w:t>
      </w:r>
    </w:p>
    <w:p w14:paraId="5EB4868D" w14:textId="77777777" w:rsidR="00895608" w:rsidRPr="000C5235" w:rsidRDefault="00895608">
      <w:pPr>
        <w:pStyle w:val="Bullet1"/>
      </w:pPr>
      <w:r w:rsidRPr="000C5235">
        <w:t>For other text (in the Word template), Book Antiqua and 10 point.</w:t>
      </w:r>
    </w:p>
    <w:p w14:paraId="4E9AB619" w14:textId="77777777" w:rsidR="00FA0945" w:rsidRPr="000C5235" w:rsidRDefault="00FA0945" w:rsidP="000A7DEC">
      <w:r w:rsidRPr="000C5235">
        <w:t xml:space="preserve">Adherence to the fonts and styles provided in the templates (available from </w:t>
      </w:r>
      <w:r w:rsidR="00B751D1" w:rsidRPr="000C5235">
        <w:t>CBMS User Reference Material in</w:t>
      </w:r>
      <w:r w:rsidRPr="000C5235">
        <w:t xml:space="preserve"> CBMS) ensures that the statements are consistent with other Budget documents and related papers.</w:t>
      </w:r>
    </w:p>
    <w:p w14:paraId="2048C5FC" w14:textId="77777777" w:rsidR="00FA0945" w:rsidRPr="000C5235" w:rsidRDefault="00FA0945" w:rsidP="000A7DEC">
      <w:r w:rsidRPr="000C5235">
        <w:t xml:space="preserve">For the </w:t>
      </w:r>
      <w:r w:rsidRPr="000C5235">
        <w:rPr>
          <w:u w:val="single"/>
        </w:rPr>
        <w:t>covers</w:t>
      </w:r>
      <w:r w:rsidRPr="000C5235">
        <w:t>, entities must use ‘Tablex System Board 200gsm – Yellow” paper with the cover text in black.</w:t>
      </w:r>
    </w:p>
    <w:p w14:paraId="22E0136A" w14:textId="77777777" w:rsidR="00FA0945" w:rsidRPr="000C5235" w:rsidRDefault="00FA0945" w:rsidP="000A7DEC">
      <w:r w:rsidRPr="000C5235">
        <w:t>For consistency, all portfolios must have the portfolio name made clearly visible on the spine of the documents.</w:t>
      </w:r>
    </w:p>
    <w:p w14:paraId="09558C33" w14:textId="77777777" w:rsidR="00FA0945" w:rsidRPr="000C5235" w:rsidRDefault="00FA0945" w:rsidP="000A7DEC">
      <w:pPr>
        <w:pStyle w:val="Heading3Numbered"/>
      </w:pPr>
      <w:bookmarkStart w:id="268" w:name="_Toc53564723"/>
      <w:r w:rsidRPr="000C5235">
        <w:t>Printer</w:t>
      </w:r>
      <w:bookmarkEnd w:id="268"/>
    </w:p>
    <w:p w14:paraId="31F026F7" w14:textId="77777777" w:rsidR="00FA0945" w:rsidRPr="000C5235" w:rsidRDefault="00FA0945" w:rsidP="000A7DEC">
      <w:r w:rsidRPr="000C5235">
        <w:t>It is recommended that portfolio departments contact CanPrint to arrange printing of their PB</w:t>
      </w:r>
      <w:r w:rsidR="00E30C08" w:rsidRPr="000C5235">
        <w:t> </w:t>
      </w:r>
      <w:r w:rsidRPr="000C5235">
        <w:t xml:space="preserve">Statements. </w:t>
      </w:r>
    </w:p>
    <w:p w14:paraId="6513B289" w14:textId="77777777" w:rsidR="00FA0945" w:rsidRPr="000C5235" w:rsidRDefault="00FA0945" w:rsidP="000A7DEC">
      <w:r w:rsidRPr="000C5235">
        <w:t>If printing is carried out ‘in-house’ or using another printer, entities must liaise with Finance to ensure that cover stock, colour and text is consistent with other portfolios’ PB Statements.</w:t>
      </w:r>
    </w:p>
    <w:p w14:paraId="21A8C850" w14:textId="2B3647A8" w:rsidR="00AA7AEF" w:rsidRPr="000C5235" w:rsidRDefault="00FA0945" w:rsidP="00A700FE">
      <w:r w:rsidRPr="000C5235">
        <w:t xml:space="preserve">It is the responsibility of each portfolio department to arrange the printing and secure freighting of their PB Statements. </w:t>
      </w:r>
    </w:p>
    <w:p w14:paraId="63195C35" w14:textId="77777777" w:rsidR="00FA0945" w:rsidRPr="000C5235" w:rsidRDefault="00FA0945" w:rsidP="000A7DEC">
      <w:r w:rsidRPr="000C5235">
        <w:t>Portfolios should make sure they have sufficient hard copies of their PB Statements for their own internal needs, and make additional hard copies of their PB Statements available on request to other stakeholders, not including the distribution requirements listed below, such as:</w:t>
      </w:r>
    </w:p>
    <w:p w14:paraId="5EF35177" w14:textId="77777777" w:rsidR="00FA0945" w:rsidRPr="000C5235" w:rsidRDefault="00146531">
      <w:pPr>
        <w:pStyle w:val="Bullet1"/>
      </w:pPr>
      <w:r w:rsidRPr="000C5235">
        <w:t>o</w:t>
      </w:r>
      <w:r w:rsidR="00FA0945" w:rsidRPr="000C5235">
        <w:t>ther departments and relevant entities</w:t>
      </w:r>
    </w:p>
    <w:p w14:paraId="378937DE" w14:textId="77777777" w:rsidR="00FA0945" w:rsidRPr="000C5235" w:rsidRDefault="00146531">
      <w:pPr>
        <w:pStyle w:val="Bullet1"/>
      </w:pPr>
      <w:r w:rsidRPr="000C5235">
        <w:t>m</w:t>
      </w:r>
      <w:r w:rsidR="00FA0945" w:rsidRPr="000C5235">
        <w:t>ajor client organisations and</w:t>
      </w:r>
    </w:p>
    <w:p w14:paraId="2631203C" w14:textId="77777777" w:rsidR="00FA0945" w:rsidRPr="000C5235" w:rsidRDefault="00146531">
      <w:pPr>
        <w:pStyle w:val="Bullet1"/>
      </w:pPr>
      <w:r w:rsidRPr="000C5235">
        <w:t>t</w:t>
      </w:r>
      <w:r w:rsidR="00FA0945" w:rsidRPr="000C5235">
        <w:t>he libraries of tertiary institutions.</w:t>
      </w:r>
    </w:p>
    <w:p w14:paraId="45AE5671" w14:textId="77777777" w:rsidR="00FA0945" w:rsidRPr="000C5235" w:rsidRDefault="00FA0945" w:rsidP="000A7DEC">
      <w:pPr>
        <w:pStyle w:val="Heading2Numbered"/>
      </w:pPr>
      <w:bookmarkStart w:id="269" w:name="_Toc53564724"/>
      <w:r w:rsidRPr="000C5235">
        <w:t>Classification</w:t>
      </w:r>
      <w:bookmarkEnd w:id="269"/>
    </w:p>
    <w:p w14:paraId="4C37132D" w14:textId="77777777" w:rsidR="00FA0945" w:rsidRPr="000C5235" w:rsidRDefault="00AA7AEF" w:rsidP="000A7DEC">
      <w:r w:rsidRPr="000C5235">
        <w:t xml:space="preserve">The PB Statements are classified as </w:t>
      </w:r>
      <w:r w:rsidRPr="000C5235">
        <w:rPr>
          <w:b/>
          <w:u w:val="single"/>
        </w:rPr>
        <w:t>Protected</w:t>
      </w:r>
      <w:r w:rsidRPr="000C5235">
        <w:rPr>
          <w:b/>
        </w:rPr>
        <w:t xml:space="preserve"> </w:t>
      </w:r>
      <w:r w:rsidRPr="000C5235">
        <w:t xml:space="preserve">and </w:t>
      </w:r>
      <w:r w:rsidRPr="000C5235">
        <w:rPr>
          <w:u w:val="single"/>
        </w:rPr>
        <w:t>are under embargo</w:t>
      </w:r>
      <w:r w:rsidRPr="000C5235">
        <w:t xml:space="preserve"> right up until they are tabled in Parliament</w:t>
      </w:r>
      <w:r w:rsidR="00A15857" w:rsidRPr="000C5235">
        <w:t xml:space="preserve"> (via the Senate Tabling Office)</w:t>
      </w:r>
      <w:r w:rsidR="00FA0945" w:rsidRPr="000C5235">
        <w:t xml:space="preserve">. Accordingly, </w:t>
      </w:r>
      <w:r w:rsidR="00230790" w:rsidRPr="000C5235">
        <w:t>packaging for</w:t>
      </w:r>
      <w:r w:rsidR="00FA0945" w:rsidRPr="000C5235">
        <w:t xml:space="preserve"> the PB</w:t>
      </w:r>
      <w:r w:rsidR="00A15857" w:rsidRPr="000C5235">
        <w:t> </w:t>
      </w:r>
      <w:r w:rsidR="00FA0945" w:rsidRPr="000C5235">
        <w:t>Statements should be labelled as follows:</w:t>
      </w:r>
    </w:p>
    <w:p w14:paraId="77E7954A" w14:textId="77777777" w:rsidR="00ED3AC8" w:rsidRPr="000C5235" w:rsidRDefault="00ED3AC8" w:rsidP="000A7DEC">
      <w:pPr>
        <w:pStyle w:val="Boxed2Text"/>
      </w:pPr>
      <w:r w:rsidRPr="000C5235">
        <w:t>Protected – Budget 2020-21</w:t>
      </w:r>
    </w:p>
    <w:p w14:paraId="0A571FF6" w14:textId="77777777" w:rsidR="00ED3AC8" w:rsidRPr="000C5235" w:rsidRDefault="00ED3AC8" w:rsidP="000A7DEC">
      <w:pPr>
        <w:pStyle w:val="Boxed2Text"/>
      </w:pPr>
      <w:r w:rsidRPr="000C5235">
        <w:t xml:space="preserve">Under Embargo until 20:15 hours </w:t>
      </w:r>
      <w:r w:rsidR="00CF6C7A" w:rsidRPr="000C5235">
        <w:t>6</w:t>
      </w:r>
      <w:r w:rsidR="008F2F7F" w:rsidRPr="000C5235">
        <w:t xml:space="preserve"> October</w:t>
      </w:r>
      <w:r w:rsidRPr="000C5235">
        <w:t xml:space="preserve"> 2020</w:t>
      </w:r>
    </w:p>
    <w:p w14:paraId="4B71DF62" w14:textId="77777777" w:rsidR="00577EB6" w:rsidRPr="000C5235" w:rsidRDefault="00577EB6" w:rsidP="00B109CF">
      <w:pPr>
        <w:pStyle w:val="Heading2Numbered"/>
      </w:pPr>
      <w:bookmarkStart w:id="270" w:name="_Toc30405539"/>
      <w:bookmarkStart w:id="271" w:name="_Toc30581280"/>
      <w:bookmarkStart w:id="272" w:name="_Toc32829942"/>
      <w:bookmarkStart w:id="273" w:name="_Toc32917446"/>
      <w:bookmarkStart w:id="274" w:name="_Toc32918252"/>
      <w:bookmarkStart w:id="275" w:name="_Toc32999635"/>
      <w:bookmarkStart w:id="276" w:name="_Toc33099354"/>
      <w:bookmarkStart w:id="277" w:name="_Toc33195984"/>
      <w:bookmarkStart w:id="278" w:name="_Toc33196286"/>
      <w:bookmarkStart w:id="279" w:name="_Toc536108548"/>
      <w:bookmarkStart w:id="280" w:name="_Toc536802098"/>
      <w:bookmarkStart w:id="281" w:name="_Toc536108549"/>
      <w:bookmarkStart w:id="282" w:name="_Toc536802099"/>
      <w:bookmarkStart w:id="283" w:name="_Toc536108550"/>
      <w:bookmarkStart w:id="284" w:name="_Toc536802100"/>
      <w:bookmarkStart w:id="285" w:name="_Ref46311770"/>
      <w:bookmarkStart w:id="286" w:name="_Toc53564725"/>
      <w:bookmarkStart w:id="287" w:name="_Ref46251125"/>
      <w:bookmarkStart w:id="288" w:name="_Ref46251134"/>
      <w:bookmarkStart w:id="289" w:name="_Toc406683947"/>
      <w:bookmarkStart w:id="290" w:name="_Toc4118526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0C5235">
        <w:t xml:space="preserve">Obtaining </w:t>
      </w:r>
      <w:r w:rsidR="002C218A" w:rsidRPr="000C5235">
        <w:t>t</w:t>
      </w:r>
      <w:r w:rsidRPr="000C5235">
        <w:t xml:space="preserve">emplates and </w:t>
      </w:r>
      <w:r w:rsidR="002C218A" w:rsidRPr="000C5235">
        <w:t>c</w:t>
      </w:r>
      <w:r w:rsidRPr="000C5235">
        <w:t>overs</w:t>
      </w:r>
      <w:bookmarkEnd w:id="285"/>
      <w:bookmarkEnd w:id="286"/>
    </w:p>
    <w:p w14:paraId="6A938339" w14:textId="77777777" w:rsidR="00B2380C" w:rsidRPr="000C5235" w:rsidRDefault="00811FCA" w:rsidP="00577EB6">
      <w:pPr>
        <w:pStyle w:val="Heading3Numbered"/>
      </w:pPr>
      <w:bookmarkStart w:id="291" w:name="_Toc53564726"/>
      <w:r w:rsidRPr="000C5235">
        <w:t xml:space="preserve">Obtaining </w:t>
      </w:r>
      <w:r w:rsidR="00493ED2" w:rsidRPr="000C5235">
        <w:rPr>
          <w:u w:val="single"/>
        </w:rPr>
        <w:t xml:space="preserve">Attachment </w:t>
      </w:r>
      <w:r w:rsidR="006E5A47" w:rsidRPr="000C5235">
        <w:rPr>
          <w:u w:val="single"/>
        </w:rPr>
        <w:t>B</w:t>
      </w:r>
      <w:r w:rsidR="006E5A47" w:rsidRPr="000C5235">
        <w:t xml:space="preserve"> </w:t>
      </w:r>
      <w:r w:rsidR="00493ED2" w:rsidRPr="000C5235">
        <w:t xml:space="preserve">and </w:t>
      </w:r>
      <w:r w:rsidR="006E5A47" w:rsidRPr="000C5235">
        <w:rPr>
          <w:u w:val="single"/>
        </w:rPr>
        <w:t>C</w:t>
      </w:r>
      <w:r w:rsidR="006E5A47" w:rsidRPr="000C5235">
        <w:t xml:space="preserve"> </w:t>
      </w:r>
      <w:r w:rsidR="00493ED2" w:rsidRPr="000C5235">
        <w:t>- Excel and Word templates</w:t>
      </w:r>
      <w:bookmarkEnd w:id="287"/>
      <w:bookmarkEnd w:id="288"/>
      <w:bookmarkEnd w:id="291"/>
    </w:p>
    <w:p w14:paraId="381E0CA1" w14:textId="77777777" w:rsidR="00493ED2" w:rsidRPr="000C5235" w:rsidRDefault="00493ED2" w:rsidP="00493ED2">
      <w:r w:rsidRPr="000C5235">
        <w:rPr>
          <w:u w:val="single"/>
        </w:rPr>
        <w:t xml:space="preserve">Attachment </w:t>
      </w:r>
      <w:r w:rsidR="00763D1C" w:rsidRPr="000C5235">
        <w:rPr>
          <w:u w:val="single"/>
        </w:rPr>
        <w:t>B</w:t>
      </w:r>
      <w:r w:rsidR="00763D1C" w:rsidRPr="000C5235">
        <w:t xml:space="preserve"> </w:t>
      </w:r>
      <w:r w:rsidRPr="000C5235">
        <w:t xml:space="preserve">and </w:t>
      </w:r>
      <w:r w:rsidR="00957051" w:rsidRPr="000C5235">
        <w:rPr>
          <w:u w:val="single"/>
        </w:rPr>
        <w:t>C</w:t>
      </w:r>
      <w:r w:rsidRPr="000C5235">
        <w:t xml:space="preserve"> </w:t>
      </w:r>
      <w:r w:rsidR="004B5F4F" w:rsidRPr="000C5235">
        <w:t>are</w:t>
      </w:r>
      <w:r w:rsidRPr="000C5235">
        <w:t xml:space="preserve"> available through CBMS under:</w:t>
      </w:r>
    </w:p>
    <w:p w14:paraId="73D75E0B" w14:textId="77777777" w:rsidR="00493ED2" w:rsidRPr="000C5235" w:rsidRDefault="00493ED2" w:rsidP="00493ED2">
      <w:pPr>
        <w:pStyle w:val="Reports1"/>
      </w:pPr>
      <w:r w:rsidRPr="000C5235">
        <w:t xml:space="preserve">User Reference Material </w:t>
      </w:r>
      <w:r w:rsidRPr="000C5235">
        <w:sym w:font="Wingdings" w:char="F0E0"/>
      </w:r>
      <w:r w:rsidRPr="000C5235">
        <w:t xml:space="preserve"> 04. Estimates Memoranda</w:t>
      </w:r>
    </w:p>
    <w:p w14:paraId="283FB8DE" w14:textId="77777777" w:rsidR="00493ED2" w:rsidRPr="000C5235" w:rsidRDefault="00493ED2" w:rsidP="00493ED2">
      <w:r w:rsidRPr="000C5235">
        <w:t>Please refer to the correct EM reference number to ensure you obtain the correct templates.</w:t>
      </w:r>
    </w:p>
    <w:p w14:paraId="2FA3F3A4" w14:textId="77777777" w:rsidR="00811FCA" w:rsidRPr="000C5235" w:rsidRDefault="00811FCA">
      <w:pPr>
        <w:suppressAutoHyphens w:val="0"/>
        <w:spacing w:before="0" w:after="120" w:line="440" w:lineRule="atLeast"/>
        <w:rPr>
          <w:rFonts w:asciiTheme="majorHAnsi" w:eastAsiaTheme="majorEastAsia" w:hAnsiTheme="majorHAnsi" w:cstheme="majorBidi"/>
          <w:bCs/>
          <w:color w:val="1C1C1C" w:themeColor="text2"/>
          <w:sz w:val="34"/>
          <w:szCs w:val="26"/>
        </w:rPr>
      </w:pPr>
      <w:r w:rsidRPr="000C5235">
        <w:br w:type="page"/>
      </w:r>
    </w:p>
    <w:p w14:paraId="3FC6AFFF" w14:textId="77777777" w:rsidR="00B109CF" w:rsidRPr="000C5235" w:rsidRDefault="00811FCA" w:rsidP="00577EB6">
      <w:pPr>
        <w:pStyle w:val="Heading3Numbered"/>
      </w:pPr>
      <w:bookmarkStart w:id="292" w:name="_Ref46251196"/>
      <w:bookmarkStart w:id="293" w:name="_Ref46251205"/>
      <w:bookmarkStart w:id="294" w:name="_Toc53564727"/>
      <w:r w:rsidRPr="000C5235">
        <w:t xml:space="preserve">Obtaining </w:t>
      </w:r>
      <w:r w:rsidR="00B109CF" w:rsidRPr="000C5235">
        <w:rPr>
          <w:u w:val="single"/>
        </w:rPr>
        <w:t xml:space="preserve">Attachment </w:t>
      </w:r>
      <w:r w:rsidR="006E5A47" w:rsidRPr="000C5235">
        <w:rPr>
          <w:u w:val="single"/>
        </w:rPr>
        <w:t>D</w:t>
      </w:r>
      <w:r w:rsidR="006E5A47" w:rsidRPr="000C5235">
        <w:t xml:space="preserve"> </w:t>
      </w:r>
      <w:r w:rsidR="00B109CF" w:rsidRPr="000C5235">
        <w:t>- Covers for the 2020-21 PB</w:t>
      </w:r>
      <w:r w:rsidR="00225D11" w:rsidRPr="000C5235">
        <w:t> </w:t>
      </w:r>
      <w:r w:rsidR="00B109CF" w:rsidRPr="000C5235">
        <w:t>S</w:t>
      </w:r>
      <w:r w:rsidR="00225D11" w:rsidRPr="000C5235">
        <w:t>tatements</w:t>
      </w:r>
      <w:bookmarkEnd w:id="292"/>
      <w:bookmarkEnd w:id="293"/>
      <w:bookmarkEnd w:id="294"/>
    </w:p>
    <w:p w14:paraId="445AA62C" w14:textId="77777777" w:rsidR="00B109CF" w:rsidRPr="000C5235" w:rsidRDefault="00B109CF" w:rsidP="00B109CF">
      <w:r w:rsidRPr="000C5235">
        <w:t xml:space="preserve">Unfortunately </w:t>
      </w:r>
      <w:r w:rsidR="00493ED2" w:rsidRPr="000C5235">
        <w:rPr>
          <w:u w:val="single"/>
        </w:rPr>
        <w:t xml:space="preserve">Attachment </w:t>
      </w:r>
      <w:r w:rsidR="00622BEA" w:rsidRPr="000C5235">
        <w:rPr>
          <w:u w:val="single"/>
        </w:rPr>
        <w:t>D</w:t>
      </w:r>
      <w:r w:rsidR="00622BEA" w:rsidRPr="000C5235">
        <w:rPr>
          <w:i/>
        </w:rPr>
        <w:t xml:space="preserve"> </w:t>
      </w:r>
      <w:r w:rsidR="00493ED2" w:rsidRPr="000C5235">
        <w:rPr>
          <w:i/>
        </w:rPr>
        <w:t>- Cover for the 2020-21</w:t>
      </w:r>
      <w:r w:rsidRPr="000C5235">
        <w:rPr>
          <w:i/>
        </w:rPr>
        <w:t xml:space="preserve"> PB</w:t>
      </w:r>
      <w:r w:rsidR="00CD3E53" w:rsidRPr="000C5235">
        <w:rPr>
          <w:i/>
        </w:rPr>
        <w:t> </w:t>
      </w:r>
      <w:r w:rsidRPr="000C5235">
        <w:rPr>
          <w:i/>
        </w:rPr>
        <w:t>S</w:t>
      </w:r>
      <w:r w:rsidR="00CD3E53" w:rsidRPr="000C5235">
        <w:rPr>
          <w:i/>
        </w:rPr>
        <w:t>tatements</w:t>
      </w:r>
      <w:r w:rsidRPr="000C5235">
        <w:t xml:space="preserve"> </w:t>
      </w:r>
      <w:r w:rsidR="00493ED2" w:rsidRPr="000C5235">
        <w:t xml:space="preserve">are not </w:t>
      </w:r>
      <w:r w:rsidRPr="000C5235">
        <w:t xml:space="preserve">available </w:t>
      </w:r>
      <w:r w:rsidR="00493ED2" w:rsidRPr="000C5235">
        <w:t>through</w:t>
      </w:r>
      <w:r w:rsidRPr="000C5235">
        <w:t xml:space="preserve"> CBMS.</w:t>
      </w:r>
    </w:p>
    <w:p w14:paraId="64A5CC56" w14:textId="195DEB7E" w:rsidR="00B109CF" w:rsidRPr="000C5235" w:rsidRDefault="00493ED2" w:rsidP="00B109CF">
      <w:r w:rsidRPr="000C5235">
        <w:t>T</w:t>
      </w:r>
      <w:r w:rsidR="00B109CF" w:rsidRPr="000C5235">
        <w:t xml:space="preserve">o obtain a copy of the covers </w:t>
      </w:r>
      <w:r w:rsidR="00B109CF" w:rsidRPr="000C5235">
        <w:rPr>
          <w:u w:val="single"/>
        </w:rPr>
        <w:t>please email budget framework mailbox</w:t>
      </w:r>
      <w:r w:rsidR="00B109CF" w:rsidRPr="000C5235">
        <w:t xml:space="preserve"> at </w:t>
      </w:r>
      <w:hyperlink r:id="rId22" w:history="1">
        <w:r w:rsidR="00B109CF" w:rsidRPr="000C5235">
          <w:rPr>
            <w:rStyle w:val="Hyperlink"/>
            <w:rFonts w:asciiTheme="minorHAnsi" w:hAnsiTheme="minorHAnsi" w:cstheme="minorBidi"/>
          </w:rPr>
          <w:t>Budget_Framework@finance.gov.au</w:t>
        </w:r>
      </w:hyperlink>
      <w:r w:rsidR="00B109CF" w:rsidRPr="000C5235">
        <w:t>.  We will ema</w:t>
      </w:r>
      <w:r w:rsidR="007760AA" w:rsidRPr="000C5235">
        <w:t xml:space="preserve">il you a copy of the covers to enable </w:t>
      </w:r>
      <w:r w:rsidRPr="000C5235">
        <w:t xml:space="preserve">your portfolio to publish their </w:t>
      </w:r>
      <w:r w:rsidR="00B109CF" w:rsidRPr="000C5235">
        <w:t>PB</w:t>
      </w:r>
      <w:r w:rsidR="00CD3E53" w:rsidRPr="000C5235">
        <w:t> </w:t>
      </w:r>
      <w:r w:rsidR="00B109CF" w:rsidRPr="000C5235">
        <w:t>S</w:t>
      </w:r>
      <w:r w:rsidR="00CD3E53" w:rsidRPr="000C5235">
        <w:t>tatement</w:t>
      </w:r>
      <w:r w:rsidR="00957051" w:rsidRPr="000C5235">
        <w:t xml:space="preserve"> with an official cover approved by Treasury’s publishing team.</w:t>
      </w:r>
    </w:p>
    <w:p w14:paraId="479CDDBA" w14:textId="77777777" w:rsidR="00FA0945" w:rsidRPr="000C5235" w:rsidRDefault="00FA0945" w:rsidP="000A7DEC">
      <w:pPr>
        <w:pStyle w:val="Heading2Numbered"/>
      </w:pPr>
      <w:bookmarkStart w:id="295" w:name="_Ref46933923"/>
      <w:bookmarkStart w:id="296" w:name="_Ref46933928"/>
      <w:bookmarkStart w:id="297" w:name="_Toc53564728"/>
      <w:r w:rsidRPr="000C5235">
        <w:t>Delivery to Parliament House and Finance</w:t>
      </w:r>
      <w:bookmarkEnd w:id="289"/>
      <w:bookmarkEnd w:id="290"/>
      <w:bookmarkEnd w:id="295"/>
      <w:bookmarkEnd w:id="296"/>
      <w:bookmarkEnd w:id="297"/>
      <w:r w:rsidRPr="000C5235">
        <w:t xml:space="preserve"> </w:t>
      </w:r>
    </w:p>
    <w:p w14:paraId="67F30448" w14:textId="77777777" w:rsidR="00A84927" w:rsidRPr="000C5235" w:rsidRDefault="00A84927" w:rsidP="00A84927">
      <w:r w:rsidRPr="000C5235">
        <w:t>Due to the uncertainty caused by Covid-19 the PB Statement delivery arrangements along with the number of books required for Budget lockup are still under consideration.</w:t>
      </w:r>
    </w:p>
    <w:p w14:paraId="7AA04D94" w14:textId="6FB89D11" w:rsidR="00A84927" w:rsidRPr="000C5235" w:rsidRDefault="00F32859" w:rsidP="00A700FE">
      <w:pPr>
        <w:pStyle w:val="Boxed2Text"/>
      </w:pPr>
      <w:r w:rsidRPr="00F32859">
        <w:t>Treasury will provide separate advice to Portfolio Departments concerning the delivery arrangements (including the number of books required) for both the Treasury media and Treasury stakeholder lockups as soon as the Budget arrangements are settled.</w:t>
      </w:r>
    </w:p>
    <w:p w14:paraId="72CD24DE" w14:textId="77777777" w:rsidR="00FA0945" w:rsidRPr="000C5235" w:rsidRDefault="004B5F4F" w:rsidP="000A7DEC">
      <w:r w:rsidRPr="000C5235">
        <w:t>All</w:t>
      </w:r>
      <w:r w:rsidR="00FA0945" w:rsidRPr="000C5235">
        <w:t xml:space="preserve"> PB Statement deliveries to Parliament House (whether using CanPrint, another printer or by portfolio staff) should occur through the Parliament House loading dock (access via Brisbane Avenue).</w:t>
      </w:r>
    </w:p>
    <w:p w14:paraId="430C4D76" w14:textId="432002A3" w:rsidR="00FA0945" w:rsidRPr="000C5235" w:rsidRDefault="00FA0945">
      <w:pPr>
        <w:pStyle w:val="Bullet1"/>
      </w:pPr>
      <w:r w:rsidRPr="000C5235">
        <w:t xml:space="preserve">For those portfolios delivering their own PB Statements or using a printer other than CanPrint, please contact the </w:t>
      </w:r>
      <w:r w:rsidR="00F822F3" w:rsidRPr="000C5235">
        <w:t xml:space="preserve">Agency Accounting and </w:t>
      </w:r>
      <w:r w:rsidRPr="000C5235">
        <w:t xml:space="preserve">Budget Framework Team in Finance by </w:t>
      </w:r>
      <w:r w:rsidRPr="000C5235">
        <w:rPr>
          <w:b/>
        </w:rPr>
        <w:t>Friday,</w:t>
      </w:r>
      <w:r w:rsidRPr="000C5235">
        <w:t xml:space="preserve"> </w:t>
      </w:r>
      <w:r w:rsidR="00F14A6E" w:rsidRPr="000C5235">
        <w:rPr>
          <w:b/>
        </w:rPr>
        <w:t>2</w:t>
      </w:r>
      <w:r w:rsidR="008F2F7F" w:rsidRPr="000C5235">
        <w:rPr>
          <w:b/>
        </w:rPr>
        <w:t xml:space="preserve"> October</w:t>
      </w:r>
      <w:r w:rsidR="00AD28A0" w:rsidRPr="000C5235">
        <w:rPr>
          <w:b/>
        </w:rPr>
        <w:t xml:space="preserve"> 2020</w:t>
      </w:r>
      <w:r w:rsidR="004F3C32" w:rsidRPr="000C5235">
        <w:t xml:space="preserve"> </w:t>
      </w:r>
      <w:r w:rsidRPr="000C5235">
        <w:t>(</w:t>
      </w:r>
      <w:hyperlink r:id="rId23" w:history="1">
        <w:r w:rsidR="00146531" w:rsidRPr="000C5235">
          <w:rPr>
            <w:rStyle w:val="Hyperlink"/>
          </w:rPr>
          <w:t>Budget_Framework@finance.gov.au</w:t>
        </w:r>
      </w:hyperlink>
      <w:r w:rsidRPr="000C5235">
        <w:t xml:space="preserve">) for delivery procedures. </w:t>
      </w:r>
    </w:p>
    <w:p w14:paraId="4A048899" w14:textId="77777777" w:rsidR="00CC0EF1" w:rsidRPr="000C5235" w:rsidRDefault="00FA0945" w:rsidP="00CC0EF1">
      <w:pPr>
        <w:pStyle w:val="Bullet1"/>
      </w:pPr>
      <w:r w:rsidRPr="000C5235">
        <w:t xml:space="preserve">Should you have any questions or difficulties with these arrangements, please contact the Documents Officer, Senate Table Office </w:t>
      </w:r>
      <w:r w:rsidR="00146531" w:rsidRPr="000C5235">
        <w:t>on</w:t>
      </w:r>
      <w:r w:rsidRPr="000C5235">
        <w:t xml:space="preserve"> (02) 6277 3037.</w:t>
      </w:r>
      <w:r w:rsidR="00CC0EF1" w:rsidRPr="000C5235">
        <w:br w:type="page"/>
      </w:r>
    </w:p>
    <w:p w14:paraId="2AF94288" w14:textId="77777777" w:rsidR="00EA1831" w:rsidRPr="000C5235" w:rsidRDefault="00EA1831" w:rsidP="000A7DEC">
      <w:pPr>
        <w:pStyle w:val="Heading2Numbered"/>
      </w:pPr>
      <w:bookmarkStart w:id="298" w:name="_Toc53564729"/>
      <w:r w:rsidRPr="000C5235">
        <w:t xml:space="preserve">Number of </w:t>
      </w:r>
      <w:r w:rsidR="00B51040" w:rsidRPr="000C5235">
        <w:t>b</w:t>
      </w:r>
      <w:r w:rsidRPr="000C5235">
        <w:t>ooks</w:t>
      </w:r>
      <w:bookmarkEnd w:id="298"/>
    </w:p>
    <w:tbl>
      <w:tblPr>
        <w:tblW w:w="0" w:type="auto"/>
        <w:jc w:val="center"/>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6379"/>
        <w:gridCol w:w="1985"/>
      </w:tblGrid>
      <w:tr w:rsidR="003E3E2E" w:rsidRPr="000C5235" w14:paraId="6134FECA" w14:textId="77777777" w:rsidTr="00466C28">
        <w:trPr>
          <w:jc w:val="center"/>
        </w:trPr>
        <w:tc>
          <w:tcPr>
            <w:tcW w:w="8364" w:type="dxa"/>
            <w:gridSpan w:val="2"/>
            <w:shd w:val="clear" w:color="auto" w:fill="DDF3FA"/>
          </w:tcPr>
          <w:p w14:paraId="377A12EE" w14:textId="7F96025E" w:rsidR="003E3E2E" w:rsidRPr="000C5235" w:rsidRDefault="00EA0885">
            <w:pPr>
              <w:pStyle w:val="TableText-Normal"/>
            </w:pPr>
            <w:r>
              <w:rPr>
                <w:b/>
              </w:rPr>
              <w:t xml:space="preserve">Treasury </w:t>
            </w:r>
            <w:r w:rsidR="008F2656" w:rsidRPr="0042010D">
              <w:rPr>
                <w:b/>
              </w:rPr>
              <w:t xml:space="preserve">will provide separate advice </w:t>
            </w:r>
            <w:r>
              <w:t xml:space="preserve">to Portfolio Departments concerning the delivery arrangements (including the number of books required) for both the </w:t>
            </w:r>
            <w:r w:rsidRPr="00A700FE">
              <w:rPr>
                <w:i/>
              </w:rPr>
              <w:t>Treasury media</w:t>
            </w:r>
            <w:r>
              <w:t xml:space="preserve"> and </w:t>
            </w:r>
            <w:r w:rsidRPr="00A700FE">
              <w:rPr>
                <w:i/>
              </w:rPr>
              <w:t>Treasury stakeholder</w:t>
            </w:r>
            <w:r>
              <w:t xml:space="preserve"> lockups as soon as the Budget arrangements are settled.</w:t>
            </w:r>
          </w:p>
        </w:tc>
      </w:tr>
      <w:tr w:rsidR="003E3E2E" w:rsidRPr="000C5235" w14:paraId="22D8B1DE" w14:textId="77777777" w:rsidTr="00466C28">
        <w:trPr>
          <w:jc w:val="center"/>
        </w:trPr>
        <w:tc>
          <w:tcPr>
            <w:tcW w:w="6379" w:type="dxa"/>
          </w:tcPr>
          <w:p w14:paraId="491F6C6A" w14:textId="0D03BB21" w:rsidR="003E3E2E" w:rsidRPr="000C5235" w:rsidRDefault="003E3E2E">
            <w:pPr>
              <w:pStyle w:val="TableText-Normal"/>
            </w:pPr>
            <w:r w:rsidRPr="000C5235">
              <w:t>Parliament House</w:t>
            </w:r>
            <w:r w:rsidR="00775E9B">
              <w:t>:</w:t>
            </w:r>
          </w:p>
          <w:p w14:paraId="558F00F6" w14:textId="77777777" w:rsidR="003E3E2E" w:rsidRPr="000C5235" w:rsidRDefault="003E3E2E">
            <w:pPr>
              <w:pStyle w:val="TableText-Normal"/>
            </w:pPr>
            <w:r w:rsidRPr="000C5235">
              <w:tab/>
              <w:t>Documents Officer – Senate Table Office, Room SG 25</w:t>
            </w:r>
            <w:r w:rsidRPr="000C5235">
              <w:br/>
            </w:r>
            <w:r w:rsidRPr="000C5235">
              <w:tab/>
              <w:t>Department of the Senate</w:t>
            </w:r>
            <w:r w:rsidRPr="000C5235">
              <w:br/>
            </w:r>
            <w:r w:rsidRPr="000C5235">
              <w:tab/>
              <w:t>Parliament House</w:t>
            </w:r>
            <w:r w:rsidRPr="000C5235">
              <w:br/>
            </w:r>
            <w:r w:rsidRPr="000C5235">
              <w:tab/>
              <w:t>CANBERRA ACT 2600</w:t>
            </w:r>
            <w:r w:rsidRPr="000C5235">
              <w:br/>
            </w:r>
            <w:r w:rsidRPr="000C5235">
              <w:tab/>
            </w:r>
            <w:r w:rsidR="00BA0046" w:rsidRPr="000C5235">
              <w:t>p</w:t>
            </w:r>
            <w:r w:rsidRPr="000C5235">
              <w:t>h: (02) 6277 3037</w:t>
            </w:r>
          </w:p>
          <w:p w14:paraId="6A24D121" w14:textId="77777777" w:rsidR="003E3E2E" w:rsidRPr="000C5235" w:rsidRDefault="003E3E2E">
            <w:pPr>
              <w:pStyle w:val="TableText-Normal"/>
            </w:pPr>
            <w:r w:rsidRPr="000C5235">
              <w:t xml:space="preserve">* Books for Parliament House are to be delivered to a single location – the </w:t>
            </w:r>
            <w:r w:rsidRPr="000C5235">
              <w:rPr>
                <w:b/>
              </w:rPr>
              <w:t>Senate Table Office</w:t>
            </w:r>
            <w:r w:rsidRPr="000C5235">
              <w:t xml:space="preserve"> will then arrange for the books to be distributed to recipients.</w:t>
            </w:r>
            <w:r w:rsidR="00072CE9" w:rsidRPr="000C5235">
              <w:t xml:space="preserve"> Please do not leave the books </w:t>
            </w:r>
            <w:r w:rsidR="0011247C" w:rsidRPr="000C5235">
              <w:t>at</w:t>
            </w:r>
            <w:r w:rsidR="00072CE9" w:rsidRPr="000C5235">
              <w:t xml:space="preserve"> the </w:t>
            </w:r>
            <w:r w:rsidR="0011247C" w:rsidRPr="000C5235">
              <w:t xml:space="preserve">loading </w:t>
            </w:r>
            <w:r w:rsidR="00072CE9" w:rsidRPr="000C5235">
              <w:t>Dock</w:t>
            </w:r>
            <w:r w:rsidR="0011247C" w:rsidRPr="000C5235">
              <w:t xml:space="preserve"> until they are picked up by the Senate Tabling Office</w:t>
            </w:r>
            <w:r w:rsidR="00072CE9" w:rsidRPr="000C5235">
              <w:t>.</w:t>
            </w:r>
            <w:r w:rsidRPr="000C5235">
              <w:t xml:space="preserve"> Books </w:t>
            </w:r>
            <w:r w:rsidRPr="000C5235">
              <w:rPr>
                <w:u w:val="single"/>
              </w:rPr>
              <w:t>must</w:t>
            </w:r>
            <w:r w:rsidRPr="000C5235">
              <w:t xml:space="preserve"> be separately boxed as follows:</w:t>
            </w:r>
          </w:p>
          <w:p w14:paraId="2177D12E" w14:textId="77777777" w:rsidR="003E3E2E" w:rsidRPr="000C5235" w:rsidRDefault="00CC2326" w:rsidP="000A7DEC">
            <w:pPr>
              <w:pStyle w:val="TableText-Normal"/>
              <w:numPr>
                <w:ilvl w:val="0"/>
                <w:numId w:val="78"/>
              </w:numPr>
            </w:pPr>
            <w:r w:rsidRPr="000C5235">
              <w:t>70</w:t>
            </w:r>
            <w:r w:rsidR="003E3E2E" w:rsidRPr="000C5235">
              <w:t xml:space="preserve"> copies – Senate;</w:t>
            </w:r>
          </w:p>
          <w:p w14:paraId="0CA0A4A9" w14:textId="77777777" w:rsidR="003E3E2E" w:rsidRPr="000C5235" w:rsidRDefault="007B741E" w:rsidP="000A7DEC">
            <w:pPr>
              <w:pStyle w:val="TableText-Normal"/>
              <w:numPr>
                <w:ilvl w:val="0"/>
                <w:numId w:val="78"/>
              </w:numPr>
            </w:pPr>
            <w:r w:rsidRPr="000C5235">
              <w:t>15</w:t>
            </w:r>
            <w:r w:rsidR="003E3E2E" w:rsidRPr="000C5235">
              <w:t xml:space="preserve"> copies – House of Representatives;</w:t>
            </w:r>
          </w:p>
          <w:p w14:paraId="09D99DCC" w14:textId="77777777" w:rsidR="00E0607E" w:rsidRPr="000C5235" w:rsidRDefault="003E3E2E" w:rsidP="00E0607E">
            <w:pPr>
              <w:pStyle w:val="TableText-Normal"/>
              <w:numPr>
                <w:ilvl w:val="0"/>
                <w:numId w:val="78"/>
              </w:numPr>
            </w:pPr>
            <w:r w:rsidRPr="000C5235">
              <w:t>25 copies – Parliamentary Library.</w:t>
            </w:r>
            <w:r w:rsidR="00356C62" w:rsidRPr="000C5235">
              <w:br/>
            </w:r>
          </w:p>
          <w:p w14:paraId="7C8749A3" w14:textId="4AA30D6C" w:rsidR="003E3E2E" w:rsidRPr="000C5235" w:rsidRDefault="00563146" w:rsidP="00563146">
            <w:pPr>
              <w:pStyle w:val="TableText-Normal"/>
              <w:numPr>
                <w:ilvl w:val="0"/>
                <w:numId w:val="78"/>
              </w:numPr>
            </w:pPr>
            <w:r w:rsidRPr="00563146">
              <w:t xml:space="preserve">Treasury will provide separate advice to Portfolio Departments concerning the delivery arrangements (including the number of books required) for both the </w:t>
            </w:r>
            <w:r w:rsidRPr="00A700FE">
              <w:rPr>
                <w:i/>
              </w:rPr>
              <w:t>Treasury media</w:t>
            </w:r>
            <w:r w:rsidRPr="00563146">
              <w:t xml:space="preserve"> and </w:t>
            </w:r>
            <w:r w:rsidRPr="00A700FE">
              <w:rPr>
                <w:i/>
              </w:rPr>
              <w:t>Treasury stakeholder lockups</w:t>
            </w:r>
            <w:r w:rsidRPr="00563146">
              <w:t xml:space="preserve"> as soon as the Budget arrangements are settled.</w:t>
            </w:r>
          </w:p>
        </w:tc>
        <w:tc>
          <w:tcPr>
            <w:tcW w:w="1985" w:type="dxa"/>
          </w:tcPr>
          <w:p w14:paraId="6D20EAB2" w14:textId="6BE9DF3D" w:rsidR="003E3E2E" w:rsidRPr="000C5235" w:rsidRDefault="00E0607E">
            <w:pPr>
              <w:pStyle w:val="TableText-Normal"/>
            </w:pPr>
            <w:r w:rsidRPr="000C5235">
              <w:t xml:space="preserve">110 </w:t>
            </w:r>
            <w:r w:rsidR="003E3E2E" w:rsidRPr="000C5235">
              <w:t>copies *</w:t>
            </w:r>
            <w:r w:rsidRPr="000C5235">
              <w:br/>
            </w:r>
            <w:r w:rsidRPr="000C5235">
              <w:br/>
              <w:t>Plus</w:t>
            </w:r>
            <w:r w:rsidRPr="000C5235">
              <w:br/>
            </w:r>
            <w:r w:rsidRPr="000C5235">
              <w:br/>
            </w:r>
            <w:r w:rsidR="00B335BF" w:rsidRPr="000C5235">
              <w:t>B</w:t>
            </w:r>
            <w:r w:rsidRPr="000C5235">
              <w:t xml:space="preserve">ooks required for both the </w:t>
            </w:r>
            <w:r w:rsidRPr="000C5235">
              <w:rPr>
                <w:i/>
              </w:rPr>
              <w:t>Treasury media lockup</w:t>
            </w:r>
            <w:r w:rsidRPr="000C5235">
              <w:t xml:space="preserve"> and </w:t>
            </w:r>
            <w:r w:rsidRPr="000C5235">
              <w:rPr>
                <w:i/>
              </w:rPr>
              <w:t xml:space="preserve">Treasury stakeholder </w:t>
            </w:r>
            <w:r w:rsidRPr="00A700FE">
              <w:t>lockup</w:t>
            </w:r>
            <w:r w:rsidR="00563146" w:rsidRPr="00A700FE">
              <w:t xml:space="preserve"> as advised by the Department of the Treasury</w:t>
            </w:r>
          </w:p>
        </w:tc>
      </w:tr>
      <w:tr w:rsidR="003E3E2E" w:rsidRPr="000C5235" w14:paraId="6CA3656A" w14:textId="77777777" w:rsidTr="00466C28">
        <w:trPr>
          <w:jc w:val="center"/>
        </w:trPr>
        <w:tc>
          <w:tcPr>
            <w:tcW w:w="6379" w:type="dxa"/>
          </w:tcPr>
          <w:p w14:paraId="6E2C4738" w14:textId="77777777" w:rsidR="003E3E2E" w:rsidRPr="000C5235" w:rsidRDefault="003E3E2E">
            <w:pPr>
              <w:pStyle w:val="TableText-Normal"/>
            </w:pPr>
            <w:r w:rsidRPr="000C5235">
              <w:t>Finance</w:t>
            </w:r>
          </w:p>
          <w:p w14:paraId="33B52AAD" w14:textId="77777777" w:rsidR="003E3E2E" w:rsidRPr="000C5235" w:rsidRDefault="002406F9" w:rsidP="000A7DEC">
            <w:pPr>
              <w:pStyle w:val="TableText-Normal"/>
              <w:numPr>
                <w:ilvl w:val="0"/>
                <w:numId w:val="164"/>
              </w:numPr>
            </w:pPr>
            <w:r w:rsidRPr="000C5235">
              <w:t xml:space="preserve">CanPrint will deliver the copies to Finance on </w:t>
            </w:r>
            <w:r w:rsidR="0076760E" w:rsidRPr="000C5235">
              <w:t xml:space="preserve">the Portfolios’ </w:t>
            </w:r>
            <w:r w:rsidRPr="000C5235">
              <w:t>behalf.</w:t>
            </w:r>
          </w:p>
          <w:p w14:paraId="48330816" w14:textId="77777777" w:rsidR="003E3E2E" w:rsidRPr="000C5235" w:rsidRDefault="003E3E2E">
            <w:pPr>
              <w:pStyle w:val="TableText-Normal"/>
              <w:numPr>
                <w:ilvl w:val="0"/>
                <w:numId w:val="77"/>
              </w:numPr>
            </w:pPr>
            <w:r w:rsidRPr="000C5235">
              <w:t xml:space="preserve">This allocation includes the copy for the Finance Secretary as required under the Requirement for Performance Information included in Portfolio Budget Statements (Finance Secretary Direction under section 36(3) of the </w:t>
            </w:r>
            <w:r w:rsidRPr="000C5235">
              <w:rPr>
                <w:i/>
              </w:rPr>
              <w:t>Public Governance, Performance and Accountability Act 2013</w:t>
            </w:r>
            <w:r w:rsidRPr="000C5235">
              <w:t>).</w:t>
            </w:r>
          </w:p>
          <w:p w14:paraId="68CA1AA4" w14:textId="77777777" w:rsidR="003E3E2E" w:rsidRPr="000C5235" w:rsidRDefault="002406F9" w:rsidP="002406F9">
            <w:pPr>
              <w:pStyle w:val="TableText-Normal"/>
              <w:numPr>
                <w:ilvl w:val="0"/>
                <w:numId w:val="77"/>
              </w:numPr>
            </w:pPr>
            <w:r w:rsidRPr="000C5235">
              <w:t xml:space="preserve">Out of </w:t>
            </w:r>
            <w:r w:rsidR="003E3E2E" w:rsidRPr="000C5235">
              <w:t xml:space="preserve">the </w:t>
            </w:r>
            <w:r w:rsidR="007A3739" w:rsidRPr="000C5235">
              <w:t xml:space="preserve">30 </w:t>
            </w:r>
            <w:r w:rsidR="003E3E2E" w:rsidRPr="000C5235">
              <w:t xml:space="preserve">copies, </w:t>
            </w:r>
            <w:r w:rsidR="007A3739" w:rsidRPr="000C5235">
              <w:t>3-5</w:t>
            </w:r>
            <w:r w:rsidR="003E3E2E" w:rsidRPr="000C5235">
              <w:t xml:space="preserve"> copies are usually allocated to your AAU</w:t>
            </w:r>
            <w:r w:rsidRPr="000C5235">
              <w:t>.</w:t>
            </w:r>
          </w:p>
        </w:tc>
        <w:tc>
          <w:tcPr>
            <w:tcW w:w="1985" w:type="dxa"/>
          </w:tcPr>
          <w:p w14:paraId="2C6CFFF0" w14:textId="77777777" w:rsidR="003E3E2E" w:rsidRPr="000C5235" w:rsidRDefault="009D2D17" w:rsidP="002406F9">
            <w:pPr>
              <w:pStyle w:val="TableText-Normal"/>
            </w:pPr>
            <w:r w:rsidRPr="000C5235">
              <w:t>3</w:t>
            </w:r>
            <w:r w:rsidR="002E6799" w:rsidRPr="000C5235">
              <w:t>0</w:t>
            </w:r>
            <w:r w:rsidRPr="000C5235">
              <w:t xml:space="preserve"> </w:t>
            </w:r>
            <w:r w:rsidR="003E3E2E" w:rsidRPr="000C5235">
              <w:t>copies</w:t>
            </w:r>
          </w:p>
        </w:tc>
      </w:tr>
      <w:tr w:rsidR="003E3E2E" w:rsidRPr="000C5235" w14:paraId="1AAAC012" w14:textId="77777777" w:rsidTr="00466C28">
        <w:trPr>
          <w:jc w:val="center"/>
        </w:trPr>
        <w:tc>
          <w:tcPr>
            <w:tcW w:w="6379" w:type="dxa"/>
          </w:tcPr>
          <w:p w14:paraId="53767B6F" w14:textId="77777777" w:rsidR="003E3E2E" w:rsidRPr="000C5235" w:rsidRDefault="003E3E2E">
            <w:pPr>
              <w:pStyle w:val="TableText-Normal"/>
            </w:pPr>
            <w:r w:rsidRPr="000C5235">
              <w:t>Your Portfolio Minister and advisors (following the Minister’s sign-off on the final document)</w:t>
            </w:r>
          </w:p>
        </w:tc>
        <w:tc>
          <w:tcPr>
            <w:tcW w:w="1985" w:type="dxa"/>
            <w:vMerge w:val="restart"/>
          </w:tcPr>
          <w:p w14:paraId="036A28C5" w14:textId="77777777" w:rsidR="003E3E2E" w:rsidRPr="000C5235" w:rsidRDefault="003E3E2E">
            <w:pPr>
              <w:pStyle w:val="TableText-Normal"/>
            </w:pPr>
            <w:r w:rsidRPr="000C5235">
              <w:t>Please confirm number required with your Minister’s office</w:t>
            </w:r>
          </w:p>
        </w:tc>
      </w:tr>
      <w:tr w:rsidR="003E3E2E" w:rsidRPr="000C5235" w14:paraId="3784862E" w14:textId="77777777" w:rsidTr="00466C28">
        <w:trPr>
          <w:jc w:val="center"/>
        </w:trPr>
        <w:tc>
          <w:tcPr>
            <w:tcW w:w="6379" w:type="dxa"/>
          </w:tcPr>
          <w:p w14:paraId="2397365A" w14:textId="77777777" w:rsidR="003E3E2E" w:rsidRPr="000C5235" w:rsidRDefault="003E3E2E">
            <w:pPr>
              <w:pStyle w:val="TableText-Normal"/>
            </w:pPr>
            <w:r w:rsidRPr="000C5235">
              <w:t>The Minister representing the portfolio in the other Chamber</w:t>
            </w:r>
          </w:p>
        </w:tc>
        <w:tc>
          <w:tcPr>
            <w:tcW w:w="1985" w:type="dxa"/>
            <w:vMerge/>
          </w:tcPr>
          <w:p w14:paraId="7B0CDCEE" w14:textId="77777777" w:rsidR="003E3E2E" w:rsidRPr="000C5235" w:rsidRDefault="003E3E2E">
            <w:pPr>
              <w:pStyle w:val="TableText-Normal"/>
            </w:pPr>
          </w:p>
        </w:tc>
      </w:tr>
    </w:tbl>
    <w:p w14:paraId="721C65F4" w14:textId="77777777" w:rsidR="003E3E2E" w:rsidRPr="000C5235" w:rsidRDefault="003E3E2E" w:rsidP="003E3E2E">
      <w:pPr>
        <w:pStyle w:val="BodyText1"/>
      </w:pPr>
    </w:p>
    <w:tbl>
      <w:tblPr>
        <w:tblW w:w="0" w:type="auto"/>
        <w:jc w:val="center"/>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Layout w:type="fixed"/>
        <w:tblCellMar>
          <w:left w:w="0" w:type="dxa"/>
          <w:right w:w="0" w:type="dxa"/>
        </w:tblCellMar>
        <w:tblLook w:val="04A0" w:firstRow="1" w:lastRow="0" w:firstColumn="1" w:lastColumn="0" w:noHBand="0" w:noVBand="1"/>
      </w:tblPr>
      <w:tblGrid>
        <w:gridCol w:w="6379"/>
        <w:gridCol w:w="1985"/>
      </w:tblGrid>
      <w:tr w:rsidR="00AB4C55" w:rsidRPr="000C5235" w14:paraId="40487A5A" w14:textId="77777777" w:rsidTr="00366A75">
        <w:trPr>
          <w:jc w:val="center"/>
        </w:trPr>
        <w:tc>
          <w:tcPr>
            <w:tcW w:w="8364" w:type="dxa"/>
            <w:gridSpan w:val="2"/>
            <w:shd w:val="clear" w:color="auto" w:fill="DDF3FA"/>
          </w:tcPr>
          <w:p w14:paraId="46803A46" w14:textId="77777777" w:rsidR="00AB4C55" w:rsidRPr="000C5235" w:rsidRDefault="00AB4C55">
            <w:pPr>
              <w:pStyle w:val="TableText-Normal"/>
            </w:pPr>
            <w:r w:rsidRPr="000C5235">
              <w:br w:type="page"/>
            </w:r>
            <w:r w:rsidRPr="000C5235">
              <w:br w:type="page"/>
            </w:r>
            <w:r w:rsidRPr="000C5235">
              <w:br w:type="page"/>
            </w:r>
            <w:r w:rsidRPr="000C5235">
              <w:br w:type="page"/>
              <w:t xml:space="preserve">For delivery </w:t>
            </w:r>
            <w:r w:rsidRPr="000C5235">
              <w:rPr>
                <w:u w:val="single"/>
              </w:rPr>
              <w:t>after</w:t>
            </w:r>
            <w:r w:rsidRPr="000C5235">
              <w:t xml:space="preserve"> tabling/Budget night </w:t>
            </w:r>
            <w:r w:rsidR="00D903D8" w:rsidRPr="000C5235">
              <w:t xml:space="preserve">(minimum based on </w:t>
            </w:r>
            <w:r w:rsidR="007A3739" w:rsidRPr="000C5235">
              <w:t>2</w:t>
            </w:r>
            <w:r w:rsidR="007B741E" w:rsidRPr="000C5235">
              <w:t>1</w:t>
            </w:r>
            <w:r w:rsidR="007A3739" w:rsidRPr="000C5235">
              <w:t xml:space="preserve"> + </w:t>
            </w:r>
            <w:r w:rsidR="00D903D8" w:rsidRPr="000C5235">
              <w:t xml:space="preserve">no. of </w:t>
            </w:r>
            <w:r w:rsidR="00640374" w:rsidRPr="000C5235">
              <w:t xml:space="preserve">copies for the </w:t>
            </w:r>
            <w:r w:rsidR="00D903D8" w:rsidRPr="000C5235">
              <w:t>committees your portfolio re</w:t>
            </w:r>
            <w:r w:rsidR="00430CF6" w:rsidRPr="000C5235">
              <w:t>ports to</w:t>
            </w:r>
            <w:r w:rsidR="00D903D8" w:rsidRPr="000C5235">
              <w:t>)</w:t>
            </w:r>
          </w:p>
        </w:tc>
      </w:tr>
      <w:tr w:rsidR="00AB4C55" w:rsidRPr="000C5235" w14:paraId="682CD329" w14:textId="77777777" w:rsidTr="00366A75">
        <w:trPr>
          <w:jc w:val="center"/>
        </w:trPr>
        <w:tc>
          <w:tcPr>
            <w:tcW w:w="8364" w:type="dxa"/>
            <w:gridSpan w:val="2"/>
          </w:tcPr>
          <w:p w14:paraId="378AB041" w14:textId="77777777" w:rsidR="00AB4C55" w:rsidRPr="000C5235" w:rsidRDefault="00AB4C55">
            <w:pPr>
              <w:pStyle w:val="TableText-Normal"/>
            </w:pPr>
            <w:r w:rsidRPr="000C5235">
              <w:t>Parliamentary Committees</w:t>
            </w:r>
          </w:p>
          <w:p w14:paraId="5E98741F" w14:textId="77777777" w:rsidR="00AB4C55" w:rsidRPr="000C5235" w:rsidRDefault="00AB4C55">
            <w:pPr>
              <w:pStyle w:val="TableText-Normal"/>
            </w:pPr>
            <w:r w:rsidRPr="000C5235">
              <w:t xml:space="preserve">PB Statements only need to be sent to </w:t>
            </w:r>
            <w:r w:rsidRPr="000C5235">
              <w:rPr>
                <w:u w:val="single"/>
              </w:rPr>
              <w:t>your</w:t>
            </w:r>
            <w:r w:rsidRPr="000C5235">
              <w:t xml:space="preserve"> portfolio’s relevant parliamentary committee(s). PB Statements should be mailed to the following Committee address following tabling: </w:t>
            </w:r>
          </w:p>
          <w:p w14:paraId="19ABA02E" w14:textId="77777777" w:rsidR="00AB4C55" w:rsidRPr="000C5235" w:rsidRDefault="00740055">
            <w:pPr>
              <w:pStyle w:val="TableText-Normal"/>
            </w:pPr>
            <w:r w:rsidRPr="000C5235">
              <w:tab/>
            </w:r>
            <w:r w:rsidR="00AB4C55" w:rsidRPr="000C5235">
              <w:t>[Name of Committee]</w:t>
            </w:r>
            <w:r w:rsidRPr="000C5235">
              <w:br/>
            </w:r>
            <w:r w:rsidRPr="000C5235">
              <w:tab/>
            </w:r>
            <w:r w:rsidR="00AB4C55" w:rsidRPr="000C5235">
              <w:t>PO Box 6100</w:t>
            </w:r>
            <w:r w:rsidRPr="000C5235">
              <w:br/>
            </w:r>
            <w:r w:rsidRPr="000C5235">
              <w:tab/>
            </w:r>
            <w:r w:rsidR="00AB4C55" w:rsidRPr="000C5235">
              <w:t>Parliament House</w:t>
            </w:r>
            <w:r w:rsidRPr="000C5235">
              <w:br/>
            </w:r>
            <w:r w:rsidRPr="000C5235">
              <w:tab/>
            </w:r>
            <w:r w:rsidR="00AB4C55" w:rsidRPr="000C5235">
              <w:t>Canberra ACT 2600</w:t>
            </w:r>
            <w:r w:rsidRPr="000C5235">
              <w:br/>
            </w:r>
            <w:r w:rsidRPr="000C5235">
              <w:tab/>
            </w:r>
            <w:r w:rsidR="00AB4C55" w:rsidRPr="000C5235">
              <w:t>Australia</w:t>
            </w:r>
          </w:p>
        </w:tc>
      </w:tr>
      <w:tr w:rsidR="00543B85" w:rsidRPr="000C5235" w14:paraId="5673CFC3" w14:textId="77777777" w:rsidTr="00154BA2">
        <w:trPr>
          <w:jc w:val="center"/>
        </w:trPr>
        <w:tc>
          <w:tcPr>
            <w:tcW w:w="6379" w:type="dxa"/>
          </w:tcPr>
          <w:p w14:paraId="1AADAC8E" w14:textId="77777777" w:rsidR="00AB4C55" w:rsidRPr="000C5235" w:rsidRDefault="00AB4C55">
            <w:pPr>
              <w:pStyle w:val="TableText-Normal"/>
            </w:pPr>
            <w:r w:rsidRPr="000C5235">
              <w:t xml:space="preserve">Community Affairs </w:t>
            </w:r>
            <w:r w:rsidR="00AD28A0" w:rsidRPr="000C5235">
              <w:t>–</w:t>
            </w:r>
            <w:r w:rsidRPr="000C5235">
              <w:t xml:space="preserve"> </w:t>
            </w:r>
            <w:r w:rsidR="004B3AF6" w:rsidRPr="000C5235">
              <w:t>Health and Social Services, including Services Australia</w:t>
            </w:r>
          </w:p>
          <w:p w14:paraId="13C18334" w14:textId="77777777" w:rsidR="00AB4C55" w:rsidRPr="000C5235" w:rsidRDefault="00AB4C55">
            <w:pPr>
              <w:pStyle w:val="TableText-NormalIndented"/>
            </w:pPr>
            <w:r w:rsidRPr="000C5235">
              <w:t>Estimates Officer</w:t>
            </w:r>
            <w:r w:rsidR="00AD28A0" w:rsidRPr="000C5235">
              <w:t xml:space="preserve"> - </w:t>
            </w:r>
            <w:r w:rsidR="00277260" w:rsidRPr="000C5235">
              <w:t>ph:</w:t>
            </w:r>
            <w:r w:rsidRPr="000C5235">
              <w:t xml:space="preserve"> (02) 6277 3515</w:t>
            </w:r>
          </w:p>
          <w:p w14:paraId="01D31D8A" w14:textId="3E11F417" w:rsidR="00AD28A0" w:rsidRPr="000C5235" w:rsidRDefault="00AD28A0">
            <w:pPr>
              <w:pStyle w:val="TableText-NormalIndented"/>
              <w:rPr>
                <w:rStyle w:val="Hyperlink"/>
                <w:color w:val="auto"/>
              </w:rPr>
            </w:pPr>
            <w:r w:rsidRPr="000C5235">
              <w:t xml:space="preserve">Email: </w:t>
            </w:r>
            <w:r w:rsidR="0011247C" w:rsidRPr="000C5235">
              <w:t xml:space="preserve"> </w:t>
            </w:r>
            <w:hyperlink r:id="rId24" w:history="1">
              <w:r w:rsidRPr="000C5235">
                <w:rPr>
                  <w:color w:val="0070C0"/>
                  <w:u w:val="single"/>
                </w:rPr>
                <w:t>community.affairs.sen@aph.gov.au</w:t>
              </w:r>
            </w:hyperlink>
          </w:p>
        </w:tc>
        <w:tc>
          <w:tcPr>
            <w:tcW w:w="1985" w:type="dxa"/>
          </w:tcPr>
          <w:p w14:paraId="1B20DABA" w14:textId="77777777" w:rsidR="00AB4C55" w:rsidRPr="000C5235" w:rsidRDefault="00AB4C55">
            <w:pPr>
              <w:pStyle w:val="TableText-Normal"/>
            </w:pPr>
            <w:r w:rsidRPr="000C5235">
              <w:t>5 copies</w:t>
            </w:r>
          </w:p>
        </w:tc>
      </w:tr>
      <w:tr w:rsidR="00543B85" w:rsidRPr="000C5235" w14:paraId="4967D704" w14:textId="77777777" w:rsidTr="00154BA2">
        <w:trPr>
          <w:jc w:val="center"/>
        </w:trPr>
        <w:tc>
          <w:tcPr>
            <w:tcW w:w="6379" w:type="dxa"/>
          </w:tcPr>
          <w:p w14:paraId="33F6538B" w14:textId="77777777" w:rsidR="00AB4C55" w:rsidRPr="000C5235" w:rsidRDefault="00AB4C55">
            <w:pPr>
              <w:pStyle w:val="TableText-Normal"/>
            </w:pPr>
            <w:r w:rsidRPr="000C5235">
              <w:t xml:space="preserve">Economics – </w:t>
            </w:r>
            <w:r w:rsidR="00B408D8" w:rsidRPr="000C5235">
              <w:t xml:space="preserve"> Industry, Innovation and Science; and Treasury</w:t>
            </w:r>
          </w:p>
          <w:p w14:paraId="0BEFBDF6" w14:textId="77777777" w:rsidR="00AB4C55" w:rsidRPr="000C5235" w:rsidRDefault="00AB4C55">
            <w:pPr>
              <w:pStyle w:val="TableText-NormalIndented"/>
            </w:pPr>
            <w:r w:rsidRPr="000C5235">
              <w:t>Estimates Officer</w:t>
            </w:r>
            <w:r w:rsidR="00CF2D10" w:rsidRPr="000C5235">
              <w:t xml:space="preserve"> - </w:t>
            </w:r>
            <w:r w:rsidR="00277260" w:rsidRPr="000C5235">
              <w:t>ph:</w:t>
            </w:r>
            <w:r w:rsidRPr="000C5235">
              <w:t xml:space="preserve"> (02) 6277 3540</w:t>
            </w:r>
          </w:p>
          <w:p w14:paraId="07573E44" w14:textId="51CDFE21" w:rsidR="00CF2D10" w:rsidRPr="000C5235" w:rsidRDefault="00CF2D10">
            <w:pPr>
              <w:pStyle w:val="TableText-NormalIndented"/>
              <w:rPr>
                <w:rStyle w:val="Hyperlink"/>
                <w:color w:val="auto"/>
              </w:rPr>
            </w:pPr>
            <w:r w:rsidRPr="000C5235">
              <w:t xml:space="preserve">Email: </w:t>
            </w:r>
            <w:r w:rsidR="0011247C" w:rsidRPr="000C5235">
              <w:t xml:space="preserve"> </w:t>
            </w:r>
            <w:hyperlink r:id="rId25" w:history="1">
              <w:r w:rsidRPr="000C5235">
                <w:rPr>
                  <w:color w:val="0070C0"/>
                  <w:u w:val="single"/>
                </w:rPr>
                <w:t>economics.sen@aph.gov.au</w:t>
              </w:r>
            </w:hyperlink>
          </w:p>
        </w:tc>
        <w:tc>
          <w:tcPr>
            <w:tcW w:w="1985" w:type="dxa"/>
          </w:tcPr>
          <w:p w14:paraId="38FC7D83" w14:textId="77777777" w:rsidR="00AB4C55" w:rsidRPr="000C5235" w:rsidRDefault="00AB4C55">
            <w:pPr>
              <w:pStyle w:val="TableText-Normal"/>
            </w:pPr>
            <w:r w:rsidRPr="000C5235">
              <w:t>8 copies</w:t>
            </w:r>
          </w:p>
        </w:tc>
      </w:tr>
      <w:tr w:rsidR="00543B85" w:rsidRPr="000C5235" w14:paraId="2F8E6E97" w14:textId="77777777" w:rsidTr="00154BA2">
        <w:trPr>
          <w:jc w:val="center"/>
        </w:trPr>
        <w:tc>
          <w:tcPr>
            <w:tcW w:w="6379" w:type="dxa"/>
          </w:tcPr>
          <w:p w14:paraId="2FB098C9" w14:textId="77777777" w:rsidR="00AB4C55" w:rsidRPr="000C5235" w:rsidRDefault="00AB4C55">
            <w:pPr>
              <w:pStyle w:val="TableText-Normal"/>
            </w:pPr>
            <w:r w:rsidRPr="000C5235">
              <w:t xml:space="preserve">Education and Employment – </w:t>
            </w:r>
            <w:r w:rsidR="00B408D8" w:rsidRPr="000C5235">
              <w:t>Education; Employment, Skills, Small and Family Business, including Industrial Relations</w:t>
            </w:r>
          </w:p>
          <w:p w14:paraId="24E212D0" w14:textId="77777777" w:rsidR="00AB4C55" w:rsidRPr="000C5235" w:rsidRDefault="00AB4C55">
            <w:pPr>
              <w:pStyle w:val="TableText-NormalIndented"/>
            </w:pPr>
            <w:r w:rsidRPr="000C5235">
              <w:t>Estimates Officer</w:t>
            </w:r>
            <w:r w:rsidR="00CF2D10" w:rsidRPr="000C5235">
              <w:t xml:space="preserve"> - </w:t>
            </w:r>
            <w:r w:rsidR="00277260" w:rsidRPr="000C5235">
              <w:t>ph:</w:t>
            </w:r>
            <w:r w:rsidRPr="000C5235">
              <w:t xml:space="preserve"> (02) 6277 3521</w:t>
            </w:r>
          </w:p>
          <w:p w14:paraId="0FF88D75" w14:textId="669B27C7" w:rsidR="00CF2D10" w:rsidRPr="000C5235" w:rsidRDefault="00CF2D10">
            <w:pPr>
              <w:pStyle w:val="TableText-NormalIndented"/>
              <w:rPr>
                <w:rStyle w:val="Hyperlink"/>
                <w:color w:val="auto"/>
              </w:rPr>
            </w:pPr>
            <w:r w:rsidRPr="000C5235">
              <w:t xml:space="preserve">Email: </w:t>
            </w:r>
            <w:r w:rsidR="0011247C" w:rsidRPr="000C5235">
              <w:t xml:space="preserve"> </w:t>
            </w:r>
            <w:hyperlink r:id="rId26" w:history="1">
              <w:r w:rsidRPr="000C5235">
                <w:rPr>
                  <w:color w:val="0070C0"/>
                  <w:u w:val="single"/>
                </w:rPr>
                <w:t>eec.sen@aph.gov.au</w:t>
              </w:r>
            </w:hyperlink>
          </w:p>
        </w:tc>
        <w:tc>
          <w:tcPr>
            <w:tcW w:w="1985" w:type="dxa"/>
          </w:tcPr>
          <w:p w14:paraId="4D577774" w14:textId="77777777" w:rsidR="00AB4C55" w:rsidRPr="000C5235" w:rsidRDefault="00CF2D10">
            <w:pPr>
              <w:pStyle w:val="TableText-Normal"/>
            </w:pPr>
            <w:r w:rsidRPr="000C5235">
              <w:t xml:space="preserve">6 </w:t>
            </w:r>
            <w:r w:rsidR="00AB4C55" w:rsidRPr="000C5235">
              <w:t>copies</w:t>
            </w:r>
          </w:p>
        </w:tc>
      </w:tr>
      <w:tr w:rsidR="00543B85" w:rsidRPr="000C5235" w14:paraId="707D29ED" w14:textId="77777777" w:rsidTr="00154BA2">
        <w:trPr>
          <w:jc w:val="center"/>
        </w:trPr>
        <w:tc>
          <w:tcPr>
            <w:tcW w:w="6379" w:type="dxa"/>
          </w:tcPr>
          <w:p w14:paraId="06355B58" w14:textId="77777777" w:rsidR="00AB4C55" w:rsidRPr="000C5235" w:rsidRDefault="00AB4C55">
            <w:pPr>
              <w:pStyle w:val="TableText-Normal"/>
            </w:pPr>
            <w:r w:rsidRPr="000C5235">
              <w:t xml:space="preserve">Environment and Communications - </w:t>
            </w:r>
            <w:r w:rsidR="00B408D8" w:rsidRPr="000C5235">
              <w:t>Communications and the Arts; and Environment and Energy</w:t>
            </w:r>
          </w:p>
          <w:p w14:paraId="47FDF332" w14:textId="77777777" w:rsidR="00AB4C55" w:rsidRPr="000C5235" w:rsidRDefault="00AB4C55">
            <w:pPr>
              <w:pStyle w:val="TableText-NormalIndented"/>
            </w:pPr>
            <w:r w:rsidRPr="000C5235">
              <w:t>Estimates Officer</w:t>
            </w:r>
            <w:r w:rsidR="00CF2D10" w:rsidRPr="000C5235">
              <w:t xml:space="preserve"> - </w:t>
            </w:r>
            <w:r w:rsidR="00277260" w:rsidRPr="000C5235">
              <w:t>ph:</w:t>
            </w:r>
            <w:r w:rsidRPr="000C5235">
              <w:t xml:space="preserve"> (02) 6277 3526</w:t>
            </w:r>
          </w:p>
          <w:p w14:paraId="74678FCA" w14:textId="6951FDCB" w:rsidR="00CF2D10" w:rsidRPr="000C5235" w:rsidRDefault="00CF2D10">
            <w:pPr>
              <w:pStyle w:val="TableText-NormalIndented"/>
              <w:rPr>
                <w:rStyle w:val="Hyperlink"/>
                <w:color w:val="auto"/>
              </w:rPr>
            </w:pPr>
            <w:r w:rsidRPr="000C5235">
              <w:t xml:space="preserve">Email: </w:t>
            </w:r>
            <w:r w:rsidR="0011247C" w:rsidRPr="000C5235">
              <w:t xml:space="preserve"> </w:t>
            </w:r>
            <w:hyperlink r:id="rId27" w:history="1">
              <w:r w:rsidRPr="000C5235">
                <w:rPr>
                  <w:color w:val="0070C0"/>
                  <w:u w:val="single"/>
                </w:rPr>
                <w:t>ec.sen@aph.gov.au</w:t>
              </w:r>
            </w:hyperlink>
          </w:p>
        </w:tc>
        <w:tc>
          <w:tcPr>
            <w:tcW w:w="1985" w:type="dxa"/>
          </w:tcPr>
          <w:p w14:paraId="4404354A" w14:textId="77777777" w:rsidR="00AB4C55" w:rsidRPr="000C5235" w:rsidRDefault="00AB4C55">
            <w:pPr>
              <w:pStyle w:val="TableText-Normal"/>
            </w:pPr>
            <w:r w:rsidRPr="000C5235">
              <w:t>5 copies</w:t>
            </w:r>
          </w:p>
        </w:tc>
      </w:tr>
      <w:tr w:rsidR="00543B85" w:rsidRPr="000C5235" w14:paraId="53980B26" w14:textId="77777777" w:rsidTr="00154BA2">
        <w:trPr>
          <w:jc w:val="center"/>
        </w:trPr>
        <w:tc>
          <w:tcPr>
            <w:tcW w:w="6379" w:type="dxa"/>
          </w:tcPr>
          <w:p w14:paraId="0CBE6555" w14:textId="77777777" w:rsidR="00AB4C55" w:rsidRPr="000C5235" w:rsidRDefault="00AB4C55">
            <w:pPr>
              <w:pStyle w:val="TableText-Normal"/>
            </w:pPr>
            <w:r w:rsidRPr="000C5235">
              <w:t xml:space="preserve">Finance and Public Administration - </w:t>
            </w:r>
            <w:r w:rsidR="00B408D8" w:rsidRPr="000C5235">
              <w:t>Prime Minister and Cabinet, and Finance</w:t>
            </w:r>
          </w:p>
          <w:p w14:paraId="7F4227A5" w14:textId="77777777" w:rsidR="00AB4C55" w:rsidRPr="000C5235" w:rsidRDefault="00AB4C55">
            <w:pPr>
              <w:pStyle w:val="TableText-NormalIndented"/>
            </w:pPr>
            <w:r w:rsidRPr="000C5235">
              <w:t>Estimates Officer</w:t>
            </w:r>
            <w:r w:rsidR="00CF2D10" w:rsidRPr="000C5235">
              <w:t xml:space="preserve"> - </w:t>
            </w:r>
            <w:r w:rsidR="00277260" w:rsidRPr="000C5235">
              <w:t>ph:</w:t>
            </w:r>
            <w:r w:rsidRPr="000C5235">
              <w:t xml:space="preserve"> (02) 6277 3534</w:t>
            </w:r>
          </w:p>
          <w:p w14:paraId="27F7E6DE" w14:textId="0982424B" w:rsidR="00CF2D10" w:rsidRPr="000C5235" w:rsidRDefault="00CF2D10">
            <w:pPr>
              <w:pStyle w:val="TableText-NormalIndented"/>
              <w:rPr>
                <w:rStyle w:val="Hyperlink"/>
                <w:color w:val="auto"/>
              </w:rPr>
            </w:pPr>
            <w:r w:rsidRPr="000C5235">
              <w:t xml:space="preserve">Email: </w:t>
            </w:r>
            <w:r w:rsidR="0011247C" w:rsidRPr="000C5235">
              <w:t xml:space="preserve"> </w:t>
            </w:r>
            <w:hyperlink r:id="rId28" w:history="1">
              <w:r w:rsidRPr="000C5235">
                <w:rPr>
                  <w:color w:val="0070C0"/>
                  <w:u w:val="single"/>
                </w:rPr>
                <w:t>fpa.sen@aph.gov.au</w:t>
              </w:r>
            </w:hyperlink>
          </w:p>
        </w:tc>
        <w:tc>
          <w:tcPr>
            <w:tcW w:w="1985" w:type="dxa"/>
          </w:tcPr>
          <w:p w14:paraId="6C60AB49" w14:textId="77777777" w:rsidR="00AB4C55" w:rsidRPr="000C5235" w:rsidRDefault="00AB4C55">
            <w:pPr>
              <w:pStyle w:val="TableText-Normal"/>
            </w:pPr>
            <w:r w:rsidRPr="000C5235">
              <w:t>8 copies</w:t>
            </w:r>
          </w:p>
        </w:tc>
      </w:tr>
      <w:tr w:rsidR="00543B85" w:rsidRPr="000C5235" w14:paraId="62501CB8" w14:textId="77777777" w:rsidTr="00154BA2">
        <w:trPr>
          <w:jc w:val="center"/>
        </w:trPr>
        <w:tc>
          <w:tcPr>
            <w:tcW w:w="6379" w:type="dxa"/>
          </w:tcPr>
          <w:p w14:paraId="0AF0A5EC" w14:textId="77777777" w:rsidR="00322115" w:rsidRPr="000C5235" w:rsidRDefault="00322115">
            <w:pPr>
              <w:pStyle w:val="TableText-Normal"/>
            </w:pPr>
            <w:r w:rsidRPr="000C5235">
              <w:t xml:space="preserve">Foreign Affairs, Defence and Trade - </w:t>
            </w:r>
            <w:r w:rsidR="00B408D8" w:rsidRPr="000C5235">
              <w:t>Defence (including Veterans' Affairs), Foreign Affairs and Trade</w:t>
            </w:r>
          </w:p>
          <w:p w14:paraId="4D19FE8A" w14:textId="77777777" w:rsidR="00AB4C55" w:rsidRPr="000C5235" w:rsidRDefault="00322115">
            <w:pPr>
              <w:pStyle w:val="TableText-NormalIndented"/>
            </w:pPr>
            <w:r w:rsidRPr="000C5235">
              <w:t>Estimates Officer</w:t>
            </w:r>
            <w:r w:rsidR="00CF2D10" w:rsidRPr="000C5235">
              <w:t xml:space="preserve"> - </w:t>
            </w:r>
            <w:r w:rsidR="00277260" w:rsidRPr="000C5235">
              <w:t>ph:</w:t>
            </w:r>
            <w:r w:rsidRPr="000C5235">
              <w:t xml:space="preserve"> (02) 6277 3535</w:t>
            </w:r>
          </w:p>
          <w:p w14:paraId="7946C99F" w14:textId="65360026" w:rsidR="00CF2D10" w:rsidRPr="000C5235" w:rsidRDefault="00CF2D10">
            <w:pPr>
              <w:pStyle w:val="TableText-NormalIndented"/>
              <w:rPr>
                <w:rStyle w:val="Hyperlink"/>
                <w:color w:val="auto"/>
              </w:rPr>
            </w:pPr>
            <w:r w:rsidRPr="000C5235">
              <w:t xml:space="preserve">Email: </w:t>
            </w:r>
            <w:r w:rsidR="0011247C" w:rsidRPr="000C5235">
              <w:t xml:space="preserve"> </w:t>
            </w:r>
            <w:hyperlink r:id="rId29" w:history="1">
              <w:r w:rsidRPr="000C5235">
                <w:rPr>
                  <w:color w:val="0070C0"/>
                  <w:u w:val="single"/>
                </w:rPr>
                <w:t>fadt.sen@aph.gov.au</w:t>
              </w:r>
            </w:hyperlink>
          </w:p>
        </w:tc>
        <w:tc>
          <w:tcPr>
            <w:tcW w:w="1985" w:type="dxa"/>
          </w:tcPr>
          <w:p w14:paraId="2BB1E2A2" w14:textId="77777777" w:rsidR="00AB4C55" w:rsidRPr="000C5235" w:rsidRDefault="00322115">
            <w:pPr>
              <w:pStyle w:val="TableText-Normal"/>
            </w:pPr>
            <w:r w:rsidRPr="000C5235">
              <w:t>6 copies</w:t>
            </w:r>
          </w:p>
        </w:tc>
      </w:tr>
      <w:tr w:rsidR="00543B85" w:rsidRPr="000C5235" w14:paraId="0241BC5F" w14:textId="77777777" w:rsidTr="00154BA2">
        <w:trPr>
          <w:jc w:val="center"/>
        </w:trPr>
        <w:tc>
          <w:tcPr>
            <w:tcW w:w="6379" w:type="dxa"/>
          </w:tcPr>
          <w:p w14:paraId="366A9DB4" w14:textId="77777777" w:rsidR="00322115" w:rsidRPr="000C5235" w:rsidRDefault="00322115">
            <w:pPr>
              <w:pStyle w:val="TableText-Normal"/>
            </w:pPr>
            <w:r w:rsidRPr="000C5235">
              <w:t xml:space="preserve">Legal and Constitutional Affairs - </w:t>
            </w:r>
            <w:r w:rsidR="00B408D8" w:rsidRPr="000C5235">
              <w:t>Attorney-General and Home Affairs</w:t>
            </w:r>
          </w:p>
          <w:p w14:paraId="3330DA95" w14:textId="77777777" w:rsidR="00AB4C55" w:rsidRPr="000C5235" w:rsidRDefault="00322115">
            <w:pPr>
              <w:pStyle w:val="TableText-NormalIndented"/>
            </w:pPr>
            <w:r w:rsidRPr="000C5235">
              <w:t>Estimates Officer</w:t>
            </w:r>
            <w:r w:rsidR="00E96E44" w:rsidRPr="000C5235">
              <w:t xml:space="preserve"> - </w:t>
            </w:r>
            <w:r w:rsidR="00277260" w:rsidRPr="000C5235">
              <w:t>ph:</w:t>
            </w:r>
            <w:r w:rsidRPr="000C5235">
              <w:t xml:space="preserve"> (02) 6277 3560</w:t>
            </w:r>
          </w:p>
          <w:p w14:paraId="743E57F3" w14:textId="63B0A7E4" w:rsidR="00E96E44" w:rsidRPr="000C5235" w:rsidRDefault="00E96E44">
            <w:pPr>
              <w:pStyle w:val="TableText-NormalIndented"/>
              <w:rPr>
                <w:rStyle w:val="Hyperlink"/>
                <w:color w:val="auto"/>
              </w:rPr>
            </w:pPr>
            <w:r w:rsidRPr="000C5235">
              <w:t xml:space="preserve">Email: </w:t>
            </w:r>
            <w:r w:rsidR="0011247C" w:rsidRPr="000C5235">
              <w:t xml:space="preserve"> </w:t>
            </w:r>
            <w:hyperlink r:id="rId30" w:history="1">
              <w:r w:rsidRPr="000C5235">
                <w:rPr>
                  <w:color w:val="0070C0"/>
                  <w:u w:val="single"/>
                </w:rPr>
                <w:t>legcon.sen@aph.gov.au</w:t>
              </w:r>
            </w:hyperlink>
          </w:p>
        </w:tc>
        <w:tc>
          <w:tcPr>
            <w:tcW w:w="1985" w:type="dxa"/>
          </w:tcPr>
          <w:p w14:paraId="16C0EC9B" w14:textId="77777777" w:rsidR="00AB4C55" w:rsidRPr="000C5235" w:rsidRDefault="00E96E44">
            <w:pPr>
              <w:pStyle w:val="TableText-Normal"/>
            </w:pPr>
            <w:r w:rsidRPr="000C5235">
              <w:t>3</w:t>
            </w:r>
            <w:r w:rsidR="00322115" w:rsidRPr="000C5235">
              <w:t xml:space="preserve"> copies</w:t>
            </w:r>
          </w:p>
        </w:tc>
      </w:tr>
      <w:tr w:rsidR="00AB4C55" w:rsidRPr="000C5235" w14:paraId="7DF58D50" w14:textId="77777777" w:rsidTr="003E3C9D">
        <w:trPr>
          <w:jc w:val="center"/>
        </w:trPr>
        <w:tc>
          <w:tcPr>
            <w:tcW w:w="6379" w:type="dxa"/>
          </w:tcPr>
          <w:p w14:paraId="2EE4359F" w14:textId="77777777" w:rsidR="00AB4C55" w:rsidRPr="000C5235" w:rsidRDefault="00DB70C4">
            <w:pPr>
              <w:pStyle w:val="TableText-Normal"/>
            </w:pPr>
            <w:r w:rsidRPr="000C5235">
              <w:t xml:space="preserve">Rural and Regional Affairs and Transport </w:t>
            </w:r>
            <w:r w:rsidR="00E96E44" w:rsidRPr="000C5235">
              <w:t>–</w:t>
            </w:r>
            <w:r w:rsidRPr="000C5235">
              <w:t xml:space="preserve"> Agriculture</w:t>
            </w:r>
            <w:r w:rsidR="00E96E44" w:rsidRPr="000C5235">
              <w:t>, Infrastructure, Transport, Cities and Regional Development</w:t>
            </w:r>
          </w:p>
          <w:p w14:paraId="03E9D595" w14:textId="77777777" w:rsidR="00DB70C4" w:rsidRPr="000C5235" w:rsidRDefault="00DB70C4">
            <w:pPr>
              <w:pStyle w:val="TableText-NormalIndented"/>
            </w:pPr>
            <w:r w:rsidRPr="000C5235">
              <w:t>Estimates Officer</w:t>
            </w:r>
            <w:r w:rsidR="00032260" w:rsidRPr="000C5235">
              <w:t xml:space="preserve"> - </w:t>
            </w:r>
            <w:r w:rsidR="00277260" w:rsidRPr="000C5235">
              <w:t>ph:</w:t>
            </w:r>
            <w:r w:rsidRPr="000C5235">
              <w:t xml:space="preserve"> (02) 6277 3511</w:t>
            </w:r>
          </w:p>
          <w:p w14:paraId="3CB35DD1" w14:textId="0B25B9DC" w:rsidR="00E96E44" w:rsidRPr="000C5235" w:rsidRDefault="00E96E44">
            <w:pPr>
              <w:pStyle w:val="TableText-NormalIndented"/>
            </w:pPr>
            <w:r w:rsidRPr="000C5235">
              <w:t xml:space="preserve">Email: </w:t>
            </w:r>
            <w:r w:rsidR="0011247C" w:rsidRPr="000C5235">
              <w:t xml:space="preserve"> </w:t>
            </w:r>
            <w:hyperlink r:id="rId31" w:history="1">
              <w:r w:rsidRPr="000C5235">
                <w:rPr>
                  <w:color w:val="0070C0"/>
                  <w:u w:val="single"/>
                </w:rPr>
                <w:t>rrat.sen@aph.gov.au</w:t>
              </w:r>
            </w:hyperlink>
          </w:p>
        </w:tc>
        <w:tc>
          <w:tcPr>
            <w:tcW w:w="1985" w:type="dxa"/>
          </w:tcPr>
          <w:p w14:paraId="4822E69A" w14:textId="77777777" w:rsidR="00AB4C55" w:rsidRPr="000C5235" w:rsidRDefault="00DB70C4">
            <w:pPr>
              <w:pStyle w:val="TableText-Normal"/>
            </w:pPr>
            <w:r w:rsidRPr="000C5235">
              <w:t>3 copies</w:t>
            </w:r>
          </w:p>
        </w:tc>
      </w:tr>
      <w:tr w:rsidR="00FA0945" w:rsidRPr="000C5235" w14:paraId="0C49ED1C" w14:textId="77777777" w:rsidTr="00FA515F">
        <w:trPr>
          <w:jc w:val="center"/>
        </w:trPr>
        <w:tc>
          <w:tcPr>
            <w:tcW w:w="8364" w:type="dxa"/>
            <w:gridSpan w:val="2"/>
            <w:shd w:val="clear" w:color="auto" w:fill="DDF3FA"/>
          </w:tcPr>
          <w:p w14:paraId="503B416E" w14:textId="77777777" w:rsidR="00FA0945" w:rsidRPr="000C5235" w:rsidRDefault="00FA0945">
            <w:pPr>
              <w:pStyle w:val="TableText-Normal"/>
            </w:pPr>
            <w:r w:rsidRPr="000C5235">
              <w:br w:type="page"/>
            </w:r>
            <w:r w:rsidRPr="000C5235">
              <w:br w:type="page"/>
            </w:r>
            <w:r w:rsidRPr="000C5235">
              <w:br w:type="page"/>
            </w:r>
            <w:r w:rsidRPr="000C5235">
              <w:br w:type="page"/>
              <w:t xml:space="preserve">For delivery </w:t>
            </w:r>
            <w:r w:rsidRPr="000C5235">
              <w:rPr>
                <w:u w:val="single"/>
              </w:rPr>
              <w:t>after</w:t>
            </w:r>
            <w:r w:rsidRPr="000C5235">
              <w:t xml:space="preserve"> tabling/Budget night</w:t>
            </w:r>
            <w:r w:rsidR="00233EB4" w:rsidRPr="000C5235">
              <w:t xml:space="preserve"> </w:t>
            </w:r>
            <w:r w:rsidRPr="000C5235">
              <w:t>(continued)</w:t>
            </w:r>
          </w:p>
        </w:tc>
      </w:tr>
      <w:tr w:rsidR="00FA0945" w:rsidRPr="000C5235" w14:paraId="221A6BE7" w14:textId="77777777" w:rsidTr="00FA515F">
        <w:trPr>
          <w:jc w:val="center"/>
        </w:trPr>
        <w:tc>
          <w:tcPr>
            <w:tcW w:w="6379" w:type="dxa"/>
          </w:tcPr>
          <w:p w14:paraId="0B19FDFA" w14:textId="77777777" w:rsidR="0002365E" w:rsidRPr="000C5235" w:rsidRDefault="0002365E" w:rsidP="000A7DEC">
            <w:pPr>
              <w:pStyle w:val="TableText-Normal"/>
            </w:pPr>
            <w:r w:rsidRPr="000C5235">
              <w:t>Commonwealth Library Deposit and Free Issue Schemes (LDS)</w:t>
            </w:r>
          </w:p>
          <w:p w14:paraId="7F311923" w14:textId="6619FA44" w:rsidR="00FA0945" w:rsidRPr="000C5235" w:rsidRDefault="0002365E" w:rsidP="000A7DEC">
            <w:pPr>
              <w:pStyle w:val="NormalTextRed"/>
              <w:ind w:left="132"/>
              <w:rPr>
                <w:rStyle w:val="Hyperlink"/>
              </w:rPr>
            </w:pPr>
            <w:r w:rsidRPr="000C5235">
              <w:t xml:space="preserve">Email: </w:t>
            </w:r>
            <w:hyperlink r:id="rId32" w:history="1">
              <w:r w:rsidR="00204768" w:rsidRPr="000C5235">
                <w:t>info@dta.gov.au</w:t>
              </w:r>
            </w:hyperlink>
            <w:r w:rsidR="00204768" w:rsidRPr="000C5235">
              <w:rPr>
                <w:rStyle w:val="Hyperlink"/>
                <w:rFonts w:asciiTheme="minorHAnsi" w:eastAsia="Cambria" w:hAnsiTheme="minorHAnsi" w:cs="Times New Roman"/>
                <w:color w:val="auto"/>
                <w:sz w:val="18"/>
                <w:u w:val="none"/>
              </w:rPr>
              <w:t xml:space="preserve"> </w:t>
            </w:r>
            <w:r w:rsidRPr="000C5235">
              <w:br/>
              <w:t xml:space="preserve">Ph: 02 6120 8707 </w:t>
            </w:r>
            <w:r w:rsidRPr="000C5235">
              <w:br/>
              <w:t xml:space="preserve">Website: </w:t>
            </w:r>
            <w:hyperlink r:id="rId33" w:history="1">
              <w:r w:rsidRPr="000C5235">
                <w:t>https://www.dta.gov.au/help-and-advice/guides-and-tools/commonwealth-library-deposit-and-free-issue-schemes</w:t>
              </w:r>
            </w:hyperlink>
            <w:r w:rsidR="000A77B9" w:rsidRPr="000C5235">
              <w:rPr>
                <w:sz w:val="18"/>
              </w:rPr>
              <w:t xml:space="preserve"> </w:t>
            </w:r>
          </w:p>
        </w:tc>
        <w:tc>
          <w:tcPr>
            <w:tcW w:w="1985" w:type="dxa"/>
          </w:tcPr>
          <w:p w14:paraId="199E5232" w14:textId="77777777" w:rsidR="00FA0945" w:rsidRPr="000C5235" w:rsidRDefault="00FA0945">
            <w:pPr>
              <w:pStyle w:val="TableText-Normal"/>
            </w:pPr>
            <w:r w:rsidRPr="000C5235">
              <w:t>2</w:t>
            </w:r>
            <w:r w:rsidR="00155B83" w:rsidRPr="000C5235">
              <w:t>1</w:t>
            </w:r>
            <w:r w:rsidRPr="000C5235">
              <w:t xml:space="preserve"> copies </w:t>
            </w:r>
          </w:p>
          <w:p w14:paraId="69C41304" w14:textId="77777777" w:rsidR="00FA0945" w:rsidRPr="000C5235" w:rsidRDefault="00FA0945">
            <w:pPr>
              <w:pStyle w:val="TableText-Normal"/>
            </w:pPr>
            <w:r w:rsidRPr="000C5235">
              <w:t>(please check Library Deposit website prior to printing)</w:t>
            </w:r>
          </w:p>
        </w:tc>
      </w:tr>
    </w:tbl>
    <w:p w14:paraId="6AAA4286" w14:textId="77777777" w:rsidR="00EE503C" w:rsidRPr="000C5235" w:rsidRDefault="00EE503C">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299" w:name="_Toc406683948"/>
      <w:bookmarkStart w:id="300" w:name="_Toc411852670"/>
      <w:r w:rsidRPr="000C5235">
        <w:br w:type="page"/>
      </w:r>
    </w:p>
    <w:p w14:paraId="20C70512" w14:textId="77777777" w:rsidR="0049098A" w:rsidRPr="000C5235" w:rsidRDefault="0049098A" w:rsidP="000A7DEC">
      <w:pPr>
        <w:pStyle w:val="Heading2Numbered"/>
      </w:pPr>
      <w:bookmarkStart w:id="301" w:name="_Toc53564730"/>
      <w:r w:rsidRPr="000C5235">
        <w:t xml:space="preserve">Protected-rated email </w:t>
      </w:r>
      <w:r w:rsidR="00E479CD" w:rsidRPr="000C5235">
        <w:t xml:space="preserve">/ </w:t>
      </w:r>
      <w:r w:rsidRPr="000C5235">
        <w:t>CabNet requirements</w:t>
      </w:r>
      <w:bookmarkEnd w:id="301"/>
    </w:p>
    <w:p w14:paraId="0E1A36B8" w14:textId="77777777" w:rsidR="0049098A" w:rsidRPr="000C5235" w:rsidRDefault="0049098A" w:rsidP="000A7DEC">
      <w:r w:rsidRPr="000C5235">
        <w:rPr>
          <w:sz w:val="20"/>
        </w:rPr>
        <w:t>As PB Statements are under embargo until they are tabled in Parliament</w:t>
      </w:r>
      <w:r w:rsidR="000E692C" w:rsidRPr="000C5235">
        <w:rPr>
          <w:sz w:val="20"/>
        </w:rPr>
        <w:t>, P</w:t>
      </w:r>
      <w:r w:rsidRPr="000C5235">
        <w:rPr>
          <w:sz w:val="20"/>
        </w:rPr>
        <w:t>ortfolio</w:t>
      </w:r>
      <w:r w:rsidR="000E692C" w:rsidRPr="000C5235">
        <w:rPr>
          <w:sz w:val="20"/>
        </w:rPr>
        <w:t>s</w:t>
      </w:r>
      <w:r w:rsidRPr="000C5235">
        <w:rPr>
          <w:sz w:val="20"/>
        </w:rPr>
        <w:t xml:space="preserve"> will need to send electronic copies </w:t>
      </w:r>
      <w:r w:rsidR="000E692C" w:rsidRPr="000C5235">
        <w:rPr>
          <w:sz w:val="20"/>
        </w:rPr>
        <w:t xml:space="preserve">of their Adobe PDFs and Financial Tables </w:t>
      </w:r>
      <w:r w:rsidRPr="000C5235">
        <w:rPr>
          <w:sz w:val="20"/>
        </w:rPr>
        <w:t>via Protected-rated email or via CabNet.</w:t>
      </w:r>
    </w:p>
    <w:p w14:paraId="1EB1E6A5" w14:textId="0DA2DD85" w:rsidR="0049098A" w:rsidRPr="000C5235" w:rsidRDefault="0049098A">
      <w:pPr>
        <w:pStyle w:val="Bullet1"/>
        <w:rPr>
          <w:rStyle w:val="Hyperlink"/>
          <w:rFonts w:eastAsiaTheme="minorHAnsi" w:cs="Times New Roman"/>
          <w:color w:val="auto"/>
          <w:u w:val="none"/>
        </w:rPr>
      </w:pPr>
      <w:r w:rsidRPr="000C5235">
        <w:t xml:space="preserve">To check whether your entity has Protected-rated email, please refer to the GovLink user list: </w:t>
      </w:r>
      <w:hyperlink r:id="rId34" w:history="1">
        <w:r w:rsidRPr="000C5235">
          <w:rPr>
            <w:rStyle w:val="Hyperlink"/>
            <w:rFonts w:cs="Times New Roman"/>
          </w:rPr>
          <w:t>http://govlink.sge.net/home.aspx</w:t>
        </w:r>
      </w:hyperlink>
      <w:r w:rsidR="00FA512B" w:rsidRPr="000C5235">
        <w:t>.</w:t>
      </w:r>
    </w:p>
    <w:p w14:paraId="29EA0B74" w14:textId="77777777" w:rsidR="0049098A" w:rsidRPr="000C5235" w:rsidRDefault="0049098A" w:rsidP="000A7DEC">
      <w:pPr>
        <w:pStyle w:val="NormalTextRed"/>
        <w:rPr>
          <w:szCs w:val="22"/>
          <w:u w:color="0070C0"/>
        </w:rPr>
      </w:pPr>
      <w:r w:rsidRPr="000C5235">
        <w:rPr>
          <w:rStyle w:val="Hyperlink"/>
          <w:rFonts w:cs="Times New Roman"/>
          <w:color w:val="FF0000"/>
          <w:u w:val="none"/>
        </w:rPr>
        <w:t xml:space="preserve">Click on the </w:t>
      </w:r>
      <w:r w:rsidRPr="000C5235">
        <w:rPr>
          <w:rStyle w:val="Hyperlink"/>
          <w:rFonts w:cs="Times New Roman"/>
          <w:i/>
          <w:color w:val="FF0000"/>
          <w:u w:val="none"/>
        </w:rPr>
        <w:t>User List</w:t>
      </w:r>
      <w:r w:rsidRPr="000C5235">
        <w:rPr>
          <w:rStyle w:val="Hyperlink"/>
          <w:rFonts w:cs="Times New Roman"/>
          <w:color w:val="FF0000"/>
          <w:u w:val="none"/>
        </w:rPr>
        <w:t xml:space="preserve"> to view the list of organisations currently using the GovLink network.</w:t>
      </w:r>
    </w:p>
    <w:p w14:paraId="12C62DDF" w14:textId="77777777" w:rsidR="00322224" w:rsidRPr="000C5235" w:rsidRDefault="00FA0945" w:rsidP="000A7DEC">
      <w:pPr>
        <w:pStyle w:val="Heading2Numbered"/>
      </w:pPr>
      <w:bookmarkStart w:id="302" w:name="_Toc30405546"/>
      <w:bookmarkStart w:id="303" w:name="_Toc30581287"/>
      <w:bookmarkStart w:id="304" w:name="_Toc32829949"/>
      <w:bookmarkStart w:id="305" w:name="_Toc32917453"/>
      <w:bookmarkStart w:id="306" w:name="_Toc32918259"/>
      <w:bookmarkStart w:id="307" w:name="_Toc32999642"/>
      <w:bookmarkStart w:id="308" w:name="_Toc33099361"/>
      <w:bookmarkStart w:id="309" w:name="_Toc33195991"/>
      <w:bookmarkStart w:id="310" w:name="_Toc33196293"/>
      <w:bookmarkStart w:id="311" w:name="_Toc30405547"/>
      <w:bookmarkStart w:id="312" w:name="_Toc30581288"/>
      <w:bookmarkStart w:id="313" w:name="_Toc32829950"/>
      <w:bookmarkStart w:id="314" w:name="_Toc32917454"/>
      <w:bookmarkStart w:id="315" w:name="_Toc32918260"/>
      <w:bookmarkStart w:id="316" w:name="_Toc32999643"/>
      <w:bookmarkStart w:id="317" w:name="_Toc33099362"/>
      <w:bookmarkStart w:id="318" w:name="_Toc33195992"/>
      <w:bookmarkStart w:id="319" w:name="_Toc33196294"/>
      <w:bookmarkStart w:id="320" w:name="_Toc30405548"/>
      <w:bookmarkStart w:id="321" w:name="_Toc30581289"/>
      <w:bookmarkStart w:id="322" w:name="_Toc32829951"/>
      <w:bookmarkStart w:id="323" w:name="_Toc32917455"/>
      <w:bookmarkStart w:id="324" w:name="_Toc32918261"/>
      <w:bookmarkStart w:id="325" w:name="_Toc32999644"/>
      <w:bookmarkStart w:id="326" w:name="_Toc33099363"/>
      <w:bookmarkStart w:id="327" w:name="_Toc33195993"/>
      <w:bookmarkStart w:id="328" w:name="_Toc33196295"/>
      <w:bookmarkStart w:id="329" w:name="_Toc53564731"/>
      <w:bookmarkStart w:id="330" w:name="Review_Budget_Media_Lockup_2020_01_09"/>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0C5235">
        <w:t>Budget media lockup</w:t>
      </w:r>
      <w:r w:rsidR="000E692C" w:rsidRPr="000C5235">
        <w:t xml:space="preserve"> hard copy and Adobe PDF requirements</w:t>
      </w:r>
      <w:bookmarkEnd w:id="329"/>
    </w:p>
    <w:bookmarkEnd w:id="330"/>
    <w:p w14:paraId="57DA777D" w14:textId="77777777" w:rsidR="00FA0945" w:rsidRPr="000C5235" w:rsidRDefault="00FA0945" w:rsidP="000A7DEC">
      <w:r w:rsidRPr="000C5235">
        <w:t>Portfolios are to supply both printed copies of their PB Statements</w:t>
      </w:r>
      <w:r w:rsidR="005F01DF" w:rsidRPr="000C5235">
        <w:t xml:space="preserve"> </w:t>
      </w:r>
      <w:r w:rsidRPr="000C5235">
        <w:t xml:space="preserve">as well as Adobe PDF copies so they can be made available to the media in </w:t>
      </w:r>
      <w:r w:rsidR="00527B86" w:rsidRPr="000C5235">
        <w:t>the Budget lock</w:t>
      </w:r>
      <w:r w:rsidR="00D77E92" w:rsidRPr="000C5235">
        <w:t>-</w:t>
      </w:r>
      <w:r w:rsidR="00527B86" w:rsidRPr="000C5235">
        <w:t>up</w:t>
      </w:r>
      <w:r w:rsidR="003F48C3" w:rsidRPr="000C5235">
        <w:t>.</w:t>
      </w:r>
    </w:p>
    <w:p w14:paraId="7326C814" w14:textId="23CEB597" w:rsidR="00FA0945" w:rsidRPr="000C5235" w:rsidRDefault="00FA0945">
      <w:pPr>
        <w:pStyle w:val="BodyText"/>
      </w:pPr>
      <w:r w:rsidRPr="000C5235">
        <w:t xml:space="preserve">Portfolios should email Adobe PDF copies of their full PB Statements to Finance either via Protected-rated email to </w:t>
      </w:r>
      <w:hyperlink r:id="rId35" w:history="1">
        <w:r w:rsidR="00154BA2" w:rsidRPr="000C5235">
          <w:rPr>
            <w:rStyle w:val="Hyperlink"/>
            <w:rFonts w:asciiTheme="minorHAnsi" w:hAnsiTheme="minorHAnsi" w:cs="Times New Roman"/>
          </w:rPr>
          <w:t>Budget_Framework@finance.gov.au</w:t>
        </w:r>
      </w:hyperlink>
      <w:r w:rsidR="00154BA2" w:rsidRPr="000C5235">
        <w:t xml:space="preserve"> </w:t>
      </w:r>
      <w:r w:rsidRPr="000C5235">
        <w:t xml:space="preserve">or via CabNet for the attention of </w:t>
      </w:r>
      <w:hyperlink r:id="rId36" w:history="1">
        <w:r w:rsidR="00154BA2" w:rsidRPr="000C5235">
          <w:rPr>
            <w:rStyle w:val="Hyperlink"/>
            <w:rFonts w:asciiTheme="minorHAnsi" w:hAnsiTheme="minorHAnsi" w:cs="Times New Roman"/>
          </w:rPr>
          <w:t>Budget_Framework@finance.gov.au</w:t>
        </w:r>
      </w:hyperlink>
      <w:r w:rsidRPr="000C5235">
        <w:t xml:space="preserve"> by </w:t>
      </w:r>
      <w:r w:rsidR="00530060" w:rsidRPr="000C5235">
        <w:rPr>
          <w:b/>
        </w:rPr>
        <w:t>9am Tuesday</w:t>
      </w:r>
      <w:r w:rsidR="00527B86" w:rsidRPr="000C5235">
        <w:rPr>
          <w:b/>
        </w:rPr>
        <w:t xml:space="preserve">, </w:t>
      </w:r>
      <w:r w:rsidR="008368F2" w:rsidRPr="000C5235">
        <w:rPr>
          <w:b/>
        </w:rPr>
        <w:t>6</w:t>
      </w:r>
      <w:r w:rsidR="008F2F7F" w:rsidRPr="000C5235">
        <w:rPr>
          <w:b/>
        </w:rPr>
        <w:t xml:space="preserve"> October</w:t>
      </w:r>
      <w:r w:rsidR="007A3739" w:rsidRPr="000C5235">
        <w:rPr>
          <w:b/>
        </w:rPr>
        <w:t xml:space="preserve"> 2020</w:t>
      </w:r>
      <w:r w:rsidRPr="000C5235">
        <w:rPr>
          <w:b/>
        </w:rPr>
        <w:t xml:space="preserve">. </w:t>
      </w:r>
      <w:r w:rsidRPr="000C5235">
        <w:t xml:space="preserve">Finance will then arrange for these files to be provided to </w:t>
      </w:r>
      <w:r w:rsidR="007A3CCD" w:rsidRPr="000C5235">
        <w:t xml:space="preserve">the Senate Tabling Office and to </w:t>
      </w:r>
      <w:r w:rsidRPr="000C5235">
        <w:t xml:space="preserve">Treasury for the Budget lockup. </w:t>
      </w:r>
    </w:p>
    <w:p w14:paraId="31D6A705" w14:textId="77777777" w:rsidR="00FA0945" w:rsidRPr="000C5235" w:rsidRDefault="00FA0945" w:rsidP="000A7DEC">
      <w:pPr>
        <w:pStyle w:val="Heading2Numbered"/>
      </w:pPr>
      <w:bookmarkStart w:id="331" w:name="_Toc32917457"/>
      <w:bookmarkStart w:id="332" w:name="_Toc32918263"/>
      <w:bookmarkStart w:id="333" w:name="_Toc32999646"/>
      <w:bookmarkStart w:id="334" w:name="_Toc33099365"/>
      <w:bookmarkStart w:id="335" w:name="_Toc33195995"/>
      <w:bookmarkStart w:id="336" w:name="_Toc33196297"/>
      <w:bookmarkStart w:id="337" w:name="_Toc32917458"/>
      <w:bookmarkStart w:id="338" w:name="_Toc32918264"/>
      <w:bookmarkStart w:id="339" w:name="_Toc32999647"/>
      <w:bookmarkStart w:id="340" w:name="_Toc33099366"/>
      <w:bookmarkStart w:id="341" w:name="_Toc33195996"/>
      <w:bookmarkStart w:id="342" w:name="_Toc33196298"/>
      <w:bookmarkStart w:id="343" w:name="_Toc32917459"/>
      <w:bookmarkStart w:id="344" w:name="_Toc32918265"/>
      <w:bookmarkStart w:id="345" w:name="_Toc32999648"/>
      <w:bookmarkStart w:id="346" w:name="_Toc33099367"/>
      <w:bookmarkStart w:id="347" w:name="_Toc33195997"/>
      <w:bookmarkStart w:id="348" w:name="_Toc33196299"/>
      <w:bookmarkStart w:id="349" w:name="_Toc534803489"/>
      <w:bookmarkStart w:id="350" w:name="_Toc534814180"/>
      <w:bookmarkStart w:id="351" w:name="_Toc536108553"/>
      <w:bookmarkStart w:id="352" w:name="_Toc536802103"/>
      <w:bookmarkStart w:id="353" w:name="_Ref46251412"/>
      <w:bookmarkStart w:id="354" w:name="_Ref46251417"/>
      <w:bookmarkStart w:id="355" w:name="_Toc53564732"/>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0C5235">
        <w:t>Online publication</w:t>
      </w:r>
      <w:bookmarkEnd w:id="299"/>
      <w:bookmarkEnd w:id="300"/>
      <w:bookmarkEnd w:id="353"/>
      <w:bookmarkEnd w:id="354"/>
      <w:bookmarkEnd w:id="355"/>
    </w:p>
    <w:p w14:paraId="12D2391F" w14:textId="77777777" w:rsidR="00FA0945" w:rsidRPr="000C5235" w:rsidRDefault="00FA0945" w:rsidP="000A7DEC">
      <w:pPr>
        <w:pStyle w:val="Heading3Numbered"/>
      </w:pPr>
      <w:bookmarkStart w:id="356" w:name="_Toc53564733"/>
      <w:r w:rsidRPr="000C5235">
        <w:t>Publishing the PB Statements on the internet</w:t>
      </w:r>
      <w:bookmarkEnd w:id="356"/>
    </w:p>
    <w:p w14:paraId="25E6069F" w14:textId="4C1934F3" w:rsidR="00FA0945" w:rsidRPr="000C5235" w:rsidRDefault="00FA0945" w:rsidP="000A7DEC">
      <w:r w:rsidRPr="000C5235">
        <w:t>All Budget documentation will be published on</w:t>
      </w:r>
      <w:r w:rsidR="00AA37F7" w:rsidRPr="000C5235">
        <w:t>line</w:t>
      </w:r>
      <w:r w:rsidRPr="000C5235">
        <w:t xml:space="preserve"> with hyperlinks between budget documents for ease of reference and to assist reading across these documents. The Australian Government Budget website </w:t>
      </w:r>
      <w:hyperlink r:id="rId37" w:history="1">
        <w:r w:rsidRPr="000C5235">
          <w:rPr>
            <w:rStyle w:val="Hyperlink"/>
          </w:rPr>
          <w:t>www.budget.gov.au</w:t>
        </w:r>
      </w:hyperlink>
      <w:r w:rsidRPr="000C5235">
        <w:t xml:space="preserve"> will link readers to </w:t>
      </w:r>
      <w:r w:rsidR="00A671CE" w:rsidRPr="000C5235">
        <w:t>PB </w:t>
      </w:r>
      <w:r w:rsidRPr="000C5235">
        <w:t>Statements on each portfolio’s website.</w:t>
      </w:r>
    </w:p>
    <w:p w14:paraId="0498C99F" w14:textId="77777777" w:rsidR="00FA0945" w:rsidRPr="000C5235" w:rsidRDefault="00FA0945" w:rsidP="000A7DEC">
      <w:r w:rsidRPr="000C5235">
        <w:t xml:space="preserve">All portfolios must post an electronic copy of the PB Statements on their portfolio department’s website. This should be posted in an accessible format as required by the Web Content Accessibility Guidelines issued by the Digital Transformation Agency (for example, post the document in multiple formats to be sure it can be read by screen readers). </w:t>
      </w:r>
    </w:p>
    <w:p w14:paraId="747B93A7" w14:textId="7E1138F9" w:rsidR="00FA0945" w:rsidRPr="000C5235" w:rsidRDefault="00FA0945" w:rsidP="000A7DEC">
      <w:r w:rsidRPr="000C5235">
        <w:t xml:space="preserve">The Web Content Accessibility Guidelines and other publishing requirements and guidance are available at </w:t>
      </w:r>
      <w:hyperlink r:id="rId38" w:history="1">
        <w:r w:rsidR="00A207C9" w:rsidRPr="000C5235">
          <w:rPr>
            <w:rStyle w:val="Hyperlink"/>
            <w:rFonts w:cs="Times New Roman"/>
          </w:rPr>
          <w:t>https://guides.service.gov.au/content-guide/accessibility-inclusivity/</w:t>
        </w:r>
      </w:hyperlink>
      <w:r w:rsidR="00527B86" w:rsidRPr="000C5235">
        <w:t>.</w:t>
      </w:r>
    </w:p>
    <w:p w14:paraId="43DC6507" w14:textId="75C39B78" w:rsidR="00FA0945" w:rsidRPr="000C5235" w:rsidRDefault="00FA0945" w:rsidP="000A7DEC">
      <w:r w:rsidRPr="000C5235">
        <w:t xml:space="preserve">Portfolios should email the Treasury </w:t>
      </w:r>
      <w:r w:rsidR="00C5070F" w:rsidRPr="000C5235">
        <w:t>Publishing and Design</w:t>
      </w:r>
      <w:r w:rsidRPr="000C5235">
        <w:t xml:space="preserve"> team (</w:t>
      </w:r>
      <w:hyperlink r:id="rId39" w:history="1">
        <w:r w:rsidR="00065820" w:rsidRPr="000C5235">
          <w:rPr>
            <w:rStyle w:val="Hyperlink"/>
          </w:rPr>
          <w:t>budget-website@treasury.gov.au</w:t>
        </w:r>
      </w:hyperlink>
      <w:r w:rsidR="00C36FA2" w:rsidRPr="000C5235">
        <w:t>)</w:t>
      </w:r>
      <w:r w:rsidRPr="000C5235">
        <w:t xml:space="preserve"> no later than </w:t>
      </w:r>
      <w:r w:rsidR="00AA37F7" w:rsidRPr="000C5235">
        <w:rPr>
          <w:b/>
        </w:rPr>
        <w:t>4</w:t>
      </w:r>
      <w:r w:rsidRPr="000C5235">
        <w:rPr>
          <w:b/>
        </w:rPr>
        <w:t>.</w:t>
      </w:r>
      <w:r w:rsidR="00AA37F7" w:rsidRPr="000C5235">
        <w:rPr>
          <w:b/>
        </w:rPr>
        <w:t>3</w:t>
      </w:r>
      <w:r w:rsidRPr="000C5235">
        <w:rPr>
          <w:b/>
        </w:rPr>
        <w:t xml:space="preserve">0pm </w:t>
      </w:r>
      <w:r w:rsidR="00065820" w:rsidRPr="000C5235">
        <w:rPr>
          <w:b/>
        </w:rPr>
        <w:t>Friday</w:t>
      </w:r>
      <w:r w:rsidRPr="000C5235">
        <w:rPr>
          <w:b/>
        </w:rPr>
        <w:t xml:space="preserve">, </w:t>
      </w:r>
      <w:r w:rsidR="00065820" w:rsidRPr="000C5235">
        <w:rPr>
          <w:b/>
        </w:rPr>
        <w:t>2</w:t>
      </w:r>
      <w:r w:rsidR="008F2F7F" w:rsidRPr="000C5235">
        <w:rPr>
          <w:b/>
        </w:rPr>
        <w:t xml:space="preserve"> October</w:t>
      </w:r>
      <w:r w:rsidR="007A3739" w:rsidRPr="000C5235">
        <w:rPr>
          <w:b/>
        </w:rPr>
        <w:t xml:space="preserve"> 2020</w:t>
      </w:r>
      <w:r w:rsidRPr="000C5235">
        <w:rPr>
          <w:b/>
        </w:rPr>
        <w:t xml:space="preserve"> </w:t>
      </w:r>
      <w:r w:rsidRPr="000C5235">
        <w:t>the following details:</w:t>
      </w:r>
    </w:p>
    <w:p w14:paraId="791CA504" w14:textId="77777777" w:rsidR="00FA0945" w:rsidRPr="000C5235" w:rsidRDefault="00FA0945">
      <w:pPr>
        <w:pStyle w:val="Bullet1"/>
      </w:pPr>
      <w:r w:rsidRPr="000C5235">
        <w:t>the URL address where the portfolio will post its PB Statements</w:t>
      </w:r>
    </w:p>
    <w:p w14:paraId="5AF384BC" w14:textId="77777777" w:rsidR="00FA0945" w:rsidRPr="000C5235" w:rsidRDefault="00FA0945">
      <w:pPr>
        <w:pStyle w:val="Bullet1"/>
      </w:pPr>
      <w:r w:rsidRPr="000C5235">
        <w:t>contact details for the author of the PB Statements</w:t>
      </w:r>
      <w:r w:rsidR="004B5F4F" w:rsidRPr="000C5235">
        <w:t xml:space="preserve"> </w:t>
      </w:r>
    </w:p>
    <w:p w14:paraId="4B380AEB" w14:textId="77777777" w:rsidR="00FA0945" w:rsidRPr="000C5235" w:rsidRDefault="00FA0945">
      <w:pPr>
        <w:pStyle w:val="Bullet1"/>
      </w:pPr>
      <w:r w:rsidRPr="000C5235">
        <w:t>contact details for the portfolio’s webmaster.</w:t>
      </w:r>
    </w:p>
    <w:p w14:paraId="4007C56B" w14:textId="77777777" w:rsidR="00FA0945" w:rsidRPr="000C5235" w:rsidRDefault="00FA0945" w:rsidP="000A7DEC">
      <w:r w:rsidRPr="000C5235">
        <w:t>Portfolio departments should ensure the above information is forwarded on to their internal Web Publishing area for action.</w:t>
      </w:r>
    </w:p>
    <w:p w14:paraId="052D70DE" w14:textId="77777777" w:rsidR="00FA0945" w:rsidRPr="000C5235" w:rsidRDefault="00FA0945" w:rsidP="000A7DEC">
      <w:r w:rsidRPr="000C5235">
        <w:t xml:space="preserve">PB Statements </w:t>
      </w:r>
      <w:r w:rsidR="001C2FA8" w:rsidRPr="000C5235">
        <w:rPr>
          <w:u w:val="single"/>
        </w:rPr>
        <w:t xml:space="preserve">must </w:t>
      </w:r>
      <w:r w:rsidRPr="000C5235">
        <w:rPr>
          <w:u w:val="single"/>
        </w:rPr>
        <w:t>not</w:t>
      </w:r>
      <w:r w:rsidRPr="000C5235">
        <w:t xml:space="preserve"> be uploaded onto portfolio department’s websites </w:t>
      </w:r>
      <w:r w:rsidRPr="000C5235">
        <w:rPr>
          <w:u w:val="single"/>
        </w:rPr>
        <w:t>until they are tabled in the Senate</w:t>
      </w:r>
      <w:r w:rsidR="001C2FA8" w:rsidRPr="000C5235">
        <w:t>.</w:t>
      </w:r>
    </w:p>
    <w:p w14:paraId="3B4FA3B4" w14:textId="6C3043E6" w:rsidR="00FA0945" w:rsidRPr="000C5235" w:rsidRDefault="00FA0945">
      <w:pPr>
        <w:pStyle w:val="Bullet1"/>
      </w:pPr>
      <w:r w:rsidRPr="000C5235">
        <w:t xml:space="preserve">Entities can check the tabling status by referring to the Department of the Senate’s </w:t>
      </w:r>
      <w:r w:rsidRPr="000C5235">
        <w:rPr>
          <w:i/>
        </w:rPr>
        <w:t>Order of Business - Dynamic Red</w:t>
      </w:r>
      <w:r w:rsidRPr="000C5235">
        <w:t xml:space="preserve"> page: </w:t>
      </w:r>
      <w:hyperlink r:id="rId40" w:history="1">
        <w:r w:rsidR="00890B06" w:rsidRPr="000C5235">
          <w:rPr>
            <w:rStyle w:val="Hyperlink"/>
            <w:rFonts w:cs="Times New Roman"/>
          </w:rPr>
          <w:t>www.aph.gov.au/Parliamentary_Business/Dynamic_Red</w:t>
        </w:r>
      </w:hyperlink>
      <w:r w:rsidRPr="000C5235">
        <w:t xml:space="preserve"> </w:t>
      </w:r>
    </w:p>
    <w:p w14:paraId="79480CED" w14:textId="77777777" w:rsidR="00FA0945" w:rsidRPr="000C5235" w:rsidRDefault="00FA0945">
      <w:pPr>
        <w:pStyle w:val="Bullet2"/>
      </w:pPr>
      <w:r w:rsidRPr="000C5235">
        <w:t>Portfolio departments are to scroll down the page until they find the note referencing</w:t>
      </w:r>
      <w:r w:rsidR="00A207C9" w:rsidRPr="000C5235">
        <w:t xml:space="preserve"> </w:t>
      </w:r>
      <w:r w:rsidRPr="000C5235">
        <w:t>the ‘</w:t>
      </w:r>
      <w:r w:rsidR="00AF7284" w:rsidRPr="000C5235">
        <w:t>2020-21</w:t>
      </w:r>
      <w:r w:rsidRPr="000C5235">
        <w:t xml:space="preserve"> Portfolio Budget Statements’. The light red column on the </w:t>
      </w:r>
      <w:r w:rsidR="00FD4BA3" w:rsidRPr="000C5235">
        <w:t>right-hand</w:t>
      </w:r>
      <w:r w:rsidRPr="000C5235">
        <w:t xml:space="preserve"> side of the entry will show the time the documents were tabled</w:t>
      </w:r>
      <w:r w:rsidR="00D00240" w:rsidRPr="000C5235">
        <w:t xml:space="preserve">, </w:t>
      </w:r>
      <w:r w:rsidRPr="000C5235">
        <w:rPr>
          <w:u w:val="single"/>
        </w:rPr>
        <w:t>no</w:t>
      </w:r>
      <w:r w:rsidRPr="000C5235">
        <w:t xml:space="preserve"> Portfolio will be separately identified</w:t>
      </w:r>
    </w:p>
    <w:p w14:paraId="5C24C673" w14:textId="77777777" w:rsidR="00FA0945" w:rsidRPr="000C5235" w:rsidRDefault="00FA0945">
      <w:pPr>
        <w:pStyle w:val="Bullet2"/>
      </w:pPr>
      <w:r w:rsidRPr="000C5235">
        <w:t xml:space="preserve">It is anticipated that this notice will appear on the </w:t>
      </w:r>
      <w:r w:rsidRPr="000C5235">
        <w:rPr>
          <w:b/>
        </w:rPr>
        <w:t>Dynamic Red website</w:t>
      </w:r>
      <w:r w:rsidRPr="000C5235">
        <w:t xml:space="preserve"> around </w:t>
      </w:r>
      <w:r w:rsidRPr="000C5235">
        <w:rPr>
          <w:u w:val="single"/>
        </w:rPr>
        <w:t>8.15pm Tuesday</w:t>
      </w:r>
      <w:r w:rsidR="00527B86" w:rsidRPr="000C5235">
        <w:rPr>
          <w:u w:val="single"/>
        </w:rPr>
        <w:t xml:space="preserve">, </w:t>
      </w:r>
      <w:r w:rsidR="00F14A6E" w:rsidRPr="000C5235">
        <w:rPr>
          <w:u w:val="single"/>
        </w:rPr>
        <w:t>6</w:t>
      </w:r>
      <w:r w:rsidR="008F2F7F" w:rsidRPr="000C5235">
        <w:rPr>
          <w:u w:val="single"/>
        </w:rPr>
        <w:t xml:space="preserve"> October</w:t>
      </w:r>
      <w:r w:rsidR="00AF7284" w:rsidRPr="000C5235">
        <w:rPr>
          <w:u w:val="single"/>
        </w:rPr>
        <w:t xml:space="preserve"> 2020</w:t>
      </w:r>
      <w:r w:rsidRPr="000C5235">
        <w:t>. If there is any doubt as to whether the PB</w:t>
      </w:r>
      <w:r w:rsidR="00A667A6" w:rsidRPr="000C5235">
        <w:t> </w:t>
      </w:r>
      <w:r w:rsidRPr="000C5235">
        <w:t>Statements have been tabled, please call the Senate enquiries number (</w:t>
      </w:r>
      <w:r w:rsidR="00BA0046" w:rsidRPr="000C5235">
        <w:t xml:space="preserve">on </w:t>
      </w:r>
      <w:r w:rsidRPr="000C5235">
        <w:t>(02) 6277 3010) wh</w:t>
      </w:r>
      <w:r w:rsidR="00A207C9" w:rsidRPr="000C5235">
        <w:t>ich</w:t>
      </w:r>
      <w:r w:rsidRPr="000C5235">
        <w:t xml:space="preserve"> will be able to provide the necessary advice.</w:t>
      </w:r>
    </w:p>
    <w:p w14:paraId="09DE086A" w14:textId="77777777" w:rsidR="00FA0945" w:rsidRPr="000C5235" w:rsidRDefault="00D00240" w:rsidP="000A7DEC">
      <w:r w:rsidRPr="000C5235">
        <w:t>T</w:t>
      </w:r>
      <w:r w:rsidR="00FA0945" w:rsidRPr="000C5235">
        <w:t xml:space="preserve">he PB Statements </w:t>
      </w:r>
      <w:r w:rsidR="00FA0945" w:rsidRPr="000C5235">
        <w:rPr>
          <w:b/>
          <w:u w:val="single"/>
        </w:rPr>
        <w:t>are not</w:t>
      </w:r>
      <w:r w:rsidR="00FA0945" w:rsidRPr="000C5235">
        <w:t xml:space="preserve"> archived on the Budget.gov.au website – portfolio departments should ensure electronic copies of past PB Statements remain available on their websites. </w:t>
      </w:r>
    </w:p>
    <w:p w14:paraId="25F58DCC" w14:textId="77777777" w:rsidR="00FA0945" w:rsidRPr="000C5235" w:rsidRDefault="00FA0945" w:rsidP="000A7DEC">
      <w:pPr>
        <w:pStyle w:val="Heading4nonumbers"/>
      </w:pPr>
      <w:r w:rsidRPr="000C5235">
        <w:t>Standard file-naming convention</w:t>
      </w:r>
    </w:p>
    <w:p w14:paraId="584D82EE" w14:textId="77777777" w:rsidR="00FA0945" w:rsidRPr="000C5235" w:rsidRDefault="00FA0945" w:rsidP="000A7DEC">
      <w:r w:rsidRPr="000C5235">
        <w:t xml:space="preserve">Portfolios should follow a consistent file-naming convention for electronic copies of the </w:t>
      </w:r>
      <w:r w:rsidR="00C20907" w:rsidRPr="000C5235">
        <w:t>PB </w:t>
      </w:r>
      <w:r w:rsidRPr="000C5235">
        <w:t xml:space="preserve">Statements as outlined below to aid file comprehension and retrieval for readers who download the documents, and to remove the confusion that occurs when files are not clearly named or numbered. </w:t>
      </w:r>
    </w:p>
    <w:p w14:paraId="30A4CAAA" w14:textId="77777777" w:rsidR="00FA0945" w:rsidRPr="000C5235" w:rsidRDefault="00FA0945" w:rsidP="000A7DEC">
      <w:r w:rsidRPr="000C5235">
        <w:t xml:space="preserve">An example of the recommended convention is: </w:t>
      </w:r>
    </w:p>
    <w:p w14:paraId="3CFFAC4E" w14:textId="77777777" w:rsidR="00FA0945" w:rsidRPr="000C5235" w:rsidRDefault="00FA0945">
      <w:pPr>
        <w:pStyle w:val="IndentBlueText"/>
      </w:pPr>
      <w:r w:rsidRPr="000C5235">
        <w:t>FinancialYear</w:t>
      </w:r>
      <w:r w:rsidR="00D7275E" w:rsidRPr="000C5235">
        <w:t>_</w:t>
      </w:r>
      <w:r w:rsidRPr="000C5235">
        <w:t>Portfolio</w:t>
      </w:r>
      <w:r w:rsidR="00D7275E" w:rsidRPr="000C5235">
        <w:t>_</w:t>
      </w:r>
      <w:r w:rsidRPr="000C5235">
        <w:t>PBS</w:t>
      </w:r>
      <w:r w:rsidR="00D7275E" w:rsidRPr="000C5235">
        <w:t>_</w:t>
      </w:r>
      <w:r w:rsidRPr="000C5235">
        <w:t>a file sequence number (</w:t>
      </w:r>
      <w:r w:rsidR="00E10C89" w:rsidRPr="000C5235">
        <w:t>ie</w:t>
      </w:r>
      <w:r w:rsidRPr="000C5235">
        <w:t xml:space="preserve"> 01, 02 etc)</w:t>
      </w:r>
      <w:r w:rsidR="00D7275E" w:rsidRPr="000C5235">
        <w:t>_</w:t>
      </w:r>
      <w:r w:rsidRPr="000C5235">
        <w:t>Chapter Number (or entity name/acronym, etc)</w:t>
      </w:r>
    </w:p>
    <w:p w14:paraId="3782104B" w14:textId="77777777" w:rsidR="00FA0945" w:rsidRPr="000C5235" w:rsidRDefault="00FA0945" w:rsidP="000A7DEC">
      <w:r w:rsidRPr="000C5235">
        <w:t>Examples would be:</w:t>
      </w:r>
    </w:p>
    <w:p w14:paraId="13B7CC90" w14:textId="77777777" w:rsidR="00FA0945" w:rsidRPr="000C5235" w:rsidRDefault="00D7275E">
      <w:pPr>
        <w:pStyle w:val="IndentBlueText"/>
      </w:pPr>
      <w:r w:rsidRPr="000C5235">
        <w:t>2020-21</w:t>
      </w:r>
      <w:r w:rsidR="00FA0945" w:rsidRPr="000C5235">
        <w:t>_</w:t>
      </w:r>
      <w:r w:rsidRPr="000C5235">
        <w:t>Finance</w:t>
      </w:r>
      <w:r w:rsidR="00FA0945" w:rsidRPr="000C5235">
        <w:t>_PBS_01_Parts_A_and_B</w:t>
      </w:r>
    </w:p>
    <w:p w14:paraId="0D2F7673" w14:textId="77777777" w:rsidR="00FA0945" w:rsidRPr="000C5235" w:rsidRDefault="002150D3">
      <w:pPr>
        <w:pStyle w:val="IndentBlueText"/>
      </w:pPr>
      <w:r w:rsidRPr="000C5235">
        <w:t>2020-21</w:t>
      </w:r>
      <w:r w:rsidR="00FA0945" w:rsidRPr="000C5235">
        <w:t>_</w:t>
      </w:r>
      <w:r w:rsidRPr="000C5235">
        <w:t>Finance</w:t>
      </w:r>
      <w:r w:rsidR="00FA0945" w:rsidRPr="000C5235">
        <w:t>_PBS_</w:t>
      </w:r>
      <w:r w:rsidR="00D65C76" w:rsidRPr="000C5235">
        <w:t>0</w:t>
      </w:r>
      <w:r w:rsidRPr="000C5235">
        <w:t>2</w:t>
      </w:r>
      <w:r w:rsidR="00FA0945" w:rsidRPr="000C5235">
        <w:t>_A</w:t>
      </w:r>
      <w:r w:rsidRPr="000C5235">
        <w:t>EC</w:t>
      </w:r>
    </w:p>
    <w:p w14:paraId="70DFCDDA" w14:textId="77777777" w:rsidR="00FA0945" w:rsidRPr="000C5235" w:rsidRDefault="002150D3">
      <w:pPr>
        <w:pStyle w:val="IndentBlueText"/>
      </w:pPr>
      <w:r w:rsidRPr="000C5235">
        <w:t>2020-21</w:t>
      </w:r>
      <w:r w:rsidR="00FA0945" w:rsidRPr="000C5235">
        <w:t>_</w:t>
      </w:r>
      <w:r w:rsidR="00D65C76" w:rsidRPr="000C5235">
        <w:t>Finance</w:t>
      </w:r>
      <w:r w:rsidR="00FA0945" w:rsidRPr="000C5235">
        <w:t>_PBS_0</w:t>
      </w:r>
      <w:r w:rsidR="00D65C76" w:rsidRPr="000C5235">
        <w:t>3</w:t>
      </w:r>
      <w:r w:rsidR="00FA0945" w:rsidRPr="000C5235">
        <w:t>_Outcome</w:t>
      </w:r>
      <w:r w:rsidR="00D65C76" w:rsidRPr="000C5235">
        <w:t>1</w:t>
      </w:r>
    </w:p>
    <w:p w14:paraId="54E90740" w14:textId="77777777" w:rsidR="00AF3133" w:rsidRPr="000C5235" w:rsidRDefault="00FA0945" w:rsidP="000A7DEC">
      <w:r w:rsidRPr="000C5235">
        <w:t>The file sequence number simply indicates which file would be read first, second, third etc if the document were read like a book.</w:t>
      </w:r>
    </w:p>
    <w:p w14:paraId="0AC80130" w14:textId="77777777" w:rsidR="00FA0945" w:rsidRPr="000C5235" w:rsidRDefault="00FA0945" w:rsidP="000A7DEC">
      <w:r w:rsidRPr="000C5235">
        <w:t>Naming the files in this way means that the order of files downloaded into a sub-directory would be the same order as the order of presentation of chapters in the PB Statements.</w:t>
      </w:r>
      <w:r w:rsidR="00AF3133" w:rsidRPr="000C5235">
        <w:t xml:space="preserve"> </w:t>
      </w:r>
      <w:r w:rsidRPr="000C5235">
        <w:t>This would result in the electronic files being listed in the same order as the printed chapters, and therefore easier and more intuitive navigation for those accessing the files.</w:t>
      </w:r>
    </w:p>
    <w:p w14:paraId="35E2473C" w14:textId="77777777" w:rsidR="00FA0945" w:rsidRPr="000C5235" w:rsidRDefault="00FA0945" w:rsidP="00811FCA">
      <w:pPr>
        <w:pStyle w:val="Heading3Numbered"/>
      </w:pPr>
      <w:bookmarkStart w:id="357" w:name="_Toc53564734"/>
      <w:r w:rsidRPr="000C5235">
        <w:t xml:space="preserve">Open </w:t>
      </w:r>
      <w:r w:rsidR="0079648C" w:rsidRPr="000C5235">
        <w:t>g</w:t>
      </w:r>
      <w:r w:rsidRPr="000C5235">
        <w:t xml:space="preserve">overnment </w:t>
      </w:r>
      <w:r w:rsidR="0079648C" w:rsidRPr="000C5235">
        <w:t>i</w:t>
      </w:r>
      <w:r w:rsidRPr="000C5235">
        <w:t>nitiative publication on data.gov.au</w:t>
      </w:r>
      <w:bookmarkEnd w:id="357"/>
    </w:p>
    <w:p w14:paraId="44D3967F" w14:textId="77777777" w:rsidR="00FA0945" w:rsidRPr="000C5235" w:rsidRDefault="00FA0945" w:rsidP="000A7DEC">
      <w:r w:rsidRPr="000C5235">
        <w:t xml:space="preserve">As part of the Government’s </w:t>
      </w:r>
      <w:r w:rsidRPr="000C5235">
        <w:rPr>
          <w:i/>
        </w:rPr>
        <w:t>Open Government</w:t>
      </w:r>
      <w:r w:rsidRPr="000C5235">
        <w:t xml:space="preserve"> initiative to increase Budget transparency, portfolio departments are required to provide a copy of finalised PB Statements tables for publication on data.gov.au</w:t>
      </w:r>
      <w:r w:rsidR="007D05E4" w:rsidRPr="000C5235">
        <w:t>.</w:t>
      </w:r>
      <w:r w:rsidR="005F01DF" w:rsidRPr="000C5235">
        <w:t xml:space="preserve">  </w:t>
      </w:r>
      <w:r w:rsidR="007D05E4" w:rsidRPr="000C5235">
        <w:t>Portfolio departments have the option for using Creative Commons BY 4.0. Finance templates by default use Creative Commons BY 3.0. This was confirmed by the Department of Treasury who sought legal advice in continuing to use Creative Commons BY 3.0.</w:t>
      </w:r>
    </w:p>
    <w:p w14:paraId="04416DD7" w14:textId="77777777" w:rsidR="00FA0945" w:rsidRPr="000C5235" w:rsidRDefault="00FA0945" w:rsidP="000A7DEC">
      <w:r w:rsidRPr="000C5235">
        <w:t xml:space="preserve">The PB Statements tables, as received from portfolios, will be published on data.gov.au in Excel workbook format, with a separate workbook for each entity. </w:t>
      </w:r>
    </w:p>
    <w:p w14:paraId="5D1F9391" w14:textId="77777777" w:rsidR="00FA0945" w:rsidRPr="000C5235" w:rsidRDefault="00FA0945" w:rsidP="000A7DEC">
      <w:r w:rsidRPr="000C5235">
        <w:t xml:space="preserve">The collection of PB Statements financial tables will be published in machine-readable format to assist those who wish to analyse the financial information.  </w:t>
      </w:r>
    </w:p>
    <w:p w14:paraId="1F6CFFF0" w14:textId="77777777" w:rsidR="00FA0945" w:rsidRPr="000C5235" w:rsidRDefault="00FA0945" w:rsidP="00BD6313">
      <w:pPr>
        <w:suppressAutoHyphens w:val="0"/>
        <w:spacing w:before="0" w:after="120" w:line="440" w:lineRule="atLeast"/>
      </w:pPr>
      <w:r w:rsidRPr="000C5235">
        <w:t xml:space="preserve">The following financial tables </w:t>
      </w:r>
      <w:r w:rsidRPr="000C5235">
        <w:rPr>
          <w:u w:val="single"/>
        </w:rPr>
        <w:t>with headings and footnotes</w:t>
      </w:r>
      <w:r w:rsidRPr="000C5235">
        <w:t xml:space="preserve"> will be published on data.gov.au:</w:t>
      </w:r>
    </w:p>
    <w:p w14:paraId="33A360FF" w14:textId="77777777" w:rsidR="00FA0945" w:rsidRPr="000C5235" w:rsidRDefault="00FA0945">
      <w:pPr>
        <w:pStyle w:val="Bullet1"/>
      </w:pPr>
      <w:r w:rsidRPr="000C5235">
        <w:t>Table 1.1: Entity resource statement</w:t>
      </w:r>
    </w:p>
    <w:p w14:paraId="1DCCE311" w14:textId="77777777" w:rsidR="00FA0945" w:rsidRPr="000C5235" w:rsidRDefault="00FA0945">
      <w:pPr>
        <w:pStyle w:val="Bullet1"/>
      </w:pPr>
      <w:r w:rsidRPr="000C5235">
        <w:t xml:space="preserve">Table 1.2: Entity </w:t>
      </w:r>
      <w:r w:rsidR="003D070A" w:rsidRPr="000C5235">
        <w:t>2020-21</w:t>
      </w:r>
      <w:r w:rsidRPr="000C5235">
        <w:t xml:space="preserve"> Budget measures</w:t>
      </w:r>
    </w:p>
    <w:p w14:paraId="582FC124" w14:textId="77777777" w:rsidR="00FA0945" w:rsidRPr="000C5235" w:rsidRDefault="00FA0945">
      <w:pPr>
        <w:pStyle w:val="Bullet1"/>
      </w:pPr>
      <w:r w:rsidRPr="000C5235">
        <w:t>Table 2.X.1: Budgeted expenses for Outcome X</w:t>
      </w:r>
    </w:p>
    <w:p w14:paraId="3B11643C" w14:textId="77777777" w:rsidR="00FA0945" w:rsidRPr="000C5235" w:rsidRDefault="00FA0945">
      <w:pPr>
        <w:pStyle w:val="Bullet1"/>
      </w:pPr>
      <w:r w:rsidRPr="000C5235">
        <w:t>Table 2.X.2: Program components</w:t>
      </w:r>
    </w:p>
    <w:p w14:paraId="253F29B1" w14:textId="77777777" w:rsidR="00FA0945" w:rsidRPr="000C5235" w:rsidRDefault="00FA0945">
      <w:pPr>
        <w:pStyle w:val="Bullet1"/>
      </w:pPr>
      <w:r w:rsidRPr="000C5235">
        <w:t>Table 3.1 to 3.6: Departmental budgeted financial statements</w:t>
      </w:r>
    </w:p>
    <w:p w14:paraId="032F2141" w14:textId="77777777" w:rsidR="00FA0945" w:rsidRPr="000C5235" w:rsidRDefault="00FA0945">
      <w:pPr>
        <w:pStyle w:val="Bullet1"/>
      </w:pPr>
      <w:r w:rsidRPr="000C5235">
        <w:t>Table 3.7 to 3.11: Administered budgeted financial statements.</w:t>
      </w:r>
    </w:p>
    <w:p w14:paraId="421B65B2" w14:textId="77777777" w:rsidR="00FA0945" w:rsidRPr="000C5235" w:rsidRDefault="00FA0945" w:rsidP="000A7DEC">
      <w:r w:rsidRPr="000C5235">
        <w:t>Where an entity prepares two or more sets of tables, (for example Departmental budgeted financial statements consolidated and non-consolidated), these tables should be included and clearly marked.</w:t>
      </w:r>
    </w:p>
    <w:p w14:paraId="30194884" w14:textId="12A9D1C2" w:rsidR="005F590D" w:rsidRPr="000C5235" w:rsidRDefault="00FA0945">
      <w:pPr>
        <w:rPr>
          <w:b/>
        </w:rPr>
      </w:pPr>
      <w:r w:rsidRPr="000C5235">
        <w:t xml:space="preserve">As PB Statements information is under embargo until tabled in Parliament, portfolio departments </w:t>
      </w:r>
      <w:r w:rsidR="0049098A" w:rsidRPr="000C5235">
        <w:t>will need to</w:t>
      </w:r>
      <w:r w:rsidRPr="000C5235">
        <w:t xml:space="preserve"> send them to Finance either via CabNet or Protected-rated email to </w:t>
      </w:r>
      <w:hyperlink r:id="rId41" w:history="1">
        <w:r w:rsidR="008D5F47" w:rsidRPr="000C5235">
          <w:rPr>
            <w:rStyle w:val="Hyperlink"/>
            <w:rFonts w:asciiTheme="minorHAnsi" w:hAnsiTheme="minorHAnsi" w:cs="Times New Roman"/>
          </w:rPr>
          <w:t>Budget_Framework@finance.gov.au</w:t>
        </w:r>
      </w:hyperlink>
      <w:r w:rsidR="008D5F47" w:rsidRPr="000C5235">
        <w:t xml:space="preserve"> </w:t>
      </w:r>
      <w:r w:rsidRPr="000C5235">
        <w:t xml:space="preserve">by </w:t>
      </w:r>
      <w:r w:rsidR="003B402B" w:rsidRPr="000C5235">
        <w:rPr>
          <w:b/>
        </w:rPr>
        <w:t>9</w:t>
      </w:r>
      <w:r w:rsidR="003D5356" w:rsidRPr="000C5235">
        <w:rPr>
          <w:b/>
        </w:rPr>
        <w:t>a</w:t>
      </w:r>
      <w:r w:rsidR="003B402B" w:rsidRPr="000C5235">
        <w:rPr>
          <w:b/>
        </w:rPr>
        <w:t>m</w:t>
      </w:r>
      <w:r w:rsidR="00171829" w:rsidRPr="000C5235">
        <w:rPr>
          <w:b/>
        </w:rPr>
        <w:t xml:space="preserve"> </w:t>
      </w:r>
      <w:r w:rsidR="003B402B" w:rsidRPr="000C5235">
        <w:rPr>
          <w:b/>
        </w:rPr>
        <w:t>Tuesday</w:t>
      </w:r>
      <w:r w:rsidR="00171829" w:rsidRPr="000C5235">
        <w:rPr>
          <w:b/>
        </w:rPr>
        <w:t xml:space="preserve">, </w:t>
      </w:r>
      <w:r w:rsidR="009379A4" w:rsidRPr="000C5235">
        <w:rPr>
          <w:b/>
        </w:rPr>
        <w:t>6</w:t>
      </w:r>
      <w:r w:rsidR="008F2F7F" w:rsidRPr="000C5235">
        <w:rPr>
          <w:b/>
        </w:rPr>
        <w:t xml:space="preserve"> October</w:t>
      </w:r>
      <w:r w:rsidR="003D070A" w:rsidRPr="000C5235">
        <w:rPr>
          <w:b/>
        </w:rPr>
        <w:t xml:space="preserve"> 2020</w:t>
      </w:r>
      <w:r w:rsidRPr="000C5235">
        <w:rPr>
          <w:b/>
        </w:rPr>
        <w:t>.</w:t>
      </w:r>
    </w:p>
    <w:p w14:paraId="54FFBB2E" w14:textId="77777777" w:rsidR="00FA0945" w:rsidRPr="000C5235" w:rsidRDefault="00FA0945">
      <w:r w:rsidRPr="000C5235">
        <w:t xml:space="preserve">Portfolio departments </w:t>
      </w:r>
      <w:r w:rsidRPr="000C5235">
        <w:rPr>
          <w:u w:val="single"/>
        </w:rPr>
        <w:t>must</w:t>
      </w:r>
      <w:r w:rsidRPr="000C5235">
        <w:t xml:space="preserve"> undertake the following procedures prior to sending the financial</w:t>
      </w:r>
      <w:r w:rsidR="00197B62" w:rsidRPr="000C5235">
        <w:t xml:space="preserve"> </w:t>
      </w:r>
      <w:r w:rsidRPr="000C5235">
        <w:t>tables to Finance</w:t>
      </w:r>
      <w:r w:rsidR="00A368E7" w:rsidRPr="000C5235">
        <w:t>:</w:t>
      </w:r>
    </w:p>
    <w:p w14:paraId="71BCBBA2" w14:textId="77777777" w:rsidR="00FA0945" w:rsidRPr="000C5235" w:rsidRDefault="00FA0945">
      <w:pPr>
        <w:pStyle w:val="Numbered"/>
        <w:numPr>
          <w:ilvl w:val="0"/>
          <w:numId w:val="227"/>
        </w:numPr>
      </w:pPr>
      <w:r w:rsidRPr="000C5235">
        <w:t>Tables should be in one Excel workbook per entity</w:t>
      </w:r>
    </w:p>
    <w:p w14:paraId="70773394" w14:textId="77777777" w:rsidR="00FA0945" w:rsidRPr="000C5235" w:rsidRDefault="00FA0945">
      <w:pPr>
        <w:pStyle w:val="Numbered"/>
        <w:numPr>
          <w:ilvl w:val="0"/>
          <w:numId w:val="227"/>
        </w:numPr>
      </w:pPr>
      <w:r w:rsidRPr="000C5235">
        <w:t>Tables should be presented using the wrap-text function</w:t>
      </w:r>
    </w:p>
    <w:p w14:paraId="2802AD2D" w14:textId="77777777" w:rsidR="00171829" w:rsidRPr="000C5235" w:rsidRDefault="00171829">
      <w:pPr>
        <w:pStyle w:val="Numbered"/>
        <w:numPr>
          <w:ilvl w:val="0"/>
          <w:numId w:val="227"/>
        </w:numPr>
      </w:pPr>
      <w:r w:rsidRPr="000C5235">
        <w:t>Tables should not be merged in any way</w:t>
      </w:r>
    </w:p>
    <w:p w14:paraId="09BA6D4B" w14:textId="77777777" w:rsidR="00FA0945" w:rsidRPr="000C5235" w:rsidRDefault="00FA0945">
      <w:pPr>
        <w:pStyle w:val="Numbered"/>
        <w:numPr>
          <w:ilvl w:val="0"/>
          <w:numId w:val="227"/>
        </w:numPr>
      </w:pPr>
      <w:r w:rsidRPr="000C5235">
        <w:t>Figures in tables are rounded and presented in thousands</w:t>
      </w:r>
    </w:p>
    <w:p w14:paraId="4FFF96D5" w14:textId="77777777" w:rsidR="00FA0945" w:rsidRPr="000C5235" w:rsidRDefault="00FA0945">
      <w:pPr>
        <w:pStyle w:val="Numbered"/>
        <w:numPr>
          <w:ilvl w:val="0"/>
          <w:numId w:val="227"/>
        </w:numPr>
      </w:pPr>
      <w:r w:rsidRPr="000C5235">
        <w:t>Figures in tables are correct and the same as those presented in the publication</w:t>
      </w:r>
    </w:p>
    <w:p w14:paraId="1B4A5940" w14:textId="77777777" w:rsidR="00FA0945" w:rsidRPr="000C5235" w:rsidRDefault="00FA0945">
      <w:pPr>
        <w:pStyle w:val="Numbered"/>
        <w:numPr>
          <w:ilvl w:val="0"/>
          <w:numId w:val="227"/>
        </w:numPr>
      </w:pPr>
      <w:r w:rsidRPr="000C5235">
        <w:t>Tables should be presented as text and figures</w:t>
      </w:r>
    </w:p>
    <w:p w14:paraId="0E4EA6FF" w14:textId="77777777" w:rsidR="00FA0945" w:rsidRPr="000C5235" w:rsidRDefault="00FA0945">
      <w:pPr>
        <w:pStyle w:val="Numbered"/>
        <w:numPr>
          <w:ilvl w:val="0"/>
          <w:numId w:val="227"/>
        </w:numPr>
      </w:pPr>
      <w:r w:rsidRPr="000C5235">
        <w:t>Links to other workbooks should be broken / removed</w:t>
      </w:r>
    </w:p>
    <w:p w14:paraId="7A6947B2" w14:textId="77777777" w:rsidR="00FA0945" w:rsidRPr="000C5235" w:rsidRDefault="00FA0945">
      <w:pPr>
        <w:pStyle w:val="Numbered"/>
        <w:numPr>
          <w:ilvl w:val="0"/>
          <w:numId w:val="227"/>
        </w:numPr>
      </w:pPr>
      <w:r w:rsidRPr="000C5235">
        <w:t>All hidden and working sheets, as well as cell comments, should be removed</w:t>
      </w:r>
    </w:p>
    <w:p w14:paraId="33F0674F" w14:textId="77777777" w:rsidR="00FA0945" w:rsidRPr="000C5235" w:rsidRDefault="00FA0945">
      <w:pPr>
        <w:pStyle w:val="Numbered"/>
        <w:numPr>
          <w:ilvl w:val="0"/>
          <w:numId w:val="227"/>
        </w:numPr>
      </w:pPr>
      <w:r w:rsidRPr="000C5235">
        <w:t>All hidden rows</w:t>
      </w:r>
      <w:r w:rsidR="00E43670" w:rsidRPr="000C5235">
        <w:t>, blank rows</w:t>
      </w:r>
      <w:r w:rsidRPr="000C5235">
        <w:t xml:space="preserve"> and columns should be removed</w:t>
      </w:r>
    </w:p>
    <w:p w14:paraId="28B80E0E" w14:textId="77777777" w:rsidR="00FA0945" w:rsidRPr="000C5235" w:rsidRDefault="00FA0945">
      <w:pPr>
        <w:pStyle w:val="Numbered"/>
        <w:numPr>
          <w:ilvl w:val="0"/>
          <w:numId w:val="227"/>
        </w:numPr>
      </w:pPr>
      <w:r w:rsidRPr="000C5235">
        <w:t>All passwords should be removed from the files</w:t>
      </w:r>
    </w:p>
    <w:p w14:paraId="37FFE616" w14:textId="77777777" w:rsidR="00FA0945" w:rsidRPr="000C5235" w:rsidRDefault="00FA0945">
      <w:pPr>
        <w:pStyle w:val="Numbered"/>
        <w:numPr>
          <w:ilvl w:val="0"/>
          <w:numId w:val="227"/>
        </w:numPr>
      </w:pPr>
      <w:r w:rsidRPr="000C5235">
        <w:t xml:space="preserve">Footnotes </w:t>
      </w:r>
      <w:r w:rsidR="00966796" w:rsidRPr="000C5235">
        <w:t xml:space="preserve">must be </w:t>
      </w:r>
      <w:r w:rsidRPr="000C5235">
        <w:t>in the correct format</w:t>
      </w:r>
      <w:r w:rsidR="00E43670" w:rsidRPr="000C5235">
        <w:t xml:space="preserve"> (one footnote per line)</w:t>
      </w:r>
    </w:p>
    <w:p w14:paraId="6F2A99E7" w14:textId="77777777" w:rsidR="00FA0945" w:rsidRPr="000C5235" w:rsidRDefault="00FA0945">
      <w:pPr>
        <w:pStyle w:val="Numbered"/>
        <w:numPr>
          <w:ilvl w:val="0"/>
          <w:numId w:val="227"/>
        </w:numPr>
      </w:pPr>
      <w:r w:rsidRPr="000C5235">
        <w:t>Footnotes should be pasted as text below the relevant tables, not as pictures</w:t>
      </w:r>
      <w:r w:rsidR="00966796" w:rsidRPr="000C5235">
        <w:t>.</w:t>
      </w:r>
    </w:p>
    <w:p w14:paraId="505F30CC" w14:textId="77777777" w:rsidR="00FA0945" w:rsidRPr="000C5235" w:rsidRDefault="00FA0945">
      <w:pPr>
        <w:pStyle w:val="Numbered"/>
        <w:numPr>
          <w:ilvl w:val="0"/>
          <w:numId w:val="227"/>
        </w:numPr>
      </w:pPr>
      <w:r w:rsidRPr="000C5235">
        <w:t>When portfolios table a corrigendum to the PB Statements (see Issuing corrigendum section below), updated tables should be provided to Finance following tabling for upload onto data.gov.au.</w:t>
      </w:r>
    </w:p>
    <w:p w14:paraId="6EDFE1F1" w14:textId="77777777" w:rsidR="00FA0945" w:rsidRPr="000C5235" w:rsidRDefault="00FA0945" w:rsidP="000A7DEC">
      <w:pPr>
        <w:rPr>
          <w:rStyle w:val="BodyTextChar"/>
        </w:rPr>
      </w:pPr>
      <w:r w:rsidRPr="000C5235">
        <w:rPr>
          <w:rStyle w:val="BodyTextChar"/>
        </w:rPr>
        <w:t>Finance will review the files to ensure they meet the above requirements and will return files to Portfolios for amendment if required, prior to publication on data.gov.au.</w:t>
      </w:r>
    </w:p>
    <w:p w14:paraId="1DEBC09B" w14:textId="77777777" w:rsidR="00FA0945" w:rsidRPr="000C5235" w:rsidRDefault="00FA0945">
      <w:pPr>
        <w:pStyle w:val="Bullet1"/>
      </w:pPr>
      <w:r w:rsidRPr="000C5235">
        <w:t>It is the portfolio departments’ responsibility to check the integrity of the data provided in each table and that it matches the published PB Statements.</w:t>
      </w:r>
    </w:p>
    <w:p w14:paraId="7848BD11" w14:textId="17E0B50E" w:rsidR="006E5A47" w:rsidRPr="000C5235" w:rsidRDefault="00FA0945" w:rsidP="000A7DEC">
      <w:pPr>
        <w:rPr>
          <w:rStyle w:val="BodyTextChar"/>
        </w:rPr>
      </w:pPr>
      <w:r w:rsidRPr="000C5235">
        <w:rPr>
          <w:rStyle w:val="BodyTextChar"/>
        </w:rPr>
        <w:t xml:space="preserve">For information on data.gov.au please email </w:t>
      </w:r>
      <w:hyperlink r:id="rId42" w:history="1">
        <w:r w:rsidR="00966796" w:rsidRPr="000C5235">
          <w:rPr>
            <w:rStyle w:val="Hyperlink"/>
          </w:rPr>
          <w:t>data@digital.gov.au</w:t>
        </w:r>
      </w:hyperlink>
      <w:r w:rsidR="00171829" w:rsidRPr="000C5235">
        <w:rPr>
          <w:rStyle w:val="BodyTextChar"/>
        </w:rPr>
        <w:t>.</w:t>
      </w:r>
    </w:p>
    <w:p w14:paraId="198A2F50" w14:textId="77777777" w:rsidR="000457F9" w:rsidRPr="000C5235" w:rsidRDefault="000457F9" w:rsidP="00811FCA">
      <w:pPr>
        <w:pStyle w:val="Heading3Numbered"/>
      </w:pPr>
      <w:bookmarkStart w:id="358" w:name="_Ref46250929"/>
      <w:bookmarkStart w:id="359" w:name="_Ref46250933"/>
      <w:bookmarkStart w:id="360" w:name="_Toc53564735"/>
      <w:r w:rsidRPr="000C5235">
        <w:t>Checklist for preparing files for online publication on data.gov.au</w:t>
      </w:r>
      <w:bookmarkEnd w:id="358"/>
      <w:bookmarkEnd w:id="359"/>
      <w:bookmarkEnd w:id="360"/>
    </w:p>
    <w:p w14:paraId="6545C689" w14:textId="77777777" w:rsidR="000457F9" w:rsidRPr="000C5235" w:rsidRDefault="000457F9" w:rsidP="00811FCA">
      <w:pPr>
        <w:rPr>
          <w:rFonts w:cstheme="minorHAnsi"/>
          <w:sz w:val="24"/>
          <w:szCs w:val="32"/>
        </w:rPr>
      </w:pPr>
      <w:r w:rsidRPr="000C5235">
        <w:t>Prior to sending the files to Finance, Portfolios must check they have answered ‘yes’ to the following</w:t>
      </w:r>
      <w:r w:rsidRPr="000C5235">
        <w:rPr>
          <w:rFonts w:cstheme="minorHAnsi"/>
          <w:sz w:val="24"/>
          <w:szCs w:val="32"/>
        </w:rPr>
        <w:t>:</w:t>
      </w:r>
    </w:p>
    <w:tbl>
      <w:tblPr>
        <w:tblW w:w="9142" w:type="dxa"/>
        <w:tblLayout w:type="fixed"/>
        <w:tblCellMar>
          <w:left w:w="0" w:type="dxa"/>
          <w:right w:w="0" w:type="dxa"/>
        </w:tblCellMar>
        <w:tblLook w:val="01E0" w:firstRow="1" w:lastRow="1" w:firstColumn="1" w:lastColumn="1" w:noHBand="0" w:noVBand="0"/>
      </w:tblPr>
      <w:tblGrid>
        <w:gridCol w:w="279"/>
        <w:gridCol w:w="74"/>
        <w:gridCol w:w="232"/>
        <w:gridCol w:w="125"/>
        <w:gridCol w:w="8357"/>
        <w:gridCol w:w="75"/>
      </w:tblGrid>
      <w:tr w:rsidR="000457F9" w:rsidRPr="000C5235" w14:paraId="77F86567" w14:textId="77777777" w:rsidTr="00BD57F1">
        <w:trPr>
          <w:trHeight w:val="360"/>
        </w:trPr>
        <w:tc>
          <w:tcPr>
            <w:tcW w:w="353" w:type="dxa"/>
            <w:gridSpan w:val="2"/>
            <w:tcBorders>
              <w:top w:val="single" w:sz="4" w:space="0" w:color="000000"/>
              <w:left w:val="single" w:sz="4" w:space="0" w:color="000000"/>
            </w:tcBorders>
            <w:shd w:val="clear" w:color="auto" w:fill="DADADA"/>
          </w:tcPr>
          <w:p w14:paraId="40DE51A2" w14:textId="77777777" w:rsidR="000457F9" w:rsidRPr="000C5235" w:rsidRDefault="000457F9" w:rsidP="00145E47">
            <w:pPr>
              <w:pStyle w:val="TableParagraph"/>
              <w:spacing w:line="257" w:lineRule="exact"/>
              <w:ind w:left="-1" w:right="-100"/>
              <w:rPr>
                <w:lang w:val="en-AU"/>
              </w:rPr>
            </w:pPr>
            <w:r w:rsidRPr="000C5235">
              <w:rPr>
                <w:lang w:val="en-AU"/>
              </w:rPr>
              <w:t>1.</w:t>
            </w:r>
          </w:p>
        </w:tc>
        <w:tc>
          <w:tcPr>
            <w:tcW w:w="8789" w:type="dxa"/>
            <w:gridSpan w:val="4"/>
            <w:tcBorders>
              <w:top w:val="single" w:sz="4" w:space="0" w:color="000000"/>
              <w:right w:val="single" w:sz="4" w:space="0" w:color="000000"/>
            </w:tcBorders>
            <w:shd w:val="clear" w:color="auto" w:fill="DADADA"/>
          </w:tcPr>
          <w:p w14:paraId="2BEE81DA" w14:textId="77777777" w:rsidR="000457F9" w:rsidRPr="000C5235" w:rsidRDefault="000457F9" w:rsidP="00145E47">
            <w:pPr>
              <w:pStyle w:val="TableParagraph"/>
              <w:spacing w:line="257" w:lineRule="exact"/>
              <w:ind w:left="55"/>
              <w:rPr>
                <w:rFonts w:asciiTheme="minorHAnsi" w:hAnsiTheme="minorHAnsi" w:cstheme="minorHAnsi"/>
                <w:lang w:val="en-AU"/>
              </w:rPr>
            </w:pPr>
            <w:r w:rsidRPr="000C5235">
              <w:rPr>
                <w:rFonts w:asciiTheme="minorHAnsi" w:hAnsiTheme="minorHAnsi" w:cstheme="minorHAnsi"/>
                <w:lang w:val="en-AU"/>
              </w:rPr>
              <w:t>Tables are presented using the wrap-text function, and there are no merged cells.</w:t>
            </w:r>
          </w:p>
        </w:tc>
      </w:tr>
      <w:tr w:rsidR="000457F9" w:rsidRPr="000C5235" w14:paraId="37BA3C8B" w14:textId="77777777" w:rsidTr="00BD57F1">
        <w:trPr>
          <w:trHeight w:val="280"/>
        </w:trPr>
        <w:tc>
          <w:tcPr>
            <w:tcW w:w="353" w:type="dxa"/>
            <w:gridSpan w:val="2"/>
            <w:tcBorders>
              <w:left w:val="single" w:sz="4" w:space="0" w:color="000000"/>
            </w:tcBorders>
          </w:tcPr>
          <w:p w14:paraId="0F571F20" w14:textId="77777777" w:rsidR="000457F9" w:rsidRPr="000C5235" w:rsidRDefault="000457F9" w:rsidP="00145E47">
            <w:pPr>
              <w:pStyle w:val="TableParagraph"/>
              <w:rPr>
                <w:rFonts w:ascii="Times New Roman"/>
                <w:lang w:val="en-AU"/>
              </w:rPr>
            </w:pPr>
          </w:p>
        </w:tc>
        <w:tc>
          <w:tcPr>
            <w:tcW w:w="357" w:type="dxa"/>
            <w:gridSpan w:val="2"/>
          </w:tcPr>
          <w:p w14:paraId="1C51C819"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087626C6"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2.</w:t>
            </w:r>
          </w:p>
        </w:tc>
      </w:tr>
      <w:tr w:rsidR="000457F9" w:rsidRPr="000C5235" w14:paraId="63850916" w14:textId="77777777" w:rsidTr="00BD57F1">
        <w:trPr>
          <w:trHeight w:val="640"/>
        </w:trPr>
        <w:tc>
          <w:tcPr>
            <w:tcW w:w="353" w:type="dxa"/>
            <w:gridSpan w:val="2"/>
            <w:tcBorders>
              <w:left w:val="single" w:sz="4" w:space="0" w:color="000000"/>
              <w:bottom w:val="single" w:sz="4" w:space="0" w:color="000000"/>
            </w:tcBorders>
          </w:tcPr>
          <w:p w14:paraId="7EB16653"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76AF8971"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4738A7AA" w14:textId="77777777" w:rsidR="000457F9" w:rsidRPr="000C5235" w:rsidRDefault="000457F9" w:rsidP="00145E47">
            <w:pPr>
              <w:pStyle w:val="TableParagraph"/>
              <w:spacing w:before="61"/>
              <w:ind w:left="123" w:right="469"/>
              <w:rPr>
                <w:rFonts w:asciiTheme="minorHAnsi" w:hAnsiTheme="minorHAnsi" w:cstheme="minorHAnsi"/>
                <w:lang w:val="en-AU"/>
              </w:rPr>
            </w:pPr>
            <w:r w:rsidRPr="000C5235">
              <w:rPr>
                <w:rFonts w:asciiTheme="minorHAnsi" w:hAnsiTheme="minorHAnsi" w:cstheme="minorHAnsi"/>
                <w:lang w:val="en-AU"/>
              </w:rPr>
              <w:t>No – In Excel 2013 and later versions, select the cells, right click your mouse. Select “Format Cells”, click on “Alignment” tab; deselect ‘Merge cells’ and select “Wrap Text’.</w:t>
            </w:r>
          </w:p>
        </w:tc>
      </w:tr>
      <w:tr w:rsidR="000457F9" w:rsidRPr="000C5235" w14:paraId="008498FB" w14:textId="77777777" w:rsidTr="00BD57F1">
        <w:trPr>
          <w:trHeight w:val="360"/>
        </w:trPr>
        <w:tc>
          <w:tcPr>
            <w:tcW w:w="353" w:type="dxa"/>
            <w:gridSpan w:val="2"/>
            <w:tcBorders>
              <w:top w:val="single" w:sz="4" w:space="0" w:color="000000"/>
              <w:left w:val="single" w:sz="4" w:space="0" w:color="000000"/>
            </w:tcBorders>
            <w:shd w:val="clear" w:color="auto" w:fill="DADADA"/>
          </w:tcPr>
          <w:p w14:paraId="01BA7327" w14:textId="77777777" w:rsidR="000457F9" w:rsidRPr="000C5235" w:rsidRDefault="000457F9" w:rsidP="00145E47">
            <w:pPr>
              <w:pStyle w:val="TableParagraph"/>
              <w:spacing w:line="257" w:lineRule="exact"/>
              <w:ind w:left="-1"/>
              <w:rPr>
                <w:lang w:val="en-AU"/>
              </w:rPr>
            </w:pPr>
            <w:r w:rsidRPr="000C5235">
              <w:rPr>
                <w:lang w:val="en-AU"/>
              </w:rPr>
              <w:t>2.</w:t>
            </w:r>
          </w:p>
        </w:tc>
        <w:tc>
          <w:tcPr>
            <w:tcW w:w="8789" w:type="dxa"/>
            <w:gridSpan w:val="4"/>
            <w:tcBorders>
              <w:top w:val="single" w:sz="4" w:space="0" w:color="000000"/>
              <w:right w:val="single" w:sz="4" w:space="0" w:color="000000"/>
            </w:tcBorders>
            <w:shd w:val="clear" w:color="auto" w:fill="DADADA"/>
          </w:tcPr>
          <w:p w14:paraId="68E050B2" w14:textId="77777777" w:rsidR="000457F9" w:rsidRPr="000C5235" w:rsidRDefault="000457F9" w:rsidP="00145E47">
            <w:pPr>
              <w:pStyle w:val="TableParagraph"/>
              <w:spacing w:line="257" w:lineRule="exact"/>
              <w:ind w:left="55"/>
              <w:rPr>
                <w:rFonts w:asciiTheme="minorHAnsi" w:hAnsiTheme="minorHAnsi" w:cstheme="minorHAnsi"/>
                <w:lang w:val="en-AU"/>
              </w:rPr>
            </w:pPr>
            <w:r w:rsidRPr="000C5235">
              <w:rPr>
                <w:rFonts w:asciiTheme="minorHAnsi" w:hAnsiTheme="minorHAnsi" w:cstheme="minorHAnsi"/>
                <w:lang w:val="en-AU"/>
              </w:rPr>
              <w:t>Figures in Tables are rounded and presented in thousands.</w:t>
            </w:r>
          </w:p>
        </w:tc>
      </w:tr>
      <w:tr w:rsidR="000457F9" w:rsidRPr="000C5235" w14:paraId="5EBE9265" w14:textId="77777777" w:rsidTr="00BD57F1">
        <w:trPr>
          <w:trHeight w:val="280"/>
        </w:trPr>
        <w:tc>
          <w:tcPr>
            <w:tcW w:w="353" w:type="dxa"/>
            <w:gridSpan w:val="2"/>
            <w:tcBorders>
              <w:left w:val="single" w:sz="4" w:space="0" w:color="000000"/>
            </w:tcBorders>
          </w:tcPr>
          <w:p w14:paraId="79ED9744" w14:textId="77777777" w:rsidR="000457F9" w:rsidRPr="000C5235" w:rsidRDefault="000457F9" w:rsidP="00145E47">
            <w:pPr>
              <w:pStyle w:val="TableParagraph"/>
              <w:rPr>
                <w:rFonts w:ascii="Times New Roman"/>
                <w:lang w:val="en-AU"/>
              </w:rPr>
            </w:pPr>
          </w:p>
        </w:tc>
        <w:tc>
          <w:tcPr>
            <w:tcW w:w="357" w:type="dxa"/>
            <w:gridSpan w:val="2"/>
          </w:tcPr>
          <w:p w14:paraId="2AD113DA"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31F352DC"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3.</w:t>
            </w:r>
          </w:p>
        </w:tc>
      </w:tr>
      <w:tr w:rsidR="000457F9" w:rsidRPr="000C5235" w14:paraId="0FF3C4C7" w14:textId="77777777" w:rsidTr="00BD57F1">
        <w:trPr>
          <w:trHeight w:val="400"/>
        </w:trPr>
        <w:tc>
          <w:tcPr>
            <w:tcW w:w="353" w:type="dxa"/>
            <w:gridSpan w:val="2"/>
            <w:tcBorders>
              <w:left w:val="single" w:sz="4" w:space="0" w:color="000000"/>
              <w:bottom w:val="single" w:sz="4" w:space="0" w:color="000000"/>
            </w:tcBorders>
          </w:tcPr>
          <w:p w14:paraId="500309AD"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1F971BA6"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030C7511" w14:textId="77777777" w:rsidR="000457F9" w:rsidRPr="000C5235" w:rsidRDefault="000457F9" w:rsidP="00145E47">
            <w:pPr>
              <w:pStyle w:val="TableParagraph"/>
              <w:spacing w:before="61"/>
              <w:ind w:left="123"/>
              <w:rPr>
                <w:rFonts w:asciiTheme="minorHAnsi" w:hAnsiTheme="minorHAnsi" w:cstheme="minorHAnsi"/>
                <w:lang w:val="en-AU"/>
              </w:rPr>
            </w:pPr>
            <w:r w:rsidRPr="000C5235">
              <w:rPr>
                <w:rFonts w:asciiTheme="minorHAnsi" w:hAnsiTheme="minorHAnsi" w:cstheme="minorHAnsi"/>
                <w:lang w:val="en-AU"/>
              </w:rPr>
              <w:t>No – Use the ROUND() function when entering data into the tables.</w:t>
            </w:r>
          </w:p>
        </w:tc>
      </w:tr>
      <w:tr w:rsidR="000457F9" w:rsidRPr="000C5235" w14:paraId="6AEF2A4F" w14:textId="77777777" w:rsidTr="00BD57F1">
        <w:trPr>
          <w:trHeight w:val="360"/>
        </w:trPr>
        <w:tc>
          <w:tcPr>
            <w:tcW w:w="353" w:type="dxa"/>
            <w:gridSpan w:val="2"/>
            <w:tcBorders>
              <w:top w:val="single" w:sz="4" w:space="0" w:color="000000"/>
              <w:left w:val="single" w:sz="4" w:space="0" w:color="000000"/>
            </w:tcBorders>
            <w:shd w:val="clear" w:color="auto" w:fill="DADADA"/>
          </w:tcPr>
          <w:p w14:paraId="15D0B13B" w14:textId="77777777" w:rsidR="000457F9" w:rsidRPr="000C5235" w:rsidRDefault="000457F9" w:rsidP="00145E47">
            <w:pPr>
              <w:pStyle w:val="TableParagraph"/>
              <w:spacing w:line="257" w:lineRule="exact"/>
              <w:ind w:left="-1"/>
              <w:rPr>
                <w:lang w:val="en-AU"/>
              </w:rPr>
            </w:pPr>
            <w:r w:rsidRPr="000C5235">
              <w:rPr>
                <w:lang w:val="en-AU"/>
              </w:rPr>
              <w:t xml:space="preserve"> 3.</w:t>
            </w:r>
          </w:p>
        </w:tc>
        <w:tc>
          <w:tcPr>
            <w:tcW w:w="8789" w:type="dxa"/>
            <w:gridSpan w:val="4"/>
            <w:tcBorders>
              <w:top w:val="single" w:sz="4" w:space="0" w:color="000000"/>
              <w:right w:val="single" w:sz="4" w:space="0" w:color="000000"/>
            </w:tcBorders>
            <w:shd w:val="clear" w:color="auto" w:fill="DADADA"/>
          </w:tcPr>
          <w:p w14:paraId="022BF1FD" w14:textId="77777777" w:rsidR="000457F9" w:rsidRPr="000C5235" w:rsidRDefault="000457F9" w:rsidP="00145E47">
            <w:pPr>
              <w:pStyle w:val="TableParagraph"/>
              <w:spacing w:line="257" w:lineRule="exact"/>
              <w:ind w:left="55"/>
              <w:rPr>
                <w:rFonts w:asciiTheme="minorHAnsi" w:hAnsiTheme="minorHAnsi" w:cstheme="minorHAnsi"/>
                <w:lang w:val="en-AU"/>
              </w:rPr>
            </w:pPr>
            <w:r w:rsidRPr="000C5235">
              <w:rPr>
                <w:rFonts w:asciiTheme="minorHAnsi" w:hAnsiTheme="minorHAnsi" w:cstheme="minorHAnsi"/>
                <w:lang w:val="en-AU"/>
              </w:rPr>
              <w:t>Figures in Tables are correct and the same as what is printed in the PB Statements</w:t>
            </w:r>
          </w:p>
        </w:tc>
      </w:tr>
      <w:tr w:rsidR="000457F9" w:rsidRPr="000C5235" w14:paraId="2556C389" w14:textId="77777777" w:rsidTr="00BD57F1">
        <w:trPr>
          <w:trHeight w:val="280"/>
        </w:trPr>
        <w:tc>
          <w:tcPr>
            <w:tcW w:w="353" w:type="dxa"/>
            <w:gridSpan w:val="2"/>
            <w:tcBorders>
              <w:left w:val="single" w:sz="4" w:space="0" w:color="000000"/>
            </w:tcBorders>
          </w:tcPr>
          <w:p w14:paraId="743709C4" w14:textId="77777777" w:rsidR="000457F9" w:rsidRPr="000C5235" w:rsidRDefault="000457F9" w:rsidP="00145E47">
            <w:pPr>
              <w:pStyle w:val="TableParagraph"/>
              <w:rPr>
                <w:rFonts w:ascii="Times New Roman"/>
                <w:lang w:val="en-AU"/>
              </w:rPr>
            </w:pPr>
          </w:p>
        </w:tc>
        <w:tc>
          <w:tcPr>
            <w:tcW w:w="357" w:type="dxa"/>
            <w:gridSpan w:val="2"/>
          </w:tcPr>
          <w:p w14:paraId="7E7E98B7"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59B58FB4"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4.</w:t>
            </w:r>
          </w:p>
        </w:tc>
      </w:tr>
      <w:tr w:rsidR="000457F9" w:rsidRPr="000C5235" w14:paraId="042F9896" w14:textId="77777777" w:rsidTr="00BD57F1">
        <w:trPr>
          <w:trHeight w:val="400"/>
        </w:trPr>
        <w:tc>
          <w:tcPr>
            <w:tcW w:w="353" w:type="dxa"/>
            <w:gridSpan w:val="2"/>
            <w:tcBorders>
              <w:left w:val="single" w:sz="4" w:space="0" w:color="000000"/>
              <w:bottom w:val="single" w:sz="4" w:space="0" w:color="000000"/>
            </w:tcBorders>
          </w:tcPr>
          <w:p w14:paraId="0C981BC4"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426DDC22"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0BA2EB75" w14:textId="77777777" w:rsidR="000457F9" w:rsidRPr="000C5235" w:rsidRDefault="000457F9" w:rsidP="00145E47">
            <w:pPr>
              <w:pStyle w:val="TableParagraph"/>
              <w:spacing w:before="61"/>
              <w:ind w:left="123"/>
              <w:rPr>
                <w:rFonts w:asciiTheme="minorHAnsi" w:hAnsiTheme="minorHAnsi" w:cstheme="minorHAnsi"/>
                <w:lang w:val="en-AU"/>
              </w:rPr>
            </w:pPr>
            <w:r w:rsidRPr="000C5235">
              <w:rPr>
                <w:rFonts w:asciiTheme="minorHAnsi" w:hAnsiTheme="minorHAnsi" w:cstheme="minorHAnsi"/>
                <w:lang w:val="en-AU"/>
              </w:rPr>
              <w:t>No – Review differences and check formulas that all figures required are pulling through.</w:t>
            </w:r>
          </w:p>
        </w:tc>
      </w:tr>
      <w:tr w:rsidR="000457F9" w:rsidRPr="000C5235" w14:paraId="33865404" w14:textId="77777777" w:rsidTr="00BD57F1">
        <w:trPr>
          <w:trHeight w:val="360"/>
        </w:trPr>
        <w:tc>
          <w:tcPr>
            <w:tcW w:w="353" w:type="dxa"/>
            <w:gridSpan w:val="2"/>
            <w:tcBorders>
              <w:top w:val="single" w:sz="4" w:space="0" w:color="000000"/>
              <w:left w:val="single" w:sz="4" w:space="0" w:color="000000"/>
            </w:tcBorders>
            <w:shd w:val="clear" w:color="auto" w:fill="DADADA"/>
          </w:tcPr>
          <w:p w14:paraId="30FD64FF" w14:textId="77777777" w:rsidR="000457F9" w:rsidRPr="000C5235" w:rsidRDefault="000457F9" w:rsidP="00145E47">
            <w:pPr>
              <w:pStyle w:val="TableParagraph"/>
              <w:spacing w:line="257" w:lineRule="exact"/>
              <w:ind w:left="-1"/>
              <w:rPr>
                <w:lang w:val="en-AU"/>
              </w:rPr>
            </w:pPr>
            <w:r w:rsidRPr="000C5235">
              <w:rPr>
                <w:lang w:val="en-AU"/>
              </w:rPr>
              <w:br w:type="page"/>
              <w:t>4.</w:t>
            </w:r>
          </w:p>
        </w:tc>
        <w:tc>
          <w:tcPr>
            <w:tcW w:w="8789" w:type="dxa"/>
            <w:gridSpan w:val="4"/>
            <w:tcBorders>
              <w:top w:val="single" w:sz="4" w:space="0" w:color="000000"/>
              <w:right w:val="single" w:sz="4" w:space="0" w:color="000000"/>
            </w:tcBorders>
            <w:shd w:val="clear" w:color="auto" w:fill="DADADA"/>
          </w:tcPr>
          <w:p w14:paraId="04184E73" w14:textId="77777777" w:rsidR="000457F9" w:rsidRPr="000C5235" w:rsidRDefault="000457F9" w:rsidP="00145E47">
            <w:pPr>
              <w:pStyle w:val="TableParagraph"/>
              <w:spacing w:line="257" w:lineRule="exact"/>
              <w:ind w:left="55"/>
              <w:rPr>
                <w:rFonts w:asciiTheme="minorHAnsi" w:hAnsiTheme="minorHAnsi" w:cstheme="minorHAnsi"/>
                <w:lang w:val="en-AU"/>
              </w:rPr>
            </w:pPr>
            <w:r w:rsidRPr="000C5235">
              <w:rPr>
                <w:rFonts w:asciiTheme="minorHAnsi" w:hAnsiTheme="minorHAnsi" w:cstheme="minorHAnsi"/>
                <w:lang w:val="en-AU"/>
              </w:rPr>
              <w:t>Tables are presented as text and figures – they should not be pasted as pictures.</w:t>
            </w:r>
          </w:p>
        </w:tc>
      </w:tr>
      <w:tr w:rsidR="000457F9" w:rsidRPr="000C5235" w14:paraId="3135BB75" w14:textId="77777777" w:rsidTr="00BD57F1">
        <w:trPr>
          <w:trHeight w:val="280"/>
        </w:trPr>
        <w:tc>
          <w:tcPr>
            <w:tcW w:w="353" w:type="dxa"/>
            <w:gridSpan w:val="2"/>
            <w:tcBorders>
              <w:left w:val="single" w:sz="4" w:space="0" w:color="000000"/>
            </w:tcBorders>
          </w:tcPr>
          <w:p w14:paraId="4351E6CF" w14:textId="77777777" w:rsidR="000457F9" w:rsidRPr="000C5235" w:rsidRDefault="000457F9" w:rsidP="00145E47">
            <w:pPr>
              <w:pStyle w:val="TableParagraph"/>
              <w:rPr>
                <w:rFonts w:ascii="Times New Roman"/>
                <w:lang w:val="en-AU"/>
              </w:rPr>
            </w:pPr>
          </w:p>
        </w:tc>
        <w:tc>
          <w:tcPr>
            <w:tcW w:w="357" w:type="dxa"/>
            <w:gridSpan w:val="2"/>
          </w:tcPr>
          <w:p w14:paraId="3810665F"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683415D0"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5.</w:t>
            </w:r>
          </w:p>
        </w:tc>
      </w:tr>
      <w:tr w:rsidR="000457F9" w:rsidRPr="000C5235" w14:paraId="5206C037" w14:textId="77777777" w:rsidTr="00BD57F1">
        <w:trPr>
          <w:trHeight w:val="880"/>
        </w:trPr>
        <w:tc>
          <w:tcPr>
            <w:tcW w:w="353" w:type="dxa"/>
            <w:gridSpan w:val="2"/>
            <w:tcBorders>
              <w:left w:val="single" w:sz="4" w:space="0" w:color="000000"/>
              <w:bottom w:val="single" w:sz="4" w:space="0" w:color="000000"/>
            </w:tcBorders>
          </w:tcPr>
          <w:p w14:paraId="75654ABF"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49F17A05"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4FE2FCBD" w14:textId="77777777" w:rsidR="000457F9" w:rsidRPr="000C5235" w:rsidRDefault="000457F9" w:rsidP="00145E47">
            <w:pPr>
              <w:pStyle w:val="TableParagraph"/>
              <w:spacing w:before="61"/>
              <w:ind w:left="123" w:right="383"/>
              <w:rPr>
                <w:rFonts w:asciiTheme="minorHAnsi" w:hAnsiTheme="minorHAnsi" w:cstheme="minorHAnsi"/>
                <w:lang w:val="en-AU"/>
              </w:rPr>
            </w:pPr>
            <w:r w:rsidRPr="000C5235">
              <w:rPr>
                <w:rFonts w:asciiTheme="minorHAnsi" w:hAnsiTheme="minorHAnsi" w:cstheme="minorHAnsi"/>
                <w:lang w:val="en-AU"/>
              </w:rPr>
              <w:t>No – Tables will need to be pasted from the source (Excel) files as formatted text, rather than from the Word files. This may require you obtain copies of working spreadsheets from your portfolio entities.</w:t>
            </w:r>
          </w:p>
        </w:tc>
      </w:tr>
      <w:tr w:rsidR="000457F9" w:rsidRPr="000C5235" w14:paraId="15A71AFD" w14:textId="77777777" w:rsidTr="00BD57F1">
        <w:trPr>
          <w:trHeight w:val="360"/>
        </w:trPr>
        <w:tc>
          <w:tcPr>
            <w:tcW w:w="353" w:type="dxa"/>
            <w:gridSpan w:val="2"/>
            <w:tcBorders>
              <w:top w:val="single" w:sz="4" w:space="0" w:color="000000"/>
              <w:left w:val="single" w:sz="4" w:space="0" w:color="000000"/>
            </w:tcBorders>
            <w:shd w:val="clear" w:color="auto" w:fill="DADADA"/>
          </w:tcPr>
          <w:p w14:paraId="6808EAD9" w14:textId="77777777" w:rsidR="000457F9" w:rsidRPr="000C5235" w:rsidRDefault="000457F9" w:rsidP="00145E47">
            <w:pPr>
              <w:pStyle w:val="TableParagraph"/>
              <w:spacing w:line="257" w:lineRule="exact"/>
              <w:ind w:left="-1"/>
              <w:rPr>
                <w:lang w:val="en-AU"/>
              </w:rPr>
            </w:pPr>
            <w:r w:rsidRPr="000C5235">
              <w:rPr>
                <w:lang w:val="en-AU"/>
              </w:rPr>
              <w:t>5.</w:t>
            </w:r>
          </w:p>
        </w:tc>
        <w:tc>
          <w:tcPr>
            <w:tcW w:w="8789" w:type="dxa"/>
            <w:gridSpan w:val="4"/>
            <w:tcBorders>
              <w:top w:val="single" w:sz="4" w:space="0" w:color="000000"/>
              <w:right w:val="single" w:sz="4" w:space="0" w:color="000000"/>
            </w:tcBorders>
            <w:shd w:val="clear" w:color="auto" w:fill="DADADA"/>
          </w:tcPr>
          <w:p w14:paraId="3926841D" w14:textId="77777777" w:rsidR="000457F9" w:rsidRPr="000C5235" w:rsidRDefault="000457F9" w:rsidP="00145E47">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Links to other workbooks have been broken or removed.</w:t>
            </w:r>
          </w:p>
        </w:tc>
      </w:tr>
      <w:tr w:rsidR="000457F9" w:rsidRPr="000C5235" w14:paraId="1ABB62FD" w14:textId="77777777" w:rsidTr="00BD57F1">
        <w:trPr>
          <w:trHeight w:val="280"/>
        </w:trPr>
        <w:tc>
          <w:tcPr>
            <w:tcW w:w="353" w:type="dxa"/>
            <w:gridSpan w:val="2"/>
            <w:tcBorders>
              <w:left w:val="single" w:sz="4" w:space="0" w:color="000000"/>
            </w:tcBorders>
          </w:tcPr>
          <w:p w14:paraId="46C31634" w14:textId="77777777" w:rsidR="000457F9" w:rsidRPr="000C5235" w:rsidRDefault="000457F9" w:rsidP="00145E47">
            <w:pPr>
              <w:pStyle w:val="TableParagraph"/>
              <w:rPr>
                <w:rFonts w:ascii="Times New Roman"/>
                <w:lang w:val="en-AU"/>
              </w:rPr>
            </w:pPr>
          </w:p>
        </w:tc>
        <w:tc>
          <w:tcPr>
            <w:tcW w:w="357" w:type="dxa"/>
            <w:gridSpan w:val="2"/>
          </w:tcPr>
          <w:p w14:paraId="4537AEDE"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043C5CA9"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6.</w:t>
            </w:r>
          </w:p>
        </w:tc>
      </w:tr>
      <w:tr w:rsidR="000457F9" w:rsidRPr="000C5235" w14:paraId="0323A94B" w14:textId="77777777" w:rsidTr="00BD57F1">
        <w:trPr>
          <w:trHeight w:val="1000"/>
        </w:trPr>
        <w:tc>
          <w:tcPr>
            <w:tcW w:w="353" w:type="dxa"/>
            <w:gridSpan w:val="2"/>
            <w:tcBorders>
              <w:left w:val="single" w:sz="4" w:space="0" w:color="000000"/>
              <w:bottom w:val="single" w:sz="4" w:space="0" w:color="000000"/>
            </w:tcBorders>
          </w:tcPr>
          <w:p w14:paraId="21D1421A"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73E1B024"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342F46F8" w14:textId="77777777" w:rsidR="000457F9" w:rsidRPr="000C5235" w:rsidRDefault="000457F9" w:rsidP="00145E47">
            <w:pPr>
              <w:pStyle w:val="TableParagraph"/>
              <w:spacing w:before="61"/>
              <w:ind w:left="123" w:right="-8"/>
              <w:rPr>
                <w:rFonts w:asciiTheme="minorHAnsi" w:hAnsiTheme="minorHAnsi" w:cstheme="minorHAnsi"/>
                <w:lang w:val="en-AU"/>
              </w:rPr>
            </w:pPr>
            <w:r w:rsidRPr="000C5235">
              <w:rPr>
                <w:rFonts w:asciiTheme="minorHAnsi" w:hAnsiTheme="minorHAnsi" w:cstheme="minorHAnsi"/>
                <w:lang w:val="en-AU"/>
              </w:rPr>
              <w:t>No – In Excel 2013 and later versions, go to the Data ribbon, then select “Edit links”. For each link, click “break link”.</w:t>
            </w:r>
          </w:p>
          <w:p w14:paraId="14C27588" w14:textId="77777777" w:rsidR="000457F9" w:rsidRPr="000C5235" w:rsidRDefault="000457F9" w:rsidP="00145E47">
            <w:pPr>
              <w:pStyle w:val="TableParagraph"/>
              <w:spacing w:before="118"/>
              <w:ind w:left="123"/>
              <w:rPr>
                <w:rFonts w:asciiTheme="minorHAnsi" w:hAnsiTheme="minorHAnsi" w:cstheme="minorHAnsi"/>
                <w:lang w:val="en-AU"/>
              </w:rPr>
            </w:pPr>
            <w:r w:rsidRPr="000C5235">
              <w:rPr>
                <w:rFonts w:asciiTheme="minorHAnsi" w:hAnsiTheme="minorHAnsi" w:cstheme="minorHAnsi"/>
                <w:lang w:val="en-AU"/>
              </w:rPr>
              <w:t>In Excel 2010, from the Edit menu, select “Edit links to files”. For each link, click “break link”.</w:t>
            </w:r>
          </w:p>
        </w:tc>
      </w:tr>
      <w:tr w:rsidR="000457F9" w:rsidRPr="000C5235" w14:paraId="2A72F487" w14:textId="77777777" w:rsidTr="00BD57F1">
        <w:trPr>
          <w:gridAfter w:val="1"/>
          <w:wAfter w:w="75" w:type="dxa"/>
          <w:trHeight w:val="360"/>
        </w:trPr>
        <w:tc>
          <w:tcPr>
            <w:tcW w:w="279" w:type="dxa"/>
            <w:tcBorders>
              <w:top w:val="single" w:sz="4" w:space="0" w:color="000000"/>
              <w:left w:val="single" w:sz="4" w:space="0" w:color="000000"/>
            </w:tcBorders>
            <w:shd w:val="clear" w:color="auto" w:fill="DADADA"/>
          </w:tcPr>
          <w:p w14:paraId="0A224F48" w14:textId="77777777" w:rsidR="000457F9" w:rsidRPr="000C5235" w:rsidRDefault="000457F9" w:rsidP="00145E47">
            <w:pPr>
              <w:pStyle w:val="TableParagraph"/>
              <w:spacing w:line="257" w:lineRule="exact"/>
              <w:ind w:left="-1"/>
              <w:rPr>
                <w:lang w:val="en-AU"/>
              </w:rPr>
            </w:pPr>
            <w:r w:rsidRPr="000C5235">
              <w:rPr>
                <w:lang w:val="en-AU"/>
              </w:rPr>
              <w:t>6.</w:t>
            </w:r>
          </w:p>
        </w:tc>
        <w:tc>
          <w:tcPr>
            <w:tcW w:w="8788" w:type="dxa"/>
            <w:gridSpan w:val="4"/>
            <w:tcBorders>
              <w:top w:val="single" w:sz="4" w:space="0" w:color="000000"/>
              <w:right w:val="single" w:sz="4" w:space="0" w:color="000000"/>
            </w:tcBorders>
            <w:shd w:val="clear" w:color="auto" w:fill="DADADA"/>
          </w:tcPr>
          <w:p w14:paraId="61483700" w14:textId="77777777" w:rsidR="000457F9" w:rsidRPr="000C5235" w:rsidRDefault="000457F9" w:rsidP="00145E47">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All hidden and working sheets, as well as cell comments, should be removed.</w:t>
            </w:r>
          </w:p>
        </w:tc>
      </w:tr>
      <w:tr w:rsidR="000457F9" w:rsidRPr="000C5235" w14:paraId="4BC9B750" w14:textId="77777777" w:rsidTr="00BD57F1">
        <w:trPr>
          <w:gridAfter w:val="1"/>
          <w:wAfter w:w="75" w:type="dxa"/>
          <w:trHeight w:val="280"/>
        </w:trPr>
        <w:tc>
          <w:tcPr>
            <w:tcW w:w="279" w:type="dxa"/>
            <w:tcBorders>
              <w:left w:val="single" w:sz="4" w:space="0" w:color="000000"/>
            </w:tcBorders>
          </w:tcPr>
          <w:p w14:paraId="171B9B10" w14:textId="77777777" w:rsidR="000457F9" w:rsidRPr="000C5235" w:rsidRDefault="000457F9" w:rsidP="00145E47">
            <w:pPr>
              <w:pStyle w:val="TableParagraph"/>
              <w:rPr>
                <w:rFonts w:ascii="Times New Roman"/>
                <w:lang w:val="en-AU"/>
              </w:rPr>
            </w:pPr>
          </w:p>
        </w:tc>
        <w:tc>
          <w:tcPr>
            <w:tcW w:w="306" w:type="dxa"/>
            <w:gridSpan w:val="2"/>
          </w:tcPr>
          <w:p w14:paraId="19187B3F"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82" w:type="dxa"/>
            <w:gridSpan w:val="2"/>
            <w:tcBorders>
              <w:right w:val="single" w:sz="4" w:space="0" w:color="000000"/>
            </w:tcBorders>
          </w:tcPr>
          <w:p w14:paraId="5B3CEFD5"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7.</w:t>
            </w:r>
          </w:p>
        </w:tc>
      </w:tr>
      <w:tr w:rsidR="000457F9" w:rsidRPr="000C5235" w14:paraId="1E9D7706" w14:textId="77777777" w:rsidTr="00BD57F1">
        <w:trPr>
          <w:gridAfter w:val="1"/>
          <w:wAfter w:w="75" w:type="dxa"/>
          <w:trHeight w:val="1940"/>
        </w:trPr>
        <w:tc>
          <w:tcPr>
            <w:tcW w:w="279" w:type="dxa"/>
            <w:tcBorders>
              <w:left w:val="single" w:sz="4" w:space="0" w:color="000000"/>
              <w:bottom w:val="single" w:sz="4" w:space="0" w:color="000000"/>
            </w:tcBorders>
          </w:tcPr>
          <w:p w14:paraId="148A5859" w14:textId="77777777" w:rsidR="000457F9" w:rsidRPr="000C5235" w:rsidRDefault="000457F9" w:rsidP="00145E47">
            <w:pPr>
              <w:pStyle w:val="TableParagraph"/>
              <w:rPr>
                <w:rFonts w:ascii="Times New Roman"/>
                <w:lang w:val="en-AU"/>
              </w:rPr>
            </w:pPr>
          </w:p>
        </w:tc>
        <w:tc>
          <w:tcPr>
            <w:tcW w:w="306" w:type="dxa"/>
            <w:gridSpan w:val="2"/>
            <w:tcBorders>
              <w:bottom w:val="single" w:sz="4" w:space="0" w:color="000000"/>
            </w:tcBorders>
          </w:tcPr>
          <w:p w14:paraId="1A6C1178" w14:textId="77777777" w:rsidR="000457F9" w:rsidRPr="000C5235" w:rsidRDefault="000457F9" w:rsidP="00145E47">
            <w:pPr>
              <w:pStyle w:val="TableParagraph"/>
              <w:spacing w:before="58"/>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82" w:type="dxa"/>
            <w:gridSpan w:val="2"/>
            <w:tcBorders>
              <w:bottom w:val="single" w:sz="4" w:space="0" w:color="000000"/>
              <w:right w:val="single" w:sz="4" w:space="0" w:color="000000"/>
            </w:tcBorders>
          </w:tcPr>
          <w:p w14:paraId="3EE6F8D8" w14:textId="77777777" w:rsidR="000457F9" w:rsidRPr="000C5235" w:rsidRDefault="000457F9" w:rsidP="00145E47">
            <w:pPr>
              <w:pStyle w:val="TableParagraph"/>
              <w:spacing w:before="59"/>
              <w:ind w:left="123" w:right="179"/>
              <w:rPr>
                <w:rFonts w:asciiTheme="minorHAnsi" w:hAnsiTheme="minorHAnsi" w:cstheme="minorHAnsi"/>
                <w:lang w:val="en-AU"/>
              </w:rPr>
            </w:pPr>
            <w:r w:rsidRPr="000C5235">
              <w:rPr>
                <w:rFonts w:asciiTheme="minorHAnsi" w:hAnsiTheme="minorHAnsi" w:cstheme="minorHAnsi"/>
                <w:lang w:val="en-AU"/>
              </w:rPr>
              <w:t>No – In Excel 2013 and later versions, click the File tab, then “Check for Issues” followed by “Inspect document”. Click “Inspect”. Click “Remove all for the “Comments and Annotations” and “Hidden Worksheets” sections.</w:t>
            </w:r>
          </w:p>
          <w:p w14:paraId="3DE53E8D" w14:textId="77777777" w:rsidR="000457F9" w:rsidRPr="000C5235" w:rsidRDefault="000457F9" w:rsidP="00145E47">
            <w:pPr>
              <w:pStyle w:val="TableParagraph"/>
              <w:spacing w:before="120"/>
              <w:ind w:left="123" w:right="175"/>
              <w:rPr>
                <w:rFonts w:asciiTheme="minorHAnsi" w:hAnsiTheme="minorHAnsi" w:cstheme="minorHAnsi"/>
                <w:lang w:val="en-AU"/>
              </w:rPr>
            </w:pPr>
            <w:r w:rsidRPr="000C5235">
              <w:rPr>
                <w:rFonts w:asciiTheme="minorHAnsi" w:hAnsiTheme="minorHAnsi" w:cstheme="minorHAnsi"/>
                <w:lang w:val="en-AU"/>
              </w:rPr>
              <w:t>In Excel 2010, from the “Format” menu, select “Sheet”, then “Unhide sheet”. This will need to be repeated for each hidden sheet. Once all sheets have been unhidden, delete them from the workbook. For each of the remaining worksheets, right click each comment and select “Delete comment”.</w:t>
            </w:r>
          </w:p>
        </w:tc>
      </w:tr>
    </w:tbl>
    <w:p w14:paraId="19EBE5D1" w14:textId="77777777" w:rsidR="003D755D" w:rsidRPr="000C5235" w:rsidRDefault="003D755D">
      <w:r w:rsidRPr="000C5235">
        <w:br w:type="page"/>
      </w:r>
    </w:p>
    <w:tbl>
      <w:tblPr>
        <w:tblW w:w="9067" w:type="dxa"/>
        <w:tblLayout w:type="fixed"/>
        <w:tblCellMar>
          <w:left w:w="0" w:type="dxa"/>
          <w:right w:w="0" w:type="dxa"/>
        </w:tblCellMar>
        <w:tblLook w:val="01E0" w:firstRow="1" w:lastRow="1" w:firstColumn="1" w:lastColumn="1" w:noHBand="0" w:noVBand="0"/>
      </w:tblPr>
      <w:tblGrid>
        <w:gridCol w:w="279"/>
        <w:gridCol w:w="306"/>
        <w:gridCol w:w="8482"/>
      </w:tblGrid>
      <w:tr w:rsidR="000457F9" w:rsidRPr="000C5235" w14:paraId="2FA76151" w14:textId="77777777" w:rsidTr="003D755D">
        <w:trPr>
          <w:trHeight w:val="360"/>
        </w:trPr>
        <w:tc>
          <w:tcPr>
            <w:tcW w:w="279" w:type="dxa"/>
            <w:tcBorders>
              <w:top w:val="single" w:sz="4" w:space="0" w:color="000000"/>
              <w:left w:val="single" w:sz="4" w:space="0" w:color="000000"/>
            </w:tcBorders>
            <w:shd w:val="clear" w:color="auto" w:fill="DADADA"/>
          </w:tcPr>
          <w:p w14:paraId="09DC4517" w14:textId="77777777" w:rsidR="000457F9" w:rsidRPr="000C5235" w:rsidRDefault="000457F9" w:rsidP="00145E47">
            <w:pPr>
              <w:pStyle w:val="TableParagraph"/>
              <w:spacing w:line="257" w:lineRule="exact"/>
              <w:ind w:left="-1"/>
              <w:rPr>
                <w:lang w:val="en-AU"/>
              </w:rPr>
            </w:pPr>
            <w:r w:rsidRPr="000C5235">
              <w:rPr>
                <w:lang w:val="en-AU"/>
              </w:rPr>
              <w:t>7.</w:t>
            </w:r>
          </w:p>
        </w:tc>
        <w:tc>
          <w:tcPr>
            <w:tcW w:w="8788" w:type="dxa"/>
            <w:gridSpan w:val="2"/>
            <w:tcBorders>
              <w:top w:val="single" w:sz="4" w:space="0" w:color="000000"/>
              <w:right w:val="single" w:sz="4" w:space="0" w:color="000000"/>
            </w:tcBorders>
            <w:shd w:val="clear" w:color="auto" w:fill="DADADA"/>
          </w:tcPr>
          <w:p w14:paraId="625345BD" w14:textId="77777777" w:rsidR="000457F9" w:rsidRPr="000C5235" w:rsidRDefault="000457F9" w:rsidP="00145E47">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Hidden / blank rows and columns have been removed.</w:t>
            </w:r>
          </w:p>
        </w:tc>
      </w:tr>
      <w:tr w:rsidR="000457F9" w:rsidRPr="000C5235" w14:paraId="21EE2695" w14:textId="77777777" w:rsidTr="003D755D">
        <w:trPr>
          <w:trHeight w:val="280"/>
        </w:trPr>
        <w:tc>
          <w:tcPr>
            <w:tcW w:w="279" w:type="dxa"/>
            <w:tcBorders>
              <w:left w:val="single" w:sz="4" w:space="0" w:color="000000"/>
            </w:tcBorders>
          </w:tcPr>
          <w:p w14:paraId="434D2B5B" w14:textId="77777777" w:rsidR="000457F9" w:rsidRPr="000C5235" w:rsidRDefault="000457F9" w:rsidP="00145E47">
            <w:pPr>
              <w:pStyle w:val="TableParagraph"/>
              <w:rPr>
                <w:rFonts w:ascii="Times New Roman"/>
                <w:lang w:val="en-AU"/>
              </w:rPr>
            </w:pPr>
          </w:p>
        </w:tc>
        <w:tc>
          <w:tcPr>
            <w:tcW w:w="306" w:type="dxa"/>
          </w:tcPr>
          <w:p w14:paraId="02850E1D" w14:textId="77777777" w:rsidR="000457F9" w:rsidRPr="000C5235" w:rsidRDefault="000457F9" w:rsidP="00145E47">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457B3006"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8.</w:t>
            </w:r>
          </w:p>
        </w:tc>
      </w:tr>
      <w:tr w:rsidR="000457F9" w:rsidRPr="000C5235" w14:paraId="5595B39C" w14:textId="77777777" w:rsidTr="003D755D">
        <w:trPr>
          <w:trHeight w:val="640"/>
        </w:trPr>
        <w:tc>
          <w:tcPr>
            <w:tcW w:w="279" w:type="dxa"/>
            <w:tcBorders>
              <w:left w:val="single" w:sz="4" w:space="0" w:color="000000"/>
              <w:bottom w:val="single" w:sz="4" w:space="0" w:color="000000"/>
            </w:tcBorders>
          </w:tcPr>
          <w:p w14:paraId="484AE8C9" w14:textId="77777777" w:rsidR="000457F9" w:rsidRPr="000C5235" w:rsidRDefault="000457F9" w:rsidP="00145E47">
            <w:pPr>
              <w:pStyle w:val="TableParagraph"/>
              <w:rPr>
                <w:rFonts w:ascii="Times New Roman"/>
                <w:lang w:val="en-AU"/>
              </w:rPr>
            </w:pPr>
          </w:p>
        </w:tc>
        <w:tc>
          <w:tcPr>
            <w:tcW w:w="306" w:type="dxa"/>
            <w:tcBorders>
              <w:bottom w:val="single" w:sz="4" w:space="0" w:color="000000"/>
            </w:tcBorders>
          </w:tcPr>
          <w:p w14:paraId="7CD14BDF" w14:textId="77777777" w:rsidR="000457F9" w:rsidRPr="000C5235" w:rsidRDefault="000457F9" w:rsidP="00145E47">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04589696" w14:textId="77777777" w:rsidR="000457F9" w:rsidRPr="000C5235" w:rsidRDefault="000457F9" w:rsidP="00145E47">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No – Select the entire worksheet and with the pointer hovering over the row numbers, right click and select “Unhide”.  Delete the relevant rows.</w:t>
            </w:r>
          </w:p>
        </w:tc>
      </w:tr>
      <w:tr w:rsidR="00DD311E" w:rsidRPr="000C5235" w14:paraId="1E434C34" w14:textId="77777777" w:rsidTr="003D755D">
        <w:trPr>
          <w:trHeight w:val="360"/>
        </w:trPr>
        <w:tc>
          <w:tcPr>
            <w:tcW w:w="279" w:type="dxa"/>
            <w:tcBorders>
              <w:top w:val="single" w:sz="4" w:space="0" w:color="000000"/>
              <w:left w:val="single" w:sz="4" w:space="0" w:color="000000"/>
            </w:tcBorders>
            <w:shd w:val="clear" w:color="auto" w:fill="DADADA"/>
          </w:tcPr>
          <w:p w14:paraId="6B184D92" w14:textId="77777777" w:rsidR="00DD311E" w:rsidRPr="000C5235" w:rsidRDefault="00DD311E" w:rsidP="00A10310">
            <w:pPr>
              <w:pStyle w:val="TableParagraph"/>
              <w:spacing w:line="257" w:lineRule="exact"/>
              <w:ind w:left="-1"/>
              <w:rPr>
                <w:lang w:val="en-AU"/>
              </w:rPr>
            </w:pPr>
            <w:bookmarkStart w:id="361" w:name="_Toc34314210"/>
            <w:bookmarkStart w:id="362" w:name="_Toc34314211"/>
            <w:bookmarkEnd w:id="361"/>
            <w:bookmarkEnd w:id="362"/>
            <w:r w:rsidRPr="000C5235">
              <w:rPr>
                <w:lang w:val="en-AU"/>
              </w:rPr>
              <w:t>8.</w:t>
            </w:r>
          </w:p>
        </w:tc>
        <w:tc>
          <w:tcPr>
            <w:tcW w:w="8788" w:type="dxa"/>
            <w:gridSpan w:val="2"/>
            <w:tcBorders>
              <w:top w:val="single" w:sz="4" w:space="0" w:color="000000"/>
              <w:right w:val="single" w:sz="4" w:space="0" w:color="000000"/>
            </w:tcBorders>
            <w:shd w:val="clear" w:color="auto" w:fill="DADADA"/>
          </w:tcPr>
          <w:p w14:paraId="1E64DB71" w14:textId="77777777" w:rsidR="00DD311E" w:rsidRPr="000C5235" w:rsidRDefault="00DD311E" w:rsidP="002808B0">
            <w:pPr>
              <w:pStyle w:val="Default"/>
              <w:rPr>
                <w:rFonts w:asciiTheme="minorHAnsi" w:hAnsiTheme="minorHAnsi" w:cstheme="minorHAnsi"/>
                <w:szCs w:val="22"/>
              </w:rPr>
            </w:pPr>
            <w:r w:rsidRPr="000C5235">
              <w:rPr>
                <w:rFonts w:asciiTheme="minorHAnsi" w:hAnsiTheme="minorHAnsi" w:cstheme="minorHAnsi"/>
                <w:sz w:val="22"/>
                <w:szCs w:val="22"/>
              </w:rPr>
              <w:t>Passwords have been removed from the file.</w:t>
            </w:r>
          </w:p>
        </w:tc>
      </w:tr>
      <w:tr w:rsidR="00DD311E" w:rsidRPr="000C5235" w14:paraId="32288E47" w14:textId="77777777" w:rsidTr="003D755D">
        <w:trPr>
          <w:trHeight w:val="280"/>
        </w:trPr>
        <w:tc>
          <w:tcPr>
            <w:tcW w:w="279" w:type="dxa"/>
            <w:tcBorders>
              <w:left w:val="single" w:sz="4" w:space="0" w:color="000000"/>
            </w:tcBorders>
          </w:tcPr>
          <w:p w14:paraId="16CF2BAD" w14:textId="77777777" w:rsidR="00DD311E" w:rsidRPr="000C5235" w:rsidRDefault="00DD311E" w:rsidP="00A10310">
            <w:pPr>
              <w:pStyle w:val="TableParagraph"/>
              <w:rPr>
                <w:rFonts w:ascii="Times New Roman"/>
                <w:lang w:val="en-AU"/>
              </w:rPr>
            </w:pPr>
          </w:p>
        </w:tc>
        <w:tc>
          <w:tcPr>
            <w:tcW w:w="306" w:type="dxa"/>
          </w:tcPr>
          <w:p w14:paraId="24CB5BF3" w14:textId="77777777" w:rsidR="00DD311E" w:rsidRPr="000C5235" w:rsidRDefault="00DD311E" w:rsidP="00A10310">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2893336C" w14:textId="77777777" w:rsidR="00DD311E" w:rsidRPr="000C5235" w:rsidRDefault="00DD311E" w:rsidP="005F685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 xml:space="preserve">Yes – go to step </w:t>
            </w:r>
            <w:r w:rsidR="005F6857" w:rsidRPr="000C5235">
              <w:rPr>
                <w:rFonts w:asciiTheme="minorHAnsi" w:hAnsiTheme="minorHAnsi" w:cstheme="minorHAnsi"/>
                <w:lang w:val="en-AU"/>
              </w:rPr>
              <w:t>9</w:t>
            </w:r>
            <w:r w:rsidRPr="000C5235">
              <w:rPr>
                <w:rFonts w:asciiTheme="minorHAnsi" w:hAnsiTheme="minorHAnsi" w:cstheme="minorHAnsi"/>
                <w:lang w:val="en-AU"/>
              </w:rPr>
              <w:t>.</w:t>
            </w:r>
          </w:p>
        </w:tc>
      </w:tr>
      <w:tr w:rsidR="00DD311E" w:rsidRPr="000C5235" w14:paraId="0D0B04D8" w14:textId="77777777" w:rsidTr="003D755D">
        <w:trPr>
          <w:trHeight w:val="640"/>
        </w:trPr>
        <w:tc>
          <w:tcPr>
            <w:tcW w:w="279" w:type="dxa"/>
            <w:tcBorders>
              <w:left w:val="single" w:sz="4" w:space="0" w:color="000000"/>
              <w:bottom w:val="single" w:sz="4" w:space="0" w:color="000000"/>
            </w:tcBorders>
          </w:tcPr>
          <w:p w14:paraId="58E6FDAD" w14:textId="77777777" w:rsidR="00DD311E" w:rsidRPr="000C5235" w:rsidRDefault="00DD311E" w:rsidP="00A10310">
            <w:pPr>
              <w:pStyle w:val="TableParagraph"/>
              <w:rPr>
                <w:rFonts w:ascii="Times New Roman"/>
                <w:lang w:val="en-AU"/>
              </w:rPr>
            </w:pPr>
          </w:p>
        </w:tc>
        <w:tc>
          <w:tcPr>
            <w:tcW w:w="306" w:type="dxa"/>
            <w:tcBorders>
              <w:bottom w:val="single" w:sz="4" w:space="0" w:color="000000"/>
            </w:tcBorders>
          </w:tcPr>
          <w:p w14:paraId="309EC56B" w14:textId="77777777" w:rsidR="00DD311E" w:rsidRPr="000C5235" w:rsidRDefault="00DD311E" w:rsidP="00A10310">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56085F1B" w14:textId="77777777" w:rsidR="005F6857" w:rsidRPr="000C5235" w:rsidRDefault="00DD311E" w:rsidP="005F6857">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 xml:space="preserve">No – </w:t>
            </w:r>
            <w:r w:rsidR="005F6857" w:rsidRPr="000C5235">
              <w:rPr>
                <w:rFonts w:asciiTheme="minorHAnsi" w:hAnsiTheme="minorHAnsi" w:cstheme="minorHAnsi"/>
                <w:lang w:val="en-AU"/>
              </w:rPr>
              <w:t xml:space="preserve">In Excel 2013 and later versions, from the Review ribbon, select “Protect </w:t>
            </w:r>
            <w:r w:rsidR="004B5F4F" w:rsidRPr="000C5235">
              <w:rPr>
                <w:rFonts w:asciiTheme="minorHAnsi" w:hAnsiTheme="minorHAnsi" w:cstheme="minorHAnsi"/>
                <w:lang w:val="en-AU"/>
              </w:rPr>
              <w:t>sheet” and</w:t>
            </w:r>
            <w:r w:rsidR="005F6857" w:rsidRPr="000C5235">
              <w:rPr>
                <w:rFonts w:asciiTheme="minorHAnsi" w:hAnsiTheme="minorHAnsi" w:cstheme="minorHAnsi"/>
                <w:lang w:val="en-AU"/>
              </w:rPr>
              <w:t xml:space="preserve"> delete the password. From the Review ribbon, select “Protect workbook” and</w:t>
            </w:r>
            <w:r w:rsidR="00FC0A36" w:rsidRPr="000C5235">
              <w:rPr>
                <w:rFonts w:asciiTheme="minorHAnsi" w:hAnsiTheme="minorHAnsi" w:cstheme="minorHAnsi"/>
                <w:lang w:val="en-AU"/>
              </w:rPr>
              <w:t xml:space="preserve"> </w:t>
            </w:r>
            <w:r w:rsidR="005F6857" w:rsidRPr="000C5235">
              <w:rPr>
                <w:rFonts w:asciiTheme="minorHAnsi" w:hAnsiTheme="minorHAnsi" w:cstheme="minorHAnsi"/>
                <w:lang w:val="en-AU"/>
              </w:rPr>
              <w:t>delete the password.</w:t>
            </w:r>
          </w:p>
          <w:p w14:paraId="1A35625B" w14:textId="77777777" w:rsidR="00DD311E" w:rsidRPr="000C5235" w:rsidRDefault="005F6857" w:rsidP="005F6857">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In Excel 2010, from the Tools menu, select “Protect sheet”, then delete the password. From the Tools menu, select “Protect workbook”, then delete the password.</w:t>
            </w:r>
          </w:p>
        </w:tc>
      </w:tr>
      <w:tr w:rsidR="00DD311E" w:rsidRPr="000C5235" w14:paraId="4E02DD3A" w14:textId="77777777" w:rsidTr="003D755D">
        <w:trPr>
          <w:trHeight w:val="360"/>
        </w:trPr>
        <w:tc>
          <w:tcPr>
            <w:tcW w:w="279" w:type="dxa"/>
            <w:tcBorders>
              <w:top w:val="single" w:sz="4" w:space="0" w:color="000000"/>
              <w:left w:val="single" w:sz="4" w:space="0" w:color="000000"/>
            </w:tcBorders>
            <w:shd w:val="clear" w:color="auto" w:fill="DADADA"/>
          </w:tcPr>
          <w:p w14:paraId="7AC58664" w14:textId="77777777" w:rsidR="00DD311E" w:rsidRPr="000C5235" w:rsidRDefault="005F6857" w:rsidP="00A10310">
            <w:pPr>
              <w:pStyle w:val="TableParagraph"/>
              <w:spacing w:line="257" w:lineRule="exact"/>
              <w:ind w:left="-1"/>
              <w:rPr>
                <w:lang w:val="en-AU"/>
              </w:rPr>
            </w:pPr>
            <w:r w:rsidRPr="000C5235">
              <w:rPr>
                <w:lang w:val="en-AU"/>
              </w:rPr>
              <w:t>9</w:t>
            </w:r>
            <w:r w:rsidR="00DD311E" w:rsidRPr="000C5235">
              <w:rPr>
                <w:lang w:val="en-AU"/>
              </w:rPr>
              <w:t>.</w:t>
            </w:r>
          </w:p>
        </w:tc>
        <w:tc>
          <w:tcPr>
            <w:tcW w:w="8788" w:type="dxa"/>
            <w:gridSpan w:val="2"/>
            <w:tcBorders>
              <w:top w:val="single" w:sz="4" w:space="0" w:color="000000"/>
              <w:right w:val="single" w:sz="4" w:space="0" w:color="000000"/>
            </w:tcBorders>
            <w:shd w:val="clear" w:color="auto" w:fill="DADADA"/>
          </w:tcPr>
          <w:p w14:paraId="06C1A5D0" w14:textId="77777777" w:rsidR="00DD311E" w:rsidRPr="000C5235" w:rsidRDefault="005F6857" w:rsidP="00A10310">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 xml:space="preserve">Footnotes are on a separate row (with wrap text) and references are in the form of (a), (b),(c)etc </w:t>
            </w:r>
            <w:r w:rsidRPr="000C5235">
              <w:rPr>
                <w:rFonts w:asciiTheme="minorHAnsi" w:hAnsiTheme="minorHAnsi" w:cstheme="minorHAnsi"/>
                <w:b/>
                <w:u w:val="single"/>
                <w:lang w:val="en-AU"/>
              </w:rPr>
              <w:t>NOT</w:t>
            </w:r>
            <w:r w:rsidRPr="000C5235">
              <w:rPr>
                <w:rFonts w:asciiTheme="minorHAnsi" w:hAnsiTheme="minorHAnsi" w:cstheme="minorHAnsi"/>
                <w:lang w:val="en-AU"/>
              </w:rPr>
              <w:t xml:space="preserve"> (1), (2), (3) or 1,2,3 etc</w:t>
            </w:r>
          </w:p>
        </w:tc>
      </w:tr>
      <w:tr w:rsidR="00DD311E" w:rsidRPr="000C5235" w14:paraId="77283DCD" w14:textId="77777777" w:rsidTr="003D755D">
        <w:trPr>
          <w:trHeight w:val="280"/>
        </w:trPr>
        <w:tc>
          <w:tcPr>
            <w:tcW w:w="279" w:type="dxa"/>
            <w:tcBorders>
              <w:left w:val="single" w:sz="4" w:space="0" w:color="000000"/>
            </w:tcBorders>
          </w:tcPr>
          <w:p w14:paraId="5EEDCA8B" w14:textId="77777777" w:rsidR="00DD311E" w:rsidRPr="000C5235" w:rsidRDefault="00DD311E" w:rsidP="00A10310">
            <w:pPr>
              <w:pStyle w:val="TableParagraph"/>
              <w:rPr>
                <w:rFonts w:ascii="Times New Roman"/>
                <w:lang w:val="en-AU"/>
              </w:rPr>
            </w:pPr>
          </w:p>
        </w:tc>
        <w:tc>
          <w:tcPr>
            <w:tcW w:w="306" w:type="dxa"/>
          </w:tcPr>
          <w:p w14:paraId="6380137B" w14:textId="77777777" w:rsidR="00DD311E" w:rsidRPr="000C5235" w:rsidRDefault="00DD311E" w:rsidP="00A10310">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43783F7C" w14:textId="77777777" w:rsidR="00DD311E" w:rsidRPr="000C5235" w:rsidRDefault="00DD311E" w:rsidP="005F685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 xml:space="preserve">Yes – go to step </w:t>
            </w:r>
            <w:r w:rsidR="005F6857" w:rsidRPr="000C5235">
              <w:rPr>
                <w:rFonts w:asciiTheme="minorHAnsi" w:hAnsiTheme="minorHAnsi" w:cstheme="minorHAnsi"/>
                <w:lang w:val="en-AU"/>
              </w:rPr>
              <w:t>10</w:t>
            </w:r>
            <w:r w:rsidRPr="000C5235">
              <w:rPr>
                <w:rFonts w:asciiTheme="minorHAnsi" w:hAnsiTheme="minorHAnsi" w:cstheme="minorHAnsi"/>
                <w:lang w:val="en-AU"/>
              </w:rPr>
              <w:t>.</w:t>
            </w:r>
          </w:p>
        </w:tc>
      </w:tr>
      <w:tr w:rsidR="00DD311E" w:rsidRPr="000C5235" w14:paraId="033CDAEB" w14:textId="77777777" w:rsidTr="003D755D">
        <w:trPr>
          <w:trHeight w:val="640"/>
        </w:trPr>
        <w:tc>
          <w:tcPr>
            <w:tcW w:w="279" w:type="dxa"/>
            <w:tcBorders>
              <w:left w:val="single" w:sz="4" w:space="0" w:color="000000"/>
              <w:bottom w:val="single" w:sz="4" w:space="0" w:color="000000"/>
            </w:tcBorders>
          </w:tcPr>
          <w:p w14:paraId="5DD7E5CB" w14:textId="77777777" w:rsidR="00DD311E" w:rsidRPr="000C5235" w:rsidRDefault="00DD311E" w:rsidP="00A10310">
            <w:pPr>
              <w:pStyle w:val="TableParagraph"/>
              <w:rPr>
                <w:rFonts w:ascii="Times New Roman"/>
                <w:lang w:val="en-AU"/>
              </w:rPr>
            </w:pPr>
          </w:p>
        </w:tc>
        <w:tc>
          <w:tcPr>
            <w:tcW w:w="306" w:type="dxa"/>
            <w:tcBorders>
              <w:bottom w:val="single" w:sz="4" w:space="0" w:color="000000"/>
            </w:tcBorders>
          </w:tcPr>
          <w:p w14:paraId="3E97948F" w14:textId="77777777" w:rsidR="00DD311E" w:rsidRPr="000C5235" w:rsidRDefault="00DD311E" w:rsidP="00A10310">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582AF66F" w14:textId="77777777" w:rsidR="00DD311E" w:rsidRPr="000C5235" w:rsidRDefault="00DD311E" w:rsidP="00A10310">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 xml:space="preserve">No – </w:t>
            </w:r>
            <w:r w:rsidR="005F6857" w:rsidRPr="000C5235">
              <w:rPr>
                <w:rFonts w:asciiTheme="minorHAnsi" w:hAnsiTheme="minorHAnsi" w:cstheme="minorHAnsi"/>
                <w:lang w:val="en-AU"/>
              </w:rPr>
              <w:t>change to correct format as data conversion program cannot recognise</w:t>
            </w:r>
            <w:r w:rsidR="00FC0A36" w:rsidRPr="000C5235">
              <w:rPr>
                <w:rFonts w:asciiTheme="minorHAnsi" w:hAnsiTheme="minorHAnsi" w:cstheme="minorHAnsi"/>
                <w:lang w:val="en-AU"/>
              </w:rPr>
              <w:t xml:space="preserve"> </w:t>
            </w:r>
            <w:r w:rsidR="005F6857" w:rsidRPr="000C5235">
              <w:rPr>
                <w:rFonts w:asciiTheme="minorHAnsi" w:hAnsiTheme="minorHAnsi" w:cstheme="minorHAnsi"/>
                <w:lang w:val="en-AU"/>
              </w:rPr>
              <w:t>numbers as footnotes.</w:t>
            </w:r>
          </w:p>
        </w:tc>
      </w:tr>
      <w:tr w:rsidR="00DD311E" w:rsidRPr="000C5235" w14:paraId="5A678773" w14:textId="77777777" w:rsidTr="003D755D">
        <w:trPr>
          <w:trHeight w:val="360"/>
        </w:trPr>
        <w:tc>
          <w:tcPr>
            <w:tcW w:w="279" w:type="dxa"/>
            <w:tcBorders>
              <w:top w:val="single" w:sz="4" w:space="0" w:color="000000"/>
              <w:left w:val="single" w:sz="4" w:space="0" w:color="000000"/>
            </w:tcBorders>
            <w:shd w:val="clear" w:color="auto" w:fill="DADADA"/>
          </w:tcPr>
          <w:p w14:paraId="50A70DA3" w14:textId="77777777" w:rsidR="00DD311E" w:rsidRPr="000C5235" w:rsidRDefault="00FC0A36" w:rsidP="00A10310">
            <w:pPr>
              <w:pStyle w:val="TableParagraph"/>
              <w:spacing w:line="257" w:lineRule="exact"/>
              <w:ind w:left="-1"/>
              <w:rPr>
                <w:lang w:val="en-AU"/>
              </w:rPr>
            </w:pPr>
            <w:r w:rsidRPr="000C5235">
              <w:rPr>
                <w:lang w:val="en-AU"/>
              </w:rPr>
              <w:t>10</w:t>
            </w:r>
            <w:r w:rsidR="00DD311E" w:rsidRPr="000C5235">
              <w:rPr>
                <w:lang w:val="en-AU"/>
              </w:rPr>
              <w:t>.</w:t>
            </w:r>
          </w:p>
        </w:tc>
        <w:tc>
          <w:tcPr>
            <w:tcW w:w="8788" w:type="dxa"/>
            <w:gridSpan w:val="2"/>
            <w:tcBorders>
              <w:top w:val="single" w:sz="4" w:space="0" w:color="000000"/>
              <w:right w:val="single" w:sz="4" w:space="0" w:color="000000"/>
            </w:tcBorders>
            <w:shd w:val="clear" w:color="auto" w:fill="DADADA"/>
          </w:tcPr>
          <w:p w14:paraId="33C2FCC3" w14:textId="77777777" w:rsidR="00DD311E" w:rsidRPr="000C5235" w:rsidRDefault="00FC0A36" w:rsidP="00A10310">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Footnotes have been pasted as text below the relevant tables, not as pictures.</w:t>
            </w:r>
          </w:p>
        </w:tc>
      </w:tr>
      <w:tr w:rsidR="00DD311E" w:rsidRPr="000C5235" w14:paraId="15C0105E" w14:textId="77777777" w:rsidTr="003D755D">
        <w:trPr>
          <w:trHeight w:val="280"/>
        </w:trPr>
        <w:tc>
          <w:tcPr>
            <w:tcW w:w="279" w:type="dxa"/>
            <w:tcBorders>
              <w:left w:val="single" w:sz="4" w:space="0" w:color="000000"/>
            </w:tcBorders>
          </w:tcPr>
          <w:p w14:paraId="50C432F9" w14:textId="77777777" w:rsidR="00DD311E" w:rsidRPr="000C5235" w:rsidRDefault="00DD311E" w:rsidP="00A10310">
            <w:pPr>
              <w:pStyle w:val="TableParagraph"/>
              <w:rPr>
                <w:rFonts w:ascii="Times New Roman"/>
                <w:lang w:val="en-AU"/>
              </w:rPr>
            </w:pPr>
          </w:p>
        </w:tc>
        <w:tc>
          <w:tcPr>
            <w:tcW w:w="306" w:type="dxa"/>
          </w:tcPr>
          <w:p w14:paraId="11E45F63" w14:textId="77777777" w:rsidR="00DD311E" w:rsidRPr="000C5235" w:rsidRDefault="00DD311E" w:rsidP="00A10310">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012C2625" w14:textId="77777777" w:rsidR="00DD311E" w:rsidRPr="000C5235" w:rsidRDefault="00DD311E" w:rsidP="00FC0A36">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 xml:space="preserve">Yes – go to step </w:t>
            </w:r>
            <w:r w:rsidR="00FC0A36" w:rsidRPr="000C5235">
              <w:rPr>
                <w:rFonts w:asciiTheme="minorHAnsi" w:hAnsiTheme="minorHAnsi" w:cstheme="minorHAnsi"/>
                <w:lang w:val="en-AU"/>
              </w:rPr>
              <w:t>11</w:t>
            </w:r>
            <w:r w:rsidRPr="000C5235">
              <w:rPr>
                <w:rFonts w:asciiTheme="minorHAnsi" w:hAnsiTheme="minorHAnsi" w:cstheme="minorHAnsi"/>
                <w:lang w:val="en-AU"/>
              </w:rPr>
              <w:t>.</w:t>
            </w:r>
          </w:p>
        </w:tc>
      </w:tr>
      <w:tr w:rsidR="00DD311E" w:rsidRPr="000C5235" w14:paraId="125098B6" w14:textId="77777777" w:rsidTr="003D755D">
        <w:trPr>
          <w:trHeight w:val="640"/>
        </w:trPr>
        <w:tc>
          <w:tcPr>
            <w:tcW w:w="279" w:type="dxa"/>
            <w:tcBorders>
              <w:left w:val="single" w:sz="4" w:space="0" w:color="000000"/>
              <w:bottom w:val="single" w:sz="4" w:space="0" w:color="000000"/>
            </w:tcBorders>
          </w:tcPr>
          <w:p w14:paraId="04409F19" w14:textId="77777777" w:rsidR="00DD311E" w:rsidRPr="000C5235" w:rsidRDefault="00DD311E" w:rsidP="00A10310">
            <w:pPr>
              <w:pStyle w:val="TableParagraph"/>
              <w:rPr>
                <w:rFonts w:ascii="Times New Roman"/>
                <w:lang w:val="en-AU"/>
              </w:rPr>
            </w:pPr>
          </w:p>
        </w:tc>
        <w:tc>
          <w:tcPr>
            <w:tcW w:w="306" w:type="dxa"/>
            <w:tcBorders>
              <w:bottom w:val="single" w:sz="4" w:space="0" w:color="000000"/>
            </w:tcBorders>
          </w:tcPr>
          <w:p w14:paraId="3E2442DC" w14:textId="77777777" w:rsidR="00DD311E" w:rsidRPr="000C5235" w:rsidRDefault="00DD311E" w:rsidP="00A10310">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1025B9AB" w14:textId="77777777" w:rsidR="00DD311E" w:rsidRPr="000C5235" w:rsidRDefault="00DD311E" w:rsidP="00A10310">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 xml:space="preserve">No – </w:t>
            </w:r>
            <w:r w:rsidR="00FC0A36" w:rsidRPr="000C5235">
              <w:rPr>
                <w:rFonts w:asciiTheme="minorHAnsi" w:hAnsiTheme="minorHAnsi" w:cstheme="minorHAnsi"/>
                <w:lang w:val="en-AU"/>
              </w:rPr>
              <w:t>Copy and paste the footnotes from the Word document as formatted text below the relevant tables in the Excel file.</w:t>
            </w:r>
          </w:p>
        </w:tc>
      </w:tr>
      <w:tr w:rsidR="00DD311E" w:rsidRPr="000C5235" w14:paraId="23A9CA2F" w14:textId="77777777" w:rsidTr="003D755D">
        <w:trPr>
          <w:trHeight w:val="360"/>
        </w:trPr>
        <w:tc>
          <w:tcPr>
            <w:tcW w:w="279" w:type="dxa"/>
            <w:tcBorders>
              <w:top w:val="single" w:sz="4" w:space="0" w:color="000000"/>
              <w:left w:val="single" w:sz="4" w:space="0" w:color="000000"/>
            </w:tcBorders>
            <w:shd w:val="clear" w:color="auto" w:fill="DADADA"/>
          </w:tcPr>
          <w:p w14:paraId="38FF2B73" w14:textId="77777777" w:rsidR="00DD311E" w:rsidRPr="000C5235" w:rsidRDefault="00B9777D" w:rsidP="00A10310">
            <w:pPr>
              <w:pStyle w:val="TableParagraph"/>
              <w:spacing w:line="257" w:lineRule="exact"/>
              <w:ind w:left="-1"/>
              <w:rPr>
                <w:lang w:val="en-AU"/>
              </w:rPr>
            </w:pPr>
            <w:r w:rsidRPr="000C5235">
              <w:rPr>
                <w:lang w:val="en-AU"/>
              </w:rPr>
              <w:t>11</w:t>
            </w:r>
            <w:r w:rsidR="00DD311E" w:rsidRPr="000C5235">
              <w:rPr>
                <w:lang w:val="en-AU"/>
              </w:rPr>
              <w:t>.</w:t>
            </w:r>
          </w:p>
        </w:tc>
        <w:tc>
          <w:tcPr>
            <w:tcW w:w="8788" w:type="dxa"/>
            <w:gridSpan w:val="2"/>
            <w:tcBorders>
              <w:top w:val="single" w:sz="4" w:space="0" w:color="000000"/>
              <w:right w:val="single" w:sz="4" w:space="0" w:color="000000"/>
            </w:tcBorders>
            <w:shd w:val="clear" w:color="auto" w:fill="DADADA"/>
          </w:tcPr>
          <w:p w14:paraId="3032B07F" w14:textId="77777777" w:rsidR="00DD311E" w:rsidRPr="000C5235" w:rsidRDefault="00B9777D" w:rsidP="00A10310">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Final check for hidden comments, document properties, personal information and hidden text etc.</w:t>
            </w:r>
          </w:p>
        </w:tc>
      </w:tr>
      <w:tr w:rsidR="00DD311E" w:rsidRPr="000C5235" w14:paraId="0C5CD36D" w14:textId="77777777" w:rsidTr="003D755D">
        <w:trPr>
          <w:trHeight w:val="280"/>
        </w:trPr>
        <w:tc>
          <w:tcPr>
            <w:tcW w:w="279" w:type="dxa"/>
            <w:tcBorders>
              <w:left w:val="single" w:sz="4" w:space="0" w:color="000000"/>
            </w:tcBorders>
          </w:tcPr>
          <w:p w14:paraId="43BE42F1" w14:textId="77777777" w:rsidR="00DD311E" w:rsidRPr="000C5235" w:rsidRDefault="00DD311E" w:rsidP="00A10310">
            <w:pPr>
              <w:pStyle w:val="TableParagraph"/>
              <w:rPr>
                <w:rFonts w:ascii="Times New Roman"/>
                <w:lang w:val="en-AU"/>
              </w:rPr>
            </w:pPr>
          </w:p>
        </w:tc>
        <w:tc>
          <w:tcPr>
            <w:tcW w:w="306" w:type="dxa"/>
          </w:tcPr>
          <w:p w14:paraId="751AF788" w14:textId="77777777" w:rsidR="00DD311E" w:rsidRPr="000C5235" w:rsidRDefault="00DD311E" w:rsidP="00A10310">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26971066" w14:textId="77777777" w:rsidR="00DD311E" w:rsidRPr="000C5235" w:rsidRDefault="002808B0" w:rsidP="00A10310">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 xml:space="preserve">No – In Excel 2013 and later versions, click the File tab, then “Check for </w:t>
            </w:r>
            <w:r w:rsidR="004B5F4F" w:rsidRPr="000C5235">
              <w:rPr>
                <w:rFonts w:asciiTheme="minorHAnsi" w:hAnsiTheme="minorHAnsi" w:cstheme="minorHAnsi"/>
                <w:lang w:val="en-AU"/>
              </w:rPr>
              <w:t>Issues “followed</w:t>
            </w:r>
            <w:r w:rsidRPr="000C5235">
              <w:rPr>
                <w:rFonts w:asciiTheme="minorHAnsi" w:hAnsiTheme="minorHAnsi" w:cstheme="minorHAnsi"/>
                <w:lang w:val="en-AU"/>
              </w:rPr>
              <w:t xml:space="preserve"> by “Inspect document”. Click “Inspect”. Click “Remove all”.</w:t>
            </w:r>
          </w:p>
        </w:tc>
      </w:tr>
      <w:tr w:rsidR="00DD311E" w:rsidRPr="000C5235" w14:paraId="052F67AE" w14:textId="77777777" w:rsidTr="003D755D">
        <w:trPr>
          <w:trHeight w:val="640"/>
        </w:trPr>
        <w:tc>
          <w:tcPr>
            <w:tcW w:w="279" w:type="dxa"/>
            <w:tcBorders>
              <w:left w:val="single" w:sz="4" w:space="0" w:color="000000"/>
              <w:bottom w:val="single" w:sz="4" w:space="0" w:color="000000"/>
            </w:tcBorders>
          </w:tcPr>
          <w:p w14:paraId="6027C32E" w14:textId="77777777" w:rsidR="00DD311E" w:rsidRPr="000C5235" w:rsidRDefault="00DD311E" w:rsidP="00A10310">
            <w:pPr>
              <w:pStyle w:val="TableParagraph"/>
              <w:rPr>
                <w:rFonts w:ascii="Times New Roman"/>
                <w:lang w:val="en-AU"/>
              </w:rPr>
            </w:pPr>
          </w:p>
        </w:tc>
        <w:tc>
          <w:tcPr>
            <w:tcW w:w="306" w:type="dxa"/>
            <w:tcBorders>
              <w:bottom w:val="single" w:sz="4" w:space="0" w:color="000000"/>
            </w:tcBorders>
          </w:tcPr>
          <w:p w14:paraId="70779998" w14:textId="77777777" w:rsidR="00DD311E" w:rsidRPr="000C5235" w:rsidRDefault="00DD311E" w:rsidP="00A10310">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374C4CE9" w14:textId="77777777" w:rsidR="00DD311E" w:rsidRPr="000C5235" w:rsidRDefault="002808B0" w:rsidP="00A10310">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Yes – files can now be sent to Finance.</w:t>
            </w:r>
          </w:p>
        </w:tc>
      </w:tr>
    </w:tbl>
    <w:p w14:paraId="06A93A4F" w14:textId="77777777" w:rsidR="00A84F6D" w:rsidRPr="000C5235" w:rsidRDefault="00A84F6D" w:rsidP="000A7DEC">
      <w:pPr>
        <w:pStyle w:val="Heading2Numbered"/>
      </w:pPr>
      <w:bookmarkStart w:id="363" w:name="_Toc53564736"/>
      <w:r w:rsidRPr="000C5235">
        <w:t>Use of ISBN/ISSN number</w:t>
      </w:r>
      <w:bookmarkEnd w:id="363"/>
    </w:p>
    <w:p w14:paraId="252E8FBD" w14:textId="77777777" w:rsidR="005F01DF" w:rsidRPr="000C5235" w:rsidRDefault="00A84F6D">
      <w:r w:rsidRPr="000C5235">
        <w:t>The ISSN number is for a full set of documents whilst the ISBN is for a partial set of documents. Not every portfolio is required to produce a PAES but all portfolios are required to produce a PB Statement as they require an annual appropriation. Therefore, ISBN is assigned for PAES and ISSN is assigned for PB Statements.</w:t>
      </w:r>
    </w:p>
    <w:p w14:paraId="064D117E" w14:textId="77777777" w:rsidR="00FA0945" w:rsidRPr="000C5235" w:rsidRDefault="00FA0945" w:rsidP="000A7DEC">
      <w:pPr>
        <w:pStyle w:val="Heading2Numbered"/>
        <w:rPr>
          <w:rFonts w:ascii="Arial" w:hAnsi="Arial"/>
          <w:spacing w:val="-6"/>
          <w:szCs w:val="34"/>
        </w:rPr>
      </w:pPr>
      <w:bookmarkStart w:id="364" w:name="_Toc53564737"/>
      <w:r w:rsidRPr="000C5235">
        <w:t>Issuing a corrigendum</w:t>
      </w:r>
      <w:r w:rsidR="00E43670" w:rsidRPr="000C5235">
        <w:t xml:space="preserve"> / addendum</w:t>
      </w:r>
      <w:bookmarkEnd w:id="364"/>
    </w:p>
    <w:p w14:paraId="55A4BB5B" w14:textId="228E88B2" w:rsidR="00E43670" w:rsidRPr="000C5235" w:rsidRDefault="00E43670" w:rsidP="000A7DEC">
      <w:r w:rsidRPr="000C5235">
        <w:rPr>
          <w:rStyle w:val="BodyTextChar"/>
        </w:rPr>
        <w:t xml:space="preserve">If necessary, refer to the </w:t>
      </w:r>
      <w:r w:rsidR="00993CA2" w:rsidRPr="000C5235">
        <w:rPr>
          <w:rStyle w:val="BodyTextChar"/>
        </w:rPr>
        <w:t>PM&amp;C’s</w:t>
      </w:r>
      <w:r w:rsidRPr="000C5235">
        <w:rPr>
          <w:rStyle w:val="BodyTextChar"/>
        </w:rPr>
        <w:t xml:space="preserve"> </w:t>
      </w:r>
      <w:r w:rsidR="00D17DE7" w:rsidRPr="000C5235">
        <w:rPr>
          <w:rStyle w:val="BodyTextChar"/>
        </w:rPr>
        <w:t>Tabling Guidelines</w:t>
      </w:r>
      <w:r w:rsidRPr="000C5235">
        <w:rPr>
          <w:rStyle w:val="BodyTextChar"/>
        </w:rPr>
        <w:t xml:space="preserve"> at:</w:t>
      </w:r>
      <w:r w:rsidR="00966796" w:rsidRPr="000C5235">
        <w:rPr>
          <w:rStyle w:val="BodyTextChar"/>
        </w:rPr>
        <w:t xml:space="preserve"> </w:t>
      </w:r>
      <w:hyperlink r:id="rId43" w:history="1">
        <w:r w:rsidR="00890B06" w:rsidRPr="000C5235">
          <w:rPr>
            <w:rStyle w:val="Hyperlink"/>
            <w:rFonts w:asciiTheme="minorHAnsi" w:hAnsiTheme="minorHAnsi" w:cs="Times New Roman"/>
          </w:rPr>
          <w:t>www.pmc.gov.au/resource-centre/government/tabling-guidelines</w:t>
        </w:r>
      </w:hyperlink>
      <w:r w:rsidR="00D17DE7" w:rsidRPr="000C5235">
        <w:rPr>
          <w:rStyle w:val="BodyTextChar"/>
        </w:rPr>
        <w:t>.</w:t>
      </w:r>
    </w:p>
    <w:p w14:paraId="2BB46ED2" w14:textId="6A105D0F" w:rsidR="00E43670" w:rsidRPr="000C5235" w:rsidRDefault="00966796" w:rsidP="000A7DEC">
      <w:pPr>
        <w:rPr>
          <w:rStyle w:val="BodyTextChar"/>
        </w:rPr>
      </w:pPr>
      <w:r w:rsidRPr="000C5235">
        <w:rPr>
          <w:rStyle w:val="BodyTextChar"/>
        </w:rPr>
        <w:t>An addendum is required where information has been omitted / missing from the PB</w:t>
      </w:r>
      <w:r w:rsidR="00CD3E53" w:rsidRPr="000C5235">
        <w:rPr>
          <w:rStyle w:val="BodyTextChar"/>
        </w:rPr>
        <w:t xml:space="preserve"> </w:t>
      </w:r>
      <w:r w:rsidRPr="000C5235">
        <w:rPr>
          <w:rStyle w:val="BodyTextChar"/>
        </w:rPr>
        <w:t>S</w:t>
      </w:r>
      <w:r w:rsidR="00CD3E53" w:rsidRPr="000C5235">
        <w:rPr>
          <w:rStyle w:val="BodyTextChar"/>
        </w:rPr>
        <w:t>tatement</w:t>
      </w:r>
      <w:r w:rsidRPr="000C5235">
        <w:rPr>
          <w:rStyle w:val="BodyTextChar"/>
        </w:rPr>
        <w:t xml:space="preserve"> such as a table or a footnote. </w:t>
      </w:r>
      <w:r w:rsidR="00E43670" w:rsidRPr="000C5235">
        <w:rPr>
          <w:rStyle w:val="BodyTextChar"/>
        </w:rPr>
        <w:t xml:space="preserve">Portfolios </w:t>
      </w:r>
      <w:r w:rsidR="005836EB" w:rsidRPr="000C5235">
        <w:rPr>
          <w:rStyle w:val="BodyTextChar"/>
        </w:rPr>
        <w:t xml:space="preserve">who </w:t>
      </w:r>
      <w:r w:rsidR="00E43670" w:rsidRPr="000C5235">
        <w:rPr>
          <w:rStyle w:val="BodyTextChar"/>
        </w:rPr>
        <w:t>identify an error in their PB</w:t>
      </w:r>
      <w:r w:rsidR="00CD3E53" w:rsidRPr="000C5235">
        <w:rPr>
          <w:rStyle w:val="BodyTextChar"/>
        </w:rPr>
        <w:t> Statement</w:t>
      </w:r>
      <w:r w:rsidR="00B51CD3" w:rsidRPr="000C5235">
        <w:rPr>
          <w:rStyle w:val="BodyTextChar"/>
        </w:rPr>
        <w:t xml:space="preserve"> or</w:t>
      </w:r>
      <w:r w:rsidR="00E43670" w:rsidRPr="000C5235">
        <w:rPr>
          <w:rStyle w:val="BodyTextChar"/>
        </w:rPr>
        <w:t xml:space="preserve"> </w:t>
      </w:r>
      <w:r w:rsidR="00FC4C9C" w:rsidRPr="000C5235">
        <w:rPr>
          <w:rStyle w:val="BodyTextChar"/>
        </w:rPr>
        <w:t>PAES</w:t>
      </w:r>
      <w:r w:rsidR="00B51CD3" w:rsidRPr="000C5235">
        <w:rPr>
          <w:rStyle w:val="BodyTextChar"/>
        </w:rPr>
        <w:t xml:space="preserve"> </w:t>
      </w:r>
      <w:r w:rsidR="00E43670" w:rsidRPr="000C5235">
        <w:rPr>
          <w:rStyle w:val="BodyTextChar"/>
        </w:rPr>
        <w:t>should follow the following process:</w:t>
      </w:r>
    </w:p>
    <w:p w14:paraId="4F006568" w14:textId="1642FB62" w:rsidR="00B51CD3" w:rsidRPr="000C5235" w:rsidRDefault="00E43670" w:rsidP="000C42A6">
      <w:pPr>
        <w:pStyle w:val="Bullet1"/>
        <w:rPr>
          <w:rStyle w:val="BodyTextChar"/>
        </w:rPr>
      </w:pPr>
      <w:r w:rsidRPr="000C5235">
        <w:rPr>
          <w:rStyle w:val="BodyTextChar"/>
        </w:rPr>
        <w:t>Advise your Minister’s office of the error and seek approval for the updated PB</w:t>
      </w:r>
      <w:r w:rsidR="00CD3E53" w:rsidRPr="000C5235">
        <w:rPr>
          <w:rStyle w:val="BodyTextChar"/>
        </w:rPr>
        <w:t> </w:t>
      </w:r>
      <w:r w:rsidRPr="000C5235">
        <w:rPr>
          <w:rStyle w:val="BodyTextChar"/>
        </w:rPr>
        <w:t>S</w:t>
      </w:r>
      <w:r w:rsidR="00CD3E53" w:rsidRPr="000C5235">
        <w:rPr>
          <w:rStyle w:val="BodyTextChar"/>
        </w:rPr>
        <w:t>tatement</w:t>
      </w:r>
      <w:r w:rsidRPr="000C5235">
        <w:rPr>
          <w:rStyle w:val="BodyTextChar"/>
        </w:rPr>
        <w:t>/PAES tables and pages</w:t>
      </w:r>
      <w:r w:rsidR="004B2C47" w:rsidRPr="000C5235">
        <w:rPr>
          <w:rStyle w:val="BodyTextChar"/>
        </w:rPr>
        <w:t>.</w:t>
      </w:r>
      <w:r w:rsidR="00B51CD3" w:rsidRPr="000C5235">
        <w:rPr>
          <w:rStyle w:val="BodyTextChar"/>
        </w:rPr>
        <w:br w:type="page"/>
      </w:r>
    </w:p>
    <w:p w14:paraId="257A3433" w14:textId="77777777" w:rsidR="00E43670" w:rsidRPr="000C5235" w:rsidRDefault="00E43670" w:rsidP="00B51CD3">
      <w:pPr>
        <w:pStyle w:val="Bullet1"/>
        <w:rPr>
          <w:rStyle w:val="BodyTextChar"/>
        </w:rPr>
      </w:pPr>
      <w:r w:rsidRPr="000C5235">
        <w:rPr>
          <w:rStyle w:val="BodyTextChar"/>
        </w:rPr>
        <w:t>Contact the PM&amp;C Tabling Officer to advise that a correction is required:</w:t>
      </w:r>
    </w:p>
    <w:p w14:paraId="5C313F00" w14:textId="77777777" w:rsidR="00E43670" w:rsidRPr="000C5235" w:rsidRDefault="00E43670">
      <w:pPr>
        <w:pStyle w:val="Bullet2"/>
        <w:rPr>
          <w:rStyle w:val="BodyTextChar"/>
        </w:rPr>
      </w:pPr>
      <w:r w:rsidRPr="000C5235">
        <w:rPr>
          <w:rStyle w:val="BodyTextChar"/>
        </w:rPr>
        <w:t>(02) 6277 7212 or</w:t>
      </w:r>
    </w:p>
    <w:p w14:paraId="684ABEDC" w14:textId="511EC764" w:rsidR="00E43670" w:rsidRPr="000C5235" w:rsidRDefault="00854156">
      <w:pPr>
        <w:pStyle w:val="Bullet2"/>
        <w:rPr>
          <w:rStyle w:val="BodyTextChar"/>
        </w:rPr>
      </w:pPr>
      <w:hyperlink r:id="rId44" w:history="1">
        <w:r w:rsidR="00E43670" w:rsidRPr="000C5235">
          <w:rPr>
            <w:rStyle w:val="Hyperlink"/>
          </w:rPr>
          <w:t>tabling@pmc.gov.au</w:t>
        </w:r>
      </w:hyperlink>
      <w:r w:rsidR="00E43670" w:rsidRPr="000C5235">
        <w:rPr>
          <w:rStyle w:val="BodyTextChar"/>
        </w:rPr>
        <w:t>.</w:t>
      </w:r>
    </w:p>
    <w:p w14:paraId="1688F24A" w14:textId="77777777" w:rsidR="00E43670" w:rsidRPr="000C5235" w:rsidRDefault="00E43670">
      <w:pPr>
        <w:pStyle w:val="Bullet1"/>
        <w:rPr>
          <w:rStyle w:val="BodyTextChar"/>
        </w:rPr>
      </w:pPr>
      <w:r w:rsidRPr="000C5235">
        <w:rPr>
          <w:rStyle w:val="BodyTextChar"/>
        </w:rPr>
        <w:t xml:space="preserve">If the error affects figures published in the </w:t>
      </w:r>
      <w:r w:rsidR="00A671CE" w:rsidRPr="000C5235">
        <w:rPr>
          <w:rStyle w:val="BodyTextChar"/>
        </w:rPr>
        <w:t>BP</w:t>
      </w:r>
      <w:r w:rsidRPr="000C5235">
        <w:rPr>
          <w:rStyle w:val="BodyTextChar"/>
        </w:rPr>
        <w:t xml:space="preserve"> and/or Appropriation Bills, your Minister must submit the corrigendum (and background reports) to the Finance Minister for approval (and if required to be tabled out-of-session, a Transmittal letter - see below)</w:t>
      </w:r>
    </w:p>
    <w:p w14:paraId="1EC3B7BC" w14:textId="24D4200C" w:rsidR="00E43670" w:rsidRPr="000C5235" w:rsidRDefault="00E43670">
      <w:pPr>
        <w:pStyle w:val="Bullet2"/>
      </w:pPr>
      <w:r w:rsidRPr="000C5235">
        <w:t xml:space="preserve">You must also advise your AAU and the </w:t>
      </w:r>
      <w:r w:rsidR="00CF6DF3" w:rsidRPr="000C5235">
        <w:t xml:space="preserve">Agency Accounting and </w:t>
      </w:r>
      <w:r w:rsidRPr="000C5235">
        <w:t>Budget Framework</w:t>
      </w:r>
      <w:r w:rsidR="001943BB" w:rsidRPr="000C5235">
        <w:t xml:space="preserve"> </w:t>
      </w:r>
      <w:r w:rsidRPr="000C5235">
        <w:t xml:space="preserve">Team </w:t>
      </w:r>
      <w:r w:rsidR="00A753A3" w:rsidRPr="000C5235">
        <w:t>(</w:t>
      </w:r>
      <w:hyperlink r:id="rId45" w:history="1">
        <w:r w:rsidR="00A753A3" w:rsidRPr="000C5235">
          <w:rPr>
            <w:rStyle w:val="Hyperlink"/>
            <w:rFonts w:cs="Times New Roman"/>
          </w:rPr>
          <w:t>Budget_Framework@finance.gov.au</w:t>
        </w:r>
      </w:hyperlink>
      <w:r w:rsidR="00A753A3" w:rsidRPr="000C5235">
        <w:t xml:space="preserve">) </w:t>
      </w:r>
      <w:r w:rsidRPr="000C5235">
        <w:t>prior to submitting the corrigendum to the Finance Minister for approval.</w:t>
      </w:r>
    </w:p>
    <w:p w14:paraId="556C5946" w14:textId="77777777" w:rsidR="00E43670" w:rsidRPr="000C5235" w:rsidRDefault="00E43670">
      <w:pPr>
        <w:pStyle w:val="Bullet1"/>
        <w:rPr>
          <w:rStyle w:val="BodyTextChar"/>
        </w:rPr>
      </w:pPr>
      <w:r w:rsidRPr="000C5235">
        <w:rPr>
          <w:rStyle w:val="BodyTextChar"/>
        </w:rPr>
        <w:t>Corrections will be tabled in the same manner and subject to the same copy requirements (including approval by the relevant Minister) as the original report.</w:t>
      </w:r>
    </w:p>
    <w:p w14:paraId="38A9B230" w14:textId="77777777" w:rsidR="00E43670" w:rsidRPr="000C5235" w:rsidRDefault="00E43670">
      <w:pPr>
        <w:pStyle w:val="Bullet1"/>
        <w:rPr>
          <w:rStyle w:val="BodyTextChar"/>
        </w:rPr>
      </w:pPr>
      <w:r w:rsidRPr="000C5235">
        <w:rPr>
          <w:rStyle w:val="BodyTextChar"/>
        </w:rPr>
        <w:t>Following approval by your Minister (and where required, the Finance Minister)</w:t>
      </w:r>
      <w:r w:rsidR="001943BB" w:rsidRPr="000C5235">
        <w:rPr>
          <w:rStyle w:val="BodyTextChar"/>
        </w:rPr>
        <w:t>, f</w:t>
      </w:r>
      <w:r w:rsidRPr="000C5235">
        <w:rPr>
          <w:rStyle w:val="BodyTextChar"/>
        </w:rPr>
        <w:t xml:space="preserve">or </w:t>
      </w:r>
      <w:r w:rsidRPr="000C5235">
        <w:rPr>
          <w:rStyle w:val="BodyTextChar"/>
          <w:b/>
          <w:u w:val="single"/>
        </w:rPr>
        <w:t>in</w:t>
      </w:r>
      <w:r w:rsidR="00C20907" w:rsidRPr="000C5235">
        <w:rPr>
          <w:rStyle w:val="BodyTextChar"/>
          <w:b/>
          <w:u w:val="single"/>
        </w:rPr>
        <w:noBreakHyphen/>
      </w:r>
      <w:r w:rsidRPr="000C5235">
        <w:rPr>
          <w:rStyle w:val="BodyTextChar"/>
          <w:b/>
          <w:u w:val="single"/>
        </w:rPr>
        <w:t>session tabling</w:t>
      </w:r>
      <w:r w:rsidR="00E10C89" w:rsidRPr="000C5235">
        <w:rPr>
          <w:rStyle w:val="BodyTextChar"/>
          <w:b/>
        </w:rPr>
        <w:t xml:space="preserve"> </w:t>
      </w:r>
      <w:r w:rsidR="00E10C89" w:rsidRPr="000C5235">
        <w:rPr>
          <w:rStyle w:val="BodyTextChar"/>
        </w:rPr>
        <w:t>(ie</w:t>
      </w:r>
      <w:r w:rsidRPr="000C5235">
        <w:rPr>
          <w:rStyle w:val="BodyTextChar"/>
        </w:rPr>
        <w:t xml:space="preserve"> </w:t>
      </w:r>
      <w:r w:rsidR="0029449C" w:rsidRPr="000C5235">
        <w:rPr>
          <w:rStyle w:val="BodyTextChar"/>
        </w:rPr>
        <w:t xml:space="preserve">when </w:t>
      </w:r>
      <w:r w:rsidRPr="000C5235">
        <w:rPr>
          <w:rStyle w:val="BodyTextChar"/>
        </w:rPr>
        <w:t xml:space="preserve">Parliament </w:t>
      </w:r>
      <w:r w:rsidRPr="000C5235">
        <w:rPr>
          <w:rStyle w:val="BodyTextChar"/>
          <w:u w:val="single"/>
        </w:rPr>
        <w:t>is</w:t>
      </w:r>
      <w:r w:rsidRPr="000C5235">
        <w:rPr>
          <w:rStyle w:val="BodyTextChar"/>
        </w:rPr>
        <w:t xml:space="preserve"> sitting</w:t>
      </w:r>
      <w:r w:rsidR="00E10C89" w:rsidRPr="000C5235">
        <w:rPr>
          <w:rStyle w:val="BodyTextChar"/>
        </w:rPr>
        <w:t>)</w:t>
      </w:r>
      <w:r w:rsidRPr="000C5235">
        <w:rPr>
          <w:rStyle w:val="BodyTextChar"/>
        </w:rPr>
        <w:t>:</w:t>
      </w:r>
    </w:p>
    <w:p w14:paraId="6125BA85" w14:textId="77777777" w:rsidR="00E43670" w:rsidRPr="000C5235" w:rsidRDefault="00E43670">
      <w:pPr>
        <w:pStyle w:val="Bullet2"/>
        <w:rPr>
          <w:rStyle w:val="BodyTextChar"/>
          <w:rFonts w:asciiTheme="minorHAnsi" w:hAnsiTheme="minorHAnsi"/>
        </w:rPr>
      </w:pPr>
      <w:r w:rsidRPr="000C5235">
        <w:rPr>
          <w:rStyle w:val="BodyTextChar"/>
        </w:rPr>
        <w:t xml:space="preserve">A covering memorandum should be provided to the PM&amp;C Tabling Officer. This memorandum does not need to be approved by the Minister, but does </w:t>
      </w:r>
      <w:r w:rsidRPr="000C5235">
        <w:rPr>
          <w:rStyle w:val="BodyTextChar"/>
          <w:u w:val="single"/>
        </w:rPr>
        <w:t>need</w:t>
      </w:r>
      <w:r w:rsidRPr="000C5235">
        <w:rPr>
          <w:rStyle w:val="BodyTextChar"/>
        </w:rPr>
        <w:t xml:space="preserve"> to note the </w:t>
      </w:r>
      <w:r w:rsidRPr="000C5235">
        <w:rPr>
          <w:rStyle w:val="BodyTextChar"/>
          <w:u w:val="single"/>
        </w:rPr>
        <w:t>Minister’s approval</w:t>
      </w:r>
      <w:r w:rsidRPr="000C5235">
        <w:rPr>
          <w:rStyle w:val="BodyTextChar"/>
        </w:rPr>
        <w:t xml:space="preserve"> of the corrigendum.</w:t>
      </w:r>
    </w:p>
    <w:p w14:paraId="7F716D69" w14:textId="77777777" w:rsidR="00E43670" w:rsidRPr="000C5235" w:rsidRDefault="00E43670">
      <w:pPr>
        <w:pStyle w:val="Bullet3"/>
        <w:rPr>
          <w:rStyle w:val="BodyTextChar"/>
        </w:rPr>
      </w:pPr>
      <w:r w:rsidRPr="000C5235">
        <w:rPr>
          <w:rStyle w:val="BodyTextChar"/>
        </w:rPr>
        <w:t>The covering sheet for government documents and copies of the corrigendum should also be provided to the PM&amp;C Tabling Officer.</w:t>
      </w:r>
    </w:p>
    <w:p w14:paraId="3D7F40F8" w14:textId="77777777" w:rsidR="00E43670" w:rsidRPr="000C5235" w:rsidRDefault="00E43670">
      <w:pPr>
        <w:pStyle w:val="Bullet1"/>
        <w:rPr>
          <w:rStyle w:val="BodyTextChar"/>
        </w:rPr>
      </w:pPr>
      <w:r w:rsidRPr="000C5235">
        <w:rPr>
          <w:rStyle w:val="BodyTextChar"/>
        </w:rPr>
        <w:t xml:space="preserve">For </w:t>
      </w:r>
      <w:r w:rsidRPr="000C5235">
        <w:rPr>
          <w:rStyle w:val="BodyTextChar"/>
          <w:b/>
          <w:u w:val="single"/>
        </w:rPr>
        <w:t>out-of-session tabling</w:t>
      </w:r>
      <w:r w:rsidRPr="000C5235">
        <w:rPr>
          <w:rStyle w:val="BodyTextChar"/>
        </w:rPr>
        <w:t xml:space="preserve"> </w:t>
      </w:r>
      <w:r w:rsidR="00E10C89" w:rsidRPr="000C5235">
        <w:rPr>
          <w:rStyle w:val="BodyTextChar"/>
        </w:rPr>
        <w:t>(ie</w:t>
      </w:r>
      <w:r w:rsidRPr="000C5235">
        <w:rPr>
          <w:rStyle w:val="BodyTextChar"/>
        </w:rPr>
        <w:t xml:space="preserve"> </w:t>
      </w:r>
      <w:r w:rsidR="0029449C" w:rsidRPr="000C5235">
        <w:rPr>
          <w:rStyle w:val="BodyTextChar"/>
        </w:rPr>
        <w:t xml:space="preserve">when </w:t>
      </w:r>
      <w:r w:rsidRPr="000C5235">
        <w:rPr>
          <w:rStyle w:val="BodyTextChar"/>
        </w:rPr>
        <w:t xml:space="preserve">Parliament </w:t>
      </w:r>
      <w:r w:rsidRPr="000C5235">
        <w:rPr>
          <w:rStyle w:val="BodyTextChar"/>
          <w:u w:val="single"/>
        </w:rPr>
        <w:t>is not</w:t>
      </w:r>
      <w:r w:rsidRPr="000C5235">
        <w:rPr>
          <w:rStyle w:val="BodyTextChar"/>
        </w:rPr>
        <w:t xml:space="preserve"> sitting</w:t>
      </w:r>
      <w:r w:rsidR="00E10C89" w:rsidRPr="000C5235">
        <w:rPr>
          <w:rStyle w:val="BodyTextChar"/>
        </w:rPr>
        <w:t>)</w:t>
      </w:r>
      <w:r w:rsidRPr="000C5235">
        <w:rPr>
          <w:rStyle w:val="BodyTextChar"/>
        </w:rPr>
        <w:t>:</w:t>
      </w:r>
    </w:p>
    <w:p w14:paraId="55EC2C41" w14:textId="77777777" w:rsidR="00E43670" w:rsidRPr="000C5235" w:rsidRDefault="00E43670">
      <w:pPr>
        <w:pStyle w:val="Bullet2"/>
        <w:rPr>
          <w:rStyle w:val="BodyTextChar"/>
        </w:rPr>
      </w:pPr>
      <w:r w:rsidRPr="000C5235">
        <w:rPr>
          <w:rStyle w:val="BodyTextChar"/>
        </w:rPr>
        <w:t xml:space="preserve">The Senate Tabling Office must be advised of the requirement to table the corrigendum out-of-session. </w:t>
      </w:r>
    </w:p>
    <w:p w14:paraId="606AA25D" w14:textId="77777777" w:rsidR="00E43670" w:rsidRPr="000C5235" w:rsidRDefault="00E43670">
      <w:pPr>
        <w:pStyle w:val="Bullet2"/>
        <w:rPr>
          <w:rStyle w:val="BodyTextChar"/>
        </w:rPr>
      </w:pPr>
      <w:r w:rsidRPr="000C5235">
        <w:rPr>
          <w:rStyle w:val="BodyTextChar"/>
        </w:rPr>
        <w:t xml:space="preserve">A covering memorandum should be provided to the PM&amp;C Tabling Officer. This memorandum does not need to be approved by the Minister, but does </w:t>
      </w:r>
      <w:r w:rsidRPr="000C5235">
        <w:rPr>
          <w:rStyle w:val="BodyTextChar"/>
          <w:u w:val="single"/>
        </w:rPr>
        <w:t>need</w:t>
      </w:r>
      <w:r w:rsidRPr="000C5235">
        <w:rPr>
          <w:rStyle w:val="BodyTextChar"/>
        </w:rPr>
        <w:t xml:space="preserve"> to note the </w:t>
      </w:r>
      <w:r w:rsidRPr="000C5235">
        <w:rPr>
          <w:rStyle w:val="BodyTextChar"/>
          <w:u w:val="single"/>
        </w:rPr>
        <w:t>Minister’s approval</w:t>
      </w:r>
      <w:r w:rsidRPr="000C5235">
        <w:rPr>
          <w:rStyle w:val="BodyTextChar"/>
        </w:rPr>
        <w:t xml:space="preserve"> of the corrigendum.</w:t>
      </w:r>
    </w:p>
    <w:p w14:paraId="75E3A113" w14:textId="77777777" w:rsidR="00993CA2" w:rsidRPr="000C5235" w:rsidRDefault="00E43670">
      <w:pPr>
        <w:pStyle w:val="Bullet3"/>
        <w:rPr>
          <w:rStyle w:val="BodyTextChar"/>
        </w:rPr>
      </w:pPr>
      <w:r w:rsidRPr="000C5235">
        <w:rPr>
          <w:rStyle w:val="BodyTextChar"/>
        </w:rPr>
        <w:t>The covering sheet for government documents and copies of the corrigendum should also be provided to the PM&amp;C Tabling Officer.</w:t>
      </w:r>
    </w:p>
    <w:p w14:paraId="38A74732" w14:textId="77777777" w:rsidR="00E43670" w:rsidRPr="000C5235" w:rsidRDefault="00E43670" w:rsidP="000A7DEC">
      <w:pPr>
        <w:pStyle w:val="Bullet3"/>
        <w:rPr>
          <w:rStyle w:val="BodyTextChar"/>
        </w:rPr>
      </w:pPr>
      <w:r w:rsidRPr="000C5235">
        <w:rPr>
          <w:rStyle w:val="BodyTextChar"/>
        </w:rPr>
        <w:t xml:space="preserve">A Transmittal letter </w:t>
      </w:r>
      <w:r w:rsidR="0029449C" w:rsidRPr="000C5235">
        <w:rPr>
          <w:rStyle w:val="BodyTextChar"/>
        </w:rPr>
        <w:t xml:space="preserve">is required to be sent by </w:t>
      </w:r>
      <w:r w:rsidRPr="000C5235">
        <w:rPr>
          <w:rStyle w:val="BodyTextChar"/>
        </w:rPr>
        <w:t xml:space="preserve">the </w:t>
      </w:r>
      <w:r w:rsidR="0029449C" w:rsidRPr="000C5235">
        <w:rPr>
          <w:rStyle w:val="BodyTextChar"/>
        </w:rPr>
        <w:t xml:space="preserve">Portfolio </w:t>
      </w:r>
      <w:r w:rsidRPr="000C5235">
        <w:rPr>
          <w:rStyle w:val="BodyTextChar"/>
        </w:rPr>
        <w:t>Minister to the President of the Senate to present a document when the Senate is not sitting.</w:t>
      </w:r>
    </w:p>
    <w:p w14:paraId="04631538" w14:textId="78DE223B" w:rsidR="00993CA2" w:rsidRPr="000C5235" w:rsidRDefault="00E43670">
      <w:pPr>
        <w:pStyle w:val="Bullet1"/>
        <w:rPr>
          <w:rStyle w:val="BodyTextChar"/>
        </w:rPr>
      </w:pPr>
      <w:r w:rsidRPr="000C5235">
        <w:rPr>
          <w:rStyle w:val="BodyTextChar"/>
        </w:rPr>
        <w:t xml:space="preserve">Following tabling in Parliament, a soft copy of the corrigendum and any updated Excel tables for data.gov.au should be emailed to </w:t>
      </w:r>
      <w:hyperlink r:id="rId46" w:history="1">
        <w:r w:rsidR="005B2724" w:rsidRPr="000C5235">
          <w:rPr>
            <w:rStyle w:val="Hyperlink"/>
            <w:rFonts w:cs="Times New Roman"/>
          </w:rPr>
          <w:t>Budget_Framework@finance.gov.au</w:t>
        </w:r>
      </w:hyperlink>
      <w:r w:rsidR="00993CA2" w:rsidRPr="000C5235">
        <w:rPr>
          <w:rStyle w:val="BodyTextChar"/>
        </w:rPr>
        <w:t>.</w:t>
      </w:r>
    </w:p>
    <w:p w14:paraId="6831C6D4" w14:textId="77777777" w:rsidR="00AA5DDA" w:rsidRPr="000C5235" w:rsidRDefault="00AA5DDA" w:rsidP="000A7DEC">
      <w:pPr>
        <w:pStyle w:val="Bullet1"/>
        <w:sectPr w:rsidR="00AA5DDA" w:rsidRPr="000C5235" w:rsidSect="000A7DEC">
          <w:headerReference w:type="even" r:id="rId47"/>
          <w:headerReference w:type="default" r:id="rId48"/>
          <w:footerReference w:type="default" r:id="rId49"/>
          <w:headerReference w:type="first" r:id="rId50"/>
          <w:pgSz w:w="11900" w:h="16840" w:code="9"/>
          <w:pgMar w:top="1418" w:right="1418" w:bottom="1701" w:left="1418" w:header="510" w:footer="510" w:gutter="0"/>
          <w:cols w:space="708"/>
          <w:docGrid w:linePitch="360"/>
        </w:sectPr>
      </w:pPr>
      <w:bookmarkStart w:id="365" w:name="_Toc411852671"/>
    </w:p>
    <w:p w14:paraId="58A5A9C7" w14:textId="77777777" w:rsidR="00EB2E04" w:rsidRPr="000C5235" w:rsidRDefault="00FA0945" w:rsidP="00A10310">
      <w:pPr>
        <w:pStyle w:val="CoverPage"/>
        <w:rPr>
          <w:bCs/>
        </w:rPr>
        <w:sectPr w:rsidR="00EB2E04" w:rsidRPr="000C5235" w:rsidSect="000A7DEC">
          <w:pgSz w:w="11900" w:h="16840" w:code="9"/>
          <w:pgMar w:top="1418" w:right="1418" w:bottom="1701" w:left="1418" w:header="510" w:footer="510" w:gutter="0"/>
          <w:cols w:space="708"/>
          <w:vAlign w:val="center"/>
          <w:docGrid w:linePitch="360"/>
        </w:sectPr>
      </w:pPr>
      <w:r w:rsidRPr="000C5235">
        <w:t>Guidance on the preparation of the</w:t>
      </w:r>
      <w:r w:rsidR="00AA5DDA" w:rsidRPr="000C5235">
        <w:br/>
      </w:r>
      <w:r w:rsidR="009B02AB" w:rsidRPr="000C5235">
        <w:t>2020-21</w:t>
      </w:r>
      <w:r w:rsidRPr="000C5235">
        <w:t xml:space="preserve"> PB Statements</w:t>
      </w:r>
    </w:p>
    <w:p w14:paraId="666F0D4F" w14:textId="77777777" w:rsidR="00FA0945" w:rsidRPr="000C5235" w:rsidRDefault="00FA0945" w:rsidP="000A7DEC">
      <w:pPr>
        <w:pStyle w:val="Heading1Numbered"/>
      </w:pPr>
      <w:bookmarkStart w:id="366" w:name="_Toc53564738"/>
      <w:r w:rsidRPr="000C5235">
        <w:t xml:space="preserve">Portfolio </w:t>
      </w:r>
      <w:r w:rsidR="00B932FB" w:rsidRPr="000C5235">
        <w:t>o</w:t>
      </w:r>
      <w:r w:rsidRPr="000C5235">
        <w:t>verview section</w:t>
      </w:r>
      <w:bookmarkEnd w:id="365"/>
      <w:bookmarkEnd w:id="366"/>
    </w:p>
    <w:p w14:paraId="4D5E7D9E" w14:textId="77777777" w:rsidR="001C70F1" w:rsidRPr="000C5235" w:rsidRDefault="00FA0945" w:rsidP="000A7DEC">
      <w:pPr>
        <w:rPr>
          <w:rStyle w:val="BodyTextChar"/>
          <w:rFonts w:asciiTheme="majorHAnsi" w:hAnsiTheme="majorHAnsi"/>
          <w:color w:val="1C1C1C" w:themeColor="text2"/>
          <w:sz w:val="34"/>
          <w:szCs w:val="26"/>
        </w:rPr>
      </w:pPr>
      <w:r w:rsidRPr="000C5235">
        <w:rPr>
          <w:rStyle w:val="BodyTextChar"/>
        </w:rPr>
        <w:t xml:space="preserve">The </w:t>
      </w:r>
      <w:r w:rsidRPr="000C5235">
        <w:rPr>
          <w:rStyle w:val="BodyTextChar"/>
          <w:i/>
        </w:rPr>
        <w:t>Portfolio Overview</w:t>
      </w:r>
      <w:r w:rsidRPr="000C5235">
        <w:rPr>
          <w:rStyle w:val="BodyTextChar"/>
        </w:rPr>
        <w:t xml:space="preserve"> section of the PB Statements is intended to provide the reader with a high-level summary of the portfolio, its Minister(s), portfolio entities, goals/objectives, and structure.</w:t>
      </w:r>
    </w:p>
    <w:p w14:paraId="3D060225" w14:textId="77777777" w:rsidR="00FA0945" w:rsidRPr="000C5235" w:rsidRDefault="00FA0945" w:rsidP="000A7DEC">
      <w:pPr>
        <w:rPr>
          <w:rStyle w:val="BodyTextChar"/>
        </w:rPr>
      </w:pPr>
      <w:r w:rsidRPr="000C5235">
        <w:rPr>
          <w:rStyle w:val="BodyTextChar"/>
        </w:rPr>
        <w:t xml:space="preserve">This section should include brief descriptions of portfolio entities and only include information that is relevant and specific from a portfolio perspective. This will avoid unnecessary duplication of entity-specific information presented in later sections. </w:t>
      </w:r>
      <w:r w:rsidR="00E31683" w:rsidRPr="000C5235">
        <w:rPr>
          <w:rStyle w:val="BodyTextChar"/>
        </w:rPr>
        <w:t xml:space="preserve">All entities within the portfolio are to be included, for example, entities outside of the General Government Sector. Please refer to the most current </w:t>
      </w:r>
      <w:r w:rsidR="000C53A8" w:rsidRPr="000C5235">
        <w:rPr>
          <w:rStyle w:val="BodyTextChar"/>
          <w:i/>
        </w:rPr>
        <w:t xml:space="preserve">PGPA </w:t>
      </w:r>
      <w:r w:rsidR="000C53A8" w:rsidRPr="000C5235">
        <w:rPr>
          <w:rStyle w:val="BodyTextChar"/>
        </w:rPr>
        <w:t>Act</w:t>
      </w:r>
      <w:r w:rsidR="000C53A8" w:rsidRPr="000C5235">
        <w:rPr>
          <w:rStyle w:val="BodyTextChar"/>
          <w:i/>
        </w:rPr>
        <w:t xml:space="preserve"> </w:t>
      </w:r>
      <w:r w:rsidR="00E31683" w:rsidRPr="000C5235">
        <w:rPr>
          <w:rStyle w:val="BodyTextChar"/>
          <w:i/>
        </w:rPr>
        <w:t>Flipchart</w:t>
      </w:r>
      <w:r w:rsidR="00E31683" w:rsidRPr="000C5235">
        <w:rPr>
          <w:rStyle w:val="BodyTextChar"/>
        </w:rPr>
        <w:t xml:space="preserve"> of PGPA</w:t>
      </w:r>
      <w:r w:rsidR="00761FCC" w:rsidRPr="000C5235">
        <w:rPr>
          <w:rStyle w:val="BodyTextChar"/>
        </w:rPr>
        <w:t xml:space="preserve"> Act</w:t>
      </w:r>
      <w:r w:rsidR="00761FCC" w:rsidRPr="000C5235">
        <w:rPr>
          <w:rStyle w:val="BodyTextChar"/>
          <w:i/>
        </w:rPr>
        <w:t xml:space="preserve"> </w:t>
      </w:r>
      <w:r w:rsidR="00761FCC" w:rsidRPr="000C5235">
        <w:rPr>
          <w:rStyle w:val="BodyTextChar"/>
        </w:rPr>
        <w:t>entities</w:t>
      </w:r>
      <w:r w:rsidR="002808B0" w:rsidRPr="000C5235">
        <w:rPr>
          <w:rStyle w:val="BodyTextChar"/>
        </w:rPr>
        <w:t xml:space="preserve"> which can be found here:</w:t>
      </w:r>
    </w:p>
    <w:p w14:paraId="2A8D26ED" w14:textId="7CD42246" w:rsidR="002808B0" w:rsidRPr="000C5235" w:rsidRDefault="00854156" w:rsidP="000A7DEC">
      <w:pPr>
        <w:rPr>
          <w:rStyle w:val="BodyTextChar"/>
        </w:rPr>
      </w:pPr>
      <w:hyperlink r:id="rId51" w:history="1">
        <w:r w:rsidR="002808B0" w:rsidRPr="000C5235">
          <w:rPr>
            <w:rStyle w:val="Hyperlink"/>
            <w:rFonts w:asciiTheme="minorHAnsi" w:eastAsia="Cambria" w:hAnsiTheme="minorHAnsi" w:cs="Times New Roman"/>
          </w:rPr>
          <w:t>https://www.finance.gov.au/government/managing-commonwealth-resources/structure-australian-government-public-sector</w:t>
        </w:r>
      </w:hyperlink>
    </w:p>
    <w:p w14:paraId="041B11A4" w14:textId="77777777" w:rsidR="00767AB3" w:rsidRPr="000C5235" w:rsidRDefault="00FA0945" w:rsidP="000A7DEC">
      <w:pPr>
        <w:rPr>
          <w:rStyle w:val="BodyTextChar"/>
        </w:rPr>
      </w:pPr>
      <w:r w:rsidRPr="000C5235">
        <w:rPr>
          <w:rStyle w:val="BodyTextChar"/>
        </w:rPr>
        <w:t>Information at a department or entity level should be included only where it contributes to a broader understanding of portfolio goals and responsibilities.</w:t>
      </w:r>
    </w:p>
    <w:p w14:paraId="1D807541" w14:textId="77777777" w:rsidR="00FA0945" w:rsidRPr="000C5235" w:rsidRDefault="00FA0945" w:rsidP="000A7DEC">
      <w:pPr>
        <w:rPr>
          <w:rStyle w:val="BodyTextChar"/>
          <w:u w:val="single"/>
        </w:rPr>
      </w:pPr>
      <w:r w:rsidRPr="000C5235">
        <w:rPr>
          <w:rStyle w:val="BodyTextChar"/>
          <w:u w:val="single"/>
        </w:rPr>
        <w:t>Components of Portfolio overview:</w:t>
      </w:r>
    </w:p>
    <w:p w14:paraId="641F0CB0" w14:textId="77777777" w:rsidR="00FA0945" w:rsidRPr="000C5235" w:rsidRDefault="00FA0945">
      <w:pPr>
        <w:pStyle w:val="Bullet1"/>
        <w:rPr>
          <w:rStyle w:val="BodyTextChar"/>
        </w:rPr>
      </w:pPr>
      <w:r w:rsidRPr="000C5235">
        <w:rPr>
          <w:rStyle w:val="BodyTextChar"/>
        </w:rPr>
        <w:t xml:space="preserve">Minister(s) and portfolio responsibilities – text description of portfolio of around two pages. </w:t>
      </w:r>
    </w:p>
    <w:p w14:paraId="1636A01F" w14:textId="77777777" w:rsidR="00FA0945" w:rsidRPr="000C5235" w:rsidRDefault="00FA0945">
      <w:pPr>
        <w:pStyle w:val="Bullet1"/>
        <w:rPr>
          <w:rStyle w:val="BodyTextChar"/>
        </w:rPr>
      </w:pPr>
      <w:r w:rsidRPr="000C5235">
        <w:rPr>
          <w:rStyle w:val="BodyTextChar"/>
        </w:rPr>
        <w:t xml:space="preserve">Portfolio structure and outcomes </w:t>
      </w:r>
    </w:p>
    <w:p w14:paraId="48A9731E" w14:textId="77777777" w:rsidR="00FA0945" w:rsidRPr="000C5235" w:rsidRDefault="00FA0945">
      <w:pPr>
        <w:pStyle w:val="Bullet2"/>
        <w:rPr>
          <w:rStyle w:val="BodyTextChar"/>
        </w:rPr>
      </w:pPr>
      <w:r w:rsidRPr="000C5235">
        <w:rPr>
          <w:rStyle w:val="BodyTextChar"/>
        </w:rPr>
        <w:t>Figure 1: Portfolio structure and outcomes</w:t>
      </w:r>
      <w:r w:rsidR="006D021E" w:rsidRPr="000C5235">
        <w:rPr>
          <w:rStyle w:val="BodyTextChar"/>
        </w:rPr>
        <w:t>.</w:t>
      </w:r>
    </w:p>
    <w:p w14:paraId="27B22609" w14:textId="77777777" w:rsidR="00FA0945" w:rsidRPr="000C5235" w:rsidRDefault="00FA0945" w:rsidP="000A7DEC">
      <w:pPr>
        <w:pStyle w:val="Heading2Numbered"/>
        <w:rPr>
          <w:rFonts w:eastAsia="Times New Roman"/>
          <w:spacing w:val="-6"/>
          <w:szCs w:val="34"/>
        </w:rPr>
      </w:pPr>
      <w:bookmarkStart w:id="367" w:name="_Toc411852672"/>
      <w:bookmarkStart w:id="368" w:name="_Toc53564739"/>
      <w:r w:rsidRPr="000C5235">
        <w:rPr>
          <w:rFonts w:eastAsia="Times New Roman"/>
        </w:rPr>
        <w:t>Minister(s) and portfolio responsibilities</w:t>
      </w:r>
      <w:bookmarkEnd w:id="367"/>
      <w:bookmarkEnd w:id="368"/>
    </w:p>
    <w:p w14:paraId="7869DC77" w14:textId="77777777" w:rsidR="002D6E6F" w:rsidRPr="000C5235" w:rsidRDefault="008D4630" w:rsidP="002D6E6F">
      <w:pPr>
        <w:rPr>
          <w:rStyle w:val="BodyTextChar"/>
        </w:rPr>
      </w:pPr>
      <w:r w:rsidRPr="000C5235">
        <w:rPr>
          <w:rStyle w:val="BodyTextChar"/>
        </w:rPr>
        <w:t xml:space="preserve">The </w:t>
      </w:r>
      <w:r w:rsidRPr="000C5235">
        <w:rPr>
          <w:rStyle w:val="BodyTextChar"/>
          <w:i/>
        </w:rPr>
        <w:t>Minister(s) and portfolio responsibilities</w:t>
      </w:r>
      <w:r w:rsidRPr="000C5235">
        <w:rPr>
          <w:rStyle w:val="BodyTextChar"/>
        </w:rPr>
        <w:t xml:space="preserve"> section</w:t>
      </w:r>
      <w:r w:rsidR="00FA0945" w:rsidRPr="000C5235">
        <w:rPr>
          <w:rStyle w:val="BodyTextChar"/>
        </w:rPr>
        <w:t xml:space="preserve"> should provide a description of the Portfolio Minister(s) and the structure of the portfolio, as well as its objectives at a strategic and high level. Specifics of particular portfolio entities should be left to the relevant entity’s section.</w:t>
      </w:r>
    </w:p>
    <w:p w14:paraId="103BC016" w14:textId="77777777" w:rsidR="00FA0945" w:rsidRPr="000C5235" w:rsidRDefault="00FA0945" w:rsidP="002D6E6F">
      <w:pPr>
        <w:rPr>
          <w:rStyle w:val="BodyTextChar"/>
        </w:rPr>
      </w:pPr>
      <w:r w:rsidRPr="000C5235">
        <w:rPr>
          <w:rStyle w:val="BodyTextChar"/>
        </w:rPr>
        <w:t>It should include a brief discussion of common themes across the portfolio outcomes, for example, the broad impacts and/or trends of health policy on the Australian Community (Health portfolio), or improvements in Indigenous Affairs (Prime Minister and Cabinet portfolio). Portfolios should also take into account the following sources of information when preparing this section:</w:t>
      </w:r>
    </w:p>
    <w:p w14:paraId="5F44D366" w14:textId="77777777" w:rsidR="00FA0945" w:rsidRPr="000C5235" w:rsidRDefault="00FA0945">
      <w:pPr>
        <w:pStyle w:val="Bullet1"/>
        <w:rPr>
          <w:rStyle w:val="BodyTextChar"/>
        </w:rPr>
      </w:pPr>
      <w:r w:rsidRPr="000C5235">
        <w:rPr>
          <w:rStyle w:val="BodyTextChar"/>
        </w:rPr>
        <w:t>Major new government policy or legislation affecting the portfolio and the intended results and impacts</w:t>
      </w:r>
    </w:p>
    <w:p w14:paraId="6E6ECDDD" w14:textId="77777777" w:rsidR="00FA0945" w:rsidRPr="000C5235" w:rsidRDefault="00FA0945">
      <w:pPr>
        <w:pStyle w:val="Bullet1"/>
        <w:rPr>
          <w:rStyle w:val="BodyTextChar"/>
        </w:rPr>
      </w:pPr>
      <w:r w:rsidRPr="000C5235">
        <w:rPr>
          <w:rStyle w:val="BodyTextChar"/>
        </w:rPr>
        <w:t xml:space="preserve">Portfolio department’s mission and/or </w:t>
      </w:r>
      <w:r w:rsidR="00035D04" w:rsidRPr="000C5235">
        <w:rPr>
          <w:rStyle w:val="BodyTextChar"/>
        </w:rPr>
        <w:t>purpose</w:t>
      </w:r>
    </w:p>
    <w:p w14:paraId="2BDC8103" w14:textId="77777777" w:rsidR="00FA0945" w:rsidRPr="000C5235" w:rsidRDefault="00FA0945">
      <w:pPr>
        <w:pStyle w:val="Bullet1"/>
        <w:rPr>
          <w:rStyle w:val="BodyTextChar"/>
        </w:rPr>
      </w:pPr>
      <w:r w:rsidRPr="000C5235">
        <w:rPr>
          <w:rStyle w:val="BodyTextChar"/>
        </w:rPr>
        <w:t xml:space="preserve">Ministerial statements by portfolio Ministers. </w:t>
      </w:r>
    </w:p>
    <w:p w14:paraId="454E0EF4" w14:textId="77777777" w:rsidR="00FA0945" w:rsidRPr="000C5235" w:rsidRDefault="00FA0945" w:rsidP="000A7DEC">
      <w:pPr>
        <w:pStyle w:val="Heading2Numbered"/>
        <w:rPr>
          <w:rFonts w:eastAsia="Times New Roman"/>
          <w:spacing w:val="-6"/>
          <w:szCs w:val="34"/>
        </w:rPr>
      </w:pPr>
      <w:bookmarkStart w:id="369" w:name="_Toc411852673"/>
      <w:bookmarkStart w:id="370" w:name="_Toc53564740"/>
      <w:r w:rsidRPr="000C5235">
        <w:rPr>
          <w:rFonts w:eastAsia="Times New Roman"/>
        </w:rPr>
        <w:t>Portfolio structure and outcomes</w:t>
      </w:r>
      <w:bookmarkEnd w:id="369"/>
      <w:bookmarkEnd w:id="370"/>
    </w:p>
    <w:p w14:paraId="5EA08FB0" w14:textId="77777777" w:rsidR="00FA0945" w:rsidRPr="000C5235" w:rsidRDefault="008D4630">
      <w:pPr>
        <w:pStyle w:val="NormalTextRed"/>
        <w:rPr>
          <w:rStyle w:val="BodyTextChar"/>
          <w:rFonts w:eastAsiaTheme="minorHAnsi" w:cstheme="minorBidi"/>
        </w:rPr>
      </w:pPr>
      <w:r w:rsidRPr="000C5235">
        <w:rPr>
          <w:rStyle w:val="BodyTextChar"/>
          <w:rFonts w:eastAsiaTheme="minorHAnsi" w:cstheme="minorBidi"/>
        </w:rPr>
        <w:t>The template for the Portfolio structure and outcomes</w:t>
      </w:r>
      <w:r w:rsidR="00FA0945" w:rsidRPr="000C5235">
        <w:rPr>
          <w:rStyle w:val="BodyTextChar"/>
          <w:rFonts w:eastAsiaTheme="minorHAnsi" w:cstheme="minorBidi"/>
        </w:rPr>
        <w:t xml:space="preserve"> figure can be found in the “Figure 1” tab of the Excel Tables workbook (</w:t>
      </w:r>
      <w:r w:rsidR="00A024A8" w:rsidRPr="000C5235">
        <w:rPr>
          <w:rStyle w:val="BodyTextChar"/>
          <w:rFonts w:eastAsiaTheme="minorHAnsi" w:cstheme="minorBidi"/>
          <w:u w:val="single"/>
        </w:rPr>
        <w:t xml:space="preserve">Attachment </w:t>
      </w:r>
      <w:r w:rsidR="000457F9" w:rsidRPr="000C5235">
        <w:rPr>
          <w:rStyle w:val="BodyTextChar"/>
          <w:rFonts w:eastAsiaTheme="minorHAnsi" w:cstheme="minorBidi"/>
          <w:u w:val="single"/>
        </w:rPr>
        <w:t>B</w:t>
      </w:r>
      <w:r w:rsidR="000457F9" w:rsidRPr="000C5235">
        <w:rPr>
          <w:rStyle w:val="BodyTextChar"/>
          <w:rFonts w:eastAsiaTheme="minorHAnsi" w:cstheme="minorBidi"/>
        </w:rPr>
        <w:t xml:space="preserve"> </w:t>
      </w:r>
      <w:r w:rsidR="00A024A8" w:rsidRPr="000C5235">
        <w:rPr>
          <w:rStyle w:val="BodyTextChar"/>
          <w:rFonts w:eastAsiaTheme="minorHAnsi" w:cstheme="minorBidi"/>
        </w:rPr>
        <w:t>refers</w:t>
      </w:r>
      <w:r w:rsidR="00FA0945" w:rsidRPr="000C5235">
        <w:rPr>
          <w:rStyle w:val="BodyTextChar"/>
          <w:rFonts w:eastAsiaTheme="minorHAnsi" w:cstheme="minorBidi"/>
        </w:rPr>
        <w:t>).</w:t>
      </w:r>
    </w:p>
    <w:p w14:paraId="50B5461A" w14:textId="77777777" w:rsidR="00577C1F" w:rsidRPr="000C5235" w:rsidRDefault="00FA0945" w:rsidP="00DB312F">
      <w:pPr>
        <w:rPr>
          <w:rStyle w:val="BodyTextChar"/>
        </w:rPr>
      </w:pPr>
      <w:r w:rsidRPr="000C5235">
        <w:rPr>
          <w:rStyle w:val="BodyTextChar"/>
        </w:rPr>
        <w:t xml:space="preserve">This figure is a graphical representation of the portfolio structure and the responsible Ministers. It should clearly indicate the names and titles of the Ministers, the </w:t>
      </w:r>
      <w:r w:rsidR="00C20907" w:rsidRPr="000C5235">
        <w:rPr>
          <w:rStyle w:val="BodyTextChar"/>
        </w:rPr>
        <w:t>portfolio </w:t>
      </w:r>
      <w:r w:rsidRPr="000C5235">
        <w:rPr>
          <w:rStyle w:val="BodyTextChar"/>
        </w:rPr>
        <w:t>department(s) and Secretary</w:t>
      </w:r>
      <w:r w:rsidR="00993CA2" w:rsidRPr="000C5235">
        <w:rPr>
          <w:rStyle w:val="BodyTextChar"/>
        </w:rPr>
        <w:t>.</w:t>
      </w:r>
    </w:p>
    <w:p w14:paraId="554F3440" w14:textId="77777777" w:rsidR="00FA0945" w:rsidRPr="000C5235" w:rsidRDefault="00993CA2" w:rsidP="00DB312F">
      <w:pPr>
        <w:rPr>
          <w:rStyle w:val="BodyTextChar"/>
        </w:rPr>
      </w:pPr>
      <w:r w:rsidRPr="000C5235">
        <w:rPr>
          <w:rStyle w:val="BodyTextChar"/>
        </w:rPr>
        <w:t>The figure must also include</w:t>
      </w:r>
      <w:r w:rsidR="00FA0945" w:rsidRPr="000C5235">
        <w:rPr>
          <w:rStyle w:val="BodyTextChar"/>
        </w:rPr>
        <w:t xml:space="preserve"> the other portfolio entities and their Chief Executive Officers, </w:t>
      </w:r>
      <w:r w:rsidRPr="000C5235">
        <w:rPr>
          <w:rStyle w:val="BodyTextChar"/>
        </w:rPr>
        <w:t xml:space="preserve">principal bodies in the portfolio as defined </w:t>
      </w:r>
      <w:r w:rsidR="000E0572" w:rsidRPr="000C5235">
        <w:rPr>
          <w:rStyle w:val="BodyTextChar"/>
        </w:rPr>
        <w:t>by the Australian Government Organisations Register, and a</w:t>
      </w:r>
      <w:r w:rsidR="00FA0945" w:rsidRPr="000C5235">
        <w:rPr>
          <w:rStyle w:val="BodyTextChar"/>
        </w:rPr>
        <w:t>ll portfolio entities covered by the PGPA</w:t>
      </w:r>
      <w:r w:rsidR="00761FCC" w:rsidRPr="000C5235">
        <w:rPr>
          <w:rStyle w:val="BodyTextChar"/>
        </w:rPr>
        <w:t xml:space="preserve"> Act</w:t>
      </w:r>
      <w:r w:rsidR="00D16CA8" w:rsidRPr="000C5235">
        <w:rPr>
          <w:rStyle w:val="BodyTextChar"/>
        </w:rPr>
        <w:t xml:space="preserve">. Entities such as </w:t>
      </w:r>
      <w:r w:rsidR="00AE025F" w:rsidRPr="000C5235">
        <w:rPr>
          <w:rStyle w:val="BodyTextChar"/>
          <w:i/>
        </w:rPr>
        <w:t>P</w:t>
      </w:r>
      <w:r w:rsidR="000E0572" w:rsidRPr="000C5235">
        <w:rPr>
          <w:rStyle w:val="BodyTextChar"/>
          <w:i/>
        </w:rPr>
        <w:t xml:space="preserve">ublic </w:t>
      </w:r>
      <w:r w:rsidR="00AE025F" w:rsidRPr="000C5235">
        <w:rPr>
          <w:rStyle w:val="BodyTextChar"/>
          <w:i/>
        </w:rPr>
        <w:t>F</w:t>
      </w:r>
      <w:r w:rsidR="000E0572" w:rsidRPr="000C5235">
        <w:rPr>
          <w:rStyle w:val="BodyTextChar"/>
          <w:i/>
        </w:rPr>
        <w:t xml:space="preserve">inancial </w:t>
      </w:r>
      <w:r w:rsidR="00AE025F" w:rsidRPr="000C5235">
        <w:rPr>
          <w:rStyle w:val="BodyTextChar"/>
          <w:i/>
        </w:rPr>
        <w:t>C</w:t>
      </w:r>
      <w:r w:rsidR="000E0572" w:rsidRPr="000C5235">
        <w:rPr>
          <w:rStyle w:val="BodyTextChar"/>
          <w:i/>
        </w:rPr>
        <w:t>orporations</w:t>
      </w:r>
      <w:r w:rsidR="000E0572" w:rsidRPr="000C5235">
        <w:rPr>
          <w:rStyle w:val="BodyTextChar"/>
        </w:rPr>
        <w:t xml:space="preserve">, </w:t>
      </w:r>
      <w:r w:rsidR="00AE025F" w:rsidRPr="000C5235">
        <w:rPr>
          <w:rStyle w:val="BodyTextChar"/>
          <w:i/>
        </w:rPr>
        <w:t>P</w:t>
      </w:r>
      <w:r w:rsidR="000E0572" w:rsidRPr="000C5235">
        <w:rPr>
          <w:rStyle w:val="BodyTextChar"/>
          <w:i/>
        </w:rPr>
        <w:t xml:space="preserve">ublic </w:t>
      </w:r>
      <w:r w:rsidR="00AE025F" w:rsidRPr="000C5235">
        <w:rPr>
          <w:rStyle w:val="BodyTextChar"/>
          <w:i/>
        </w:rPr>
        <w:t>N</w:t>
      </w:r>
      <w:r w:rsidR="000E0572" w:rsidRPr="000C5235">
        <w:rPr>
          <w:rStyle w:val="BodyTextChar"/>
          <w:i/>
        </w:rPr>
        <w:t>on</w:t>
      </w:r>
      <w:r w:rsidR="00C20907" w:rsidRPr="000C5235">
        <w:rPr>
          <w:rStyle w:val="BodyTextChar"/>
          <w:i/>
        </w:rPr>
        <w:noBreakHyphen/>
      </w:r>
      <w:r w:rsidR="00AE025F" w:rsidRPr="000C5235">
        <w:rPr>
          <w:rStyle w:val="BodyTextChar"/>
          <w:i/>
        </w:rPr>
        <w:t>F</w:t>
      </w:r>
      <w:r w:rsidR="000E0572" w:rsidRPr="000C5235">
        <w:rPr>
          <w:rStyle w:val="BodyTextChar"/>
          <w:i/>
        </w:rPr>
        <w:t xml:space="preserve">inancial </w:t>
      </w:r>
      <w:r w:rsidR="00AE025F" w:rsidRPr="000C5235">
        <w:rPr>
          <w:rStyle w:val="BodyTextChar"/>
          <w:i/>
        </w:rPr>
        <w:t>C</w:t>
      </w:r>
      <w:r w:rsidR="000E0572" w:rsidRPr="000C5235">
        <w:rPr>
          <w:rStyle w:val="BodyTextChar"/>
          <w:i/>
        </w:rPr>
        <w:t>orporations</w:t>
      </w:r>
      <w:r w:rsidR="000E0572" w:rsidRPr="000C5235">
        <w:rPr>
          <w:rStyle w:val="BodyTextChar"/>
        </w:rPr>
        <w:t xml:space="preserve">, </w:t>
      </w:r>
      <w:r w:rsidR="00D16CA8" w:rsidRPr="000C5235">
        <w:rPr>
          <w:rStyle w:val="BodyTextChar"/>
        </w:rPr>
        <w:t>and entities</w:t>
      </w:r>
      <w:r w:rsidR="000E0572" w:rsidRPr="000C5235">
        <w:rPr>
          <w:rStyle w:val="BodyTextChar"/>
        </w:rPr>
        <w:t xml:space="preserve"> outside of the General Government Sector</w:t>
      </w:r>
      <w:r w:rsidR="00D16CA8" w:rsidRPr="000C5235">
        <w:rPr>
          <w:rStyle w:val="BodyTextChar"/>
        </w:rPr>
        <w:t>, should at least be mentioned in this Section to show the Minister responsible for their functions.</w:t>
      </w:r>
    </w:p>
    <w:p w14:paraId="5A946F2A" w14:textId="77777777" w:rsidR="00FA0945" w:rsidRPr="000C5235" w:rsidRDefault="00FA0945" w:rsidP="000A7DEC">
      <w:pPr>
        <w:rPr>
          <w:rStyle w:val="BodyTextChar"/>
        </w:rPr>
      </w:pPr>
      <w:r w:rsidRPr="000C5235">
        <w:rPr>
          <w:rStyle w:val="BodyTextChar"/>
        </w:rPr>
        <w:t xml:space="preserve">Portfolios should include the current outcome statements for each entity </w:t>
      </w:r>
      <w:r w:rsidRPr="000C5235">
        <w:rPr>
          <w:rStyle w:val="BodyTextChar"/>
          <w:u w:val="single"/>
        </w:rPr>
        <w:t>as agreed by the Minister for Finance</w:t>
      </w:r>
      <w:r w:rsidRPr="000C5235">
        <w:rPr>
          <w:rStyle w:val="BodyTextChar"/>
        </w:rPr>
        <w:t>. The outcome statement(s) included in Figure 1, and throughout the PB</w:t>
      </w:r>
      <w:r w:rsidR="00CD3E53" w:rsidRPr="000C5235">
        <w:rPr>
          <w:rStyle w:val="BodyTextChar"/>
        </w:rPr>
        <w:t> </w:t>
      </w:r>
      <w:r w:rsidRPr="000C5235">
        <w:rPr>
          <w:rStyle w:val="BodyTextChar"/>
        </w:rPr>
        <w:t>Statement, must be consistent with the Appropriation Bills.</w:t>
      </w:r>
    </w:p>
    <w:p w14:paraId="0B797807" w14:textId="77777777" w:rsidR="00FA0945" w:rsidRPr="000C5235" w:rsidRDefault="00FA0945" w:rsidP="000A7DEC">
      <w:pPr>
        <w:pStyle w:val="Heading4nonumbers"/>
        <w:rPr>
          <w:rFonts w:ascii="Arial" w:hAnsi="Arial"/>
          <w:spacing w:val="-6"/>
        </w:rPr>
      </w:pPr>
      <w:r w:rsidRPr="000C5235">
        <w:t>Source of information</w:t>
      </w:r>
    </w:p>
    <w:p w14:paraId="4DFE48E2" w14:textId="77777777" w:rsidR="00890B06" w:rsidRPr="000C5235" w:rsidRDefault="00FA0945">
      <w:pPr>
        <w:pStyle w:val="Bullet1"/>
        <w:rPr>
          <w:rStyle w:val="BodyTextChar"/>
        </w:rPr>
      </w:pPr>
      <w:r w:rsidRPr="000C5235">
        <w:rPr>
          <w:rStyle w:val="BodyTextChar"/>
        </w:rPr>
        <w:t>A summary of portfolio entities which are subject to the PGPA Act can be found at</w:t>
      </w:r>
      <w:r w:rsidR="00E32121" w:rsidRPr="000C5235">
        <w:rPr>
          <w:rStyle w:val="BodyTextChar"/>
        </w:rPr>
        <w:t>:</w:t>
      </w:r>
    </w:p>
    <w:p w14:paraId="2F3EE39D" w14:textId="7133C68C" w:rsidR="00FA7DCB" w:rsidRPr="000C5235" w:rsidRDefault="00854156" w:rsidP="000A7DEC">
      <w:pPr>
        <w:pStyle w:val="Bullet1"/>
        <w:numPr>
          <w:ilvl w:val="0"/>
          <w:numId w:val="0"/>
        </w:numPr>
        <w:ind w:left="360"/>
        <w:rPr>
          <w:rStyle w:val="BodyTextChar"/>
        </w:rPr>
      </w:pPr>
      <w:hyperlink r:id="rId52" w:history="1">
        <w:r w:rsidR="00890B06" w:rsidRPr="000C5235">
          <w:rPr>
            <w:rStyle w:val="Hyperlink"/>
          </w:rPr>
          <w:t>www.finance.gov.au/government/managing-commonwealth-resources/structure-australian-government-public-sector/pgpa-act-flipchart-list</w:t>
        </w:r>
      </w:hyperlink>
      <w:r w:rsidR="00792F21" w:rsidRPr="000C5235">
        <w:rPr>
          <w:rStyle w:val="Hyperlink"/>
        </w:rPr>
        <w:t xml:space="preserve"> </w:t>
      </w:r>
    </w:p>
    <w:p w14:paraId="1AAECBE3" w14:textId="77777777" w:rsidR="00E32121" w:rsidRPr="000C5235" w:rsidRDefault="000E0572" w:rsidP="000A7DEC">
      <w:pPr>
        <w:pStyle w:val="Bullet1"/>
        <w:rPr>
          <w:rStyle w:val="BodyTextChar"/>
        </w:rPr>
      </w:pPr>
      <w:r w:rsidRPr="000C5235">
        <w:rPr>
          <w:rStyle w:val="BodyTextChar"/>
        </w:rPr>
        <w:t>Principal</w:t>
      </w:r>
      <w:r w:rsidR="00792F21" w:rsidRPr="000C5235">
        <w:rPr>
          <w:rStyle w:val="BodyTextChar"/>
        </w:rPr>
        <w:t xml:space="preserve"> or Primary</w:t>
      </w:r>
      <w:r w:rsidRPr="000C5235">
        <w:rPr>
          <w:rStyle w:val="BodyTextChar"/>
        </w:rPr>
        <w:t xml:space="preserve"> bodies is defined at</w:t>
      </w:r>
      <w:r w:rsidR="00E32121" w:rsidRPr="000C5235">
        <w:rPr>
          <w:rStyle w:val="BodyTextChar"/>
        </w:rPr>
        <w:t>:</w:t>
      </w:r>
    </w:p>
    <w:p w14:paraId="3ED092BD" w14:textId="6A54D115" w:rsidR="007F1DF5" w:rsidRPr="000C5235" w:rsidRDefault="00854156" w:rsidP="001A163D">
      <w:pPr>
        <w:ind w:left="360"/>
      </w:pPr>
      <w:hyperlink r:id="rId53" w:history="1">
        <w:r w:rsidR="00890B06" w:rsidRPr="000C5235">
          <w:rPr>
            <w:rStyle w:val="Hyperlink"/>
            <w:rFonts w:asciiTheme="minorHAnsi" w:eastAsia="Cambria" w:hAnsiTheme="minorHAnsi" w:cs="Times New Roman"/>
          </w:rPr>
          <w:t>www.finance.gov.au/government/governance/australian-government-organisations-register/australian-government-organisations-register-types-bodies</w:t>
        </w:r>
      </w:hyperlink>
    </w:p>
    <w:p w14:paraId="629A3D3E" w14:textId="77777777" w:rsidR="007C010C" w:rsidRPr="000C5235" w:rsidRDefault="007C010C" w:rsidP="000A7DEC">
      <w:pPr>
        <w:pStyle w:val="Heading1Numbered"/>
      </w:pPr>
      <w:bookmarkStart w:id="371" w:name="_Toc53564741"/>
      <w:r w:rsidRPr="000C5235">
        <w:rPr>
          <w:rFonts w:eastAsia="Times New Roman"/>
        </w:rPr>
        <w:t>Entity overview and resources section</w:t>
      </w:r>
      <w:bookmarkEnd w:id="371"/>
      <w:r w:rsidRPr="000C5235" w:rsidDel="00792F21">
        <w:t xml:space="preserve"> </w:t>
      </w:r>
    </w:p>
    <w:p w14:paraId="522C5288" w14:textId="77777777" w:rsidR="006F1726" w:rsidRPr="000C5235" w:rsidRDefault="008D4630" w:rsidP="002808B0">
      <w:pPr>
        <w:rPr>
          <w:rStyle w:val="BodyTextChar"/>
        </w:rPr>
      </w:pPr>
      <w:r w:rsidRPr="000C5235">
        <w:rPr>
          <w:rStyle w:val="BodyTextChar"/>
        </w:rPr>
        <w:t xml:space="preserve">The </w:t>
      </w:r>
      <w:r w:rsidRPr="000C5235">
        <w:rPr>
          <w:rStyle w:val="BodyTextChar"/>
          <w:i/>
        </w:rPr>
        <w:t xml:space="preserve">Entity </w:t>
      </w:r>
      <w:r w:rsidR="00E66432" w:rsidRPr="000C5235">
        <w:rPr>
          <w:rStyle w:val="BodyTextChar"/>
          <w:i/>
        </w:rPr>
        <w:t>o</w:t>
      </w:r>
      <w:r w:rsidRPr="000C5235">
        <w:rPr>
          <w:rStyle w:val="BodyTextChar"/>
          <w:i/>
        </w:rPr>
        <w:t xml:space="preserve">verview and </w:t>
      </w:r>
      <w:r w:rsidR="00E66432" w:rsidRPr="000C5235">
        <w:rPr>
          <w:rStyle w:val="BodyTextChar"/>
          <w:i/>
        </w:rPr>
        <w:t>r</w:t>
      </w:r>
      <w:r w:rsidRPr="000C5235">
        <w:rPr>
          <w:rStyle w:val="BodyTextChar"/>
          <w:i/>
        </w:rPr>
        <w:t>esources</w:t>
      </w:r>
      <w:r w:rsidRPr="000C5235">
        <w:rPr>
          <w:rStyle w:val="BodyTextChar"/>
        </w:rPr>
        <w:t xml:space="preserve"> </w:t>
      </w:r>
      <w:r w:rsidR="00FA0945" w:rsidRPr="000C5235">
        <w:rPr>
          <w:rStyle w:val="BodyTextChar"/>
        </w:rPr>
        <w:t>section of the PB Statements is aimed at providing the reader with an overall picture of each entity’s objectives and resources across the budget and forward estimates period.</w:t>
      </w:r>
    </w:p>
    <w:p w14:paraId="0967118A" w14:textId="77777777" w:rsidR="00FA0945" w:rsidRPr="000C5235" w:rsidRDefault="00FA0945">
      <w:pPr>
        <w:rPr>
          <w:rStyle w:val="BodyTextChar"/>
        </w:rPr>
      </w:pPr>
      <w:r w:rsidRPr="000C5235">
        <w:rPr>
          <w:rStyle w:val="BodyTextChar"/>
        </w:rPr>
        <w:t xml:space="preserve">This section should also provide the reader with an overall picture of each entity’s strategic direction and planned performance, as well as a summary of new government measures. </w:t>
      </w:r>
    </w:p>
    <w:p w14:paraId="52187E59" w14:textId="77777777" w:rsidR="00FA0945" w:rsidRPr="000C5235" w:rsidRDefault="00FA0945" w:rsidP="000A7DEC">
      <w:pPr>
        <w:rPr>
          <w:rStyle w:val="BodyTextChar"/>
        </w:rPr>
      </w:pPr>
      <w:r w:rsidRPr="000C5235">
        <w:rPr>
          <w:rStyle w:val="BodyTextChar"/>
        </w:rPr>
        <w:t>There are three components to this section that together link the entity strategy with the resources available.</w:t>
      </w:r>
    </w:p>
    <w:p w14:paraId="10B40469" w14:textId="77777777" w:rsidR="00FA0945" w:rsidRPr="000C5235" w:rsidRDefault="00FA0945" w:rsidP="000A7DEC">
      <w:pPr>
        <w:rPr>
          <w:rStyle w:val="BodyTextChar"/>
          <w:u w:val="single"/>
        </w:rPr>
      </w:pPr>
      <w:r w:rsidRPr="000C5235">
        <w:rPr>
          <w:rStyle w:val="BodyTextChar"/>
          <w:u w:val="single"/>
        </w:rPr>
        <w:t>Components of Section 1: Entity overview and resources</w:t>
      </w:r>
    </w:p>
    <w:p w14:paraId="6519EF15" w14:textId="77777777" w:rsidR="00FA0945" w:rsidRPr="000C5235" w:rsidRDefault="00FA0945">
      <w:pPr>
        <w:pStyle w:val="Bullet1"/>
        <w:rPr>
          <w:rStyle w:val="BodyTextChar"/>
          <w:rFonts w:asciiTheme="minorHAnsi" w:hAnsiTheme="minorHAnsi"/>
        </w:rPr>
      </w:pPr>
      <w:r w:rsidRPr="000C5235">
        <w:rPr>
          <w:rStyle w:val="BodyTextChar"/>
        </w:rPr>
        <w:t xml:space="preserve">Strategic </w:t>
      </w:r>
      <w:r w:rsidR="007E6DB9" w:rsidRPr="000C5235">
        <w:rPr>
          <w:rStyle w:val="BodyTextChar"/>
        </w:rPr>
        <w:t>D</w:t>
      </w:r>
      <w:r w:rsidRPr="000C5235">
        <w:rPr>
          <w:rStyle w:val="BodyTextChar"/>
        </w:rPr>
        <w:t xml:space="preserve">irection </w:t>
      </w:r>
      <w:r w:rsidR="007E6DB9" w:rsidRPr="000C5235">
        <w:rPr>
          <w:rStyle w:val="BodyTextChar"/>
        </w:rPr>
        <w:t>S</w:t>
      </w:r>
      <w:r w:rsidRPr="000C5235">
        <w:rPr>
          <w:rStyle w:val="BodyTextChar"/>
        </w:rPr>
        <w:t>tatement</w:t>
      </w:r>
    </w:p>
    <w:p w14:paraId="2EF5E8A6" w14:textId="77777777" w:rsidR="00FA0945" w:rsidRPr="000C5235" w:rsidRDefault="00FA0945">
      <w:pPr>
        <w:pStyle w:val="Bullet1"/>
        <w:rPr>
          <w:rStyle w:val="BodyTextChar"/>
        </w:rPr>
      </w:pPr>
      <w:r w:rsidRPr="000C5235">
        <w:rPr>
          <w:rStyle w:val="BodyTextChar"/>
        </w:rPr>
        <w:t xml:space="preserve">Entity </w:t>
      </w:r>
      <w:r w:rsidR="007E6DB9" w:rsidRPr="000C5235">
        <w:rPr>
          <w:rStyle w:val="BodyTextChar"/>
        </w:rPr>
        <w:t>R</w:t>
      </w:r>
      <w:r w:rsidRPr="000C5235">
        <w:rPr>
          <w:rStyle w:val="BodyTextChar"/>
        </w:rPr>
        <w:t xml:space="preserve">esource </w:t>
      </w:r>
      <w:r w:rsidR="007E6DB9" w:rsidRPr="000C5235">
        <w:rPr>
          <w:rStyle w:val="BodyTextChar"/>
        </w:rPr>
        <w:t>S</w:t>
      </w:r>
      <w:r w:rsidRPr="000C5235">
        <w:rPr>
          <w:rStyle w:val="BodyTextChar"/>
        </w:rPr>
        <w:t xml:space="preserve">tatement (including </w:t>
      </w:r>
      <w:r w:rsidRPr="000C5235">
        <w:rPr>
          <w:rStyle w:val="BodyTextChar"/>
          <w:i/>
        </w:rPr>
        <w:t>Table 1.1</w:t>
      </w:r>
      <w:r w:rsidRPr="000C5235">
        <w:rPr>
          <w:rStyle w:val="BodyTextChar"/>
        </w:rPr>
        <w:t>)</w:t>
      </w:r>
    </w:p>
    <w:p w14:paraId="2AEAF0FD" w14:textId="77777777" w:rsidR="00FA0945" w:rsidRPr="000C5235" w:rsidRDefault="00FA0945">
      <w:pPr>
        <w:pStyle w:val="Bullet1"/>
        <w:rPr>
          <w:rStyle w:val="BodyTextChar"/>
        </w:rPr>
      </w:pPr>
      <w:r w:rsidRPr="000C5235">
        <w:rPr>
          <w:rStyle w:val="BodyTextChar"/>
        </w:rPr>
        <w:t xml:space="preserve">Budget </w:t>
      </w:r>
      <w:r w:rsidR="007E6DB9" w:rsidRPr="000C5235">
        <w:rPr>
          <w:rStyle w:val="BodyTextChar"/>
        </w:rPr>
        <w:t>M</w:t>
      </w:r>
      <w:r w:rsidRPr="000C5235">
        <w:rPr>
          <w:rStyle w:val="BodyTextChar"/>
        </w:rPr>
        <w:t>easures (</w:t>
      </w:r>
      <w:r w:rsidRPr="000C5235">
        <w:rPr>
          <w:rStyle w:val="BodyTextChar"/>
          <w:i/>
        </w:rPr>
        <w:t>Table 1.2</w:t>
      </w:r>
      <w:r w:rsidRPr="000C5235">
        <w:rPr>
          <w:rStyle w:val="BodyTextChar"/>
        </w:rPr>
        <w:t>).</w:t>
      </w:r>
    </w:p>
    <w:p w14:paraId="122BD4BB" w14:textId="77777777" w:rsidR="00FA0945" w:rsidRPr="000C5235" w:rsidRDefault="00FA0945" w:rsidP="000A7DEC">
      <w:pPr>
        <w:pStyle w:val="Heading2Numbered"/>
        <w:rPr>
          <w:rFonts w:eastAsia="Times New Roman"/>
          <w:spacing w:val="-6"/>
          <w:szCs w:val="34"/>
        </w:rPr>
      </w:pPr>
      <w:bookmarkStart w:id="372" w:name="_Toc411852676"/>
      <w:bookmarkStart w:id="373" w:name="_Toc53564742"/>
      <w:r w:rsidRPr="000C5235">
        <w:rPr>
          <w:rFonts w:eastAsia="Times New Roman"/>
        </w:rPr>
        <w:t xml:space="preserve">Strategic </w:t>
      </w:r>
      <w:r w:rsidR="00C51BA2" w:rsidRPr="000C5235">
        <w:rPr>
          <w:rFonts w:eastAsia="Times New Roman"/>
        </w:rPr>
        <w:t>d</w:t>
      </w:r>
      <w:r w:rsidRPr="000C5235">
        <w:rPr>
          <w:rFonts w:eastAsia="Times New Roman"/>
        </w:rPr>
        <w:t xml:space="preserve">irection </w:t>
      </w:r>
      <w:r w:rsidR="00C51BA2" w:rsidRPr="000C5235">
        <w:rPr>
          <w:rFonts w:eastAsia="Times New Roman"/>
        </w:rPr>
        <w:t>s</w:t>
      </w:r>
      <w:r w:rsidRPr="000C5235">
        <w:rPr>
          <w:rFonts w:eastAsia="Times New Roman"/>
        </w:rPr>
        <w:t>tatement</w:t>
      </w:r>
      <w:bookmarkEnd w:id="372"/>
      <w:bookmarkEnd w:id="373"/>
    </w:p>
    <w:p w14:paraId="368CD3F7" w14:textId="77777777" w:rsidR="00FA0945" w:rsidRPr="000C5235" w:rsidRDefault="008D4630" w:rsidP="000A7DEC">
      <w:pPr>
        <w:rPr>
          <w:rStyle w:val="BodyTextChar"/>
          <w:rFonts w:ascii="Arial" w:hAnsi="Arial"/>
          <w:bCs/>
          <w:color w:val="1C1C1C" w:themeColor="text2"/>
          <w:spacing w:val="-6"/>
          <w:sz w:val="34"/>
          <w:szCs w:val="34"/>
        </w:rPr>
      </w:pPr>
      <w:r w:rsidRPr="000C5235">
        <w:rPr>
          <w:rStyle w:val="BodyTextChar"/>
        </w:rPr>
        <w:t xml:space="preserve">The </w:t>
      </w:r>
      <w:r w:rsidRPr="000C5235">
        <w:rPr>
          <w:rStyle w:val="BodyTextChar"/>
          <w:i/>
        </w:rPr>
        <w:t xml:space="preserve">Strategic </w:t>
      </w:r>
      <w:r w:rsidR="00E66432" w:rsidRPr="000C5235">
        <w:rPr>
          <w:rStyle w:val="BodyTextChar"/>
          <w:i/>
        </w:rPr>
        <w:t>d</w:t>
      </w:r>
      <w:r w:rsidRPr="000C5235">
        <w:rPr>
          <w:rStyle w:val="BodyTextChar"/>
          <w:i/>
        </w:rPr>
        <w:t xml:space="preserve">irection </w:t>
      </w:r>
      <w:r w:rsidR="00E66432" w:rsidRPr="000C5235">
        <w:rPr>
          <w:rStyle w:val="BodyTextChar"/>
          <w:i/>
        </w:rPr>
        <w:t>s</w:t>
      </w:r>
      <w:r w:rsidRPr="000C5235">
        <w:rPr>
          <w:rStyle w:val="BodyTextChar"/>
          <w:i/>
        </w:rPr>
        <w:t>tatement</w:t>
      </w:r>
      <w:r w:rsidR="00FA0945" w:rsidRPr="000C5235">
        <w:rPr>
          <w:rStyle w:val="BodyTextChar"/>
        </w:rPr>
        <w:t xml:space="preserve"> should be no longer than two pages. </w:t>
      </w:r>
    </w:p>
    <w:p w14:paraId="53AC6FE3" w14:textId="77777777" w:rsidR="00FA0945" w:rsidRPr="000C5235" w:rsidRDefault="00FA0945" w:rsidP="000A7DEC">
      <w:pPr>
        <w:rPr>
          <w:rStyle w:val="BodyTextChar"/>
        </w:rPr>
      </w:pPr>
      <w:r w:rsidRPr="000C5235">
        <w:rPr>
          <w:rStyle w:val="BodyTextChar"/>
        </w:rPr>
        <w:t xml:space="preserve">The Strategic direction statement should outline an entity’s anticipated strategic direction for the budget and forward years. </w:t>
      </w:r>
    </w:p>
    <w:p w14:paraId="194D4A68" w14:textId="77777777" w:rsidR="00FA0945" w:rsidRPr="000C5235" w:rsidRDefault="00FA0945" w:rsidP="000A7DEC">
      <w:pPr>
        <w:rPr>
          <w:rStyle w:val="BodyTextChar"/>
        </w:rPr>
      </w:pPr>
      <w:r w:rsidRPr="000C5235">
        <w:rPr>
          <w:rStyle w:val="BodyTextChar"/>
        </w:rPr>
        <w:t xml:space="preserve">The Strategic direction statement should describe an entity’s outcome statement(s) in a strategic, relevant and concise manner, as well as outline the broad strategies the entity intends to adopt in order to achieve these outcomes, and the planned results and goals to be achieved. The statement should also outline how these outcome statements contribute to the achievement of whole-of-government strategic priorities and outcomes. </w:t>
      </w:r>
    </w:p>
    <w:p w14:paraId="452C43AF" w14:textId="77777777" w:rsidR="00FA0945" w:rsidRPr="000C5235" w:rsidRDefault="00FA0945" w:rsidP="000A7DEC">
      <w:pPr>
        <w:rPr>
          <w:rStyle w:val="BodyTextChar"/>
        </w:rPr>
      </w:pPr>
      <w:r w:rsidRPr="000C5235">
        <w:rPr>
          <w:rStyle w:val="BodyTextChar"/>
        </w:rPr>
        <w:t>The statement should identify major ongoing functions, new functions (or loss of functions) and measures allocated to the entity, and any significant challenges that will impact on the entity’s performance against its outcome(s) over the medium term.</w:t>
      </w:r>
    </w:p>
    <w:p w14:paraId="4E2D6A7D" w14:textId="77777777" w:rsidR="002C1E1B" w:rsidRPr="000C5235" w:rsidRDefault="00FA0945">
      <w:pPr>
        <w:rPr>
          <w:rStyle w:val="BodyTextChar"/>
        </w:rPr>
      </w:pPr>
      <w:r w:rsidRPr="000C5235">
        <w:rPr>
          <w:rStyle w:val="BodyTextChar"/>
        </w:rPr>
        <w:t>The statement should be reasonably high level – a detailed discussion of operational issues can be covered in the entity’s corporate plan or on its website, which should be cro</w:t>
      </w:r>
      <w:r w:rsidR="002D6E6F" w:rsidRPr="000C5235">
        <w:rPr>
          <w:rStyle w:val="BodyTextChar"/>
        </w:rPr>
        <w:t>ss-referenced in this section.</w:t>
      </w:r>
    </w:p>
    <w:p w14:paraId="3F5B160D" w14:textId="77777777" w:rsidR="00926CBF" w:rsidRPr="000C5235" w:rsidRDefault="00926CBF" w:rsidP="000A7DEC">
      <w:pPr>
        <w:pStyle w:val="Heading2Numbered"/>
        <w:rPr>
          <w:rFonts w:ascii="Arial" w:eastAsia="Times New Roman" w:hAnsi="Arial"/>
          <w:spacing w:val="-6"/>
          <w:szCs w:val="34"/>
        </w:rPr>
      </w:pPr>
      <w:bookmarkStart w:id="374" w:name="_Toc411852677"/>
      <w:bookmarkStart w:id="375" w:name="_Toc534382557"/>
      <w:bookmarkStart w:id="376" w:name="_Toc53564743"/>
      <w:r w:rsidRPr="000C5235">
        <w:rPr>
          <w:rFonts w:eastAsia="Times New Roman"/>
        </w:rPr>
        <w:t xml:space="preserve">Entity </w:t>
      </w:r>
      <w:r w:rsidR="00C51BA2" w:rsidRPr="000C5235">
        <w:rPr>
          <w:rFonts w:eastAsia="Times New Roman"/>
        </w:rPr>
        <w:t>r</w:t>
      </w:r>
      <w:r w:rsidRPr="000C5235">
        <w:rPr>
          <w:rFonts w:eastAsia="Times New Roman"/>
        </w:rPr>
        <w:t xml:space="preserve">esource </w:t>
      </w:r>
      <w:r w:rsidR="00C51BA2" w:rsidRPr="000C5235">
        <w:rPr>
          <w:rFonts w:eastAsia="Times New Roman"/>
        </w:rPr>
        <w:t>s</w:t>
      </w:r>
      <w:r w:rsidRPr="000C5235">
        <w:rPr>
          <w:rFonts w:eastAsia="Times New Roman"/>
        </w:rPr>
        <w:t>tatement</w:t>
      </w:r>
      <w:bookmarkEnd w:id="374"/>
      <w:bookmarkEnd w:id="375"/>
      <w:bookmarkEnd w:id="376"/>
    </w:p>
    <w:p w14:paraId="2469C5FE" w14:textId="77777777" w:rsidR="00B54712" w:rsidRPr="000C5235" w:rsidRDefault="00B54712">
      <w:pPr>
        <w:pStyle w:val="NormalTextRed"/>
      </w:pPr>
      <w:r w:rsidRPr="000C5235">
        <w:t>The template for this table can be found in the “Table 1.1” tab</w:t>
      </w:r>
      <w:r w:rsidRPr="000C5235">
        <w:rPr>
          <w:rStyle w:val="BodyTextChar"/>
          <w:rFonts w:eastAsiaTheme="minorHAnsi" w:cstheme="minorBidi"/>
        </w:rPr>
        <w:t xml:space="preserve"> of the Excel Tables workbook (</w:t>
      </w:r>
      <w:r w:rsidR="00151BE2" w:rsidRPr="000C5235">
        <w:rPr>
          <w:rStyle w:val="BodyTextChar"/>
          <w:rFonts w:eastAsiaTheme="minorHAnsi" w:cstheme="minorBidi"/>
          <w:u w:val="single"/>
        </w:rPr>
        <w:t xml:space="preserve">Attachment </w:t>
      </w:r>
      <w:r w:rsidR="006E5A47" w:rsidRPr="000C5235">
        <w:rPr>
          <w:rStyle w:val="BodyTextChar"/>
          <w:rFonts w:eastAsiaTheme="minorHAnsi" w:cstheme="minorBidi"/>
          <w:u w:val="single"/>
        </w:rPr>
        <w:t>B</w:t>
      </w:r>
      <w:r w:rsidR="006E5A47" w:rsidRPr="000C5235">
        <w:rPr>
          <w:rStyle w:val="BodyTextChar"/>
          <w:rFonts w:eastAsiaTheme="minorHAnsi" w:cstheme="minorBidi"/>
        </w:rPr>
        <w:t xml:space="preserve"> </w:t>
      </w:r>
      <w:r w:rsidR="00151BE2" w:rsidRPr="000C5235">
        <w:rPr>
          <w:rStyle w:val="BodyTextChar"/>
          <w:rFonts w:eastAsiaTheme="minorHAnsi" w:cstheme="minorBidi"/>
        </w:rPr>
        <w:t>refers</w:t>
      </w:r>
      <w:r w:rsidRPr="000C5235">
        <w:rPr>
          <w:rStyle w:val="BodyTextChar"/>
          <w:rFonts w:eastAsiaTheme="minorHAnsi" w:cstheme="minorBidi"/>
        </w:rPr>
        <w:t>). There is a template for non-corporate Commonwealth entities (coloured green) and a template for corporate Commonwealth entities and Commonwealth companies (coloured red).</w:t>
      </w:r>
    </w:p>
    <w:p w14:paraId="08DD6FE0" w14:textId="77777777" w:rsidR="00B54712" w:rsidRPr="000C5235" w:rsidRDefault="00B54712" w:rsidP="000A7DEC">
      <w:pPr>
        <w:rPr>
          <w:rStyle w:val="BodyTextChar"/>
        </w:rPr>
      </w:pPr>
      <w:r w:rsidRPr="000C5235">
        <w:rPr>
          <w:rStyle w:val="BodyTextChar"/>
        </w:rPr>
        <w:t xml:space="preserve">The </w:t>
      </w:r>
      <w:r w:rsidRPr="000C5235">
        <w:rPr>
          <w:rStyle w:val="BodyTextChar"/>
          <w:i/>
        </w:rPr>
        <w:t xml:space="preserve">Entity </w:t>
      </w:r>
      <w:r w:rsidR="00E66432" w:rsidRPr="000C5235">
        <w:rPr>
          <w:rStyle w:val="BodyTextChar"/>
          <w:i/>
        </w:rPr>
        <w:t>r</w:t>
      </w:r>
      <w:r w:rsidR="007E6DB9" w:rsidRPr="000C5235">
        <w:rPr>
          <w:rStyle w:val="BodyTextChar"/>
          <w:i/>
        </w:rPr>
        <w:t xml:space="preserve">esource </w:t>
      </w:r>
      <w:r w:rsidR="00E66432" w:rsidRPr="000C5235">
        <w:rPr>
          <w:rStyle w:val="BodyTextChar"/>
          <w:i/>
        </w:rPr>
        <w:t>s</w:t>
      </w:r>
      <w:r w:rsidRPr="000C5235">
        <w:rPr>
          <w:rStyle w:val="BodyTextChar"/>
          <w:i/>
        </w:rPr>
        <w:t>tatement</w:t>
      </w:r>
      <w:r w:rsidRPr="000C5235">
        <w:rPr>
          <w:rStyle w:val="BodyTextChar"/>
        </w:rPr>
        <w:t xml:space="preserve"> provides a summary of all resources available to the entity over the budget year which it may draw upon in achieving government outcomes and objectives. This table is to be prepared on a </w:t>
      </w:r>
      <w:r w:rsidRPr="000C5235">
        <w:rPr>
          <w:rStyle w:val="BodyTextChar"/>
          <w:u w:val="single"/>
        </w:rPr>
        <w:t>resourcing (</w:t>
      </w:r>
      <w:r w:rsidR="00E10C89" w:rsidRPr="000C5235">
        <w:rPr>
          <w:rStyle w:val="BodyTextChar"/>
          <w:u w:val="single"/>
        </w:rPr>
        <w:t>ie</w:t>
      </w:r>
      <w:r w:rsidRPr="000C5235">
        <w:rPr>
          <w:rStyle w:val="BodyTextChar"/>
          <w:u w:val="single"/>
        </w:rPr>
        <w:t xml:space="preserve"> appropriations/cash available) basis</w:t>
      </w:r>
      <w:r w:rsidRPr="000C5235">
        <w:rPr>
          <w:rStyle w:val="BodyTextChar"/>
        </w:rPr>
        <w:t>.</w:t>
      </w:r>
    </w:p>
    <w:p w14:paraId="3219AC9B" w14:textId="77777777" w:rsidR="00B54712" w:rsidRPr="000C5235" w:rsidRDefault="008555BE" w:rsidP="000A7DEC">
      <w:pPr>
        <w:rPr>
          <w:rStyle w:val="BodyTextChar"/>
        </w:rPr>
      </w:pPr>
      <w:r w:rsidRPr="000C5235">
        <w:rPr>
          <w:rStyle w:val="BodyTextChar"/>
        </w:rPr>
        <w:t xml:space="preserve">The Entity resource statement </w:t>
      </w:r>
      <w:r w:rsidR="00B54712" w:rsidRPr="000C5235">
        <w:rPr>
          <w:rStyle w:val="BodyTextChar"/>
        </w:rPr>
        <w:t xml:space="preserve">provides a breakdown of these resources by funding </w:t>
      </w:r>
      <w:r w:rsidR="00FD4BA3" w:rsidRPr="000C5235">
        <w:rPr>
          <w:rStyle w:val="BodyTextChar"/>
        </w:rPr>
        <w:t>source and</w:t>
      </w:r>
      <w:r w:rsidR="00B54712" w:rsidRPr="000C5235">
        <w:rPr>
          <w:rStyle w:val="BodyTextChar"/>
        </w:rPr>
        <w:t xml:space="preserve"> includes undrawn and unspent amounts from prior years as well as the balances of special </w:t>
      </w:r>
      <w:r w:rsidR="00FD4BA3" w:rsidRPr="000C5235">
        <w:rPr>
          <w:rStyle w:val="BodyTextChar"/>
        </w:rPr>
        <w:t>accounts but</w:t>
      </w:r>
      <w:r w:rsidR="00B54712" w:rsidRPr="000C5235">
        <w:rPr>
          <w:rStyle w:val="BodyTextChar"/>
        </w:rPr>
        <w:t xml:space="preserve"> </w:t>
      </w:r>
      <w:r w:rsidR="00B54712" w:rsidRPr="000C5235">
        <w:rPr>
          <w:rStyle w:val="BodyTextChar"/>
          <w:u w:val="single"/>
        </w:rPr>
        <w:t>excludes</w:t>
      </w:r>
      <w:r w:rsidR="00B54712" w:rsidRPr="000C5235">
        <w:rPr>
          <w:rStyle w:val="BodyTextChar"/>
        </w:rPr>
        <w:t xml:space="preserve"> amounts subject to quarantine or reduction. The table also provides a total estimate of ASL for the entity – this total should equal the ASL figures published for each outcome in </w:t>
      </w:r>
      <w:r w:rsidR="00B54712" w:rsidRPr="000C5235">
        <w:rPr>
          <w:rStyle w:val="BodyTextChar"/>
          <w:i/>
        </w:rPr>
        <w:t>Table 2.X.1</w:t>
      </w:r>
      <w:r w:rsidR="00B54712" w:rsidRPr="000C5235">
        <w:rPr>
          <w:rStyle w:val="BodyTextChar"/>
        </w:rPr>
        <w:t xml:space="preserve"> (Budgeted expenses for Outcome X).</w:t>
      </w:r>
    </w:p>
    <w:p w14:paraId="1DFF940C" w14:textId="77777777" w:rsidR="00B54712" w:rsidRPr="000C5235" w:rsidRDefault="00B54712" w:rsidP="000A7DEC">
      <w:pPr>
        <w:rPr>
          <w:rStyle w:val="BodyTextChar"/>
        </w:rPr>
      </w:pPr>
      <w:r w:rsidRPr="000C5235">
        <w:rPr>
          <w:rStyle w:val="BodyTextChar"/>
        </w:rPr>
        <w:t xml:space="preserve">Entities with special accounts will need to ensure amounts transferred </w:t>
      </w:r>
      <w:r w:rsidR="000305A5" w:rsidRPr="000C5235">
        <w:rPr>
          <w:rStyle w:val="BodyTextChar"/>
        </w:rPr>
        <w:t xml:space="preserve">between special accounts and other appropriation sources </w:t>
      </w:r>
      <w:r w:rsidRPr="000C5235">
        <w:rPr>
          <w:rStyle w:val="BodyTextChar"/>
          <w:u w:val="single"/>
        </w:rPr>
        <w:t>are netted</w:t>
      </w:r>
      <w:r w:rsidRPr="000C5235">
        <w:rPr>
          <w:rStyle w:val="BodyTextChar"/>
        </w:rPr>
        <w:t xml:space="preserve"> off so the</w:t>
      </w:r>
      <w:r w:rsidR="000305A5" w:rsidRPr="000C5235">
        <w:rPr>
          <w:rStyle w:val="BodyTextChar"/>
        </w:rPr>
        <w:t xml:space="preserve"> appropriations</w:t>
      </w:r>
      <w:r w:rsidRPr="000C5235">
        <w:rPr>
          <w:rStyle w:val="BodyTextChar"/>
        </w:rPr>
        <w:t xml:space="preserve"> are not double counted. </w:t>
      </w:r>
      <w:bookmarkStart w:id="377" w:name="Special_Accounts_Netting_off_of_Amounts"/>
      <w:bookmarkEnd w:id="377"/>
    </w:p>
    <w:p w14:paraId="70DF4CC0" w14:textId="77777777" w:rsidR="00B54712" w:rsidRPr="000C5235" w:rsidRDefault="00B54712" w:rsidP="000A7DEC">
      <w:r w:rsidRPr="000C5235">
        <w:t>The “</w:t>
      </w:r>
      <w:r w:rsidR="00151BE2" w:rsidRPr="000C5235">
        <w:rPr>
          <w:u w:val="single"/>
        </w:rPr>
        <w:t>2019-20</w:t>
      </w:r>
      <w:r w:rsidRPr="000C5235">
        <w:rPr>
          <w:u w:val="single"/>
        </w:rPr>
        <w:t xml:space="preserve"> estimated actual</w:t>
      </w:r>
      <w:r w:rsidRPr="000C5235">
        <w:t xml:space="preserve">” column shows the estimated amount available to the entity to spend in the </w:t>
      </w:r>
      <w:r w:rsidR="00151BE2" w:rsidRPr="000C5235">
        <w:t>2019-20</w:t>
      </w:r>
      <w:r w:rsidRPr="000C5235">
        <w:t xml:space="preserve"> financial year – this should exclude amounts proposed through Appropriation Bills (Nos. 5 &amp; 6), as these would not have received Royal Assent at the time the PB Statements are tabled.</w:t>
      </w:r>
    </w:p>
    <w:p w14:paraId="41904B06" w14:textId="70A2EAD0" w:rsidR="00B37817" w:rsidRPr="000C5235" w:rsidRDefault="001D738F" w:rsidP="000A7DEC">
      <w:pPr>
        <w:pStyle w:val="Heading3Numbered"/>
        <w:rPr>
          <w:rStyle w:val="BodyTextChar"/>
          <w:rFonts w:eastAsiaTheme="majorEastAsia" w:cstheme="majorBidi"/>
          <w:bCs w:val="0"/>
        </w:rPr>
      </w:pPr>
      <w:bookmarkStart w:id="378" w:name="_Ref46310400"/>
      <w:bookmarkStart w:id="379" w:name="_Ref46310405"/>
      <w:bookmarkStart w:id="380" w:name="_Toc53564744"/>
      <w:r w:rsidRPr="000C5235">
        <w:rPr>
          <w:rStyle w:val="BodyTextChar"/>
          <w:rFonts w:eastAsiaTheme="majorEastAsia" w:cstheme="majorBidi"/>
          <w:bCs w:val="0"/>
        </w:rPr>
        <w:t xml:space="preserve">2019-20 Appropriation (Coronavirus Economic Response Package) Bills 1 &amp; 2 and the 2019-20 </w:t>
      </w:r>
      <w:bookmarkEnd w:id="378"/>
      <w:bookmarkEnd w:id="379"/>
      <w:r w:rsidR="00B51CD3" w:rsidRPr="000C5235">
        <w:rPr>
          <w:rStyle w:val="BodyTextChar"/>
          <w:rFonts w:eastAsiaTheme="majorEastAsia" w:cstheme="majorBidi"/>
          <w:bCs w:val="0"/>
        </w:rPr>
        <w:t>Appropriation Bills 5 &amp; 6</w:t>
      </w:r>
      <w:bookmarkEnd w:id="380"/>
    </w:p>
    <w:p w14:paraId="579B06F6" w14:textId="351721DA" w:rsidR="00E17F75" w:rsidRPr="000C5235" w:rsidRDefault="00D4245E" w:rsidP="00236189">
      <w:r w:rsidRPr="000C5235">
        <w:t xml:space="preserve">Entities who received an appropriation under the 2019-20 Appropriation (Coronavirus Economic Response Package) Bills 1 &amp; 2 and / or the 2019-20 </w:t>
      </w:r>
      <w:r w:rsidR="00B51CD3" w:rsidRPr="000C5235">
        <w:t xml:space="preserve">Appropriation </w:t>
      </w:r>
      <w:r w:rsidRPr="000C5235">
        <w:t xml:space="preserve">Bills 5 &amp; 6 will be required </w:t>
      </w:r>
      <w:r w:rsidR="00E21D42" w:rsidRPr="000C5235">
        <w:t xml:space="preserve">to </w:t>
      </w:r>
      <w:r w:rsidRPr="000C5235">
        <w:t>reflect the appropriations in T1.1 Entity resource statement.</w:t>
      </w:r>
    </w:p>
    <w:p w14:paraId="7166E6C7" w14:textId="77777777" w:rsidR="00E17F75" w:rsidRPr="000C5235" w:rsidRDefault="00E17F75">
      <w:pPr>
        <w:suppressAutoHyphens w:val="0"/>
        <w:spacing w:before="0" w:after="120" w:line="440" w:lineRule="atLeast"/>
      </w:pPr>
      <w:r w:rsidRPr="000C5235">
        <w:br w:type="page"/>
      </w:r>
    </w:p>
    <w:p w14:paraId="13B05137" w14:textId="77777777" w:rsidR="00E17F75" w:rsidRPr="000C5235" w:rsidRDefault="00E17F75" w:rsidP="00236189">
      <w:r w:rsidRPr="000C5235">
        <w:t>This is required because the</w:t>
      </w:r>
      <w:r w:rsidR="0085208D" w:rsidRPr="000C5235">
        <w:t>se</w:t>
      </w:r>
      <w:r w:rsidRPr="000C5235">
        <w:t xml:space="preserve"> </w:t>
      </w:r>
      <w:r w:rsidR="0085208D" w:rsidRPr="000C5235">
        <w:t>appropriation bills</w:t>
      </w:r>
      <w:r w:rsidRPr="000C5235">
        <w:t xml:space="preserve"> received Royal Assent on the:</w:t>
      </w:r>
    </w:p>
    <w:p w14:paraId="6E285443" w14:textId="77777777" w:rsidR="00E17F75" w:rsidRPr="000C5235" w:rsidRDefault="00E17F75" w:rsidP="00236189">
      <w:pPr>
        <w:pStyle w:val="Bullet1"/>
      </w:pPr>
      <w:r w:rsidRPr="000C5235">
        <w:t>2019-20 Appropriation (Coronavirus Economic Response Package) Bills 1 &amp; 2 on the 24</w:t>
      </w:r>
      <w:r w:rsidR="00236189" w:rsidRPr="000C5235">
        <w:t>th</w:t>
      </w:r>
      <w:r w:rsidRPr="000C5235">
        <w:t xml:space="preserve"> Mar 2020.</w:t>
      </w:r>
    </w:p>
    <w:p w14:paraId="1C3591C4" w14:textId="537A7E70" w:rsidR="00E17F75" w:rsidRPr="000C5235" w:rsidRDefault="00B51CD3" w:rsidP="00236189">
      <w:pPr>
        <w:pStyle w:val="Bullet1"/>
      </w:pPr>
      <w:r w:rsidRPr="000C5235">
        <w:t xml:space="preserve">Appropriation </w:t>
      </w:r>
      <w:r w:rsidR="00E17F75" w:rsidRPr="000C5235">
        <w:t>Bills 5 &amp; 6 on the 9</w:t>
      </w:r>
      <w:r w:rsidR="00236189" w:rsidRPr="000C5235">
        <w:t>th</w:t>
      </w:r>
      <w:r w:rsidR="00E17F75" w:rsidRPr="000C5235">
        <w:t xml:space="preserve"> April.</w:t>
      </w:r>
    </w:p>
    <w:p w14:paraId="4E25D6C2" w14:textId="77777777" w:rsidR="00B54712" w:rsidRPr="000C5235" w:rsidRDefault="00B54712" w:rsidP="000A7DEC">
      <w:pPr>
        <w:pStyle w:val="Heading3Numbered"/>
        <w:rPr>
          <w:rStyle w:val="BodyTextChar"/>
          <w:rFonts w:eastAsiaTheme="majorEastAsia" w:cstheme="majorBidi"/>
          <w:bCs w:val="0"/>
        </w:rPr>
      </w:pPr>
      <w:bookmarkStart w:id="381" w:name="_Toc53564745"/>
      <w:r w:rsidRPr="000C5235">
        <w:rPr>
          <w:rStyle w:val="BodyTextChar"/>
          <w:rFonts w:eastAsiaTheme="majorEastAsia" w:cstheme="majorBidi"/>
        </w:rPr>
        <w:t xml:space="preserve">Payments to the </w:t>
      </w:r>
      <w:r w:rsidR="00C51BA2" w:rsidRPr="000C5235">
        <w:rPr>
          <w:rStyle w:val="BodyTextChar"/>
          <w:rFonts w:eastAsiaTheme="majorEastAsia" w:cstheme="majorBidi"/>
        </w:rPr>
        <w:t>s</w:t>
      </w:r>
      <w:r w:rsidRPr="000C5235">
        <w:rPr>
          <w:rStyle w:val="BodyTextChar"/>
          <w:rFonts w:eastAsiaTheme="majorEastAsia" w:cstheme="majorBidi"/>
        </w:rPr>
        <w:t>tates</w:t>
      </w:r>
      <w:bookmarkEnd w:id="381"/>
    </w:p>
    <w:p w14:paraId="1CACA00E" w14:textId="77777777" w:rsidR="00B54712" w:rsidRPr="000C5235" w:rsidRDefault="00B54712" w:rsidP="000A7DEC">
      <w:r w:rsidRPr="000C5235">
        <w:t xml:space="preserve">This mandatory requirement for entities receiving appropriations, through Appropriation Bill </w:t>
      </w:r>
      <w:r w:rsidR="008D4630" w:rsidRPr="000C5235">
        <w:t>(</w:t>
      </w:r>
      <w:r w:rsidRPr="000C5235">
        <w:t>No.</w:t>
      </w:r>
      <w:r w:rsidR="00EE4AE2" w:rsidRPr="000C5235">
        <w:t xml:space="preserve"> </w:t>
      </w:r>
      <w:r w:rsidRPr="000C5235">
        <w:t>2</w:t>
      </w:r>
      <w:r w:rsidR="008D4630" w:rsidRPr="000C5235">
        <w:t>)</w:t>
      </w:r>
      <w:r w:rsidRPr="000C5235">
        <w:t xml:space="preserve"> </w:t>
      </w:r>
      <w:r w:rsidR="00151BE2" w:rsidRPr="000C5235">
        <w:t>2020-21</w:t>
      </w:r>
      <w:r w:rsidRPr="000C5235">
        <w:t xml:space="preserve">, for payments to States, </w:t>
      </w:r>
      <w:r w:rsidR="00874F0F" w:rsidRPr="000C5235">
        <w:t>Territories</w:t>
      </w:r>
      <w:r w:rsidRPr="000C5235">
        <w:t xml:space="preserve"> and local government</w:t>
      </w:r>
      <w:r w:rsidR="008D4630" w:rsidRPr="000C5235">
        <w:t>,</w:t>
      </w:r>
      <w:r w:rsidRPr="000C5235">
        <w:t xml:space="preserve"> to include additional information in a mandatory footnote to </w:t>
      </w:r>
      <w:r w:rsidRPr="000C5235">
        <w:rPr>
          <w:i/>
        </w:rPr>
        <w:t>Table 1.1 Entity Resourcing Statement</w:t>
      </w:r>
      <w:r w:rsidRPr="000C5235">
        <w:t>. The note only applies for the current year appropriation and not prior year comparisons.</w:t>
      </w:r>
    </w:p>
    <w:p w14:paraId="2584E8D1" w14:textId="77777777" w:rsidR="00AA37F7" w:rsidRPr="000C5235" w:rsidRDefault="00B54712" w:rsidP="000A7DEC">
      <w:r w:rsidRPr="000C5235">
        <w:t xml:space="preserve">Footnote (l) in </w:t>
      </w:r>
      <w:r w:rsidRPr="000C5235">
        <w:rPr>
          <w:i/>
        </w:rPr>
        <w:t>Table 1.1</w:t>
      </w:r>
      <w:r w:rsidRPr="000C5235">
        <w:t xml:space="preserve"> must include the particular purposes to which the payments to the States, ACT, NT and local government will be directed (including a breakdown of proposed amounts by State/Territory), where the terms and conditions, and the programs guidelines can be found, and the statutory or other provisions under which the terms and conditions are made.</w:t>
      </w:r>
    </w:p>
    <w:p w14:paraId="76E46873" w14:textId="77777777" w:rsidR="005B2724" w:rsidRPr="000C5235" w:rsidRDefault="00B54712" w:rsidP="000A7DEC">
      <w:pPr>
        <w:pStyle w:val="Bullet1"/>
      </w:pPr>
      <w:r w:rsidRPr="000C5235">
        <w:t>All requirements of the footnote must be addressed</w:t>
      </w:r>
      <w:r w:rsidR="005B2724" w:rsidRPr="000C5235">
        <w:t>.</w:t>
      </w:r>
    </w:p>
    <w:p w14:paraId="3387EB67" w14:textId="77777777" w:rsidR="00A368E7" w:rsidRPr="000C5235" w:rsidRDefault="00B54712" w:rsidP="000A7DEC">
      <w:r w:rsidRPr="000C5235">
        <w:t xml:space="preserve">An example is provided below. </w:t>
      </w:r>
    </w:p>
    <w:p w14:paraId="005EB05A" w14:textId="52E605F1" w:rsidR="00A368E7" w:rsidRPr="000C5235" w:rsidRDefault="00A368E7" w:rsidP="000A7DEC">
      <w:pPr>
        <w:pStyle w:val="Boxed2Text"/>
        <w:rPr>
          <w:rStyle w:val="BodyTextChar"/>
        </w:rPr>
      </w:pPr>
      <w:r w:rsidRPr="000C5235">
        <w:rPr>
          <w:rStyle w:val="BodyTextChar"/>
        </w:rPr>
        <w:t>(l) Relates to appropriations sought for payment to the States, ACT, NT and local governments in Appropriation Bill (No. 2) 2020-21. Outcome 1 – Program 1.1: Security and Justice includes the Schools Program under the Intergovernmental Agreement on Federal Financial Relations with payments of: $0.XXm (ACT); $XXm (NSW); $XXm (SA); $XXm (VIC) and $XXm (WA). Information on the terms and conditions can be found in the Project Agreement for the Schools Security Program (</w:t>
      </w:r>
      <w:hyperlink r:id="rId54" w:history="1">
        <w:r w:rsidRPr="000C5235">
          <w:rPr>
            <w:rStyle w:val="Hyperlink"/>
            <w:rFonts w:cs="Times New Roman"/>
          </w:rPr>
          <w:t>http://www.federalfinancialrelations.gov.au/content/npa/education.aspx</w:t>
        </w:r>
      </w:hyperlink>
      <w:r w:rsidRPr="000C5235">
        <w:rPr>
          <w:rStyle w:val="Hyperlink"/>
          <w:rFonts w:cs="Times New Roman"/>
        </w:rPr>
        <w:t>)</w:t>
      </w:r>
      <w:r w:rsidRPr="000C5235">
        <w:rPr>
          <w:rStyle w:val="Hyperlink"/>
          <w:rFonts w:cs="Times New Roman"/>
          <w:color w:val="auto"/>
          <w:u w:val="none"/>
        </w:rPr>
        <w:t>.</w:t>
      </w:r>
      <w:r w:rsidRPr="000C5235">
        <w:rPr>
          <w:rStyle w:val="BodyTextChar"/>
        </w:rPr>
        <w:t xml:space="preserve">  </w:t>
      </w:r>
    </w:p>
    <w:p w14:paraId="4BA02FAE" w14:textId="77777777" w:rsidR="00B54712" w:rsidRPr="000C5235" w:rsidRDefault="00A368E7" w:rsidP="000A7DEC">
      <w:pPr>
        <w:pStyle w:val="Boxed2Text"/>
      </w:pPr>
      <w:r w:rsidRPr="000C5235">
        <w:rPr>
          <w:rStyle w:val="BodyTextChar"/>
        </w:rPr>
        <w:t xml:space="preserve">Terms and conditions are made under authority from section 7(2) of the </w:t>
      </w:r>
      <w:r w:rsidRPr="000C5235">
        <w:rPr>
          <w:rStyle w:val="BodyTextChar"/>
          <w:i/>
        </w:rPr>
        <w:t>COAG Reform Fund Act 2008</w:t>
      </w:r>
      <w:r w:rsidRPr="000C5235">
        <w:rPr>
          <w:rStyle w:val="BodyTextChar"/>
        </w:rPr>
        <w:t>, and the Intergovernmental Agreement on Federal Financial Relations.</w:t>
      </w:r>
    </w:p>
    <w:p w14:paraId="5B520EE3" w14:textId="77777777" w:rsidR="005904D2" w:rsidRPr="000C5235" w:rsidRDefault="005904D2" w:rsidP="000A7DEC">
      <w:pPr>
        <w:pStyle w:val="Heading3Numbered"/>
        <w:rPr>
          <w:rStyle w:val="BodyTextChar"/>
          <w:rFonts w:eastAsiaTheme="majorEastAsia" w:cstheme="majorBidi"/>
        </w:rPr>
      </w:pPr>
      <w:bookmarkStart w:id="382" w:name="_Toc30405565"/>
      <w:bookmarkStart w:id="383" w:name="_Toc30581306"/>
      <w:bookmarkStart w:id="384" w:name="_Toc32829968"/>
      <w:bookmarkStart w:id="385" w:name="_Toc32917475"/>
      <w:bookmarkStart w:id="386" w:name="_Toc32918281"/>
      <w:bookmarkStart w:id="387" w:name="_Toc32999664"/>
      <w:bookmarkStart w:id="388" w:name="_Toc33099383"/>
      <w:bookmarkStart w:id="389" w:name="_Toc47369876"/>
      <w:bookmarkStart w:id="390" w:name="_Toc47369877"/>
      <w:bookmarkStart w:id="391" w:name="_Toc53564746"/>
      <w:bookmarkEnd w:id="382"/>
      <w:bookmarkEnd w:id="383"/>
      <w:bookmarkEnd w:id="384"/>
      <w:bookmarkEnd w:id="385"/>
      <w:bookmarkEnd w:id="386"/>
      <w:bookmarkEnd w:id="387"/>
      <w:bookmarkEnd w:id="388"/>
      <w:bookmarkEnd w:id="389"/>
      <w:bookmarkEnd w:id="390"/>
      <w:r w:rsidRPr="000C5235">
        <w:rPr>
          <w:rStyle w:val="BodyTextChar"/>
          <w:rFonts w:eastAsiaTheme="majorEastAsia" w:cstheme="majorBidi"/>
        </w:rPr>
        <w:t xml:space="preserve">Additional guidance on </w:t>
      </w:r>
      <w:r w:rsidR="00C51BA2" w:rsidRPr="000C5235">
        <w:rPr>
          <w:rStyle w:val="BodyTextChar"/>
          <w:rFonts w:eastAsiaTheme="majorEastAsia" w:cstheme="majorBidi"/>
        </w:rPr>
        <w:t>c</w:t>
      </w:r>
      <w:r w:rsidRPr="000C5235">
        <w:rPr>
          <w:rStyle w:val="BodyTextChar"/>
          <w:rFonts w:eastAsiaTheme="majorEastAsia" w:cstheme="majorBidi"/>
        </w:rPr>
        <w:t xml:space="preserve">ash </w:t>
      </w:r>
      <w:r w:rsidR="00C51BA2" w:rsidRPr="000C5235">
        <w:rPr>
          <w:rStyle w:val="BodyTextChar"/>
          <w:rFonts w:eastAsiaTheme="majorEastAsia" w:cstheme="majorBidi"/>
        </w:rPr>
        <w:t>m</w:t>
      </w:r>
      <w:r w:rsidRPr="000C5235">
        <w:rPr>
          <w:rStyle w:val="BodyTextChar"/>
          <w:rFonts w:eastAsiaTheme="majorEastAsia" w:cstheme="majorBidi"/>
        </w:rPr>
        <w:t xml:space="preserve">anagement </w:t>
      </w:r>
      <w:r w:rsidR="00C51BA2" w:rsidRPr="000C5235">
        <w:rPr>
          <w:rStyle w:val="BodyTextChar"/>
          <w:rFonts w:eastAsiaTheme="majorEastAsia" w:cstheme="majorBidi"/>
        </w:rPr>
        <w:t>reports and a</w:t>
      </w:r>
      <w:r w:rsidRPr="000C5235">
        <w:rPr>
          <w:rStyle w:val="BodyTextChar"/>
          <w:rFonts w:eastAsiaTheme="majorEastAsia" w:cstheme="majorBidi"/>
        </w:rPr>
        <w:t xml:space="preserve">ppropriation </w:t>
      </w:r>
      <w:r w:rsidR="00C51BA2" w:rsidRPr="000C5235">
        <w:rPr>
          <w:rStyle w:val="BodyTextChar"/>
          <w:rFonts w:eastAsiaTheme="majorEastAsia" w:cstheme="majorBidi"/>
        </w:rPr>
        <w:t>b</w:t>
      </w:r>
      <w:r w:rsidRPr="000C5235">
        <w:rPr>
          <w:rStyle w:val="BodyTextChar"/>
          <w:rFonts w:eastAsiaTheme="majorEastAsia" w:cstheme="majorBidi"/>
        </w:rPr>
        <w:t>ills</w:t>
      </w:r>
      <w:bookmarkEnd w:id="391"/>
    </w:p>
    <w:p w14:paraId="7611F92C" w14:textId="77777777" w:rsidR="005904D2" w:rsidRPr="000C5235" w:rsidRDefault="005904D2" w:rsidP="000A7DEC">
      <w:pPr>
        <w:rPr>
          <w:rStyle w:val="BodyTextChar"/>
          <w:rFonts w:ascii="Arial" w:hAnsi="Arial"/>
          <w:bCs/>
          <w:iCs/>
          <w:color w:val="005A77"/>
          <w:spacing w:val="-6"/>
          <w:sz w:val="32"/>
          <w:szCs w:val="24"/>
        </w:rPr>
      </w:pPr>
      <w:r w:rsidRPr="000C5235">
        <w:rPr>
          <w:rStyle w:val="BodyTextChar"/>
        </w:rPr>
        <w:t xml:space="preserve">Appropriation estimates are recorded in CBMS in the PBF module. The Annual Estimates module in </w:t>
      </w:r>
      <w:r w:rsidR="00EF6ACB" w:rsidRPr="000C5235">
        <w:rPr>
          <w:rStyle w:val="BodyTextChar"/>
        </w:rPr>
        <w:t>Public Budget Formulation (</w:t>
      </w:r>
      <w:r w:rsidRPr="000C5235">
        <w:rPr>
          <w:rStyle w:val="BodyTextChar"/>
        </w:rPr>
        <w:t>PBF</w:t>
      </w:r>
      <w:r w:rsidR="00EF6ACB" w:rsidRPr="000C5235">
        <w:rPr>
          <w:rStyle w:val="BodyTextChar"/>
        </w:rPr>
        <w:t>)</w:t>
      </w:r>
      <w:r w:rsidRPr="000C5235">
        <w:rPr>
          <w:rStyle w:val="BodyTextChar"/>
        </w:rPr>
        <w:t xml:space="preserve"> is used to create the Appropriation Bills.</w:t>
      </w:r>
    </w:p>
    <w:p w14:paraId="2A90FD9A" w14:textId="77777777" w:rsidR="005904D2" w:rsidRPr="000C5235" w:rsidRDefault="005904D2" w:rsidP="000A7DEC">
      <w:pPr>
        <w:rPr>
          <w:rStyle w:val="BodyTextChar"/>
        </w:rPr>
      </w:pPr>
      <w:r w:rsidRPr="000C5235">
        <w:rPr>
          <w:rStyle w:val="BodyTextChar"/>
        </w:rPr>
        <w:t>When an Appropriation Bill is given Royal Assent and becomes an Appropriation Act, the values captured in PBF are then used as the Appropriation Limits in Cash Management</w:t>
      </w:r>
      <w:r w:rsidR="00AA37F7" w:rsidRPr="000C5235">
        <w:rPr>
          <w:rStyle w:val="BodyTextChar"/>
        </w:rPr>
        <w:t xml:space="preserve"> in CBMS</w:t>
      </w:r>
      <w:r w:rsidRPr="000C5235">
        <w:rPr>
          <w:rStyle w:val="BodyTextChar"/>
        </w:rPr>
        <w:t>. Appropriation limits are treated as “Hard” or “Soft” depending on their outcome requirements and/or other legal restrictions.</w:t>
      </w:r>
    </w:p>
    <w:p w14:paraId="175DD716" w14:textId="77777777" w:rsidR="005904D2" w:rsidRPr="000C5235" w:rsidRDefault="005904D2" w:rsidP="000A7DEC">
      <w:pPr>
        <w:rPr>
          <w:rStyle w:val="BodyTextChar"/>
        </w:rPr>
      </w:pPr>
      <w:r w:rsidRPr="000C5235">
        <w:rPr>
          <w:rStyle w:val="BodyTextChar"/>
        </w:rPr>
        <w:t>A “hard limit” is a limit that cannot be exceeded with a drawdown. This is because a hard limit is a legally appropriated amount, adjusted for changes authorised in law such as section 75 transfers as a result of Machinery of Government changes, section 74 External Revenue, quarantines by the Minister for Finance or the Advances to the Minister for Finance.</w:t>
      </w:r>
    </w:p>
    <w:p w14:paraId="06112E2E" w14:textId="77777777" w:rsidR="005904D2" w:rsidRPr="000C5235" w:rsidRDefault="005904D2">
      <w:pPr>
        <w:pStyle w:val="Bullet1"/>
        <w:rPr>
          <w:rStyle w:val="BodyTextChar"/>
          <w:rFonts w:asciiTheme="minorHAnsi" w:hAnsiTheme="minorHAnsi"/>
        </w:rPr>
      </w:pPr>
      <w:r w:rsidRPr="000C5235">
        <w:rPr>
          <w:rStyle w:val="BodyTextChar"/>
        </w:rPr>
        <w:t>For departmental operating appropriations, the hard limit equals the total amount appropriated for the entity</w:t>
      </w:r>
      <w:r w:rsidR="006F1726" w:rsidRPr="000C5235">
        <w:rPr>
          <w:rStyle w:val="BodyTextChar"/>
        </w:rPr>
        <w:t>.</w:t>
      </w:r>
    </w:p>
    <w:p w14:paraId="5C253D40" w14:textId="77777777" w:rsidR="005904D2" w:rsidRPr="000C5235" w:rsidRDefault="005904D2">
      <w:pPr>
        <w:pStyle w:val="Bullet1"/>
        <w:rPr>
          <w:rStyle w:val="BodyTextChar"/>
        </w:rPr>
      </w:pPr>
      <w:r w:rsidRPr="000C5235">
        <w:rPr>
          <w:rStyle w:val="BodyTextChar"/>
        </w:rPr>
        <w:t>For administered operating appropriations, the hard limit is the amount provided for each outcome.</w:t>
      </w:r>
    </w:p>
    <w:p w14:paraId="1BABB657" w14:textId="77777777" w:rsidR="005904D2" w:rsidRPr="000C5235" w:rsidRDefault="005904D2" w:rsidP="000A7DEC">
      <w:pPr>
        <w:rPr>
          <w:rStyle w:val="BodyTextChar"/>
          <w:rFonts w:ascii="Arial" w:hAnsi="Arial"/>
        </w:rPr>
      </w:pPr>
      <w:r w:rsidRPr="000C5235">
        <w:rPr>
          <w:rStyle w:val="BodyTextChar"/>
        </w:rPr>
        <w:t>A soft limit is the limit against a portion of the hard limit after it is allocated to a program (</w:t>
      </w:r>
      <w:r w:rsidR="00E10C89" w:rsidRPr="000C5235">
        <w:rPr>
          <w:rStyle w:val="BodyTextChar"/>
        </w:rPr>
        <w:t>ie</w:t>
      </w:r>
      <w:r w:rsidRPr="000C5235">
        <w:rPr>
          <w:rStyle w:val="BodyTextChar"/>
        </w:rPr>
        <w:t xml:space="preserve"> administered operating) or outcome (</w:t>
      </w:r>
      <w:r w:rsidR="00AA37F7" w:rsidRPr="000C5235">
        <w:rPr>
          <w:rStyle w:val="BodyTextChar"/>
        </w:rPr>
        <w:t>i.e.</w:t>
      </w:r>
      <w:r w:rsidRPr="000C5235">
        <w:rPr>
          <w:rStyle w:val="BodyTextChar"/>
        </w:rPr>
        <w:t xml:space="preserve"> departmental operating). These limits can be exceeded with a drawdown, providing they do not exceed the hard limit. Soft limits can be adjusted on request from entities (though they generally reflect splits identified in </w:t>
      </w:r>
      <w:r w:rsidR="008555BE" w:rsidRPr="000C5235">
        <w:rPr>
          <w:rStyle w:val="BodyTextChar"/>
        </w:rPr>
        <w:t>PB </w:t>
      </w:r>
      <w:r w:rsidRPr="000C5235">
        <w:rPr>
          <w:rStyle w:val="BodyTextChar"/>
        </w:rPr>
        <w:t>Statements/PAES.</w:t>
      </w:r>
    </w:p>
    <w:p w14:paraId="257EE546" w14:textId="77777777" w:rsidR="00B54712" w:rsidRPr="000C5235" w:rsidRDefault="00B54712" w:rsidP="000A7DEC">
      <w:pPr>
        <w:pStyle w:val="Heading2Numbered"/>
        <w:rPr>
          <w:rFonts w:ascii="Arial" w:eastAsia="Times New Roman" w:hAnsi="Arial"/>
          <w:spacing w:val="-6"/>
          <w:szCs w:val="34"/>
        </w:rPr>
      </w:pPr>
      <w:bookmarkStart w:id="392" w:name="_Toc53564747"/>
      <w:r w:rsidRPr="000C5235">
        <w:rPr>
          <w:rFonts w:eastAsia="Times New Roman"/>
        </w:rPr>
        <w:t xml:space="preserve">Resource </w:t>
      </w:r>
      <w:r w:rsidR="00087818" w:rsidRPr="000C5235">
        <w:rPr>
          <w:rFonts w:eastAsia="Times New Roman"/>
        </w:rPr>
        <w:t>s</w:t>
      </w:r>
      <w:r w:rsidRPr="000C5235">
        <w:rPr>
          <w:rFonts w:eastAsia="Times New Roman"/>
        </w:rPr>
        <w:t xml:space="preserve">tatement </w:t>
      </w:r>
      <w:r w:rsidR="00087818" w:rsidRPr="000C5235">
        <w:rPr>
          <w:rFonts w:eastAsia="Times New Roman"/>
        </w:rPr>
        <w:t>s</w:t>
      </w:r>
      <w:r w:rsidRPr="000C5235">
        <w:rPr>
          <w:rFonts w:eastAsia="Times New Roman"/>
        </w:rPr>
        <w:t>ections</w:t>
      </w:r>
      <w:bookmarkEnd w:id="392"/>
    </w:p>
    <w:p w14:paraId="102E74B7" w14:textId="77777777" w:rsidR="00A32A8F" w:rsidRPr="000C5235" w:rsidRDefault="00781BE3" w:rsidP="000A7DEC">
      <w:r w:rsidRPr="000C5235">
        <w:t xml:space="preserve">In addition to the </w:t>
      </w:r>
      <w:r w:rsidR="00A32A8F" w:rsidRPr="000C5235">
        <w:t xml:space="preserve">reports </w:t>
      </w:r>
      <w:r w:rsidRPr="000C5235">
        <w:t xml:space="preserve">listed </w:t>
      </w:r>
      <w:r w:rsidR="00FD2427" w:rsidRPr="000C5235">
        <w:t>under</w:t>
      </w:r>
      <w:r w:rsidRPr="000C5235">
        <w:t xml:space="preserve"> the </w:t>
      </w:r>
      <w:r w:rsidR="004D0115" w:rsidRPr="000C5235">
        <w:t>subsection</w:t>
      </w:r>
      <w:r w:rsidRPr="000C5235">
        <w:t>s below</w:t>
      </w:r>
      <w:r w:rsidR="00A32A8F" w:rsidRPr="000C5235">
        <w:t xml:space="preserve">, the </w:t>
      </w:r>
      <w:r w:rsidRPr="000C5235">
        <w:t xml:space="preserve">following </w:t>
      </w:r>
      <w:r w:rsidR="00A32A8F" w:rsidRPr="000C5235">
        <w:t>report can be used to help quality assure all appropriation types:</w:t>
      </w:r>
    </w:p>
    <w:p w14:paraId="6140527E" w14:textId="77777777" w:rsidR="00A32A8F" w:rsidRPr="000C5235" w:rsidRDefault="00A32A8F" w:rsidP="00493ED2">
      <w:pPr>
        <w:pStyle w:val="Reports1"/>
      </w:pPr>
      <w:r w:rsidRPr="000C5235">
        <w:rPr>
          <w:rStyle w:val="BodyTextChar"/>
        </w:rPr>
        <w:t xml:space="preserve">Reports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Estimates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 Annual Estimates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AE.OR.17 Agency Resourcing QA Report. </w:t>
      </w:r>
    </w:p>
    <w:p w14:paraId="7BA98695" w14:textId="77777777" w:rsidR="00B54712" w:rsidRPr="000C5235" w:rsidRDefault="00B54712" w:rsidP="000A7DEC">
      <w:pPr>
        <w:pStyle w:val="Heading4nonumbers"/>
        <w:rPr>
          <w:rStyle w:val="BodyTextChar"/>
          <w:rFonts w:eastAsia="MS Gothic"/>
          <w:i/>
          <w:color w:val="0070C0"/>
        </w:rPr>
      </w:pPr>
      <w:r w:rsidRPr="000C5235">
        <w:rPr>
          <w:rStyle w:val="BodyTextChar"/>
          <w:rFonts w:eastAsia="MS Gothic"/>
        </w:rPr>
        <w:t>Prior</w:t>
      </w:r>
      <w:r w:rsidR="00AF7AB1" w:rsidRPr="000C5235">
        <w:rPr>
          <w:rStyle w:val="BodyTextChar"/>
          <w:rFonts w:eastAsia="MS Gothic"/>
        </w:rPr>
        <w:t>-</w:t>
      </w:r>
      <w:r w:rsidR="00087818" w:rsidRPr="000C5235">
        <w:rPr>
          <w:rStyle w:val="BodyTextChar"/>
          <w:rFonts w:eastAsia="MS Gothic"/>
        </w:rPr>
        <w:t>y</w:t>
      </w:r>
      <w:r w:rsidRPr="000C5235">
        <w:rPr>
          <w:rStyle w:val="BodyTextChar"/>
          <w:rFonts w:eastAsia="MS Gothic"/>
        </w:rPr>
        <w:t xml:space="preserve">ear </w:t>
      </w:r>
      <w:r w:rsidR="00087818" w:rsidRPr="000C5235">
        <w:rPr>
          <w:rStyle w:val="BodyTextChar"/>
          <w:rFonts w:eastAsia="MS Gothic"/>
        </w:rPr>
        <w:t>a</w:t>
      </w:r>
      <w:r w:rsidRPr="000C5235">
        <w:rPr>
          <w:rStyle w:val="BodyTextChar"/>
          <w:rFonts w:eastAsia="MS Gothic"/>
        </w:rPr>
        <w:t xml:space="preserve">nnual </w:t>
      </w:r>
      <w:r w:rsidR="00087818" w:rsidRPr="000C5235">
        <w:rPr>
          <w:rStyle w:val="BodyTextChar"/>
          <w:rFonts w:eastAsia="MS Gothic"/>
        </w:rPr>
        <w:t>a</w:t>
      </w:r>
      <w:r w:rsidRPr="000C5235">
        <w:rPr>
          <w:rStyle w:val="BodyTextChar"/>
          <w:rFonts w:eastAsia="MS Gothic"/>
        </w:rPr>
        <w:t xml:space="preserve">ppropriation </w:t>
      </w:r>
      <w:r w:rsidR="00087818" w:rsidRPr="000C5235">
        <w:rPr>
          <w:rStyle w:val="BodyTextChar"/>
          <w:rFonts w:eastAsia="MS Gothic"/>
        </w:rPr>
        <w:t>b</w:t>
      </w:r>
      <w:r w:rsidRPr="000C5235">
        <w:rPr>
          <w:rStyle w:val="BodyTextChar"/>
          <w:rFonts w:eastAsia="MS Gothic"/>
        </w:rPr>
        <w:t>alances</w:t>
      </w:r>
    </w:p>
    <w:p w14:paraId="319D0807" w14:textId="77777777" w:rsidR="00B54712" w:rsidRPr="000C5235" w:rsidRDefault="00B54712" w:rsidP="000A7DEC">
      <w:r w:rsidRPr="000C5235">
        <w:t>The “prior year appropriations available” rows should reflect unspent/undrawn appropriations available at the start of the financial year (</w:t>
      </w:r>
      <w:r w:rsidR="00E10C89" w:rsidRPr="000C5235">
        <w:t>ie</w:t>
      </w:r>
      <w:r w:rsidRPr="000C5235">
        <w:t xml:space="preserve"> the closing balance of the previous year). This balance should also reflect opening special account balances for that period</w:t>
      </w:r>
      <w:r w:rsidR="00E10C89" w:rsidRPr="000C5235">
        <w:t xml:space="preserve"> (ie</w:t>
      </w:r>
      <w:r w:rsidRPr="000C5235">
        <w:t xml:space="preserve"> at 1 July</w:t>
      </w:r>
      <w:r w:rsidR="00E10C89" w:rsidRPr="000C5235">
        <w:t>)</w:t>
      </w:r>
      <w:r w:rsidRPr="000C5235">
        <w:t>.</w:t>
      </w:r>
    </w:p>
    <w:p w14:paraId="7049BECB" w14:textId="77777777" w:rsidR="00B54712" w:rsidRPr="000C5235" w:rsidRDefault="00B54712">
      <w:pPr>
        <w:pStyle w:val="Bullet1"/>
        <w:rPr>
          <w:rStyle w:val="BodyTextChar"/>
        </w:rPr>
      </w:pPr>
      <w:r w:rsidRPr="000C5235">
        <w:rPr>
          <w:rStyle w:val="BodyTextChar"/>
        </w:rPr>
        <w:t>For the “</w:t>
      </w:r>
      <w:r w:rsidR="00CA28EA" w:rsidRPr="000C5235">
        <w:rPr>
          <w:rStyle w:val="BodyTextChar"/>
          <w:u w:val="single"/>
        </w:rPr>
        <w:t>2019-20</w:t>
      </w:r>
      <w:r w:rsidRPr="000C5235">
        <w:rPr>
          <w:rStyle w:val="BodyTextChar"/>
          <w:u w:val="single"/>
        </w:rPr>
        <w:t xml:space="preserve"> estimated actual</w:t>
      </w:r>
      <w:r w:rsidRPr="000C5235">
        <w:rPr>
          <w:rStyle w:val="BodyTextChar"/>
        </w:rPr>
        <w:t xml:space="preserve">” column, this will be the closing unspent appropriations balance from the entity’s </w:t>
      </w:r>
      <w:r w:rsidR="00CA28EA" w:rsidRPr="000C5235">
        <w:rPr>
          <w:rStyle w:val="BodyTextChar"/>
        </w:rPr>
        <w:t>2018-19</w:t>
      </w:r>
      <w:r w:rsidRPr="000C5235">
        <w:rPr>
          <w:rStyle w:val="BodyTextChar"/>
        </w:rPr>
        <w:t xml:space="preserve"> annual report, adjusted for any additional s51 withholdings and/or administrative quarantines currently in place</w:t>
      </w:r>
      <w:r w:rsidR="00D07CC2" w:rsidRPr="000C5235">
        <w:rPr>
          <w:rStyle w:val="BodyTextChar"/>
        </w:rPr>
        <w:t>.</w:t>
      </w:r>
    </w:p>
    <w:p w14:paraId="5829722C" w14:textId="1D516B27" w:rsidR="00B54712" w:rsidRPr="000C5235" w:rsidRDefault="00B54712" w:rsidP="00B51CD3">
      <w:pPr>
        <w:pStyle w:val="Bullet1"/>
        <w:rPr>
          <w:rStyle w:val="BodyTextChar"/>
        </w:rPr>
      </w:pPr>
      <w:r w:rsidRPr="000C5235">
        <w:rPr>
          <w:rStyle w:val="BodyTextChar"/>
        </w:rPr>
        <w:t>For the “</w:t>
      </w:r>
      <w:r w:rsidR="00CA28EA" w:rsidRPr="000C5235">
        <w:rPr>
          <w:rStyle w:val="BodyTextChar"/>
        </w:rPr>
        <w:t>2020-21</w:t>
      </w:r>
      <w:r w:rsidRPr="000C5235">
        <w:rPr>
          <w:rStyle w:val="BodyTextChar"/>
        </w:rPr>
        <w:t xml:space="preserve"> estimate” column, this will be the forecast closing unspent appropriations balance as at the end of the </w:t>
      </w:r>
      <w:r w:rsidR="00CA28EA" w:rsidRPr="000C5235">
        <w:rPr>
          <w:rStyle w:val="BodyTextChar"/>
        </w:rPr>
        <w:t>2019-20</w:t>
      </w:r>
      <w:r w:rsidRPr="000C5235">
        <w:rPr>
          <w:rStyle w:val="BodyTextChar"/>
        </w:rPr>
        <w:t xml:space="preserve"> year, adjusted for any additional s51 withholdings and/or administrative quarantines currently in place. Amounts expected to be appropriated through Appropriation Bills (Nos. 5 &amp; 6) should be excluded from this figure (but referenced in the footnote), as these amounts would not have received Royal Assent at the time the PB Statements are tabled</w:t>
      </w:r>
      <w:r w:rsidR="00D07CC2" w:rsidRPr="000C5235">
        <w:rPr>
          <w:rStyle w:val="BodyTextChar"/>
        </w:rPr>
        <w:t>.</w:t>
      </w:r>
      <w:r w:rsidR="00566C02" w:rsidRPr="000C5235">
        <w:rPr>
          <w:rStyle w:val="BodyTextChar"/>
        </w:rPr>
        <w:t xml:space="preserve"> This latter sentence will not apply for 2019-20 Appropriation (Coronavirus Economic Response Package) Bills 1 &amp; 2 and the 2019-20 </w:t>
      </w:r>
      <w:r w:rsidR="00B51CD3" w:rsidRPr="000C5235">
        <w:rPr>
          <w:rStyle w:val="BodyTextChar"/>
        </w:rPr>
        <w:t xml:space="preserve">Appropriation Bills 5 &amp; 6 </w:t>
      </w:r>
      <w:r w:rsidR="00566C02" w:rsidRPr="000C5235">
        <w:rPr>
          <w:rStyle w:val="BodyTextChar"/>
        </w:rPr>
        <w:t>as they were passed by 30 June 20</w:t>
      </w:r>
      <w:r w:rsidR="00236189" w:rsidRPr="000C5235">
        <w:rPr>
          <w:rStyle w:val="BodyTextChar"/>
        </w:rPr>
        <w:t>20</w:t>
      </w:r>
    </w:p>
    <w:p w14:paraId="490DE8B6" w14:textId="77777777" w:rsidR="00B54712" w:rsidRPr="000C5235" w:rsidRDefault="00B54712">
      <w:pPr>
        <w:pStyle w:val="Bullet1"/>
        <w:rPr>
          <w:rStyle w:val="BodyTextChar"/>
        </w:rPr>
      </w:pPr>
      <w:r w:rsidRPr="000C5235">
        <w:rPr>
          <w:rStyle w:val="BodyTextChar"/>
        </w:rPr>
        <w:t>Entities can also check unspent, undrawn balances by running the Appropriation Balance Report from CBMS for the relevant financial year and referring to the “Available – Hard Limit” lines. The “Available – Hard Limit” lines show how much of the amount which is still available to the entity but has yet to be drawn down</w:t>
      </w:r>
      <w:r w:rsidR="00D07CC2" w:rsidRPr="000C5235">
        <w:rPr>
          <w:rStyle w:val="BodyTextChar"/>
        </w:rPr>
        <w:t>.</w:t>
      </w:r>
    </w:p>
    <w:p w14:paraId="35A56915" w14:textId="77777777" w:rsidR="00B54712" w:rsidRPr="000C5235" w:rsidRDefault="00B54712">
      <w:pPr>
        <w:pStyle w:val="Bullet1"/>
        <w:rPr>
          <w:rStyle w:val="BodyTextChar"/>
        </w:rPr>
      </w:pPr>
      <w:r w:rsidRPr="000C5235">
        <w:rPr>
          <w:rStyle w:val="BodyTextChar"/>
        </w:rPr>
        <w:t>Total available appropriation balance can be calculated by adding the Hard Limit lines for the relevant Program or Outcome for all financial years.</w:t>
      </w:r>
    </w:p>
    <w:p w14:paraId="25BD11BD" w14:textId="77777777" w:rsidR="00B54712" w:rsidRPr="000C5235" w:rsidRDefault="00B54712" w:rsidP="000A7DEC">
      <w:pPr>
        <w:pStyle w:val="Reports3"/>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Cash Management </w:t>
      </w:r>
      <w:r w:rsidR="00DA502E" w:rsidRPr="000C5235">
        <w:rPr>
          <w:rStyle w:val="BodyTextChar"/>
        </w:rPr>
        <w:sym w:font="Wingdings" w:char="F0E0"/>
      </w:r>
      <w:r w:rsidRPr="000C5235">
        <w:rPr>
          <w:rStyle w:val="BodyTextChar"/>
        </w:rPr>
        <w:t xml:space="preserve"> Cash Operational Reports </w:t>
      </w:r>
      <w:r w:rsidR="00DA502E" w:rsidRPr="000C5235">
        <w:rPr>
          <w:rStyle w:val="BodyTextChar"/>
        </w:rPr>
        <w:sym w:font="Wingdings" w:char="F0E0"/>
      </w:r>
      <w:r w:rsidRPr="000C5235">
        <w:rPr>
          <w:rStyle w:val="BodyTextChar"/>
        </w:rPr>
        <w:t xml:space="preserve"> CM.OR.010 Appropriation Balances Report.</w:t>
      </w:r>
    </w:p>
    <w:p w14:paraId="615E4198" w14:textId="77777777" w:rsidR="00CB0EE0" w:rsidRPr="000C5235" w:rsidRDefault="003E26AD" w:rsidP="000A7DEC">
      <w:r w:rsidRPr="000C5235">
        <w:t>T</w:t>
      </w:r>
      <w:r w:rsidR="00CB0EE0" w:rsidRPr="000C5235">
        <w:t xml:space="preserve">he </w:t>
      </w:r>
      <w:r w:rsidR="00CB0EE0" w:rsidRPr="000C5235">
        <w:rPr>
          <w:u w:val="single"/>
        </w:rPr>
        <w:t>annual Appropriation Acts include a</w:t>
      </w:r>
      <w:r w:rsidR="007B5237" w:rsidRPr="000C5235">
        <w:rPr>
          <w:u w:val="single"/>
        </w:rPr>
        <w:t xml:space="preserve"> </w:t>
      </w:r>
      <w:r w:rsidR="007B5237" w:rsidRPr="000C5235">
        <w:rPr>
          <w:b/>
          <w:u w:val="single"/>
        </w:rPr>
        <w:t xml:space="preserve">sun setting </w:t>
      </w:r>
      <w:r w:rsidR="00CB0EE0" w:rsidRPr="000C5235">
        <w:rPr>
          <w:b/>
          <w:u w:val="single"/>
        </w:rPr>
        <w:t>clause</w:t>
      </w:r>
      <w:r w:rsidR="00CB0EE0" w:rsidRPr="000C5235">
        <w:t>, where the Acts have a life span of up to three years</w:t>
      </w:r>
      <w:r w:rsidR="007B5237" w:rsidRPr="000C5235">
        <w:t xml:space="preserve"> until they are repealed</w:t>
      </w:r>
      <w:r w:rsidR="00CB0EE0" w:rsidRPr="000C5235">
        <w:t xml:space="preserve">. For example, all </w:t>
      </w:r>
      <w:r w:rsidR="00E46158" w:rsidRPr="000C5235">
        <w:t>2019</w:t>
      </w:r>
      <w:r w:rsidR="00EF6ACB" w:rsidRPr="000C5235">
        <w:noBreakHyphen/>
      </w:r>
      <w:r w:rsidR="00E46158" w:rsidRPr="000C5235">
        <w:t>20</w:t>
      </w:r>
      <w:r w:rsidR="00CB0EE0" w:rsidRPr="000C5235">
        <w:t xml:space="preserve"> annual Appropriation Acts extinguished on 1 July 20</w:t>
      </w:r>
      <w:r w:rsidR="00EB4B69" w:rsidRPr="000C5235">
        <w:t>2</w:t>
      </w:r>
      <w:r w:rsidR="00E46158" w:rsidRPr="000C5235">
        <w:t>2</w:t>
      </w:r>
      <w:r w:rsidR="00CB0EE0" w:rsidRPr="000C5235">
        <w:t xml:space="preserve">, and Appropriation Acts for </w:t>
      </w:r>
      <w:r w:rsidR="00E46158" w:rsidRPr="000C5235">
        <w:t>2020</w:t>
      </w:r>
      <w:r w:rsidR="00EF6ACB" w:rsidRPr="000C5235">
        <w:noBreakHyphen/>
      </w:r>
      <w:r w:rsidR="00E46158" w:rsidRPr="000C5235">
        <w:t>21</w:t>
      </w:r>
      <w:r w:rsidR="00CB0EE0" w:rsidRPr="000C5235">
        <w:t xml:space="preserve"> will self-extinguish after three years on 1 July 20</w:t>
      </w:r>
      <w:r w:rsidR="00EB4B69" w:rsidRPr="000C5235">
        <w:t>2</w:t>
      </w:r>
      <w:r w:rsidR="00E46158" w:rsidRPr="000C5235">
        <w:t>3</w:t>
      </w:r>
      <w:r w:rsidR="00CB0EE0" w:rsidRPr="000C5235">
        <w:t>.</w:t>
      </w:r>
    </w:p>
    <w:p w14:paraId="78075E6C" w14:textId="77777777" w:rsidR="00B54712" w:rsidRPr="000C5235" w:rsidRDefault="00B54712" w:rsidP="000A7DEC">
      <w:r w:rsidRPr="000C5235">
        <w:t xml:space="preserve">Unspent annual appropriations relating to the </w:t>
      </w:r>
      <w:r w:rsidR="00E46158" w:rsidRPr="000C5235">
        <w:t>2018-19</w:t>
      </w:r>
      <w:r w:rsidR="00EB2E04" w:rsidRPr="000C5235">
        <w:t xml:space="preserve"> </w:t>
      </w:r>
      <w:r w:rsidRPr="000C5235">
        <w:t xml:space="preserve">and </w:t>
      </w:r>
      <w:r w:rsidR="00E46158" w:rsidRPr="000C5235">
        <w:t>2019-20</w:t>
      </w:r>
      <w:r w:rsidRPr="000C5235">
        <w:t xml:space="preserve"> financial years still exist. However, amounts withheld under </w:t>
      </w:r>
      <w:r w:rsidR="003E26AD" w:rsidRPr="000C5235">
        <w:rPr>
          <w:u w:val="single"/>
        </w:rPr>
        <w:t>s</w:t>
      </w:r>
      <w:r w:rsidRPr="000C5235">
        <w:rPr>
          <w:u w:val="single"/>
        </w:rPr>
        <w:t>51 of the PGPA Act, or administratively quarantined, should be excluded</w:t>
      </w:r>
      <w:r w:rsidRPr="000C5235">
        <w:t xml:space="preserve"> from the calculation of prior year balances for the purposes of the Entity resource statement, as they are not available to be spent by the entity.</w:t>
      </w:r>
    </w:p>
    <w:p w14:paraId="4DBE5F40" w14:textId="77777777" w:rsidR="00B54712" w:rsidRPr="000C5235" w:rsidRDefault="00B54712">
      <w:pPr>
        <w:pStyle w:val="Bullet1"/>
        <w:rPr>
          <w:rStyle w:val="BodyTextChar"/>
          <w:rFonts w:asciiTheme="minorHAnsi" w:hAnsiTheme="minorHAnsi"/>
        </w:rPr>
      </w:pPr>
      <w:r w:rsidRPr="000C5235">
        <w:rPr>
          <w:rStyle w:val="BodyTextChar"/>
        </w:rPr>
        <w:t xml:space="preserve">Under the PGPA Act, the Minister for Finance is able to withhold appropriations amounts under </w:t>
      </w:r>
      <w:r w:rsidR="003E26AD" w:rsidRPr="000C5235">
        <w:rPr>
          <w:rStyle w:val="BodyTextChar"/>
        </w:rPr>
        <w:t>s</w:t>
      </w:r>
      <w:r w:rsidRPr="000C5235">
        <w:rPr>
          <w:rStyle w:val="BodyTextChar"/>
        </w:rPr>
        <w:t>51.</w:t>
      </w:r>
    </w:p>
    <w:p w14:paraId="1B590A92" w14:textId="77777777" w:rsidR="00B54712" w:rsidRPr="000C5235" w:rsidRDefault="00B54712">
      <w:pPr>
        <w:pStyle w:val="Bullet2"/>
        <w:rPr>
          <w:rStyle w:val="BodyTextChar"/>
        </w:rPr>
      </w:pPr>
      <w:r w:rsidRPr="000C5235">
        <w:rPr>
          <w:rStyle w:val="BodyTextChar"/>
        </w:rPr>
        <w:t>These amounts should not be recognised as appropriations in Table 1.1.</w:t>
      </w:r>
    </w:p>
    <w:p w14:paraId="41F7413B" w14:textId="77777777" w:rsidR="007F1DF5" w:rsidRPr="000C5235" w:rsidRDefault="00B54712" w:rsidP="000A7DEC">
      <w:pPr>
        <w:rPr>
          <w:rStyle w:val="BodyTextChar"/>
        </w:rPr>
      </w:pPr>
      <w:r w:rsidRPr="000C5235">
        <w:rPr>
          <w:rStyle w:val="BodyTextChar"/>
        </w:rPr>
        <w:t>For information on how to reflect s51 withholdings in the financial statements, please see Part I of RMG 125 Commonwealth Entities Financial Statements Guide, available on the Finance website</w:t>
      </w:r>
      <w:r w:rsidR="007F1DF5" w:rsidRPr="000C5235">
        <w:rPr>
          <w:rStyle w:val="BodyTextChar"/>
        </w:rPr>
        <w:t>:</w:t>
      </w:r>
    </w:p>
    <w:p w14:paraId="458E4522" w14:textId="5D7EDD4B" w:rsidR="00B54712" w:rsidRPr="000C5235" w:rsidRDefault="00854156" w:rsidP="000A7DEC">
      <w:pPr>
        <w:rPr>
          <w:rStyle w:val="BodyTextChar"/>
        </w:rPr>
      </w:pPr>
      <w:hyperlink r:id="rId55" w:history="1">
        <w:r w:rsidR="005F517A" w:rsidRPr="000C5235">
          <w:rPr>
            <w:rStyle w:val="Hyperlink"/>
            <w:rFonts w:asciiTheme="minorHAnsi" w:eastAsia="Cambria" w:hAnsiTheme="minorHAnsi" w:cs="Times New Roman"/>
          </w:rPr>
          <w:t>www.finance.gov.au/publications/resource-management-guides-rmgs/commonwealth-entities-financial-statements-guide-rmg-125</w:t>
        </w:r>
      </w:hyperlink>
      <w:r w:rsidR="00663E18" w:rsidRPr="000C5235">
        <w:rPr>
          <w:rStyle w:val="BodyTextChar"/>
        </w:rPr>
        <w:t xml:space="preserve"> </w:t>
      </w:r>
    </w:p>
    <w:p w14:paraId="7DFEF4E0" w14:textId="77777777" w:rsidR="00B54712" w:rsidRPr="000C5235" w:rsidRDefault="00B54712" w:rsidP="000A7DEC">
      <w:pPr>
        <w:pStyle w:val="Heading4nonumbers"/>
        <w:rPr>
          <w:rStyle w:val="BodyTextChar"/>
          <w:rFonts w:eastAsia="MS Gothic"/>
        </w:rPr>
      </w:pPr>
      <w:r w:rsidRPr="000C5235">
        <w:rPr>
          <w:rStyle w:val="BodyTextChar"/>
          <w:rFonts w:eastAsia="MS Gothic"/>
        </w:rPr>
        <w:t xml:space="preserve">Annual </w:t>
      </w:r>
      <w:r w:rsidR="00087818" w:rsidRPr="000C5235">
        <w:rPr>
          <w:rStyle w:val="BodyTextChar"/>
          <w:rFonts w:eastAsia="MS Gothic"/>
        </w:rPr>
        <w:t>a</w:t>
      </w:r>
      <w:r w:rsidRPr="000C5235">
        <w:rPr>
          <w:rStyle w:val="BodyTextChar"/>
          <w:rFonts w:eastAsia="MS Gothic"/>
        </w:rPr>
        <w:t xml:space="preserve">ppropriations – </w:t>
      </w:r>
      <w:r w:rsidR="0079648C" w:rsidRPr="000C5235">
        <w:rPr>
          <w:rStyle w:val="BodyTextChar"/>
          <w:rFonts w:eastAsia="MS Gothic"/>
        </w:rPr>
        <w:t>o</w:t>
      </w:r>
      <w:r w:rsidRPr="000C5235">
        <w:rPr>
          <w:rStyle w:val="BodyTextChar"/>
          <w:rFonts w:eastAsia="MS Gothic"/>
        </w:rPr>
        <w:t xml:space="preserve">rdinary </w:t>
      </w:r>
      <w:r w:rsidR="0079648C" w:rsidRPr="000C5235">
        <w:rPr>
          <w:rStyle w:val="BodyTextChar"/>
          <w:rFonts w:eastAsia="MS Gothic"/>
        </w:rPr>
        <w:t>a</w:t>
      </w:r>
      <w:r w:rsidRPr="000C5235">
        <w:rPr>
          <w:rStyle w:val="BodyTextChar"/>
          <w:rFonts w:eastAsia="MS Gothic"/>
        </w:rPr>
        <w:t xml:space="preserve">nnual </w:t>
      </w:r>
      <w:r w:rsidR="0079648C" w:rsidRPr="000C5235">
        <w:rPr>
          <w:rStyle w:val="BodyTextChar"/>
          <w:rFonts w:eastAsia="MS Gothic"/>
        </w:rPr>
        <w:t>s</w:t>
      </w:r>
      <w:r w:rsidRPr="000C5235">
        <w:rPr>
          <w:rStyle w:val="BodyTextChar"/>
          <w:rFonts w:eastAsia="MS Gothic"/>
        </w:rPr>
        <w:t>ervices</w:t>
      </w:r>
    </w:p>
    <w:p w14:paraId="3905392D" w14:textId="77777777" w:rsidR="00B54712" w:rsidRPr="000C5235" w:rsidRDefault="00B54712" w:rsidP="000A7DEC">
      <w:pPr>
        <w:rPr>
          <w:rStyle w:val="BodyTextChar"/>
          <w:iCs/>
          <w:color w:val="005A77"/>
          <w:spacing w:val="-6"/>
          <w:sz w:val="32"/>
          <w:szCs w:val="24"/>
        </w:rPr>
      </w:pPr>
      <w:r w:rsidRPr="000C5235">
        <w:rPr>
          <w:rStyle w:val="BodyTextChar"/>
        </w:rPr>
        <w:t>The “</w:t>
      </w:r>
      <w:r w:rsidRPr="000C5235">
        <w:rPr>
          <w:rStyle w:val="BodyTextChar"/>
          <w:u w:val="single"/>
        </w:rPr>
        <w:t>Annual appropriations – ordinary annual services</w:t>
      </w:r>
      <w:r w:rsidRPr="000C5235">
        <w:rPr>
          <w:rStyle w:val="BodyTextChar"/>
        </w:rPr>
        <w:t>” rows should reflect the amount appropriated to t</w:t>
      </w:r>
      <w:r w:rsidR="00781BE3" w:rsidRPr="000C5235">
        <w:rPr>
          <w:rStyle w:val="BodyTextChar"/>
        </w:rPr>
        <w:t>he entity in the relevant year.</w:t>
      </w:r>
      <w:r w:rsidR="00CC5564" w:rsidRPr="000C5235">
        <w:rPr>
          <w:rStyle w:val="BodyTextChar"/>
        </w:rPr>
        <w:t xml:space="preserve">  </w:t>
      </w:r>
      <w:r w:rsidRPr="000C5235">
        <w:rPr>
          <w:rStyle w:val="BodyTextChar"/>
        </w:rPr>
        <w:t>The amount is made up of:</w:t>
      </w:r>
    </w:p>
    <w:p w14:paraId="186F3A4F" w14:textId="77777777" w:rsidR="00B54712" w:rsidRPr="000C5235" w:rsidRDefault="00B54712" w:rsidP="00FE3983">
      <w:pPr>
        <w:pStyle w:val="Bullet2"/>
        <w:rPr>
          <w:rStyle w:val="BodyTextChar"/>
          <w:color w:val="FF0000"/>
        </w:rPr>
      </w:pPr>
      <w:r w:rsidRPr="000C5235">
        <w:rPr>
          <w:rStyle w:val="BodyTextChar"/>
          <w:color w:val="FF0000"/>
        </w:rPr>
        <w:t>Amounts appropriated through Appropriation Acts (No. 1)</w:t>
      </w:r>
    </w:p>
    <w:p w14:paraId="7E1C9CB2" w14:textId="77777777" w:rsidR="00B54712" w:rsidRPr="000C5235" w:rsidRDefault="00B54712" w:rsidP="00CF269C">
      <w:pPr>
        <w:pStyle w:val="Bullet2"/>
        <w:rPr>
          <w:rStyle w:val="BodyTextChar"/>
          <w:color w:val="FF0000"/>
        </w:rPr>
      </w:pPr>
      <w:r w:rsidRPr="000C5235">
        <w:rPr>
          <w:rStyle w:val="BodyTextChar"/>
          <w:b/>
          <w:color w:val="FF0000"/>
        </w:rPr>
        <w:t>+</w:t>
      </w:r>
      <w:r w:rsidRPr="000C5235">
        <w:rPr>
          <w:rStyle w:val="BodyTextChar"/>
          <w:color w:val="FF0000"/>
        </w:rPr>
        <w:t xml:space="preserve"> Advances to the Minister for Finance (AFM)</w:t>
      </w:r>
    </w:p>
    <w:p w14:paraId="2AB45B1E" w14:textId="77777777" w:rsidR="00B54712" w:rsidRPr="000C5235" w:rsidRDefault="00B54712" w:rsidP="00CF269C">
      <w:pPr>
        <w:pStyle w:val="Bullet2"/>
        <w:rPr>
          <w:rStyle w:val="BodyTextChar"/>
          <w:color w:val="FF0000"/>
        </w:rPr>
      </w:pPr>
      <w:r w:rsidRPr="000C5235">
        <w:rPr>
          <w:rStyle w:val="BodyTextChar"/>
          <w:b/>
          <w:color w:val="FF0000"/>
        </w:rPr>
        <w:t>+/-</w:t>
      </w:r>
      <w:r w:rsidRPr="000C5235">
        <w:rPr>
          <w:rStyle w:val="BodyTextChar"/>
          <w:color w:val="FF0000"/>
        </w:rPr>
        <w:t xml:space="preserve"> </w:t>
      </w:r>
      <w:r w:rsidR="00C4658D" w:rsidRPr="000C5235">
        <w:rPr>
          <w:rStyle w:val="BodyTextChar"/>
          <w:color w:val="FF0000"/>
        </w:rPr>
        <w:t xml:space="preserve">s74 </w:t>
      </w:r>
      <w:r w:rsidRPr="000C5235">
        <w:rPr>
          <w:rStyle w:val="BodyTextChar"/>
          <w:color w:val="FF0000"/>
        </w:rPr>
        <w:t xml:space="preserve">External </w:t>
      </w:r>
      <w:r w:rsidR="00B652BC" w:rsidRPr="000C5235">
        <w:rPr>
          <w:rStyle w:val="BodyTextChar"/>
          <w:color w:val="FF0000"/>
        </w:rPr>
        <w:t>R</w:t>
      </w:r>
      <w:r w:rsidRPr="000C5235">
        <w:rPr>
          <w:rStyle w:val="BodyTextChar"/>
          <w:color w:val="FF0000"/>
        </w:rPr>
        <w:t>evenue as a result of Machinery of Government changes</w:t>
      </w:r>
    </w:p>
    <w:p w14:paraId="64184A83" w14:textId="77777777" w:rsidR="00B54712" w:rsidRPr="000C5235" w:rsidRDefault="00B54712" w:rsidP="00CF269C">
      <w:pPr>
        <w:pStyle w:val="Bullet2"/>
        <w:rPr>
          <w:rStyle w:val="BodyTextChar"/>
          <w:color w:val="FF0000"/>
        </w:rPr>
      </w:pPr>
      <w:r w:rsidRPr="000C5235">
        <w:rPr>
          <w:rStyle w:val="BodyTextChar"/>
          <w:b/>
          <w:color w:val="FF0000"/>
        </w:rPr>
        <w:t>-</w:t>
      </w:r>
      <w:r w:rsidRPr="000C5235">
        <w:rPr>
          <w:rStyle w:val="BodyTextChar"/>
          <w:color w:val="FF0000"/>
        </w:rPr>
        <w:t xml:space="preserve"> any withholdings under s51 of the PGPA Act (such as for foreign exchange movements, savings measures, movement of funds and reallocation) </w:t>
      </w:r>
    </w:p>
    <w:p w14:paraId="12EF81C6" w14:textId="77777777" w:rsidR="00B54712" w:rsidRPr="000C5235" w:rsidRDefault="00B54712" w:rsidP="00CF269C">
      <w:pPr>
        <w:pStyle w:val="Bullet2"/>
        <w:rPr>
          <w:rStyle w:val="BodyTextChar"/>
          <w:color w:val="FF0000"/>
        </w:rPr>
      </w:pPr>
      <w:r w:rsidRPr="000C5235">
        <w:rPr>
          <w:rStyle w:val="BodyTextChar"/>
          <w:b/>
          <w:color w:val="FF0000"/>
        </w:rPr>
        <w:t>-</w:t>
      </w:r>
      <w:r w:rsidRPr="000C5235">
        <w:rPr>
          <w:rStyle w:val="BodyTextChar"/>
          <w:color w:val="FF0000"/>
        </w:rPr>
        <w:t xml:space="preserve"> administrative quarantines made by Finance</w:t>
      </w:r>
    </w:p>
    <w:p w14:paraId="095237EA" w14:textId="77777777" w:rsidR="00B54712" w:rsidRPr="000C5235" w:rsidRDefault="00B54712" w:rsidP="000A7DEC">
      <w:r w:rsidRPr="000C5235">
        <w:t xml:space="preserve">For Departmental, annual appropriations are represented as a single amount, as Departmental Outcome splits are nominal only, and able to be utilised at the discretion of the </w:t>
      </w:r>
      <w:r w:rsidR="006A6D2C" w:rsidRPr="000C5235">
        <w:t>entity</w:t>
      </w:r>
      <w:r w:rsidRPr="000C5235">
        <w:t>.</w:t>
      </w:r>
    </w:p>
    <w:p w14:paraId="3237BB37" w14:textId="77777777" w:rsidR="00B54712" w:rsidRPr="000C5235" w:rsidRDefault="00B54712" w:rsidP="000A7DEC">
      <w:r w:rsidRPr="000C5235">
        <w:t xml:space="preserve">For administered, the Annual appropriations is split into </w:t>
      </w:r>
      <w:r w:rsidRPr="000C5235">
        <w:rPr>
          <w:u w:val="single"/>
        </w:rPr>
        <w:t>Outcome</w:t>
      </w:r>
      <w:r w:rsidRPr="000C5235">
        <w:t xml:space="preserve"> figures.</w:t>
      </w:r>
    </w:p>
    <w:p w14:paraId="1F15F118" w14:textId="77777777" w:rsidR="00B54712" w:rsidRPr="000C5235" w:rsidRDefault="00C4658D" w:rsidP="000A7DEC">
      <w:pPr>
        <w:pStyle w:val="Heading4nonumbers"/>
        <w:rPr>
          <w:rStyle w:val="BodyTextChar"/>
          <w:rFonts w:eastAsia="MS Gothic"/>
        </w:rPr>
      </w:pPr>
      <w:r w:rsidRPr="000C5235">
        <w:rPr>
          <w:rStyle w:val="BodyTextChar"/>
          <w:rFonts w:eastAsia="MS Gothic"/>
        </w:rPr>
        <w:t xml:space="preserve">s74 </w:t>
      </w:r>
      <w:r w:rsidR="002D0848" w:rsidRPr="000C5235">
        <w:rPr>
          <w:rStyle w:val="BodyTextChar"/>
          <w:rFonts w:eastAsia="MS Gothic"/>
        </w:rPr>
        <w:t xml:space="preserve">External </w:t>
      </w:r>
      <w:r w:rsidR="00087818" w:rsidRPr="000C5235">
        <w:rPr>
          <w:rStyle w:val="BodyTextChar"/>
          <w:rFonts w:eastAsia="MS Gothic"/>
        </w:rPr>
        <w:t>r</w:t>
      </w:r>
      <w:r w:rsidR="002D0848" w:rsidRPr="000C5235">
        <w:rPr>
          <w:rStyle w:val="BodyTextChar"/>
          <w:rFonts w:eastAsia="MS Gothic"/>
        </w:rPr>
        <w:t>evenue</w:t>
      </w:r>
    </w:p>
    <w:p w14:paraId="27CEDD78" w14:textId="77777777" w:rsidR="00B54712" w:rsidRPr="000C5235" w:rsidRDefault="00B54712" w:rsidP="000A7DEC">
      <w:r w:rsidRPr="000C5235">
        <w:t>The “</w:t>
      </w:r>
      <w:r w:rsidR="00C4658D" w:rsidRPr="000C5235">
        <w:rPr>
          <w:u w:val="single"/>
        </w:rPr>
        <w:t xml:space="preserve">s74 </w:t>
      </w:r>
      <w:r w:rsidR="00A061A4" w:rsidRPr="000C5235">
        <w:rPr>
          <w:u w:val="single"/>
        </w:rPr>
        <w:t xml:space="preserve">External </w:t>
      </w:r>
      <w:r w:rsidR="00B652BC" w:rsidRPr="000C5235">
        <w:rPr>
          <w:u w:val="single"/>
        </w:rPr>
        <w:t>R</w:t>
      </w:r>
      <w:r w:rsidR="00A061A4" w:rsidRPr="000C5235">
        <w:rPr>
          <w:u w:val="single"/>
        </w:rPr>
        <w:t>evenue</w:t>
      </w:r>
      <w:r w:rsidRPr="000C5235">
        <w:t>” row should reflect the entity’s forecast</w:t>
      </w:r>
      <w:r w:rsidR="00024B8C" w:rsidRPr="000C5235">
        <w:t>ed</w:t>
      </w:r>
      <w:r w:rsidRPr="000C5235">
        <w:t xml:space="preserve"> Receipts from Independent Sources. These figures should be sourced from the “Receipts” columns in the Entity Resourcing Table report from CBMS. </w:t>
      </w:r>
    </w:p>
    <w:p w14:paraId="4612FD77" w14:textId="77777777" w:rsidR="00B54712" w:rsidRPr="000C5235" w:rsidRDefault="00B54712">
      <w:pPr>
        <w:pStyle w:val="Reports2"/>
        <w:rPr>
          <w:rStyle w:val="BodyTextChar"/>
        </w:rPr>
      </w:pPr>
      <w:r w:rsidRPr="000C5235">
        <w:rPr>
          <w:rStyle w:val="BodyTextChar"/>
        </w:rPr>
        <w:t xml:space="preserve">Reports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CBMS Reporting </w:t>
      </w:r>
      <w:r w:rsidR="00DA502E" w:rsidRPr="000C5235">
        <w:rPr>
          <w:rStyle w:val="BodyTextChar"/>
        </w:rPr>
        <w:sym w:font="Wingdings" w:char="F0E0"/>
      </w:r>
      <w:r w:rsidRPr="000C5235">
        <w:rPr>
          <w:rStyle w:val="BodyTextChar"/>
        </w:rPr>
        <w:t xml:space="preserve"> Statutory Reports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 Budget Paper 4 </w:t>
      </w:r>
      <w:r w:rsidR="00DA502E" w:rsidRPr="000C5235">
        <w:rPr>
          <w:rStyle w:val="BodyTextChar"/>
        </w:rPr>
        <w:sym w:font="Wingdings" w:char="F0E0"/>
      </w:r>
      <w:r w:rsidRPr="000C5235">
        <w:rPr>
          <w:rStyle w:val="BodyTextChar"/>
        </w:rPr>
        <w:t xml:space="preserve"> B4.T1 Agency </w:t>
      </w:r>
      <w:r w:rsidR="00FC042C" w:rsidRPr="000C5235">
        <w:rPr>
          <w:rStyle w:val="BodyTextChar"/>
        </w:rPr>
        <w:t>r</w:t>
      </w:r>
      <w:r w:rsidRPr="000C5235">
        <w:rPr>
          <w:rStyle w:val="BodyTextChar"/>
        </w:rPr>
        <w:t xml:space="preserve">esourcing </w:t>
      </w:r>
      <w:r w:rsidR="00FC042C" w:rsidRPr="000C5235">
        <w:rPr>
          <w:rStyle w:val="BodyTextChar"/>
        </w:rPr>
        <w:t>t</w:t>
      </w:r>
      <w:r w:rsidRPr="000C5235">
        <w:rPr>
          <w:rStyle w:val="BodyTextChar"/>
        </w:rPr>
        <w:t>able</w:t>
      </w:r>
    </w:p>
    <w:p w14:paraId="619292E6" w14:textId="77777777" w:rsidR="00403A22" w:rsidRPr="000C5235" w:rsidRDefault="00403A22">
      <w:pPr>
        <w:pStyle w:val="Reports2"/>
        <w:rPr>
          <w:rStyle w:val="BodyTextChar"/>
        </w:rPr>
      </w:pPr>
      <w:r w:rsidRPr="000C5235">
        <w:rPr>
          <w:rStyle w:val="BodyTextChar"/>
        </w:rPr>
        <w:t xml:space="preserve">Reports </w:t>
      </w:r>
      <w:r w:rsidRPr="000C5235">
        <w:rPr>
          <w:rStyle w:val="BodyTextChar"/>
        </w:rPr>
        <w:sym w:font="Wingdings" w:char="F0E0"/>
      </w:r>
      <w:r w:rsidRPr="000C5235">
        <w:rPr>
          <w:rStyle w:val="BodyTextChar"/>
        </w:rPr>
        <w:t xml:space="preserve"> CBMS Reporting </w:t>
      </w:r>
      <w:r w:rsidRPr="000C5235">
        <w:rPr>
          <w:rStyle w:val="BodyTextChar"/>
        </w:rPr>
        <w:sym w:font="Wingdings" w:char="F0E0"/>
      </w:r>
      <w:r w:rsidRPr="000C5235">
        <w:rPr>
          <w:rStyle w:val="BodyTextChar"/>
        </w:rPr>
        <w:t xml:space="preserve"> Operational Reports </w:t>
      </w:r>
      <w:r w:rsidRPr="000C5235">
        <w:rPr>
          <w:rStyle w:val="BodyTextChar"/>
        </w:rPr>
        <w:sym w:font="Wingdings" w:char="F0E0"/>
      </w:r>
      <w:r w:rsidRPr="000C5235">
        <w:rPr>
          <w:rStyle w:val="BodyTextChar"/>
        </w:rPr>
        <w:t xml:space="preserve"> Estimates </w:t>
      </w:r>
      <w:r w:rsidRPr="000C5235">
        <w:rPr>
          <w:rStyle w:val="BodyTextChar"/>
        </w:rPr>
        <w:sym w:font="Wingdings" w:char="F0E0"/>
      </w:r>
      <w:r w:rsidRPr="000C5235">
        <w:rPr>
          <w:rStyle w:val="BodyTextChar"/>
        </w:rPr>
        <w:t xml:space="preserve"> Annual Estimates </w:t>
      </w:r>
      <w:r w:rsidRPr="000C5235">
        <w:rPr>
          <w:rStyle w:val="BodyTextChar"/>
        </w:rPr>
        <w:sym w:font="Wingdings" w:char="F0E0"/>
      </w:r>
      <w:r w:rsidRPr="000C5235">
        <w:rPr>
          <w:rStyle w:val="BodyTextChar"/>
        </w:rPr>
        <w:t xml:space="preserve"> AE.OR.16 Annual Estimates Appropriation by Outcome/Program Report</w:t>
      </w:r>
    </w:p>
    <w:p w14:paraId="4F1A6522" w14:textId="77777777" w:rsidR="00443964" w:rsidRPr="000C5235" w:rsidRDefault="002D0848" w:rsidP="000A7DEC">
      <w:pPr>
        <w:pStyle w:val="NormalTextRed"/>
        <w:rPr>
          <w:rStyle w:val="BodyTextChar"/>
        </w:rPr>
      </w:pPr>
      <w:r w:rsidRPr="000C5235">
        <w:rPr>
          <w:u w:val="single"/>
        </w:rPr>
        <w:t>Note:</w:t>
      </w:r>
      <w:r w:rsidRPr="000C5235">
        <w:t xml:space="preserve"> Please refer to the </w:t>
      </w:r>
      <w:r w:rsidR="00554601" w:rsidRPr="000C5235">
        <w:t xml:space="preserve">latest EM </w:t>
      </w:r>
      <w:r w:rsidRPr="000C5235">
        <w:t xml:space="preserve">concerning </w:t>
      </w:r>
      <w:r w:rsidR="00554601" w:rsidRPr="000C5235">
        <w:t xml:space="preserve">2020-21 </w:t>
      </w:r>
      <w:r w:rsidR="006A6D2C" w:rsidRPr="000C5235">
        <w:t xml:space="preserve">Budget Paper No.4 </w:t>
      </w:r>
      <w:r w:rsidR="00554601" w:rsidRPr="000C5235">
        <w:t xml:space="preserve">which </w:t>
      </w:r>
      <w:r w:rsidR="006A6D2C" w:rsidRPr="000C5235">
        <w:t xml:space="preserve">will </w:t>
      </w:r>
      <w:r w:rsidR="00554601" w:rsidRPr="000C5235">
        <w:t xml:space="preserve">include advice relating to </w:t>
      </w:r>
      <w:r w:rsidR="00B652BC" w:rsidRPr="000C5235">
        <w:t>E</w:t>
      </w:r>
      <w:r w:rsidRPr="000C5235">
        <w:t xml:space="preserve">xternal </w:t>
      </w:r>
      <w:r w:rsidR="00B652BC" w:rsidRPr="000C5235">
        <w:t>R</w:t>
      </w:r>
      <w:r w:rsidRPr="000C5235">
        <w:t>evenue.</w:t>
      </w:r>
    </w:p>
    <w:p w14:paraId="42A6B28D" w14:textId="77777777" w:rsidR="00B54712" w:rsidRPr="000C5235" w:rsidRDefault="00B54712" w:rsidP="006F1726">
      <w:pPr>
        <w:pStyle w:val="Heading4nonumbers"/>
        <w:rPr>
          <w:rStyle w:val="BodyTextChar"/>
          <w:rFonts w:eastAsia="MS Gothic" w:cstheme="majorBidi"/>
        </w:rPr>
      </w:pPr>
      <w:r w:rsidRPr="000C5235">
        <w:rPr>
          <w:rStyle w:val="BodyTextChar"/>
          <w:rFonts w:eastAsia="MS Gothic" w:cstheme="majorBidi"/>
        </w:rPr>
        <w:t xml:space="preserve">Departmental / </w:t>
      </w:r>
      <w:r w:rsidR="00087818" w:rsidRPr="000C5235">
        <w:rPr>
          <w:rStyle w:val="BodyTextChar"/>
          <w:rFonts w:eastAsia="MS Gothic" w:cstheme="majorBidi"/>
        </w:rPr>
        <w:t>a</w:t>
      </w:r>
      <w:r w:rsidRPr="000C5235">
        <w:rPr>
          <w:rStyle w:val="BodyTextChar"/>
          <w:rFonts w:eastAsia="MS Gothic" w:cstheme="majorBidi"/>
        </w:rPr>
        <w:t xml:space="preserve">dministered </w:t>
      </w:r>
      <w:r w:rsidR="00087818" w:rsidRPr="000C5235">
        <w:rPr>
          <w:rStyle w:val="BodyTextChar"/>
          <w:rFonts w:eastAsia="MS Gothic" w:cstheme="majorBidi"/>
        </w:rPr>
        <w:t>c</w:t>
      </w:r>
      <w:r w:rsidRPr="000C5235">
        <w:rPr>
          <w:rStyle w:val="BodyTextChar"/>
          <w:rFonts w:eastAsia="MS Gothic" w:cstheme="majorBidi"/>
        </w:rPr>
        <w:t xml:space="preserve">apital </w:t>
      </w:r>
      <w:r w:rsidR="00087818" w:rsidRPr="000C5235">
        <w:rPr>
          <w:rStyle w:val="BodyTextChar"/>
          <w:rFonts w:eastAsia="MS Gothic" w:cstheme="majorBidi"/>
        </w:rPr>
        <w:t>b</w:t>
      </w:r>
      <w:r w:rsidRPr="000C5235">
        <w:rPr>
          <w:rStyle w:val="BodyTextChar"/>
          <w:rFonts w:eastAsia="MS Gothic" w:cstheme="majorBidi"/>
        </w:rPr>
        <w:t>udget</w:t>
      </w:r>
    </w:p>
    <w:p w14:paraId="101CA5F7" w14:textId="77777777" w:rsidR="00B54712" w:rsidRPr="000C5235" w:rsidRDefault="00B54712" w:rsidP="000A7DEC">
      <w:r w:rsidRPr="000C5235">
        <w:t>The “</w:t>
      </w:r>
      <w:r w:rsidRPr="000C5235">
        <w:rPr>
          <w:u w:val="single"/>
        </w:rPr>
        <w:t>Departmental/Administered Capital Budget</w:t>
      </w:r>
      <w:r w:rsidRPr="000C5235">
        <w:t>” figures should be sourced from the Capital Budget Statement Report</w:t>
      </w:r>
      <w:r w:rsidR="00EB2E04" w:rsidRPr="000C5235">
        <w:t>.  C</w:t>
      </w:r>
      <w:r w:rsidRPr="000C5235">
        <w:t>hoose either Departmental or Administered – figures will be recorded against “9170000 – Capital Budget – Bill 1 (DCB)”.</w:t>
      </w:r>
    </w:p>
    <w:p w14:paraId="3617A6EF" w14:textId="77777777" w:rsidR="00B54712" w:rsidRPr="000C5235" w:rsidRDefault="00B54712">
      <w:pPr>
        <w:pStyle w:val="Reports2"/>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Estimates </w:t>
      </w:r>
      <w:r w:rsidR="00DA502E" w:rsidRPr="000C5235">
        <w:rPr>
          <w:rStyle w:val="BodyTextChar"/>
        </w:rPr>
        <w:sym w:font="Wingdings" w:char="F0E0"/>
      </w:r>
      <w:r w:rsidRPr="000C5235">
        <w:rPr>
          <w:rStyle w:val="BodyTextChar"/>
        </w:rPr>
        <w:t xml:space="preserve"> Annual Estimates </w:t>
      </w:r>
      <w:r w:rsidR="00DA502E" w:rsidRPr="000C5235">
        <w:rPr>
          <w:rStyle w:val="BodyTextChar"/>
        </w:rPr>
        <w:sym w:font="Wingdings" w:char="F0E0"/>
      </w:r>
      <w:r w:rsidRPr="000C5235">
        <w:rPr>
          <w:rStyle w:val="BodyTextChar"/>
        </w:rPr>
        <w:t xml:space="preserve"> AE.OR.06 Annual Estimates Capital Budget Statement Report</w:t>
      </w:r>
    </w:p>
    <w:p w14:paraId="446BED20" w14:textId="77777777" w:rsidR="00B54712" w:rsidRPr="000C5235" w:rsidRDefault="00B54712" w:rsidP="000A7DEC">
      <w:pPr>
        <w:pStyle w:val="Heading4nonumbers"/>
        <w:rPr>
          <w:rStyle w:val="BodyTextChar"/>
          <w:rFonts w:eastAsia="MS Gothic"/>
          <w:i/>
          <w:color w:val="0070C0"/>
        </w:rPr>
      </w:pPr>
      <w:r w:rsidRPr="000C5235">
        <w:rPr>
          <w:rStyle w:val="BodyTextChar"/>
          <w:rFonts w:eastAsia="MS Gothic"/>
        </w:rPr>
        <w:t xml:space="preserve">Annual </w:t>
      </w:r>
      <w:r w:rsidR="00087818" w:rsidRPr="000C5235">
        <w:rPr>
          <w:rStyle w:val="BodyTextChar"/>
          <w:rFonts w:eastAsia="MS Gothic"/>
        </w:rPr>
        <w:t>a</w:t>
      </w:r>
      <w:r w:rsidRPr="000C5235">
        <w:rPr>
          <w:rStyle w:val="BodyTextChar"/>
          <w:rFonts w:eastAsia="MS Gothic"/>
        </w:rPr>
        <w:t xml:space="preserve">ppropriations – </w:t>
      </w:r>
      <w:r w:rsidR="00087818" w:rsidRPr="000C5235">
        <w:rPr>
          <w:rStyle w:val="BodyTextChar"/>
          <w:rFonts w:eastAsia="MS Gothic"/>
        </w:rPr>
        <w:t>o</w:t>
      </w:r>
      <w:r w:rsidRPr="000C5235">
        <w:rPr>
          <w:rStyle w:val="BodyTextChar"/>
          <w:rFonts w:eastAsia="MS Gothic"/>
        </w:rPr>
        <w:t xml:space="preserve">ther </w:t>
      </w:r>
      <w:r w:rsidR="00087818" w:rsidRPr="000C5235">
        <w:rPr>
          <w:rStyle w:val="BodyTextChar"/>
          <w:rFonts w:eastAsia="MS Gothic"/>
        </w:rPr>
        <w:t>s</w:t>
      </w:r>
      <w:r w:rsidRPr="000C5235">
        <w:rPr>
          <w:rStyle w:val="BodyTextChar"/>
          <w:rFonts w:eastAsia="MS Gothic"/>
        </w:rPr>
        <w:t>ervices</w:t>
      </w:r>
    </w:p>
    <w:p w14:paraId="7B74B758" w14:textId="77777777" w:rsidR="00B54712" w:rsidRPr="000C5235" w:rsidRDefault="00B54712" w:rsidP="000A7DEC">
      <w:r w:rsidRPr="000C5235">
        <w:t>The “</w:t>
      </w:r>
      <w:r w:rsidRPr="000C5235">
        <w:rPr>
          <w:u w:val="single"/>
        </w:rPr>
        <w:t>Annual appropriations – other services</w:t>
      </w:r>
      <w:r w:rsidRPr="000C5235">
        <w:t xml:space="preserve">” rows should be taken from the Appropriation Bill 2 report from CBMS.  </w:t>
      </w:r>
    </w:p>
    <w:p w14:paraId="47AA9930" w14:textId="77777777" w:rsidR="00B54712" w:rsidRPr="000C5235" w:rsidRDefault="00B54712">
      <w:pPr>
        <w:pStyle w:val="Reports2"/>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Statutory Reports </w:t>
      </w:r>
      <w:r w:rsidR="00DA502E" w:rsidRPr="000C5235">
        <w:rPr>
          <w:rStyle w:val="BodyTextChar"/>
        </w:rPr>
        <w:sym w:font="Wingdings" w:char="F0E0"/>
      </w:r>
      <w:r w:rsidRPr="000C5235">
        <w:rPr>
          <w:rStyle w:val="BodyTextChar"/>
        </w:rPr>
        <w:t xml:space="preserve"> Appropriation Bills </w:t>
      </w:r>
      <w:r w:rsidR="00DA502E" w:rsidRPr="000C5235">
        <w:rPr>
          <w:rStyle w:val="BodyTextChar"/>
        </w:rPr>
        <w:sym w:font="Wingdings" w:char="F0E0"/>
      </w:r>
      <w:r w:rsidRPr="000C5235">
        <w:rPr>
          <w:rStyle w:val="BodyTextChar"/>
        </w:rPr>
        <w:t xml:space="preserve"> Budget Bills </w:t>
      </w:r>
      <w:r w:rsidR="00DA502E" w:rsidRPr="000C5235">
        <w:rPr>
          <w:rStyle w:val="BodyTextChar"/>
        </w:rPr>
        <w:sym w:font="Wingdings" w:char="F0E0"/>
      </w:r>
      <w:r w:rsidRPr="000C5235">
        <w:rPr>
          <w:rStyle w:val="BodyTextChar"/>
        </w:rPr>
        <w:t xml:space="preserve"> Appropriation Bill 2 – Portfolio Summary and Detail</w:t>
      </w:r>
    </w:p>
    <w:p w14:paraId="76C3A7C4" w14:textId="77777777" w:rsidR="00B54712" w:rsidRPr="000C5235" w:rsidRDefault="00B54712" w:rsidP="000A7DEC">
      <w:r w:rsidRPr="000C5235">
        <w:t xml:space="preserve">For portfolio departments, the Appropriation Bill 2 report should be run at the portfolio rather than entity level. </w:t>
      </w:r>
    </w:p>
    <w:p w14:paraId="4B080888" w14:textId="77777777" w:rsidR="00B54712" w:rsidRPr="000C5235" w:rsidRDefault="00B54712" w:rsidP="000A7DEC">
      <w:r w:rsidRPr="000C5235">
        <w:t>Amounts under the “</w:t>
      </w:r>
      <w:r w:rsidRPr="000C5235">
        <w:rPr>
          <w:u w:val="single"/>
        </w:rPr>
        <w:t>Estimated Actual</w:t>
      </w:r>
      <w:r w:rsidRPr="000C5235">
        <w:t xml:space="preserve">” column can be sourced by running the AAA Report (which provides a point-in-time figure) and adjusting for any amounts expected to be spent by 30 June </w:t>
      </w:r>
      <w:r w:rsidR="00663E18" w:rsidRPr="000C5235">
        <w:t>2020</w:t>
      </w:r>
      <w:r w:rsidRPr="000C5235">
        <w:t>.</w:t>
      </w:r>
    </w:p>
    <w:p w14:paraId="0E3C2CD7" w14:textId="77777777" w:rsidR="00B54712" w:rsidRPr="000C5235" w:rsidRDefault="00B54712">
      <w:pPr>
        <w:pStyle w:val="Reports2"/>
      </w:pPr>
      <w:r w:rsidRPr="000C5235">
        <w:t xml:space="preserve">Reports </w:t>
      </w:r>
      <w:r w:rsidR="00DA502E" w:rsidRPr="000C5235">
        <w:sym w:font="Wingdings" w:char="F0E0"/>
      </w:r>
      <w:r w:rsidRPr="000C5235">
        <w:t xml:space="preserve"> CBMS Reporting </w:t>
      </w:r>
      <w:r w:rsidR="00DA502E" w:rsidRPr="000C5235">
        <w:sym w:font="Wingdings" w:char="F0E0"/>
      </w:r>
      <w:r w:rsidRPr="000C5235">
        <w:t xml:space="preserve"> Operational Reports </w:t>
      </w:r>
      <w:r w:rsidR="00DA502E" w:rsidRPr="000C5235">
        <w:sym w:font="Wingdings" w:char="F0E0"/>
      </w:r>
      <w:r w:rsidRPr="000C5235">
        <w:t xml:space="preserve"> Estimates </w:t>
      </w:r>
      <w:r w:rsidR="00DA502E" w:rsidRPr="000C5235">
        <w:sym w:font="Wingdings" w:char="F0E0"/>
      </w:r>
      <w:r w:rsidRPr="000C5235">
        <w:t xml:space="preserve"> Annual Estimates </w:t>
      </w:r>
      <w:r w:rsidR="00DA502E" w:rsidRPr="000C5235">
        <w:sym w:font="Wingdings" w:char="F0E0"/>
      </w:r>
      <w:r w:rsidRPr="000C5235">
        <w:t xml:space="preserve"> AE.OR.10 Appropriation Bill – Actual Available Appropriations (AAA) Report</w:t>
      </w:r>
    </w:p>
    <w:p w14:paraId="3590E901" w14:textId="77777777" w:rsidR="00A32A8F" w:rsidRPr="000C5235" w:rsidRDefault="00A32A8F">
      <w:pPr>
        <w:pStyle w:val="Reports2"/>
      </w:pPr>
      <w:r w:rsidRPr="000C5235">
        <w:t xml:space="preserve">Reports </w:t>
      </w:r>
      <w:r w:rsidR="00DA502E" w:rsidRPr="000C5235">
        <w:sym w:font="Wingdings" w:char="F0E0"/>
      </w:r>
      <w:r w:rsidRPr="000C5235">
        <w:t xml:space="preserve"> CBMS Reporting </w:t>
      </w:r>
      <w:r w:rsidR="00DA502E" w:rsidRPr="000C5235">
        <w:sym w:font="Wingdings" w:char="F0E0"/>
      </w:r>
      <w:r w:rsidRPr="000C5235">
        <w:t xml:space="preserve"> Operational Reports </w:t>
      </w:r>
      <w:r w:rsidR="00DA502E" w:rsidRPr="000C5235">
        <w:sym w:font="Wingdings" w:char="F0E0"/>
      </w:r>
      <w:r w:rsidRPr="000C5235">
        <w:t xml:space="preserve"> Estimates </w:t>
      </w:r>
      <w:r w:rsidR="00DA502E" w:rsidRPr="000C5235">
        <w:sym w:font="Wingdings" w:char="F0E0"/>
      </w:r>
      <w:r w:rsidRPr="000C5235">
        <w:t xml:space="preserve"> Annual Estimates </w:t>
      </w:r>
      <w:r w:rsidR="00DA502E" w:rsidRPr="000C5235">
        <w:sym w:font="Wingdings" w:char="F0E0"/>
      </w:r>
      <w:r w:rsidRPr="000C5235">
        <w:t xml:space="preserve"> AE.OR.11 </w:t>
      </w:r>
      <w:r w:rsidR="00663E18" w:rsidRPr="000C5235">
        <w:t xml:space="preserve">Annual Estimates </w:t>
      </w:r>
      <w:r w:rsidRPr="000C5235">
        <w:t>Appropriations QA Report</w:t>
      </w:r>
    </w:p>
    <w:p w14:paraId="1347AE59" w14:textId="77777777" w:rsidR="00B54712" w:rsidRPr="000C5235" w:rsidRDefault="00B54712" w:rsidP="000A7DEC">
      <w:pPr>
        <w:pStyle w:val="Heading4nonumbers"/>
        <w:rPr>
          <w:rStyle w:val="BodyTextChar"/>
          <w:rFonts w:eastAsia="MS Gothic"/>
          <w:i/>
          <w:color w:val="0070C0"/>
        </w:rPr>
      </w:pPr>
      <w:r w:rsidRPr="000C5235">
        <w:rPr>
          <w:rStyle w:val="BodyTextChar"/>
          <w:rFonts w:eastAsia="MS Gothic"/>
        </w:rPr>
        <w:t xml:space="preserve">Payments to </w:t>
      </w:r>
      <w:r w:rsidR="00087818" w:rsidRPr="000C5235">
        <w:rPr>
          <w:rStyle w:val="BodyTextChar"/>
          <w:rFonts w:eastAsia="MS Gothic"/>
        </w:rPr>
        <w:t>c</w:t>
      </w:r>
      <w:r w:rsidRPr="000C5235">
        <w:rPr>
          <w:rStyle w:val="BodyTextChar"/>
          <w:rFonts w:eastAsia="MS Gothic"/>
        </w:rPr>
        <w:t xml:space="preserve">orporate </w:t>
      </w:r>
      <w:r w:rsidR="00087818" w:rsidRPr="000C5235">
        <w:rPr>
          <w:rStyle w:val="BodyTextChar"/>
          <w:rFonts w:eastAsia="MS Gothic"/>
        </w:rPr>
        <w:t>e</w:t>
      </w:r>
      <w:r w:rsidRPr="000C5235">
        <w:rPr>
          <w:rStyle w:val="BodyTextChar"/>
          <w:rFonts w:eastAsia="MS Gothic"/>
        </w:rPr>
        <w:t>ntities</w:t>
      </w:r>
    </w:p>
    <w:p w14:paraId="3FF83DC9" w14:textId="77777777" w:rsidR="00B54712" w:rsidRPr="000C5235" w:rsidRDefault="00B54712" w:rsidP="000A7DEC">
      <w:r w:rsidRPr="000C5235">
        <w:t>The “</w:t>
      </w:r>
      <w:r w:rsidRPr="000C5235">
        <w:rPr>
          <w:u w:val="single"/>
        </w:rPr>
        <w:t>Payments to corporate entities</w:t>
      </w:r>
      <w:r w:rsidRPr="000C5235">
        <w:t>” rows should be sourced from the Appropriation Act 1 and Bill 3, and Act 2 and Bill 4 “Portfolio Summary and Detail” reports.</w:t>
      </w:r>
    </w:p>
    <w:p w14:paraId="31671D5D" w14:textId="77777777" w:rsidR="00B54712" w:rsidRPr="000C5235" w:rsidRDefault="00B54712">
      <w:pPr>
        <w:pStyle w:val="Reports2"/>
        <w:rPr>
          <w:rStyle w:val="BodyTextChar"/>
          <w:rFonts w:asciiTheme="minorHAnsi" w:hAnsiTheme="minorHAnsi"/>
          <w:i w:val="0"/>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Statutory Reports </w:t>
      </w:r>
      <w:r w:rsidR="00DA502E" w:rsidRPr="000C5235">
        <w:rPr>
          <w:rStyle w:val="BodyTextChar"/>
        </w:rPr>
        <w:sym w:font="Wingdings" w:char="F0E0"/>
      </w:r>
      <w:r w:rsidRPr="000C5235">
        <w:rPr>
          <w:rStyle w:val="BodyTextChar"/>
        </w:rPr>
        <w:t xml:space="preserve"> Appropriation Bills </w:t>
      </w:r>
      <w:r w:rsidR="00DA502E" w:rsidRPr="000C5235">
        <w:rPr>
          <w:rStyle w:val="BodyTextChar"/>
        </w:rPr>
        <w:sym w:font="Wingdings" w:char="F0E0"/>
      </w:r>
      <w:r w:rsidRPr="000C5235">
        <w:rPr>
          <w:rStyle w:val="BodyTextChar"/>
        </w:rPr>
        <w:t xml:space="preserve"> Budget Bills </w:t>
      </w:r>
      <w:r w:rsidR="00DA502E" w:rsidRPr="000C5235">
        <w:rPr>
          <w:rStyle w:val="BodyTextChar"/>
        </w:rPr>
        <w:sym w:font="Wingdings" w:char="F0E0"/>
      </w:r>
      <w:r w:rsidR="00DF7559" w:rsidRPr="000C5235">
        <w:rPr>
          <w:rStyle w:val="BodyTextChar"/>
        </w:rPr>
        <w:t xml:space="preserve"> </w:t>
      </w:r>
      <w:r w:rsidRPr="000C5235">
        <w:rPr>
          <w:rStyle w:val="BodyTextChar"/>
        </w:rPr>
        <w:t xml:space="preserve"> Appropriation Bill x – Portfolio Summary and Detail</w:t>
      </w:r>
    </w:p>
    <w:p w14:paraId="5BDE4E5A" w14:textId="77777777" w:rsidR="00B54712" w:rsidRPr="000C5235" w:rsidRDefault="00B54712" w:rsidP="000A7DEC">
      <w:pPr>
        <w:pStyle w:val="Heading4nonumbers"/>
        <w:rPr>
          <w:rStyle w:val="BodyTextChar"/>
          <w:rFonts w:eastAsia="MS Gothic"/>
          <w:i/>
          <w:color w:val="0070C0"/>
        </w:rPr>
      </w:pPr>
      <w:r w:rsidRPr="000C5235">
        <w:rPr>
          <w:rStyle w:val="BodyTextChar"/>
          <w:rFonts w:eastAsia="MS Gothic"/>
        </w:rPr>
        <w:t xml:space="preserve">Special </w:t>
      </w:r>
      <w:r w:rsidR="00087818" w:rsidRPr="000C5235">
        <w:rPr>
          <w:rStyle w:val="BodyTextChar"/>
          <w:rFonts w:eastAsia="MS Gothic"/>
        </w:rPr>
        <w:t>a</w:t>
      </w:r>
      <w:r w:rsidRPr="000C5235">
        <w:rPr>
          <w:rStyle w:val="BodyTextChar"/>
          <w:rFonts w:eastAsia="MS Gothic"/>
        </w:rPr>
        <w:t>ppropriations</w:t>
      </w:r>
    </w:p>
    <w:p w14:paraId="7A70BD2A" w14:textId="77777777" w:rsidR="00B54712" w:rsidRPr="000C5235" w:rsidRDefault="00B54712" w:rsidP="000A7DEC">
      <w:r w:rsidRPr="000C5235">
        <w:t>The “</w:t>
      </w:r>
      <w:r w:rsidRPr="000C5235">
        <w:rPr>
          <w:u w:val="single"/>
        </w:rPr>
        <w:t>Special Appropriations</w:t>
      </w:r>
      <w:r w:rsidRPr="000C5235">
        <w:t>” rows should reflect the resourcing required in relation to special appropriations. These figures should match the figures published in BP No.</w:t>
      </w:r>
      <w:r w:rsidR="00FC042C" w:rsidRPr="000C5235">
        <w:t xml:space="preserve"> </w:t>
      </w:r>
      <w:r w:rsidRPr="000C5235">
        <w:t>4 (in both the Special Appropriations table and also the Entity Resource Table</w:t>
      </w:r>
      <w:r w:rsidR="00FD4BA3" w:rsidRPr="000C5235">
        <w:t>) and</w:t>
      </w:r>
      <w:r w:rsidRPr="000C5235">
        <w:t xml:space="preserve"> be sourced from the Detail Listing AEIFRS Report from CBMS.</w:t>
      </w:r>
    </w:p>
    <w:p w14:paraId="5215F8BB" w14:textId="77777777" w:rsidR="00B54712" w:rsidRPr="000C5235" w:rsidRDefault="00B54712">
      <w:pPr>
        <w:pStyle w:val="Reports2"/>
        <w:rPr>
          <w:rStyle w:val="BodyTextChar"/>
          <w:rFonts w:asciiTheme="minorHAnsi" w:hAnsiTheme="minorHAnsi"/>
          <w:i w:val="0"/>
          <w:color w:val="auto"/>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Estimates </w:t>
      </w:r>
      <w:r w:rsidR="00DA502E" w:rsidRPr="000C5235">
        <w:rPr>
          <w:rStyle w:val="BodyTextChar"/>
        </w:rPr>
        <w:sym w:font="Wingdings" w:char="F0E0"/>
      </w:r>
      <w:r w:rsidRPr="000C5235">
        <w:rPr>
          <w:rStyle w:val="BodyTextChar"/>
        </w:rPr>
        <w:t xml:space="preserve"> Annual Estimates </w:t>
      </w:r>
      <w:r w:rsidR="00DA502E" w:rsidRPr="000C5235">
        <w:rPr>
          <w:rStyle w:val="BodyTextChar"/>
        </w:rPr>
        <w:sym w:font="Wingdings" w:char="F0E0"/>
      </w:r>
      <w:r w:rsidRPr="000C5235">
        <w:rPr>
          <w:rStyle w:val="BodyTextChar"/>
        </w:rPr>
        <w:t xml:space="preserve"> AE.OR.13 Annual Estimates </w:t>
      </w:r>
      <w:r w:rsidR="004D0F69" w:rsidRPr="000C5235">
        <w:rPr>
          <w:rStyle w:val="BodyTextChar"/>
        </w:rPr>
        <w:t>Detail Listing AEIFRS Report (PBF)</w:t>
      </w:r>
    </w:p>
    <w:p w14:paraId="2FF3FD2B" w14:textId="77777777" w:rsidR="00AA5DDA" w:rsidRPr="000C5235" w:rsidRDefault="00B54712" w:rsidP="000A7DEC">
      <w:pPr>
        <w:rPr>
          <w:rStyle w:val="BodyTextChar"/>
          <w:rFonts w:ascii="Arial" w:hAnsi="Arial"/>
          <w:b/>
          <w:i/>
          <w:iCs/>
          <w:color w:val="005A77"/>
          <w:spacing w:val="-6"/>
          <w:sz w:val="24"/>
          <w:szCs w:val="24"/>
        </w:rPr>
      </w:pPr>
      <w:r w:rsidRPr="000C5235">
        <w:t xml:space="preserve">Special appropriations should be reported as an aggregate in </w:t>
      </w:r>
      <w:r w:rsidRPr="000C5235">
        <w:rPr>
          <w:i/>
        </w:rPr>
        <w:t>Table 1.1</w:t>
      </w:r>
      <w:r w:rsidRPr="000C5235">
        <w:t xml:space="preserve">, with details of the special appropriations reported in </w:t>
      </w:r>
      <w:r w:rsidRPr="000C5235">
        <w:rPr>
          <w:i/>
        </w:rPr>
        <w:t>Table 2.X.1 (Budgeted expenses for Outcome X).</w:t>
      </w:r>
    </w:p>
    <w:p w14:paraId="3E442F4A" w14:textId="77777777" w:rsidR="00B54712" w:rsidRPr="000C5235" w:rsidRDefault="00B54712" w:rsidP="000A7DEC">
      <w:pPr>
        <w:pStyle w:val="Heading4nonumbers"/>
        <w:rPr>
          <w:rStyle w:val="BodyTextChar"/>
          <w:rFonts w:eastAsia="MS Gothic"/>
        </w:rPr>
      </w:pPr>
      <w:r w:rsidRPr="000C5235">
        <w:rPr>
          <w:rStyle w:val="BodyTextChar"/>
          <w:rFonts w:eastAsia="MS Gothic"/>
        </w:rPr>
        <w:t xml:space="preserve">Special </w:t>
      </w:r>
      <w:r w:rsidR="00087818" w:rsidRPr="000C5235">
        <w:rPr>
          <w:rStyle w:val="BodyTextChar"/>
          <w:rFonts w:eastAsia="MS Gothic"/>
        </w:rPr>
        <w:t>a</w:t>
      </w:r>
      <w:r w:rsidRPr="000C5235">
        <w:rPr>
          <w:rStyle w:val="BodyTextChar"/>
          <w:rFonts w:eastAsia="MS Gothic"/>
        </w:rPr>
        <w:t>ccounts</w:t>
      </w:r>
    </w:p>
    <w:p w14:paraId="58D70D76" w14:textId="77777777" w:rsidR="00B54712" w:rsidRPr="000C5235" w:rsidRDefault="00B54712" w:rsidP="000A7DEC">
      <w:pPr>
        <w:rPr>
          <w:i/>
        </w:rPr>
      </w:pPr>
      <w:r w:rsidRPr="000C5235">
        <w:t>The “</w:t>
      </w:r>
      <w:r w:rsidRPr="000C5235">
        <w:rPr>
          <w:u w:val="single"/>
        </w:rPr>
        <w:t>Special Accounts</w:t>
      </w:r>
      <w:r w:rsidRPr="000C5235">
        <w:t xml:space="preserve">” rows should reflect the receipts for all special accounts managed by the entity. These figures should be drawn from the “Special Accounts” report from CBMS. </w:t>
      </w:r>
      <w:r w:rsidR="00250658" w:rsidRPr="000C5235">
        <w:t xml:space="preserve">Trust moneys, in particular those </w:t>
      </w:r>
      <w:r w:rsidRPr="000C5235">
        <w:t>held in “</w:t>
      </w:r>
      <w:r w:rsidRPr="000C5235">
        <w:rPr>
          <w:u w:val="single"/>
        </w:rPr>
        <w:t>Services for Other Entities and Trust Moneys</w:t>
      </w:r>
      <w:r w:rsidRPr="000C5235">
        <w:t xml:space="preserve">” (SOETM) accounts </w:t>
      </w:r>
      <w:r w:rsidRPr="000C5235">
        <w:rPr>
          <w:u w:val="single"/>
        </w:rPr>
        <w:t>should be excluded</w:t>
      </w:r>
      <w:r w:rsidRPr="000C5235">
        <w:t xml:space="preserve"> from this figure as they do not constitute funds available to the entity. Details of special accounts will also be reported in </w:t>
      </w:r>
      <w:r w:rsidRPr="000C5235">
        <w:rPr>
          <w:i/>
        </w:rPr>
        <w:t>Table 2.X.1 (Budgeted expenses for Outcome X).</w:t>
      </w:r>
    </w:p>
    <w:p w14:paraId="4D2C5111" w14:textId="77777777" w:rsidR="00B54712" w:rsidRPr="000C5235" w:rsidRDefault="00B54712" w:rsidP="006F1726">
      <w:pPr>
        <w:pStyle w:val="Reports2"/>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Statutory Reports </w:t>
      </w:r>
      <w:r w:rsidR="00DA502E" w:rsidRPr="000C5235">
        <w:rPr>
          <w:rStyle w:val="BodyTextChar"/>
        </w:rPr>
        <w:sym w:font="Wingdings" w:char="F0E0"/>
      </w:r>
      <w:r w:rsidRPr="000C5235">
        <w:rPr>
          <w:rStyle w:val="BodyTextChar"/>
        </w:rPr>
        <w:t xml:space="preserve"> Budget Paper 4 </w:t>
      </w:r>
      <w:r w:rsidR="00DA502E" w:rsidRPr="000C5235">
        <w:rPr>
          <w:rStyle w:val="BodyTextChar"/>
        </w:rPr>
        <w:sym w:font="Wingdings" w:char="F0E0"/>
      </w:r>
      <w:r w:rsidRPr="000C5235">
        <w:rPr>
          <w:rStyle w:val="BodyTextChar"/>
        </w:rPr>
        <w:t xml:space="preserve"> B4.T4 Special accounts table</w:t>
      </w:r>
    </w:p>
    <w:p w14:paraId="382ED3EA" w14:textId="77777777" w:rsidR="00E15D15" w:rsidRPr="000C5235" w:rsidRDefault="00A32A8F" w:rsidP="006F1726">
      <w:pPr>
        <w:pStyle w:val="Reports2"/>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Estimates </w:t>
      </w:r>
      <w:r w:rsidR="00DA502E" w:rsidRPr="000C5235">
        <w:rPr>
          <w:rStyle w:val="BodyTextChar"/>
        </w:rPr>
        <w:sym w:font="Wingdings" w:char="F0E0"/>
      </w:r>
      <w:r w:rsidRPr="000C5235">
        <w:rPr>
          <w:rStyle w:val="BodyTextChar"/>
        </w:rPr>
        <w:t xml:space="preserve"> Annual Estimates </w:t>
      </w:r>
      <w:r w:rsidR="00DA502E" w:rsidRPr="000C5235">
        <w:rPr>
          <w:rStyle w:val="BodyTextChar"/>
        </w:rPr>
        <w:sym w:font="Wingdings" w:char="F0E0"/>
      </w:r>
      <w:r w:rsidRPr="000C5235">
        <w:rPr>
          <w:rStyle w:val="BodyTextChar"/>
        </w:rPr>
        <w:t xml:space="preserve"> AE</w:t>
      </w:r>
      <w:r w:rsidR="00EA7B74" w:rsidRPr="000C5235">
        <w:rPr>
          <w:rStyle w:val="BodyTextChar"/>
        </w:rPr>
        <w:t>.O</w:t>
      </w:r>
      <w:r w:rsidRPr="000C5235">
        <w:rPr>
          <w:rStyle w:val="BodyTextChar"/>
        </w:rPr>
        <w:t xml:space="preserve">R.09 </w:t>
      </w:r>
      <w:r w:rsidR="00EA7B74" w:rsidRPr="000C5235">
        <w:rPr>
          <w:rStyle w:val="BodyTextChar"/>
        </w:rPr>
        <w:t xml:space="preserve">Annual Estimates </w:t>
      </w:r>
      <w:r w:rsidRPr="000C5235">
        <w:rPr>
          <w:rStyle w:val="BodyTextChar"/>
        </w:rPr>
        <w:t xml:space="preserve">Special </w:t>
      </w:r>
      <w:r w:rsidR="00EA7B74" w:rsidRPr="000C5235">
        <w:rPr>
          <w:rStyle w:val="BodyTextChar"/>
        </w:rPr>
        <w:t>A</w:t>
      </w:r>
      <w:r w:rsidRPr="000C5235">
        <w:rPr>
          <w:rStyle w:val="BodyTextChar"/>
        </w:rPr>
        <w:t xml:space="preserve">ccounts </w:t>
      </w:r>
      <w:r w:rsidR="00EA7B74" w:rsidRPr="000C5235">
        <w:rPr>
          <w:rStyle w:val="BodyTextChar"/>
        </w:rPr>
        <w:t>R</w:t>
      </w:r>
      <w:r w:rsidRPr="000C5235">
        <w:rPr>
          <w:rStyle w:val="BodyTextChar"/>
        </w:rPr>
        <w:t>eport</w:t>
      </w:r>
    </w:p>
    <w:p w14:paraId="77849092" w14:textId="77777777" w:rsidR="009861E5" w:rsidRPr="000C5235" w:rsidRDefault="00250658">
      <w:pPr>
        <w:pStyle w:val="NormalTextRed"/>
      </w:pPr>
      <w:r w:rsidRPr="000C5235">
        <w:rPr>
          <w:u w:val="single"/>
        </w:rPr>
        <w:t>Note:</w:t>
      </w:r>
      <w:r w:rsidRPr="000C5235">
        <w:t xml:space="preserve">  There may be differences between special </w:t>
      </w:r>
      <w:r w:rsidR="00FC042C" w:rsidRPr="000C5235">
        <w:t>accounts</w:t>
      </w:r>
      <w:r w:rsidRPr="000C5235">
        <w:t xml:space="preserve"> figures published in an entity’s PB</w:t>
      </w:r>
      <w:r w:rsidR="00CD3E53" w:rsidRPr="000C5235">
        <w:t> </w:t>
      </w:r>
      <w:r w:rsidRPr="000C5235">
        <w:t>S</w:t>
      </w:r>
      <w:r w:rsidR="00CD3E53" w:rsidRPr="000C5235">
        <w:t>tatement</w:t>
      </w:r>
      <w:r w:rsidRPr="000C5235">
        <w:t xml:space="preserve"> compared to the entity’s financial statement notes in its annual report.</w:t>
      </w:r>
    </w:p>
    <w:p w14:paraId="33AB25B4" w14:textId="77777777" w:rsidR="009861E5" w:rsidRPr="000C5235" w:rsidRDefault="00250658">
      <w:pPr>
        <w:pStyle w:val="NormalTextRed"/>
      </w:pPr>
      <w:r w:rsidRPr="000C5235">
        <w:t>For example, for PB</w:t>
      </w:r>
      <w:r w:rsidR="00CD3E53" w:rsidRPr="000C5235">
        <w:t xml:space="preserve"> </w:t>
      </w:r>
      <w:r w:rsidRPr="000C5235">
        <w:t>S</w:t>
      </w:r>
      <w:r w:rsidR="00CD3E53" w:rsidRPr="000C5235">
        <w:t>tatement</w:t>
      </w:r>
      <w:r w:rsidRPr="000C5235">
        <w:t xml:space="preserve"> estimates purposes, agencies may choose to report </w:t>
      </w:r>
      <w:r w:rsidR="00FC042C" w:rsidRPr="000C5235">
        <w:t>s</w:t>
      </w:r>
      <w:r w:rsidRPr="000C5235">
        <w:t xml:space="preserve">pecial </w:t>
      </w:r>
      <w:r w:rsidR="00FC042C" w:rsidRPr="000C5235">
        <w:t>a</w:t>
      </w:r>
      <w:r w:rsidRPr="000C5235">
        <w:t>ccount balances and flows on</w:t>
      </w:r>
      <w:r w:rsidR="009861E5" w:rsidRPr="000C5235">
        <w:t xml:space="preserve"> </w:t>
      </w:r>
      <w:r w:rsidRPr="000C5235">
        <w:t>a</w:t>
      </w:r>
      <w:r w:rsidR="009861E5" w:rsidRPr="000C5235">
        <w:t xml:space="preserve"> N</w:t>
      </w:r>
      <w:r w:rsidRPr="000C5235">
        <w:t>et</w:t>
      </w:r>
      <w:r w:rsidR="009861E5" w:rsidRPr="000C5235">
        <w:t xml:space="preserve"> </w:t>
      </w:r>
      <w:r w:rsidRPr="000C5235">
        <w:t xml:space="preserve">basis as at 30 June.  In an </w:t>
      </w:r>
      <w:r w:rsidR="006A6D2C" w:rsidRPr="000C5235">
        <w:t>entity</w:t>
      </w:r>
      <w:r w:rsidRPr="000C5235">
        <w:t xml:space="preserve">'s annual report, special account flows will be presented on a </w:t>
      </w:r>
      <w:r w:rsidR="009861E5" w:rsidRPr="000C5235">
        <w:t>G</w:t>
      </w:r>
      <w:r w:rsidRPr="000C5235">
        <w:t>ross basis.</w:t>
      </w:r>
    </w:p>
    <w:p w14:paraId="47D23D30" w14:textId="77777777" w:rsidR="00E15D15" w:rsidRPr="000C5235" w:rsidRDefault="00250658">
      <w:pPr>
        <w:pStyle w:val="NormalTextRed"/>
        <w:rPr>
          <w:rStyle w:val="BodyTextChar"/>
          <w:rFonts w:eastAsiaTheme="minorHAnsi" w:cstheme="minorBidi"/>
        </w:rPr>
      </w:pPr>
      <w:r w:rsidRPr="000C5235">
        <w:t>An example of where difference</w:t>
      </w:r>
      <w:r w:rsidR="009861E5" w:rsidRPr="000C5235">
        <w:t>s</w:t>
      </w:r>
      <w:r w:rsidRPr="000C5235">
        <w:t xml:space="preserve"> </w:t>
      </w:r>
      <w:r w:rsidR="009861E5" w:rsidRPr="000C5235">
        <w:t xml:space="preserve">may arise </w:t>
      </w:r>
      <w:r w:rsidRPr="000C5235">
        <w:t xml:space="preserve">between estimates and actuals is where an entity undertakes ongoing investment activities through </w:t>
      </w:r>
      <w:r w:rsidR="009861E5" w:rsidRPr="000C5235">
        <w:t>their</w:t>
      </w:r>
      <w:r w:rsidRPr="000C5235">
        <w:t xml:space="preserve"> special account, and reinvests the earnings realised </w:t>
      </w:r>
      <w:r w:rsidR="009861E5" w:rsidRPr="000C5235">
        <w:t>(</w:t>
      </w:r>
      <w:r w:rsidRPr="000C5235">
        <w:t>from invest</w:t>
      </w:r>
      <w:r w:rsidR="009861E5" w:rsidRPr="000C5235">
        <w:t>ing)</w:t>
      </w:r>
      <w:r w:rsidRPr="000C5235">
        <w:t xml:space="preserve"> within the same financial year.</w:t>
      </w:r>
    </w:p>
    <w:p w14:paraId="67822943" w14:textId="77777777" w:rsidR="00B54712" w:rsidRPr="000C5235" w:rsidRDefault="00B54712" w:rsidP="000A7DEC">
      <w:pPr>
        <w:pStyle w:val="Heading4nonumbers"/>
        <w:rPr>
          <w:rStyle w:val="BodyTextChar"/>
          <w:rFonts w:asciiTheme="minorHAnsi" w:eastAsia="MS Gothic" w:hAnsiTheme="minorHAnsi"/>
          <w:color w:val="FF0000"/>
        </w:rPr>
      </w:pPr>
      <w:r w:rsidRPr="000C5235">
        <w:rPr>
          <w:rStyle w:val="BodyTextChar"/>
          <w:rFonts w:eastAsia="MS Gothic"/>
        </w:rPr>
        <w:t xml:space="preserve">Average </w:t>
      </w:r>
      <w:r w:rsidR="00087818" w:rsidRPr="000C5235">
        <w:rPr>
          <w:rStyle w:val="BodyTextChar"/>
          <w:rFonts w:eastAsia="MS Gothic"/>
        </w:rPr>
        <w:t>s</w:t>
      </w:r>
      <w:r w:rsidRPr="000C5235">
        <w:rPr>
          <w:rStyle w:val="BodyTextChar"/>
          <w:rFonts w:eastAsia="MS Gothic"/>
        </w:rPr>
        <w:t xml:space="preserve">taffing </w:t>
      </w:r>
      <w:r w:rsidR="00087818" w:rsidRPr="000C5235">
        <w:rPr>
          <w:rStyle w:val="BodyTextChar"/>
          <w:rFonts w:eastAsia="MS Gothic"/>
        </w:rPr>
        <w:t>l</w:t>
      </w:r>
      <w:r w:rsidRPr="000C5235">
        <w:rPr>
          <w:rStyle w:val="BodyTextChar"/>
          <w:rFonts w:eastAsia="MS Gothic"/>
        </w:rPr>
        <w:t>evel</w:t>
      </w:r>
    </w:p>
    <w:p w14:paraId="0775CC7B" w14:textId="0E7E7448" w:rsidR="00B54712" w:rsidRPr="000C5235" w:rsidRDefault="00B54712" w:rsidP="000A7DEC">
      <w:bookmarkStart w:id="393" w:name="Review_Avg_Staff_level_AB_2020_01_08"/>
      <w:bookmarkEnd w:id="393"/>
      <w:r w:rsidRPr="000C5235">
        <w:t>The “</w:t>
      </w:r>
      <w:r w:rsidR="008555BE" w:rsidRPr="000C5235">
        <w:t>ASL</w:t>
      </w:r>
      <w:r w:rsidRPr="000C5235">
        <w:rPr>
          <w:u w:val="single"/>
        </w:rPr>
        <w:t>” figure</w:t>
      </w:r>
      <w:r w:rsidRPr="000C5235">
        <w:t xml:space="preserve"> should be discussed with Finance (please refer to </w:t>
      </w:r>
      <w:r w:rsidR="00C83660" w:rsidRPr="000C5235">
        <w:t>the C</w:t>
      </w:r>
      <w:r w:rsidRPr="000C5235">
        <w:t xml:space="preserve">ontacts on </w:t>
      </w:r>
      <w:r w:rsidR="002D6E6F" w:rsidRPr="000C5235">
        <w:t>s</w:t>
      </w:r>
      <w:r w:rsidR="00C83660" w:rsidRPr="000C5235">
        <w:t xml:space="preserve">ection </w:t>
      </w:r>
      <w:r w:rsidR="002D6E6F" w:rsidRPr="000C5235">
        <w:rPr>
          <w:i/>
          <w:color w:val="0070C0"/>
          <w:u w:val="single"/>
        </w:rPr>
        <w:fldChar w:fldCharType="begin"/>
      </w:r>
      <w:r w:rsidR="002D6E6F" w:rsidRPr="000C5235">
        <w:rPr>
          <w:i/>
          <w:color w:val="0070C0"/>
          <w:u w:val="single"/>
        </w:rPr>
        <w:instrText xml:space="preserve"> REF _Ref33522418 \r \h  \* MERGEFORMAT </w:instrText>
      </w:r>
      <w:r w:rsidR="002D6E6F" w:rsidRPr="000C5235">
        <w:rPr>
          <w:i/>
          <w:color w:val="0070C0"/>
          <w:u w:val="single"/>
        </w:rPr>
      </w:r>
      <w:r w:rsidR="002D6E6F" w:rsidRPr="000C5235">
        <w:rPr>
          <w:i/>
          <w:color w:val="0070C0"/>
          <w:u w:val="single"/>
        </w:rPr>
        <w:fldChar w:fldCharType="separate"/>
      </w:r>
      <w:r w:rsidR="00507230">
        <w:rPr>
          <w:i/>
          <w:color w:val="0070C0"/>
          <w:u w:val="single"/>
        </w:rPr>
        <w:t>14</w:t>
      </w:r>
      <w:r w:rsidR="002D6E6F" w:rsidRPr="000C5235">
        <w:rPr>
          <w:i/>
          <w:color w:val="0070C0"/>
          <w:u w:val="single"/>
        </w:rPr>
        <w:fldChar w:fldCharType="end"/>
      </w:r>
      <w:r w:rsidR="002D6E6F" w:rsidRPr="000C5235">
        <w:rPr>
          <w:i/>
          <w:color w:val="0070C0"/>
          <w:u w:val="single"/>
        </w:rPr>
        <w:t xml:space="preserve"> </w:t>
      </w:r>
      <w:r w:rsidR="002D6E6F" w:rsidRPr="000C5235">
        <w:rPr>
          <w:i/>
          <w:color w:val="0070C0"/>
          <w:u w:val="single"/>
        </w:rPr>
        <w:fldChar w:fldCharType="begin"/>
      </w:r>
      <w:r w:rsidR="002D6E6F" w:rsidRPr="000C5235">
        <w:rPr>
          <w:i/>
          <w:color w:val="0070C0"/>
          <w:u w:val="single"/>
        </w:rPr>
        <w:instrText xml:space="preserve"> REF _Ref33522421 \h  \* MERGEFORMAT </w:instrText>
      </w:r>
      <w:r w:rsidR="002D6E6F" w:rsidRPr="000C5235">
        <w:rPr>
          <w:i/>
          <w:color w:val="0070C0"/>
          <w:u w:val="single"/>
        </w:rPr>
      </w:r>
      <w:r w:rsidR="002D6E6F" w:rsidRPr="000C5235">
        <w:rPr>
          <w:i/>
          <w:color w:val="0070C0"/>
          <w:u w:val="single"/>
        </w:rPr>
        <w:fldChar w:fldCharType="separate"/>
      </w:r>
      <w:r w:rsidR="00507230" w:rsidRPr="00507230">
        <w:rPr>
          <w:i/>
          <w:color w:val="0070C0"/>
          <w:u w:val="single"/>
        </w:rPr>
        <w:t>Contacts</w:t>
      </w:r>
      <w:r w:rsidR="002D6E6F" w:rsidRPr="000C5235">
        <w:rPr>
          <w:i/>
          <w:color w:val="0070C0"/>
          <w:u w:val="single"/>
        </w:rPr>
        <w:fldChar w:fldCharType="end"/>
      </w:r>
      <w:r w:rsidR="002D6E6F" w:rsidRPr="000C5235">
        <w:t xml:space="preserve"> </w:t>
      </w:r>
      <w:r w:rsidR="002D6E6F" w:rsidRPr="000C5235">
        <w:fldChar w:fldCharType="begin"/>
      </w:r>
      <w:r w:rsidR="002D6E6F" w:rsidRPr="000C5235">
        <w:instrText xml:space="preserve"> REF _Ref33522426 \p \h </w:instrText>
      </w:r>
      <w:r w:rsidR="008B029A" w:rsidRPr="000C5235">
        <w:instrText xml:space="preserve"> \* MERGEFORMAT </w:instrText>
      </w:r>
      <w:r w:rsidR="002D6E6F" w:rsidRPr="000C5235">
        <w:fldChar w:fldCharType="separate"/>
      </w:r>
      <w:r w:rsidR="00507230">
        <w:t>below</w:t>
      </w:r>
      <w:r w:rsidR="002D6E6F" w:rsidRPr="000C5235">
        <w:fldChar w:fldCharType="end"/>
      </w:r>
      <w:r w:rsidR="002D6E6F" w:rsidRPr="000C5235">
        <w:t xml:space="preserve"> </w:t>
      </w:r>
      <w:r w:rsidR="00C83660" w:rsidRPr="000C5235">
        <w:t>of this guide</w:t>
      </w:r>
      <w:r w:rsidR="00FD4BA3" w:rsidRPr="000C5235">
        <w:t>) and</w:t>
      </w:r>
      <w:r w:rsidRPr="000C5235">
        <w:t xml:space="preserve"> match the figures to be published in BP No.</w:t>
      </w:r>
      <w:r w:rsidR="0083363A" w:rsidRPr="000C5235">
        <w:t xml:space="preserve"> </w:t>
      </w:r>
      <w:r w:rsidRPr="000C5235">
        <w:t>4 and the totals shown at the bottom of the outcome expense tables (Table 2.X.1). Please refer to the latest Finance guidance on ASL</w:t>
      </w:r>
      <w:r w:rsidRPr="000C5235">
        <w:rPr>
          <w:i/>
        </w:rPr>
        <w:t xml:space="preserve"> </w:t>
      </w:r>
      <w:r w:rsidRPr="000C5235">
        <w:t xml:space="preserve">for more information on ASL reporting. </w:t>
      </w:r>
    </w:p>
    <w:p w14:paraId="4D3235B1" w14:textId="77777777" w:rsidR="00B54712" w:rsidRPr="000C5235" w:rsidRDefault="00B54712" w:rsidP="000A7DEC">
      <w:pPr>
        <w:pStyle w:val="Heading4nonumbers"/>
        <w:rPr>
          <w:rStyle w:val="BodyTextChar"/>
          <w:sz w:val="24"/>
        </w:rPr>
      </w:pPr>
      <w:r w:rsidRPr="000C5235">
        <w:rPr>
          <w:rStyle w:val="BodyTextChar"/>
        </w:rPr>
        <w:t xml:space="preserve">Third </w:t>
      </w:r>
      <w:r w:rsidR="00087818" w:rsidRPr="000C5235">
        <w:rPr>
          <w:rStyle w:val="BodyTextChar"/>
        </w:rPr>
        <w:t>p</w:t>
      </w:r>
      <w:r w:rsidRPr="000C5235">
        <w:rPr>
          <w:rStyle w:val="BodyTextChar"/>
        </w:rPr>
        <w:t xml:space="preserve">arty </w:t>
      </w:r>
      <w:r w:rsidR="00087818" w:rsidRPr="000C5235">
        <w:rPr>
          <w:rStyle w:val="BodyTextChar"/>
        </w:rPr>
        <w:t>p</w:t>
      </w:r>
      <w:r w:rsidRPr="000C5235">
        <w:rPr>
          <w:rStyle w:val="BodyTextChar"/>
        </w:rPr>
        <w:t>ayments</w:t>
      </w:r>
    </w:p>
    <w:p w14:paraId="1A42AB2F" w14:textId="77777777" w:rsidR="00B54712" w:rsidRPr="000C5235" w:rsidRDefault="00B54712" w:rsidP="000A7DEC">
      <w:r w:rsidRPr="000C5235">
        <w:t>The “</w:t>
      </w:r>
      <w:r w:rsidRPr="000C5235">
        <w:rPr>
          <w:u w:val="single"/>
        </w:rPr>
        <w:t>Third Party Payments</w:t>
      </w:r>
      <w:r w:rsidRPr="000C5235">
        <w:t xml:space="preserve">” information will be drawn from entities’ own records and should be agreed with the relevant entities. These figures should be prepared on a consistent basis with the rest of </w:t>
      </w:r>
      <w:r w:rsidRPr="000C5235">
        <w:rPr>
          <w:i/>
        </w:rPr>
        <w:t>Table 1.1,</w:t>
      </w:r>
      <w:r w:rsidRPr="000C5235">
        <w:t xml:space="preserve"> </w:t>
      </w:r>
      <w:r w:rsidR="00E10C89" w:rsidRPr="000C5235">
        <w:t>ie</w:t>
      </w:r>
      <w:r w:rsidRPr="000C5235">
        <w:t xml:space="preserve"> using resourcing/appropriations transferred figures, and the reader should be able to reconcile figures between entities. </w:t>
      </w:r>
    </w:p>
    <w:p w14:paraId="0AADE26D" w14:textId="77777777" w:rsidR="00B54712" w:rsidRPr="000C5235" w:rsidRDefault="00B54712">
      <w:pPr>
        <w:pStyle w:val="Bullet1"/>
        <w:rPr>
          <w:rStyle w:val="BodyTextChar"/>
          <w:rFonts w:asciiTheme="minorHAnsi" w:hAnsiTheme="minorHAnsi"/>
        </w:rPr>
      </w:pPr>
      <w:r w:rsidRPr="000C5235">
        <w:rPr>
          <w:rStyle w:val="BodyTextChar"/>
        </w:rPr>
        <w:t>This sub-table should only be prepared by those entities which:</w:t>
      </w:r>
    </w:p>
    <w:p w14:paraId="4BD4137D" w14:textId="77777777" w:rsidR="00A86DDD" w:rsidRPr="000C5235" w:rsidRDefault="00B54712">
      <w:pPr>
        <w:pStyle w:val="Bullet2"/>
        <w:rPr>
          <w:rStyle w:val="BodyTextChar"/>
        </w:rPr>
      </w:pPr>
      <w:r w:rsidRPr="000C5235">
        <w:rPr>
          <w:rStyle w:val="BodyTextChar"/>
        </w:rPr>
        <w:t xml:space="preserve">are </w:t>
      </w:r>
      <w:r w:rsidR="000C53A8" w:rsidRPr="000C5235">
        <w:rPr>
          <w:rStyle w:val="BodyTextChar"/>
        </w:rPr>
        <w:t>identified as</w:t>
      </w:r>
      <w:r w:rsidR="00A86DDD" w:rsidRPr="000C5235">
        <w:rPr>
          <w:rStyle w:val="BodyTextChar"/>
        </w:rPr>
        <w:t xml:space="preserve"> </w:t>
      </w:r>
      <w:r w:rsidR="00DE63E7" w:rsidRPr="000C5235">
        <w:rPr>
          <w:rStyle w:val="BodyTextChar"/>
          <w:i/>
        </w:rPr>
        <w:t>M</w:t>
      </w:r>
      <w:r w:rsidRPr="000C5235">
        <w:rPr>
          <w:rStyle w:val="BodyTextChar"/>
          <w:i/>
        </w:rPr>
        <w:t>aterial</w:t>
      </w:r>
      <w:r w:rsidRPr="000C5235">
        <w:rPr>
          <w:rStyle w:val="BodyTextChar"/>
        </w:rPr>
        <w:t xml:space="preserve"> entities </w:t>
      </w:r>
      <w:r w:rsidR="000C53A8" w:rsidRPr="000C5235">
        <w:rPr>
          <w:rStyle w:val="BodyTextChar"/>
        </w:rPr>
        <w:t xml:space="preserve">under either the </w:t>
      </w:r>
      <w:r w:rsidR="000C53A8" w:rsidRPr="000C5235">
        <w:rPr>
          <w:rStyle w:val="BodyTextChar"/>
          <w:i/>
        </w:rPr>
        <w:t>AGOR Register</w:t>
      </w:r>
      <w:r w:rsidR="000C53A8" w:rsidRPr="000C5235">
        <w:rPr>
          <w:rStyle w:val="BodyTextChar"/>
        </w:rPr>
        <w:t xml:space="preserve"> and </w:t>
      </w:r>
      <w:r w:rsidR="000C53A8" w:rsidRPr="000C5235">
        <w:rPr>
          <w:rStyle w:val="BodyTextChar"/>
          <w:i/>
        </w:rPr>
        <w:t xml:space="preserve">PGPA Act Flipchart </w:t>
      </w:r>
      <w:r w:rsidRPr="000C5235">
        <w:rPr>
          <w:rStyle w:val="BodyTextChar"/>
        </w:rPr>
        <w:t>and</w:t>
      </w:r>
    </w:p>
    <w:p w14:paraId="21FC7C7A" w14:textId="77777777" w:rsidR="000C53A8" w:rsidRPr="000C5235" w:rsidRDefault="00B54712">
      <w:pPr>
        <w:pStyle w:val="Bullet2"/>
        <w:rPr>
          <w:rStyle w:val="BodyTextChar"/>
        </w:rPr>
      </w:pPr>
      <w:r w:rsidRPr="000C5235">
        <w:rPr>
          <w:rStyle w:val="BodyTextChar"/>
        </w:rPr>
        <w:t>have total third party payments of $10 million or more in a year or</w:t>
      </w:r>
    </w:p>
    <w:p w14:paraId="6E401488" w14:textId="77777777" w:rsidR="00B54712" w:rsidRPr="000C5235" w:rsidRDefault="00DE63E7">
      <w:pPr>
        <w:pStyle w:val="Bullet2"/>
        <w:rPr>
          <w:rStyle w:val="BodyTextChar"/>
        </w:rPr>
      </w:pPr>
      <w:r w:rsidRPr="000C5235">
        <w:rPr>
          <w:rStyle w:val="BodyTextChar"/>
        </w:rPr>
        <w:t xml:space="preserve">are considered </w:t>
      </w:r>
      <w:r w:rsidRPr="000C5235">
        <w:rPr>
          <w:rStyle w:val="BodyTextChar"/>
          <w:i/>
        </w:rPr>
        <w:t>S</w:t>
      </w:r>
      <w:r w:rsidR="005C0A22" w:rsidRPr="000C5235">
        <w:rPr>
          <w:rStyle w:val="BodyTextChar"/>
          <w:i/>
        </w:rPr>
        <w:t xml:space="preserve">mall </w:t>
      </w:r>
      <w:r w:rsidR="005C0A22" w:rsidRPr="000C5235">
        <w:rPr>
          <w:rStyle w:val="BodyTextChar"/>
        </w:rPr>
        <w:t xml:space="preserve">entities </w:t>
      </w:r>
      <w:r w:rsidRPr="000C5235">
        <w:rPr>
          <w:rStyle w:val="BodyTextChar"/>
        </w:rPr>
        <w:t xml:space="preserve">who </w:t>
      </w:r>
      <w:r w:rsidR="00B54712" w:rsidRPr="000C5235">
        <w:rPr>
          <w:rStyle w:val="BodyTextChar"/>
        </w:rPr>
        <w:t>have third party payments totalling more than 25 per cent of their total resourcing.</w:t>
      </w:r>
    </w:p>
    <w:p w14:paraId="2B6098CC" w14:textId="77777777" w:rsidR="00DE63E7" w:rsidRPr="000C5235" w:rsidRDefault="00DE63E7" w:rsidP="000A7DEC">
      <w:pPr>
        <w:pStyle w:val="Bullet2"/>
        <w:numPr>
          <w:ilvl w:val="0"/>
          <w:numId w:val="0"/>
        </w:numPr>
        <w:ind w:left="425"/>
        <w:rPr>
          <w:rStyle w:val="BodyTextChar"/>
        </w:rPr>
      </w:pPr>
      <w:r w:rsidRPr="000C5235">
        <w:rPr>
          <w:rStyle w:val="BodyTextChar"/>
          <w:color w:val="FF0000"/>
          <w:u w:val="single"/>
        </w:rPr>
        <w:t>Note:</w:t>
      </w:r>
      <w:r w:rsidRPr="000C5235">
        <w:rPr>
          <w:rStyle w:val="BodyTextChar"/>
          <w:color w:val="FF0000"/>
        </w:rPr>
        <w:t xml:space="preserve"> both Material and Small entities can be identified by looking at the </w:t>
      </w:r>
      <w:r w:rsidRPr="000C5235">
        <w:rPr>
          <w:rStyle w:val="BodyTextChar"/>
          <w:i/>
          <w:color w:val="FF0000"/>
        </w:rPr>
        <w:t>AGOR Register</w:t>
      </w:r>
      <w:r w:rsidRPr="000C5235">
        <w:rPr>
          <w:rStyle w:val="BodyTextChar"/>
          <w:color w:val="FF0000"/>
        </w:rPr>
        <w:t xml:space="preserve"> or at Finance's </w:t>
      </w:r>
      <w:r w:rsidRPr="000C5235">
        <w:rPr>
          <w:rStyle w:val="BodyTextChar"/>
          <w:i/>
          <w:color w:val="FF0000"/>
        </w:rPr>
        <w:t>PGPA Act Flipchart of Commonwealth entities and companies</w:t>
      </w:r>
      <w:r w:rsidR="00CA0B04" w:rsidRPr="000C5235">
        <w:rPr>
          <w:rStyle w:val="BodyTextChar"/>
          <w:color w:val="FF0000"/>
        </w:rPr>
        <w:t xml:space="preserve"> (please refer to the </w:t>
      </w:r>
      <w:r w:rsidR="004B7A1B" w:rsidRPr="000C5235">
        <w:rPr>
          <w:rStyle w:val="BodyTextChar"/>
          <w:color w:val="FF0000"/>
        </w:rPr>
        <w:t>G</w:t>
      </w:r>
      <w:r w:rsidR="00CA0B04" w:rsidRPr="000C5235">
        <w:rPr>
          <w:rStyle w:val="BodyTextChar"/>
          <w:color w:val="FF0000"/>
        </w:rPr>
        <w:t>lossary for info on AGOR and the flipchart)</w:t>
      </w:r>
      <w:r w:rsidRPr="000C5235">
        <w:rPr>
          <w:rStyle w:val="BodyTextChar"/>
          <w:color w:val="FF0000"/>
        </w:rPr>
        <w:t>.</w:t>
      </w:r>
    </w:p>
    <w:p w14:paraId="33D29976" w14:textId="77777777" w:rsidR="00B54712" w:rsidRPr="000C5235" w:rsidRDefault="00B54712">
      <w:pPr>
        <w:pStyle w:val="Bullet1"/>
        <w:rPr>
          <w:rStyle w:val="BodyTextChar"/>
        </w:rPr>
      </w:pPr>
      <w:r w:rsidRPr="000C5235">
        <w:rPr>
          <w:rStyle w:val="BodyTextChar"/>
        </w:rPr>
        <w:t>This sub-table is intended to show the types and materiality of inter-entity transfers of resourcing. Figures shown will be a sub-set of the total resourcing shown in the top section of Table 1.1.</w:t>
      </w:r>
    </w:p>
    <w:p w14:paraId="3156050E" w14:textId="77777777" w:rsidR="00B54712" w:rsidRPr="000C5235" w:rsidRDefault="00B54712">
      <w:pPr>
        <w:pStyle w:val="Bullet2"/>
        <w:rPr>
          <w:rStyle w:val="BodyTextChar"/>
        </w:rPr>
      </w:pPr>
      <w:r w:rsidRPr="000C5235">
        <w:rPr>
          <w:rStyle w:val="BodyTextChar"/>
        </w:rPr>
        <w:t>“</w:t>
      </w:r>
      <w:r w:rsidRPr="000C5235">
        <w:rPr>
          <w:rStyle w:val="BodyTextChar"/>
          <w:u w:val="single"/>
        </w:rPr>
        <w:t>Payments made on behalf of another entity</w:t>
      </w:r>
      <w:r w:rsidRPr="000C5235">
        <w:rPr>
          <w:rStyle w:val="BodyTextChar"/>
        </w:rPr>
        <w:t xml:space="preserve">” occur where an entity accesses another entity’s appropriations to pay recipients or external parties on behalf of the other entity, for example, the </w:t>
      </w:r>
      <w:r w:rsidR="000F1A93" w:rsidRPr="000C5235">
        <w:rPr>
          <w:rStyle w:val="BodyTextChar"/>
        </w:rPr>
        <w:t>Services Australia</w:t>
      </w:r>
      <w:r w:rsidRPr="000C5235">
        <w:rPr>
          <w:rStyle w:val="BodyTextChar"/>
        </w:rPr>
        <w:t xml:space="preserve"> would show the amount of appropriations it draws upon to pay income support recipients on behalf of the Department of Social Services (DSS)</w:t>
      </w:r>
      <w:r w:rsidR="00D07CC2" w:rsidRPr="000C5235">
        <w:rPr>
          <w:rStyle w:val="BodyTextChar"/>
        </w:rPr>
        <w:t>.</w:t>
      </w:r>
    </w:p>
    <w:p w14:paraId="4C0CC4F9" w14:textId="77777777" w:rsidR="00B54712" w:rsidRPr="000C5235" w:rsidRDefault="00B54712">
      <w:pPr>
        <w:pStyle w:val="Bullet2"/>
        <w:rPr>
          <w:rStyle w:val="BodyTextChar"/>
        </w:rPr>
      </w:pPr>
      <w:r w:rsidRPr="000C5235">
        <w:rPr>
          <w:rStyle w:val="BodyTextChar"/>
        </w:rPr>
        <w:t>“</w:t>
      </w:r>
      <w:r w:rsidRPr="000C5235">
        <w:rPr>
          <w:rStyle w:val="BodyTextChar"/>
          <w:u w:val="single"/>
        </w:rPr>
        <w:t>Payments made by other entities on behalf of the entity</w:t>
      </w:r>
      <w:r w:rsidRPr="000C5235">
        <w:rPr>
          <w:rStyle w:val="BodyTextChar"/>
        </w:rPr>
        <w:t xml:space="preserve">” are those payments which have been outsourced to another entity to administer, for example, DSS would disclose the appropriations being drawn upon by </w:t>
      </w:r>
      <w:r w:rsidR="000F1A93" w:rsidRPr="000C5235">
        <w:rPr>
          <w:rStyle w:val="BodyTextChar"/>
        </w:rPr>
        <w:t xml:space="preserve">Services Australia </w:t>
      </w:r>
      <w:r w:rsidRPr="000C5235">
        <w:rPr>
          <w:rStyle w:val="BodyTextChar"/>
        </w:rPr>
        <w:t>to pay income support recipients</w:t>
      </w:r>
      <w:r w:rsidR="00D07CC2" w:rsidRPr="000C5235">
        <w:rPr>
          <w:rStyle w:val="BodyTextChar"/>
        </w:rPr>
        <w:t>.</w:t>
      </w:r>
    </w:p>
    <w:p w14:paraId="20ED6AF6" w14:textId="77777777" w:rsidR="00B54712" w:rsidRPr="000C5235" w:rsidRDefault="00B54712">
      <w:pPr>
        <w:pStyle w:val="Bullet2"/>
        <w:rPr>
          <w:rStyle w:val="BodyTextChar"/>
        </w:rPr>
      </w:pPr>
      <w:r w:rsidRPr="000C5235">
        <w:rPr>
          <w:rStyle w:val="BodyTextChar"/>
        </w:rPr>
        <w:t>“</w:t>
      </w:r>
      <w:r w:rsidRPr="000C5235">
        <w:rPr>
          <w:rStyle w:val="BodyTextChar"/>
          <w:u w:val="single"/>
        </w:rPr>
        <w:t>Payments made to other entities for the provision of services</w:t>
      </w:r>
      <w:r w:rsidRPr="000C5235">
        <w:rPr>
          <w:rStyle w:val="BodyTextChar"/>
        </w:rPr>
        <w:t>” are amounts paid to other entities for contracted services, for example, for shared/corporate services</w:t>
      </w:r>
      <w:r w:rsidR="00D07CC2" w:rsidRPr="000C5235">
        <w:rPr>
          <w:rStyle w:val="BodyTextChar"/>
        </w:rPr>
        <w:t>.</w:t>
      </w:r>
    </w:p>
    <w:p w14:paraId="4F2D256D" w14:textId="77777777" w:rsidR="00B54712" w:rsidRPr="000C5235" w:rsidRDefault="00B54712">
      <w:pPr>
        <w:pStyle w:val="Bullet2"/>
        <w:rPr>
          <w:rStyle w:val="BodyTextChar"/>
        </w:rPr>
      </w:pPr>
      <w:r w:rsidRPr="000C5235">
        <w:rPr>
          <w:rStyle w:val="BodyTextChar"/>
        </w:rPr>
        <w:t>“</w:t>
      </w:r>
      <w:r w:rsidRPr="000C5235">
        <w:rPr>
          <w:rStyle w:val="BodyTextChar"/>
          <w:u w:val="single"/>
        </w:rPr>
        <w:t>Receipts received from other entities for the provision of services</w:t>
      </w:r>
      <w:r w:rsidRPr="000C5235">
        <w:rPr>
          <w:rStyle w:val="BodyTextChar"/>
        </w:rPr>
        <w:t>” are amounts received where the entity provides services to another entity, for example, for the provision of shared/corporate services</w:t>
      </w:r>
      <w:r w:rsidR="00D07CC2" w:rsidRPr="000C5235">
        <w:rPr>
          <w:rStyle w:val="BodyTextChar"/>
        </w:rPr>
        <w:t>.</w:t>
      </w:r>
    </w:p>
    <w:p w14:paraId="12019A12" w14:textId="77777777" w:rsidR="00B54712" w:rsidRPr="000C5235" w:rsidRDefault="00B54712">
      <w:pPr>
        <w:pStyle w:val="Bullet2"/>
        <w:rPr>
          <w:rStyle w:val="BodyTextChar"/>
        </w:rPr>
      </w:pPr>
      <w:r w:rsidRPr="000C5235">
        <w:rPr>
          <w:rStyle w:val="BodyTextChar"/>
        </w:rPr>
        <w:t>“</w:t>
      </w:r>
      <w:r w:rsidRPr="000C5235">
        <w:rPr>
          <w:rStyle w:val="BodyTextChar"/>
          <w:u w:val="single"/>
        </w:rPr>
        <w:t xml:space="preserve">Payments made to corporate entities within the </w:t>
      </w:r>
      <w:r w:rsidR="00811956" w:rsidRPr="000C5235">
        <w:rPr>
          <w:rStyle w:val="BodyTextChar"/>
          <w:u w:val="single"/>
        </w:rPr>
        <w:t>P</w:t>
      </w:r>
      <w:r w:rsidRPr="000C5235">
        <w:rPr>
          <w:rStyle w:val="BodyTextChar"/>
          <w:u w:val="single"/>
        </w:rPr>
        <w:t>ortfolio</w:t>
      </w:r>
      <w:r w:rsidRPr="000C5235">
        <w:rPr>
          <w:rStyle w:val="BodyTextChar"/>
        </w:rPr>
        <w:t>” provides a breakdown of payments (from all appropriation sources) made by portfolio departments to each corporate entity in the portfolio – figures shown here should include amounts disclosed as “payments to corporate entities” in the Appropriation Bills. These amounts should be consistent with any figures reported in Table 2.X.1.</w:t>
      </w:r>
    </w:p>
    <w:p w14:paraId="6280655A" w14:textId="77777777" w:rsidR="00B54712" w:rsidRPr="000C5235" w:rsidRDefault="00B54712" w:rsidP="000A7DEC">
      <w:pPr>
        <w:pStyle w:val="Heading4nonumbers"/>
        <w:rPr>
          <w:rStyle w:val="BodyTextChar"/>
          <w:b/>
          <w:sz w:val="24"/>
        </w:rPr>
      </w:pPr>
      <w:r w:rsidRPr="000C5235">
        <w:rPr>
          <w:rStyle w:val="BodyTextChar"/>
        </w:rPr>
        <w:t>Source of information</w:t>
      </w:r>
    </w:p>
    <w:p w14:paraId="72BD0C1A" w14:textId="77777777" w:rsidR="00B54712" w:rsidRPr="000C5235" w:rsidRDefault="00B54712">
      <w:pPr>
        <w:pStyle w:val="Bullet1"/>
        <w:rPr>
          <w:rStyle w:val="BodyTextChar"/>
        </w:rPr>
      </w:pPr>
      <w:r w:rsidRPr="000C5235">
        <w:rPr>
          <w:rStyle w:val="BodyTextChar"/>
        </w:rPr>
        <w:t xml:space="preserve">Appropriation information in this table must be sourced from CBMS and an entity’s annual </w:t>
      </w:r>
      <w:r w:rsidR="00FD4BA3" w:rsidRPr="000C5235">
        <w:rPr>
          <w:rStyle w:val="BodyTextChar"/>
        </w:rPr>
        <w:t>report and</w:t>
      </w:r>
      <w:r w:rsidRPr="000C5235">
        <w:rPr>
          <w:rStyle w:val="BodyTextChar"/>
        </w:rPr>
        <w:t xml:space="preserve"> should be consistent with information captured in an entity’s financial management information system (FMIS).</w:t>
      </w:r>
    </w:p>
    <w:p w14:paraId="59863C8D" w14:textId="77777777" w:rsidR="008F2BD5" w:rsidRPr="000C5235" w:rsidRDefault="00B54712" w:rsidP="000A7DEC">
      <w:pPr>
        <w:rPr>
          <w:rStyle w:val="BodyTextChar"/>
        </w:rPr>
      </w:pPr>
      <w:r w:rsidRPr="000C5235">
        <w:rPr>
          <w:rStyle w:val="BodyTextChar"/>
        </w:rPr>
        <w:t>For those tables that are not yet available in CBMS</w:t>
      </w:r>
      <w:r w:rsidR="00FC7334" w:rsidRPr="000C5235">
        <w:rPr>
          <w:rStyle w:val="BodyTextChar"/>
        </w:rPr>
        <w:t xml:space="preserve"> (</w:t>
      </w:r>
      <w:r w:rsidR="00E10C89" w:rsidRPr="000C5235">
        <w:rPr>
          <w:rStyle w:val="BodyTextChar"/>
        </w:rPr>
        <w:t>ie</w:t>
      </w:r>
      <w:r w:rsidR="00FC7334" w:rsidRPr="000C5235">
        <w:rPr>
          <w:rStyle w:val="BodyTextChar"/>
        </w:rPr>
        <w:t xml:space="preserve"> Section 1)</w:t>
      </w:r>
      <w:r w:rsidRPr="000C5235">
        <w:rPr>
          <w:rStyle w:val="BodyTextChar"/>
        </w:rPr>
        <w:t xml:space="preserve">, to assist </w:t>
      </w:r>
      <w:r w:rsidR="00811956" w:rsidRPr="000C5235">
        <w:rPr>
          <w:rStyle w:val="BodyTextChar"/>
        </w:rPr>
        <w:t xml:space="preserve">entities </w:t>
      </w:r>
      <w:r w:rsidRPr="000C5235">
        <w:rPr>
          <w:rStyle w:val="BodyTextChar"/>
        </w:rPr>
        <w:t>with quality assurance and cross-checking data, the majority of the information for the PB</w:t>
      </w:r>
      <w:r w:rsidR="00CD3E53" w:rsidRPr="000C5235">
        <w:rPr>
          <w:rStyle w:val="BodyTextChar"/>
        </w:rPr>
        <w:t> </w:t>
      </w:r>
      <w:r w:rsidRPr="000C5235">
        <w:rPr>
          <w:rStyle w:val="BodyTextChar"/>
        </w:rPr>
        <w:t>S</w:t>
      </w:r>
      <w:r w:rsidR="00CD3E53" w:rsidRPr="000C5235">
        <w:rPr>
          <w:rStyle w:val="BodyTextChar"/>
        </w:rPr>
        <w:t>tatement</w:t>
      </w:r>
      <w:r w:rsidRPr="000C5235">
        <w:rPr>
          <w:rStyle w:val="BodyTextChar"/>
        </w:rPr>
        <w:t xml:space="preserve"> Tables can be sourced by running the following reports in CBMS</w:t>
      </w:r>
      <w:r w:rsidR="008F2BD5" w:rsidRPr="000C5235">
        <w:rPr>
          <w:rStyle w:val="BodyTextChar"/>
        </w:rPr>
        <w:t>.</w:t>
      </w:r>
    </w:p>
    <w:p w14:paraId="0DCDD7D9" w14:textId="77777777" w:rsidR="005E333F" w:rsidRPr="000C5235" w:rsidRDefault="005E333F" w:rsidP="000A7DEC">
      <w:pPr>
        <w:rPr>
          <w:rStyle w:val="BodyTextChar"/>
          <w:rFonts w:eastAsiaTheme="minorHAnsi" w:cstheme="minorBidi"/>
          <w:u w:val="single"/>
        </w:rPr>
      </w:pPr>
      <w:r w:rsidRPr="000C5235">
        <w:rPr>
          <w:rStyle w:val="BodyTextChar"/>
          <w:rFonts w:eastAsiaTheme="minorHAnsi" w:cstheme="minorBidi"/>
          <w:u w:val="single"/>
        </w:rPr>
        <w:t>Appropriation Bill Nos. 1 and 2 (for 2020-21)</w:t>
      </w:r>
    </w:p>
    <w:p w14:paraId="2CDE6584" w14:textId="77777777" w:rsidR="00B54712" w:rsidRPr="000C5235" w:rsidRDefault="00B54712" w:rsidP="000A7DEC">
      <w:pPr>
        <w:pStyle w:val="Reports2"/>
      </w:pPr>
      <w:r w:rsidRPr="000C5235">
        <w:rPr>
          <w:rStyle w:val="BodyTextChar"/>
        </w:rPr>
        <w:t>Reports</w:t>
      </w:r>
      <w:r w:rsidRPr="000C5235">
        <w:t xml:space="preserve"> </w:t>
      </w:r>
      <w:r w:rsidR="00323F53" w:rsidRPr="000C5235">
        <w:sym w:font="Wingdings" w:char="F0E0"/>
      </w:r>
      <w:r w:rsidRPr="000C5235">
        <w:t xml:space="preserve"> CBMS Reporting </w:t>
      </w:r>
      <w:r w:rsidR="00323F53" w:rsidRPr="000C5235">
        <w:sym w:font="Wingdings" w:char="F0E0"/>
      </w:r>
      <w:r w:rsidRPr="000C5235">
        <w:t xml:space="preserve"> Statutory Reports </w:t>
      </w:r>
      <w:r w:rsidR="00323F53" w:rsidRPr="000C5235">
        <w:sym w:font="Wingdings" w:char="F0E0"/>
      </w:r>
      <w:r w:rsidRPr="000C5235">
        <w:t xml:space="preserve"> Appropriation Bills </w:t>
      </w:r>
      <w:r w:rsidR="00323F53" w:rsidRPr="000C5235">
        <w:sym w:font="Wingdings" w:char="F0E0"/>
      </w:r>
      <w:r w:rsidR="00323F53" w:rsidRPr="000C5235">
        <w:t> </w:t>
      </w:r>
      <w:r w:rsidR="00442152" w:rsidRPr="000C5235">
        <w:t>Budget</w:t>
      </w:r>
      <w:r w:rsidRPr="000C5235">
        <w:t xml:space="preserve"> Bills </w:t>
      </w:r>
      <w:r w:rsidR="00323F53" w:rsidRPr="000C5235">
        <w:sym w:font="Wingdings" w:char="F0E0"/>
      </w:r>
      <w:r w:rsidR="00323F53" w:rsidRPr="000C5235">
        <w:t xml:space="preserve"> </w:t>
      </w:r>
      <w:r w:rsidRPr="000C5235">
        <w:t xml:space="preserve">Appropriation Bill 1 </w:t>
      </w:r>
      <w:r w:rsidR="00442152" w:rsidRPr="000C5235">
        <w:t xml:space="preserve">- </w:t>
      </w:r>
      <w:r w:rsidRPr="000C5235">
        <w:t>Portfolio Summary and Detail</w:t>
      </w:r>
    </w:p>
    <w:p w14:paraId="6AE94FF1" w14:textId="77777777" w:rsidR="005E333F" w:rsidRPr="000C5235" w:rsidRDefault="00B54712" w:rsidP="000A7DEC">
      <w:pPr>
        <w:pStyle w:val="Reports2"/>
        <w:rPr>
          <w:rStyle w:val="BodyTextChar"/>
        </w:rPr>
      </w:pPr>
      <w:r w:rsidRPr="000C5235">
        <w:rPr>
          <w:rStyle w:val="BodyTextChar"/>
        </w:rPr>
        <w:t xml:space="preserve">Reports </w:t>
      </w:r>
      <w:r w:rsidR="00323F53" w:rsidRPr="000C5235">
        <w:rPr>
          <w:rStyle w:val="BodyTextChar"/>
        </w:rPr>
        <w:sym w:font="Wingdings" w:char="F0E0"/>
      </w:r>
      <w:r w:rsidR="00323F53" w:rsidRPr="000C5235">
        <w:rPr>
          <w:rStyle w:val="BodyTextChar"/>
        </w:rPr>
        <w:t xml:space="preserve"> </w:t>
      </w:r>
      <w:r w:rsidRPr="000C5235">
        <w:rPr>
          <w:rStyle w:val="BodyTextChar"/>
        </w:rPr>
        <w:t xml:space="preserve">CBMS Reporting </w:t>
      </w:r>
      <w:r w:rsidR="00323F53" w:rsidRPr="000C5235">
        <w:rPr>
          <w:rStyle w:val="BodyTextChar"/>
        </w:rPr>
        <w:sym w:font="Wingdings" w:char="F0E0"/>
      </w:r>
      <w:r w:rsidRPr="000C5235">
        <w:rPr>
          <w:rStyle w:val="BodyTextChar"/>
        </w:rPr>
        <w:t xml:space="preserve"> Statutory Reports </w:t>
      </w:r>
      <w:r w:rsidR="00323F53" w:rsidRPr="000C5235">
        <w:rPr>
          <w:rStyle w:val="BodyTextChar"/>
        </w:rPr>
        <w:sym w:font="Wingdings" w:char="F0E0"/>
      </w:r>
      <w:r w:rsidRPr="000C5235">
        <w:rPr>
          <w:rStyle w:val="BodyTextChar"/>
        </w:rPr>
        <w:t xml:space="preserve"> Appropriation Bills </w:t>
      </w:r>
      <w:r w:rsidR="00323F53" w:rsidRPr="000C5235">
        <w:rPr>
          <w:rStyle w:val="BodyTextChar"/>
        </w:rPr>
        <w:sym w:font="Wingdings" w:char="F0E0"/>
      </w:r>
      <w:r w:rsidRPr="000C5235">
        <w:rPr>
          <w:rStyle w:val="BodyTextChar"/>
        </w:rPr>
        <w:t xml:space="preserve"> </w:t>
      </w:r>
      <w:r w:rsidR="00442152" w:rsidRPr="000C5235">
        <w:rPr>
          <w:rStyle w:val="BodyTextChar"/>
        </w:rPr>
        <w:t>Budget</w:t>
      </w:r>
      <w:r w:rsidRPr="000C5235">
        <w:rPr>
          <w:rStyle w:val="BodyTextChar"/>
        </w:rPr>
        <w:t xml:space="preserve"> Bills </w:t>
      </w:r>
      <w:r w:rsidR="00323F53" w:rsidRPr="000C5235">
        <w:rPr>
          <w:rStyle w:val="BodyTextChar"/>
        </w:rPr>
        <w:sym w:font="Wingdings" w:char="F0E0"/>
      </w:r>
      <w:r w:rsidRPr="000C5235">
        <w:rPr>
          <w:rStyle w:val="BodyTextChar"/>
        </w:rPr>
        <w:t xml:space="preserve"> Appropriation Bill 2 </w:t>
      </w:r>
      <w:r w:rsidR="00442152" w:rsidRPr="000C5235">
        <w:rPr>
          <w:rStyle w:val="BodyTextChar"/>
        </w:rPr>
        <w:t xml:space="preserve">- </w:t>
      </w:r>
      <w:r w:rsidRPr="000C5235">
        <w:rPr>
          <w:rStyle w:val="BodyTextChar"/>
        </w:rPr>
        <w:t>Portfolio Summary and Detail</w:t>
      </w:r>
    </w:p>
    <w:p w14:paraId="13ACCC56" w14:textId="77777777" w:rsidR="005E333F" w:rsidRPr="000C5235" w:rsidRDefault="005E333F" w:rsidP="00BD6313">
      <w:pPr>
        <w:suppressAutoHyphens w:val="0"/>
        <w:spacing w:before="0" w:after="120" w:line="440" w:lineRule="atLeast"/>
        <w:rPr>
          <w:rStyle w:val="BodyTextChar"/>
          <w:i/>
          <w:u w:val="single"/>
        </w:rPr>
      </w:pPr>
      <w:r w:rsidRPr="000C5235">
        <w:rPr>
          <w:rStyle w:val="BodyTextChar"/>
          <w:u w:val="single"/>
        </w:rPr>
        <w:t>Appropriation Act Nos. 3 and 4 (for 2019-20)</w:t>
      </w:r>
    </w:p>
    <w:p w14:paraId="6727B56A" w14:textId="77777777" w:rsidR="005E333F" w:rsidRPr="000C5235" w:rsidRDefault="005E333F" w:rsidP="000A7DEC">
      <w:pPr>
        <w:pStyle w:val="Reports2"/>
      </w:pPr>
      <w:r w:rsidRPr="000C5235">
        <w:rPr>
          <w:rStyle w:val="BodyTextChar"/>
        </w:rPr>
        <w:t>Reports</w:t>
      </w:r>
      <w:r w:rsidRPr="000C5235">
        <w:t xml:space="preserve"> </w:t>
      </w:r>
      <w:r w:rsidRPr="000C5235">
        <w:sym w:font="Wingdings" w:char="F0E0"/>
      </w:r>
      <w:r w:rsidRPr="000C5235">
        <w:t xml:space="preserve"> CBMS Reporting </w:t>
      </w:r>
      <w:r w:rsidRPr="000C5235">
        <w:sym w:font="Wingdings" w:char="F0E0"/>
      </w:r>
      <w:r w:rsidRPr="000C5235">
        <w:t xml:space="preserve"> Statutory Reports </w:t>
      </w:r>
      <w:r w:rsidRPr="000C5235">
        <w:sym w:font="Wingdings" w:char="F0E0"/>
      </w:r>
      <w:r w:rsidRPr="000C5235">
        <w:t xml:space="preserve"> Appropriation Bills </w:t>
      </w:r>
      <w:r w:rsidRPr="000C5235">
        <w:sym w:font="Wingdings" w:char="F0E0"/>
      </w:r>
      <w:r w:rsidRPr="000C5235">
        <w:t xml:space="preserve"> Additional Estimates Bills </w:t>
      </w:r>
      <w:r w:rsidRPr="000C5235">
        <w:sym w:font="Wingdings" w:char="F0E0"/>
      </w:r>
      <w:r w:rsidRPr="000C5235">
        <w:t xml:space="preserve"> Appropriation Bill 3 - Portfolio Summary and Detail</w:t>
      </w:r>
    </w:p>
    <w:p w14:paraId="796789DB" w14:textId="77777777" w:rsidR="005E333F" w:rsidRPr="000C5235" w:rsidRDefault="005E333F" w:rsidP="000A7DEC">
      <w:pPr>
        <w:pStyle w:val="Reports2"/>
      </w:pPr>
      <w:r w:rsidRPr="000C5235">
        <w:rPr>
          <w:rStyle w:val="BodyTextChar"/>
        </w:rPr>
        <w:t>Reports</w:t>
      </w:r>
      <w:r w:rsidRPr="000C5235">
        <w:t xml:space="preserve"> </w:t>
      </w:r>
      <w:r w:rsidRPr="000C5235">
        <w:sym w:font="Wingdings" w:char="F0E0"/>
      </w:r>
      <w:r w:rsidRPr="000C5235">
        <w:t xml:space="preserve"> CBMS Reporting </w:t>
      </w:r>
      <w:r w:rsidRPr="000C5235">
        <w:sym w:font="Wingdings" w:char="F0E0"/>
      </w:r>
      <w:r w:rsidRPr="000C5235">
        <w:t xml:space="preserve"> Statutory Reports </w:t>
      </w:r>
      <w:r w:rsidRPr="000C5235">
        <w:sym w:font="Wingdings" w:char="F0E0"/>
      </w:r>
      <w:r w:rsidRPr="000C5235">
        <w:t xml:space="preserve"> Appropriation Bills </w:t>
      </w:r>
      <w:r w:rsidRPr="000C5235">
        <w:sym w:font="Wingdings" w:char="F0E0"/>
      </w:r>
      <w:r w:rsidRPr="000C5235">
        <w:t xml:space="preserve"> Additional Estimates Bills </w:t>
      </w:r>
      <w:r w:rsidRPr="000C5235">
        <w:sym w:font="Wingdings" w:char="F0E0"/>
      </w:r>
      <w:r w:rsidRPr="000C5235">
        <w:t xml:space="preserve"> Appropriation Bill 4 - Portfolio Summary and Detail</w:t>
      </w:r>
    </w:p>
    <w:p w14:paraId="14209B69" w14:textId="77777777" w:rsidR="00B54712" w:rsidRPr="000C5235" w:rsidRDefault="005E333F">
      <w:pPr>
        <w:rPr>
          <w:rStyle w:val="BodyTextChar"/>
          <w:u w:val="single"/>
        </w:rPr>
      </w:pPr>
      <w:r w:rsidRPr="000C5235">
        <w:rPr>
          <w:rStyle w:val="BodyTextChar"/>
          <w:u w:val="single"/>
        </w:rPr>
        <w:t>Appropriation Bill Nos. 5 and 6 (for 2019-20)</w:t>
      </w:r>
    </w:p>
    <w:p w14:paraId="41F6C092" w14:textId="77777777" w:rsidR="005E333F" w:rsidRPr="000C5235" w:rsidRDefault="00B54712" w:rsidP="000A7DEC">
      <w:pPr>
        <w:pStyle w:val="Reports2"/>
        <w:rPr>
          <w:rStyle w:val="BodyTextChar"/>
        </w:rPr>
      </w:pPr>
      <w:r w:rsidRPr="000C5235">
        <w:rPr>
          <w:rStyle w:val="BodyTextChar"/>
        </w:rPr>
        <w:t xml:space="preserve">Reports </w:t>
      </w:r>
      <w:r w:rsidR="00323F53" w:rsidRPr="000C5235">
        <w:rPr>
          <w:rStyle w:val="BodyTextChar"/>
        </w:rPr>
        <w:sym w:font="Wingdings" w:char="F0E0"/>
      </w:r>
      <w:r w:rsidRPr="000C5235">
        <w:rPr>
          <w:rStyle w:val="BodyTextChar"/>
        </w:rPr>
        <w:t xml:space="preserve"> CBMS Reporting </w:t>
      </w:r>
      <w:r w:rsidR="00323F53" w:rsidRPr="000C5235">
        <w:rPr>
          <w:rStyle w:val="BodyTextChar"/>
        </w:rPr>
        <w:sym w:font="Wingdings" w:char="F0E0"/>
      </w:r>
      <w:r w:rsidRPr="000C5235">
        <w:rPr>
          <w:rStyle w:val="BodyTextChar"/>
        </w:rPr>
        <w:t xml:space="preserve"> Statutory Reports </w:t>
      </w:r>
      <w:r w:rsidR="00323F53" w:rsidRPr="000C5235">
        <w:rPr>
          <w:rStyle w:val="BodyTextChar"/>
        </w:rPr>
        <w:sym w:font="Wingdings" w:char="F0E0"/>
      </w:r>
      <w:r w:rsidRPr="000C5235">
        <w:rPr>
          <w:rStyle w:val="BodyTextChar"/>
        </w:rPr>
        <w:t xml:space="preserve"> Appropriation Bills </w:t>
      </w:r>
      <w:r w:rsidR="00323F53" w:rsidRPr="000C5235">
        <w:rPr>
          <w:rStyle w:val="BodyTextChar"/>
        </w:rPr>
        <w:sym w:font="Wingdings" w:char="F0E0"/>
      </w:r>
      <w:r w:rsidRPr="000C5235">
        <w:rPr>
          <w:rStyle w:val="BodyTextChar"/>
        </w:rPr>
        <w:t xml:space="preserve"> Supplementary Bills </w:t>
      </w:r>
      <w:r w:rsidR="00323F53" w:rsidRPr="000C5235">
        <w:rPr>
          <w:rStyle w:val="BodyTextChar"/>
        </w:rPr>
        <w:sym w:font="Wingdings" w:char="F0E0"/>
      </w:r>
      <w:r w:rsidRPr="000C5235">
        <w:rPr>
          <w:rStyle w:val="BodyTextChar"/>
        </w:rPr>
        <w:t xml:space="preserve"> Appropriation Bill 5 </w:t>
      </w:r>
      <w:r w:rsidR="005E333F" w:rsidRPr="000C5235">
        <w:rPr>
          <w:rStyle w:val="BodyTextChar"/>
        </w:rPr>
        <w:t xml:space="preserve">- </w:t>
      </w:r>
      <w:r w:rsidRPr="000C5235">
        <w:rPr>
          <w:rStyle w:val="BodyTextChar"/>
        </w:rPr>
        <w:t>Portfolio Summary and Detai</w:t>
      </w:r>
      <w:r w:rsidR="005E333F" w:rsidRPr="000C5235">
        <w:rPr>
          <w:rStyle w:val="BodyTextChar"/>
        </w:rPr>
        <w:t>l</w:t>
      </w:r>
    </w:p>
    <w:p w14:paraId="32466812" w14:textId="77777777" w:rsidR="00B54712" w:rsidRPr="000C5235" w:rsidRDefault="005E333F" w:rsidP="000A7DEC">
      <w:pPr>
        <w:pStyle w:val="Reports2"/>
        <w:rPr>
          <w:rStyle w:val="BodyTextChar"/>
        </w:rPr>
      </w:pPr>
      <w:r w:rsidRPr="000C5235">
        <w:rPr>
          <w:rStyle w:val="BodyTextChar"/>
        </w:rPr>
        <w:t xml:space="preserve">Reports </w:t>
      </w:r>
      <w:r w:rsidRPr="000C5235">
        <w:rPr>
          <w:rStyle w:val="BodyTextChar"/>
        </w:rPr>
        <w:sym w:font="Wingdings" w:char="F0E0"/>
      </w:r>
      <w:r w:rsidRPr="000C5235">
        <w:rPr>
          <w:rStyle w:val="BodyTextChar"/>
        </w:rPr>
        <w:t xml:space="preserve"> CBMS Reporting </w:t>
      </w:r>
      <w:r w:rsidRPr="000C5235">
        <w:rPr>
          <w:rStyle w:val="BodyTextChar"/>
        </w:rPr>
        <w:sym w:font="Wingdings" w:char="F0E0"/>
      </w:r>
      <w:r w:rsidRPr="000C5235">
        <w:rPr>
          <w:rStyle w:val="BodyTextChar"/>
        </w:rPr>
        <w:t xml:space="preserve"> Statutory Reports </w:t>
      </w:r>
      <w:r w:rsidRPr="000C5235">
        <w:rPr>
          <w:rStyle w:val="BodyTextChar"/>
        </w:rPr>
        <w:sym w:font="Wingdings" w:char="F0E0"/>
      </w:r>
      <w:r w:rsidRPr="000C5235">
        <w:rPr>
          <w:rStyle w:val="BodyTextChar"/>
        </w:rPr>
        <w:t xml:space="preserve"> Appropriation Bills </w:t>
      </w:r>
      <w:r w:rsidRPr="000C5235">
        <w:rPr>
          <w:rStyle w:val="BodyTextChar"/>
        </w:rPr>
        <w:sym w:font="Wingdings" w:char="F0E0"/>
      </w:r>
      <w:r w:rsidRPr="000C5235">
        <w:rPr>
          <w:rStyle w:val="BodyTextChar"/>
        </w:rPr>
        <w:t xml:space="preserve"> Supplementary Bills </w:t>
      </w:r>
      <w:r w:rsidRPr="000C5235">
        <w:rPr>
          <w:rStyle w:val="BodyTextChar"/>
        </w:rPr>
        <w:sym w:font="Wingdings" w:char="F0E0"/>
      </w:r>
      <w:r w:rsidRPr="000C5235">
        <w:rPr>
          <w:rStyle w:val="BodyTextChar"/>
        </w:rPr>
        <w:t xml:space="preserve"> Appropriation Bill 6 - Portfolio Summary and Detail</w:t>
      </w:r>
    </w:p>
    <w:p w14:paraId="52135BDF" w14:textId="77777777" w:rsidR="0014717F" w:rsidRPr="000C5235" w:rsidRDefault="0014717F" w:rsidP="000A7DEC">
      <w:pPr>
        <w:rPr>
          <w:rStyle w:val="BodyTextChar"/>
          <w:u w:val="single"/>
        </w:rPr>
      </w:pPr>
      <w:r w:rsidRPr="000C5235">
        <w:rPr>
          <w:rStyle w:val="BodyTextChar"/>
          <w:u w:val="single"/>
        </w:rPr>
        <w:t>Other reports</w:t>
      </w:r>
    </w:p>
    <w:p w14:paraId="4BB851FA" w14:textId="77777777" w:rsidR="00B54712" w:rsidRPr="000C5235" w:rsidRDefault="00B54712" w:rsidP="000A7DEC">
      <w:pPr>
        <w:pStyle w:val="Reports2"/>
        <w:rPr>
          <w:rStyle w:val="BodyTextChar"/>
          <w:rFonts w:asciiTheme="minorHAnsi" w:hAnsiTheme="minorHAnsi"/>
          <w:i w:val="0"/>
        </w:rPr>
      </w:pPr>
      <w:r w:rsidRPr="000C5235">
        <w:rPr>
          <w:rStyle w:val="BodyTextChar"/>
        </w:rPr>
        <w:t xml:space="preserve">Reports </w:t>
      </w:r>
      <w:r w:rsidR="00323F53" w:rsidRPr="000C5235">
        <w:rPr>
          <w:rStyle w:val="BodyTextChar"/>
        </w:rPr>
        <w:sym w:font="Wingdings" w:char="F0E0"/>
      </w:r>
      <w:r w:rsidRPr="000C5235">
        <w:rPr>
          <w:rStyle w:val="BodyTextChar"/>
        </w:rPr>
        <w:t xml:space="preserve"> CBMS Reporting </w:t>
      </w:r>
      <w:r w:rsidR="00323F53" w:rsidRPr="000C5235">
        <w:rPr>
          <w:rStyle w:val="BodyTextChar"/>
        </w:rPr>
        <w:sym w:font="Wingdings" w:char="F0E0"/>
      </w:r>
      <w:r w:rsidRPr="000C5235">
        <w:rPr>
          <w:rStyle w:val="BodyTextChar"/>
        </w:rPr>
        <w:t xml:space="preserve"> Operational Reports </w:t>
      </w:r>
      <w:r w:rsidR="00323F53" w:rsidRPr="000C5235">
        <w:rPr>
          <w:rStyle w:val="BodyTextChar"/>
        </w:rPr>
        <w:sym w:font="Wingdings" w:char="F0E0"/>
      </w:r>
      <w:r w:rsidRPr="000C5235">
        <w:rPr>
          <w:rStyle w:val="BodyTextChar"/>
        </w:rPr>
        <w:t xml:space="preserve"> Estimates </w:t>
      </w:r>
      <w:r w:rsidR="00323F53" w:rsidRPr="000C5235">
        <w:rPr>
          <w:rStyle w:val="BodyTextChar"/>
        </w:rPr>
        <w:sym w:font="Wingdings" w:char="F0E0"/>
      </w:r>
      <w:r w:rsidRPr="000C5235">
        <w:rPr>
          <w:rStyle w:val="BodyTextChar"/>
        </w:rPr>
        <w:t xml:space="preserve"> Annual Estimates </w:t>
      </w:r>
      <w:r w:rsidR="00323F53" w:rsidRPr="000C5235">
        <w:rPr>
          <w:rStyle w:val="BodyTextChar"/>
        </w:rPr>
        <w:sym w:font="Wingdings" w:char="F0E0"/>
      </w:r>
      <w:r w:rsidRPr="000C5235">
        <w:rPr>
          <w:rStyle w:val="BodyTextChar"/>
        </w:rPr>
        <w:t xml:space="preserve"> AE.OR.13 Annual Estimates Detail Listing AEIFRS Report (PBF)</w:t>
      </w:r>
    </w:p>
    <w:p w14:paraId="792DC719" w14:textId="77777777" w:rsidR="0014717F" w:rsidRPr="000C5235" w:rsidRDefault="0014717F" w:rsidP="000A7DEC">
      <w:pPr>
        <w:pStyle w:val="Reports2"/>
        <w:rPr>
          <w:rStyle w:val="BodyTextChar"/>
        </w:rPr>
      </w:pPr>
      <w:r w:rsidRPr="000C5235">
        <w:rPr>
          <w:rStyle w:val="BodyTextChar"/>
        </w:rPr>
        <w:t xml:space="preserve">Reports </w:t>
      </w:r>
      <w:r w:rsidRPr="000C5235">
        <w:rPr>
          <w:rStyle w:val="BodyTextChar"/>
        </w:rPr>
        <w:sym w:font="Wingdings" w:char="F0E0"/>
      </w:r>
      <w:r w:rsidRPr="000C5235">
        <w:rPr>
          <w:rStyle w:val="BodyTextChar"/>
        </w:rPr>
        <w:t xml:space="preserve"> CBMS Reporting </w:t>
      </w:r>
      <w:r w:rsidRPr="000C5235">
        <w:rPr>
          <w:rStyle w:val="BodyTextChar"/>
        </w:rPr>
        <w:sym w:font="Wingdings" w:char="F0E0"/>
      </w:r>
      <w:r w:rsidRPr="000C5235">
        <w:rPr>
          <w:rStyle w:val="BodyTextChar"/>
        </w:rPr>
        <w:t xml:space="preserve"> Operational Reports </w:t>
      </w:r>
      <w:r w:rsidRPr="000C5235">
        <w:rPr>
          <w:rStyle w:val="BodyTextChar"/>
        </w:rPr>
        <w:sym w:font="Wingdings" w:char="F0E0"/>
      </w:r>
      <w:r w:rsidRPr="000C5235">
        <w:rPr>
          <w:rStyle w:val="BodyTextChar"/>
        </w:rPr>
        <w:t xml:space="preserve"> Estimates </w:t>
      </w:r>
      <w:r w:rsidRPr="000C5235">
        <w:rPr>
          <w:rStyle w:val="BodyTextChar"/>
        </w:rPr>
        <w:sym w:font="Wingdings" w:char="F0E0"/>
      </w:r>
      <w:r w:rsidRPr="000C5235">
        <w:rPr>
          <w:rStyle w:val="BodyTextChar"/>
        </w:rPr>
        <w:t xml:space="preserve"> Annual Estimates </w:t>
      </w:r>
      <w:r w:rsidRPr="000C5235">
        <w:rPr>
          <w:rStyle w:val="BodyTextChar"/>
        </w:rPr>
        <w:sym w:font="Wingdings" w:char="F0E0"/>
      </w:r>
      <w:r w:rsidRPr="000C5235">
        <w:rPr>
          <w:rStyle w:val="BodyTextChar"/>
        </w:rPr>
        <w:t xml:space="preserve"> AE.OR.06 Annual Estimates Capital Budget Statement Report</w:t>
      </w:r>
    </w:p>
    <w:p w14:paraId="6C3BFDC5" w14:textId="77777777" w:rsidR="0014717F" w:rsidRPr="000C5235" w:rsidRDefault="0014717F" w:rsidP="000A7DEC">
      <w:pPr>
        <w:pStyle w:val="Reports2"/>
        <w:rPr>
          <w:rStyle w:val="BodyTextChar"/>
        </w:rPr>
      </w:pPr>
      <w:r w:rsidRPr="000C5235">
        <w:rPr>
          <w:rStyle w:val="BodyTextChar"/>
        </w:rPr>
        <w:t xml:space="preserve">Reports </w:t>
      </w:r>
      <w:r w:rsidRPr="000C5235">
        <w:rPr>
          <w:rStyle w:val="BodyTextChar"/>
        </w:rPr>
        <w:sym w:font="Wingdings" w:char="F0E0"/>
      </w:r>
      <w:r w:rsidRPr="000C5235">
        <w:rPr>
          <w:rStyle w:val="BodyTextChar"/>
        </w:rPr>
        <w:t xml:space="preserve"> CBMS Reporting </w:t>
      </w:r>
      <w:r w:rsidRPr="000C5235">
        <w:rPr>
          <w:rStyle w:val="BodyTextChar"/>
        </w:rPr>
        <w:sym w:font="Wingdings" w:char="F0E0"/>
      </w:r>
      <w:r w:rsidRPr="000C5235">
        <w:rPr>
          <w:rStyle w:val="BodyTextChar"/>
        </w:rPr>
        <w:t xml:space="preserve"> Operational Reports </w:t>
      </w:r>
      <w:r w:rsidRPr="000C5235">
        <w:rPr>
          <w:rStyle w:val="BodyTextChar"/>
        </w:rPr>
        <w:sym w:font="Wingdings" w:char="F0E0"/>
      </w:r>
      <w:r w:rsidRPr="000C5235">
        <w:rPr>
          <w:rStyle w:val="BodyTextChar"/>
        </w:rPr>
        <w:t xml:space="preserve"> Estimates </w:t>
      </w:r>
      <w:r w:rsidRPr="000C5235">
        <w:rPr>
          <w:rStyle w:val="BodyTextChar"/>
        </w:rPr>
        <w:sym w:font="Wingdings" w:char="F0E0"/>
      </w:r>
      <w:r w:rsidRPr="000C5235">
        <w:rPr>
          <w:rStyle w:val="BodyTextChar"/>
        </w:rPr>
        <w:t xml:space="preserve"> Annual Estimates </w:t>
      </w:r>
      <w:r w:rsidRPr="000C5235">
        <w:rPr>
          <w:rStyle w:val="BodyTextChar"/>
        </w:rPr>
        <w:sym w:font="Wingdings" w:char="F0E0"/>
      </w:r>
      <w:r w:rsidRPr="000C5235">
        <w:rPr>
          <w:rStyle w:val="BodyTextChar"/>
        </w:rPr>
        <w:t xml:space="preserve"> AE.OR.10 Appropriation Bill - Actual Available Appropriations (AAA) Report</w:t>
      </w:r>
    </w:p>
    <w:p w14:paraId="548359CA" w14:textId="77777777" w:rsidR="00B54712" w:rsidRPr="000C5235" w:rsidRDefault="00B54712" w:rsidP="000A7DEC">
      <w:pPr>
        <w:pStyle w:val="Reports2"/>
        <w:rPr>
          <w:rStyle w:val="BodyTextChar"/>
        </w:rPr>
      </w:pPr>
      <w:r w:rsidRPr="000C5235">
        <w:rPr>
          <w:rStyle w:val="BodyTextChar"/>
        </w:rPr>
        <w:t xml:space="preserve">Reports </w:t>
      </w:r>
      <w:r w:rsidR="00323F53" w:rsidRPr="000C5235">
        <w:rPr>
          <w:rStyle w:val="BodyTextChar"/>
        </w:rPr>
        <w:sym w:font="Wingdings" w:char="F0E0"/>
      </w:r>
      <w:r w:rsidRPr="000C5235">
        <w:rPr>
          <w:rStyle w:val="BodyTextChar"/>
        </w:rPr>
        <w:t xml:space="preserve"> CBMS Reporting </w:t>
      </w:r>
      <w:r w:rsidR="00323F53" w:rsidRPr="000C5235">
        <w:rPr>
          <w:rStyle w:val="BodyTextChar"/>
        </w:rPr>
        <w:sym w:font="Wingdings" w:char="F0E0"/>
      </w:r>
      <w:r w:rsidRPr="000C5235">
        <w:rPr>
          <w:rStyle w:val="BodyTextChar"/>
        </w:rPr>
        <w:t xml:space="preserve"> Operational Reports </w:t>
      </w:r>
      <w:r w:rsidR="00323F53" w:rsidRPr="000C5235">
        <w:rPr>
          <w:rStyle w:val="BodyTextChar"/>
        </w:rPr>
        <w:sym w:font="Wingdings" w:char="F0E0"/>
      </w:r>
      <w:r w:rsidRPr="000C5235">
        <w:rPr>
          <w:rStyle w:val="BodyTextChar"/>
        </w:rPr>
        <w:t xml:space="preserve"> Cash Management </w:t>
      </w:r>
      <w:r w:rsidR="00323F53" w:rsidRPr="000C5235">
        <w:rPr>
          <w:rStyle w:val="BodyTextChar"/>
        </w:rPr>
        <w:sym w:font="Wingdings" w:char="F0E0"/>
      </w:r>
      <w:r w:rsidRPr="000C5235">
        <w:rPr>
          <w:rStyle w:val="BodyTextChar"/>
        </w:rPr>
        <w:t xml:space="preserve"> Cash Operational Reports </w:t>
      </w:r>
      <w:r w:rsidR="00323F53" w:rsidRPr="000C5235">
        <w:rPr>
          <w:rStyle w:val="BodyTextChar"/>
        </w:rPr>
        <w:sym w:font="Wingdings" w:char="F0E0"/>
      </w:r>
      <w:r w:rsidRPr="000C5235">
        <w:rPr>
          <w:rStyle w:val="BodyTextChar"/>
        </w:rPr>
        <w:t xml:space="preserve"> CM.OR.010 Appropriation Balances Report</w:t>
      </w:r>
    </w:p>
    <w:p w14:paraId="4E187186" w14:textId="77777777" w:rsidR="00EE503C" w:rsidRPr="000C5235" w:rsidRDefault="00F979EA" w:rsidP="000A7DEC">
      <w:pPr>
        <w:pStyle w:val="NormalTextRed"/>
        <w:rPr>
          <w:rStyle w:val="BodyTextChar"/>
        </w:rPr>
      </w:pPr>
      <w:r w:rsidRPr="000C5235">
        <w:rPr>
          <w:rStyle w:val="BodyTextChar"/>
          <w:u w:val="single"/>
        </w:rPr>
        <w:t>Note:</w:t>
      </w:r>
      <w:r w:rsidRPr="000C5235">
        <w:rPr>
          <w:rStyle w:val="BodyTextChar"/>
        </w:rPr>
        <w:t xml:space="preserve"> </w:t>
      </w:r>
      <w:r w:rsidR="008F2BD5" w:rsidRPr="000C5235">
        <w:rPr>
          <w:rStyle w:val="BodyTextChar"/>
        </w:rPr>
        <w:t>S</w:t>
      </w:r>
      <w:r w:rsidR="00B54712" w:rsidRPr="000C5235">
        <w:rPr>
          <w:rStyle w:val="BodyTextChar"/>
        </w:rPr>
        <w:t xml:space="preserve">elect the current financial year only to get the "Actual available appropriation" figure available on that day. This amount reflects what is available in </w:t>
      </w:r>
      <w:r w:rsidR="00FE12C4" w:rsidRPr="000C5235">
        <w:rPr>
          <w:rStyle w:val="BodyTextChar"/>
        </w:rPr>
        <w:t>Cash Management</w:t>
      </w:r>
      <w:r w:rsidR="00B54712" w:rsidRPr="000C5235">
        <w:rPr>
          <w:rStyle w:val="BodyTextChar"/>
        </w:rPr>
        <w:t xml:space="preserve"> and should be adjusted for any amounts expected to be paid out by 30 June </w:t>
      </w:r>
      <w:r w:rsidR="0014717F" w:rsidRPr="000C5235">
        <w:rPr>
          <w:rStyle w:val="BodyTextChar"/>
        </w:rPr>
        <w:t>2020</w:t>
      </w:r>
      <w:r w:rsidR="00B54712" w:rsidRPr="000C5235">
        <w:rPr>
          <w:rStyle w:val="BodyTextChar"/>
        </w:rPr>
        <w:t xml:space="preserve">. The amount shown in the AAA Report will be net of any s51 withholdings and administrative quarantines. </w:t>
      </w:r>
    </w:p>
    <w:p w14:paraId="1AC8050A" w14:textId="77777777" w:rsidR="00EE503C" w:rsidRPr="000C5235" w:rsidRDefault="00EE503C">
      <w:pPr>
        <w:suppressAutoHyphens w:val="0"/>
        <w:spacing w:before="0" w:after="120" w:line="440" w:lineRule="atLeast"/>
        <w:rPr>
          <w:rStyle w:val="BodyTextChar"/>
          <w:color w:val="FF0000"/>
        </w:rPr>
      </w:pPr>
      <w:r w:rsidRPr="000C5235">
        <w:rPr>
          <w:rStyle w:val="BodyTextChar"/>
        </w:rPr>
        <w:br w:type="page"/>
      </w:r>
    </w:p>
    <w:p w14:paraId="0675FE91" w14:textId="77777777" w:rsidR="00FA0945" w:rsidRPr="000C5235" w:rsidRDefault="00FA0945" w:rsidP="000A7DEC">
      <w:pPr>
        <w:pStyle w:val="Heading1Numbered"/>
        <w:rPr>
          <w:rFonts w:ascii="Arial" w:eastAsia="Times New Roman" w:hAnsi="Arial"/>
          <w:color w:val="auto"/>
          <w:spacing w:val="-6"/>
          <w:sz w:val="34"/>
          <w:szCs w:val="34"/>
        </w:rPr>
      </w:pPr>
      <w:bookmarkStart w:id="394" w:name="_Toc47369880"/>
      <w:bookmarkStart w:id="395" w:name="_Toc29980680"/>
      <w:bookmarkStart w:id="396" w:name="_Toc30405568"/>
      <w:bookmarkStart w:id="397" w:name="_Toc30581309"/>
      <w:bookmarkStart w:id="398" w:name="_Toc32829971"/>
      <w:bookmarkStart w:id="399" w:name="_Toc32917478"/>
      <w:bookmarkStart w:id="400" w:name="_Toc32918284"/>
      <w:bookmarkStart w:id="401" w:name="_Toc32999667"/>
      <w:bookmarkStart w:id="402" w:name="_Toc33099386"/>
      <w:bookmarkStart w:id="403" w:name="_Toc33196011"/>
      <w:bookmarkStart w:id="404" w:name="_Toc33196313"/>
      <w:bookmarkStart w:id="405" w:name="_Toc411852678"/>
      <w:bookmarkStart w:id="406" w:name="_Toc534382558"/>
      <w:bookmarkStart w:id="407" w:name="_Ref47004664"/>
      <w:bookmarkStart w:id="408" w:name="_Ref47004670"/>
      <w:bookmarkStart w:id="409" w:name="_Toc53564748"/>
      <w:bookmarkEnd w:id="394"/>
      <w:bookmarkEnd w:id="395"/>
      <w:bookmarkEnd w:id="396"/>
      <w:bookmarkEnd w:id="397"/>
      <w:bookmarkEnd w:id="398"/>
      <w:bookmarkEnd w:id="399"/>
      <w:bookmarkEnd w:id="400"/>
      <w:bookmarkEnd w:id="401"/>
      <w:bookmarkEnd w:id="402"/>
      <w:bookmarkEnd w:id="403"/>
      <w:bookmarkEnd w:id="404"/>
      <w:r w:rsidRPr="000C5235">
        <w:rPr>
          <w:rFonts w:eastAsia="Times New Roman"/>
        </w:rPr>
        <w:t xml:space="preserve">Budget </w:t>
      </w:r>
      <w:r w:rsidR="00C51BA2" w:rsidRPr="000C5235">
        <w:rPr>
          <w:rFonts w:eastAsia="Times New Roman"/>
        </w:rPr>
        <w:t>m</w:t>
      </w:r>
      <w:r w:rsidRPr="000C5235">
        <w:rPr>
          <w:rFonts w:eastAsia="Times New Roman"/>
        </w:rPr>
        <w:t>easures</w:t>
      </w:r>
      <w:bookmarkEnd w:id="405"/>
      <w:bookmarkEnd w:id="406"/>
      <w:bookmarkEnd w:id="407"/>
      <w:bookmarkEnd w:id="408"/>
      <w:bookmarkEnd w:id="409"/>
    </w:p>
    <w:p w14:paraId="77B3C169" w14:textId="777DD319" w:rsidR="00FA0945" w:rsidRPr="000C5235" w:rsidRDefault="00FA0945">
      <w:pPr>
        <w:pStyle w:val="NormalTextRed"/>
        <w:rPr>
          <w:rStyle w:val="BodyTextChar"/>
          <w:rFonts w:eastAsiaTheme="minorHAnsi" w:cstheme="minorBidi"/>
        </w:rPr>
      </w:pPr>
      <w:r w:rsidRPr="000C5235">
        <w:t xml:space="preserve">The template for this table can be found in the </w:t>
      </w:r>
      <w:r w:rsidRPr="000C5235">
        <w:rPr>
          <w:i/>
        </w:rPr>
        <w:t>“Table 1.2”</w:t>
      </w:r>
      <w:r w:rsidRPr="000C5235">
        <w:t xml:space="preserve"> tab</w:t>
      </w:r>
      <w:r w:rsidRPr="000C5235">
        <w:rPr>
          <w:rStyle w:val="BodyTextChar"/>
          <w:rFonts w:eastAsiaTheme="minorHAnsi" w:cstheme="minorBidi"/>
        </w:rPr>
        <w:t xml:space="preserve"> of the Excel Tables workbook (</w:t>
      </w:r>
      <w:r w:rsidR="00C93FC2" w:rsidRPr="000C5235">
        <w:rPr>
          <w:rStyle w:val="BodyTextChar"/>
          <w:rFonts w:eastAsiaTheme="minorHAnsi" w:cstheme="minorBidi"/>
          <w:u w:val="single"/>
        </w:rPr>
        <w:t xml:space="preserve">Attachment </w:t>
      </w:r>
      <w:r w:rsidR="006E5A47" w:rsidRPr="000C5235">
        <w:rPr>
          <w:rStyle w:val="BodyTextChar"/>
          <w:rFonts w:eastAsiaTheme="minorHAnsi" w:cstheme="minorBidi"/>
          <w:u w:val="single"/>
        </w:rPr>
        <w:t>B</w:t>
      </w:r>
      <w:r w:rsidR="006E5A47" w:rsidRPr="000C5235">
        <w:rPr>
          <w:rStyle w:val="BodyTextChar"/>
          <w:rFonts w:eastAsiaTheme="minorHAnsi" w:cstheme="minorBidi"/>
        </w:rPr>
        <w:t xml:space="preserve"> </w:t>
      </w:r>
      <w:r w:rsidR="00C93FC2" w:rsidRPr="000C5235">
        <w:rPr>
          <w:rStyle w:val="BodyTextChar"/>
          <w:rFonts w:eastAsiaTheme="minorHAnsi" w:cstheme="minorBidi"/>
        </w:rPr>
        <w:t>refers</w:t>
      </w:r>
      <w:r w:rsidRPr="000C5235">
        <w:rPr>
          <w:rStyle w:val="BodyTextChar"/>
          <w:rFonts w:eastAsiaTheme="minorHAnsi" w:cstheme="minorBidi"/>
        </w:rPr>
        <w:t>).</w:t>
      </w:r>
      <w:r w:rsidR="00C34C44">
        <w:rPr>
          <w:rStyle w:val="BodyTextChar"/>
          <w:rFonts w:eastAsiaTheme="minorHAnsi" w:cstheme="minorBidi"/>
        </w:rPr>
        <w:t xml:space="preserve"> Note the template has been updated on 15 September 2020.</w:t>
      </w:r>
    </w:p>
    <w:p w14:paraId="460FD6F3" w14:textId="77777777" w:rsidR="002D7CF6" w:rsidRPr="000C5235" w:rsidRDefault="00FA0945" w:rsidP="000A7DEC">
      <w:pPr>
        <w:rPr>
          <w:rStyle w:val="BodyTextChar"/>
        </w:rPr>
      </w:pPr>
      <w:r w:rsidRPr="000C5235">
        <w:rPr>
          <w:rStyle w:val="BodyTextChar"/>
        </w:rPr>
        <w:t xml:space="preserve">The </w:t>
      </w:r>
      <w:r w:rsidRPr="000C5235">
        <w:rPr>
          <w:rStyle w:val="BodyTextChar"/>
          <w:i/>
        </w:rPr>
        <w:t xml:space="preserve">Budget </w:t>
      </w:r>
      <w:r w:rsidR="00E66432" w:rsidRPr="000C5235">
        <w:rPr>
          <w:rStyle w:val="BodyTextChar"/>
          <w:i/>
        </w:rPr>
        <w:t>m</w:t>
      </w:r>
      <w:r w:rsidR="007E6DB9" w:rsidRPr="000C5235">
        <w:rPr>
          <w:rStyle w:val="BodyTextChar"/>
          <w:i/>
        </w:rPr>
        <w:t>easures</w:t>
      </w:r>
      <w:r w:rsidR="007E6DB9" w:rsidRPr="000C5235">
        <w:rPr>
          <w:rStyle w:val="BodyTextChar"/>
        </w:rPr>
        <w:t xml:space="preserve"> </w:t>
      </w:r>
      <w:r w:rsidRPr="000C5235">
        <w:rPr>
          <w:rStyle w:val="BodyTextChar"/>
        </w:rPr>
        <w:t xml:space="preserve">section primarily highlights new government decisions </w:t>
      </w:r>
      <w:r w:rsidR="002D7CF6" w:rsidRPr="000C5235">
        <w:rPr>
          <w:rStyle w:val="BodyTextChar"/>
        </w:rPr>
        <w:t>supporting the 2020-21 Appropriations Bills.</w:t>
      </w:r>
    </w:p>
    <w:p w14:paraId="68B60137" w14:textId="77777777" w:rsidR="00F83095" w:rsidRPr="000C5235" w:rsidRDefault="002D7CF6" w:rsidP="000A7DEC">
      <w:pPr>
        <w:rPr>
          <w:rStyle w:val="BodyTextChar"/>
        </w:rPr>
      </w:pPr>
      <w:r w:rsidRPr="000C5235">
        <w:rPr>
          <w:rStyle w:val="BodyTextChar"/>
        </w:rPr>
        <w:t>For the 2020-21 Budget</w:t>
      </w:r>
      <w:r w:rsidR="003D418D" w:rsidRPr="000C5235">
        <w:rPr>
          <w:rStyle w:val="BodyTextChar"/>
        </w:rPr>
        <w:t>,</w:t>
      </w:r>
      <w:r w:rsidRPr="000C5235">
        <w:rPr>
          <w:rStyle w:val="BodyTextChar"/>
        </w:rPr>
        <w:t xml:space="preserve"> entities </w:t>
      </w:r>
      <w:r w:rsidRPr="000C5235">
        <w:rPr>
          <w:rStyle w:val="BodyTextChar"/>
          <w:u w:val="single"/>
        </w:rPr>
        <w:t>will only be required</w:t>
      </w:r>
      <w:r w:rsidRPr="000C5235">
        <w:rPr>
          <w:rStyle w:val="BodyTextChar"/>
        </w:rPr>
        <w:t xml:space="preserve"> to report measures </w:t>
      </w:r>
      <w:r w:rsidR="003D0E98" w:rsidRPr="000C5235">
        <w:rPr>
          <w:rStyle w:val="BodyTextChar"/>
        </w:rPr>
        <w:t xml:space="preserve">taken in </w:t>
      </w:r>
      <w:r w:rsidR="00FA0945" w:rsidRPr="000C5235">
        <w:rPr>
          <w:rStyle w:val="BodyTextChar"/>
        </w:rPr>
        <w:t>the budget year</w:t>
      </w:r>
      <w:r w:rsidR="006D021E" w:rsidRPr="000C5235">
        <w:rPr>
          <w:rStyle w:val="BodyTextChar"/>
        </w:rPr>
        <w:t xml:space="preserve"> </w:t>
      </w:r>
      <w:r w:rsidR="00FA0945" w:rsidRPr="000C5235">
        <w:rPr>
          <w:rStyle w:val="BodyTextChar"/>
        </w:rPr>
        <w:t>(</w:t>
      </w:r>
      <w:r w:rsidR="00C93FC2" w:rsidRPr="000C5235">
        <w:rPr>
          <w:rStyle w:val="BodyTextChar"/>
        </w:rPr>
        <w:t>2020-21</w:t>
      </w:r>
      <w:r w:rsidR="00FA0945" w:rsidRPr="000C5235">
        <w:rPr>
          <w:rStyle w:val="BodyTextChar"/>
        </w:rPr>
        <w:t>) and forward years (</w:t>
      </w:r>
      <w:r w:rsidR="00C93FC2" w:rsidRPr="000C5235">
        <w:rPr>
          <w:rStyle w:val="BodyTextChar"/>
        </w:rPr>
        <w:t>2021-22</w:t>
      </w:r>
      <w:r w:rsidR="00A27EA7" w:rsidRPr="000C5235">
        <w:rPr>
          <w:rStyle w:val="BodyTextChar"/>
        </w:rPr>
        <w:t xml:space="preserve"> to </w:t>
      </w:r>
      <w:r w:rsidR="00C93FC2" w:rsidRPr="000C5235">
        <w:rPr>
          <w:rStyle w:val="BodyTextChar"/>
        </w:rPr>
        <w:t>2023</w:t>
      </w:r>
      <w:r w:rsidR="00FA0945" w:rsidRPr="000C5235">
        <w:rPr>
          <w:rStyle w:val="BodyTextChar"/>
        </w:rPr>
        <w:t>-</w:t>
      </w:r>
      <w:r w:rsidR="00A27EA7" w:rsidRPr="000C5235">
        <w:rPr>
          <w:rStyle w:val="BodyTextChar"/>
        </w:rPr>
        <w:t>2</w:t>
      </w:r>
      <w:r w:rsidR="00C93FC2" w:rsidRPr="000C5235">
        <w:rPr>
          <w:rStyle w:val="BodyTextChar"/>
        </w:rPr>
        <w:t>4</w:t>
      </w:r>
      <w:r w:rsidR="00FA0945" w:rsidRPr="000C5235">
        <w:rPr>
          <w:rStyle w:val="BodyTextChar"/>
        </w:rPr>
        <w:t>).</w:t>
      </w:r>
      <w:r w:rsidR="00BA44E5" w:rsidRPr="000C5235">
        <w:rPr>
          <w:rStyle w:val="BodyTextChar"/>
        </w:rPr>
        <w:t xml:space="preserve"> Entities should discuss with their AAU in the first instance if there are any DTYNA or indicative cost measures from a previous </w:t>
      </w:r>
      <w:r w:rsidR="00C867B0" w:rsidRPr="000C5235">
        <w:rPr>
          <w:rStyle w:val="BodyTextChar"/>
        </w:rPr>
        <w:t xml:space="preserve">economic update on whether they should </w:t>
      </w:r>
      <w:r w:rsidR="00BA44E5" w:rsidRPr="000C5235">
        <w:rPr>
          <w:rStyle w:val="BodyTextChar"/>
        </w:rPr>
        <w:t>be reported as some of the guidance below may not apply.</w:t>
      </w:r>
    </w:p>
    <w:p w14:paraId="29598C20" w14:textId="77777777" w:rsidR="00FA0945" w:rsidRPr="000C5235" w:rsidRDefault="00FA0945" w:rsidP="000A7DEC">
      <w:pPr>
        <w:rPr>
          <w:rStyle w:val="BodyTextChar"/>
        </w:rPr>
      </w:pPr>
      <w:r w:rsidRPr="000C5235">
        <w:rPr>
          <w:rStyle w:val="BodyTextChar"/>
        </w:rPr>
        <w:t xml:space="preserve">For completeness, </w:t>
      </w:r>
      <w:r w:rsidRPr="000C5235">
        <w:rPr>
          <w:rStyle w:val="BodyTextChar"/>
          <w:u w:val="single"/>
        </w:rPr>
        <w:t>all measures</w:t>
      </w:r>
      <w:r w:rsidRPr="000C5235">
        <w:rPr>
          <w:rStyle w:val="BodyTextChar"/>
        </w:rPr>
        <w:t xml:space="preserve"> need to be reported at the entity level in a P</w:t>
      </w:r>
      <w:r w:rsidR="00D07CC2" w:rsidRPr="000C5235">
        <w:rPr>
          <w:rStyle w:val="BodyTextChar"/>
        </w:rPr>
        <w:t>B Statement or PAES</w:t>
      </w:r>
      <w:r w:rsidRPr="000C5235">
        <w:rPr>
          <w:rStyle w:val="BodyTextChar"/>
        </w:rPr>
        <w:t xml:space="preserve">, </w:t>
      </w:r>
      <w:r w:rsidR="00A27EA7" w:rsidRPr="000C5235">
        <w:rPr>
          <w:rStyle w:val="BodyTextChar"/>
        </w:rPr>
        <w:t>includ</w:t>
      </w:r>
      <w:r w:rsidR="003D0E98" w:rsidRPr="000C5235">
        <w:rPr>
          <w:rStyle w:val="BodyTextChar"/>
        </w:rPr>
        <w:t>ing</w:t>
      </w:r>
      <w:r w:rsidR="00A27EA7" w:rsidRPr="000C5235">
        <w:rPr>
          <w:rStyle w:val="BodyTextChar"/>
        </w:rPr>
        <w:t xml:space="preserve"> measures with zero financial impact.</w:t>
      </w:r>
    </w:p>
    <w:p w14:paraId="6B6165BD" w14:textId="77777777" w:rsidR="00FA0945" w:rsidRPr="000C5235" w:rsidRDefault="00FA0945" w:rsidP="000A7DEC">
      <w:pPr>
        <w:rPr>
          <w:rStyle w:val="BodyTextChar"/>
        </w:rPr>
      </w:pPr>
      <w:r w:rsidRPr="000C5235">
        <w:rPr>
          <w:rStyle w:val="BodyTextChar"/>
        </w:rPr>
        <w:t>This complements the whole-of-government public reporting of all measures in either Budget Paper</w:t>
      </w:r>
      <w:r w:rsidR="00CD0900" w:rsidRPr="000C5235">
        <w:rPr>
          <w:rStyle w:val="BodyTextChar"/>
        </w:rPr>
        <w:t xml:space="preserve"> No.</w:t>
      </w:r>
      <w:r w:rsidR="00EE4AE2" w:rsidRPr="000C5235">
        <w:rPr>
          <w:rStyle w:val="BodyTextChar"/>
        </w:rPr>
        <w:t xml:space="preserve"> </w:t>
      </w:r>
      <w:r w:rsidRPr="000C5235">
        <w:rPr>
          <w:rStyle w:val="BodyTextChar"/>
        </w:rPr>
        <w:t xml:space="preserve">2 </w:t>
      </w:r>
      <w:r w:rsidR="00CD0900" w:rsidRPr="000C5235">
        <w:rPr>
          <w:rStyle w:val="BodyTextChar"/>
        </w:rPr>
        <w:t>(BP No.</w:t>
      </w:r>
      <w:r w:rsidR="00EE4AE2" w:rsidRPr="000C5235">
        <w:rPr>
          <w:rStyle w:val="BodyTextChar"/>
        </w:rPr>
        <w:t xml:space="preserve"> </w:t>
      </w:r>
      <w:r w:rsidRPr="000C5235">
        <w:rPr>
          <w:rStyle w:val="BodyTextChar"/>
        </w:rPr>
        <w:t>2) and ensures a clear-read of Government decisions to entity level across key budget publications.</w:t>
      </w:r>
    </w:p>
    <w:p w14:paraId="2102CFE7" w14:textId="7121B555" w:rsidR="00AE63CA" w:rsidRPr="000C5235" w:rsidRDefault="00FA0945" w:rsidP="00B066EC">
      <w:pPr>
        <w:rPr>
          <w:rStyle w:val="BodyTextChar"/>
        </w:rPr>
      </w:pPr>
      <w:r w:rsidRPr="000C5235">
        <w:rPr>
          <w:rStyle w:val="BodyTextChar"/>
        </w:rPr>
        <w:t xml:space="preserve">All details of </w:t>
      </w:r>
      <w:r w:rsidR="004A5BAA" w:rsidRPr="000C5235">
        <w:rPr>
          <w:rStyle w:val="BodyTextChar"/>
        </w:rPr>
        <w:t>2020-21</w:t>
      </w:r>
      <w:r w:rsidRPr="000C5235">
        <w:rPr>
          <w:rStyle w:val="BodyTextChar"/>
        </w:rPr>
        <w:t xml:space="preserve"> Budget measures </w:t>
      </w:r>
      <w:r w:rsidRPr="000C5235">
        <w:rPr>
          <w:rStyle w:val="BodyTextChar"/>
          <w:u w:val="single"/>
        </w:rPr>
        <w:t>must match</w:t>
      </w:r>
      <w:r w:rsidRPr="000C5235">
        <w:rPr>
          <w:rStyle w:val="BodyTextChar"/>
        </w:rPr>
        <w:t xml:space="preserve"> the final measures list provided by Finance before being reported in </w:t>
      </w:r>
      <w:r w:rsidRPr="000C5235">
        <w:rPr>
          <w:rStyle w:val="BodyTextChar"/>
          <w:i/>
        </w:rPr>
        <w:t>Table 1.2</w:t>
      </w:r>
      <w:r w:rsidRPr="000C5235">
        <w:rPr>
          <w:rStyle w:val="BodyTextChar"/>
        </w:rPr>
        <w:t xml:space="preserve">. Measure figures are to be reported on </w:t>
      </w:r>
      <w:r w:rsidR="00CD0900" w:rsidRPr="000C5235">
        <w:rPr>
          <w:rStyle w:val="BodyTextChar"/>
        </w:rPr>
        <w:t xml:space="preserve">the </w:t>
      </w:r>
      <w:r w:rsidR="00B066EC" w:rsidRPr="000C5235">
        <w:rPr>
          <w:rStyle w:val="BodyTextChar"/>
        </w:rPr>
        <w:t xml:space="preserve">same </w:t>
      </w:r>
      <w:r w:rsidR="00CD0900" w:rsidRPr="000C5235">
        <w:rPr>
          <w:rStyle w:val="BodyTextChar"/>
        </w:rPr>
        <w:t>basis on which BP No.</w:t>
      </w:r>
      <w:r w:rsidR="00EE4AE2" w:rsidRPr="000C5235">
        <w:rPr>
          <w:rStyle w:val="BodyTextChar"/>
        </w:rPr>
        <w:t xml:space="preserve"> </w:t>
      </w:r>
      <w:r w:rsidRPr="000C5235">
        <w:rPr>
          <w:rStyle w:val="BodyTextChar"/>
        </w:rPr>
        <w:t>2 is prepared.</w:t>
      </w:r>
    </w:p>
    <w:p w14:paraId="5832B8FA" w14:textId="59618A8D" w:rsidR="00B066EC" w:rsidRPr="000C5235" w:rsidRDefault="00C34C44" w:rsidP="000C42A6">
      <w:pPr>
        <w:pStyle w:val="Boxed2Text"/>
        <w:rPr>
          <w:rStyle w:val="BodyTextChar"/>
        </w:rPr>
      </w:pPr>
      <w:r>
        <w:rPr>
          <w:rStyle w:val="BodyTextChar"/>
        </w:rPr>
        <w:t xml:space="preserve">Commencing from the 2020-21 Budget, measures will be reported in Budget Paper No.2 and PB Statements in UCB terms. </w:t>
      </w:r>
    </w:p>
    <w:p w14:paraId="03EE9B53" w14:textId="77777777" w:rsidR="00FA0945" w:rsidRPr="000C5235" w:rsidRDefault="00FA0945" w:rsidP="000A7DEC">
      <w:pPr>
        <w:rPr>
          <w:rStyle w:val="BodyTextChar"/>
        </w:rPr>
      </w:pPr>
      <w:r w:rsidRPr="000C5235">
        <w:rPr>
          <w:rStyle w:val="BodyTextChar"/>
        </w:rPr>
        <w:t>The measure title for cross Portfolio measures should be the same in each PB Statements affected by the measure. To increase transparency, where an entity is not the lead entity in a measure package, they are required to name the lead entity in a footnote to the measure to allow easy cross reference to the me</w:t>
      </w:r>
      <w:r w:rsidR="00CD0900" w:rsidRPr="000C5235">
        <w:rPr>
          <w:rStyle w:val="BodyTextChar"/>
        </w:rPr>
        <w:t>asure description in BP No.</w:t>
      </w:r>
      <w:r w:rsidR="00EE4AE2" w:rsidRPr="000C5235">
        <w:rPr>
          <w:rStyle w:val="BodyTextChar"/>
        </w:rPr>
        <w:t xml:space="preserve"> </w:t>
      </w:r>
      <w:r w:rsidRPr="000C5235">
        <w:rPr>
          <w:rStyle w:val="BodyTextChar"/>
        </w:rPr>
        <w:t>2 and across PB Statements. This should be done with the following text:</w:t>
      </w:r>
    </w:p>
    <w:p w14:paraId="73C980C9" w14:textId="77777777" w:rsidR="00FA0945" w:rsidRPr="000C5235" w:rsidRDefault="00FA0945" w:rsidP="000A7DEC">
      <w:pPr>
        <w:rPr>
          <w:rStyle w:val="BodyTextChar"/>
        </w:rPr>
      </w:pPr>
      <w:r w:rsidRPr="000C5235">
        <w:rPr>
          <w:rStyle w:val="BodyTextChar"/>
        </w:rPr>
        <w:t>The lead entity for measure titled xxxxxxx is xxxxxxx. The full measure description and package det</w:t>
      </w:r>
      <w:r w:rsidR="00CD0900" w:rsidRPr="000C5235">
        <w:rPr>
          <w:rStyle w:val="BodyTextChar"/>
        </w:rPr>
        <w:t>ails appear in Budget Paper No.</w:t>
      </w:r>
      <w:r w:rsidR="00EE4AE2" w:rsidRPr="000C5235">
        <w:rPr>
          <w:rStyle w:val="BodyTextChar"/>
        </w:rPr>
        <w:t xml:space="preserve"> </w:t>
      </w:r>
      <w:r w:rsidRPr="000C5235">
        <w:rPr>
          <w:rStyle w:val="BodyTextChar"/>
        </w:rPr>
        <w:t>2 under the xxxxxxx portfolio.</w:t>
      </w:r>
    </w:p>
    <w:p w14:paraId="145EA3B8" w14:textId="77777777" w:rsidR="00EE33B1" w:rsidRPr="000C5235" w:rsidRDefault="00845790" w:rsidP="008914EC">
      <w:pPr>
        <w:rPr>
          <w:rStyle w:val="BodyTextChar"/>
          <w:rFonts w:ascii="Arial" w:hAnsi="Arial"/>
        </w:rPr>
      </w:pPr>
      <w:r w:rsidRPr="000C5235">
        <w:rPr>
          <w:rStyle w:val="BodyTextChar"/>
        </w:rPr>
        <w:t xml:space="preserve">For the 2020-21 Budget only, the PB Statement’s </w:t>
      </w:r>
      <w:r w:rsidR="00FA0945" w:rsidRPr="000C5235">
        <w:rPr>
          <w:rStyle w:val="BodyTextChar"/>
          <w:i/>
        </w:rPr>
        <w:t xml:space="preserve">Table 1.2 </w:t>
      </w:r>
      <w:r w:rsidR="00EE33B1" w:rsidRPr="000C5235">
        <w:rPr>
          <w:rStyle w:val="BodyTextChar"/>
          <w:i/>
        </w:rPr>
        <w:t>Entity 2020-21 Budget measures</w:t>
      </w:r>
      <w:r w:rsidR="00EE33B1" w:rsidRPr="000C5235">
        <w:rPr>
          <w:rStyle w:val="BodyTextChar"/>
        </w:rPr>
        <w:t xml:space="preserve"> </w:t>
      </w:r>
      <w:r w:rsidR="008914EC" w:rsidRPr="000C5235">
        <w:rPr>
          <w:rStyle w:val="BodyTextChar"/>
          <w:u w:val="single"/>
        </w:rPr>
        <w:t>only consist</w:t>
      </w:r>
      <w:r w:rsidR="00577C1F" w:rsidRPr="000C5235">
        <w:rPr>
          <w:rStyle w:val="BodyTextChar"/>
          <w:u w:val="single"/>
        </w:rPr>
        <w:t>s</w:t>
      </w:r>
      <w:r w:rsidR="008914EC" w:rsidRPr="000C5235">
        <w:rPr>
          <w:rStyle w:val="BodyTextChar"/>
          <w:u w:val="single"/>
        </w:rPr>
        <w:t xml:space="preserve"> of one part</w:t>
      </w:r>
      <w:r w:rsidR="008914EC" w:rsidRPr="000C5235">
        <w:rPr>
          <w:rStyle w:val="BodyTextChar"/>
        </w:rPr>
        <w:t xml:space="preserve"> that reports </w:t>
      </w:r>
      <w:r w:rsidR="001321B8" w:rsidRPr="000C5235">
        <w:rPr>
          <w:rStyle w:val="BodyTextChar"/>
          <w:rFonts w:ascii="Arial" w:hAnsi="Arial"/>
        </w:rPr>
        <w:t xml:space="preserve">measures </w:t>
      </w:r>
      <w:r w:rsidR="001321B8" w:rsidRPr="000C5235">
        <w:rPr>
          <w:rStyle w:val="BodyTextChar"/>
          <w:rFonts w:ascii="Arial" w:hAnsi="Arial"/>
          <w:u w:val="single"/>
        </w:rPr>
        <w:t>announced after</w:t>
      </w:r>
      <w:r w:rsidR="001321B8" w:rsidRPr="000C5235">
        <w:rPr>
          <w:rStyle w:val="BodyTextChar"/>
          <w:rFonts w:ascii="Arial" w:hAnsi="Arial"/>
        </w:rPr>
        <w:t xml:space="preserve"> </w:t>
      </w:r>
      <w:r w:rsidR="00803275" w:rsidRPr="000C5235">
        <w:rPr>
          <w:i/>
        </w:rPr>
        <w:t>Economic and Fiscal Update July 2020</w:t>
      </w:r>
      <w:r w:rsidR="008914EC" w:rsidRPr="000C5235">
        <w:rPr>
          <w:rStyle w:val="BodyTextChar"/>
          <w:rFonts w:ascii="Arial" w:hAnsi="Arial"/>
        </w:rPr>
        <w:t>.</w:t>
      </w:r>
    </w:p>
    <w:p w14:paraId="0DBB97B3" w14:textId="77777777" w:rsidR="006C2022" w:rsidRPr="000C5235" w:rsidRDefault="004673FC">
      <w:pPr>
        <w:rPr>
          <w:rStyle w:val="BodyTextChar"/>
        </w:rPr>
      </w:pPr>
      <w:r w:rsidRPr="000C5235">
        <w:rPr>
          <w:rStyle w:val="BodyTextChar"/>
        </w:rPr>
        <w:t xml:space="preserve">To assist entities the measures table has been modified </w:t>
      </w:r>
      <w:r w:rsidR="00E57C3A" w:rsidRPr="000C5235">
        <w:rPr>
          <w:rStyle w:val="BodyTextChar"/>
        </w:rPr>
        <w:t xml:space="preserve">to </w:t>
      </w:r>
      <w:r w:rsidRPr="000C5235">
        <w:rPr>
          <w:rStyle w:val="BodyTextChar"/>
        </w:rPr>
        <w:t xml:space="preserve">meet the </w:t>
      </w:r>
      <w:r w:rsidR="006C2022" w:rsidRPr="000C5235">
        <w:rPr>
          <w:rStyle w:val="BodyTextChar"/>
        </w:rPr>
        <w:t>minimum reporting requirement</w:t>
      </w:r>
      <w:r w:rsidRPr="000C5235">
        <w:rPr>
          <w:rStyle w:val="BodyTextChar"/>
        </w:rPr>
        <w:t>s</w:t>
      </w:r>
      <w:r w:rsidR="006C2022" w:rsidRPr="000C5235">
        <w:rPr>
          <w:rStyle w:val="BodyTextChar"/>
        </w:rPr>
        <w:t xml:space="preserve"> </w:t>
      </w:r>
      <w:r w:rsidR="00E57C3A" w:rsidRPr="000C5235">
        <w:rPr>
          <w:rStyle w:val="BodyTextChar"/>
        </w:rPr>
        <w:t xml:space="preserve">required to </w:t>
      </w:r>
      <w:r w:rsidR="006C2022" w:rsidRPr="000C5235">
        <w:rPr>
          <w:rStyle w:val="BodyTextChar"/>
        </w:rPr>
        <w:t>support the 2020</w:t>
      </w:r>
      <w:r w:rsidRPr="000C5235">
        <w:rPr>
          <w:rStyle w:val="BodyTextChar"/>
        </w:rPr>
        <w:noBreakHyphen/>
      </w:r>
      <w:r w:rsidR="006C2022" w:rsidRPr="000C5235">
        <w:rPr>
          <w:rStyle w:val="BodyTextChar"/>
        </w:rPr>
        <w:t>21 Appropriation Bills</w:t>
      </w:r>
      <w:r w:rsidRPr="000C5235">
        <w:rPr>
          <w:rStyle w:val="BodyTextChar"/>
        </w:rPr>
        <w:t> </w:t>
      </w:r>
      <w:r w:rsidR="006C2022" w:rsidRPr="000C5235">
        <w:rPr>
          <w:rStyle w:val="BodyTextChar"/>
        </w:rPr>
        <w:t>1 and 2.</w:t>
      </w:r>
    </w:p>
    <w:p w14:paraId="70B756F0" w14:textId="13BCBFEB" w:rsidR="00845790" w:rsidRPr="000C5235" w:rsidRDefault="00FA0945" w:rsidP="000A7DEC">
      <w:pPr>
        <w:rPr>
          <w:rStyle w:val="BodyTextChar"/>
        </w:rPr>
      </w:pPr>
      <w:r w:rsidRPr="000C5235">
        <w:rPr>
          <w:rStyle w:val="BodyTextChar"/>
        </w:rPr>
        <w:t xml:space="preserve">The Budget measures published in </w:t>
      </w:r>
      <w:r w:rsidRPr="000C5235">
        <w:rPr>
          <w:rStyle w:val="BodyTextChar"/>
          <w:i/>
        </w:rPr>
        <w:t>Table 1.2</w:t>
      </w:r>
      <w:r w:rsidRPr="000C5235">
        <w:rPr>
          <w:rStyle w:val="BodyTextChar"/>
        </w:rPr>
        <w:t xml:space="preserve"> should match the measures </w:t>
      </w:r>
      <w:r w:rsidR="00845790" w:rsidRPr="000C5235">
        <w:rPr>
          <w:rStyle w:val="BodyTextChar"/>
        </w:rPr>
        <w:t xml:space="preserve">published </w:t>
      </w:r>
      <w:r w:rsidRPr="000C5235">
        <w:rPr>
          <w:rStyle w:val="BodyTextChar"/>
        </w:rPr>
        <w:t>as printed in</w:t>
      </w:r>
      <w:r w:rsidR="004673FC" w:rsidRPr="000C5235">
        <w:rPr>
          <w:rStyle w:val="BodyTextChar"/>
        </w:rPr>
        <w:t xml:space="preserve"> the</w:t>
      </w:r>
      <w:r w:rsidRPr="000C5235">
        <w:rPr>
          <w:rStyle w:val="BodyTextChar"/>
        </w:rPr>
        <w:t xml:space="preserve"> </w:t>
      </w:r>
      <w:r w:rsidR="004673FC" w:rsidRPr="000C5235">
        <w:rPr>
          <w:rStyle w:val="BodyTextChar"/>
        </w:rPr>
        <w:t xml:space="preserve">2020-21 </w:t>
      </w:r>
      <w:r w:rsidRPr="000C5235">
        <w:rPr>
          <w:rStyle w:val="BodyTextChar"/>
        </w:rPr>
        <w:t>BP No.</w:t>
      </w:r>
      <w:r w:rsidR="00EE4AE2" w:rsidRPr="000C5235">
        <w:rPr>
          <w:rStyle w:val="BodyTextChar"/>
        </w:rPr>
        <w:t xml:space="preserve"> </w:t>
      </w:r>
      <w:r w:rsidRPr="000C5235">
        <w:rPr>
          <w:rStyle w:val="BodyTextChar"/>
        </w:rPr>
        <w:t>2.</w:t>
      </w:r>
      <w:r w:rsidR="00F32DF9">
        <w:rPr>
          <w:rStyle w:val="BodyTextChar"/>
        </w:rPr>
        <w:t xml:space="preserve"> With the change to </w:t>
      </w:r>
      <w:r w:rsidR="00F32DF9">
        <w:t xml:space="preserve">presenting measures in UCB terms, the financial implications table will reflect receipt and payment impacts only. Capital spending components will be rolled into the payment impacts. </w:t>
      </w:r>
    </w:p>
    <w:p w14:paraId="663C9E66" w14:textId="700CD8BD" w:rsidR="00FA0945" w:rsidRPr="000C5235" w:rsidRDefault="00803275" w:rsidP="000A7DEC">
      <w:pPr>
        <w:rPr>
          <w:rStyle w:val="BodyTextChar"/>
        </w:rPr>
      </w:pPr>
      <w:r w:rsidRPr="000C5235">
        <w:rPr>
          <w:rStyle w:val="BodyTextChar"/>
        </w:rPr>
        <w:t xml:space="preserve">It is unlikely there will be any measures reported in BP No.2 that were reported as </w:t>
      </w:r>
      <w:r w:rsidRPr="000C5235">
        <w:rPr>
          <w:rStyle w:val="BodyTextChar"/>
          <w:i/>
        </w:rPr>
        <w:t>Decisions taken but not yet announced</w:t>
      </w:r>
      <w:r w:rsidRPr="000C5235">
        <w:rPr>
          <w:rStyle w:val="BodyTextChar"/>
        </w:rPr>
        <w:t xml:space="preserve"> at the Mid-Year Economic and Fiscal Outlook (MYEFO)</w:t>
      </w:r>
      <w:r w:rsidR="00B13934" w:rsidRPr="000C5235">
        <w:rPr>
          <w:rStyle w:val="BodyTextChar"/>
        </w:rPr>
        <w:t xml:space="preserve"> or other set of appropriation bills</w:t>
      </w:r>
      <w:r w:rsidRPr="000C5235">
        <w:rPr>
          <w:rStyle w:val="BodyTextChar"/>
        </w:rPr>
        <w:t>.  If an entity happens to have any then they should consult with their AAU</w:t>
      </w:r>
      <w:r w:rsidR="00B13934" w:rsidRPr="000C5235">
        <w:rPr>
          <w:rStyle w:val="BodyTextChar"/>
        </w:rPr>
        <w:t xml:space="preserve"> in the first instance</w:t>
      </w:r>
      <w:r w:rsidRPr="000C5235">
        <w:rPr>
          <w:rStyle w:val="BodyTextChar"/>
        </w:rPr>
        <w:t xml:space="preserve"> on whether to report these in their PB Statements.</w:t>
      </w:r>
    </w:p>
    <w:p w14:paraId="3E959AE0" w14:textId="77777777" w:rsidR="00FA0945" w:rsidRPr="000C5235" w:rsidRDefault="00FA0945" w:rsidP="00B822AD">
      <w:pPr>
        <w:pStyle w:val="Heading2Numbered"/>
        <w:rPr>
          <w:rStyle w:val="BodyTextChar"/>
          <w:rFonts w:eastAsia="MS Gothic"/>
          <w:i/>
          <w:color w:val="auto"/>
        </w:rPr>
      </w:pPr>
      <w:bookmarkStart w:id="410" w:name="_Toc46327349"/>
      <w:bookmarkStart w:id="411" w:name="_Toc46327350"/>
      <w:bookmarkStart w:id="412" w:name="_Toc46327351"/>
      <w:bookmarkStart w:id="413" w:name="_Toc46327355"/>
      <w:bookmarkStart w:id="414" w:name="_Toc46327356"/>
      <w:bookmarkStart w:id="415" w:name="_Toc46327358"/>
      <w:bookmarkStart w:id="416" w:name="_Toc46327360"/>
      <w:bookmarkStart w:id="417" w:name="_Toc46327363"/>
      <w:bookmarkStart w:id="418" w:name="_Toc46327366"/>
      <w:bookmarkStart w:id="419" w:name="_Toc45026853"/>
      <w:bookmarkStart w:id="420" w:name="_Toc45026954"/>
      <w:bookmarkStart w:id="421" w:name="_Toc46327367"/>
      <w:bookmarkStart w:id="422" w:name="_Toc45026855"/>
      <w:bookmarkStart w:id="423" w:name="_Toc45026956"/>
      <w:bookmarkStart w:id="424" w:name="_Toc46327369"/>
      <w:bookmarkStart w:id="425" w:name="_Toc45026856"/>
      <w:bookmarkStart w:id="426" w:name="_Toc45026957"/>
      <w:bookmarkStart w:id="427" w:name="_Toc46327370"/>
      <w:bookmarkStart w:id="428" w:name="_Toc5356474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0C5235">
        <w:rPr>
          <w:rStyle w:val="BodyTextChar"/>
          <w:rFonts w:eastAsia="MS Gothic"/>
        </w:rPr>
        <w:t>Measure reversals</w:t>
      </w:r>
      <w:bookmarkEnd w:id="428"/>
    </w:p>
    <w:p w14:paraId="0C636BD4" w14:textId="77777777" w:rsidR="006F1726" w:rsidRPr="000C5235" w:rsidRDefault="00FA0945" w:rsidP="003D755D">
      <w:pPr>
        <w:rPr>
          <w:rStyle w:val="BodyTextChar"/>
        </w:rPr>
      </w:pPr>
      <w:r w:rsidRPr="000C5235">
        <w:rPr>
          <w:rStyle w:val="BodyTextChar"/>
        </w:rPr>
        <w:t>Where a measure reve</w:t>
      </w:r>
      <w:r w:rsidR="00CD0900" w:rsidRPr="000C5235">
        <w:rPr>
          <w:rStyle w:val="BodyTextChar"/>
        </w:rPr>
        <w:t>rsal will be reported in BP No.</w:t>
      </w:r>
      <w:r w:rsidR="00EE4AE2" w:rsidRPr="000C5235">
        <w:rPr>
          <w:rStyle w:val="BodyTextChar"/>
        </w:rPr>
        <w:t xml:space="preserve"> </w:t>
      </w:r>
      <w:r w:rsidRPr="000C5235">
        <w:rPr>
          <w:rStyle w:val="BodyTextChar"/>
        </w:rPr>
        <w:t>2, the measure reversal needs to be reported in Part 1 of the measures table.</w:t>
      </w:r>
    </w:p>
    <w:p w14:paraId="5D2C5F6F" w14:textId="77777777" w:rsidR="00FA0945" w:rsidRPr="000C5235" w:rsidRDefault="00FA0945" w:rsidP="000A7DEC">
      <w:pPr>
        <w:rPr>
          <w:rStyle w:val="BodyTextChar"/>
        </w:rPr>
      </w:pPr>
      <w:r w:rsidRPr="000C5235">
        <w:rPr>
          <w:rStyle w:val="BodyTextChar"/>
        </w:rPr>
        <w:t>Where a measure reversal has been reported in MYEFO, but has not been reported in PAES, the reversal needs to be reported in Part 2 of the measures table.</w:t>
      </w:r>
    </w:p>
    <w:p w14:paraId="0A5600BE" w14:textId="77777777" w:rsidR="00FA0945" w:rsidRPr="000C5235" w:rsidRDefault="00FA0945" w:rsidP="000A7DEC">
      <w:pPr>
        <w:rPr>
          <w:rStyle w:val="BodyTextChar"/>
        </w:rPr>
      </w:pPr>
      <w:r w:rsidRPr="000C5235">
        <w:rPr>
          <w:rStyle w:val="BodyTextChar"/>
        </w:rPr>
        <w:t>Measure reversals reported in either Part 1 of 2 of the measures table need to be reported on the following basis:</w:t>
      </w:r>
    </w:p>
    <w:p w14:paraId="20671D37" w14:textId="77777777" w:rsidR="00FA0945" w:rsidRPr="000C5235" w:rsidRDefault="00FA0945">
      <w:pPr>
        <w:pStyle w:val="Bullet1"/>
        <w:rPr>
          <w:rStyle w:val="BodyTextChar"/>
          <w:rFonts w:asciiTheme="minorHAnsi" w:hAnsiTheme="minorHAnsi"/>
        </w:rPr>
      </w:pPr>
      <w:r w:rsidRPr="000C5235">
        <w:rPr>
          <w:rStyle w:val="BodyTextChar"/>
        </w:rPr>
        <w:t xml:space="preserve">where it is a full reversal, the measure should include dashes in fiscal impact (as zero net fiscal impact) </w:t>
      </w:r>
      <w:r w:rsidR="004B5F4F" w:rsidRPr="000C5235">
        <w:rPr>
          <w:rStyle w:val="BodyTextChar"/>
        </w:rPr>
        <w:t xml:space="preserve">  </w:t>
      </w:r>
      <w:r w:rsidRPr="000C5235">
        <w:rPr>
          <w:rStyle w:val="BodyTextChar"/>
        </w:rPr>
        <w:t>and</w:t>
      </w:r>
    </w:p>
    <w:p w14:paraId="2ED8968E" w14:textId="77777777" w:rsidR="003D0E98" w:rsidRPr="000C5235" w:rsidRDefault="00FA0945">
      <w:pPr>
        <w:pStyle w:val="Bullet1"/>
        <w:rPr>
          <w:rStyle w:val="BodyTextChar"/>
        </w:rPr>
      </w:pPr>
      <w:r w:rsidRPr="000C5235">
        <w:rPr>
          <w:rStyle w:val="BodyTextChar"/>
        </w:rPr>
        <w:t>where it is a partial reversal, the measure should reflect the final amount to be appropriated</w:t>
      </w:r>
      <w:r w:rsidR="00E10C89" w:rsidRPr="000C5235">
        <w:rPr>
          <w:rStyle w:val="BodyTextChar"/>
        </w:rPr>
        <w:t xml:space="preserve"> (ie</w:t>
      </w:r>
      <w:r w:rsidRPr="000C5235">
        <w:rPr>
          <w:rStyle w:val="BodyTextChar"/>
        </w:rPr>
        <w:t xml:space="preserve"> the difference between the initial measure and the partial reversal</w:t>
      </w:r>
      <w:r w:rsidR="00E10C89" w:rsidRPr="000C5235">
        <w:rPr>
          <w:rStyle w:val="BodyTextChar"/>
        </w:rPr>
        <w:t>)</w:t>
      </w:r>
      <w:r w:rsidRPr="000C5235">
        <w:rPr>
          <w:rStyle w:val="BodyTextChar"/>
        </w:rPr>
        <w:t>.</w:t>
      </w:r>
    </w:p>
    <w:p w14:paraId="46149BAE" w14:textId="77777777" w:rsidR="00EE503C" w:rsidRPr="000C5235" w:rsidRDefault="00EE503C" w:rsidP="00BD6313">
      <w:pPr>
        <w:pStyle w:val="Bullet1"/>
        <w:numPr>
          <w:ilvl w:val="0"/>
          <w:numId w:val="0"/>
        </w:numPr>
        <w:ind w:left="360" w:hanging="360"/>
        <w:rPr>
          <w:rStyle w:val="BodyTextChar"/>
        </w:rPr>
      </w:pPr>
    </w:p>
    <w:tbl>
      <w:tblPr>
        <w:tblW w:w="7924" w:type="dxa"/>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924"/>
      </w:tblGrid>
      <w:tr w:rsidR="004D479A" w:rsidRPr="000C5235" w14:paraId="1F4B83ED" w14:textId="77777777" w:rsidTr="00DB312F">
        <w:trPr>
          <w:cantSplit/>
          <w:jc w:val="center"/>
        </w:trPr>
        <w:tc>
          <w:tcPr>
            <w:tcW w:w="7924" w:type="dxa"/>
            <w:shd w:val="clear" w:color="auto" w:fill="DDF3FA"/>
          </w:tcPr>
          <w:p w14:paraId="1FA530BD" w14:textId="77777777" w:rsidR="004D479A" w:rsidRPr="000C5235" w:rsidRDefault="004D479A">
            <w:pPr>
              <w:pStyle w:val="TableText-Normal"/>
              <w:rPr>
                <w:rStyle w:val="BodyTextChar"/>
              </w:rPr>
            </w:pPr>
            <w:r w:rsidRPr="000C5235">
              <w:rPr>
                <w:rStyle w:val="BodyTextChar"/>
              </w:rPr>
              <w:br w:type="page"/>
            </w:r>
            <w:r w:rsidRPr="000C5235">
              <w:br w:type="page"/>
            </w:r>
            <w:r w:rsidRPr="000C5235">
              <w:rPr>
                <w:rStyle w:val="BodyTextChar"/>
              </w:rPr>
              <w:br w:type="page"/>
            </w:r>
            <w:r w:rsidRPr="000C5235">
              <w:rPr>
                <w:rStyle w:val="BodyTextChar"/>
                <w:u w:val="single"/>
              </w:rPr>
              <w:t>Example</w:t>
            </w:r>
            <w:r w:rsidRPr="000C5235">
              <w:rPr>
                <w:rStyle w:val="BodyTextChar"/>
              </w:rPr>
              <w:t xml:space="preserve"> – Reporting Measure Reversals</w:t>
            </w:r>
          </w:p>
        </w:tc>
      </w:tr>
      <w:tr w:rsidR="004D479A" w:rsidRPr="000C5235" w14:paraId="693CFD2C" w14:textId="77777777" w:rsidTr="00BD6313">
        <w:trPr>
          <w:trHeight w:val="57"/>
          <w:jc w:val="center"/>
        </w:trPr>
        <w:tc>
          <w:tcPr>
            <w:tcW w:w="7924" w:type="dxa"/>
          </w:tcPr>
          <w:p w14:paraId="2F10D698" w14:textId="77777777" w:rsidR="004D479A" w:rsidRPr="000C5235" w:rsidRDefault="004D479A">
            <w:pPr>
              <w:pStyle w:val="TableText-Normal"/>
            </w:pPr>
            <w:r w:rsidRPr="000C5235">
              <w:t>Entity X has two measures that were announced in an Economic Statement, the Pre-Election Economic and Fiscal Outlook or the Mid-Year Economic and Fiscal Outlook:</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156"/>
              <w:gridCol w:w="1156"/>
              <w:gridCol w:w="1156"/>
              <w:gridCol w:w="1156"/>
            </w:tblGrid>
            <w:tr w:rsidR="00EE503C" w:rsidRPr="000C5235" w14:paraId="54CBFEEA" w14:textId="77777777" w:rsidTr="004D479A">
              <w:trPr>
                <w:trHeight w:val="446"/>
                <w:tblHeader/>
                <w:jc w:val="center"/>
              </w:trPr>
              <w:tc>
                <w:tcPr>
                  <w:tcW w:w="1820" w:type="dxa"/>
                </w:tcPr>
                <w:p w14:paraId="3405413D" w14:textId="77777777" w:rsidR="00EE503C" w:rsidRPr="000C5235" w:rsidRDefault="00EE503C">
                  <w:pPr>
                    <w:pStyle w:val="TableText-Normal"/>
                    <w:rPr>
                      <w:rStyle w:val="BodyTextChar"/>
                      <w:b/>
                    </w:rPr>
                  </w:pPr>
                  <w:r w:rsidRPr="000C5235">
                    <w:rPr>
                      <w:rStyle w:val="BodyTextChar"/>
                      <w:b/>
                    </w:rPr>
                    <w:t>Measure Title</w:t>
                  </w:r>
                </w:p>
              </w:tc>
              <w:tc>
                <w:tcPr>
                  <w:tcW w:w="1156" w:type="dxa"/>
                </w:tcPr>
                <w:p w14:paraId="48A48798" w14:textId="77777777" w:rsidR="00EE503C" w:rsidRPr="000C5235" w:rsidRDefault="00EE503C" w:rsidP="000A7DEC">
                  <w:pPr>
                    <w:pStyle w:val="TableText-Normal"/>
                  </w:pPr>
                  <w:r w:rsidRPr="000C5235">
                    <w:t>2020-21</w:t>
                  </w:r>
                </w:p>
                <w:p w14:paraId="6AF2A22A" w14:textId="77777777" w:rsidR="00EE503C" w:rsidRPr="000C5235" w:rsidRDefault="00EE503C" w:rsidP="000A7DEC">
                  <w:pPr>
                    <w:pStyle w:val="TableText-Normal"/>
                  </w:pPr>
                  <w:r w:rsidRPr="000C5235">
                    <w:t>$m</w:t>
                  </w:r>
                </w:p>
              </w:tc>
              <w:tc>
                <w:tcPr>
                  <w:tcW w:w="1156" w:type="dxa"/>
                </w:tcPr>
                <w:p w14:paraId="79441E30" w14:textId="77777777" w:rsidR="00EE503C" w:rsidRPr="000C5235" w:rsidRDefault="00EE503C" w:rsidP="000A7DEC">
                  <w:pPr>
                    <w:pStyle w:val="TableText-Normal"/>
                  </w:pPr>
                  <w:r w:rsidRPr="000C5235">
                    <w:t>2021-22</w:t>
                  </w:r>
                </w:p>
                <w:p w14:paraId="45471E3C" w14:textId="77777777" w:rsidR="00EE503C" w:rsidRPr="000C5235" w:rsidRDefault="00EE503C" w:rsidP="000A7DEC">
                  <w:pPr>
                    <w:pStyle w:val="TableText-Normal"/>
                  </w:pPr>
                  <w:r w:rsidRPr="000C5235">
                    <w:t>$m</w:t>
                  </w:r>
                </w:p>
              </w:tc>
              <w:tc>
                <w:tcPr>
                  <w:tcW w:w="1156" w:type="dxa"/>
                </w:tcPr>
                <w:p w14:paraId="545FB4F1" w14:textId="77777777" w:rsidR="00EE503C" w:rsidRPr="000C5235" w:rsidRDefault="00EE503C" w:rsidP="000A7DEC">
                  <w:pPr>
                    <w:pStyle w:val="TableText-Normal"/>
                  </w:pPr>
                  <w:r w:rsidRPr="000C5235">
                    <w:t>2022-23</w:t>
                  </w:r>
                </w:p>
                <w:p w14:paraId="76AD76E3" w14:textId="77777777" w:rsidR="00EE503C" w:rsidRPr="000C5235" w:rsidRDefault="00EE503C" w:rsidP="000A7DEC">
                  <w:pPr>
                    <w:pStyle w:val="TableText-Normal"/>
                  </w:pPr>
                  <w:r w:rsidRPr="000C5235">
                    <w:t>$m</w:t>
                  </w:r>
                </w:p>
              </w:tc>
              <w:tc>
                <w:tcPr>
                  <w:tcW w:w="1156" w:type="dxa"/>
                </w:tcPr>
                <w:p w14:paraId="77B6CD89" w14:textId="77777777" w:rsidR="00EE503C" w:rsidRPr="000C5235" w:rsidRDefault="00EE503C" w:rsidP="000A7DEC">
                  <w:pPr>
                    <w:pStyle w:val="TableText-Normal"/>
                  </w:pPr>
                  <w:r w:rsidRPr="000C5235">
                    <w:t>2023-24</w:t>
                  </w:r>
                </w:p>
                <w:p w14:paraId="3AF7F057" w14:textId="77777777" w:rsidR="00EE503C" w:rsidRPr="000C5235" w:rsidRDefault="00EE503C" w:rsidP="000A7DEC">
                  <w:pPr>
                    <w:pStyle w:val="TableText-Normal"/>
                  </w:pPr>
                  <w:r w:rsidRPr="000C5235">
                    <w:t>$m</w:t>
                  </w:r>
                </w:p>
              </w:tc>
            </w:tr>
            <w:tr w:rsidR="00EE503C" w:rsidRPr="000C5235" w14:paraId="7991E40E" w14:textId="77777777" w:rsidTr="004D479A">
              <w:trPr>
                <w:trHeight w:val="211"/>
                <w:jc w:val="center"/>
              </w:trPr>
              <w:tc>
                <w:tcPr>
                  <w:tcW w:w="1820" w:type="dxa"/>
                </w:tcPr>
                <w:p w14:paraId="30FF3186" w14:textId="77777777" w:rsidR="00EE503C" w:rsidRPr="000C5235" w:rsidRDefault="00EE503C">
                  <w:pPr>
                    <w:pStyle w:val="TableText-Normal"/>
                    <w:rPr>
                      <w:rStyle w:val="BodyTextChar"/>
                    </w:rPr>
                  </w:pPr>
                  <w:r w:rsidRPr="000C5235">
                    <w:rPr>
                      <w:rStyle w:val="BodyTextChar"/>
                    </w:rPr>
                    <w:t>X Measure</w:t>
                  </w:r>
                </w:p>
              </w:tc>
              <w:tc>
                <w:tcPr>
                  <w:tcW w:w="1156" w:type="dxa"/>
                </w:tcPr>
                <w:p w14:paraId="491BA557" w14:textId="77777777" w:rsidR="00EE503C" w:rsidRPr="000C5235" w:rsidRDefault="00EE503C" w:rsidP="000A7DEC">
                  <w:pPr>
                    <w:pStyle w:val="TableText-Normal"/>
                    <w:rPr>
                      <w:rStyle w:val="BodyTextChar"/>
                    </w:rPr>
                  </w:pPr>
                  <w:r w:rsidRPr="000C5235">
                    <w:rPr>
                      <w:rStyle w:val="BodyTextChar"/>
                    </w:rPr>
                    <w:t>$4</w:t>
                  </w:r>
                </w:p>
              </w:tc>
              <w:tc>
                <w:tcPr>
                  <w:tcW w:w="1156" w:type="dxa"/>
                </w:tcPr>
                <w:p w14:paraId="44A2D545" w14:textId="77777777" w:rsidR="00EE503C" w:rsidRPr="000C5235" w:rsidRDefault="00EE503C" w:rsidP="000A7DEC">
                  <w:pPr>
                    <w:pStyle w:val="TableText-Normal"/>
                    <w:rPr>
                      <w:rStyle w:val="BodyTextChar"/>
                    </w:rPr>
                  </w:pPr>
                  <w:r w:rsidRPr="000C5235">
                    <w:rPr>
                      <w:rStyle w:val="BodyTextChar"/>
                    </w:rPr>
                    <w:t>$6</w:t>
                  </w:r>
                </w:p>
              </w:tc>
              <w:tc>
                <w:tcPr>
                  <w:tcW w:w="1156" w:type="dxa"/>
                </w:tcPr>
                <w:p w14:paraId="35DC89AA" w14:textId="77777777" w:rsidR="00EE503C" w:rsidRPr="000C5235" w:rsidRDefault="00EE503C" w:rsidP="000A7DEC">
                  <w:pPr>
                    <w:pStyle w:val="TableText-Normal"/>
                    <w:rPr>
                      <w:rStyle w:val="BodyTextChar"/>
                    </w:rPr>
                  </w:pPr>
                  <w:r w:rsidRPr="000C5235">
                    <w:rPr>
                      <w:rStyle w:val="BodyTextChar"/>
                    </w:rPr>
                    <w:t>$8</w:t>
                  </w:r>
                </w:p>
              </w:tc>
              <w:tc>
                <w:tcPr>
                  <w:tcW w:w="1156" w:type="dxa"/>
                </w:tcPr>
                <w:p w14:paraId="689A112D" w14:textId="77777777" w:rsidR="00EE503C" w:rsidRPr="000C5235" w:rsidRDefault="00EE503C" w:rsidP="000A7DEC">
                  <w:pPr>
                    <w:pStyle w:val="TableText-Normal"/>
                    <w:rPr>
                      <w:rStyle w:val="BodyTextChar"/>
                    </w:rPr>
                  </w:pPr>
                  <w:r w:rsidRPr="000C5235">
                    <w:rPr>
                      <w:rStyle w:val="BodyTextChar"/>
                    </w:rPr>
                    <w:t>$10</w:t>
                  </w:r>
                </w:p>
              </w:tc>
            </w:tr>
            <w:tr w:rsidR="00EE503C" w:rsidRPr="000C5235" w14:paraId="416FF267" w14:textId="77777777" w:rsidTr="004D479A">
              <w:trPr>
                <w:trHeight w:val="100"/>
                <w:jc w:val="center"/>
              </w:trPr>
              <w:tc>
                <w:tcPr>
                  <w:tcW w:w="1820" w:type="dxa"/>
                </w:tcPr>
                <w:p w14:paraId="6CE6DED3" w14:textId="77777777" w:rsidR="00EE503C" w:rsidRPr="000C5235" w:rsidRDefault="00EE503C">
                  <w:pPr>
                    <w:pStyle w:val="TableText-Normal"/>
                    <w:rPr>
                      <w:rStyle w:val="BodyTextChar"/>
                    </w:rPr>
                  </w:pPr>
                  <w:r w:rsidRPr="000C5235">
                    <w:rPr>
                      <w:rStyle w:val="BodyTextChar"/>
                    </w:rPr>
                    <w:t>Y Measure</w:t>
                  </w:r>
                </w:p>
              </w:tc>
              <w:tc>
                <w:tcPr>
                  <w:tcW w:w="1156" w:type="dxa"/>
                </w:tcPr>
                <w:p w14:paraId="6FFF3AA9" w14:textId="77777777" w:rsidR="00EE503C" w:rsidRPr="000C5235" w:rsidRDefault="00EE503C" w:rsidP="000A7DEC">
                  <w:pPr>
                    <w:pStyle w:val="TableText-Normal"/>
                    <w:rPr>
                      <w:rStyle w:val="BodyTextChar"/>
                    </w:rPr>
                  </w:pPr>
                  <w:r w:rsidRPr="000C5235">
                    <w:rPr>
                      <w:rStyle w:val="BodyTextChar"/>
                    </w:rPr>
                    <w:t>$2</w:t>
                  </w:r>
                </w:p>
              </w:tc>
              <w:tc>
                <w:tcPr>
                  <w:tcW w:w="1156" w:type="dxa"/>
                </w:tcPr>
                <w:p w14:paraId="2D7A68E5" w14:textId="77777777" w:rsidR="00EE503C" w:rsidRPr="000C5235" w:rsidRDefault="00EE503C" w:rsidP="000A7DEC">
                  <w:pPr>
                    <w:pStyle w:val="TableText-Normal"/>
                    <w:rPr>
                      <w:rStyle w:val="BodyTextChar"/>
                    </w:rPr>
                  </w:pPr>
                  <w:r w:rsidRPr="000C5235">
                    <w:rPr>
                      <w:rStyle w:val="BodyTextChar"/>
                    </w:rPr>
                    <w:t>$3</w:t>
                  </w:r>
                </w:p>
              </w:tc>
              <w:tc>
                <w:tcPr>
                  <w:tcW w:w="1156" w:type="dxa"/>
                </w:tcPr>
                <w:p w14:paraId="4C16EAA3" w14:textId="77777777" w:rsidR="00EE503C" w:rsidRPr="000C5235" w:rsidRDefault="00EE503C" w:rsidP="000A7DEC">
                  <w:pPr>
                    <w:pStyle w:val="TableText-Normal"/>
                    <w:rPr>
                      <w:rStyle w:val="BodyTextChar"/>
                    </w:rPr>
                  </w:pPr>
                  <w:r w:rsidRPr="000C5235">
                    <w:rPr>
                      <w:rStyle w:val="BodyTextChar"/>
                    </w:rPr>
                    <w:t>$4</w:t>
                  </w:r>
                </w:p>
              </w:tc>
              <w:tc>
                <w:tcPr>
                  <w:tcW w:w="1156" w:type="dxa"/>
                </w:tcPr>
                <w:p w14:paraId="26345A11" w14:textId="77777777" w:rsidR="00EE503C" w:rsidRPr="000C5235" w:rsidRDefault="00EE503C" w:rsidP="000A7DEC">
                  <w:pPr>
                    <w:pStyle w:val="TableText-Normal"/>
                    <w:rPr>
                      <w:rStyle w:val="BodyTextChar"/>
                    </w:rPr>
                  </w:pPr>
                  <w:r w:rsidRPr="000C5235">
                    <w:rPr>
                      <w:rStyle w:val="BodyTextChar"/>
                    </w:rPr>
                    <w:t>$5</w:t>
                  </w:r>
                </w:p>
              </w:tc>
            </w:tr>
          </w:tbl>
          <w:p w14:paraId="7EB3240B" w14:textId="77777777" w:rsidR="004D479A" w:rsidRPr="000C5235" w:rsidRDefault="004D479A" w:rsidP="000A7DEC">
            <w:pPr>
              <w:pStyle w:val="TableText-Normal"/>
              <w:rPr>
                <w:rStyle w:val="BodyTextChar"/>
              </w:rPr>
            </w:pPr>
            <w:r w:rsidRPr="000C5235">
              <w:rPr>
                <w:rStyle w:val="BodyTextChar"/>
              </w:rPr>
              <w:t>These measures were subsequently reversed at Budget (fully or partially) through the announcement of the following measure reversals:</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156"/>
              <w:gridCol w:w="1156"/>
              <w:gridCol w:w="1156"/>
              <w:gridCol w:w="1156"/>
            </w:tblGrid>
            <w:tr w:rsidR="00EE503C" w:rsidRPr="000C5235" w14:paraId="10ECA421" w14:textId="77777777" w:rsidTr="004D479A">
              <w:trPr>
                <w:trHeight w:val="446"/>
                <w:jc w:val="center"/>
              </w:trPr>
              <w:tc>
                <w:tcPr>
                  <w:tcW w:w="1820" w:type="dxa"/>
                </w:tcPr>
                <w:p w14:paraId="397AB6E7" w14:textId="77777777" w:rsidR="00EE503C" w:rsidRPr="000C5235" w:rsidRDefault="00EE503C">
                  <w:pPr>
                    <w:pStyle w:val="TableText-Normal"/>
                    <w:rPr>
                      <w:rStyle w:val="BodyTextChar"/>
                      <w:b/>
                    </w:rPr>
                  </w:pPr>
                  <w:r w:rsidRPr="000C5235">
                    <w:rPr>
                      <w:rStyle w:val="BodyTextChar"/>
                      <w:b/>
                    </w:rPr>
                    <w:t>Measure Title</w:t>
                  </w:r>
                </w:p>
              </w:tc>
              <w:tc>
                <w:tcPr>
                  <w:tcW w:w="1156" w:type="dxa"/>
                </w:tcPr>
                <w:p w14:paraId="33C78DF7" w14:textId="77777777" w:rsidR="00EE503C" w:rsidRPr="000C5235" w:rsidRDefault="00EE503C" w:rsidP="000A7DEC">
                  <w:pPr>
                    <w:pStyle w:val="TableText-Normal"/>
                  </w:pPr>
                  <w:r w:rsidRPr="000C5235">
                    <w:t>2020-21</w:t>
                  </w:r>
                </w:p>
                <w:p w14:paraId="099E129A" w14:textId="77777777" w:rsidR="00EE503C" w:rsidRPr="000C5235" w:rsidRDefault="00EE503C" w:rsidP="000A7DEC">
                  <w:pPr>
                    <w:pStyle w:val="TableText-Normal"/>
                  </w:pPr>
                  <w:r w:rsidRPr="000C5235">
                    <w:t>$m</w:t>
                  </w:r>
                </w:p>
              </w:tc>
              <w:tc>
                <w:tcPr>
                  <w:tcW w:w="1156" w:type="dxa"/>
                </w:tcPr>
                <w:p w14:paraId="103C5792" w14:textId="77777777" w:rsidR="00EE503C" w:rsidRPr="000C5235" w:rsidRDefault="00EE503C" w:rsidP="000A7DEC">
                  <w:pPr>
                    <w:pStyle w:val="TableText-Normal"/>
                  </w:pPr>
                  <w:r w:rsidRPr="000C5235">
                    <w:t>2021-22</w:t>
                  </w:r>
                </w:p>
                <w:p w14:paraId="75F8234C" w14:textId="77777777" w:rsidR="00EE503C" w:rsidRPr="000C5235" w:rsidRDefault="00EE503C" w:rsidP="000A7DEC">
                  <w:pPr>
                    <w:pStyle w:val="TableText-Normal"/>
                  </w:pPr>
                  <w:r w:rsidRPr="000C5235">
                    <w:t>$m</w:t>
                  </w:r>
                </w:p>
              </w:tc>
              <w:tc>
                <w:tcPr>
                  <w:tcW w:w="1156" w:type="dxa"/>
                </w:tcPr>
                <w:p w14:paraId="4B6F21B4" w14:textId="77777777" w:rsidR="00EE503C" w:rsidRPr="000C5235" w:rsidRDefault="00EE503C" w:rsidP="000A7DEC">
                  <w:pPr>
                    <w:pStyle w:val="TableText-Normal"/>
                  </w:pPr>
                  <w:r w:rsidRPr="000C5235">
                    <w:t>2022-23</w:t>
                  </w:r>
                </w:p>
                <w:p w14:paraId="016CE36A" w14:textId="77777777" w:rsidR="00EE503C" w:rsidRPr="000C5235" w:rsidRDefault="00EE503C" w:rsidP="000A7DEC">
                  <w:pPr>
                    <w:pStyle w:val="TableText-Normal"/>
                  </w:pPr>
                  <w:r w:rsidRPr="000C5235">
                    <w:t>$m</w:t>
                  </w:r>
                </w:p>
              </w:tc>
              <w:tc>
                <w:tcPr>
                  <w:tcW w:w="1156" w:type="dxa"/>
                </w:tcPr>
                <w:p w14:paraId="495D17FF" w14:textId="77777777" w:rsidR="00EE503C" w:rsidRPr="000C5235" w:rsidRDefault="00EE503C" w:rsidP="000A7DEC">
                  <w:pPr>
                    <w:pStyle w:val="TableText-Normal"/>
                  </w:pPr>
                  <w:r w:rsidRPr="000C5235">
                    <w:t>2023-24</w:t>
                  </w:r>
                </w:p>
                <w:p w14:paraId="136E7E36" w14:textId="77777777" w:rsidR="00EE503C" w:rsidRPr="000C5235" w:rsidRDefault="00EE503C" w:rsidP="000A7DEC">
                  <w:pPr>
                    <w:pStyle w:val="TableText-Normal"/>
                  </w:pPr>
                  <w:r w:rsidRPr="000C5235">
                    <w:t>$m</w:t>
                  </w:r>
                </w:p>
              </w:tc>
            </w:tr>
            <w:tr w:rsidR="00EE503C" w:rsidRPr="000C5235" w14:paraId="28E23AB2" w14:textId="77777777" w:rsidTr="004D479A">
              <w:trPr>
                <w:trHeight w:val="446"/>
                <w:jc w:val="center"/>
              </w:trPr>
              <w:tc>
                <w:tcPr>
                  <w:tcW w:w="1820" w:type="dxa"/>
                </w:tcPr>
                <w:p w14:paraId="6161368A" w14:textId="77777777" w:rsidR="00EE503C" w:rsidRPr="000C5235" w:rsidRDefault="00EE503C">
                  <w:pPr>
                    <w:pStyle w:val="TableText-Normal"/>
                    <w:rPr>
                      <w:rStyle w:val="BodyTextChar"/>
                    </w:rPr>
                  </w:pPr>
                  <w:r w:rsidRPr="000C5235">
                    <w:rPr>
                      <w:rStyle w:val="BodyTextChar"/>
                    </w:rPr>
                    <w:t>X Measure – reduction</w:t>
                  </w:r>
                </w:p>
              </w:tc>
              <w:tc>
                <w:tcPr>
                  <w:tcW w:w="1156" w:type="dxa"/>
                </w:tcPr>
                <w:p w14:paraId="697640F2" w14:textId="77777777" w:rsidR="00EE503C" w:rsidRPr="000C5235" w:rsidRDefault="00EE503C" w:rsidP="000A7DEC">
                  <w:pPr>
                    <w:pStyle w:val="TableText-Normal"/>
                    <w:rPr>
                      <w:rStyle w:val="BodyTextChar"/>
                    </w:rPr>
                  </w:pPr>
                  <w:r w:rsidRPr="000C5235">
                    <w:rPr>
                      <w:rStyle w:val="BodyTextChar"/>
                    </w:rPr>
                    <w:t>($2)</w:t>
                  </w:r>
                </w:p>
              </w:tc>
              <w:tc>
                <w:tcPr>
                  <w:tcW w:w="1156" w:type="dxa"/>
                </w:tcPr>
                <w:p w14:paraId="78A66492" w14:textId="77777777" w:rsidR="00EE503C" w:rsidRPr="000C5235" w:rsidRDefault="00EE503C" w:rsidP="000A7DEC">
                  <w:pPr>
                    <w:pStyle w:val="TableText-Normal"/>
                    <w:rPr>
                      <w:rStyle w:val="BodyTextChar"/>
                    </w:rPr>
                  </w:pPr>
                  <w:r w:rsidRPr="000C5235">
                    <w:rPr>
                      <w:rStyle w:val="BodyTextChar"/>
                    </w:rPr>
                    <w:t>($3)</w:t>
                  </w:r>
                </w:p>
              </w:tc>
              <w:tc>
                <w:tcPr>
                  <w:tcW w:w="1156" w:type="dxa"/>
                </w:tcPr>
                <w:p w14:paraId="226D1B05" w14:textId="77777777" w:rsidR="00EE503C" w:rsidRPr="000C5235" w:rsidRDefault="00EE503C" w:rsidP="000A7DEC">
                  <w:pPr>
                    <w:pStyle w:val="TableText-Normal"/>
                    <w:rPr>
                      <w:rStyle w:val="BodyTextChar"/>
                    </w:rPr>
                  </w:pPr>
                  <w:r w:rsidRPr="000C5235">
                    <w:rPr>
                      <w:rStyle w:val="BodyTextChar"/>
                    </w:rPr>
                    <w:t>($4)</w:t>
                  </w:r>
                </w:p>
              </w:tc>
              <w:tc>
                <w:tcPr>
                  <w:tcW w:w="1156" w:type="dxa"/>
                </w:tcPr>
                <w:p w14:paraId="4EB24A89" w14:textId="77777777" w:rsidR="00EE503C" w:rsidRPr="000C5235" w:rsidRDefault="00EE503C" w:rsidP="000A7DEC">
                  <w:pPr>
                    <w:pStyle w:val="TableText-Normal"/>
                    <w:rPr>
                      <w:rStyle w:val="BodyTextChar"/>
                    </w:rPr>
                  </w:pPr>
                  <w:r w:rsidRPr="000C5235">
                    <w:rPr>
                      <w:rStyle w:val="BodyTextChar"/>
                    </w:rPr>
                    <w:t>($5)</w:t>
                  </w:r>
                </w:p>
              </w:tc>
            </w:tr>
            <w:tr w:rsidR="00EE503C" w:rsidRPr="000C5235" w14:paraId="3A41101A" w14:textId="77777777" w:rsidTr="004D479A">
              <w:trPr>
                <w:trHeight w:val="446"/>
                <w:jc w:val="center"/>
              </w:trPr>
              <w:tc>
                <w:tcPr>
                  <w:tcW w:w="1820" w:type="dxa"/>
                </w:tcPr>
                <w:p w14:paraId="09F278BD" w14:textId="77777777" w:rsidR="00EE503C" w:rsidRPr="000C5235" w:rsidRDefault="00EE503C">
                  <w:pPr>
                    <w:pStyle w:val="TableText-Normal"/>
                    <w:rPr>
                      <w:rStyle w:val="BodyTextChar"/>
                    </w:rPr>
                  </w:pPr>
                  <w:r w:rsidRPr="000C5235">
                    <w:rPr>
                      <w:rStyle w:val="BodyTextChar"/>
                    </w:rPr>
                    <w:t xml:space="preserve">Y Measure </w:t>
                  </w:r>
                  <w:r w:rsidRPr="000C5235">
                    <w:t>–</w:t>
                  </w:r>
                  <w:r w:rsidRPr="000C5235">
                    <w:rPr>
                      <w:rStyle w:val="BodyTextChar"/>
                    </w:rPr>
                    <w:t>cessation</w:t>
                  </w:r>
                </w:p>
              </w:tc>
              <w:tc>
                <w:tcPr>
                  <w:tcW w:w="1156" w:type="dxa"/>
                </w:tcPr>
                <w:p w14:paraId="360E955F" w14:textId="77777777" w:rsidR="00EE503C" w:rsidRPr="000C5235" w:rsidRDefault="00EE503C" w:rsidP="000A7DEC">
                  <w:pPr>
                    <w:pStyle w:val="TableText-Normal"/>
                    <w:rPr>
                      <w:rStyle w:val="BodyTextChar"/>
                    </w:rPr>
                  </w:pPr>
                  <w:r w:rsidRPr="000C5235">
                    <w:rPr>
                      <w:rStyle w:val="BodyTextChar"/>
                    </w:rPr>
                    <w:t>($2)</w:t>
                  </w:r>
                </w:p>
              </w:tc>
              <w:tc>
                <w:tcPr>
                  <w:tcW w:w="1156" w:type="dxa"/>
                </w:tcPr>
                <w:p w14:paraId="68852584" w14:textId="77777777" w:rsidR="00EE503C" w:rsidRPr="000C5235" w:rsidRDefault="00EE503C" w:rsidP="000A7DEC">
                  <w:pPr>
                    <w:pStyle w:val="TableText-Normal"/>
                    <w:rPr>
                      <w:rStyle w:val="BodyTextChar"/>
                    </w:rPr>
                  </w:pPr>
                  <w:r w:rsidRPr="000C5235">
                    <w:rPr>
                      <w:rStyle w:val="BodyTextChar"/>
                    </w:rPr>
                    <w:t>($3)</w:t>
                  </w:r>
                </w:p>
              </w:tc>
              <w:tc>
                <w:tcPr>
                  <w:tcW w:w="1156" w:type="dxa"/>
                </w:tcPr>
                <w:p w14:paraId="56FD2825" w14:textId="77777777" w:rsidR="00EE503C" w:rsidRPr="000C5235" w:rsidRDefault="00EE503C" w:rsidP="000A7DEC">
                  <w:pPr>
                    <w:pStyle w:val="TableText-Normal"/>
                    <w:rPr>
                      <w:rStyle w:val="BodyTextChar"/>
                    </w:rPr>
                  </w:pPr>
                  <w:r w:rsidRPr="000C5235">
                    <w:rPr>
                      <w:rStyle w:val="BodyTextChar"/>
                    </w:rPr>
                    <w:t>($4)</w:t>
                  </w:r>
                </w:p>
              </w:tc>
              <w:tc>
                <w:tcPr>
                  <w:tcW w:w="1156" w:type="dxa"/>
                </w:tcPr>
                <w:p w14:paraId="48FA028F" w14:textId="77777777" w:rsidR="00EE503C" w:rsidRPr="000C5235" w:rsidRDefault="00EE503C" w:rsidP="000A7DEC">
                  <w:pPr>
                    <w:pStyle w:val="TableText-Normal"/>
                    <w:rPr>
                      <w:rStyle w:val="BodyTextChar"/>
                    </w:rPr>
                  </w:pPr>
                  <w:r w:rsidRPr="000C5235">
                    <w:rPr>
                      <w:rStyle w:val="BodyTextChar"/>
                    </w:rPr>
                    <w:t>($5)</w:t>
                  </w:r>
                </w:p>
              </w:tc>
            </w:tr>
          </w:tbl>
          <w:p w14:paraId="6D137B5A" w14:textId="77777777" w:rsidR="004D479A" w:rsidRPr="000C5235" w:rsidRDefault="004D479A">
            <w:pPr>
              <w:pStyle w:val="TableText-Normal"/>
              <w:rPr>
                <w:rStyle w:val="BodyTextChar"/>
              </w:rPr>
            </w:pPr>
            <w:r w:rsidRPr="000C5235">
              <w:rPr>
                <w:rStyle w:val="BodyTextChar"/>
              </w:rPr>
              <w:t>Entity X should report the following in their PB Statements that shows the net effect of these full/partial reversals, with an explanatory footnote to provide context:</w:t>
            </w:r>
          </w:p>
          <w:tbl>
            <w:tblPr>
              <w:tblW w:w="7792" w:type="dxa"/>
              <w:jc w:val="center"/>
              <w:tblLook w:val="04A0" w:firstRow="1" w:lastRow="0" w:firstColumn="1" w:lastColumn="0" w:noHBand="0" w:noVBand="1"/>
            </w:tblPr>
            <w:tblGrid>
              <w:gridCol w:w="2432"/>
              <w:gridCol w:w="1100"/>
              <w:gridCol w:w="852"/>
              <w:gridCol w:w="852"/>
              <w:gridCol w:w="852"/>
              <w:gridCol w:w="852"/>
              <w:gridCol w:w="852"/>
            </w:tblGrid>
            <w:tr w:rsidR="004D479A" w:rsidRPr="000C5235" w14:paraId="2A45EB47" w14:textId="77777777" w:rsidTr="00BD6313">
              <w:trPr>
                <w:trHeight w:val="225"/>
                <w:jc w:val="center"/>
              </w:trPr>
              <w:tc>
                <w:tcPr>
                  <w:tcW w:w="7792" w:type="dxa"/>
                  <w:gridSpan w:val="7"/>
                  <w:tcBorders>
                    <w:top w:val="nil"/>
                    <w:left w:val="nil"/>
                    <w:bottom w:val="nil"/>
                    <w:right w:val="nil"/>
                  </w:tcBorders>
                  <w:shd w:val="clear" w:color="auto" w:fill="auto"/>
                  <w:noWrap/>
                  <w:vAlign w:val="bottom"/>
                  <w:hideMark/>
                </w:tcPr>
                <w:p w14:paraId="1F701798" w14:textId="77777777" w:rsidR="004D479A" w:rsidRPr="000C5235" w:rsidRDefault="004D479A" w:rsidP="000A7DEC">
                  <w:pPr>
                    <w:pStyle w:val="TableText-SuperSmallBold"/>
                  </w:pPr>
                  <w:r w:rsidRPr="000C5235">
                    <w:t xml:space="preserve">Table 1.2:  Entity </w:t>
                  </w:r>
                  <w:r w:rsidR="00DD7AAE" w:rsidRPr="000C5235">
                    <w:t>2020-21</w:t>
                  </w:r>
                  <w:r w:rsidRPr="000C5235">
                    <w:t xml:space="preserve"> Budget Measures</w:t>
                  </w:r>
                </w:p>
              </w:tc>
            </w:tr>
            <w:tr w:rsidR="004D479A" w:rsidRPr="000C5235" w14:paraId="0E72E025" w14:textId="77777777" w:rsidTr="00BD6313">
              <w:trPr>
                <w:trHeight w:val="225"/>
                <w:jc w:val="center"/>
              </w:trPr>
              <w:tc>
                <w:tcPr>
                  <w:tcW w:w="7792" w:type="dxa"/>
                  <w:gridSpan w:val="7"/>
                  <w:tcBorders>
                    <w:top w:val="nil"/>
                    <w:left w:val="nil"/>
                    <w:bottom w:val="nil"/>
                    <w:right w:val="nil"/>
                  </w:tcBorders>
                  <w:shd w:val="clear" w:color="auto" w:fill="auto"/>
                  <w:noWrap/>
                  <w:vAlign w:val="bottom"/>
                  <w:hideMark/>
                </w:tcPr>
                <w:p w14:paraId="575FBA17" w14:textId="77777777" w:rsidR="004D479A" w:rsidRPr="000C5235" w:rsidRDefault="004D479A" w:rsidP="00EE503C">
                  <w:pPr>
                    <w:pStyle w:val="TableText-SuperSmallBold"/>
                  </w:pPr>
                  <w:r w:rsidRPr="000C5235">
                    <w:t xml:space="preserve">Measures announced since the </w:t>
                  </w:r>
                  <w:r w:rsidR="007B6913" w:rsidRPr="000C5235">
                    <w:t>2020</w:t>
                  </w:r>
                  <w:r w:rsidRPr="000C5235">
                    <w:t xml:space="preserve"> </w:t>
                  </w:r>
                  <w:r w:rsidR="00DB1048" w:rsidRPr="000C5235">
                    <w:t>J</w:t>
                  </w:r>
                  <w:r w:rsidR="00EE503C" w:rsidRPr="000C5235">
                    <w:t>uly Economic Statement Update</w:t>
                  </w:r>
                </w:p>
              </w:tc>
            </w:tr>
            <w:tr w:rsidR="00EE503C" w:rsidRPr="000C5235" w14:paraId="3D1E05EA" w14:textId="77777777" w:rsidTr="00BD6313">
              <w:trPr>
                <w:gridAfter w:val="1"/>
                <w:wAfter w:w="852" w:type="dxa"/>
                <w:trHeight w:val="225"/>
                <w:jc w:val="center"/>
              </w:trPr>
              <w:tc>
                <w:tcPr>
                  <w:tcW w:w="2432" w:type="dxa"/>
                  <w:tcBorders>
                    <w:top w:val="single" w:sz="4" w:space="0" w:color="auto"/>
                    <w:left w:val="nil"/>
                    <w:bottom w:val="nil"/>
                    <w:right w:val="nil"/>
                  </w:tcBorders>
                  <w:shd w:val="clear" w:color="auto" w:fill="auto"/>
                  <w:noWrap/>
                  <w:vAlign w:val="bottom"/>
                  <w:hideMark/>
                </w:tcPr>
                <w:p w14:paraId="680DB279" w14:textId="77777777" w:rsidR="00EE503C" w:rsidRPr="000C5235" w:rsidRDefault="00EE503C" w:rsidP="000A7DEC">
                  <w:pPr>
                    <w:pStyle w:val="TableText-SuperSmallBold"/>
                  </w:pPr>
                  <w:r w:rsidRPr="000C5235">
                    <w:t> </w:t>
                  </w:r>
                </w:p>
              </w:tc>
              <w:tc>
                <w:tcPr>
                  <w:tcW w:w="1100" w:type="dxa"/>
                  <w:tcBorders>
                    <w:top w:val="single" w:sz="4" w:space="0" w:color="auto"/>
                    <w:left w:val="nil"/>
                    <w:bottom w:val="nil"/>
                    <w:right w:val="nil"/>
                  </w:tcBorders>
                  <w:shd w:val="clear" w:color="auto" w:fill="auto"/>
                  <w:noWrap/>
                  <w:vAlign w:val="bottom"/>
                  <w:hideMark/>
                </w:tcPr>
                <w:p w14:paraId="7084AD49" w14:textId="77777777" w:rsidR="00EE503C" w:rsidRPr="000C5235" w:rsidRDefault="00EE503C" w:rsidP="000A7DEC">
                  <w:pPr>
                    <w:pStyle w:val="TableText-SuperSmallBold"/>
                  </w:pPr>
                  <w:r w:rsidRPr="000C5235">
                    <w:t>Program</w:t>
                  </w:r>
                </w:p>
              </w:tc>
              <w:tc>
                <w:tcPr>
                  <w:tcW w:w="852" w:type="dxa"/>
                  <w:tcBorders>
                    <w:top w:val="single" w:sz="4" w:space="0" w:color="auto"/>
                    <w:left w:val="nil"/>
                    <w:bottom w:val="nil"/>
                    <w:right w:val="nil"/>
                  </w:tcBorders>
                  <w:shd w:val="clear" w:color="000000" w:fill="FFFFFF"/>
                  <w:noWrap/>
                  <w:vAlign w:val="bottom"/>
                  <w:hideMark/>
                </w:tcPr>
                <w:p w14:paraId="2CF8C7DA" w14:textId="77777777" w:rsidR="00EE503C" w:rsidRPr="000C5235" w:rsidRDefault="00EE503C" w:rsidP="000A7DEC">
                  <w:pPr>
                    <w:pStyle w:val="TableText-SuperSmallBold"/>
                  </w:pPr>
                  <w:r w:rsidRPr="000C5235">
                    <w:t>2020-21</w:t>
                  </w:r>
                </w:p>
              </w:tc>
              <w:tc>
                <w:tcPr>
                  <w:tcW w:w="852" w:type="dxa"/>
                  <w:tcBorders>
                    <w:top w:val="single" w:sz="4" w:space="0" w:color="auto"/>
                    <w:left w:val="nil"/>
                    <w:bottom w:val="nil"/>
                    <w:right w:val="nil"/>
                  </w:tcBorders>
                  <w:shd w:val="clear" w:color="000000" w:fill="E6E6E6"/>
                  <w:noWrap/>
                  <w:vAlign w:val="bottom"/>
                  <w:hideMark/>
                </w:tcPr>
                <w:p w14:paraId="5F17B343" w14:textId="77777777" w:rsidR="00EE503C" w:rsidRPr="000C5235" w:rsidRDefault="00EE503C" w:rsidP="000A7DEC">
                  <w:pPr>
                    <w:pStyle w:val="TableText-SuperSmallBold"/>
                  </w:pPr>
                  <w:r w:rsidRPr="000C5235">
                    <w:t>2021-22</w:t>
                  </w:r>
                </w:p>
              </w:tc>
              <w:tc>
                <w:tcPr>
                  <w:tcW w:w="852" w:type="dxa"/>
                  <w:tcBorders>
                    <w:top w:val="single" w:sz="4" w:space="0" w:color="auto"/>
                    <w:left w:val="nil"/>
                    <w:bottom w:val="nil"/>
                    <w:right w:val="nil"/>
                  </w:tcBorders>
                  <w:shd w:val="clear" w:color="000000" w:fill="FFFFFF"/>
                  <w:noWrap/>
                  <w:vAlign w:val="bottom"/>
                  <w:hideMark/>
                </w:tcPr>
                <w:p w14:paraId="2B44EC9B" w14:textId="77777777" w:rsidR="00EE503C" w:rsidRPr="000C5235" w:rsidRDefault="00EE503C" w:rsidP="000A7DEC">
                  <w:pPr>
                    <w:pStyle w:val="TableText-SuperSmallBold"/>
                  </w:pPr>
                  <w:r w:rsidRPr="000C5235">
                    <w:t>2022-23</w:t>
                  </w:r>
                </w:p>
              </w:tc>
              <w:tc>
                <w:tcPr>
                  <w:tcW w:w="852" w:type="dxa"/>
                  <w:tcBorders>
                    <w:top w:val="single" w:sz="4" w:space="0" w:color="auto"/>
                    <w:left w:val="nil"/>
                    <w:bottom w:val="nil"/>
                    <w:right w:val="nil"/>
                  </w:tcBorders>
                  <w:shd w:val="clear" w:color="000000" w:fill="E6E6E6"/>
                  <w:noWrap/>
                  <w:vAlign w:val="bottom"/>
                  <w:hideMark/>
                </w:tcPr>
                <w:p w14:paraId="0E35B2EE" w14:textId="77777777" w:rsidR="00EE503C" w:rsidRPr="000C5235" w:rsidRDefault="00EE503C" w:rsidP="000A7DEC">
                  <w:pPr>
                    <w:pStyle w:val="TableText-SuperSmallBold"/>
                  </w:pPr>
                  <w:r w:rsidRPr="000C5235">
                    <w:t>2023-24</w:t>
                  </w:r>
                </w:p>
              </w:tc>
            </w:tr>
            <w:tr w:rsidR="00EE503C" w:rsidRPr="000C5235" w14:paraId="10C56144"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43D5B75A" w14:textId="77777777" w:rsidR="00EE503C" w:rsidRPr="000C5235" w:rsidRDefault="00EE503C" w:rsidP="000A7DEC">
                  <w:pPr>
                    <w:pStyle w:val="TableText-SuperSmallBold"/>
                  </w:pPr>
                </w:p>
              </w:tc>
              <w:tc>
                <w:tcPr>
                  <w:tcW w:w="1100" w:type="dxa"/>
                  <w:tcBorders>
                    <w:top w:val="nil"/>
                    <w:left w:val="nil"/>
                    <w:bottom w:val="single" w:sz="4" w:space="0" w:color="auto"/>
                    <w:right w:val="nil"/>
                  </w:tcBorders>
                  <w:shd w:val="clear" w:color="auto" w:fill="auto"/>
                  <w:noWrap/>
                  <w:vAlign w:val="bottom"/>
                  <w:hideMark/>
                </w:tcPr>
                <w:p w14:paraId="78E7CD43" w14:textId="77777777" w:rsidR="00EE503C" w:rsidRPr="000C5235" w:rsidRDefault="00EE503C" w:rsidP="000A7DEC">
                  <w:pPr>
                    <w:pStyle w:val="TableText-SuperSmallBold"/>
                  </w:pPr>
                  <w:r w:rsidRPr="000C5235">
                    <w:t> </w:t>
                  </w:r>
                </w:p>
              </w:tc>
              <w:tc>
                <w:tcPr>
                  <w:tcW w:w="852" w:type="dxa"/>
                  <w:tcBorders>
                    <w:top w:val="nil"/>
                    <w:left w:val="nil"/>
                    <w:bottom w:val="single" w:sz="4" w:space="0" w:color="auto"/>
                    <w:right w:val="nil"/>
                  </w:tcBorders>
                  <w:shd w:val="clear" w:color="000000" w:fill="FFFFFF"/>
                  <w:noWrap/>
                  <w:vAlign w:val="bottom"/>
                  <w:hideMark/>
                </w:tcPr>
                <w:p w14:paraId="6FBA6DCF" w14:textId="77777777" w:rsidR="00EE503C" w:rsidRPr="000C5235" w:rsidRDefault="00EE503C" w:rsidP="000A7DEC">
                  <w:pPr>
                    <w:pStyle w:val="TableText-SuperSmallBold"/>
                  </w:pPr>
                  <w:r w:rsidRPr="000C5235">
                    <w:t>$'000</w:t>
                  </w:r>
                </w:p>
              </w:tc>
              <w:tc>
                <w:tcPr>
                  <w:tcW w:w="852" w:type="dxa"/>
                  <w:tcBorders>
                    <w:top w:val="nil"/>
                    <w:left w:val="nil"/>
                    <w:bottom w:val="single" w:sz="4" w:space="0" w:color="auto"/>
                    <w:right w:val="nil"/>
                  </w:tcBorders>
                  <w:shd w:val="clear" w:color="000000" w:fill="E6E6E6"/>
                  <w:noWrap/>
                  <w:vAlign w:val="bottom"/>
                  <w:hideMark/>
                </w:tcPr>
                <w:p w14:paraId="5E13A2BF" w14:textId="77777777" w:rsidR="00EE503C" w:rsidRPr="000C5235" w:rsidRDefault="00EE503C" w:rsidP="000A7DEC">
                  <w:pPr>
                    <w:pStyle w:val="TableText-SuperSmallBold"/>
                  </w:pPr>
                  <w:r w:rsidRPr="000C5235">
                    <w:t>$'000</w:t>
                  </w:r>
                </w:p>
              </w:tc>
              <w:tc>
                <w:tcPr>
                  <w:tcW w:w="852" w:type="dxa"/>
                  <w:tcBorders>
                    <w:top w:val="nil"/>
                    <w:left w:val="nil"/>
                    <w:bottom w:val="single" w:sz="4" w:space="0" w:color="auto"/>
                    <w:right w:val="nil"/>
                  </w:tcBorders>
                  <w:shd w:val="clear" w:color="000000" w:fill="FFFFFF"/>
                  <w:noWrap/>
                  <w:vAlign w:val="bottom"/>
                  <w:hideMark/>
                </w:tcPr>
                <w:p w14:paraId="32575FAA" w14:textId="77777777" w:rsidR="00EE503C" w:rsidRPr="000C5235" w:rsidRDefault="00EE503C" w:rsidP="000A7DEC">
                  <w:pPr>
                    <w:pStyle w:val="TableText-SuperSmallBold"/>
                  </w:pPr>
                  <w:r w:rsidRPr="000C5235">
                    <w:t>$'000</w:t>
                  </w:r>
                </w:p>
              </w:tc>
              <w:tc>
                <w:tcPr>
                  <w:tcW w:w="852" w:type="dxa"/>
                  <w:tcBorders>
                    <w:top w:val="nil"/>
                    <w:left w:val="nil"/>
                    <w:bottom w:val="single" w:sz="4" w:space="0" w:color="auto"/>
                    <w:right w:val="nil"/>
                  </w:tcBorders>
                  <w:shd w:val="clear" w:color="000000" w:fill="E6E6E6"/>
                  <w:noWrap/>
                  <w:vAlign w:val="bottom"/>
                  <w:hideMark/>
                </w:tcPr>
                <w:p w14:paraId="5CFDD446" w14:textId="77777777" w:rsidR="00EE503C" w:rsidRPr="000C5235" w:rsidRDefault="00EE503C" w:rsidP="000A7DEC">
                  <w:pPr>
                    <w:pStyle w:val="TableText-SuperSmallBold"/>
                  </w:pPr>
                  <w:r w:rsidRPr="000C5235">
                    <w:t>$'000</w:t>
                  </w:r>
                </w:p>
              </w:tc>
            </w:tr>
            <w:tr w:rsidR="00EE503C" w:rsidRPr="000C5235" w14:paraId="4C51D66F"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7F312D63" w14:textId="0E0D1F76" w:rsidR="00EE503C" w:rsidRPr="000C5235" w:rsidRDefault="00250821" w:rsidP="000A7DEC">
                  <w:pPr>
                    <w:pStyle w:val="TableText-SuperSmallBold"/>
                  </w:pPr>
                  <w:r>
                    <w:t>Payment</w:t>
                  </w:r>
                  <w:r w:rsidRPr="000C5235">
                    <w:t xml:space="preserve"> </w:t>
                  </w:r>
                  <w:r w:rsidR="00EE503C" w:rsidRPr="000C5235">
                    <w:t>measures</w:t>
                  </w:r>
                </w:p>
              </w:tc>
              <w:tc>
                <w:tcPr>
                  <w:tcW w:w="1100" w:type="dxa"/>
                  <w:tcBorders>
                    <w:top w:val="nil"/>
                    <w:left w:val="nil"/>
                    <w:bottom w:val="nil"/>
                    <w:right w:val="nil"/>
                  </w:tcBorders>
                  <w:shd w:val="clear" w:color="auto" w:fill="auto"/>
                  <w:noWrap/>
                  <w:vAlign w:val="bottom"/>
                  <w:hideMark/>
                </w:tcPr>
                <w:p w14:paraId="1CA73E4E"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570DFC3E"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4E92C26B"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FFFFFF"/>
                  <w:noWrap/>
                  <w:vAlign w:val="bottom"/>
                  <w:hideMark/>
                </w:tcPr>
                <w:p w14:paraId="6F397249"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09E25E8C" w14:textId="77777777" w:rsidR="00EE503C" w:rsidRPr="000C5235" w:rsidRDefault="00EE503C" w:rsidP="000A7DEC">
                  <w:pPr>
                    <w:pStyle w:val="TableText-SuperSmallBold"/>
                  </w:pPr>
                  <w:r w:rsidRPr="000C5235">
                    <w:t> </w:t>
                  </w:r>
                </w:p>
              </w:tc>
            </w:tr>
            <w:tr w:rsidR="00EE503C" w:rsidRPr="000C5235" w14:paraId="0A84E3AE"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7A9C354A" w14:textId="77777777" w:rsidR="00EE503C" w:rsidRPr="000C5235" w:rsidRDefault="00EE503C" w:rsidP="000A7DEC">
                  <w:pPr>
                    <w:pStyle w:val="TableText-SuperSmallBold"/>
                  </w:pPr>
                  <w:r w:rsidRPr="000C5235">
                    <w:t>X Measure (a)</w:t>
                  </w:r>
                </w:p>
              </w:tc>
              <w:tc>
                <w:tcPr>
                  <w:tcW w:w="1100" w:type="dxa"/>
                  <w:tcBorders>
                    <w:top w:val="nil"/>
                    <w:left w:val="nil"/>
                    <w:bottom w:val="nil"/>
                    <w:right w:val="nil"/>
                  </w:tcBorders>
                  <w:shd w:val="clear" w:color="auto" w:fill="auto"/>
                  <w:noWrap/>
                  <w:vAlign w:val="bottom"/>
                  <w:hideMark/>
                </w:tcPr>
                <w:p w14:paraId="55B55756" w14:textId="77777777" w:rsidR="00EE503C" w:rsidRPr="000C5235" w:rsidRDefault="00EE503C" w:rsidP="000A7DEC">
                  <w:pPr>
                    <w:pStyle w:val="TableText-SuperSmallBold"/>
                  </w:pPr>
                  <w:r w:rsidRPr="000C5235">
                    <w:t xml:space="preserve"> 1.1 </w:t>
                  </w:r>
                </w:p>
              </w:tc>
              <w:tc>
                <w:tcPr>
                  <w:tcW w:w="852" w:type="dxa"/>
                  <w:tcBorders>
                    <w:top w:val="nil"/>
                    <w:left w:val="nil"/>
                    <w:bottom w:val="nil"/>
                    <w:right w:val="nil"/>
                  </w:tcBorders>
                  <w:shd w:val="clear" w:color="000000" w:fill="FFFFFF"/>
                  <w:noWrap/>
                  <w:vAlign w:val="bottom"/>
                  <w:hideMark/>
                </w:tcPr>
                <w:p w14:paraId="28E45709"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E6E6E6"/>
                  <w:noWrap/>
                  <w:vAlign w:val="bottom"/>
                  <w:hideMark/>
                </w:tcPr>
                <w:p w14:paraId="5AEBB11C"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1EF66BE5"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E6E6E6"/>
                  <w:noWrap/>
                  <w:vAlign w:val="bottom"/>
                  <w:hideMark/>
                </w:tcPr>
                <w:p w14:paraId="6E95F92B" w14:textId="77777777" w:rsidR="00EE503C" w:rsidRPr="000C5235" w:rsidRDefault="00EE503C" w:rsidP="000A7DEC">
                  <w:pPr>
                    <w:pStyle w:val="TableText-SuperSmallBold"/>
                  </w:pPr>
                </w:p>
              </w:tc>
            </w:tr>
            <w:tr w:rsidR="00EE503C" w:rsidRPr="000C5235" w14:paraId="1C60EB4E"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271F43D5" w14:textId="287CBC59" w:rsidR="00EE503C" w:rsidRPr="000C5235" w:rsidRDefault="00EE503C">
                  <w:pPr>
                    <w:pStyle w:val="TableText-SuperSmallBold"/>
                  </w:pPr>
                  <w:r w:rsidRPr="000C5235">
                    <w:t xml:space="preserve">Administered </w:t>
                  </w:r>
                  <w:r w:rsidR="00250821">
                    <w:t>payment</w:t>
                  </w:r>
                </w:p>
              </w:tc>
              <w:tc>
                <w:tcPr>
                  <w:tcW w:w="1100" w:type="dxa"/>
                  <w:tcBorders>
                    <w:top w:val="nil"/>
                    <w:left w:val="nil"/>
                    <w:bottom w:val="nil"/>
                    <w:right w:val="nil"/>
                  </w:tcBorders>
                  <w:shd w:val="clear" w:color="auto" w:fill="auto"/>
                  <w:noWrap/>
                  <w:vAlign w:val="bottom"/>
                  <w:hideMark/>
                </w:tcPr>
                <w:p w14:paraId="757A1000"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66C4D718" w14:textId="77777777" w:rsidR="00EE503C" w:rsidRPr="000C5235" w:rsidRDefault="00EE503C" w:rsidP="000A7DEC">
                  <w:pPr>
                    <w:pStyle w:val="TableText-SuperSmallBold"/>
                  </w:pPr>
                  <w:r w:rsidRPr="000C5235">
                    <w:t>2,000</w:t>
                  </w:r>
                </w:p>
              </w:tc>
              <w:tc>
                <w:tcPr>
                  <w:tcW w:w="852" w:type="dxa"/>
                  <w:tcBorders>
                    <w:top w:val="nil"/>
                    <w:left w:val="nil"/>
                    <w:bottom w:val="nil"/>
                    <w:right w:val="nil"/>
                  </w:tcBorders>
                  <w:shd w:val="clear" w:color="000000" w:fill="E6E6E6"/>
                  <w:noWrap/>
                  <w:vAlign w:val="bottom"/>
                  <w:hideMark/>
                </w:tcPr>
                <w:p w14:paraId="287CA0BE" w14:textId="77777777" w:rsidR="00EE503C" w:rsidRPr="000C5235" w:rsidRDefault="00EE503C" w:rsidP="000A7DEC">
                  <w:pPr>
                    <w:pStyle w:val="TableText-SuperSmallBold"/>
                  </w:pPr>
                  <w:r w:rsidRPr="000C5235">
                    <w:t>3,000</w:t>
                  </w:r>
                </w:p>
              </w:tc>
              <w:tc>
                <w:tcPr>
                  <w:tcW w:w="852" w:type="dxa"/>
                  <w:tcBorders>
                    <w:top w:val="nil"/>
                    <w:left w:val="nil"/>
                    <w:bottom w:val="nil"/>
                    <w:right w:val="nil"/>
                  </w:tcBorders>
                  <w:shd w:val="clear" w:color="000000" w:fill="FFFFFF"/>
                  <w:noWrap/>
                  <w:vAlign w:val="bottom"/>
                  <w:hideMark/>
                </w:tcPr>
                <w:p w14:paraId="502F5783" w14:textId="77777777" w:rsidR="00EE503C" w:rsidRPr="000C5235" w:rsidRDefault="00EE503C" w:rsidP="000A7DEC">
                  <w:pPr>
                    <w:pStyle w:val="TableText-SuperSmallBold"/>
                  </w:pPr>
                  <w:r w:rsidRPr="000C5235">
                    <w:t>4,000</w:t>
                  </w:r>
                </w:p>
              </w:tc>
              <w:tc>
                <w:tcPr>
                  <w:tcW w:w="852" w:type="dxa"/>
                  <w:tcBorders>
                    <w:top w:val="nil"/>
                    <w:left w:val="nil"/>
                    <w:bottom w:val="nil"/>
                    <w:right w:val="nil"/>
                  </w:tcBorders>
                  <w:shd w:val="clear" w:color="000000" w:fill="E6E6E6"/>
                  <w:noWrap/>
                  <w:vAlign w:val="bottom"/>
                  <w:hideMark/>
                </w:tcPr>
                <w:p w14:paraId="433D2929" w14:textId="77777777" w:rsidR="00EE503C" w:rsidRPr="000C5235" w:rsidRDefault="00EE503C" w:rsidP="000A7DEC">
                  <w:pPr>
                    <w:pStyle w:val="TableText-SuperSmallBold"/>
                  </w:pPr>
                  <w:r w:rsidRPr="000C5235">
                    <w:t>5,000</w:t>
                  </w:r>
                </w:p>
              </w:tc>
            </w:tr>
            <w:tr w:rsidR="00EE503C" w:rsidRPr="000C5235" w14:paraId="2B591910"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4D2FC7E8" w14:textId="77777777" w:rsidR="00EE503C" w:rsidRPr="000C5235" w:rsidRDefault="00EE503C" w:rsidP="000A7DEC">
                  <w:pPr>
                    <w:pStyle w:val="TableText-SuperSmallBold"/>
                  </w:pPr>
                  <w:r w:rsidRPr="000C5235">
                    <w:t xml:space="preserve">Total </w:t>
                  </w:r>
                </w:p>
              </w:tc>
              <w:tc>
                <w:tcPr>
                  <w:tcW w:w="1100" w:type="dxa"/>
                  <w:tcBorders>
                    <w:top w:val="nil"/>
                    <w:left w:val="nil"/>
                    <w:bottom w:val="nil"/>
                    <w:right w:val="nil"/>
                  </w:tcBorders>
                  <w:shd w:val="clear" w:color="auto" w:fill="auto"/>
                  <w:noWrap/>
                  <w:vAlign w:val="bottom"/>
                  <w:hideMark/>
                </w:tcPr>
                <w:p w14:paraId="3D14EE71"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670C32C0" w14:textId="77777777" w:rsidR="00EE503C" w:rsidRPr="000C5235" w:rsidRDefault="00EE503C" w:rsidP="000A7DEC">
                  <w:pPr>
                    <w:pStyle w:val="TableText-SuperSmallBold"/>
                  </w:pPr>
                  <w:r w:rsidRPr="000C5235">
                    <w:t>2,000</w:t>
                  </w:r>
                </w:p>
              </w:tc>
              <w:tc>
                <w:tcPr>
                  <w:tcW w:w="852" w:type="dxa"/>
                  <w:tcBorders>
                    <w:top w:val="nil"/>
                    <w:left w:val="nil"/>
                    <w:bottom w:val="nil"/>
                    <w:right w:val="nil"/>
                  </w:tcBorders>
                  <w:shd w:val="clear" w:color="000000" w:fill="E6E6E6"/>
                  <w:noWrap/>
                  <w:vAlign w:val="bottom"/>
                  <w:hideMark/>
                </w:tcPr>
                <w:p w14:paraId="5A03D773" w14:textId="77777777" w:rsidR="00EE503C" w:rsidRPr="000C5235" w:rsidRDefault="00EE503C" w:rsidP="000A7DEC">
                  <w:pPr>
                    <w:pStyle w:val="TableText-SuperSmallBold"/>
                  </w:pPr>
                  <w:r w:rsidRPr="000C5235">
                    <w:t>3,000</w:t>
                  </w:r>
                </w:p>
              </w:tc>
              <w:tc>
                <w:tcPr>
                  <w:tcW w:w="852" w:type="dxa"/>
                  <w:tcBorders>
                    <w:top w:val="nil"/>
                    <w:left w:val="nil"/>
                    <w:bottom w:val="nil"/>
                    <w:right w:val="nil"/>
                  </w:tcBorders>
                  <w:shd w:val="clear" w:color="000000" w:fill="FFFFFF"/>
                  <w:noWrap/>
                  <w:vAlign w:val="bottom"/>
                  <w:hideMark/>
                </w:tcPr>
                <w:p w14:paraId="606D3F9A" w14:textId="77777777" w:rsidR="00EE503C" w:rsidRPr="000C5235" w:rsidRDefault="00EE503C" w:rsidP="000A7DEC">
                  <w:pPr>
                    <w:pStyle w:val="TableText-SuperSmallBold"/>
                  </w:pPr>
                  <w:r w:rsidRPr="000C5235">
                    <w:t>4,000</w:t>
                  </w:r>
                </w:p>
              </w:tc>
              <w:tc>
                <w:tcPr>
                  <w:tcW w:w="852" w:type="dxa"/>
                  <w:tcBorders>
                    <w:top w:val="nil"/>
                    <w:left w:val="nil"/>
                    <w:bottom w:val="nil"/>
                    <w:right w:val="nil"/>
                  </w:tcBorders>
                  <w:shd w:val="clear" w:color="000000" w:fill="E6E6E6"/>
                  <w:noWrap/>
                  <w:vAlign w:val="bottom"/>
                  <w:hideMark/>
                </w:tcPr>
                <w:p w14:paraId="5A2DD534" w14:textId="77777777" w:rsidR="00EE503C" w:rsidRPr="000C5235" w:rsidRDefault="00EE503C" w:rsidP="000A7DEC">
                  <w:pPr>
                    <w:pStyle w:val="TableText-SuperSmallBold"/>
                  </w:pPr>
                  <w:r w:rsidRPr="000C5235">
                    <w:t>5,000</w:t>
                  </w:r>
                </w:p>
              </w:tc>
            </w:tr>
            <w:tr w:rsidR="00EE503C" w:rsidRPr="000C5235" w14:paraId="574EA0E8" w14:textId="77777777" w:rsidTr="00BD6313">
              <w:trPr>
                <w:gridAfter w:val="1"/>
                <w:wAfter w:w="852" w:type="dxa"/>
                <w:trHeight w:val="60"/>
                <w:jc w:val="center"/>
              </w:trPr>
              <w:tc>
                <w:tcPr>
                  <w:tcW w:w="2432" w:type="dxa"/>
                  <w:tcBorders>
                    <w:top w:val="nil"/>
                    <w:left w:val="nil"/>
                    <w:bottom w:val="nil"/>
                    <w:right w:val="nil"/>
                  </w:tcBorders>
                  <w:shd w:val="clear" w:color="auto" w:fill="auto"/>
                  <w:noWrap/>
                  <w:vAlign w:val="bottom"/>
                  <w:hideMark/>
                </w:tcPr>
                <w:p w14:paraId="1423473E" w14:textId="77777777" w:rsidR="00EE503C" w:rsidRPr="000C5235" w:rsidRDefault="00EE503C" w:rsidP="000A7DEC">
                  <w:pPr>
                    <w:pStyle w:val="TableText-SuperSmallBold"/>
                  </w:pPr>
                </w:p>
              </w:tc>
              <w:tc>
                <w:tcPr>
                  <w:tcW w:w="1100" w:type="dxa"/>
                  <w:tcBorders>
                    <w:top w:val="nil"/>
                    <w:left w:val="nil"/>
                    <w:bottom w:val="nil"/>
                    <w:right w:val="nil"/>
                  </w:tcBorders>
                  <w:shd w:val="clear" w:color="auto" w:fill="auto"/>
                  <w:noWrap/>
                  <w:vAlign w:val="bottom"/>
                  <w:hideMark/>
                </w:tcPr>
                <w:p w14:paraId="2870D37E"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0B6E4492"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20494692"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FFFFFF"/>
                  <w:noWrap/>
                  <w:vAlign w:val="bottom"/>
                  <w:hideMark/>
                </w:tcPr>
                <w:p w14:paraId="362504FD"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453D2F5B" w14:textId="77777777" w:rsidR="00EE503C" w:rsidRPr="000C5235" w:rsidRDefault="00EE503C" w:rsidP="000A7DEC">
                  <w:pPr>
                    <w:pStyle w:val="TableText-SuperSmallBold"/>
                  </w:pPr>
                  <w:r w:rsidRPr="000C5235">
                    <w:t> </w:t>
                  </w:r>
                </w:p>
              </w:tc>
            </w:tr>
            <w:tr w:rsidR="00EE503C" w:rsidRPr="000C5235" w14:paraId="19B04AD2"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7E7FBEDE" w14:textId="77777777" w:rsidR="00EE503C" w:rsidRPr="000C5235" w:rsidRDefault="00EE503C" w:rsidP="000A7DEC">
                  <w:pPr>
                    <w:pStyle w:val="TableText-SuperSmallBold"/>
                  </w:pPr>
                  <w:r w:rsidRPr="000C5235">
                    <w:t>Y Measure (b)</w:t>
                  </w:r>
                </w:p>
              </w:tc>
              <w:tc>
                <w:tcPr>
                  <w:tcW w:w="1100" w:type="dxa"/>
                  <w:tcBorders>
                    <w:top w:val="nil"/>
                    <w:left w:val="nil"/>
                    <w:bottom w:val="nil"/>
                    <w:right w:val="nil"/>
                  </w:tcBorders>
                  <w:shd w:val="clear" w:color="auto" w:fill="auto"/>
                  <w:noWrap/>
                  <w:vAlign w:val="bottom"/>
                  <w:hideMark/>
                </w:tcPr>
                <w:p w14:paraId="05CA3BA5" w14:textId="77777777" w:rsidR="00EE503C" w:rsidRPr="000C5235" w:rsidRDefault="00EE503C" w:rsidP="000A7DEC">
                  <w:pPr>
                    <w:pStyle w:val="TableText-SuperSmallBold"/>
                  </w:pPr>
                  <w:r w:rsidRPr="000C5235">
                    <w:t xml:space="preserve"> 2.2 </w:t>
                  </w:r>
                </w:p>
              </w:tc>
              <w:tc>
                <w:tcPr>
                  <w:tcW w:w="852" w:type="dxa"/>
                  <w:tcBorders>
                    <w:top w:val="nil"/>
                    <w:left w:val="nil"/>
                    <w:bottom w:val="nil"/>
                    <w:right w:val="nil"/>
                  </w:tcBorders>
                  <w:shd w:val="clear" w:color="000000" w:fill="FFFFFF"/>
                  <w:noWrap/>
                  <w:vAlign w:val="bottom"/>
                  <w:hideMark/>
                </w:tcPr>
                <w:p w14:paraId="3A5ED91F"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63BC4C3B"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FFFFFF"/>
                  <w:noWrap/>
                  <w:vAlign w:val="bottom"/>
                  <w:hideMark/>
                </w:tcPr>
                <w:p w14:paraId="49C568B2"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354E58C5" w14:textId="77777777" w:rsidR="00EE503C" w:rsidRPr="000C5235" w:rsidRDefault="00EE503C" w:rsidP="000A7DEC">
                  <w:pPr>
                    <w:pStyle w:val="TableText-SuperSmallBold"/>
                  </w:pPr>
                  <w:r w:rsidRPr="000C5235">
                    <w:t> </w:t>
                  </w:r>
                </w:p>
              </w:tc>
            </w:tr>
            <w:tr w:rsidR="00EE503C" w:rsidRPr="000C5235" w14:paraId="7A16F5ED"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1B33182F" w14:textId="54526AF0" w:rsidR="00EE503C" w:rsidRPr="000C5235" w:rsidRDefault="00EE503C">
                  <w:pPr>
                    <w:pStyle w:val="TableText-SuperSmallBold"/>
                  </w:pPr>
                  <w:r w:rsidRPr="000C5235">
                    <w:t xml:space="preserve">Administered </w:t>
                  </w:r>
                  <w:r w:rsidR="00250821">
                    <w:t>Payment</w:t>
                  </w:r>
                </w:p>
              </w:tc>
              <w:tc>
                <w:tcPr>
                  <w:tcW w:w="1100" w:type="dxa"/>
                  <w:tcBorders>
                    <w:top w:val="nil"/>
                    <w:left w:val="nil"/>
                    <w:bottom w:val="nil"/>
                    <w:right w:val="nil"/>
                  </w:tcBorders>
                  <w:shd w:val="clear" w:color="auto" w:fill="auto"/>
                  <w:noWrap/>
                  <w:vAlign w:val="bottom"/>
                  <w:hideMark/>
                </w:tcPr>
                <w:p w14:paraId="123377E7"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5B8B8E91" w14:textId="77777777" w:rsidR="00EE503C" w:rsidRPr="000C5235" w:rsidRDefault="00EE503C" w:rsidP="000A7DEC">
                  <w:pPr>
                    <w:pStyle w:val="TableText-SuperSmallBold"/>
                  </w:pPr>
                  <w:r w:rsidRPr="000C5235">
                    <w:t>-</w:t>
                  </w:r>
                </w:p>
              </w:tc>
              <w:tc>
                <w:tcPr>
                  <w:tcW w:w="852" w:type="dxa"/>
                  <w:tcBorders>
                    <w:top w:val="nil"/>
                    <w:left w:val="nil"/>
                    <w:bottom w:val="nil"/>
                    <w:right w:val="nil"/>
                  </w:tcBorders>
                  <w:shd w:val="clear" w:color="000000" w:fill="E6E6E6"/>
                  <w:noWrap/>
                  <w:vAlign w:val="bottom"/>
                  <w:hideMark/>
                </w:tcPr>
                <w:p w14:paraId="13E92C9E" w14:textId="77777777" w:rsidR="00EE503C" w:rsidRPr="000C5235" w:rsidRDefault="00EE503C" w:rsidP="000A7DEC">
                  <w:pPr>
                    <w:pStyle w:val="TableText-SuperSmallBold"/>
                  </w:pPr>
                  <w:r w:rsidRPr="000C5235">
                    <w:t>-</w:t>
                  </w:r>
                </w:p>
              </w:tc>
              <w:tc>
                <w:tcPr>
                  <w:tcW w:w="852" w:type="dxa"/>
                  <w:tcBorders>
                    <w:top w:val="nil"/>
                    <w:left w:val="nil"/>
                    <w:bottom w:val="nil"/>
                    <w:right w:val="nil"/>
                  </w:tcBorders>
                  <w:shd w:val="clear" w:color="000000" w:fill="FFFFFF"/>
                  <w:noWrap/>
                  <w:vAlign w:val="bottom"/>
                  <w:hideMark/>
                </w:tcPr>
                <w:p w14:paraId="73615800" w14:textId="77777777" w:rsidR="00EE503C" w:rsidRPr="000C5235" w:rsidRDefault="00EE503C" w:rsidP="000A7DEC">
                  <w:pPr>
                    <w:pStyle w:val="TableText-SuperSmallBold"/>
                  </w:pPr>
                  <w:r w:rsidRPr="000C5235">
                    <w:t>-</w:t>
                  </w:r>
                </w:p>
              </w:tc>
              <w:tc>
                <w:tcPr>
                  <w:tcW w:w="852" w:type="dxa"/>
                  <w:tcBorders>
                    <w:top w:val="nil"/>
                    <w:left w:val="nil"/>
                    <w:bottom w:val="nil"/>
                    <w:right w:val="nil"/>
                  </w:tcBorders>
                  <w:shd w:val="clear" w:color="000000" w:fill="E6E6E6"/>
                  <w:noWrap/>
                  <w:vAlign w:val="bottom"/>
                  <w:hideMark/>
                </w:tcPr>
                <w:p w14:paraId="7879F773" w14:textId="77777777" w:rsidR="00EE503C" w:rsidRPr="000C5235" w:rsidRDefault="00EE503C" w:rsidP="000A7DEC">
                  <w:pPr>
                    <w:pStyle w:val="TableText-SuperSmallBold"/>
                  </w:pPr>
                  <w:r w:rsidRPr="000C5235">
                    <w:t>-</w:t>
                  </w:r>
                </w:p>
              </w:tc>
            </w:tr>
            <w:tr w:rsidR="00EE503C" w:rsidRPr="000C5235" w14:paraId="4D297335" w14:textId="77777777" w:rsidTr="00BD6313">
              <w:trPr>
                <w:gridAfter w:val="1"/>
                <w:wAfter w:w="852" w:type="dxa"/>
                <w:trHeight w:val="225"/>
                <w:jc w:val="center"/>
              </w:trPr>
              <w:tc>
                <w:tcPr>
                  <w:tcW w:w="2432" w:type="dxa"/>
                  <w:tcBorders>
                    <w:top w:val="nil"/>
                    <w:left w:val="nil"/>
                    <w:bottom w:val="single" w:sz="4" w:space="0" w:color="auto"/>
                    <w:right w:val="nil"/>
                  </w:tcBorders>
                  <w:shd w:val="clear" w:color="auto" w:fill="auto"/>
                  <w:noWrap/>
                  <w:vAlign w:val="bottom"/>
                  <w:hideMark/>
                </w:tcPr>
                <w:p w14:paraId="5DE58EBD" w14:textId="77777777" w:rsidR="00EE503C" w:rsidRPr="000C5235" w:rsidRDefault="00EE503C" w:rsidP="000A7DEC">
                  <w:pPr>
                    <w:pStyle w:val="TableText-SuperSmallBold"/>
                  </w:pPr>
                  <w:r w:rsidRPr="000C5235">
                    <w:t xml:space="preserve">Total </w:t>
                  </w:r>
                </w:p>
              </w:tc>
              <w:tc>
                <w:tcPr>
                  <w:tcW w:w="1100" w:type="dxa"/>
                  <w:tcBorders>
                    <w:top w:val="nil"/>
                    <w:left w:val="nil"/>
                    <w:bottom w:val="single" w:sz="4" w:space="0" w:color="auto"/>
                    <w:right w:val="nil"/>
                  </w:tcBorders>
                  <w:shd w:val="clear" w:color="auto" w:fill="auto"/>
                  <w:noWrap/>
                  <w:vAlign w:val="bottom"/>
                  <w:hideMark/>
                </w:tcPr>
                <w:p w14:paraId="4AA1DC6D" w14:textId="77777777" w:rsidR="00EE503C" w:rsidRPr="000C5235" w:rsidRDefault="00EE503C" w:rsidP="000A7DEC">
                  <w:pPr>
                    <w:pStyle w:val="TableText-SuperSmallBold"/>
                  </w:pPr>
                </w:p>
              </w:tc>
              <w:tc>
                <w:tcPr>
                  <w:tcW w:w="852" w:type="dxa"/>
                  <w:tcBorders>
                    <w:top w:val="nil"/>
                    <w:left w:val="nil"/>
                    <w:bottom w:val="single" w:sz="4" w:space="0" w:color="auto"/>
                    <w:right w:val="nil"/>
                  </w:tcBorders>
                  <w:shd w:val="clear" w:color="000000" w:fill="FFFFFF"/>
                  <w:noWrap/>
                  <w:vAlign w:val="bottom"/>
                  <w:hideMark/>
                </w:tcPr>
                <w:p w14:paraId="3E920D6D" w14:textId="77777777" w:rsidR="00EE503C" w:rsidRPr="000C5235" w:rsidRDefault="00EE503C" w:rsidP="000A7DEC">
                  <w:pPr>
                    <w:pStyle w:val="TableText-SuperSmallBold"/>
                  </w:pPr>
                  <w:r w:rsidRPr="000C5235">
                    <w:t>-</w:t>
                  </w:r>
                </w:p>
              </w:tc>
              <w:tc>
                <w:tcPr>
                  <w:tcW w:w="852" w:type="dxa"/>
                  <w:tcBorders>
                    <w:top w:val="nil"/>
                    <w:left w:val="nil"/>
                    <w:bottom w:val="single" w:sz="4" w:space="0" w:color="auto"/>
                    <w:right w:val="nil"/>
                  </w:tcBorders>
                  <w:shd w:val="clear" w:color="000000" w:fill="E6E6E6"/>
                  <w:noWrap/>
                  <w:vAlign w:val="bottom"/>
                  <w:hideMark/>
                </w:tcPr>
                <w:p w14:paraId="0419E18C" w14:textId="77777777" w:rsidR="00EE503C" w:rsidRPr="000C5235" w:rsidRDefault="00EE503C" w:rsidP="000A7DEC">
                  <w:pPr>
                    <w:pStyle w:val="TableText-SuperSmallBold"/>
                  </w:pPr>
                  <w:r w:rsidRPr="000C5235">
                    <w:t>-</w:t>
                  </w:r>
                </w:p>
              </w:tc>
              <w:tc>
                <w:tcPr>
                  <w:tcW w:w="852" w:type="dxa"/>
                  <w:tcBorders>
                    <w:top w:val="nil"/>
                    <w:left w:val="nil"/>
                    <w:bottom w:val="single" w:sz="4" w:space="0" w:color="auto"/>
                    <w:right w:val="nil"/>
                  </w:tcBorders>
                  <w:shd w:val="clear" w:color="000000" w:fill="FFFFFF"/>
                  <w:noWrap/>
                  <w:vAlign w:val="bottom"/>
                  <w:hideMark/>
                </w:tcPr>
                <w:p w14:paraId="6FEE6E41" w14:textId="77777777" w:rsidR="00EE503C" w:rsidRPr="000C5235" w:rsidRDefault="00EE503C" w:rsidP="000A7DEC">
                  <w:pPr>
                    <w:pStyle w:val="TableText-SuperSmallBold"/>
                  </w:pPr>
                  <w:r w:rsidRPr="000C5235">
                    <w:t>-</w:t>
                  </w:r>
                </w:p>
              </w:tc>
              <w:tc>
                <w:tcPr>
                  <w:tcW w:w="852" w:type="dxa"/>
                  <w:tcBorders>
                    <w:top w:val="nil"/>
                    <w:left w:val="nil"/>
                    <w:bottom w:val="single" w:sz="4" w:space="0" w:color="auto"/>
                    <w:right w:val="nil"/>
                  </w:tcBorders>
                  <w:shd w:val="clear" w:color="000000" w:fill="E6E6E6"/>
                  <w:noWrap/>
                  <w:vAlign w:val="bottom"/>
                  <w:hideMark/>
                </w:tcPr>
                <w:p w14:paraId="2908AEDF" w14:textId="77777777" w:rsidR="00EE503C" w:rsidRPr="000C5235" w:rsidRDefault="00EE503C" w:rsidP="000A7DEC">
                  <w:pPr>
                    <w:pStyle w:val="TableText-SuperSmallBold"/>
                  </w:pPr>
                  <w:r w:rsidRPr="000C5235">
                    <w:t>-</w:t>
                  </w:r>
                </w:p>
              </w:tc>
            </w:tr>
          </w:tbl>
          <w:p w14:paraId="4A359C0F" w14:textId="77777777" w:rsidR="004D479A" w:rsidRPr="000C5235" w:rsidRDefault="004D479A">
            <w:pPr>
              <w:pStyle w:val="TableText-Normal"/>
              <w:numPr>
                <w:ilvl w:val="0"/>
                <w:numId w:val="105"/>
              </w:numPr>
              <w:rPr>
                <w:rStyle w:val="BodyTextChar"/>
                <w:sz w:val="18"/>
              </w:rPr>
            </w:pPr>
            <w:r w:rsidRPr="000C5235">
              <w:rPr>
                <w:rStyle w:val="BodyTextChar"/>
                <w:sz w:val="18"/>
              </w:rPr>
              <w:t>This measure was originally announced in the 20XX Economic Statement/20XX Pre-Election Economic and Fiscal Outlook/</w:t>
            </w:r>
            <w:r w:rsidR="00DD7AAE" w:rsidRPr="000C5235">
              <w:rPr>
                <w:rStyle w:val="BodyTextChar"/>
                <w:sz w:val="18"/>
              </w:rPr>
              <w:t>2019-20</w:t>
            </w:r>
            <w:r w:rsidRPr="000C5235">
              <w:rPr>
                <w:rStyle w:val="BodyTextChar"/>
                <w:sz w:val="18"/>
              </w:rPr>
              <w:t xml:space="preserve"> Mid-Year Economic and Fiscal Outlook </w:t>
            </w:r>
            <w:r w:rsidRPr="000C5235">
              <w:rPr>
                <w:rStyle w:val="BodyTextChar"/>
                <w:color w:val="FF0000"/>
                <w:sz w:val="18"/>
              </w:rPr>
              <w:t>(whichever applies)</w:t>
            </w:r>
            <w:r w:rsidRPr="000C5235">
              <w:rPr>
                <w:rStyle w:val="BodyTextChar"/>
                <w:sz w:val="18"/>
              </w:rPr>
              <w:t xml:space="preserve"> and has been partially reversed by (measure title) announced in the </w:t>
            </w:r>
            <w:r w:rsidR="00DD7AAE" w:rsidRPr="000C5235">
              <w:rPr>
                <w:rStyle w:val="BodyTextChar"/>
                <w:sz w:val="18"/>
              </w:rPr>
              <w:t>2020-21</w:t>
            </w:r>
            <w:r w:rsidRPr="000C5235">
              <w:rPr>
                <w:rStyle w:val="BodyTextChar"/>
                <w:sz w:val="18"/>
              </w:rPr>
              <w:t xml:space="preserve"> Budget. The above financial figures reflect the current net fiscal impact of the measure.</w:t>
            </w:r>
          </w:p>
          <w:p w14:paraId="05B0C332" w14:textId="77777777" w:rsidR="004D479A" w:rsidRPr="000C5235" w:rsidRDefault="004D479A">
            <w:pPr>
              <w:pStyle w:val="TableText-Normal"/>
              <w:numPr>
                <w:ilvl w:val="0"/>
                <w:numId w:val="105"/>
              </w:numPr>
              <w:rPr>
                <w:rStyle w:val="BodyTextChar"/>
                <w:sz w:val="18"/>
              </w:rPr>
            </w:pPr>
            <w:r w:rsidRPr="000C5235">
              <w:rPr>
                <w:rStyle w:val="BodyTextChar"/>
                <w:sz w:val="18"/>
              </w:rPr>
              <w:t>This measure was originally announced in the 20XX Economic Statement/20XX Pre-Election Economic and Fiscal Outlook/</w:t>
            </w:r>
            <w:r w:rsidR="003A517F" w:rsidRPr="000C5235">
              <w:rPr>
                <w:rStyle w:val="BodyTextChar"/>
                <w:sz w:val="18"/>
              </w:rPr>
              <w:t>2019-20</w:t>
            </w:r>
            <w:r w:rsidRPr="000C5235">
              <w:rPr>
                <w:rStyle w:val="BodyTextChar"/>
                <w:sz w:val="18"/>
              </w:rPr>
              <w:t xml:space="preserve"> Mid-Year Economic and Fiscal Outlook </w:t>
            </w:r>
            <w:r w:rsidRPr="000C5235">
              <w:rPr>
                <w:rStyle w:val="BodyTextChar"/>
                <w:color w:val="FF0000"/>
                <w:sz w:val="18"/>
              </w:rPr>
              <w:t>(whichever applies)</w:t>
            </w:r>
            <w:r w:rsidRPr="000C5235">
              <w:rPr>
                <w:rStyle w:val="BodyTextChar"/>
                <w:sz w:val="18"/>
              </w:rPr>
              <w:t xml:space="preserve"> and has been fully reversed by (measure title) announced in the </w:t>
            </w:r>
            <w:r w:rsidR="0049781E" w:rsidRPr="000C5235">
              <w:rPr>
                <w:rStyle w:val="BodyTextChar"/>
                <w:sz w:val="18"/>
              </w:rPr>
              <w:t>2020-21</w:t>
            </w:r>
            <w:r w:rsidRPr="000C5235">
              <w:rPr>
                <w:rStyle w:val="BodyTextChar"/>
                <w:sz w:val="18"/>
              </w:rPr>
              <w:t xml:space="preserve"> Budget. The above dashes reflect that the measure has no fiscal impact as it has ceased. </w:t>
            </w:r>
          </w:p>
        </w:tc>
      </w:tr>
    </w:tbl>
    <w:p w14:paraId="63C98109" w14:textId="77777777" w:rsidR="00FA0945" w:rsidRPr="000C5235" w:rsidRDefault="00FA0945" w:rsidP="000A7DEC">
      <w:pPr>
        <w:pStyle w:val="Heading2Numbered"/>
        <w:rPr>
          <w:rStyle w:val="BodyTextChar"/>
          <w:rFonts w:eastAsiaTheme="majorEastAsia" w:cstheme="majorBidi"/>
          <w:bCs w:val="0"/>
        </w:rPr>
      </w:pPr>
      <w:bookmarkStart w:id="429" w:name="_Toc53564750"/>
      <w:r w:rsidRPr="000C5235">
        <w:rPr>
          <w:rStyle w:val="BodyTextChar"/>
          <w:rFonts w:eastAsiaTheme="majorEastAsia" w:cstheme="majorBidi"/>
        </w:rPr>
        <w:t xml:space="preserve">Decisions </w:t>
      </w:r>
      <w:r w:rsidR="0079648C" w:rsidRPr="000C5235">
        <w:rPr>
          <w:rStyle w:val="BodyTextChar"/>
          <w:rFonts w:eastAsiaTheme="majorEastAsia" w:cstheme="majorBidi"/>
        </w:rPr>
        <w:t>t</w:t>
      </w:r>
      <w:r w:rsidRPr="000C5235">
        <w:rPr>
          <w:rStyle w:val="BodyTextChar"/>
          <w:rFonts w:eastAsiaTheme="majorEastAsia" w:cstheme="majorBidi"/>
        </w:rPr>
        <w:t xml:space="preserve">aken </w:t>
      </w:r>
      <w:r w:rsidR="0079648C" w:rsidRPr="000C5235">
        <w:rPr>
          <w:rStyle w:val="BodyTextChar"/>
          <w:rFonts w:eastAsiaTheme="majorEastAsia" w:cstheme="majorBidi"/>
        </w:rPr>
        <w:t>b</w:t>
      </w:r>
      <w:r w:rsidRPr="000C5235">
        <w:rPr>
          <w:rStyle w:val="BodyTextChar"/>
          <w:rFonts w:eastAsiaTheme="majorEastAsia" w:cstheme="majorBidi"/>
        </w:rPr>
        <w:t xml:space="preserve">ut </w:t>
      </w:r>
      <w:r w:rsidR="0079648C" w:rsidRPr="000C5235">
        <w:rPr>
          <w:rStyle w:val="BodyTextChar"/>
          <w:rFonts w:eastAsiaTheme="majorEastAsia" w:cstheme="majorBidi"/>
        </w:rPr>
        <w:t>n</w:t>
      </w:r>
      <w:r w:rsidRPr="000C5235">
        <w:rPr>
          <w:rStyle w:val="BodyTextChar"/>
          <w:rFonts w:eastAsiaTheme="majorEastAsia" w:cstheme="majorBidi"/>
        </w:rPr>
        <w:t xml:space="preserve">ot </w:t>
      </w:r>
      <w:r w:rsidR="0079648C" w:rsidRPr="000C5235">
        <w:rPr>
          <w:rStyle w:val="BodyTextChar"/>
          <w:rFonts w:eastAsiaTheme="majorEastAsia" w:cstheme="majorBidi"/>
        </w:rPr>
        <w:t>y</w:t>
      </w:r>
      <w:r w:rsidRPr="000C5235">
        <w:rPr>
          <w:rStyle w:val="BodyTextChar"/>
          <w:rFonts w:eastAsiaTheme="majorEastAsia" w:cstheme="majorBidi"/>
        </w:rPr>
        <w:t xml:space="preserve">et </w:t>
      </w:r>
      <w:r w:rsidR="0079648C" w:rsidRPr="000C5235">
        <w:rPr>
          <w:rStyle w:val="BodyTextChar"/>
          <w:rFonts w:eastAsiaTheme="majorEastAsia" w:cstheme="majorBidi"/>
        </w:rPr>
        <w:t>a</w:t>
      </w:r>
      <w:r w:rsidRPr="000C5235">
        <w:rPr>
          <w:rStyle w:val="BodyTextChar"/>
          <w:rFonts w:eastAsiaTheme="majorEastAsia" w:cstheme="majorBidi"/>
        </w:rPr>
        <w:t>nnounced</w:t>
      </w:r>
      <w:bookmarkEnd w:id="429"/>
    </w:p>
    <w:p w14:paraId="4468205E" w14:textId="77777777" w:rsidR="00FA0945" w:rsidRPr="000C5235" w:rsidRDefault="00FA0945" w:rsidP="000A7DEC">
      <w:pPr>
        <w:rPr>
          <w:rStyle w:val="BodyTextChar"/>
          <w:rFonts w:ascii="Arial" w:hAnsi="Arial"/>
          <w:bCs/>
          <w:iCs/>
          <w:color w:val="005A77"/>
          <w:spacing w:val="-6"/>
          <w:sz w:val="32"/>
          <w:szCs w:val="24"/>
        </w:rPr>
      </w:pPr>
      <w:r w:rsidRPr="000C5235">
        <w:rPr>
          <w:rStyle w:val="BodyTextChar"/>
        </w:rPr>
        <w:t xml:space="preserve">Where a measure was included in an economic statement as a “Decision taken but not yet announced” (DTBNYA) but has since been announced, it should generally be published in the next available budget statement following that announcement. </w:t>
      </w:r>
    </w:p>
    <w:p w14:paraId="69AE97C7" w14:textId="77777777" w:rsidR="00FA0945" w:rsidRPr="000C5235" w:rsidRDefault="00FA0945">
      <w:pPr>
        <w:pStyle w:val="Bullet1"/>
        <w:rPr>
          <w:rStyle w:val="BodyTextChar"/>
        </w:rPr>
      </w:pPr>
      <w:r w:rsidRPr="000C5235">
        <w:rPr>
          <w:rStyle w:val="BodyTextChar"/>
        </w:rPr>
        <w:t xml:space="preserve">The measure should be listed in Table 1.2 with its full measure title and </w:t>
      </w:r>
      <w:r w:rsidR="00F1623A" w:rsidRPr="000C5235">
        <w:rPr>
          <w:rStyle w:val="BodyTextChar"/>
        </w:rPr>
        <w:t xml:space="preserve">dashes ‘-‘ </w:t>
      </w:r>
      <w:r w:rsidR="00555C2A" w:rsidRPr="000C5235">
        <w:rPr>
          <w:rStyle w:val="BodyTextChar"/>
        </w:rPr>
        <w:t>for</w:t>
      </w:r>
      <w:r w:rsidR="00F1623A" w:rsidRPr="000C5235">
        <w:rPr>
          <w:rStyle w:val="BodyTextChar"/>
        </w:rPr>
        <w:t xml:space="preserve"> the financials</w:t>
      </w:r>
      <w:r w:rsidRPr="000C5235">
        <w:rPr>
          <w:rStyle w:val="BodyTextChar"/>
        </w:rPr>
        <w:t xml:space="preserve"> as these costs were previously included as an aggregate amount</w:t>
      </w:r>
      <w:r w:rsidR="00867A6D" w:rsidRPr="000C5235">
        <w:rPr>
          <w:rStyle w:val="BodyTextChar"/>
        </w:rPr>
        <w:t>.</w:t>
      </w:r>
    </w:p>
    <w:p w14:paraId="6A01A121" w14:textId="77777777" w:rsidR="00FA0945" w:rsidRPr="000C5235" w:rsidRDefault="00FA0945">
      <w:pPr>
        <w:pStyle w:val="Bullet1"/>
        <w:rPr>
          <w:rStyle w:val="BodyTextChar"/>
        </w:rPr>
      </w:pPr>
      <w:r w:rsidRPr="000C5235">
        <w:rPr>
          <w:rStyle w:val="BodyTextChar"/>
        </w:rPr>
        <w:t>A footnote will be required explaining the item such as “Decision taken but not yet announced in the 20XX-XX Budget/MYEFO, with the following impact: 20XX-XX $XX.XXX million; 20XX-XX $X.XXX million and 20XX-XX $X.XXX million”</w:t>
      </w:r>
      <w:r w:rsidR="00867A6D" w:rsidRPr="000C5235">
        <w:rPr>
          <w:rStyle w:val="BodyTextChar"/>
        </w:rPr>
        <w:t>.</w:t>
      </w:r>
    </w:p>
    <w:p w14:paraId="5B8F6825" w14:textId="77777777" w:rsidR="00FA0945" w:rsidRPr="000C5235" w:rsidRDefault="00FA0945">
      <w:pPr>
        <w:pStyle w:val="Bullet1"/>
        <w:rPr>
          <w:rStyle w:val="BodyTextChar"/>
        </w:rPr>
      </w:pPr>
      <w:r w:rsidRPr="000C5235">
        <w:rPr>
          <w:rStyle w:val="BodyTextChar"/>
        </w:rPr>
        <w:t>Where the measure has not been or will not be (</w:t>
      </w:r>
      <w:r w:rsidR="001754FC" w:rsidRPr="000C5235">
        <w:rPr>
          <w:rStyle w:val="BodyTextChar"/>
        </w:rPr>
        <w:t>ie</w:t>
      </w:r>
      <w:r w:rsidRPr="000C5235">
        <w:rPr>
          <w:rStyle w:val="BodyTextChar"/>
        </w:rPr>
        <w:t xml:space="preserve"> for national security reasons) announced </w:t>
      </w:r>
      <w:r w:rsidR="00823B27" w:rsidRPr="000C5235">
        <w:rPr>
          <w:rStyle w:val="BodyTextChar"/>
        </w:rPr>
        <w:t>publicly</w:t>
      </w:r>
      <w:r w:rsidRPr="000C5235">
        <w:rPr>
          <w:rStyle w:val="BodyTextChar"/>
        </w:rPr>
        <w:t xml:space="preserve"> at the release of the next budget statement, the costs for the measure should continue to be included as part of the “Decisions taken but not yet announced” total line at the bottom of Table 1.2. The measure title should not be listed separately.</w:t>
      </w:r>
    </w:p>
    <w:p w14:paraId="279B48A2" w14:textId="77777777" w:rsidR="001807A9" w:rsidRPr="000C5235" w:rsidRDefault="001807A9" w:rsidP="000A7DEC">
      <w:pPr>
        <w:rPr>
          <w:rStyle w:val="BodyTextChar"/>
        </w:rPr>
      </w:pPr>
      <w:r w:rsidRPr="000C5235">
        <w:rPr>
          <w:rStyle w:val="BodyTextChar"/>
        </w:rPr>
        <w:t>For further information the relevant AAU should be contacted in the first instance.</w:t>
      </w:r>
    </w:p>
    <w:p w14:paraId="0B3E25A1" w14:textId="77777777" w:rsidR="002078B6" w:rsidRPr="000C5235" w:rsidRDefault="002078B6">
      <w:pPr>
        <w:pStyle w:val="NormalTextRed"/>
      </w:pPr>
      <w:r w:rsidRPr="000C5235">
        <w:rPr>
          <w:u w:val="single"/>
        </w:rPr>
        <w:t>Note:</w:t>
      </w:r>
      <w:r w:rsidRPr="000C5235">
        <w:t xml:space="preserve"> Amounts in the </w:t>
      </w:r>
      <w:r w:rsidRPr="000C5235">
        <w:rPr>
          <w:b/>
        </w:rPr>
        <w:t xml:space="preserve">contingency reserve (CR) </w:t>
      </w:r>
      <w:r w:rsidRPr="000C5235">
        <w:t xml:space="preserve">must not be entered as estimates in </w:t>
      </w:r>
      <w:r w:rsidR="00D20692" w:rsidRPr="000C5235">
        <w:t>PBF</w:t>
      </w:r>
      <w:r w:rsidRPr="000C5235">
        <w:t xml:space="preserve"> for the relevant entity, whether they are intended to be appropriated as annual or special appropriations. While in the CR</w:t>
      </w:r>
      <w:r w:rsidR="00F1623A" w:rsidRPr="000C5235">
        <w:t>,</w:t>
      </w:r>
      <w:r w:rsidRPr="000C5235">
        <w:t xml:space="preserve"> these are not appropriated amounts.</w:t>
      </w:r>
    </w:p>
    <w:p w14:paraId="6A363C7F" w14:textId="77777777" w:rsidR="00FA0945" w:rsidRPr="000C5235" w:rsidRDefault="00FA0945" w:rsidP="000A7DEC">
      <w:pPr>
        <w:pStyle w:val="Heading2Numbered"/>
        <w:rPr>
          <w:rStyle w:val="BodyTextChar"/>
          <w:rFonts w:eastAsiaTheme="majorEastAsia" w:cstheme="majorBidi"/>
          <w:bCs w:val="0"/>
        </w:rPr>
      </w:pPr>
      <w:bookmarkStart w:id="430" w:name="_Toc53564751"/>
      <w:r w:rsidRPr="000C5235">
        <w:rPr>
          <w:rStyle w:val="BodyTextChar"/>
          <w:rFonts w:eastAsiaTheme="majorEastAsia" w:cstheme="majorBidi"/>
        </w:rPr>
        <w:t>Measures with indicative costs</w:t>
      </w:r>
      <w:bookmarkEnd w:id="430"/>
    </w:p>
    <w:p w14:paraId="3DBBB804" w14:textId="77777777" w:rsidR="00FA0945" w:rsidRPr="000C5235" w:rsidRDefault="00FA0945" w:rsidP="000A7DEC">
      <w:r w:rsidRPr="000C5235">
        <w:rPr>
          <w:rStyle w:val="BodyTextChar"/>
        </w:rPr>
        <w:t xml:space="preserve">Where measures are published in an economic statement with indicative costs, these measures should be listed in </w:t>
      </w:r>
      <w:r w:rsidRPr="000C5235">
        <w:rPr>
          <w:rStyle w:val="BodyTextChar"/>
          <w:i/>
        </w:rPr>
        <w:t>Table 1.2</w:t>
      </w:r>
      <w:r w:rsidRPr="000C5235">
        <w:rPr>
          <w:rStyle w:val="BodyTextChar"/>
        </w:rPr>
        <w:t xml:space="preserve"> </w:t>
      </w:r>
      <w:r w:rsidR="00EB7C6F" w:rsidRPr="000C5235">
        <w:rPr>
          <w:rStyle w:val="BodyTextChar"/>
        </w:rPr>
        <w:t xml:space="preserve">only </w:t>
      </w:r>
      <w:r w:rsidRPr="000C5235">
        <w:rPr>
          <w:rStyle w:val="BodyTextChar"/>
        </w:rPr>
        <w:t xml:space="preserve">where </w:t>
      </w:r>
      <w:r w:rsidR="00EB7C6F" w:rsidRPr="000C5235">
        <w:rPr>
          <w:rStyle w:val="BodyTextChar"/>
        </w:rPr>
        <w:t xml:space="preserve">the </w:t>
      </w:r>
      <w:r w:rsidRPr="000C5235">
        <w:rPr>
          <w:rStyle w:val="BodyTextChar"/>
        </w:rPr>
        <w:t xml:space="preserve">costs </w:t>
      </w:r>
      <w:r w:rsidR="00EB7C6F" w:rsidRPr="000C5235">
        <w:rPr>
          <w:rStyle w:val="BodyTextChar"/>
        </w:rPr>
        <w:t xml:space="preserve">are known </w:t>
      </w:r>
      <w:r w:rsidRPr="000C5235">
        <w:rPr>
          <w:rStyle w:val="BodyTextChar"/>
        </w:rPr>
        <w:t xml:space="preserve">for </w:t>
      </w:r>
      <w:r w:rsidR="00EB7C6F" w:rsidRPr="000C5235">
        <w:rPr>
          <w:rStyle w:val="BodyTextChar"/>
        </w:rPr>
        <w:t xml:space="preserve">an </w:t>
      </w:r>
      <w:r w:rsidRPr="000C5235">
        <w:rPr>
          <w:rStyle w:val="BodyTextChar"/>
        </w:rPr>
        <w:t>affected entity.</w:t>
      </w:r>
    </w:p>
    <w:p w14:paraId="658F5029" w14:textId="77777777" w:rsidR="00FA0945" w:rsidRPr="000C5235" w:rsidRDefault="00FA0945">
      <w:pPr>
        <w:pStyle w:val="Bullet1"/>
        <w:rPr>
          <w:rStyle w:val="BodyTextChar"/>
          <w:rFonts w:asciiTheme="minorHAnsi" w:hAnsiTheme="minorHAnsi"/>
        </w:rPr>
      </w:pPr>
      <w:r w:rsidRPr="000C5235">
        <w:rPr>
          <w:rStyle w:val="BodyTextChar"/>
        </w:rPr>
        <w:t xml:space="preserve">Once final costs have been agreed, entities may republish the measure in </w:t>
      </w:r>
      <w:r w:rsidRPr="000C5235">
        <w:rPr>
          <w:rStyle w:val="BodyTextChar"/>
          <w:i/>
        </w:rPr>
        <w:t>Table</w:t>
      </w:r>
      <w:r w:rsidR="00CD0900" w:rsidRPr="000C5235">
        <w:rPr>
          <w:rStyle w:val="BodyTextChar"/>
          <w:i/>
        </w:rPr>
        <w:t> </w:t>
      </w:r>
      <w:r w:rsidRPr="000C5235">
        <w:rPr>
          <w:rStyle w:val="BodyTextChar"/>
          <w:i/>
        </w:rPr>
        <w:t xml:space="preserve">1.2 </w:t>
      </w:r>
      <w:r w:rsidRPr="000C5235">
        <w:rPr>
          <w:rStyle w:val="BodyTextChar"/>
        </w:rPr>
        <w:t>of the PAES or PB Statements, and include a footnote stating that the measure was previously published in BP</w:t>
      </w:r>
      <w:r w:rsidR="00CD0900" w:rsidRPr="000C5235">
        <w:rPr>
          <w:rStyle w:val="BodyTextChar"/>
        </w:rPr>
        <w:t xml:space="preserve"> No.</w:t>
      </w:r>
      <w:r w:rsidR="00EE4AE2" w:rsidRPr="000C5235">
        <w:rPr>
          <w:rStyle w:val="BodyTextChar"/>
        </w:rPr>
        <w:t xml:space="preserve"> </w:t>
      </w:r>
      <w:r w:rsidRPr="000C5235">
        <w:rPr>
          <w:rStyle w:val="BodyTextChar"/>
        </w:rPr>
        <w:t>2/MYEFO/the relevant economic statement and the costs shown are now final</w:t>
      </w:r>
      <w:r w:rsidR="00867A6D" w:rsidRPr="000C5235">
        <w:rPr>
          <w:rStyle w:val="BodyTextChar"/>
        </w:rPr>
        <w:t>.</w:t>
      </w:r>
    </w:p>
    <w:p w14:paraId="46032583" w14:textId="77777777" w:rsidR="00FA0945" w:rsidRPr="000C5235" w:rsidRDefault="00FA0945">
      <w:pPr>
        <w:pStyle w:val="Bullet1"/>
        <w:rPr>
          <w:rStyle w:val="BodyTextChar"/>
        </w:rPr>
      </w:pPr>
      <w:r w:rsidRPr="000C5235">
        <w:rPr>
          <w:rStyle w:val="BodyTextChar"/>
        </w:rPr>
        <w:t xml:space="preserve">For cross-portfolio measures where final costs have now been agreed for each entity, the measure should be listed in </w:t>
      </w:r>
      <w:r w:rsidRPr="000C5235">
        <w:rPr>
          <w:rStyle w:val="BodyTextChar"/>
          <w:i/>
        </w:rPr>
        <w:t>Table 1.2</w:t>
      </w:r>
      <w:r w:rsidRPr="000C5235">
        <w:rPr>
          <w:rStyle w:val="BodyTextChar"/>
        </w:rPr>
        <w:t xml:space="preserve"> with the final agreed costs, with a footnote noting that it is a cross-portfolio measure previously published in BP</w:t>
      </w:r>
      <w:r w:rsidR="00CD0900" w:rsidRPr="000C5235">
        <w:rPr>
          <w:rStyle w:val="BodyTextChar"/>
        </w:rPr>
        <w:t> No.</w:t>
      </w:r>
      <w:r w:rsidR="00EE4AE2" w:rsidRPr="000C5235">
        <w:rPr>
          <w:rStyle w:val="BodyTextChar"/>
        </w:rPr>
        <w:t xml:space="preserve"> </w:t>
      </w:r>
      <w:r w:rsidRPr="000C5235">
        <w:rPr>
          <w:rStyle w:val="BodyTextChar"/>
        </w:rPr>
        <w:t xml:space="preserve">2/MYEFO/the relevant economic </w:t>
      </w:r>
      <w:r w:rsidR="00FD4BA3" w:rsidRPr="000C5235">
        <w:rPr>
          <w:rStyle w:val="BodyTextChar"/>
        </w:rPr>
        <w:t>statement and</w:t>
      </w:r>
      <w:r w:rsidRPr="000C5235">
        <w:rPr>
          <w:rStyle w:val="BodyTextChar"/>
        </w:rPr>
        <w:t xml:space="preserve"> naming the lead entity</w:t>
      </w:r>
      <w:r w:rsidR="00867A6D" w:rsidRPr="000C5235">
        <w:rPr>
          <w:rStyle w:val="BodyTextChar"/>
        </w:rPr>
        <w:t>.</w:t>
      </w:r>
    </w:p>
    <w:p w14:paraId="01C2ECA8" w14:textId="77777777" w:rsidR="00555C2A" w:rsidRPr="000C5235" w:rsidRDefault="00555C2A">
      <w:pPr>
        <w:pStyle w:val="Bullet1"/>
        <w:rPr>
          <w:rStyle w:val="BodyTextChar"/>
        </w:rPr>
      </w:pPr>
      <w:r w:rsidRPr="000C5235">
        <w:rPr>
          <w:rStyle w:val="BodyTextChar"/>
        </w:rPr>
        <w:t xml:space="preserve">The measure should be listed in </w:t>
      </w:r>
      <w:r w:rsidRPr="000C5235">
        <w:rPr>
          <w:rStyle w:val="BodyTextChar"/>
          <w:i/>
        </w:rPr>
        <w:t>Table 1.2</w:t>
      </w:r>
      <w:r w:rsidRPr="000C5235">
        <w:rPr>
          <w:rStyle w:val="BodyTextChar"/>
        </w:rPr>
        <w:t xml:space="preserve"> with its full measure title and dashes ‘-‘ for the financials as these costs have</w:t>
      </w:r>
      <w:r w:rsidR="006D03F9" w:rsidRPr="000C5235">
        <w:rPr>
          <w:rStyle w:val="BodyTextChar"/>
        </w:rPr>
        <w:t xml:space="preserve"> previously been allocated to the entity.</w:t>
      </w:r>
    </w:p>
    <w:p w14:paraId="2DFDA93F" w14:textId="77777777" w:rsidR="00FA0945" w:rsidRPr="000C5235" w:rsidRDefault="00FA0945" w:rsidP="000A7DEC">
      <w:pPr>
        <w:pStyle w:val="Heading2Numbered"/>
        <w:rPr>
          <w:rStyle w:val="BodyTextChar"/>
          <w:rFonts w:eastAsiaTheme="majorEastAsia" w:cstheme="majorBidi"/>
          <w:bCs w:val="0"/>
        </w:rPr>
      </w:pPr>
      <w:bookmarkStart w:id="431" w:name="_Toc53564752"/>
      <w:r w:rsidRPr="000C5235">
        <w:rPr>
          <w:rStyle w:val="BodyTextChar"/>
          <w:rFonts w:eastAsiaTheme="majorEastAsia" w:cstheme="majorBidi"/>
        </w:rPr>
        <w:t xml:space="preserve">Machinery of </w:t>
      </w:r>
      <w:r w:rsidR="0079648C" w:rsidRPr="000C5235">
        <w:rPr>
          <w:rStyle w:val="BodyTextChar"/>
          <w:rFonts w:eastAsiaTheme="majorEastAsia" w:cstheme="majorBidi"/>
        </w:rPr>
        <w:t>g</w:t>
      </w:r>
      <w:r w:rsidRPr="000C5235">
        <w:rPr>
          <w:rStyle w:val="BodyTextChar"/>
          <w:rFonts w:eastAsiaTheme="majorEastAsia" w:cstheme="majorBidi"/>
        </w:rPr>
        <w:t xml:space="preserve">overnment </w:t>
      </w:r>
      <w:r w:rsidR="0079648C" w:rsidRPr="000C5235">
        <w:rPr>
          <w:rStyle w:val="BodyTextChar"/>
          <w:rFonts w:eastAsiaTheme="majorEastAsia" w:cstheme="majorBidi"/>
        </w:rPr>
        <w:t>c</w:t>
      </w:r>
      <w:r w:rsidRPr="000C5235">
        <w:rPr>
          <w:rStyle w:val="BodyTextChar"/>
          <w:rFonts w:eastAsiaTheme="majorEastAsia" w:cstheme="majorBidi"/>
        </w:rPr>
        <w:t>hanges</w:t>
      </w:r>
      <w:bookmarkEnd w:id="431"/>
    </w:p>
    <w:p w14:paraId="7752A2EA" w14:textId="77777777" w:rsidR="001D5761" w:rsidRPr="000C5235" w:rsidRDefault="00FA0945" w:rsidP="001D5761">
      <w:pPr>
        <w:rPr>
          <w:rStyle w:val="BodyTextChar"/>
        </w:rPr>
      </w:pPr>
      <w:r w:rsidRPr="000C5235">
        <w:rPr>
          <w:rStyle w:val="BodyTextChar"/>
        </w:rPr>
        <w:t xml:space="preserve">Where there are Machinery of Government changes, </w:t>
      </w:r>
      <w:r w:rsidRPr="000C5235">
        <w:rPr>
          <w:rStyle w:val="BodyTextChar"/>
          <w:rFonts w:eastAsiaTheme="minorHAnsi" w:cstheme="minorBidi"/>
        </w:rPr>
        <w:t>the</w:t>
      </w:r>
      <w:r w:rsidRPr="000C5235">
        <w:rPr>
          <w:rStyle w:val="BodyTextChar"/>
        </w:rPr>
        <w:t xml:space="preserve"> gaining entity should publish any new measures relating to the function(s) being gained. </w:t>
      </w:r>
    </w:p>
    <w:p w14:paraId="3840D15C" w14:textId="138DC05C" w:rsidR="00FA0945" w:rsidRPr="000C5235" w:rsidRDefault="00FA0945" w:rsidP="001D5761">
      <w:pPr>
        <w:rPr>
          <w:rStyle w:val="BodyTextChar"/>
        </w:rPr>
      </w:pPr>
      <w:r w:rsidRPr="000C5235">
        <w:rPr>
          <w:rStyle w:val="BodyTextChar"/>
        </w:rPr>
        <w:t xml:space="preserve">For further information on showing Machinery of Government changes in the PB Statements, please refer to </w:t>
      </w:r>
      <w:r w:rsidR="00B64C25" w:rsidRPr="000C5235">
        <w:rPr>
          <w:rStyle w:val="BodyTextChar"/>
        </w:rPr>
        <w:t>chapter</w:t>
      </w:r>
      <w:r w:rsidR="00B932FB" w:rsidRPr="000C5235">
        <w:rPr>
          <w:rStyle w:val="BodyTextChar"/>
        </w:rPr>
        <w:t xml:space="preserve"> </w:t>
      </w:r>
      <w:r w:rsidR="00B932FB" w:rsidRPr="000C5235">
        <w:rPr>
          <w:rStyle w:val="BodyTextChar"/>
          <w:i/>
        </w:rPr>
        <w:fldChar w:fldCharType="begin"/>
      </w:r>
      <w:r w:rsidR="00B932FB" w:rsidRPr="000C5235">
        <w:rPr>
          <w:rStyle w:val="BodyTextChar"/>
          <w:i/>
        </w:rPr>
        <w:instrText xml:space="preserve"> REF _Ref29396037 \w \h  \* MERGEFORMAT </w:instrText>
      </w:r>
      <w:r w:rsidR="00B932FB" w:rsidRPr="000C5235">
        <w:rPr>
          <w:rStyle w:val="BodyTextChar"/>
          <w:i/>
        </w:rPr>
      </w:r>
      <w:r w:rsidR="00B932FB" w:rsidRPr="000C5235">
        <w:rPr>
          <w:rStyle w:val="BodyTextChar"/>
          <w:i/>
        </w:rPr>
        <w:fldChar w:fldCharType="separate"/>
      </w:r>
      <w:r w:rsidR="00507230">
        <w:rPr>
          <w:rStyle w:val="BodyTextChar"/>
          <w:i/>
        </w:rPr>
        <w:t>12.1</w:t>
      </w:r>
      <w:r w:rsidR="00B932FB" w:rsidRPr="000C5235">
        <w:rPr>
          <w:rStyle w:val="BodyTextChar"/>
          <w:i/>
        </w:rPr>
        <w:fldChar w:fldCharType="end"/>
      </w:r>
      <w:r w:rsidR="00B932FB" w:rsidRPr="000C5235">
        <w:rPr>
          <w:rStyle w:val="BodyTextChar"/>
          <w:i/>
        </w:rPr>
        <w:t xml:space="preserve"> </w:t>
      </w:r>
      <w:hyperlink w:anchor="_Machinery_of_Government" w:history="1">
        <w:r w:rsidR="00B932FB" w:rsidRPr="000C5235">
          <w:rPr>
            <w:rStyle w:val="Hyperlink"/>
            <w:rFonts w:asciiTheme="minorHAnsi" w:eastAsia="Cambria" w:hAnsiTheme="minorHAnsi" w:cs="Times New Roman"/>
            <w:i/>
          </w:rPr>
          <w:fldChar w:fldCharType="begin"/>
        </w:r>
        <w:r w:rsidR="00B932FB" w:rsidRPr="000C5235">
          <w:rPr>
            <w:rStyle w:val="Hyperlink"/>
            <w:rFonts w:asciiTheme="minorHAnsi" w:eastAsia="Cambria" w:hAnsiTheme="minorHAnsi" w:cs="Times New Roman"/>
            <w:i/>
          </w:rPr>
          <w:instrText xml:space="preserve"> REF _Ref29395943 \h  \* MERGEFORMAT </w:instrText>
        </w:r>
        <w:r w:rsidR="00B932FB" w:rsidRPr="000C5235">
          <w:rPr>
            <w:rStyle w:val="Hyperlink"/>
            <w:rFonts w:asciiTheme="minorHAnsi" w:eastAsia="Cambria" w:hAnsiTheme="minorHAnsi" w:cs="Times New Roman"/>
            <w:i/>
          </w:rPr>
        </w:r>
        <w:r w:rsidR="00B932FB" w:rsidRPr="000C5235">
          <w:rPr>
            <w:rStyle w:val="Hyperlink"/>
            <w:rFonts w:asciiTheme="minorHAnsi" w:eastAsia="Cambria" w:hAnsiTheme="minorHAnsi" w:cs="Times New Roman"/>
            <w:i/>
          </w:rPr>
          <w:fldChar w:fldCharType="separate"/>
        </w:r>
        <w:r w:rsidR="00507230" w:rsidRPr="00507230">
          <w:rPr>
            <w:i/>
          </w:rPr>
          <w:t>Machinery of Government changes</w:t>
        </w:r>
        <w:r w:rsidR="00B932FB" w:rsidRPr="000C5235">
          <w:rPr>
            <w:rStyle w:val="Hyperlink"/>
            <w:rFonts w:asciiTheme="minorHAnsi" w:eastAsia="Cambria" w:hAnsiTheme="minorHAnsi" w:cs="Times New Roman"/>
            <w:i/>
          </w:rPr>
          <w:fldChar w:fldCharType="end"/>
        </w:r>
      </w:hyperlink>
      <w:r w:rsidR="00B932FB" w:rsidRPr="000C5235">
        <w:rPr>
          <w:rStyle w:val="BodyTextChar"/>
        </w:rPr>
        <w:t xml:space="preserve"> </w:t>
      </w:r>
      <w:r w:rsidR="00B64C25" w:rsidRPr="000C5235">
        <w:rPr>
          <w:rStyle w:val="BodyTextChar"/>
        </w:rPr>
        <w:t>within</w:t>
      </w:r>
      <w:r w:rsidRPr="000C5235">
        <w:rPr>
          <w:rStyle w:val="BodyTextChar"/>
        </w:rPr>
        <w:t xml:space="preserve"> this guid</w:t>
      </w:r>
      <w:r w:rsidR="00B64C25" w:rsidRPr="000C5235">
        <w:rPr>
          <w:rStyle w:val="BodyTextChar"/>
        </w:rPr>
        <w:t>e</w:t>
      </w:r>
      <w:r w:rsidRPr="000C5235">
        <w:rPr>
          <w:rStyle w:val="BodyTextChar"/>
        </w:rPr>
        <w:t>.</w:t>
      </w:r>
    </w:p>
    <w:p w14:paraId="29AC950F" w14:textId="77777777" w:rsidR="00FA0945" w:rsidRPr="000C5235" w:rsidRDefault="00FA0945" w:rsidP="000A7DEC">
      <w:pPr>
        <w:pStyle w:val="Heading4nonumbers"/>
        <w:rPr>
          <w:rStyle w:val="BodyTextChar"/>
          <w:b/>
          <w:sz w:val="24"/>
        </w:rPr>
      </w:pPr>
      <w:r w:rsidRPr="000C5235">
        <w:rPr>
          <w:rStyle w:val="BodyTextChar"/>
        </w:rPr>
        <w:t>Source of information</w:t>
      </w:r>
    </w:p>
    <w:p w14:paraId="5CDF23BC" w14:textId="033A03DD" w:rsidR="00FA0945" w:rsidRPr="000C5235" w:rsidRDefault="007D3E5D" w:rsidP="00B066EC">
      <w:pPr>
        <w:pStyle w:val="Bullet1"/>
        <w:rPr>
          <w:rStyle w:val="BodyTextChar"/>
        </w:rPr>
      </w:pPr>
      <w:r w:rsidRPr="000C5235">
        <w:rPr>
          <w:rStyle w:val="BodyTextChar"/>
        </w:rPr>
        <w:t>T</w:t>
      </w:r>
      <w:r w:rsidR="00FA0945" w:rsidRPr="000C5235">
        <w:rPr>
          <w:rStyle w:val="BodyTextChar"/>
        </w:rPr>
        <w:t>o confirm the correct amounts, please refer to the costing agreement provided by your AAU</w:t>
      </w:r>
    </w:p>
    <w:p w14:paraId="776AC17B" w14:textId="77777777" w:rsidR="00FA0945" w:rsidRPr="000C5235" w:rsidRDefault="00FA0945">
      <w:pPr>
        <w:pStyle w:val="Bullet1"/>
        <w:rPr>
          <w:rStyle w:val="BodyTextChar"/>
        </w:rPr>
      </w:pPr>
      <w:r w:rsidRPr="000C5235">
        <w:rPr>
          <w:rStyle w:val="BodyTextChar"/>
        </w:rPr>
        <w:t>Information to be included in this table may also be taken from estimates adjustments for measures (</w:t>
      </w:r>
      <w:r w:rsidR="00E10C89" w:rsidRPr="000C5235">
        <w:rPr>
          <w:rStyle w:val="BodyTextChar"/>
        </w:rPr>
        <w:t>ie</w:t>
      </w:r>
      <w:r w:rsidRPr="000C5235">
        <w:rPr>
          <w:rStyle w:val="BodyTextChar"/>
        </w:rPr>
        <w:t xml:space="preserve"> those entered against the reason code “Government decision or measure”) in CBMS</w:t>
      </w:r>
    </w:p>
    <w:p w14:paraId="558D71E3" w14:textId="77777777" w:rsidR="00A01D1B" w:rsidRPr="000C5235" w:rsidRDefault="00FA0945">
      <w:pPr>
        <w:pStyle w:val="Bullet1"/>
        <w:rPr>
          <w:rStyle w:val="BodyTextChar"/>
        </w:rPr>
      </w:pPr>
      <w:r w:rsidRPr="000C5235">
        <w:rPr>
          <w:rStyle w:val="BodyTextChar"/>
        </w:rPr>
        <w:t>Titles of measures are to be confirmed against the final agreed measures list provided by Finance.</w:t>
      </w:r>
      <w:r w:rsidR="00DD3020" w:rsidRPr="000C5235">
        <w:rPr>
          <w:rStyle w:val="BodyTextChar"/>
        </w:rPr>
        <w:t xml:space="preserve"> </w:t>
      </w:r>
    </w:p>
    <w:p w14:paraId="2E56E204" w14:textId="77777777" w:rsidR="00755929" w:rsidRPr="000C5235" w:rsidRDefault="00755929" w:rsidP="000A7DEC">
      <w:r w:rsidRPr="000C5235">
        <w:br w:type="page"/>
      </w:r>
    </w:p>
    <w:p w14:paraId="5629710B" w14:textId="77777777" w:rsidR="00FA0945" w:rsidRPr="000C5235" w:rsidRDefault="00FA0945" w:rsidP="000A7DEC">
      <w:pPr>
        <w:pStyle w:val="Heading1Numbered"/>
      </w:pPr>
      <w:bookmarkStart w:id="432" w:name="_Toc534459664"/>
      <w:bookmarkStart w:id="433" w:name="_Toc534519159"/>
      <w:bookmarkStart w:id="434" w:name="_Toc534520069"/>
      <w:bookmarkStart w:id="435" w:name="_Toc534520339"/>
      <w:bookmarkStart w:id="436" w:name="_Toc534527551"/>
      <w:bookmarkStart w:id="437" w:name="_Toc534528281"/>
      <w:bookmarkStart w:id="438" w:name="_Toc534803502"/>
      <w:bookmarkStart w:id="439" w:name="_Toc534814193"/>
      <w:bookmarkStart w:id="440" w:name="_Toc536108566"/>
      <w:bookmarkStart w:id="441" w:name="_Toc534458876"/>
      <w:bookmarkStart w:id="442" w:name="_Toc534459665"/>
      <w:bookmarkStart w:id="443" w:name="_Toc534519160"/>
      <w:bookmarkStart w:id="444" w:name="_Toc534520070"/>
      <w:bookmarkStart w:id="445" w:name="_Toc534520340"/>
      <w:bookmarkStart w:id="446" w:name="_Toc534527552"/>
      <w:bookmarkStart w:id="447" w:name="_Toc534528282"/>
      <w:bookmarkStart w:id="448" w:name="_Toc534803503"/>
      <w:bookmarkStart w:id="449" w:name="_Toc534814194"/>
      <w:bookmarkStart w:id="450" w:name="_Toc536108567"/>
      <w:bookmarkStart w:id="451" w:name="_Toc411852679"/>
      <w:bookmarkStart w:id="452" w:name="_Toc534382559"/>
      <w:bookmarkStart w:id="453" w:name="_Toc53564753"/>
      <w:bookmarkStart w:id="454" w:name="OLE_LINK3"/>
      <w:bookmarkStart w:id="455" w:name="OLE_LINK4"/>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0C5235">
        <w:t>Outcomes and planned performance</w:t>
      </w:r>
      <w:bookmarkEnd w:id="451"/>
      <w:bookmarkEnd w:id="452"/>
      <w:bookmarkEnd w:id="453"/>
    </w:p>
    <w:p w14:paraId="0EE298AD" w14:textId="40194D15" w:rsidR="00945BF5" w:rsidRPr="000C5235" w:rsidRDefault="00945BF5" w:rsidP="000A7DEC">
      <w:pPr>
        <w:pStyle w:val="Boxed2Text"/>
      </w:pPr>
      <w:r w:rsidRPr="000C5235">
        <w:rPr>
          <w:rStyle w:val="BodyTextChar"/>
        </w:rPr>
        <w:t xml:space="preserve">For </w:t>
      </w:r>
      <w:r w:rsidRPr="000C5235">
        <w:t>queries regarding performance reporting in the PB Statements, please contact the Accountability and Reporting Branch in Finance (</w:t>
      </w:r>
      <w:hyperlink r:id="rId56" w:history="1">
        <w:r w:rsidRPr="000C5235">
          <w:rPr>
            <w:rStyle w:val="Hyperlink"/>
            <w:szCs w:val="24"/>
          </w:rPr>
          <w:t>PGPA@finance.gov.au</w:t>
        </w:r>
      </w:hyperlink>
      <w:r w:rsidRPr="000C5235">
        <w:t xml:space="preserve">) or on </w:t>
      </w:r>
      <w:r w:rsidR="004978B4" w:rsidRPr="000C5235">
        <w:br/>
      </w:r>
      <w:r w:rsidRPr="000C5235">
        <w:t>(02) 6215 3130.</w:t>
      </w:r>
    </w:p>
    <w:p w14:paraId="2607EAFC" w14:textId="77777777" w:rsidR="00945BF5" w:rsidRPr="000C5235" w:rsidRDefault="00945BF5" w:rsidP="000A7DEC">
      <w:pPr>
        <w:pStyle w:val="Boxed2Text"/>
      </w:pPr>
      <w:r w:rsidRPr="000C5235">
        <w:t xml:space="preserve">For advice on changing outcome statements or programs, please contact your </w:t>
      </w:r>
      <w:r w:rsidR="00A671CE" w:rsidRPr="000C5235">
        <w:t>AAU</w:t>
      </w:r>
      <w:r w:rsidRPr="000C5235">
        <w:t xml:space="preserve"> in Finance in the first instance.</w:t>
      </w:r>
    </w:p>
    <w:p w14:paraId="18CE79A0" w14:textId="77777777" w:rsidR="00FA0945" w:rsidRPr="000C5235" w:rsidRDefault="00FA0945" w:rsidP="000A7DEC">
      <w:pPr>
        <w:rPr>
          <w:rStyle w:val="BodyTextChar"/>
        </w:rPr>
      </w:pPr>
      <w:r w:rsidRPr="000C5235">
        <w:rPr>
          <w:rStyle w:val="BodyTextChar"/>
        </w:rPr>
        <w:t xml:space="preserve">The </w:t>
      </w:r>
      <w:r w:rsidR="00B64C25" w:rsidRPr="000C5235">
        <w:rPr>
          <w:rStyle w:val="BodyTextChar"/>
        </w:rPr>
        <w:t xml:space="preserve">PBS </w:t>
      </w:r>
      <w:r w:rsidRPr="000C5235">
        <w:rPr>
          <w:rStyle w:val="BodyTextChar"/>
          <w:i/>
        </w:rPr>
        <w:t xml:space="preserve">Outcomes and </w:t>
      </w:r>
      <w:r w:rsidR="00E66432" w:rsidRPr="000C5235">
        <w:rPr>
          <w:rStyle w:val="BodyTextChar"/>
          <w:i/>
        </w:rPr>
        <w:t>p</w:t>
      </w:r>
      <w:r w:rsidRPr="000C5235">
        <w:rPr>
          <w:rStyle w:val="BodyTextChar"/>
          <w:i/>
        </w:rPr>
        <w:t xml:space="preserve">lanned </w:t>
      </w:r>
      <w:r w:rsidR="00E66432" w:rsidRPr="000C5235">
        <w:rPr>
          <w:rStyle w:val="BodyTextChar"/>
          <w:i/>
        </w:rPr>
        <w:t>p</w:t>
      </w:r>
      <w:r w:rsidRPr="000C5235">
        <w:rPr>
          <w:rStyle w:val="BodyTextChar"/>
          <w:i/>
        </w:rPr>
        <w:t>erformance</w:t>
      </w:r>
      <w:r w:rsidRPr="000C5235">
        <w:rPr>
          <w:rStyle w:val="BodyTextChar"/>
        </w:rPr>
        <w:t xml:space="preserve"> section (Section 2) details the expenses incurred in delivering the outcomes and programs of an entity, and the performance information that will be used by the Parliament and other key stakeholders to indicate the impact of this expenditure.</w:t>
      </w:r>
    </w:p>
    <w:p w14:paraId="441CABD1" w14:textId="77777777" w:rsidR="00FA0945" w:rsidRPr="000C5235" w:rsidRDefault="00FA0945" w:rsidP="000A7DEC">
      <w:pPr>
        <w:rPr>
          <w:rStyle w:val="BodyTextChar"/>
        </w:rPr>
      </w:pPr>
      <w:r w:rsidRPr="000C5235">
        <w:rPr>
          <w:rStyle w:val="BodyTextChar"/>
        </w:rPr>
        <w:t xml:space="preserve">The </w:t>
      </w:r>
      <w:r w:rsidR="006D03F9" w:rsidRPr="000C5235">
        <w:rPr>
          <w:rStyle w:val="BodyTextChar"/>
        </w:rPr>
        <w:t>2020-21</w:t>
      </w:r>
      <w:r w:rsidRPr="000C5235">
        <w:rPr>
          <w:rStyle w:val="BodyTextChar"/>
        </w:rPr>
        <w:t xml:space="preserve"> PB Statements are used to provide structured summary reporting of an entity’s intended performance, focusing on programs. The reporting structure allows entities to demonstrate their intended performance in a logical and consistent manner, indicating to the public and the Parliament the resourcing provided and the progress towards achieving Government policy objectives. </w:t>
      </w:r>
    </w:p>
    <w:p w14:paraId="1AF84FB6" w14:textId="77777777" w:rsidR="00FA0945" w:rsidRPr="000C5235" w:rsidRDefault="00FA0945" w:rsidP="000A7DEC">
      <w:pPr>
        <w:rPr>
          <w:rStyle w:val="BodyTextChar"/>
        </w:rPr>
      </w:pPr>
      <w:r w:rsidRPr="000C5235">
        <w:rPr>
          <w:rStyle w:val="BodyTextChar"/>
          <w:i/>
        </w:rPr>
        <w:t>Table 2.X.3:</w:t>
      </w:r>
      <w:r w:rsidRPr="000C5235">
        <w:rPr>
          <w:rStyle w:val="BodyTextChar"/>
        </w:rPr>
        <w:t xml:space="preserve"> </w:t>
      </w:r>
      <w:r w:rsidRPr="000C5235">
        <w:rPr>
          <w:rStyle w:val="BodyTextChar"/>
          <w:i/>
        </w:rPr>
        <w:t>Performance Criteria for Outcome X</w:t>
      </w:r>
      <w:r w:rsidRPr="000C5235">
        <w:rPr>
          <w:rStyle w:val="BodyTextChar"/>
        </w:rPr>
        <w:t xml:space="preserve"> takes into account the reporting requirements of the Commonwealth performance framework and </w:t>
      </w:r>
      <w:r w:rsidR="00CE4E65" w:rsidRPr="000C5235">
        <w:rPr>
          <w:rStyle w:val="BodyTextChar"/>
        </w:rPr>
        <w:t>the clear read principle (that is, that</w:t>
      </w:r>
      <w:r w:rsidRPr="000C5235">
        <w:rPr>
          <w:rStyle w:val="BodyTextChar"/>
        </w:rPr>
        <w:t xml:space="preserve"> performance information across reporting documents (PB Statements, corporate plans and annual </w:t>
      </w:r>
      <w:r w:rsidR="00CE4E65" w:rsidRPr="000C5235">
        <w:rPr>
          <w:rStyle w:val="BodyTextChar"/>
        </w:rPr>
        <w:t>reports</w:t>
      </w:r>
      <w:r w:rsidR="00984C77" w:rsidRPr="000C5235">
        <w:rPr>
          <w:rStyle w:val="BodyTextChar"/>
        </w:rPr>
        <w:t>)</w:t>
      </w:r>
      <w:r w:rsidR="00CE4E65" w:rsidRPr="000C5235">
        <w:rPr>
          <w:rStyle w:val="BodyTextChar"/>
        </w:rPr>
        <w:t xml:space="preserve"> should be presented clearly and consistently such that information is reconcilable between/across the documents</w:t>
      </w:r>
      <w:r w:rsidRPr="000C5235">
        <w:rPr>
          <w:rStyle w:val="BodyTextChar"/>
        </w:rPr>
        <w:t xml:space="preserve">. </w:t>
      </w:r>
    </w:p>
    <w:p w14:paraId="4316CA57" w14:textId="77777777" w:rsidR="00FA0945" w:rsidRPr="000C5235" w:rsidRDefault="00FA0945" w:rsidP="000A7DEC">
      <w:pPr>
        <w:rPr>
          <w:rStyle w:val="BodyTextChar"/>
        </w:rPr>
      </w:pPr>
      <w:r w:rsidRPr="000C5235">
        <w:rPr>
          <w:rStyle w:val="BodyTextChar"/>
        </w:rPr>
        <w:t>Further explanation of the relationship between these reporting documents is provided in a standard diagram, ‘Commonwealth Performance Framework – key components of relevant publications’, situated in the User Guide section of the PB Statement Word template. Links to the entity’s most recent corporate plan and annual performance statement are to be included in the standard note box situated in Section 2: Outcomes and</w:t>
      </w:r>
      <w:r w:rsidR="004D761E" w:rsidRPr="000C5235">
        <w:rPr>
          <w:rStyle w:val="BodyTextChar"/>
        </w:rPr>
        <w:t xml:space="preserve"> planned performance in the </w:t>
      </w:r>
      <w:r w:rsidR="008E4508" w:rsidRPr="000C5235">
        <w:rPr>
          <w:rStyle w:val="BodyTextChar"/>
        </w:rPr>
        <w:t>2020-21</w:t>
      </w:r>
      <w:r w:rsidRPr="000C5235">
        <w:rPr>
          <w:rStyle w:val="BodyTextChar"/>
        </w:rPr>
        <w:t xml:space="preserve"> PB Statements Word template.</w:t>
      </w:r>
    </w:p>
    <w:p w14:paraId="5C5D418C" w14:textId="77777777" w:rsidR="00FA0945" w:rsidRPr="000C5235" w:rsidRDefault="00FA0945" w:rsidP="003C0B9E">
      <w:pPr>
        <w:pStyle w:val="Heading2Numbered"/>
        <w:rPr>
          <w:rStyle w:val="BodyTextChar"/>
        </w:rPr>
      </w:pPr>
      <w:bookmarkStart w:id="456" w:name="_Toc534382560"/>
      <w:bookmarkStart w:id="457" w:name="_Toc53564754"/>
      <w:r w:rsidRPr="000C5235">
        <w:rPr>
          <w:rStyle w:val="BodyTextChar"/>
        </w:rPr>
        <w:t xml:space="preserve">Finance </w:t>
      </w:r>
      <w:r w:rsidR="00256EFC" w:rsidRPr="000C5235">
        <w:rPr>
          <w:rStyle w:val="BodyTextChar"/>
        </w:rPr>
        <w:t>S</w:t>
      </w:r>
      <w:r w:rsidRPr="000C5235">
        <w:rPr>
          <w:rStyle w:val="BodyTextChar"/>
        </w:rPr>
        <w:t xml:space="preserve">ecretary </w:t>
      </w:r>
      <w:r w:rsidR="00256EFC" w:rsidRPr="000C5235">
        <w:rPr>
          <w:rStyle w:val="BodyTextChar"/>
        </w:rPr>
        <w:t>D</w:t>
      </w:r>
      <w:r w:rsidRPr="000C5235">
        <w:rPr>
          <w:rStyle w:val="BodyTextChar"/>
        </w:rPr>
        <w:t>irection</w:t>
      </w:r>
      <w:bookmarkEnd w:id="456"/>
      <w:bookmarkEnd w:id="457"/>
    </w:p>
    <w:p w14:paraId="00A87ED1" w14:textId="25AEF94B" w:rsidR="00E47F62" w:rsidRPr="000C5235" w:rsidRDefault="00FA0945" w:rsidP="00BD6313">
      <w:pPr>
        <w:rPr>
          <w:rStyle w:val="BodyTextChar"/>
          <w:rFonts w:asciiTheme="majorHAnsi" w:hAnsiTheme="majorHAnsi"/>
          <w:bCs/>
          <w:color w:val="1C1C1C" w:themeColor="text2"/>
          <w:sz w:val="34"/>
          <w:szCs w:val="26"/>
        </w:rPr>
      </w:pPr>
      <w:r w:rsidRPr="000C5235">
        <w:rPr>
          <w:rStyle w:val="BodyTextChar"/>
        </w:rPr>
        <w:t xml:space="preserve">The requirements for reporting program performance in PB Statements are set out in a direction issued by the Finance Secretary under </w:t>
      </w:r>
      <w:r w:rsidR="004D0115" w:rsidRPr="000C5235">
        <w:rPr>
          <w:rStyle w:val="BodyTextChar"/>
        </w:rPr>
        <w:t>subsection</w:t>
      </w:r>
      <w:r w:rsidRPr="000C5235">
        <w:rPr>
          <w:rStyle w:val="BodyTextChar"/>
        </w:rPr>
        <w:t> 36(3) of the</w:t>
      </w:r>
      <w:r w:rsidR="003416C7" w:rsidRPr="000C5235">
        <w:rPr>
          <w:rStyle w:val="BodyTextChar"/>
        </w:rPr>
        <w:t xml:space="preserve"> PGPA</w:t>
      </w:r>
      <w:r w:rsidR="00CD0900" w:rsidRPr="000C5235">
        <w:rPr>
          <w:rStyle w:val="BodyTextChar"/>
        </w:rPr>
        <w:t> </w:t>
      </w:r>
      <w:r w:rsidR="003416C7" w:rsidRPr="000C5235">
        <w:rPr>
          <w:rStyle w:val="BodyTextChar"/>
        </w:rPr>
        <w:t>Act</w:t>
      </w:r>
      <w:r w:rsidRPr="000C5235">
        <w:rPr>
          <w:rStyle w:val="BodyTextChar"/>
        </w:rPr>
        <w:t xml:space="preserve"> (available at </w:t>
      </w:r>
      <w:hyperlink r:id="rId57" w:history="1">
        <w:r w:rsidR="00B1636A" w:rsidRPr="000C5235">
          <w:rPr>
            <w:rStyle w:val="Hyperlink"/>
            <w:rFonts w:asciiTheme="minorHAnsi" w:hAnsiTheme="minorHAnsi" w:cs="Times New Roman"/>
          </w:rPr>
          <w:t>www.finance.gov.au/government/managing-commonwealth-resources/managing-money-property/managing-money/annual-appropriations/portfolio-budget-statements</w:t>
        </w:r>
      </w:hyperlink>
      <w:r w:rsidR="004978B4" w:rsidRPr="000C5235">
        <w:t>)</w:t>
      </w:r>
      <w:r w:rsidRPr="000C5235">
        <w:rPr>
          <w:rStyle w:val="BodyTextChar"/>
        </w:rPr>
        <w:t>. This direction sets out the minimum mandatory requirements for performance information to be included in PB Statements, and the links that this information has to corporate plans and annual performance statements.</w:t>
      </w:r>
      <w:r w:rsidR="00E47F62" w:rsidRPr="000C5235">
        <w:rPr>
          <w:rStyle w:val="BodyTextChar"/>
        </w:rPr>
        <w:br w:type="page"/>
      </w:r>
    </w:p>
    <w:p w14:paraId="5B15BB11" w14:textId="77777777" w:rsidR="00C25CF4" w:rsidRPr="000C5235" w:rsidRDefault="00FA0945">
      <w:pPr>
        <w:pStyle w:val="BodyText"/>
      </w:pPr>
      <w:r w:rsidRPr="000C5235">
        <w:rPr>
          <w:rStyle w:val="BodyTextChar"/>
        </w:rPr>
        <w:t xml:space="preserve">The </w:t>
      </w:r>
      <w:r w:rsidRPr="000C5235">
        <w:t>mandatory minimum requirements are that an entity must do the following in its PB</w:t>
      </w:r>
      <w:r w:rsidR="00A667A6" w:rsidRPr="000C5235">
        <w:t> </w:t>
      </w:r>
      <w:r w:rsidRPr="000C5235">
        <w:t>Statements:</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570"/>
        <w:gridCol w:w="7360"/>
      </w:tblGrid>
      <w:tr w:rsidR="00FA0945" w:rsidRPr="000C5235" w14:paraId="51232C9F" w14:textId="77777777" w:rsidTr="003E3C9D">
        <w:trPr>
          <w:tblHeader/>
          <w:jc w:val="center"/>
        </w:trPr>
        <w:tc>
          <w:tcPr>
            <w:tcW w:w="570" w:type="dxa"/>
          </w:tcPr>
          <w:p w14:paraId="6BB65C48" w14:textId="77777777" w:rsidR="00FA0945" w:rsidRPr="000C5235" w:rsidRDefault="00FA0945">
            <w:pPr>
              <w:pStyle w:val="BodyText"/>
              <w:rPr>
                <w:rStyle w:val="BodyTextChar"/>
              </w:rPr>
            </w:pPr>
            <w:r w:rsidRPr="000C5235">
              <w:rPr>
                <w:rStyle w:val="BodyTextChar"/>
              </w:rPr>
              <w:t>1.</w:t>
            </w:r>
          </w:p>
        </w:tc>
        <w:tc>
          <w:tcPr>
            <w:tcW w:w="7360" w:type="dxa"/>
          </w:tcPr>
          <w:p w14:paraId="4DFF2B0B" w14:textId="77777777" w:rsidR="00FA0945" w:rsidRPr="000C5235" w:rsidRDefault="00FA0945">
            <w:pPr>
              <w:pStyle w:val="BodyText"/>
              <w:rPr>
                <w:rStyle w:val="BodyTextChar"/>
              </w:rPr>
            </w:pPr>
            <w:r w:rsidRPr="000C5235">
              <w:rPr>
                <w:rStyle w:val="BodyTextChar"/>
              </w:rPr>
              <w:t>Map outcomes, programs and performance criteria to the entity’s purposes as expressed in its corporate plan.</w:t>
            </w:r>
          </w:p>
        </w:tc>
      </w:tr>
      <w:tr w:rsidR="00FA0945" w:rsidRPr="000C5235" w14:paraId="2D2FAB17" w14:textId="77777777" w:rsidTr="003E3C9D">
        <w:trPr>
          <w:jc w:val="center"/>
        </w:trPr>
        <w:tc>
          <w:tcPr>
            <w:tcW w:w="570" w:type="dxa"/>
          </w:tcPr>
          <w:p w14:paraId="4D73B19E" w14:textId="77777777" w:rsidR="00FA0945" w:rsidRPr="000C5235" w:rsidRDefault="00FA0945">
            <w:pPr>
              <w:pStyle w:val="BodyText"/>
              <w:rPr>
                <w:rStyle w:val="BodyTextChar"/>
              </w:rPr>
            </w:pPr>
            <w:r w:rsidRPr="000C5235">
              <w:rPr>
                <w:rStyle w:val="BodyTextChar"/>
              </w:rPr>
              <w:t>2.</w:t>
            </w:r>
          </w:p>
        </w:tc>
        <w:tc>
          <w:tcPr>
            <w:tcW w:w="7360" w:type="dxa"/>
          </w:tcPr>
          <w:p w14:paraId="6A71DCC7" w14:textId="77777777" w:rsidR="00FA0945" w:rsidRPr="000C5235" w:rsidRDefault="00FA0945">
            <w:pPr>
              <w:pStyle w:val="BodyText"/>
              <w:rPr>
                <w:rStyle w:val="BodyTextChar"/>
              </w:rPr>
            </w:pPr>
            <w:r w:rsidRPr="000C5235">
              <w:rPr>
                <w:rStyle w:val="BodyTextChar"/>
              </w:rPr>
              <w:t>For existing programs, include at least one high level performance criterion, as well as targets and expected dates of achievement.</w:t>
            </w:r>
          </w:p>
        </w:tc>
      </w:tr>
      <w:tr w:rsidR="00FA0945" w:rsidRPr="000C5235" w14:paraId="25670791" w14:textId="77777777" w:rsidTr="003E3C9D">
        <w:trPr>
          <w:jc w:val="center"/>
        </w:trPr>
        <w:tc>
          <w:tcPr>
            <w:tcW w:w="570" w:type="dxa"/>
          </w:tcPr>
          <w:p w14:paraId="18C3614F" w14:textId="77777777" w:rsidR="00FA0945" w:rsidRPr="000C5235" w:rsidRDefault="00FA0945">
            <w:pPr>
              <w:pStyle w:val="BodyText"/>
              <w:rPr>
                <w:rStyle w:val="BodyTextChar"/>
              </w:rPr>
            </w:pPr>
            <w:r w:rsidRPr="000C5235">
              <w:rPr>
                <w:rStyle w:val="BodyTextChar"/>
              </w:rPr>
              <w:t>3.</w:t>
            </w:r>
          </w:p>
        </w:tc>
        <w:tc>
          <w:tcPr>
            <w:tcW w:w="7360" w:type="dxa"/>
          </w:tcPr>
          <w:p w14:paraId="1A78BFE9" w14:textId="77777777" w:rsidR="00FA0945" w:rsidRPr="000C5235" w:rsidRDefault="00FA0945">
            <w:pPr>
              <w:pStyle w:val="BodyText"/>
              <w:rPr>
                <w:rStyle w:val="BodyTextChar"/>
              </w:rPr>
            </w:pPr>
            <w:r w:rsidRPr="000C5235">
              <w:rPr>
                <w:rStyle w:val="BodyTextChar"/>
              </w:rPr>
              <w:t>For new or materially changed existing programs, outline all performance criteria, targets and expected dates of achievement.</w:t>
            </w:r>
          </w:p>
        </w:tc>
      </w:tr>
      <w:tr w:rsidR="00FA0945" w:rsidRPr="000C5235" w14:paraId="06406AB9" w14:textId="77777777" w:rsidTr="003E3C9D">
        <w:trPr>
          <w:jc w:val="center"/>
        </w:trPr>
        <w:tc>
          <w:tcPr>
            <w:tcW w:w="570" w:type="dxa"/>
          </w:tcPr>
          <w:p w14:paraId="7C9A08CF" w14:textId="77777777" w:rsidR="00FA0945" w:rsidRPr="000C5235" w:rsidRDefault="00FA0945">
            <w:pPr>
              <w:pStyle w:val="BodyText"/>
              <w:rPr>
                <w:rStyle w:val="BodyTextChar"/>
              </w:rPr>
            </w:pPr>
            <w:r w:rsidRPr="000C5235">
              <w:rPr>
                <w:rStyle w:val="BodyTextChar"/>
              </w:rPr>
              <w:t>4.</w:t>
            </w:r>
          </w:p>
        </w:tc>
        <w:tc>
          <w:tcPr>
            <w:tcW w:w="7360" w:type="dxa"/>
          </w:tcPr>
          <w:p w14:paraId="3C50E3D0" w14:textId="77777777" w:rsidR="00FA0945" w:rsidRPr="000C5235" w:rsidRDefault="00FA0945">
            <w:pPr>
              <w:pStyle w:val="BodyText"/>
              <w:rPr>
                <w:rStyle w:val="BodyTextChar"/>
              </w:rPr>
            </w:pPr>
            <w:r w:rsidRPr="000C5235">
              <w:rPr>
                <w:rStyle w:val="BodyTextChar"/>
              </w:rPr>
              <w:t>Include forecasts of program performance against expected targets for the current financial year. For the budget year and the three forward estimate years, include program performance criteria and expected targets.</w:t>
            </w:r>
          </w:p>
        </w:tc>
      </w:tr>
      <w:tr w:rsidR="00FA0945" w:rsidRPr="000C5235" w14:paraId="292B31D6" w14:textId="77777777" w:rsidTr="003E3C9D">
        <w:trPr>
          <w:jc w:val="center"/>
        </w:trPr>
        <w:tc>
          <w:tcPr>
            <w:tcW w:w="570" w:type="dxa"/>
          </w:tcPr>
          <w:p w14:paraId="704AEB9C" w14:textId="77777777" w:rsidR="00FA0945" w:rsidRPr="000C5235" w:rsidRDefault="00FA0945">
            <w:pPr>
              <w:pStyle w:val="BodyText"/>
              <w:rPr>
                <w:rStyle w:val="BodyTextChar"/>
              </w:rPr>
            </w:pPr>
            <w:r w:rsidRPr="000C5235">
              <w:rPr>
                <w:rStyle w:val="BodyTextChar"/>
              </w:rPr>
              <w:t>5.</w:t>
            </w:r>
          </w:p>
        </w:tc>
        <w:tc>
          <w:tcPr>
            <w:tcW w:w="7360" w:type="dxa"/>
          </w:tcPr>
          <w:p w14:paraId="053DA68D" w14:textId="77777777" w:rsidR="00FA0945" w:rsidRPr="000C5235" w:rsidRDefault="00FA0945">
            <w:pPr>
              <w:pStyle w:val="BodyText"/>
              <w:rPr>
                <w:rStyle w:val="BodyTextChar"/>
              </w:rPr>
            </w:pPr>
            <w:r w:rsidRPr="000C5235">
              <w:rPr>
                <w:rStyle w:val="BodyTextChar"/>
              </w:rPr>
              <w:t>Report links with the programs and outcomes of other entities.</w:t>
            </w:r>
          </w:p>
        </w:tc>
      </w:tr>
    </w:tbl>
    <w:p w14:paraId="7923A492" w14:textId="77777777" w:rsidR="00FA0945" w:rsidRPr="000C5235" w:rsidRDefault="005819F3">
      <w:pPr>
        <w:rPr>
          <w:rStyle w:val="BodyTextChar"/>
        </w:rPr>
      </w:pPr>
      <w:r w:rsidRPr="000C5235">
        <w:rPr>
          <w:rStyle w:val="BodyTextChar"/>
        </w:rPr>
        <w:t xml:space="preserve">Subsection </w:t>
      </w:r>
      <w:r w:rsidR="00FA0945" w:rsidRPr="000C5235">
        <w:rPr>
          <w:rStyle w:val="BodyTextChar"/>
        </w:rPr>
        <w:t xml:space="preserve">36(3) of the PGPA Act requires the accountable authorities of all entities to comply with the Finance Secretary’s </w:t>
      </w:r>
      <w:r w:rsidRPr="000C5235">
        <w:rPr>
          <w:rStyle w:val="BodyTextChar"/>
        </w:rPr>
        <w:t>D</w:t>
      </w:r>
      <w:r w:rsidR="00FA0945" w:rsidRPr="000C5235">
        <w:rPr>
          <w:rStyle w:val="BodyTextChar"/>
        </w:rPr>
        <w:t>irection. The following guidance is intended to assist entities to comply with this Direction.</w:t>
      </w:r>
      <w:r w:rsidR="00B10AA9" w:rsidRPr="000C5235">
        <w:rPr>
          <w:rStyle w:val="BodyTextChar"/>
        </w:rPr>
        <w:t xml:space="preserve">  In respect to Requirement 4, ‘Include forecasts of program performance against expected targets for the current financial year’, as the 2020-21 Budget is being delivered after the 2019-20 financial year, entities should report the actual performance outcomes for each program for the 2019-20 period.  This should be consistent with the reporting of performance outcomes in the 2019-20 annual performance statements.</w:t>
      </w:r>
    </w:p>
    <w:p w14:paraId="676D8054" w14:textId="77777777" w:rsidR="00FA0945" w:rsidRPr="000C5235" w:rsidRDefault="00FA0945" w:rsidP="000A7DEC">
      <w:pPr>
        <w:pStyle w:val="Heading2Numbered"/>
        <w:rPr>
          <w:rFonts w:ascii="Arial" w:eastAsia="Times New Roman" w:hAnsi="Arial"/>
          <w:spacing w:val="-6"/>
          <w:szCs w:val="34"/>
        </w:rPr>
      </w:pPr>
      <w:bookmarkStart w:id="458" w:name="_Toc534382561"/>
      <w:bookmarkStart w:id="459" w:name="_Toc53564755"/>
      <w:r w:rsidRPr="000C5235">
        <w:rPr>
          <w:rFonts w:eastAsia="Times New Roman"/>
        </w:rPr>
        <w:t xml:space="preserve">Structure of </w:t>
      </w:r>
      <w:r w:rsidR="001A5C7F" w:rsidRPr="000C5235">
        <w:rPr>
          <w:rFonts w:eastAsia="Times New Roman"/>
        </w:rPr>
        <w:t>s</w:t>
      </w:r>
      <w:r w:rsidRPr="000C5235">
        <w:rPr>
          <w:rFonts w:eastAsia="Times New Roman"/>
        </w:rPr>
        <w:t>ection 2</w:t>
      </w:r>
      <w:bookmarkEnd w:id="458"/>
      <w:bookmarkEnd w:id="459"/>
    </w:p>
    <w:p w14:paraId="6EE10A21" w14:textId="77777777" w:rsidR="00C25CF4" w:rsidRPr="000C5235" w:rsidRDefault="00FA0945">
      <w:pPr>
        <w:rPr>
          <w:rStyle w:val="BodyTextChar"/>
        </w:rPr>
      </w:pPr>
      <w:r w:rsidRPr="000C5235">
        <w:rPr>
          <w:rStyle w:val="BodyTextChar"/>
        </w:rPr>
        <w:t xml:space="preserve">The following illustrates the recommended structure for Section 2 of the PB Statements. Each outcome is described in a </w:t>
      </w:r>
      <w:r w:rsidR="004D0115" w:rsidRPr="000C5235">
        <w:rPr>
          <w:rStyle w:val="BodyTextChar"/>
        </w:rPr>
        <w:t>subsection</w:t>
      </w:r>
      <w:r w:rsidRPr="000C5235">
        <w:rPr>
          <w:rStyle w:val="BodyTextChar"/>
        </w:rPr>
        <w:t xml:space="preserve"> 2.X as follows:</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146"/>
      </w:tblGrid>
      <w:tr w:rsidR="00FA0945" w:rsidRPr="000C5235" w14:paraId="3F67BDDD" w14:textId="77777777" w:rsidTr="003E3C9D">
        <w:trPr>
          <w:tblHeader/>
          <w:jc w:val="center"/>
        </w:trPr>
        <w:tc>
          <w:tcPr>
            <w:tcW w:w="8146" w:type="dxa"/>
            <w:shd w:val="clear" w:color="auto" w:fill="DDF3FA"/>
          </w:tcPr>
          <w:p w14:paraId="4A4E783E" w14:textId="77777777" w:rsidR="00FA0945" w:rsidRPr="000C5235" w:rsidRDefault="00FA0945">
            <w:pPr>
              <w:pStyle w:val="BodyText"/>
            </w:pPr>
            <w:r w:rsidRPr="000C5235">
              <w:rPr>
                <w:u w:val="single"/>
              </w:rPr>
              <w:t>Example</w:t>
            </w:r>
            <w:r w:rsidRPr="000C5235">
              <w:t xml:space="preserve"> - Structure of Section 2</w:t>
            </w:r>
          </w:p>
        </w:tc>
      </w:tr>
      <w:tr w:rsidR="00FA0945" w:rsidRPr="000C5235" w14:paraId="4A3F4224" w14:textId="77777777" w:rsidTr="003E3C9D">
        <w:trPr>
          <w:jc w:val="center"/>
        </w:trPr>
        <w:tc>
          <w:tcPr>
            <w:tcW w:w="8146" w:type="dxa"/>
          </w:tcPr>
          <w:tbl>
            <w:tblPr>
              <w:tblW w:w="0" w:type="auto"/>
              <w:tblInd w:w="284" w:type="dxa"/>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371"/>
            </w:tblGrid>
            <w:tr w:rsidR="00FA0945" w:rsidRPr="000C5235" w14:paraId="2C3B60B5" w14:textId="77777777" w:rsidTr="00FA0945">
              <w:tc>
                <w:tcPr>
                  <w:tcW w:w="7371" w:type="dxa"/>
                  <w:tcBorders>
                    <w:bottom w:val="single" w:sz="2" w:space="0" w:color="A7B4BE"/>
                  </w:tcBorders>
                </w:tcPr>
                <w:p w14:paraId="09EB8AE0" w14:textId="77777777" w:rsidR="00FA0945" w:rsidRPr="000C5235" w:rsidRDefault="00FA0945">
                  <w:pPr>
                    <w:pStyle w:val="BodyText"/>
                    <w:rPr>
                      <w:rStyle w:val="BodyTextChar"/>
                      <w:b/>
                      <w:sz w:val="20"/>
                      <w:szCs w:val="20"/>
                    </w:rPr>
                  </w:pPr>
                  <w:r w:rsidRPr="000C5235">
                    <w:rPr>
                      <w:rStyle w:val="BodyTextChar"/>
                      <w:b/>
                      <w:sz w:val="20"/>
                      <w:szCs w:val="20"/>
                    </w:rPr>
                    <w:t>Outcome Statement X</w:t>
                  </w:r>
                </w:p>
              </w:tc>
            </w:tr>
            <w:tr w:rsidR="00FA0945" w:rsidRPr="000C5235" w14:paraId="177F5502" w14:textId="77777777" w:rsidTr="00FA0945">
              <w:trPr>
                <w:trHeight w:val="65"/>
              </w:trPr>
              <w:tc>
                <w:tcPr>
                  <w:tcW w:w="7371" w:type="dxa"/>
                  <w:tcBorders>
                    <w:left w:val="nil"/>
                    <w:right w:val="nil"/>
                  </w:tcBorders>
                </w:tcPr>
                <w:p w14:paraId="7CF9D578" w14:textId="77777777" w:rsidR="00FA0945" w:rsidRPr="000C5235" w:rsidRDefault="00FA0945">
                  <w:pPr>
                    <w:pStyle w:val="BodyText"/>
                    <w:rPr>
                      <w:rStyle w:val="BodyTextChar"/>
                      <w:sz w:val="4"/>
                      <w:szCs w:val="4"/>
                    </w:rPr>
                  </w:pPr>
                </w:p>
              </w:tc>
            </w:tr>
            <w:tr w:rsidR="00FA0945" w:rsidRPr="000C5235" w14:paraId="3BF2E04A" w14:textId="77777777" w:rsidTr="00FA0945">
              <w:tc>
                <w:tcPr>
                  <w:tcW w:w="7371" w:type="dxa"/>
                  <w:tcBorders>
                    <w:bottom w:val="single" w:sz="2" w:space="0" w:color="A7B4BE"/>
                  </w:tcBorders>
                </w:tcPr>
                <w:p w14:paraId="0AECDD4F" w14:textId="77777777" w:rsidR="00FA0945" w:rsidRPr="000C5235" w:rsidRDefault="00FA0945">
                  <w:pPr>
                    <w:pStyle w:val="BodyText"/>
                    <w:rPr>
                      <w:rStyle w:val="BodyTextChar"/>
                      <w:b/>
                      <w:sz w:val="20"/>
                      <w:szCs w:val="20"/>
                    </w:rPr>
                  </w:pPr>
                  <w:r w:rsidRPr="000C5235">
                    <w:rPr>
                      <w:rStyle w:val="BodyTextChar"/>
                      <w:b/>
                      <w:sz w:val="20"/>
                      <w:szCs w:val="20"/>
                    </w:rPr>
                    <w:t>Linked programs box</w:t>
                  </w:r>
                </w:p>
              </w:tc>
            </w:tr>
            <w:tr w:rsidR="00FA0945" w:rsidRPr="000C5235" w14:paraId="7F19F712" w14:textId="77777777" w:rsidTr="00FA0945">
              <w:trPr>
                <w:trHeight w:val="65"/>
              </w:trPr>
              <w:tc>
                <w:tcPr>
                  <w:tcW w:w="7371" w:type="dxa"/>
                  <w:tcBorders>
                    <w:left w:val="nil"/>
                    <w:right w:val="nil"/>
                  </w:tcBorders>
                </w:tcPr>
                <w:p w14:paraId="6F934063" w14:textId="77777777" w:rsidR="00FA0945" w:rsidRPr="000C5235" w:rsidRDefault="00FA0945">
                  <w:pPr>
                    <w:pStyle w:val="BodyText"/>
                    <w:rPr>
                      <w:rStyle w:val="BodyTextChar"/>
                      <w:sz w:val="4"/>
                      <w:szCs w:val="4"/>
                    </w:rPr>
                  </w:pPr>
                </w:p>
              </w:tc>
            </w:tr>
            <w:tr w:rsidR="00FA0945" w:rsidRPr="000C5235" w14:paraId="009D0B17" w14:textId="77777777" w:rsidTr="00FA0945">
              <w:tc>
                <w:tcPr>
                  <w:tcW w:w="7371" w:type="dxa"/>
                  <w:tcBorders>
                    <w:bottom w:val="single" w:sz="2" w:space="0" w:color="A7B4BE"/>
                  </w:tcBorders>
                </w:tcPr>
                <w:p w14:paraId="222856F7" w14:textId="77777777" w:rsidR="00FA0945" w:rsidRPr="000C5235" w:rsidRDefault="00FA0945">
                  <w:pPr>
                    <w:pStyle w:val="BodyText"/>
                    <w:rPr>
                      <w:rStyle w:val="BodyTextChar"/>
                      <w:b/>
                      <w:sz w:val="20"/>
                      <w:szCs w:val="20"/>
                    </w:rPr>
                  </w:pPr>
                  <w:r w:rsidRPr="000C5235">
                    <w:rPr>
                      <w:rStyle w:val="BodyTextChar"/>
                      <w:b/>
                      <w:sz w:val="20"/>
                      <w:szCs w:val="20"/>
                    </w:rPr>
                    <w:t>Table 2.X.1: Budgeted expenses for Outcome X</w:t>
                  </w:r>
                </w:p>
              </w:tc>
            </w:tr>
            <w:tr w:rsidR="00FA0945" w:rsidRPr="000C5235" w14:paraId="75F4FC8F" w14:textId="77777777" w:rsidTr="00FA0945">
              <w:tc>
                <w:tcPr>
                  <w:tcW w:w="7371" w:type="dxa"/>
                  <w:tcBorders>
                    <w:left w:val="nil"/>
                    <w:right w:val="nil"/>
                  </w:tcBorders>
                </w:tcPr>
                <w:p w14:paraId="23BF1E2A" w14:textId="77777777" w:rsidR="00FA0945" w:rsidRPr="000C5235" w:rsidRDefault="00FA0945">
                  <w:pPr>
                    <w:pStyle w:val="BodyText"/>
                    <w:rPr>
                      <w:rStyle w:val="BodyTextChar"/>
                      <w:sz w:val="4"/>
                      <w:szCs w:val="4"/>
                    </w:rPr>
                  </w:pPr>
                </w:p>
              </w:tc>
            </w:tr>
            <w:tr w:rsidR="00FA0945" w:rsidRPr="000C5235" w14:paraId="116FB5E7" w14:textId="77777777" w:rsidTr="00FA0945">
              <w:tc>
                <w:tcPr>
                  <w:tcW w:w="7371" w:type="dxa"/>
                  <w:tcBorders>
                    <w:bottom w:val="single" w:sz="2" w:space="0" w:color="A7B4BE"/>
                  </w:tcBorders>
                </w:tcPr>
                <w:p w14:paraId="5289F458" w14:textId="77777777" w:rsidR="00FA0945" w:rsidRPr="000C5235" w:rsidRDefault="00FA0945">
                  <w:pPr>
                    <w:pStyle w:val="BodyText"/>
                    <w:rPr>
                      <w:rStyle w:val="BodyTextChar"/>
                      <w:sz w:val="20"/>
                      <w:szCs w:val="20"/>
                    </w:rPr>
                  </w:pPr>
                  <w:r w:rsidRPr="000C5235">
                    <w:rPr>
                      <w:rStyle w:val="BodyTextChar"/>
                      <w:b/>
                      <w:sz w:val="20"/>
                      <w:szCs w:val="20"/>
                    </w:rPr>
                    <w:t>Table 2.X.2: Program components for Outcome X</w:t>
                  </w:r>
                  <w:r w:rsidRPr="000C5235">
                    <w:rPr>
                      <w:rStyle w:val="BodyTextChar"/>
                      <w:sz w:val="20"/>
                      <w:szCs w:val="20"/>
                    </w:rPr>
                    <w:t xml:space="preserve"> (optional)</w:t>
                  </w:r>
                </w:p>
              </w:tc>
            </w:tr>
            <w:tr w:rsidR="00FA0945" w:rsidRPr="000C5235" w14:paraId="37FB8398" w14:textId="77777777" w:rsidTr="00FA0945">
              <w:tc>
                <w:tcPr>
                  <w:tcW w:w="7371" w:type="dxa"/>
                  <w:tcBorders>
                    <w:left w:val="nil"/>
                    <w:right w:val="nil"/>
                  </w:tcBorders>
                </w:tcPr>
                <w:p w14:paraId="05A221E8" w14:textId="77777777" w:rsidR="00FA0945" w:rsidRPr="000C5235" w:rsidRDefault="00FA0945">
                  <w:pPr>
                    <w:pStyle w:val="BodyText"/>
                    <w:rPr>
                      <w:rStyle w:val="BodyTextChar"/>
                      <w:sz w:val="4"/>
                      <w:szCs w:val="4"/>
                    </w:rPr>
                  </w:pPr>
                </w:p>
              </w:tc>
            </w:tr>
            <w:tr w:rsidR="00FA0945" w:rsidRPr="000C5235" w14:paraId="20AA598C" w14:textId="77777777" w:rsidTr="00FA0945">
              <w:tc>
                <w:tcPr>
                  <w:tcW w:w="7371" w:type="dxa"/>
                </w:tcPr>
                <w:p w14:paraId="46F42E8B" w14:textId="77777777" w:rsidR="00FA0945" w:rsidRPr="000C5235" w:rsidRDefault="00FA0945">
                  <w:pPr>
                    <w:pStyle w:val="BodyText"/>
                    <w:rPr>
                      <w:rStyle w:val="BodyTextChar"/>
                      <w:b/>
                      <w:sz w:val="20"/>
                      <w:szCs w:val="20"/>
                    </w:rPr>
                  </w:pPr>
                  <w:r w:rsidRPr="000C5235">
                    <w:rPr>
                      <w:rStyle w:val="BodyTextChar"/>
                      <w:b/>
                      <w:sz w:val="20"/>
                      <w:szCs w:val="20"/>
                    </w:rPr>
                    <w:t>Table 2.X.3: Planned performance criteria for Outcome X</w:t>
                  </w:r>
                </w:p>
              </w:tc>
            </w:tr>
          </w:tbl>
          <w:p w14:paraId="423A1B8A" w14:textId="77777777" w:rsidR="00FA0945" w:rsidRPr="000C5235" w:rsidRDefault="00FA0945">
            <w:pPr>
              <w:rPr>
                <w:rStyle w:val="BodyTextChar"/>
              </w:rPr>
            </w:pPr>
          </w:p>
        </w:tc>
      </w:tr>
    </w:tbl>
    <w:p w14:paraId="77D94414" w14:textId="77777777" w:rsidR="00FA0945" w:rsidRPr="000C5235" w:rsidRDefault="00FA0945">
      <w:pPr>
        <w:rPr>
          <w:rStyle w:val="BodyTextChar"/>
        </w:rPr>
      </w:pPr>
      <w:r w:rsidRPr="000C5235">
        <w:rPr>
          <w:rStyle w:val="BodyTextChar"/>
        </w:rPr>
        <w:t>Entities with multiple outcomes would repeat subsection 2.X for each and every outcome (</w:t>
      </w:r>
      <w:r w:rsidR="00E10C89" w:rsidRPr="000C5235">
        <w:rPr>
          <w:rStyle w:val="BodyTextChar"/>
        </w:rPr>
        <w:t>ie</w:t>
      </w:r>
      <w:r w:rsidRPr="000C5235">
        <w:rPr>
          <w:rStyle w:val="BodyTextChar"/>
        </w:rPr>
        <w:t xml:space="preserve"> 2.1 for Outcome 1, 2.2 for Outcome 2, etc). Entities with a single outcome would include the elements shown above under a single subsection 2.1.</w:t>
      </w:r>
    </w:p>
    <w:p w14:paraId="6515ADC5" w14:textId="77777777" w:rsidR="00FA0945" w:rsidRPr="000C5235" w:rsidRDefault="00FA0945" w:rsidP="000A7DEC">
      <w:pPr>
        <w:rPr>
          <w:rStyle w:val="BodyTextChar"/>
        </w:rPr>
      </w:pPr>
      <w:r w:rsidRPr="000C5235">
        <w:rPr>
          <w:rStyle w:val="BodyTextChar"/>
        </w:rPr>
        <w:t xml:space="preserve">Entities should use the table numbering scheme shown in the above example. For example, </w:t>
      </w:r>
      <w:r w:rsidRPr="000C5235">
        <w:rPr>
          <w:rStyle w:val="BodyTextChar"/>
          <w:i/>
        </w:rPr>
        <w:t>Table 2.1.1 f</w:t>
      </w:r>
      <w:r w:rsidRPr="000C5235">
        <w:rPr>
          <w:rStyle w:val="BodyTextChar"/>
        </w:rPr>
        <w:t xml:space="preserve">or the Budgeted expenses for Outcome 1; </w:t>
      </w:r>
      <w:r w:rsidRPr="000C5235">
        <w:rPr>
          <w:rStyle w:val="BodyTextChar"/>
          <w:i/>
        </w:rPr>
        <w:t>Table 2.1.2</w:t>
      </w:r>
      <w:r w:rsidRPr="000C5235">
        <w:rPr>
          <w:rStyle w:val="BodyTextChar"/>
        </w:rPr>
        <w:t xml:space="preserve"> for program components related to Outcome 1(if included); and </w:t>
      </w:r>
      <w:r w:rsidRPr="000C5235">
        <w:rPr>
          <w:rStyle w:val="BodyTextChar"/>
          <w:i/>
        </w:rPr>
        <w:t>Table 2.1.3</w:t>
      </w:r>
      <w:r w:rsidRPr="000C5235">
        <w:rPr>
          <w:rStyle w:val="BodyTextChar"/>
        </w:rPr>
        <w:t xml:space="preserve"> for planned performance information for Outcome 1 (or </w:t>
      </w:r>
      <w:r w:rsidR="00334C6F" w:rsidRPr="000C5235">
        <w:rPr>
          <w:rStyle w:val="BodyTextChar"/>
          <w:i/>
        </w:rPr>
        <w:t>T</w:t>
      </w:r>
      <w:r w:rsidRPr="000C5235">
        <w:rPr>
          <w:rStyle w:val="BodyTextChar"/>
          <w:i/>
        </w:rPr>
        <w:t>able 2.1.2</w:t>
      </w:r>
      <w:r w:rsidRPr="000C5235">
        <w:rPr>
          <w:rStyle w:val="BodyTextChar"/>
        </w:rPr>
        <w:t xml:space="preserve"> if no program components are reported). For Outcome 2, these table numbers would run in the following sequence: </w:t>
      </w:r>
      <w:r w:rsidRPr="000C5235">
        <w:rPr>
          <w:rStyle w:val="BodyTextChar"/>
          <w:i/>
        </w:rPr>
        <w:t>Table 2.2.1; Table 2.2.2</w:t>
      </w:r>
      <w:r w:rsidRPr="000C5235">
        <w:rPr>
          <w:rStyle w:val="BodyTextChar"/>
        </w:rPr>
        <w:t xml:space="preserve"> and </w:t>
      </w:r>
      <w:r w:rsidRPr="000C5235">
        <w:rPr>
          <w:rStyle w:val="BodyTextChar"/>
          <w:i/>
        </w:rPr>
        <w:t>Table 2.2.3</w:t>
      </w:r>
      <w:r w:rsidRPr="000C5235">
        <w:rPr>
          <w:rStyle w:val="BodyTextChar"/>
        </w:rPr>
        <w:t>. This scheme is intended to make it easy for readers to refer to information and provide consistency across PB Statements tabled by different ministers.</w:t>
      </w:r>
    </w:p>
    <w:p w14:paraId="0BB85E2C" w14:textId="77777777" w:rsidR="00FA0945" w:rsidRPr="000C5235" w:rsidRDefault="00FA0945" w:rsidP="000A7DEC">
      <w:pPr>
        <w:pStyle w:val="Heading2Numbered"/>
        <w:rPr>
          <w:rFonts w:ascii="Arial" w:eastAsia="Times New Roman" w:hAnsi="Arial"/>
          <w:spacing w:val="-6"/>
          <w:szCs w:val="34"/>
        </w:rPr>
      </w:pPr>
      <w:bookmarkStart w:id="460" w:name="_Toc534382562"/>
      <w:bookmarkStart w:id="461" w:name="_Ref33520614"/>
      <w:bookmarkStart w:id="462" w:name="_Ref33520641"/>
      <w:bookmarkStart w:id="463" w:name="_Ref33520649"/>
      <w:bookmarkStart w:id="464" w:name="_Ref33521882"/>
      <w:bookmarkStart w:id="465" w:name="_Ref33521889"/>
      <w:bookmarkStart w:id="466" w:name="_Ref33521893"/>
      <w:bookmarkStart w:id="467" w:name="_Ref33522094"/>
      <w:bookmarkStart w:id="468" w:name="_Ref33522098"/>
      <w:bookmarkStart w:id="469" w:name="_Ref33522148"/>
      <w:bookmarkStart w:id="470" w:name="_Ref33522177"/>
      <w:bookmarkStart w:id="471" w:name="_Ref33522182"/>
      <w:bookmarkStart w:id="472" w:name="_Ref33522184"/>
      <w:bookmarkStart w:id="473" w:name="_Toc53564756"/>
      <w:r w:rsidRPr="000C5235">
        <w:rPr>
          <w:rFonts w:eastAsia="Times New Roman"/>
        </w:rPr>
        <w:t xml:space="preserve">Outcome </w:t>
      </w:r>
      <w:r w:rsidR="001A5C7F" w:rsidRPr="000C5235">
        <w:rPr>
          <w:rFonts w:eastAsia="Times New Roman"/>
        </w:rPr>
        <w:t>s</w:t>
      </w:r>
      <w:r w:rsidRPr="000C5235">
        <w:rPr>
          <w:rFonts w:eastAsia="Times New Roman"/>
        </w:rPr>
        <w:t>tatements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3B017E46" w14:textId="77777777" w:rsidR="00FA0945" w:rsidRPr="000C5235" w:rsidRDefault="00FA0945" w:rsidP="000A7DEC">
      <w:pPr>
        <w:rPr>
          <w:rStyle w:val="BodyTextChar"/>
          <w:rFonts w:ascii="Arial" w:hAnsi="Arial"/>
          <w:bCs/>
          <w:color w:val="1C1C1C" w:themeColor="text2"/>
          <w:spacing w:val="-6"/>
          <w:sz w:val="34"/>
          <w:szCs w:val="34"/>
        </w:rPr>
      </w:pPr>
      <w:r w:rsidRPr="000C5235">
        <w:rPr>
          <w:rStyle w:val="BodyTextChar"/>
        </w:rPr>
        <w:t xml:space="preserve">The </w:t>
      </w:r>
      <w:r w:rsidR="007E6DB9" w:rsidRPr="000C5235">
        <w:rPr>
          <w:rStyle w:val="BodyTextChar"/>
          <w:i/>
        </w:rPr>
        <w:t xml:space="preserve">Outcome </w:t>
      </w:r>
      <w:r w:rsidR="00E66432" w:rsidRPr="000C5235">
        <w:rPr>
          <w:rStyle w:val="BodyTextChar"/>
          <w:i/>
        </w:rPr>
        <w:t>s</w:t>
      </w:r>
      <w:r w:rsidRPr="000C5235">
        <w:rPr>
          <w:rStyle w:val="BodyTextChar"/>
          <w:i/>
        </w:rPr>
        <w:t>tatements</w:t>
      </w:r>
      <w:r w:rsidRPr="000C5235">
        <w:rPr>
          <w:rStyle w:val="BodyTextChar"/>
        </w:rPr>
        <w:t xml:space="preserve"> should repeat the wording approved by the Minister for Finance (as per the Outcome and Programs policy referred to below). Entities that wish to vary their outcome statements to reflect changes in government policy or its strategic environment should consult </w:t>
      </w:r>
      <w:r w:rsidR="00311A41" w:rsidRPr="000C5235">
        <w:rPr>
          <w:rStyle w:val="BodyTextChar"/>
        </w:rPr>
        <w:t xml:space="preserve">their relevant AAU in </w:t>
      </w:r>
      <w:r w:rsidRPr="000C5235">
        <w:rPr>
          <w:rStyle w:val="BodyTextChar"/>
        </w:rPr>
        <w:t xml:space="preserve">Finance well in advance of the preparation of </w:t>
      </w:r>
      <w:r w:rsidR="004D761E" w:rsidRPr="000C5235">
        <w:rPr>
          <w:rStyle w:val="BodyTextChar"/>
        </w:rPr>
        <w:t xml:space="preserve">the </w:t>
      </w:r>
      <w:r w:rsidR="00311A41" w:rsidRPr="000C5235">
        <w:rPr>
          <w:rStyle w:val="BodyTextChar"/>
        </w:rPr>
        <w:t>2020</w:t>
      </w:r>
      <w:r w:rsidR="00A667A6" w:rsidRPr="000C5235">
        <w:rPr>
          <w:rStyle w:val="BodyTextChar"/>
        </w:rPr>
        <w:noBreakHyphen/>
      </w:r>
      <w:r w:rsidR="00311A41" w:rsidRPr="000C5235">
        <w:rPr>
          <w:rStyle w:val="BodyTextChar"/>
        </w:rPr>
        <w:t>21</w:t>
      </w:r>
      <w:r w:rsidRPr="000C5235">
        <w:rPr>
          <w:rStyle w:val="BodyTextChar"/>
        </w:rPr>
        <w:t xml:space="preserve"> Budget Appropriation Bills (and PB Statements) to agree on the wording of any proposed revisions and to ensure they have the best prospects of obtaining the approval of the Minister for Finance.</w:t>
      </w:r>
    </w:p>
    <w:p w14:paraId="4356176D" w14:textId="77777777" w:rsidR="00FA0945" w:rsidRPr="000C5235" w:rsidRDefault="00FA0945" w:rsidP="000A7DEC">
      <w:pPr>
        <w:rPr>
          <w:rStyle w:val="BodyTextChar"/>
        </w:rPr>
      </w:pPr>
      <w:r w:rsidRPr="000C5235">
        <w:rPr>
          <w:rStyle w:val="BodyTextChar"/>
        </w:rPr>
        <w:t>As outlined in the Commonwealth’s Outcome Statements and Approval Policy (Outcomes policy), outcome statements articulate Government objectives and form an integral part of the appropriations framework. They:</w:t>
      </w:r>
    </w:p>
    <w:p w14:paraId="58CD7BD3" w14:textId="77777777" w:rsidR="00512B1D" w:rsidRPr="000C5235" w:rsidRDefault="00FA0945">
      <w:pPr>
        <w:pStyle w:val="Numbered"/>
        <w:numPr>
          <w:ilvl w:val="0"/>
          <w:numId w:val="229"/>
        </w:numPr>
        <w:rPr>
          <w:rStyle w:val="BodyTextChar"/>
          <w:rFonts w:eastAsiaTheme="minorHAnsi" w:cstheme="minorBidi"/>
        </w:rPr>
      </w:pPr>
      <w:r w:rsidRPr="000C5235">
        <w:rPr>
          <w:rStyle w:val="BodyTextChar"/>
          <w:rFonts w:eastAsiaTheme="minorHAnsi" w:cstheme="minorBidi"/>
        </w:rPr>
        <w:t>explain the purpose for which annual appropriations are approved by the Parliament for use by entities</w:t>
      </w:r>
    </w:p>
    <w:p w14:paraId="5E143594" w14:textId="77777777" w:rsidR="00FA0945" w:rsidRPr="000C5235" w:rsidRDefault="00FA0945">
      <w:pPr>
        <w:pStyle w:val="Numbered"/>
        <w:numPr>
          <w:ilvl w:val="0"/>
          <w:numId w:val="229"/>
        </w:numPr>
        <w:rPr>
          <w:rStyle w:val="BodyTextChar"/>
          <w:rFonts w:eastAsiaTheme="minorHAnsi" w:cstheme="minorBidi"/>
        </w:rPr>
      </w:pPr>
      <w:r w:rsidRPr="000C5235">
        <w:rPr>
          <w:rStyle w:val="BodyTextChar"/>
          <w:rFonts w:eastAsiaTheme="minorHAnsi" w:cstheme="minorBidi"/>
        </w:rPr>
        <w:t xml:space="preserve">provide a basis for budgeting and reporting against the use of appropriated funds </w:t>
      </w:r>
    </w:p>
    <w:p w14:paraId="48584622" w14:textId="387027AC" w:rsidR="00FA0945" w:rsidRPr="000C5235" w:rsidRDefault="00FA0945" w:rsidP="006C2F6D">
      <w:r w:rsidRPr="000C5235">
        <w:rPr>
          <w:rStyle w:val="BodyTextChar"/>
          <w:rFonts w:eastAsiaTheme="minorHAnsi" w:cstheme="minorBidi"/>
        </w:rPr>
        <w:t>An outcome statement should provide an immediate impression of what success looks like. It should provide readers with a sense of what performance information is likely to be useful in assessing whether a specific outcome is delivered satisfactorily. Performance information described in PB Statements (for example, in section 2.</w:t>
      </w:r>
      <w:r w:rsidR="00C611D7" w:rsidRPr="000C5235">
        <w:rPr>
          <w:rStyle w:val="BodyTextChar"/>
          <w:rFonts w:eastAsiaTheme="minorHAnsi" w:cstheme="minorBidi"/>
        </w:rPr>
        <w:t>x.3</w:t>
      </w:r>
      <w:r w:rsidRPr="000C5235">
        <w:rPr>
          <w:rStyle w:val="BodyTextChar"/>
          <w:rFonts w:eastAsiaTheme="minorHAnsi" w:cstheme="minorBidi"/>
        </w:rPr>
        <w:t xml:space="preserve"> </w:t>
      </w:r>
      <w:r w:rsidR="00C611D7" w:rsidRPr="000C5235">
        <w:rPr>
          <w:rStyle w:val="BodyTextChar"/>
          <w:rFonts w:eastAsiaTheme="minorHAnsi" w:cstheme="minorBidi"/>
        </w:rPr>
        <w:t xml:space="preserve">and </w:t>
      </w:r>
      <w:r w:rsidRPr="000C5235">
        <w:rPr>
          <w:rStyle w:val="BodyTextChar"/>
          <w:rFonts w:eastAsiaTheme="minorHAnsi" w:cstheme="minorBidi"/>
        </w:rPr>
        <w:t xml:space="preserve">discussed </w:t>
      </w:r>
      <w:r w:rsidR="00C611D7" w:rsidRPr="000C5235">
        <w:rPr>
          <w:rStyle w:val="BodyTextChar"/>
          <w:rFonts w:eastAsiaTheme="minorHAnsi" w:cstheme="minorBidi"/>
        </w:rPr>
        <w:t xml:space="preserve">in section </w:t>
      </w:r>
      <w:r w:rsidR="00C611D7" w:rsidRPr="000C5235">
        <w:rPr>
          <w:i/>
          <w:color w:val="0070C0"/>
          <w:u w:val="single"/>
        </w:rPr>
        <w:fldChar w:fldCharType="begin"/>
      </w:r>
      <w:r w:rsidR="00C611D7" w:rsidRPr="000C5235">
        <w:rPr>
          <w:i/>
          <w:color w:val="0070C0"/>
          <w:u w:val="single"/>
        </w:rPr>
        <w:instrText xml:space="preserve"> REF _Ref33522765 \r \h  \* MERGEFORMAT </w:instrText>
      </w:r>
      <w:r w:rsidR="00C611D7" w:rsidRPr="000C5235">
        <w:rPr>
          <w:i/>
          <w:color w:val="0070C0"/>
          <w:u w:val="single"/>
        </w:rPr>
      </w:r>
      <w:r w:rsidR="00C611D7" w:rsidRPr="000C5235">
        <w:rPr>
          <w:i/>
          <w:color w:val="0070C0"/>
          <w:u w:val="single"/>
        </w:rPr>
        <w:fldChar w:fldCharType="separate"/>
      </w:r>
      <w:r w:rsidR="00507230">
        <w:rPr>
          <w:i/>
          <w:color w:val="0070C0"/>
          <w:u w:val="single"/>
        </w:rPr>
        <w:t>10.7</w:t>
      </w:r>
      <w:r w:rsidR="00C611D7" w:rsidRPr="000C5235">
        <w:rPr>
          <w:i/>
          <w:color w:val="0070C0"/>
          <w:u w:val="single"/>
        </w:rPr>
        <w:fldChar w:fldCharType="end"/>
      </w:r>
      <w:r w:rsidR="00C611D7" w:rsidRPr="000C5235">
        <w:rPr>
          <w:i/>
          <w:color w:val="0070C0"/>
          <w:u w:val="single"/>
        </w:rPr>
        <w:t> </w:t>
      </w:r>
      <w:r w:rsidR="00C611D7" w:rsidRPr="000C5235">
        <w:rPr>
          <w:i/>
          <w:color w:val="0070C0"/>
          <w:u w:val="single"/>
        </w:rPr>
        <w:fldChar w:fldCharType="begin"/>
      </w:r>
      <w:r w:rsidR="00C611D7" w:rsidRPr="000C5235">
        <w:rPr>
          <w:i/>
          <w:color w:val="0070C0"/>
          <w:u w:val="single"/>
        </w:rPr>
        <w:instrText xml:space="preserve"> REF _Ref33522777 \h  \* MERGEFORMAT </w:instrText>
      </w:r>
      <w:r w:rsidR="00C611D7" w:rsidRPr="000C5235">
        <w:rPr>
          <w:i/>
          <w:color w:val="0070C0"/>
          <w:u w:val="single"/>
        </w:rPr>
      </w:r>
      <w:r w:rsidR="00C611D7" w:rsidRPr="000C5235">
        <w:rPr>
          <w:i/>
          <w:color w:val="0070C0"/>
          <w:u w:val="single"/>
        </w:rPr>
        <w:fldChar w:fldCharType="separate"/>
      </w:r>
      <w:r w:rsidR="00507230" w:rsidRPr="00507230">
        <w:rPr>
          <w:i/>
          <w:color w:val="0070C0"/>
          <w:u w:val="single"/>
        </w:rPr>
        <w:t>Overview of table 2.X.3 – performance information</w:t>
      </w:r>
      <w:r w:rsidR="00C611D7" w:rsidRPr="000C5235">
        <w:rPr>
          <w:i/>
          <w:color w:val="0070C0"/>
          <w:u w:val="single"/>
        </w:rPr>
        <w:fldChar w:fldCharType="end"/>
      </w:r>
      <w:r w:rsidR="006C2F6D" w:rsidRPr="000C5235">
        <w:rPr>
          <w:i/>
        </w:rPr>
        <w:t xml:space="preserve"> </w:t>
      </w:r>
      <w:r w:rsidR="00C611D7" w:rsidRPr="000C5235">
        <w:fldChar w:fldCharType="begin"/>
      </w:r>
      <w:r w:rsidR="00C611D7" w:rsidRPr="000C5235">
        <w:instrText xml:space="preserve"> REF _Ref33522783 \p \h  \* MERGEFORMAT </w:instrText>
      </w:r>
      <w:r w:rsidR="00C611D7" w:rsidRPr="000C5235">
        <w:fldChar w:fldCharType="separate"/>
      </w:r>
      <w:r w:rsidR="00507230">
        <w:t>below</w:t>
      </w:r>
      <w:r w:rsidR="00C611D7" w:rsidRPr="000C5235">
        <w:fldChar w:fldCharType="end"/>
      </w:r>
      <w:r w:rsidRPr="000C5235">
        <w:t>)</w:t>
      </w:r>
      <w:r w:rsidRPr="000C5235">
        <w:rPr>
          <w:i/>
        </w:rPr>
        <w:t xml:space="preserve"> </w:t>
      </w:r>
      <w:r w:rsidRPr="000C5235">
        <w:t>should relate to the expectation created by the relevant outcome statement.</w:t>
      </w:r>
    </w:p>
    <w:p w14:paraId="7D87583F" w14:textId="77777777" w:rsidR="00D815CA" w:rsidRPr="000C5235" w:rsidRDefault="00FA0945" w:rsidP="00BD6313">
      <w:pPr>
        <w:rPr>
          <w:rStyle w:val="Hyperlink"/>
          <w:color w:val="auto"/>
        </w:rPr>
      </w:pPr>
      <w:r w:rsidRPr="000C5235">
        <w:rPr>
          <w:rStyle w:val="BodyTextChar"/>
        </w:rPr>
        <w:t xml:space="preserve">For </w:t>
      </w:r>
      <w:r w:rsidRPr="000C5235">
        <w:t>information on</w:t>
      </w:r>
      <w:r w:rsidR="00CD0900" w:rsidRPr="000C5235">
        <w:t xml:space="preserve"> amending an entity’s existing Outcome S</w:t>
      </w:r>
      <w:r w:rsidRPr="000C5235">
        <w:t>tatement(s) or program structure, please refer to the Outcomes policy and Programs policy</w:t>
      </w:r>
      <w:r w:rsidR="00D815CA" w:rsidRPr="000C5235">
        <w:t>, both</w:t>
      </w:r>
      <w:r w:rsidR="00C25B7D" w:rsidRPr="000C5235">
        <w:t xml:space="preserve"> are</w:t>
      </w:r>
      <w:r w:rsidRPr="000C5235">
        <w:t xml:space="preserve"> available on the Finance website:</w:t>
      </w:r>
    </w:p>
    <w:p w14:paraId="4C51572E" w14:textId="41AEB080" w:rsidR="00D815CA" w:rsidRPr="000C5235" w:rsidRDefault="00854156" w:rsidP="000A7DEC">
      <w:pPr>
        <w:pStyle w:val="BodyText"/>
        <w:jc w:val="both"/>
        <w:rPr>
          <w:rStyle w:val="Hyperlink"/>
        </w:rPr>
      </w:pPr>
      <w:hyperlink r:id="rId58" w:history="1">
        <w:r w:rsidR="00B1636A" w:rsidRPr="000C5235">
          <w:rPr>
            <w:rStyle w:val="Hyperlink"/>
          </w:rPr>
          <w:t>www.finance.gov.au/sites/default/files/2019-11/outcome-statements-policy-and-approval-process_1.pdf</w:t>
        </w:r>
      </w:hyperlink>
      <w:r w:rsidR="00D815CA" w:rsidRPr="000C5235">
        <w:rPr>
          <w:rStyle w:val="Hyperlink"/>
        </w:rPr>
        <w:t xml:space="preserve"> </w:t>
      </w:r>
    </w:p>
    <w:p w14:paraId="678A67EF" w14:textId="65B5EF1F" w:rsidR="000C42A6" w:rsidRPr="000C5235" w:rsidRDefault="00854156" w:rsidP="00D815CA">
      <w:pPr>
        <w:pStyle w:val="BodyText"/>
        <w:rPr>
          <w:rStyle w:val="Hyperlink"/>
        </w:rPr>
      </w:pPr>
      <w:hyperlink r:id="rId59" w:history="1">
        <w:r w:rsidR="00B1636A" w:rsidRPr="000C5235">
          <w:rPr>
            <w:rStyle w:val="Hyperlink"/>
          </w:rPr>
          <w:t>www.finance.gov.au/sites/default/files/2019-11/commonwealth-programmes-policy-and-approval-process.pdf</w:t>
        </w:r>
      </w:hyperlink>
    </w:p>
    <w:p w14:paraId="04D8A636" w14:textId="77777777" w:rsidR="000C42A6" w:rsidRPr="000C5235" w:rsidRDefault="000C42A6">
      <w:pPr>
        <w:suppressAutoHyphens w:val="0"/>
        <w:spacing w:before="0" w:after="120" w:line="440" w:lineRule="atLeast"/>
        <w:rPr>
          <w:rStyle w:val="Hyperlink"/>
          <w:rFonts w:eastAsia="Cambria"/>
        </w:rPr>
      </w:pPr>
      <w:r w:rsidRPr="000C5235">
        <w:rPr>
          <w:rStyle w:val="Hyperlink"/>
        </w:rPr>
        <w:br w:type="page"/>
      </w:r>
    </w:p>
    <w:p w14:paraId="43C22F10" w14:textId="77777777" w:rsidR="00FA0945" w:rsidRPr="000C5235" w:rsidRDefault="00FA0945">
      <w:pPr>
        <w:pStyle w:val="Heading2Numbered"/>
        <w:rPr>
          <w:rFonts w:ascii="Arial" w:eastAsia="Times New Roman" w:hAnsi="Arial"/>
          <w:spacing w:val="-6"/>
          <w:szCs w:val="34"/>
        </w:rPr>
      </w:pPr>
      <w:bookmarkStart w:id="474" w:name="_Toc47369890"/>
      <w:bookmarkStart w:id="475" w:name="_Toc534382563"/>
      <w:bookmarkStart w:id="476" w:name="_Toc53564757"/>
      <w:bookmarkEnd w:id="474"/>
      <w:r w:rsidRPr="000C5235">
        <w:rPr>
          <w:rFonts w:eastAsia="Times New Roman"/>
        </w:rPr>
        <w:t xml:space="preserve">Linked </w:t>
      </w:r>
      <w:r w:rsidR="001A5C7F" w:rsidRPr="000C5235">
        <w:rPr>
          <w:rFonts w:eastAsia="Times New Roman"/>
        </w:rPr>
        <w:t>p</w:t>
      </w:r>
      <w:r w:rsidRPr="000C5235">
        <w:rPr>
          <w:rFonts w:eastAsia="Times New Roman"/>
        </w:rPr>
        <w:t>rograms box</w:t>
      </w:r>
      <w:bookmarkEnd w:id="475"/>
      <w:bookmarkEnd w:id="476"/>
    </w:p>
    <w:p w14:paraId="0B946097" w14:textId="77777777" w:rsidR="006F2C96" w:rsidRPr="000C5235" w:rsidRDefault="00FA0945" w:rsidP="000A7DEC">
      <w:pPr>
        <w:rPr>
          <w:rStyle w:val="BodyTextChar"/>
        </w:rPr>
      </w:pPr>
      <w:r w:rsidRPr="000C5235">
        <w:rPr>
          <w:rStyle w:val="BodyTextChar"/>
        </w:rPr>
        <w:t xml:space="preserve">The </w:t>
      </w:r>
      <w:r w:rsidR="00E66432" w:rsidRPr="000C5235">
        <w:rPr>
          <w:rStyle w:val="BodyTextChar"/>
          <w:i/>
        </w:rPr>
        <w:t>l</w:t>
      </w:r>
      <w:r w:rsidR="007E6DB9" w:rsidRPr="000C5235">
        <w:rPr>
          <w:rStyle w:val="BodyTextChar"/>
          <w:i/>
        </w:rPr>
        <w:t xml:space="preserve">inked </w:t>
      </w:r>
      <w:r w:rsidR="00E66432" w:rsidRPr="000C5235">
        <w:rPr>
          <w:rStyle w:val="BodyTextChar"/>
          <w:i/>
        </w:rPr>
        <w:t>p</w:t>
      </w:r>
      <w:r w:rsidR="007E6DB9" w:rsidRPr="000C5235">
        <w:rPr>
          <w:rStyle w:val="BodyTextChar"/>
          <w:i/>
        </w:rPr>
        <w:t xml:space="preserve">rograms </w:t>
      </w:r>
      <w:r w:rsidR="00E66432" w:rsidRPr="000C5235">
        <w:rPr>
          <w:rStyle w:val="BodyTextChar"/>
          <w:i/>
        </w:rPr>
        <w:t>b</w:t>
      </w:r>
      <w:r w:rsidR="007E6DB9" w:rsidRPr="000C5235">
        <w:rPr>
          <w:rStyle w:val="BodyTextChar"/>
          <w:i/>
        </w:rPr>
        <w:t>ox</w:t>
      </w:r>
      <w:r w:rsidR="007E6DB9" w:rsidRPr="000C5235">
        <w:rPr>
          <w:rStyle w:val="BodyTextChar"/>
        </w:rPr>
        <w:t xml:space="preserve"> </w:t>
      </w:r>
      <w:r w:rsidRPr="000C5235">
        <w:rPr>
          <w:rStyle w:val="BodyTextChar"/>
        </w:rPr>
        <w:t xml:space="preserve">should appear immediately </w:t>
      </w:r>
      <w:r w:rsidR="00CD0900" w:rsidRPr="000C5235">
        <w:rPr>
          <w:rStyle w:val="BodyTextChar"/>
        </w:rPr>
        <w:t>after the Outcome S</w:t>
      </w:r>
      <w:r w:rsidRPr="000C5235">
        <w:rPr>
          <w:rStyle w:val="BodyTextChar"/>
        </w:rPr>
        <w:t>tatement in subsection 2.X relevant to Outcome X. The information in this box is intended to provide readers with a sense of how the programs under Outcome X join up with programs delivered by other Commonwealth entities to contribute to common government objectives.</w:t>
      </w:r>
    </w:p>
    <w:tbl>
      <w:tblPr>
        <w:tblW w:w="0" w:type="auto"/>
        <w:jc w:val="center"/>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146"/>
      </w:tblGrid>
      <w:tr w:rsidR="00FA0945" w:rsidRPr="000C5235" w14:paraId="7B10ACA8" w14:textId="77777777" w:rsidTr="003E3C9D">
        <w:trPr>
          <w:jc w:val="center"/>
        </w:trPr>
        <w:tc>
          <w:tcPr>
            <w:tcW w:w="8146" w:type="dxa"/>
            <w:shd w:val="clear" w:color="auto" w:fill="DDF3FA"/>
          </w:tcPr>
          <w:p w14:paraId="564A4A49" w14:textId="77777777" w:rsidR="00FA0945" w:rsidRPr="000C5235" w:rsidRDefault="00FA0945" w:rsidP="000A7DEC">
            <w:pPr>
              <w:pStyle w:val="TableText-Normal"/>
              <w:rPr>
                <w:rStyle w:val="BodyTextChar"/>
              </w:rPr>
            </w:pPr>
            <w:r w:rsidRPr="000C5235">
              <w:rPr>
                <w:rStyle w:val="BodyTextChar"/>
              </w:rPr>
              <w:t>Identifying linked programs</w:t>
            </w:r>
          </w:p>
        </w:tc>
      </w:tr>
      <w:tr w:rsidR="00FA0945" w:rsidRPr="000C5235" w14:paraId="62E974D2" w14:textId="77777777" w:rsidTr="003E3C9D">
        <w:trPr>
          <w:jc w:val="center"/>
        </w:trPr>
        <w:tc>
          <w:tcPr>
            <w:tcW w:w="8146" w:type="dxa"/>
          </w:tcPr>
          <w:p w14:paraId="49BC9693" w14:textId="77777777" w:rsidR="00FA0945" w:rsidRPr="000C5235" w:rsidRDefault="00FA0945" w:rsidP="000A7DEC">
            <w:pPr>
              <w:pStyle w:val="TableText-Normal"/>
              <w:rPr>
                <w:rStyle w:val="BodyTextChar"/>
              </w:rPr>
            </w:pPr>
            <w:r w:rsidRPr="000C5235">
              <w:rPr>
                <w:rStyle w:val="BodyTextChar"/>
              </w:rPr>
              <w:t>To identify linked programs, entities should consider whether one or more of its programs under an Outcome X has objectives in common with programs delivered by one or more other Commonwealth entities. Entities should work together to describe common objectives and ensure information in PB Statements is presented on a consistent basis.</w:t>
            </w:r>
          </w:p>
        </w:tc>
      </w:tr>
    </w:tbl>
    <w:p w14:paraId="313379F3" w14:textId="77777777" w:rsidR="00561307" w:rsidRPr="000C5235" w:rsidRDefault="00B319C8" w:rsidP="000A7DEC">
      <w:pPr>
        <w:rPr>
          <w:rStyle w:val="BodyTextChar"/>
        </w:rPr>
      </w:pPr>
      <w:r w:rsidRPr="000C5235">
        <w:rPr>
          <w:rStyle w:val="BodyTextChar"/>
        </w:rPr>
        <w:br/>
      </w:r>
      <w:r w:rsidR="00FA0945" w:rsidRPr="000C5235">
        <w:rPr>
          <w:rStyle w:val="BodyTextChar"/>
        </w:rPr>
        <w:t>The template for reporting linked programs is included under the “Linked Programs” heading in the Word template and, for convenience, is reproduced below. The red text provides a description of what information is to be provided in each row.</w:t>
      </w:r>
    </w:p>
    <w:p w14:paraId="1EDA3B11" w14:textId="77777777" w:rsidR="006F2C96" w:rsidRPr="000C5235" w:rsidRDefault="006518CB" w:rsidP="000A7DEC">
      <w:r w:rsidRPr="000C5235">
        <w:rPr>
          <w:u w:val="single"/>
        </w:rPr>
        <w:t>Example</w:t>
      </w:r>
      <w:r w:rsidRPr="000C5235">
        <w:t xml:space="preserve"> - Linked programs</w:t>
      </w:r>
    </w:p>
    <w:tbl>
      <w:tblPr>
        <w:tblpPr w:leftFromText="180" w:rightFromText="180" w:vertAnchor="text" w:horzAnchor="margin" w:tblpXSpec="center" w:tblpY="68"/>
        <w:tblOverlap w:val="never"/>
        <w:tblW w:w="0" w:type="auto"/>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933"/>
      </w:tblGrid>
      <w:tr w:rsidR="006518CB" w:rsidRPr="000C5235" w14:paraId="11DF4C97" w14:textId="77777777" w:rsidTr="003E3C9D">
        <w:tc>
          <w:tcPr>
            <w:tcW w:w="7933" w:type="dxa"/>
          </w:tcPr>
          <w:p w14:paraId="3518C235" w14:textId="77777777" w:rsidR="006518CB" w:rsidRPr="000C5235" w:rsidRDefault="006518CB" w:rsidP="000A7DEC">
            <w:pPr>
              <w:pStyle w:val="TableText-Normal"/>
              <w:rPr>
                <w:rStyle w:val="BodyTextChar"/>
                <w:b/>
              </w:rPr>
            </w:pPr>
            <w:r w:rsidRPr="000C5235">
              <w:rPr>
                <w:rStyle w:val="BodyTextChar"/>
                <w:b/>
              </w:rPr>
              <w:t xml:space="preserve">Entity A </w:t>
            </w:r>
            <w:r w:rsidRPr="000C5235">
              <w:rPr>
                <w:rStyle w:val="BodyTextChar"/>
                <w:i/>
                <w:color w:val="FF0000"/>
              </w:rPr>
              <w:t>(insert the name of the entity with programs linked to Outcome X)</w:t>
            </w:r>
          </w:p>
        </w:tc>
      </w:tr>
      <w:tr w:rsidR="006518CB" w:rsidRPr="000C5235" w14:paraId="123C8032" w14:textId="77777777" w:rsidTr="003E3C9D">
        <w:tc>
          <w:tcPr>
            <w:tcW w:w="7933" w:type="dxa"/>
          </w:tcPr>
          <w:p w14:paraId="3E89EE75" w14:textId="77777777" w:rsidR="006518CB" w:rsidRPr="000C5235" w:rsidRDefault="006518CB" w:rsidP="000A7DEC">
            <w:pPr>
              <w:pStyle w:val="TableText-Normal"/>
              <w:rPr>
                <w:rStyle w:val="BodyTextChar"/>
                <w:b/>
              </w:rPr>
            </w:pPr>
            <w:r w:rsidRPr="000C5235">
              <w:rPr>
                <w:rStyle w:val="BodyTextChar"/>
                <w:b/>
              </w:rPr>
              <w:t>Programs</w:t>
            </w:r>
          </w:p>
          <w:p w14:paraId="4C8DE1C9" w14:textId="77777777" w:rsidR="006518CB" w:rsidRPr="000C5235" w:rsidRDefault="006518CB" w:rsidP="000A7DEC">
            <w:pPr>
              <w:pStyle w:val="TableText-Normal"/>
              <w:rPr>
                <w:rStyle w:val="BodyTextChar"/>
              </w:rPr>
            </w:pPr>
            <w:r w:rsidRPr="000C5235">
              <w:rPr>
                <w:rStyle w:val="BodyTextChar"/>
              </w:rPr>
              <w:t>•</w:t>
            </w:r>
            <w:r w:rsidRPr="000C5235">
              <w:rPr>
                <w:rStyle w:val="BodyTextChar"/>
              </w:rPr>
              <w:tab/>
              <w:t xml:space="preserve">Program X.X – </w:t>
            </w:r>
            <w:r w:rsidRPr="000C5235">
              <w:rPr>
                <w:rStyle w:val="BodyTextChar"/>
                <w:i/>
                <w:color w:val="FF0000"/>
              </w:rPr>
              <w:t>insert program name</w:t>
            </w:r>
          </w:p>
          <w:p w14:paraId="7A1BA958" w14:textId="77777777" w:rsidR="006518CB" w:rsidRPr="000C5235" w:rsidRDefault="006518CB" w:rsidP="000A7DEC">
            <w:pPr>
              <w:pStyle w:val="TableText-Normal"/>
              <w:rPr>
                <w:rStyle w:val="BodyTextChar"/>
              </w:rPr>
            </w:pPr>
            <w:r w:rsidRPr="000C5235">
              <w:rPr>
                <w:rStyle w:val="BodyTextChar"/>
              </w:rPr>
              <w:t>•</w:t>
            </w:r>
            <w:r w:rsidRPr="000C5235">
              <w:rPr>
                <w:rStyle w:val="BodyTextChar"/>
              </w:rPr>
              <w:tab/>
              <w:t xml:space="preserve">Program X.X – </w:t>
            </w:r>
            <w:r w:rsidRPr="000C5235">
              <w:rPr>
                <w:rStyle w:val="BodyTextChar"/>
                <w:i/>
                <w:color w:val="FF0000"/>
              </w:rPr>
              <w:t>insert program name</w:t>
            </w:r>
          </w:p>
        </w:tc>
      </w:tr>
      <w:tr w:rsidR="006518CB" w:rsidRPr="000C5235" w14:paraId="5BF93693" w14:textId="77777777" w:rsidTr="003E3C9D">
        <w:tc>
          <w:tcPr>
            <w:tcW w:w="7933" w:type="dxa"/>
          </w:tcPr>
          <w:p w14:paraId="360EAEF1" w14:textId="77777777" w:rsidR="006518CB" w:rsidRPr="000C5235" w:rsidRDefault="006518CB" w:rsidP="000A7DEC">
            <w:pPr>
              <w:pStyle w:val="TableText-Normal"/>
              <w:rPr>
                <w:rStyle w:val="BodyTextChar"/>
                <w:b/>
              </w:rPr>
            </w:pPr>
            <w:r w:rsidRPr="000C5235">
              <w:rPr>
                <w:rStyle w:val="BodyTextChar"/>
                <w:b/>
              </w:rPr>
              <w:t>Contribution to Outcome X made by linked programs</w:t>
            </w:r>
          </w:p>
          <w:p w14:paraId="6C5A36E7" w14:textId="77777777" w:rsidR="006518CB" w:rsidRPr="000C5235" w:rsidRDefault="006518CB" w:rsidP="000A7DEC">
            <w:pPr>
              <w:pStyle w:val="TableText-Normal"/>
              <w:rPr>
                <w:rStyle w:val="BodyTextChar"/>
                <w:b/>
              </w:rPr>
            </w:pPr>
            <w:r w:rsidRPr="000C5235">
              <w:rPr>
                <w:rStyle w:val="ExampletextCharChar"/>
                <w:rFonts w:eastAsia="Cambria"/>
                <w:lang w:val="en-AU"/>
              </w:rPr>
              <w:t>Insert one or two sentences on how Outcome X benefits from the linked programs.</w:t>
            </w:r>
          </w:p>
        </w:tc>
      </w:tr>
    </w:tbl>
    <w:p w14:paraId="02AF8C95" w14:textId="77777777" w:rsidR="006518CB" w:rsidRPr="000C5235" w:rsidRDefault="006518CB" w:rsidP="000A7DEC">
      <w:pPr>
        <w:rPr>
          <w:rStyle w:val="BodyTextChar"/>
        </w:rPr>
      </w:pPr>
    </w:p>
    <w:p w14:paraId="23B0E82D" w14:textId="77777777" w:rsidR="006518CB" w:rsidRPr="000C5235" w:rsidRDefault="006518CB" w:rsidP="000A7DEC">
      <w:pPr>
        <w:rPr>
          <w:rStyle w:val="BodyTextChar"/>
        </w:rPr>
      </w:pPr>
    </w:p>
    <w:p w14:paraId="54C7DB18" w14:textId="77777777" w:rsidR="006518CB" w:rsidRPr="000C5235" w:rsidRDefault="006518CB" w:rsidP="000A7DEC">
      <w:pPr>
        <w:rPr>
          <w:rStyle w:val="BodyTextChar"/>
        </w:rPr>
      </w:pPr>
    </w:p>
    <w:p w14:paraId="122D02E9" w14:textId="77777777" w:rsidR="006518CB" w:rsidRPr="000C5235" w:rsidRDefault="006518CB" w:rsidP="000A7DEC">
      <w:pPr>
        <w:rPr>
          <w:rStyle w:val="BodyTextChar"/>
        </w:rPr>
      </w:pPr>
    </w:p>
    <w:p w14:paraId="63D55A4B" w14:textId="77777777" w:rsidR="006518CB" w:rsidRPr="000C5235" w:rsidRDefault="006518CB" w:rsidP="000A7DEC">
      <w:pPr>
        <w:rPr>
          <w:rStyle w:val="BodyTextChar"/>
        </w:rPr>
      </w:pPr>
    </w:p>
    <w:p w14:paraId="0AF5CB30" w14:textId="77777777" w:rsidR="00FA0945" w:rsidRPr="000C5235" w:rsidRDefault="00B319C8" w:rsidP="000A7DEC">
      <w:r w:rsidRPr="000C5235">
        <w:br/>
      </w:r>
      <w:r w:rsidR="00FA0945" w:rsidRPr="000C5235">
        <w:t>The information included under the heading “Contribution to Outcome X made by linked programs” should provide the reader with an understanding of how the linked program makes a contribution to the successful delivery of the entity’s Outcome X. Where linked programs are covered by a cross-entity arrangement (</w:t>
      </w:r>
      <w:r w:rsidR="001754FC" w:rsidRPr="000C5235">
        <w:t>ie</w:t>
      </w:r>
      <w:r w:rsidR="00FA0945" w:rsidRPr="000C5235">
        <w:t xml:space="preserve"> a Memorandum of Understanding) or an intergovernmental agreement (</w:t>
      </w:r>
      <w:r w:rsidR="001754FC" w:rsidRPr="000C5235">
        <w:t>ie</w:t>
      </w:r>
      <w:r w:rsidR="00FA0945" w:rsidRPr="000C5235">
        <w:t xml:space="preserve"> a National Partnership Agreement) the name of this arrangement should be referenced in the contribution made by linked programs.</w:t>
      </w:r>
    </w:p>
    <w:p w14:paraId="12809F0C" w14:textId="77777777" w:rsidR="00FA0945" w:rsidRPr="000C5235" w:rsidRDefault="00FA0945" w:rsidP="000A7DEC">
      <w:r w:rsidRPr="000C5235">
        <w:t>Some entities will have an Outcome X that is linked to programs delivered by other entities simply because they manage transactions on behalf of those other entities (</w:t>
      </w:r>
      <w:r w:rsidR="001754FC" w:rsidRPr="000C5235">
        <w:t>ie</w:t>
      </w:r>
      <w:r w:rsidRPr="000C5235">
        <w:t xml:space="preserve"> payments to individuals under a range of programs or payments to other governments). In such cases, these entities should replace the “Contribution to Outcome X by linked Programs” with the heading “Contribution made by Outcome X” followed by a form of words similar to:</w:t>
      </w:r>
    </w:p>
    <w:p w14:paraId="6B624215" w14:textId="77777777" w:rsidR="00FA0945" w:rsidRPr="000C5235" w:rsidRDefault="00FA0945" w:rsidP="000A7DEC">
      <w:pPr>
        <w:rPr>
          <w:rStyle w:val="BodyTextChar"/>
          <w:i/>
        </w:rPr>
      </w:pPr>
      <w:r w:rsidRPr="000C5235">
        <w:rPr>
          <w:rStyle w:val="BodyTextChar"/>
          <w:i/>
        </w:rPr>
        <w:t>“Outcome X contributes to the linked programs above by making payments on behalf of the entities listed.”</w:t>
      </w:r>
    </w:p>
    <w:p w14:paraId="338E1EB5" w14:textId="77777777" w:rsidR="008D0D17" w:rsidRPr="000C5235" w:rsidRDefault="008D0D17">
      <w:pPr>
        <w:suppressAutoHyphens w:val="0"/>
        <w:spacing w:before="0" w:after="120" w:line="440" w:lineRule="atLeast"/>
        <w:rPr>
          <w:rStyle w:val="BodyTextChar"/>
        </w:rPr>
      </w:pPr>
      <w:r w:rsidRPr="000C5235">
        <w:rPr>
          <w:rStyle w:val="BodyTextChar"/>
        </w:rPr>
        <w:br w:type="page"/>
      </w:r>
    </w:p>
    <w:p w14:paraId="6E3CE1FD" w14:textId="77777777" w:rsidR="001A720C" w:rsidRPr="000C5235" w:rsidRDefault="00FA0945" w:rsidP="00790698">
      <w:pPr>
        <w:rPr>
          <w:rStyle w:val="BodyTextChar"/>
        </w:rPr>
      </w:pPr>
      <w:r w:rsidRPr="000C5235">
        <w:rPr>
          <w:rStyle w:val="BodyTextChar"/>
        </w:rPr>
        <w:t xml:space="preserve">The following provides an example of the linked program box relevant to Finance’s </w:t>
      </w:r>
      <w:r w:rsidR="00A671CE" w:rsidRPr="000C5235">
        <w:rPr>
          <w:rStyle w:val="BodyTextChar"/>
        </w:rPr>
        <w:t>Outcome </w:t>
      </w:r>
      <w:r w:rsidRPr="000C5235">
        <w:rPr>
          <w:rStyle w:val="BodyTextChar"/>
        </w:rPr>
        <w:t>2:</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500"/>
      </w:tblGrid>
      <w:tr w:rsidR="00FA0945" w:rsidRPr="000C5235" w14:paraId="4BB82667" w14:textId="77777777" w:rsidTr="003E3C9D">
        <w:trPr>
          <w:trHeight w:val="5524"/>
          <w:tblHeader/>
          <w:jc w:val="center"/>
        </w:trPr>
        <w:tc>
          <w:tcPr>
            <w:tcW w:w="8500" w:type="dxa"/>
            <w:shd w:val="clear" w:color="auto" w:fill="F2F2F2" w:themeFill="background1" w:themeFillShade="F2"/>
          </w:tcPr>
          <w:tbl>
            <w:tblPr>
              <w:tblW w:w="0" w:type="auto"/>
              <w:tblInd w:w="142" w:type="dxa"/>
              <w:shd w:val="clear" w:color="auto" w:fill="D9D9D9" w:themeFill="background1" w:themeFillShade="D9"/>
              <w:tblCellMar>
                <w:left w:w="0" w:type="dxa"/>
                <w:right w:w="0" w:type="dxa"/>
              </w:tblCellMar>
              <w:tblLook w:val="04A0" w:firstRow="1" w:lastRow="0" w:firstColumn="1" w:lastColumn="0" w:noHBand="0" w:noVBand="1"/>
            </w:tblPr>
            <w:tblGrid>
              <w:gridCol w:w="8206"/>
            </w:tblGrid>
            <w:tr w:rsidR="00FA0945" w:rsidRPr="000C5235" w14:paraId="67E88FDE" w14:textId="77777777" w:rsidTr="003E3C9D">
              <w:tc>
                <w:tcPr>
                  <w:tcW w:w="8206" w:type="dxa"/>
                  <w:tcBorders>
                    <w:top w:val="single" w:sz="2" w:space="0" w:color="A7B4BE"/>
                    <w:left w:val="single" w:sz="2" w:space="0" w:color="A7B4BE"/>
                    <w:bottom w:val="single" w:sz="2" w:space="0" w:color="A7B4BE"/>
                    <w:right w:val="single" w:sz="2" w:space="0" w:color="A7B4BE"/>
                  </w:tcBorders>
                  <w:shd w:val="clear" w:color="auto" w:fill="D9D9D9" w:themeFill="background1" w:themeFillShade="D9"/>
                </w:tcPr>
                <w:p w14:paraId="30B697C1" w14:textId="77777777" w:rsidR="00FA0945" w:rsidRPr="000C5235" w:rsidRDefault="00FA0945" w:rsidP="000A7DEC">
                  <w:pPr>
                    <w:pStyle w:val="TableText-Normal"/>
                  </w:pPr>
                  <w:r w:rsidRPr="000C5235">
                    <w:rPr>
                      <w:u w:val="single"/>
                    </w:rPr>
                    <w:t>Outcome 2:</w:t>
                  </w:r>
                  <w:r w:rsidRPr="000C5235">
                    <w:t xml:space="preserve"> Support an efficient and high performing public sector through providing leadership to Commonwealth entities in ongoing improvements to public sector governance, including through systems, frameworks, policy advice and service delivery.</w:t>
                  </w:r>
                </w:p>
              </w:tc>
            </w:tr>
          </w:tbl>
          <w:p w14:paraId="5FE41FCC" w14:textId="77777777" w:rsidR="00FA0945" w:rsidRPr="000C5235" w:rsidRDefault="00FA0945" w:rsidP="000A7DEC">
            <w:pPr>
              <w:pStyle w:val="TableText-Normal"/>
            </w:pPr>
            <w:r w:rsidRPr="000C5235">
              <w:t>Linked Programs</w:t>
            </w:r>
          </w:p>
          <w:tbl>
            <w:tblPr>
              <w:tblW w:w="0" w:type="auto"/>
              <w:tblInd w:w="142" w:type="dxa"/>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206"/>
            </w:tblGrid>
            <w:tr w:rsidR="00FA0945" w:rsidRPr="000C5235" w14:paraId="449B9223" w14:textId="77777777" w:rsidTr="003E3C9D">
              <w:tc>
                <w:tcPr>
                  <w:tcW w:w="8206" w:type="dxa"/>
                </w:tcPr>
                <w:p w14:paraId="4DA4C161" w14:textId="77777777" w:rsidR="00FA0945" w:rsidRPr="000C5235" w:rsidRDefault="00FA0945" w:rsidP="000A7DEC">
                  <w:pPr>
                    <w:pStyle w:val="TableText-Normal"/>
                  </w:pPr>
                  <w:r w:rsidRPr="000C5235">
                    <w:t xml:space="preserve">Commonwealth Superannuation Corporation </w:t>
                  </w:r>
                </w:p>
              </w:tc>
            </w:tr>
            <w:tr w:rsidR="00FA0945" w:rsidRPr="000C5235" w14:paraId="44B0903A" w14:textId="77777777" w:rsidTr="003E3C9D">
              <w:tc>
                <w:tcPr>
                  <w:tcW w:w="8206" w:type="dxa"/>
                </w:tcPr>
                <w:p w14:paraId="1F4211C6" w14:textId="77777777" w:rsidR="00FA0945" w:rsidRPr="000C5235" w:rsidRDefault="00FA0945" w:rsidP="000A7DEC">
                  <w:pPr>
                    <w:pStyle w:val="TableText-Normal"/>
                  </w:pPr>
                  <w:r w:rsidRPr="000C5235">
                    <w:t>Program 1.1 – Superannuation Scheme Governance</w:t>
                  </w:r>
                  <w:r w:rsidR="00B319C8" w:rsidRPr="000C5235">
                    <w:br/>
                  </w:r>
                </w:p>
              </w:tc>
            </w:tr>
            <w:tr w:rsidR="00FA0945" w:rsidRPr="000C5235" w14:paraId="5DBAAAF4" w14:textId="77777777" w:rsidTr="003E3C9D">
              <w:tc>
                <w:tcPr>
                  <w:tcW w:w="8206" w:type="dxa"/>
                </w:tcPr>
                <w:p w14:paraId="4499DCDC" w14:textId="77777777" w:rsidR="00FA0945" w:rsidRPr="000C5235" w:rsidRDefault="00FA0945" w:rsidP="000A7DEC">
                  <w:pPr>
                    <w:pStyle w:val="TableText-Normal"/>
                  </w:pPr>
                  <w:r w:rsidRPr="000C5235">
                    <w:t>Contribution to Outcome 2 by linked programs</w:t>
                  </w:r>
                </w:p>
              </w:tc>
            </w:tr>
            <w:tr w:rsidR="00FA0945" w:rsidRPr="000C5235" w14:paraId="0FFFAF6D" w14:textId="77777777" w:rsidTr="003E3C9D">
              <w:tc>
                <w:tcPr>
                  <w:tcW w:w="8206" w:type="dxa"/>
                </w:tcPr>
                <w:p w14:paraId="5D3D33F9" w14:textId="77777777" w:rsidR="00FA0945" w:rsidRPr="000C5235" w:rsidRDefault="00FA0945" w:rsidP="00A671CE">
                  <w:pPr>
                    <w:pStyle w:val="TableText-Normal"/>
                  </w:pPr>
                  <w:r w:rsidRPr="000C5235">
                    <w:t>The Commonwealth Superannuation Corporation works with Finance to ensure that the management of public sector superannuation is consistent with legislative obligations.</w:t>
                  </w:r>
                  <w:r w:rsidR="00B319C8" w:rsidRPr="000C5235">
                    <w:br/>
                  </w:r>
                </w:p>
              </w:tc>
            </w:tr>
            <w:tr w:rsidR="00FA0945" w:rsidRPr="000C5235" w14:paraId="2A4F8648" w14:textId="77777777" w:rsidTr="003E3C9D">
              <w:tc>
                <w:tcPr>
                  <w:tcW w:w="8206" w:type="dxa"/>
                </w:tcPr>
                <w:p w14:paraId="5EF9A583" w14:textId="77777777" w:rsidR="00FA0945" w:rsidRPr="000C5235" w:rsidRDefault="00FA0945" w:rsidP="000A7DEC">
                  <w:pPr>
                    <w:pStyle w:val="TableText-Normal"/>
                  </w:pPr>
                  <w:r w:rsidRPr="000C5235">
                    <w:t>Future Fund Management Agency</w:t>
                  </w:r>
                </w:p>
              </w:tc>
            </w:tr>
            <w:tr w:rsidR="00FA0945" w:rsidRPr="000C5235" w14:paraId="2EF25FB4" w14:textId="77777777" w:rsidTr="003E3C9D">
              <w:tc>
                <w:tcPr>
                  <w:tcW w:w="8206" w:type="dxa"/>
                </w:tcPr>
                <w:p w14:paraId="47DF3D04" w14:textId="77777777" w:rsidR="00FA0945" w:rsidRPr="000C5235" w:rsidRDefault="00FA0945" w:rsidP="000A7DEC">
                  <w:pPr>
                    <w:pStyle w:val="TableText-Normal"/>
                  </w:pPr>
                  <w:r w:rsidRPr="000C5235">
                    <w:t>Program 1.1 – Management of the investment of the Future Fund</w:t>
                  </w:r>
                </w:p>
                <w:p w14:paraId="5A349985" w14:textId="77777777" w:rsidR="00FA0945" w:rsidRPr="000C5235" w:rsidRDefault="00FA0945" w:rsidP="000A7DEC">
                  <w:pPr>
                    <w:pStyle w:val="TableText-Normal"/>
                  </w:pPr>
                  <w:r w:rsidRPr="000C5235">
                    <w:t>Program 1.2 – Management of the investment of the Nation Building Fund; Disability</w:t>
                  </w:r>
                  <w:r w:rsidR="00EB2E04" w:rsidRPr="000C5235">
                    <w:t xml:space="preserve"> </w:t>
                  </w:r>
                  <w:r w:rsidRPr="000C5235">
                    <w:t>Care Australia Funds; the Asset Recycling Fund; and the Medical Research Future Fund.</w:t>
                  </w:r>
                  <w:r w:rsidR="00B319C8" w:rsidRPr="000C5235">
                    <w:br/>
                  </w:r>
                </w:p>
              </w:tc>
            </w:tr>
            <w:tr w:rsidR="00FA0945" w:rsidRPr="000C5235" w14:paraId="0F184991" w14:textId="77777777" w:rsidTr="003E3C9D">
              <w:tc>
                <w:tcPr>
                  <w:tcW w:w="8206" w:type="dxa"/>
                </w:tcPr>
                <w:p w14:paraId="234E54CF" w14:textId="77777777" w:rsidR="00FA0945" w:rsidRPr="000C5235" w:rsidRDefault="00FA0945" w:rsidP="000A7DEC">
                  <w:pPr>
                    <w:pStyle w:val="TableText-Normal"/>
                  </w:pPr>
                  <w:r w:rsidRPr="000C5235">
                    <w:t>Contribution to Outcome 2 by linked programs</w:t>
                  </w:r>
                </w:p>
              </w:tc>
            </w:tr>
            <w:tr w:rsidR="00FA0945" w:rsidRPr="000C5235" w14:paraId="520A0EE6" w14:textId="77777777" w:rsidTr="003E3C9D">
              <w:tc>
                <w:tcPr>
                  <w:tcW w:w="8206" w:type="dxa"/>
                </w:tcPr>
                <w:p w14:paraId="31CAF447" w14:textId="77777777" w:rsidR="00FA0945" w:rsidRPr="000C5235" w:rsidRDefault="00FA0945" w:rsidP="00A671CE">
                  <w:pPr>
                    <w:pStyle w:val="TableText-Normal"/>
                  </w:pPr>
                  <w:r w:rsidRPr="000C5235">
                    <w:t>The Future Fund Management Agency works with Finance to ensure that there are provisions for meeting long-term liabilities of public sector superannuation, and to ensure that the management of Australian Government Investment Funds is consistent with legislation and maximises returns to taxpayers.</w:t>
                  </w:r>
                </w:p>
              </w:tc>
            </w:tr>
          </w:tbl>
          <w:p w14:paraId="66EA75DA" w14:textId="77777777" w:rsidR="00FA0945" w:rsidRPr="000C5235" w:rsidRDefault="00FA0945">
            <w:pPr>
              <w:pStyle w:val="BodyText"/>
              <w:rPr>
                <w:rStyle w:val="BodyTextChar"/>
              </w:rPr>
            </w:pPr>
          </w:p>
        </w:tc>
      </w:tr>
    </w:tbl>
    <w:p w14:paraId="72A62112" w14:textId="77777777" w:rsidR="006F2C96" w:rsidRPr="000C5235" w:rsidRDefault="008D0D17" w:rsidP="000A7DEC">
      <w:pPr>
        <w:rPr>
          <w:rStyle w:val="BodyTextChar"/>
        </w:rPr>
      </w:pPr>
      <w:r w:rsidRPr="000C5235">
        <w:rPr>
          <w:rStyle w:val="BodyTextChar"/>
        </w:rPr>
        <w:br/>
      </w:r>
      <w:r w:rsidR="00FA0945" w:rsidRPr="000C5235">
        <w:rPr>
          <w:rStyle w:val="BodyTextChar"/>
        </w:rPr>
        <w:t>In the above example, the linked programs box has been split into two boxes as the links between Finance’s Outcome 2 and programs delivered by other entities fall into two categories – one focussed on managing obligations to members of Commonwealth Superannuation Schemes and the other focussed on managing investments on behalf of the Government by the Future Fund Board of Guardians (which is supported by the Future Fund Management Agency).</w:t>
      </w:r>
    </w:p>
    <w:p w14:paraId="6A4F9FB4" w14:textId="77777777" w:rsidR="006F2C96" w:rsidRPr="000C5235" w:rsidRDefault="006F2C96" w:rsidP="000A7DEC">
      <w:pPr>
        <w:rPr>
          <w:rStyle w:val="BodyTextChar"/>
        </w:rPr>
      </w:pPr>
      <w:r w:rsidRPr="000C5235">
        <w:rPr>
          <w:rStyle w:val="BodyTextChar"/>
        </w:rPr>
        <w:br w:type="page"/>
      </w:r>
    </w:p>
    <w:p w14:paraId="0BAEB973" w14:textId="77777777" w:rsidR="00FA0945" w:rsidRPr="000C5235" w:rsidRDefault="00FA0945" w:rsidP="000A7DEC">
      <w:pPr>
        <w:pStyle w:val="Heading2Numbered"/>
        <w:rPr>
          <w:rFonts w:ascii="Arial" w:eastAsia="Times New Roman" w:hAnsi="Arial"/>
          <w:spacing w:val="-6"/>
          <w:szCs w:val="34"/>
        </w:rPr>
      </w:pPr>
      <w:bookmarkStart w:id="477" w:name="_Toc534458882"/>
      <w:bookmarkStart w:id="478" w:name="_Toc534459671"/>
      <w:bookmarkStart w:id="479" w:name="_Toc534519166"/>
      <w:bookmarkStart w:id="480" w:name="_Toc534520076"/>
      <w:bookmarkStart w:id="481" w:name="_Toc534520346"/>
      <w:bookmarkStart w:id="482" w:name="_Toc534527558"/>
      <w:bookmarkStart w:id="483" w:name="_Toc534528288"/>
      <w:bookmarkStart w:id="484" w:name="_Toc534803509"/>
      <w:bookmarkStart w:id="485" w:name="_Toc534814200"/>
      <w:bookmarkStart w:id="486" w:name="_Toc536108573"/>
      <w:bookmarkStart w:id="487" w:name="_Toc536802121"/>
      <w:bookmarkStart w:id="488" w:name="_Toc411852681"/>
      <w:bookmarkStart w:id="489" w:name="_Toc534382564"/>
      <w:bookmarkStart w:id="490" w:name="_Toc53564758"/>
      <w:bookmarkEnd w:id="477"/>
      <w:bookmarkEnd w:id="478"/>
      <w:bookmarkEnd w:id="479"/>
      <w:bookmarkEnd w:id="480"/>
      <w:bookmarkEnd w:id="481"/>
      <w:bookmarkEnd w:id="482"/>
      <w:bookmarkEnd w:id="483"/>
      <w:bookmarkEnd w:id="484"/>
      <w:bookmarkEnd w:id="485"/>
      <w:bookmarkEnd w:id="486"/>
      <w:bookmarkEnd w:id="487"/>
      <w:r w:rsidRPr="000C5235">
        <w:rPr>
          <w:rFonts w:eastAsia="Times New Roman"/>
        </w:rPr>
        <w:t xml:space="preserve">Budgeted </w:t>
      </w:r>
      <w:r w:rsidR="001A5C7F" w:rsidRPr="000C5235">
        <w:rPr>
          <w:rFonts w:eastAsia="Times New Roman"/>
        </w:rPr>
        <w:t>e</w:t>
      </w:r>
      <w:r w:rsidRPr="000C5235">
        <w:rPr>
          <w:rFonts w:eastAsia="Times New Roman"/>
        </w:rPr>
        <w:t xml:space="preserve">xpenses by </w:t>
      </w:r>
      <w:r w:rsidR="001A5C7F" w:rsidRPr="000C5235">
        <w:rPr>
          <w:rFonts w:eastAsia="Times New Roman"/>
        </w:rPr>
        <w:t>o</w:t>
      </w:r>
      <w:r w:rsidRPr="000C5235">
        <w:rPr>
          <w:rFonts w:eastAsia="Times New Roman"/>
        </w:rPr>
        <w:t xml:space="preserve">utcome </w:t>
      </w:r>
      <w:bookmarkEnd w:id="488"/>
      <w:r w:rsidRPr="000C5235">
        <w:rPr>
          <w:rFonts w:eastAsia="Times New Roman"/>
        </w:rPr>
        <w:t>table</w:t>
      </w:r>
      <w:bookmarkEnd w:id="489"/>
      <w:bookmarkEnd w:id="490"/>
    </w:p>
    <w:p w14:paraId="490D2A52" w14:textId="77777777" w:rsidR="00FA0945" w:rsidRPr="000C5235" w:rsidRDefault="00FA0945">
      <w:pPr>
        <w:pStyle w:val="NormalTextRed"/>
      </w:pPr>
      <w:r w:rsidRPr="000C5235">
        <w:t>The template for this table can be found in the “</w:t>
      </w:r>
      <w:r w:rsidRPr="000C5235">
        <w:rPr>
          <w:i/>
        </w:rPr>
        <w:t>Table 2.X.1</w:t>
      </w:r>
      <w:r w:rsidRPr="000C5235">
        <w:t>” tab</w:t>
      </w:r>
      <w:r w:rsidRPr="000C5235">
        <w:rPr>
          <w:rStyle w:val="BodyTextChar"/>
        </w:rPr>
        <w:t xml:space="preserve"> of the Excel Tables workbook (</w:t>
      </w:r>
      <w:r w:rsidR="00935A98" w:rsidRPr="000C5235">
        <w:rPr>
          <w:rStyle w:val="BodyTextChar"/>
          <w:u w:val="single"/>
        </w:rPr>
        <w:t xml:space="preserve">Attachment </w:t>
      </w:r>
      <w:r w:rsidR="006E5A47" w:rsidRPr="000C5235">
        <w:rPr>
          <w:rStyle w:val="BodyTextChar"/>
          <w:u w:val="single"/>
        </w:rPr>
        <w:t>B</w:t>
      </w:r>
      <w:r w:rsidR="006E5A47" w:rsidRPr="000C5235">
        <w:rPr>
          <w:rStyle w:val="BodyTextChar"/>
        </w:rPr>
        <w:t xml:space="preserve"> </w:t>
      </w:r>
      <w:r w:rsidR="00935A98" w:rsidRPr="000C5235">
        <w:rPr>
          <w:rStyle w:val="BodyTextChar"/>
        </w:rPr>
        <w:t>refers</w:t>
      </w:r>
      <w:r w:rsidRPr="000C5235">
        <w:rPr>
          <w:rStyle w:val="BodyTextChar"/>
        </w:rPr>
        <w:t>). There is a template for non-corporate Commonwealth entities (coloured green) and a template for corporate Commonwealth entities and Commonwealth companies (coloured red).</w:t>
      </w:r>
    </w:p>
    <w:p w14:paraId="191D78D0" w14:textId="77777777" w:rsidR="00FA0945" w:rsidRPr="000C5235" w:rsidRDefault="00FA0945" w:rsidP="000A7DEC">
      <w:r w:rsidRPr="000C5235">
        <w:rPr>
          <w:rStyle w:val="BodyTextChar"/>
        </w:rPr>
        <w:t>The</w:t>
      </w:r>
      <w:r w:rsidRPr="000C5235">
        <w:rPr>
          <w:rStyle w:val="BodyTextChar"/>
          <w:i/>
        </w:rPr>
        <w:t xml:space="preserve"> Budgeted expenses by Outcome table </w:t>
      </w:r>
      <w:r w:rsidRPr="000C5235">
        <w:rPr>
          <w:rStyle w:val="BodyTextChar"/>
        </w:rPr>
        <w:t xml:space="preserve">(Table 2.X.1) provides the reader with further detail of an entity’s </w:t>
      </w:r>
      <w:r w:rsidRPr="000C5235">
        <w:rPr>
          <w:rStyle w:val="BodyTextChar"/>
          <w:u w:val="single"/>
        </w:rPr>
        <w:t>programs</w:t>
      </w:r>
      <w:r w:rsidRPr="000C5235">
        <w:rPr>
          <w:rStyle w:val="BodyTextChar"/>
        </w:rPr>
        <w:t xml:space="preserve"> and </w:t>
      </w:r>
      <w:r w:rsidRPr="000C5235">
        <w:rPr>
          <w:rStyle w:val="BodyTextChar"/>
          <w:u w:val="single"/>
        </w:rPr>
        <w:t>expenses</w:t>
      </w:r>
      <w:r w:rsidRPr="000C5235">
        <w:rPr>
          <w:rStyle w:val="BodyTextChar"/>
        </w:rPr>
        <w:t xml:space="preserve">. In particular, this table shows the proposed </w:t>
      </w:r>
      <w:r w:rsidRPr="000C5235">
        <w:rPr>
          <w:rStyle w:val="BodyTextChar"/>
          <w:u w:val="single"/>
        </w:rPr>
        <w:t>use</w:t>
      </w:r>
      <w:r w:rsidRPr="000C5235">
        <w:rPr>
          <w:rStyle w:val="BodyTextChar"/>
        </w:rPr>
        <w:t xml:space="preserve"> of appropriations, and links this expenditure to the entity’s financial statements (specifically the income statement). It provides a breakdown of total expenses for each outcome by funding source, and a short description of each outcome and program. A separate table should be prepared for each outcome. </w:t>
      </w:r>
    </w:p>
    <w:p w14:paraId="1AB0820E" w14:textId="19A1F202" w:rsidR="00FA0945" w:rsidRPr="000C5235" w:rsidRDefault="00FA0945">
      <w:pPr>
        <w:pStyle w:val="Bullet1"/>
        <w:rPr>
          <w:rStyle w:val="BodyTextChar"/>
          <w:rFonts w:asciiTheme="minorHAnsi" w:hAnsiTheme="minorHAnsi"/>
        </w:rPr>
      </w:pPr>
      <w:r w:rsidRPr="000C5235">
        <w:rPr>
          <w:rStyle w:val="BodyTextChar"/>
        </w:rPr>
        <w:t xml:space="preserve">Where an entity wishes to describe a program in greater detail, for example, where it is made up of </w:t>
      </w:r>
      <w:r w:rsidR="00EB2E04" w:rsidRPr="000C5235">
        <w:rPr>
          <w:rStyle w:val="BodyTextChar"/>
        </w:rPr>
        <w:t>several</w:t>
      </w:r>
      <w:r w:rsidRPr="000C5235">
        <w:rPr>
          <w:rStyle w:val="BodyTextChar"/>
        </w:rPr>
        <w:t xml:space="preserve"> sub-components, this should be done in </w:t>
      </w:r>
      <w:r w:rsidRPr="000C5235">
        <w:rPr>
          <w:rStyle w:val="BodyTextChar"/>
          <w:i/>
        </w:rPr>
        <w:t>Table 2.X.2: Program components</w:t>
      </w:r>
      <w:r w:rsidRPr="000C5235">
        <w:rPr>
          <w:rStyle w:val="BodyTextChar"/>
        </w:rPr>
        <w:t xml:space="preserve"> (described in </w:t>
      </w:r>
      <w:r w:rsidR="006C2F6D" w:rsidRPr="000C5235">
        <w:rPr>
          <w:rStyle w:val="BodyTextChar"/>
        </w:rPr>
        <w:t>s</w:t>
      </w:r>
      <w:r w:rsidRPr="000C5235">
        <w:rPr>
          <w:rStyle w:val="BodyTextChar"/>
        </w:rPr>
        <w:t xml:space="preserve">ection </w:t>
      </w:r>
      <w:r w:rsidR="006C2F6D" w:rsidRPr="000C5235">
        <w:rPr>
          <w:rStyle w:val="BodyTextChar"/>
          <w:i/>
          <w:color w:val="0070C0"/>
          <w:u w:val="single"/>
        </w:rPr>
        <w:fldChar w:fldCharType="begin"/>
      </w:r>
      <w:r w:rsidR="006C2F6D" w:rsidRPr="000C5235">
        <w:rPr>
          <w:rStyle w:val="BodyTextChar"/>
          <w:i/>
          <w:color w:val="0070C0"/>
          <w:u w:val="single"/>
        </w:rPr>
        <w:instrText xml:space="preserve"> REF _Ref33523258 \r \h  \* MERGEFORMAT </w:instrText>
      </w:r>
      <w:r w:rsidR="006C2F6D" w:rsidRPr="000C5235">
        <w:rPr>
          <w:rStyle w:val="BodyTextChar"/>
          <w:i/>
          <w:color w:val="0070C0"/>
          <w:u w:val="single"/>
        </w:rPr>
      </w:r>
      <w:r w:rsidR="006C2F6D" w:rsidRPr="000C5235">
        <w:rPr>
          <w:rStyle w:val="BodyTextChar"/>
          <w:i/>
          <w:color w:val="0070C0"/>
          <w:u w:val="single"/>
        </w:rPr>
        <w:fldChar w:fldCharType="separate"/>
      </w:r>
      <w:r w:rsidR="00507230">
        <w:rPr>
          <w:rStyle w:val="BodyTextChar"/>
          <w:i/>
          <w:color w:val="0070C0"/>
          <w:u w:val="single"/>
        </w:rPr>
        <w:t>10.6</w:t>
      </w:r>
      <w:r w:rsidR="006C2F6D" w:rsidRPr="000C5235">
        <w:rPr>
          <w:rStyle w:val="BodyTextChar"/>
          <w:i/>
          <w:color w:val="0070C0"/>
          <w:u w:val="single"/>
        </w:rPr>
        <w:fldChar w:fldCharType="end"/>
      </w:r>
      <w:r w:rsidR="006C2F6D" w:rsidRPr="000C5235">
        <w:rPr>
          <w:rStyle w:val="BodyTextChar"/>
          <w:i/>
          <w:color w:val="0070C0"/>
          <w:u w:val="single"/>
        </w:rPr>
        <w:t xml:space="preserve"> </w:t>
      </w:r>
      <w:r w:rsidR="006C2F6D" w:rsidRPr="000C5235">
        <w:rPr>
          <w:rStyle w:val="BodyTextChar"/>
          <w:i/>
          <w:color w:val="0070C0"/>
          <w:u w:val="single"/>
        </w:rPr>
        <w:fldChar w:fldCharType="begin"/>
      </w:r>
      <w:r w:rsidR="006C2F6D" w:rsidRPr="000C5235">
        <w:rPr>
          <w:rStyle w:val="BodyTextChar"/>
          <w:i/>
          <w:color w:val="0070C0"/>
          <w:u w:val="single"/>
        </w:rPr>
        <w:instrText xml:space="preserve"> REF _Ref33523261 \h  \* MERGEFORMAT </w:instrText>
      </w:r>
      <w:r w:rsidR="006C2F6D" w:rsidRPr="000C5235">
        <w:rPr>
          <w:rStyle w:val="BodyTextChar"/>
          <w:i/>
          <w:color w:val="0070C0"/>
          <w:u w:val="single"/>
        </w:rPr>
      </w:r>
      <w:r w:rsidR="006C2F6D" w:rsidRPr="000C5235">
        <w:rPr>
          <w:rStyle w:val="BodyTextChar"/>
          <w:i/>
          <w:color w:val="0070C0"/>
          <w:u w:val="single"/>
        </w:rPr>
        <w:fldChar w:fldCharType="separate"/>
      </w:r>
      <w:r w:rsidR="00507230" w:rsidRPr="00507230">
        <w:rPr>
          <w:rFonts w:eastAsia="Times New Roman"/>
          <w:i/>
          <w:color w:val="0070C0"/>
          <w:u w:val="single"/>
        </w:rPr>
        <w:t>Program components</w:t>
      </w:r>
      <w:r w:rsidR="006C2F6D" w:rsidRPr="000C5235">
        <w:rPr>
          <w:rStyle w:val="BodyTextChar"/>
          <w:i/>
          <w:color w:val="0070C0"/>
          <w:u w:val="single"/>
        </w:rPr>
        <w:fldChar w:fldCharType="end"/>
      </w:r>
      <w:r w:rsidR="006C2F6D" w:rsidRPr="000C5235">
        <w:rPr>
          <w:rStyle w:val="BodyTextChar"/>
        </w:rPr>
        <w:t xml:space="preserve"> </w:t>
      </w:r>
      <w:r w:rsidR="006C2F6D" w:rsidRPr="000C5235">
        <w:rPr>
          <w:rStyle w:val="BodyTextChar"/>
        </w:rPr>
        <w:fldChar w:fldCharType="begin"/>
      </w:r>
      <w:r w:rsidR="006C2F6D" w:rsidRPr="000C5235">
        <w:rPr>
          <w:rStyle w:val="BodyTextChar"/>
        </w:rPr>
        <w:instrText xml:space="preserve"> REF _Ref33523265 \p \h </w:instrText>
      </w:r>
      <w:r w:rsidR="008B029A" w:rsidRPr="000C5235">
        <w:rPr>
          <w:rStyle w:val="BodyTextChar"/>
        </w:rPr>
        <w:instrText xml:space="preserve"> \* MERGEFORMAT </w:instrText>
      </w:r>
      <w:r w:rsidR="006C2F6D" w:rsidRPr="000C5235">
        <w:rPr>
          <w:rStyle w:val="BodyTextChar"/>
        </w:rPr>
      </w:r>
      <w:r w:rsidR="006C2F6D" w:rsidRPr="000C5235">
        <w:rPr>
          <w:rStyle w:val="BodyTextChar"/>
        </w:rPr>
        <w:fldChar w:fldCharType="separate"/>
      </w:r>
      <w:r w:rsidR="00507230">
        <w:rPr>
          <w:rStyle w:val="BodyTextChar"/>
        </w:rPr>
        <w:t>below</w:t>
      </w:r>
      <w:r w:rsidR="006C2F6D" w:rsidRPr="000C5235">
        <w:rPr>
          <w:rStyle w:val="BodyTextChar"/>
        </w:rPr>
        <w:fldChar w:fldCharType="end"/>
      </w:r>
      <w:r w:rsidRPr="000C5235">
        <w:rPr>
          <w:rStyle w:val="BodyTextChar"/>
        </w:rPr>
        <w:t xml:space="preserve">). </w:t>
      </w:r>
    </w:p>
    <w:p w14:paraId="007A194C" w14:textId="77777777" w:rsidR="00FA0945" w:rsidRPr="000C5235" w:rsidRDefault="00FA0945" w:rsidP="000A7DEC">
      <w:pPr>
        <w:rPr>
          <w:rStyle w:val="BodyTextChar"/>
          <w:rFonts w:ascii="Arial" w:hAnsi="Arial"/>
        </w:rPr>
      </w:pPr>
      <w:r w:rsidRPr="000C5235">
        <w:rPr>
          <w:rStyle w:val="BodyTextChar"/>
          <w:i/>
        </w:rPr>
        <w:t>Table 2.X.1</w:t>
      </w:r>
      <w:r w:rsidRPr="000C5235">
        <w:rPr>
          <w:rStyle w:val="BodyTextChar"/>
        </w:rPr>
        <w:t xml:space="preserve"> also provides an estimate of ASL by outcome for the budget and prior year. The total ASL figures across all outcomes should reconcile with the ASL figures to be published in BP No. 4 and the entity-level total included at the bottom of </w:t>
      </w:r>
      <w:r w:rsidRPr="000C5235">
        <w:rPr>
          <w:rStyle w:val="BodyTextChar"/>
          <w:i/>
        </w:rPr>
        <w:t>Table 1.1: Entity Resource Statement</w:t>
      </w:r>
      <w:r w:rsidRPr="000C5235">
        <w:rPr>
          <w:rStyle w:val="BodyTextChar"/>
        </w:rPr>
        <w:t>. Please refer to the latest Finance guidance on ASL</w:t>
      </w:r>
      <w:r w:rsidR="00935A98" w:rsidRPr="000C5235">
        <w:rPr>
          <w:rStyle w:val="BodyTextChar"/>
        </w:rPr>
        <w:t>.</w:t>
      </w:r>
      <w:r w:rsidRPr="000C5235">
        <w:rPr>
          <w:rStyle w:val="BodyTextChar"/>
        </w:rPr>
        <w:t xml:space="preserve"> </w:t>
      </w:r>
      <w:r w:rsidR="00935A98" w:rsidRPr="000C5235">
        <w:rPr>
          <w:rStyle w:val="BodyTextChar"/>
        </w:rPr>
        <w:t>F</w:t>
      </w:r>
      <w:r w:rsidRPr="000C5235">
        <w:rPr>
          <w:rStyle w:val="BodyTextChar"/>
        </w:rPr>
        <w:t>or more information on ASL reporting</w:t>
      </w:r>
      <w:r w:rsidR="00935A98" w:rsidRPr="000C5235">
        <w:rPr>
          <w:rStyle w:val="BodyTextChar"/>
        </w:rPr>
        <w:t>,</w:t>
      </w:r>
      <w:r w:rsidRPr="000C5235">
        <w:rPr>
          <w:rStyle w:val="BodyTextChar"/>
        </w:rPr>
        <w:t xml:space="preserve"> contacts are provided </w:t>
      </w:r>
      <w:r w:rsidR="00D45389" w:rsidRPr="000C5235">
        <w:rPr>
          <w:rStyle w:val="BodyTextChar"/>
        </w:rPr>
        <w:t>in Section 1</w:t>
      </w:r>
      <w:r w:rsidR="00C870EF" w:rsidRPr="000C5235">
        <w:rPr>
          <w:rStyle w:val="BodyTextChar"/>
        </w:rPr>
        <w:t>3</w:t>
      </w:r>
      <w:r w:rsidR="00D45389" w:rsidRPr="000C5235">
        <w:rPr>
          <w:rStyle w:val="BodyTextChar"/>
        </w:rPr>
        <w:t xml:space="preserve"> of this guide</w:t>
      </w:r>
      <w:r w:rsidRPr="000C5235">
        <w:rPr>
          <w:rStyle w:val="BodyTextChar"/>
        </w:rPr>
        <w:t xml:space="preserve">. </w:t>
      </w:r>
    </w:p>
    <w:p w14:paraId="672933A7" w14:textId="77777777" w:rsidR="00FA0945" w:rsidRPr="000C5235" w:rsidRDefault="00FA0945" w:rsidP="000A7DEC">
      <w:pPr>
        <w:rPr>
          <w:rStyle w:val="BodyTextChar"/>
        </w:rPr>
      </w:pPr>
      <w:r w:rsidRPr="000C5235">
        <w:rPr>
          <w:rStyle w:val="BodyTextChar"/>
          <w:i/>
        </w:rPr>
        <w:t>Table 2.X.1</w:t>
      </w:r>
      <w:r w:rsidRPr="000C5235">
        <w:rPr>
          <w:rStyle w:val="BodyTextChar"/>
        </w:rPr>
        <w:t xml:space="preserve"> also includes information on movement of administered funds agreed at an outcome and program-level.  This section details the amount of unexpended annual administered funding which the Government has agreed to reallocate from current or a prior financial years to the budget and forward </w:t>
      </w:r>
      <w:r w:rsidR="004D761E" w:rsidRPr="000C5235">
        <w:rPr>
          <w:rStyle w:val="BodyTextChar"/>
        </w:rPr>
        <w:t>years (</w:t>
      </w:r>
      <w:r w:rsidR="0052694E" w:rsidRPr="000C5235">
        <w:rPr>
          <w:rStyle w:val="BodyTextChar"/>
        </w:rPr>
        <w:t>2020-21</w:t>
      </w:r>
      <w:r w:rsidRPr="000C5235">
        <w:rPr>
          <w:rStyle w:val="BodyTextChar"/>
        </w:rPr>
        <w:t xml:space="preserve"> </w:t>
      </w:r>
      <w:r w:rsidR="004D761E" w:rsidRPr="000C5235">
        <w:rPr>
          <w:rStyle w:val="BodyTextChar"/>
        </w:rPr>
        <w:t>to 202</w:t>
      </w:r>
      <w:r w:rsidR="0052694E" w:rsidRPr="000C5235">
        <w:rPr>
          <w:rStyle w:val="BodyTextChar"/>
        </w:rPr>
        <w:t>1</w:t>
      </w:r>
      <w:r w:rsidR="004D761E" w:rsidRPr="000C5235">
        <w:rPr>
          <w:rStyle w:val="BodyTextChar"/>
        </w:rPr>
        <w:t>-2</w:t>
      </w:r>
      <w:r w:rsidR="0052694E" w:rsidRPr="000C5235">
        <w:rPr>
          <w:rStyle w:val="BodyTextChar"/>
        </w:rPr>
        <w:t>4</w:t>
      </w:r>
      <w:r w:rsidRPr="000C5235">
        <w:rPr>
          <w:rStyle w:val="BodyTextChar"/>
        </w:rPr>
        <w:t>).</w:t>
      </w:r>
    </w:p>
    <w:p w14:paraId="32AF6C9B" w14:textId="77777777" w:rsidR="00FA0945" w:rsidRPr="000C5235" w:rsidRDefault="00FA0945" w:rsidP="000A7DEC">
      <w:pPr>
        <w:rPr>
          <w:rStyle w:val="BodyTextChar"/>
        </w:rPr>
      </w:pPr>
      <w:r w:rsidRPr="000C5235">
        <w:rPr>
          <w:rStyle w:val="BodyTextChar"/>
          <w:i/>
        </w:rPr>
        <w:t>Table 2.X.1</w:t>
      </w:r>
      <w:r w:rsidRPr="000C5235">
        <w:rPr>
          <w:rStyle w:val="BodyTextChar"/>
        </w:rPr>
        <w:t xml:space="preserve"> complements the </w:t>
      </w:r>
      <w:r w:rsidRPr="000C5235">
        <w:rPr>
          <w:rStyle w:val="BodyTextChar"/>
          <w:i/>
        </w:rPr>
        <w:t>Table 1.1: Entity resource statement</w:t>
      </w:r>
      <w:r w:rsidRPr="000C5235">
        <w:rPr>
          <w:rStyle w:val="BodyTextChar"/>
        </w:rPr>
        <w:t>, which in contrast, provides a summary of funding sources</w:t>
      </w:r>
      <w:r w:rsidR="00995AA1" w:rsidRPr="000C5235">
        <w:rPr>
          <w:rStyle w:val="BodyTextChar"/>
        </w:rPr>
        <w:t xml:space="preserve"> but not forecast expenditure.</w:t>
      </w:r>
    </w:p>
    <w:p w14:paraId="0EE63A92" w14:textId="77777777" w:rsidR="00FA0945" w:rsidRPr="000C5235" w:rsidRDefault="00995AA1" w:rsidP="00995AA1">
      <w:pPr>
        <w:pStyle w:val="Heading3Numbered"/>
        <w:rPr>
          <w:rStyle w:val="BodyTextChar"/>
          <w:rFonts w:eastAsiaTheme="majorEastAsia" w:cstheme="majorBidi"/>
        </w:rPr>
      </w:pPr>
      <w:bookmarkStart w:id="491" w:name="_Toc53564759"/>
      <w:r w:rsidRPr="000C5235">
        <w:rPr>
          <w:rStyle w:val="BodyTextChar"/>
          <w:rFonts w:eastAsiaTheme="majorEastAsia" w:cstheme="majorBidi"/>
        </w:rPr>
        <w:t xml:space="preserve">Minimum </w:t>
      </w:r>
      <w:r w:rsidR="00B4424B" w:rsidRPr="000C5235">
        <w:rPr>
          <w:rStyle w:val="BodyTextChar"/>
          <w:rFonts w:eastAsiaTheme="majorEastAsia" w:cstheme="majorBidi"/>
        </w:rPr>
        <w:t>r</w:t>
      </w:r>
      <w:r w:rsidRPr="000C5235">
        <w:rPr>
          <w:rStyle w:val="BodyTextChar"/>
          <w:rFonts w:eastAsiaTheme="majorEastAsia" w:cstheme="majorBidi"/>
        </w:rPr>
        <w:t>eporting requirements</w:t>
      </w:r>
      <w:bookmarkEnd w:id="491"/>
    </w:p>
    <w:p w14:paraId="3161B8B9" w14:textId="77777777" w:rsidR="00FA0945" w:rsidRPr="000C5235" w:rsidRDefault="00FA0945">
      <w:pPr>
        <w:pStyle w:val="Bullet1"/>
        <w:rPr>
          <w:rStyle w:val="BodyTextChar"/>
        </w:rPr>
      </w:pPr>
      <w:r w:rsidRPr="000C5235">
        <w:rPr>
          <w:rStyle w:val="BodyTextChar"/>
        </w:rPr>
        <w:t>At a minimum, there should be a Table 2.X.1 for each outcome delivered by an entity (where X is “1” for Outcome 1, “2” for Outcome 2, etc)</w:t>
      </w:r>
    </w:p>
    <w:p w14:paraId="0CF86834" w14:textId="77777777" w:rsidR="00FA0945" w:rsidRPr="000C5235" w:rsidRDefault="00FA0945">
      <w:pPr>
        <w:pStyle w:val="Bullet1"/>
        <w:rPr>
          <w:rStyle w:val="BodyTextChar"/>
        </w:rPr>
      </w:pPr>
      <w:r w:rsidRPr="000C5235">
        <w:rPr>
          <w:rStyle w:val="BodyTextChar"/>
        </w:rPr>
        <w:t>The total budgeted expenses for all outcomes reported in Table 2.X.1 must equal the aggregate of total Departmental and Administered expenses as outlined in the Comprehensive income statement (Table 3.1) and Schedule of budgeted income and expenses administered on behalf of Government (Table 3.7)</w:t>
      </w:r>
    </w:p>
    <w:p w14:paraId="30C241F2" w14:textId="77777777" w:rsidR="00FA0945" w:rsidRPr="000C5235" w:rsidRDefault="00FA0945">
      <w:pPr>
        <w:pStyle w:val="Bullet1"/>
        <w:rPr>
          <w:rStyle w:val="BodyTextChar"/>
        </w:rPr>
      </w:pPr>
      <w:r w:rsidRPr="000C5235">
        <w:rPr>
          <w:rStyle w:val="BodyTextChar"/>
        </w:rPr>
        <w:t>Total expenses shown in Table 2.X.1 should reconcile to program and outcome expenses captured in CBMS</w:t>
      </w:r>
    </w:p>
    <w:p w14:paraId="2768BD74" w14:textId="77777777" w:rsidR="00FA0945" w:rsidRPr="000C5235" w:rsidRDefault="00FA0945">
      <w:pPr>
        <w:pStyle w:val="Bullet1"/>
        <w:rPr>
          <w:rStyle w:val="BodyTextChar"/>
        </w:rPr>
      </w:pPr>
      <w:r w:rsidRPr="000C5235">
        <w:rPr>
          <w:rStyle w:val="BodyTextChar"/>
        </w:rPr>
        <w:t>Where amounts are drawn down from an annual or special appropriation and credited to a special account, please ensure that the expenses are not double counted, for example, by only showing the final expenses against the special account rather than the annual appropriation. Entities may wish to include a footnote describing such transfers at a program-level</w:t>
      </w:r>
    </w:p>
    <w:p w14:paraId="7838CB20" w14:textId="77777777" w:rsidR="00FA0945" w:rsidRPr="000C5235" w:rsidRDefault="007E6DB9">
      <w:pPr>
        <w:pStyle w:val="Bullet1"/>
        <w:rPr>
          <w:rStyle w:val="BodyTextChar"/>
        </w:rPr>
      </w:pPr>
      <w:r w:rsidRPr="000C5235">
        <w:rPr>
          <w:rStyle w:val="BodyTextChar"/>
        </w:rPr>
        <w:t>For portfolio departments, payments made to corporate entities should be disclosed as a separate line item under the relevant outcome and program.</w:t>
      </w:r>
    </w:p>
    <w:p w14:paraId="35D58F79" w14:textId="77777777" w:rsidR="00FA0945" w:rsidRPr="000C5235" w:rsidRDefault="00FA0945">
      <w:pPr>
        <w:pStyle w:val="Bullet1"/>
        <w:rPr>
          <w:rStyle w:val="BodyTextChar"/>
        </w:rPr>
      </w:pPr>
      <w:r w:rsidRPr="000C5235">
        <w:rPr>
          <w:rStyle w:val="BodyTextChar"/>
        </w:rPr>
        <w:t>Entities are to report on the costs of delivering specific, administered programs – these are referred to as program support. As program support will typically include an apportionment of corporate/overhead expenses (in addition to direct costs), a reliable and consistent allocation methodology should be used by entities to produce accurate informatio</w:t>
      </w:r>
      <w:r w:rsidR="006D021E" w:rsidRPr="000C5235">
        <w:rPr>
          <w:rStyle w:val="BodyTextChar"/>
        </w:rPr>
        <w:t>n</w:t>
      </w:r>
    </w:p>
    <w:p w14:paraId="5CEDF0BE" w14:textId="77777777" w:rsidR="00FA0945" w:rsidRPr="000C5235" w:rsidRDefault="00FA0945">
      <w:pPr>
        <w:pStyle w:val="Bullet1"/>
        <w:rPr>
          <w:rStyle w:val="BodyTextChar"/>
        </w:rPr>
      </w:pPr>
      <w:r w:rsidRPr="000C5235">
        <w:rPr>
          <w:rStyle w:val="BodyTextChar"/>
        </w:rPr>
        <w:t>Expenses deemed to be “program support” are likely to be recorded against the “Other Departmental” program in CBMS. Where these expenses are apportioned as “program support”, entities should ensure that estimates presented in the Outcome expense tables overall reconcile to the data in CBMS.</w:t>
      </w:r>
    </w:p>
    <w:p w14:paraId="2F39966C" w14:textId="77777777" w:rsidR="00FA0945" w:rsidRPr="000C5235" w:rsidRDefault="00FA0945">
      <w:pPr>
        <w:pStyle w:val="Bullet2"/>
        <w:rPr>
          <w:rStyle w:val="BodyTextChar"/>
        </w:rPr>
      </w:pPr>
      <w:r w:rsidRPr="000C5235">
        <w:rPr>
          <w:rStyle w:val="BodyTextChar"/>
        </w:rPr>
        <w:t xml:space="preserve">“Other Departmental” must not be used as a program name in the </w:t>
      </w:r>
      <w:r w:rsidRPr="000C5235">
        <w:t>PB Statements</w:t>
      </w:r>
      <w:r w:rsidRPr="000C5235">
        <w:rPr>
          <w:rStyle w:val="BodyTextChar"/>
        </w:rPr>
        <w:t>. For CBMS programs named as “Other Departmental”, these should be reported in the PB Statements as either:</w:t>
      </w:r>
    </w:p>
    <w:p w14:paraId="4F4C6834" w14:textId="77777777" w:rsidR="00FA0945" w:rsidRPr="000C5235" w:rsidRDefault="00FA0945">
      <w:pPr>
        <w:pStyle w:val="Bullet3"/>
        <w:rPr>
          <w:rStyle w:val="BodyTextChar"/>
        </w:rPr>
      </w:pPr>
      <w:r w:rsidRPr="000C5235">
        <w:rPr>
          <w:rStyle w:val="BodyTextChar"/>
        </w:rPr>
        <w:t xml:space="preserve">“program support” or </w:t>
      </w:r>
    </w:p>
    <w:p w14:paraId="41466ADB" w14:textId="77777777" w:rsidR="00FA0945" w:rsidRPr="000C5235" w:rsidRDefault="00FA0945">
      <w:pPr>
        <w:pStyle w:val="Bullet3"/>
        <w:rPr>
          <w:rStyle w:val="BodyTextChar"/>
        </w:rPr>
      </w:pPr>
      <w:r w:rsidRPr="000C5235">
        <w:rPr>
          <w:rStyle w:val="BodyTextChar"/>
        </w:rPr>
        <w:t>where the entity only has one program and that funding covers the whole functions of the entity, against the entity’s name (</w:t>
      </w:r>
      <w:r w:rsidR="001754FC" w:rsidRPr="000C5235">
        <w:rPr>
          <w:rStyle w:val="BodyTextChar"/>
        </w:rPr>
        <w:t>ie</w:t>
      </w:r>
      <w:r w:rsidRPr="000C5235">
        <w:rPr>
          <w:rStyle w:val="BodyTextChar"/>
        </w:rPr>
        <w:t xml:space="preserve"> the Productivity Commission reports under a single program titled “Productivity Commission”).</w:t>
      </w:r>
    </w:p>
    <w:p w14:paraId="457E36D7" w14:textId="77777777" w:rsidR="00FA0945" w:rsidRPr="000C5235" w:rsidRDefault="00FA0945">
      <w:pPr>
        <w:pStyle w:val="Bullet1"/>
        <w:rPr>
          <w:rStyle w:val="BodyTextChar"/>
        </w:rPr>
      </w:pPr>
      <w:r w:rsidRPr="000C5235">
        <w:rPr>
          <w:rStyle w:val="BodyTextChar"/>
        </w:rPr>
        <w:t>Where relevant, entities may wish to include a footnote to relevant tables which explains that the allocation of departmental expenses to programs is notional only and based on attribution models maintained by entities.</w:t>
      </w:r>
    </w:p>
    <w:p w14:paraId="160AA36F" w14:textId="77777777" w:rsidR="00E02C97" w:rsidRPr="000C5235" w:rsidRDefault="00FA0945" w:rsidP="000A7DEC">
      <w:pPr>
        <w:rPr>
          <w:rStyle w:val="BodyTextChar"/>
        </w:rPr>
      </w:pPr>
      <w:r w:rsidRPr="000C5235">
        <w:rPr>
          <w:rStyle w:val="BodyTextChar"/>
        </w:rPr>
        <w:t xml:space="preserve">A summary of the relationship between </w:t>
      </w:r>
      <w:r w:rsidRPr="000C5235">
        <w:rPr>
          <w:rStyle w:val="BodyTextChar"/>
          <w:i/>
        </w:rPr>
        <w:t>Table 2.X.1</w:t>
      </w:r>
      <w:r w:rsidRPr="000C5235">
        <w:rPr>
          <w:rStyle w:val="BodyTextChar"/>
        </w:rPr>
        <w:t xml:space="preserve"> and the income statements is provided below:</w:t>
      </w:r>
    </w:p>
    <w:p w14:paraId="312C9E2F" w14:textId="77777777" w:rsidR="00FA0945" w:rsidRPr="000C5235" w:rsidRDefault="00FA0945">
      <w:pPr>
        <w:pStyle w:val="BodyText"/>
        <w:rPr>
          <w:rStyle w:val="BodyTextChar"/>
        </w:rPr>
      </w:pPr>
      <w:r w:rsidRPr="000C5235">
        <w:rPr>
          <w:rStyle w:val="BodyTextChar"/>
          <w:noProof/>
          <w:lang w:eastAsia="en-AU"/>
        </w:rPr>
        <mc:AlternateContent>
          <mc:Choice Requires="wpc">
            <w:drawing>
              <wp:inline distT="0" distB="0" distL="0" distR="0" wp14:anchorId="3C4F65CB" wp14:editId="4D00E068">
                <wp:extent cx="6248400" cy="2644775"/>
                <wp:effectExtent l="0" t="0" r="19050" b="22225"/>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4" name="Text Box 20"/>
                        <wps:cNvSpPr txBox="1">
                          <a:spLocks noChangeArrowheads="1"/>
                        </wps:cNvSpPr>
                        <wps:spPr bwMode="auto">
                          <a:xfrm>
                            <a:off x="3514880" y="197108"/>
                            <a:ext cx="2640329" cy="2193395"/>
                          </a:xfrm>
                          <a:prstGeom prst="rect">
                            <a:avLst/>
                          </a:prstGeom>
                          <a:solidFill>
                            <a:schemeClr val="bg1"/>
                          </a:solidFill>
                          <a:ln w="9525">
                            <a:solidFill>
                              <a:srgbClr val="000000"/>
                            </a:solidFill>
                            <a:miter lim="800000"/>
                            <a:headEnd/>
                            <a:tailEnd/>
                          </a:ln>
                        </wps:spPr>
                        <wps:txbx>
                          <w:txbxContent>
                            <w:p w14:paraId="0EF73160" w14:textId="77777777" w:rsidR="00E70395" w:rsidRPr="003E3C9D" w:rsidRDefault="00E70395" w:rsidP="000A7DEC">
                              <w:bookmarkStart w:id="492" w:name="_Hlk410817650"/>
                              <w:r w:rsidRPr="003E3C9D">
                                <w:t>Table 3.1: Comprehensive income statement (Departmental)</w:t>
                              </w:r>
                            </w:p>
                            <w:p w14:paraId="3C2DF961" w14:textId="77777777" w:rsidR="00E70395" w:rsidRPr="00CB2E1E" w:rsidRDefault="00E70395">
                              <w:pPr>
                                <w:pStyle w:val="NormalTextRed"/>
                              </w:pPr>
                              <w:r w:rsidRPr="00A2522A">
                                <w:t>Total expenses</w:t>
                              </w:r>
                            </w:p>
                            <w:p w14:paraId="4AC4DF58" w14:textId="77777777" w:rsidR="00E70395" w:rsidRPr="003E3C9D" w:rsidRDefault="00E70395" w:rsidP="000A7DEC">
                              <w:pPr>
                                <w:rPr>
                                  <w:b/>
                                </w:rPr>
                              </w:pPr>
                              <w:r>
                                <w:t xml:space="preserve">                    </w:t>
                              </w:r>
                              <w:r w:rsidRPr="003E3C9D">
                                <w:rPr>
                                  <w:b/>
                                </w:rPr>
                                <w:t>+</w:t>
                              </w:r>
                            </w:p>
                            <w:p w14:paraId="7DB91C64" w14:textId="77777777" w:rsidR="00E70395" w:rsidRPr="003E3C9D" w:rsidRDefault="00E70395" w:rsidP="000A7DEC">
                              <w:r w:rsidRPr="003E3C9D">
                                <w:t>Table 3.7: Schedule of budgeted income and expenses administered on behalf of Government</w:t>
                              </w:r>
                            </w:p>
                            <w:p w14:paraId="418317F9" w14:textId="77777777" w:rsidR="00E70395" w:rsidRPr="00466C28" w:rsidRDefault="00E70395">
                              <w:pPr>
                                <w:pStyle w:val="NormalTextRed"/>
                              </w:pPr>
                              <w:r w:rsidRPr="00A2522A">
                                <w:t>Total expenses</w:t>
                              </w:r>
                              <w:bookmarkEnd w:id="492"/>
                            </w:p>
                          </w:txbxContent>
                        </wps:txbx>
                        <wps:bodyPr rot="0" vert="horz" wrap="square" lIns="91440" tIns="45720" rIns="91440" bIns="45720" anchor="t" anchorCtr="0" upright="1">
                          <a:noAutofit/>
                        </wps:bodyPr>
                      </wps:wsp>
                      <wps:wsp>
                        <wps:cNvPr id="35" name="Text Box 21"/>
                        <wps:cNvSpPr txBox="1">
                          <a:spLocks noChangeArrowheads="1"/>
                        </wps:cNvSpPr>
                        <wps:spPr bwMode="auto">
                          <a:xfrm>
                            <a:off x="86232" y="466677"/>
                            <a:ext cx="2932650" cy="1590724"/>
                          </a:xfrm>
                          <a:prstGeom prst="rect">
                            <a:avLst/>
                          </a:prstGeom>
                          <a:solidFill>
                            <a:schemeClr val="bg1"/>
                          </a:solidFill>
                          <a:ln w="9525">
                            <a:solidFill>
                              <a:srgbClr val="000000"/>
                            </a:solidFill>
                            <a:miter lim="800000"/>
                            <a:headEnd/>
                            <a:tailEnd/>
                          </a:ln>
                        </wps:spPr>
                        <wps:txbx>
                          <w:txbxContent>
                            <w:p w14:paraId="4D701D8F" w14:textId="77777777" w:rsidR="00E70395" w:rsidRPr="003E3C9D" w:rsidRDefault="00E70395" w:rsidP="000A7DEC">
                              <w:r w:rsidRPr="003E3C9D">
                                <w:t>Table 2.X.1: Budgeted expenses for Outcome X</w:t>
                              </w:r>
                            </w:p>
                            <w:p w14:paraId="612ADD3A" w14:textId="77777777" w:rsidR="00E70395" w:rsidRPr="00CB2E1E" w:rsidRDefault="00E70395">
                              <w:pPr>
                                <w:pStyle w:val="NormalTextRed"/>
                              </w:pPr>
                              <w:r w:rsidRPr="00A2522A">
                                <w:t>Total Departmental expenses</w:t>
                              </w:r>
                            </w:p>
                            <w:p w14:paraId="4475D196" w14:textId="77777777" w:rsidR="00E70395" w:rsidRPr="003E3C9D" w:rsidRDefault="00E70395">
                              <w:pPr>
                                <w:rPr>
                                  <w:b/>
                                </w:rPr>
                              </w:pPr>
                              <w:r>
                                <w:t xml:space="preserve">                    </w:t>
                              </w:r>
                              <w:r w:rsidRPr="003E3C9D">
                                <w:rPr>
                                  <w:b/>
                                </w:rPr>
                                <w:t>+</w:t>
                              </w:r>
                            </w:p>
                            <w:p w14:paraId="76F64753" w14:textId="77777777" w:rsidR="00E70395" w:rsidRPr="00CB2E1E" w:rsidRDefault="00E70395">
                              <w:pPr>
                                <w:pStyle w:val="NormalTextRed"/>
                              </w:pPr>
                              <w:r w:rsidRPr="00A2522A">
                                <w:t>Total Administered expenses</w:t>
                              </w:r>
                            </w:p>
                          </w:txbxContent>
                        </wps:txbx>
                        <wps:bodyPr rot="0" vert="horz" wrap="square" lIns="91440" tIns="45720" rIns="91440" bIns="45720" anchor="t" anchorCtr="0" upright="1">
                          <a:noAutofit/>
                        </wps:bodyPr>
                      </wps:wsp>
                      <wps:wsp>
                        <wps:cNvPr id="36" name="Text Box 22"/>
                        <wps:cNvSpPr txBox="1">
                          <a:spLocks noChangeArrowheads="1"/>
                        </wps:cNvSpPr>
                        <wps:spPr bwMode="auto">
                          <a:xfrm>
                            <a:off x="3089737" y="1058714"/>
                            <a:ext cx="307968" cy="458066"/>
                          </a:xfrm>
                          <a:prstGeom prst="rect">
                            <a:avLst/>
                          </a:prstGeom>
                          <a:solidFill>
                            <a:schemeClr val="bg1">
                              <a:lumMod val="85000"/>
                            </a:schemeClr>
                          </a:solidFill>
                          <a:ln>
                            <a:noFill/>
                          </a:ln>
                          <a:extLst/>
                        </wps:spPr>
                        <wps:txbx>
                          <w:txbxContent>
                            <w:p w14:paraId="68D5B103" w14:textId="77777777" w:rsidR="00E70395" w:rsidRPr="003E3C9D" w:rsidRDefault="00E70395">
                              <w:r w:rsidRPr="003E3C9D">
                                <w:t>=</w:t>
                              </w:r>
                            </w:p>
                          </w:txbxContent>
                        </wps:txbx>
                        <wps:bodyPr rot="0" vert="horz" wrap="square" lIns="91440" tIns="45720" rIns="91440" bIns="45720" anchor="t" anchorCtr="0" upright="1">
                          <a:noAutofit/>
                        </wps:bodyPr>
                      </wps:wsp>
                    </wpc:wpc>
                  </a:graphicData>
                </a:graphic>
              </wp:inline>
            </w:drawing>
          </mc:Choice>
          <mc:Fallback>
            <w:pict>
              <v:group w14:anchorId="3C4F65CB" id="Canvas 37" o:spid="_x0000_s1036" editas="canvas" style="width:492pt;height:208.25pt;mso-position-horizontal-relative:char;mso-position-vertical-relative:line" coordsize="62484,2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">
                <v:shape id="_x0000_s1037" type="#_x0000_t75" style="position:absolute;width:62484;height:26447;visibility:visible;mso-wrap-style:square" filled="t" fillcolor="#d8d8d8 [2732]" stroked="t" strokecolor="black [3213]">
                  <v:fill o:detectmouseclick="t"/>
                  <v:path o:connecttype="none"/>
                </v:shape>
                <v:shape id="Text Box 20" o:spid="_x0000_s1038" type="#_x0000_t202" style="position:absolute;left:35148;top:1971;width:26404;height:2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" fillcolor="white [3212]">
                  <v:textbox>
                    <w:txbxContent>
                      <w:p w14:paraId="0EF73160" w14:textId="77777777" w:rsidR="00E70395" w:rsidRPr="003E3C9D" w:rsidRDefault="00E70395" w:rsidP="000A7DEC">
                        <w:bookmarkStart w:id="492" w:name="_Hlk410817650"/>
                        <w:r w:rsidRPr="003E3C9D">
                          <w:t>Table 3.1: Comprehensive income statement (Departmental)</w:t>
                        </w:r>
                      </w:p>
                      <w:p w14:paraId="3C2DF961" w14:textId="77777777" w:rsidR="00E70395" w:rsidRPr="00CB2E1E" w:rsidRDefault="00E70395">
                        <w:pPr>
                          <w:pStyle w:val="NormalTextRed"/>
                        </w:pPr>
                        <w:r w:rsidRPr="00A2522A">
                          <w:t>Total expenses</w:t>
                        </w:r>
                      </w:p>
                      <w:p w14:paraId="4AC4DF58" w14:textId="77777777" w:rsidR="00E70395" w:rsidRPr="003E3C9D" w:rsidRDefault="00E70395" w:rsidP="000A7DEC">
                        <w:pPr>
                          <w:rPr>
                            <w:b/>
                          </w:rPr>
                        </w:pPr>
                        <w:r>
                          <w:t xml:space="preserve">                    </w:t>
                        </w:r>
                        <w:r w:rsidRPr="003E3C9D">
                          <w:rPr>
                            <w:b/>
                          </w:rPr>
                          <w:t>+</w:t>
                        </w:r>
                      </w:p>
                      <w:p w14:paraId="7DB91C64" w14:textId="77777777" w:rsidR="00E70395" w:rsidRPr="003E3C9D" w:rsidRDefault="00E70395" w:rsidP="000A7DEC">
                        <w:r w:rsidRPr="003E3C9D">
                          <w:t>Table 3.7: Schedule of budgeted income and expenses administered on behalf of Government</w:t>
                        </w:r>
                      </w:p>
                      <w:p w14:paraId="418317F9" w14:textId="77777777" w:rsidR="00E70395" w:rsidRPr="00466C28" w:rsidRDefault="00E70395">
                        <w:pPr>
                          <w:pStyle w:val="NormalTextRed"/>
                        </w:pPr>
                        <w:r w:rsidRPr="00A2522A">
                          <w:t>Total expenses</w:t>
                        </w:r>
                        <w:bookmarkEnd w:id="492"/>
                      </w:p>
                    </w:txbxContent>
                  </v:textbox>
                </v:shape>
                <v:shape id="Text Box 21" o:spid="_x0000_s1039" type="#_x0000_t202" style="position:absolute;left:862;top:4666;width:29326;height:1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" fillcolor="white [3212]">
                  <v:textbox>
                    <w:txbxContent>
                      <w:p w14:paraId="4D701D8F" w14:textId="77777777" w:rsidR="00E70395" w:rsidRPr="003E3C9D" w:rsidRDefault="00E70395" w:rsidP="000A7DEC">
                        <w:r w:rsidRPr="003E3C9D">
                          <w:t>Table 2.X.1: Budgeted expenses for Outcome X</w:t>
                        </w:r>
                      </w:p>
                      <w:p w14:paraId="612ADD3A" w14:textId="77777777" w:rsidR="00E70395" w:rsidRPr="00CB2E1E" w:rsidRDefault="00E70395">
                        <w:pPr>
                          <w:pStyle w:val="NormalTextRed"/>
                        </w:pPr>
                        <w:r w:rsidRPr="00A2522A">
                          <w:t>Total Departmental expenses</w:t>
                        </w:r>
                      </w:p>
                      <w:p w14:paraId="4475D196" w14:textId="77777777" w:rsidR="00E70395" w:rsidRPr="003E3C9D" w:rsidRDefault="00E70395">
                        <w:pPr>
                          <w:rPr>
                            <w:b/>
                          </w:rPr>
                        </w:pPr>
                        <w:r>
                          <w:t xml:space="preserve">                    </w:t>
                        </w:r>
                        <w:r w:rsidRPr="003E3C9D">
                          <w:rPr>
                            <w:b/>
                          </w:rPr>
                          <w:t>+</w:t>
                        </w:r>
                      </w:p>
                      <w:p w14:paraId="76F64753" w14:textId="77777777" w:rsidR="00E70395" w:rsidRPr="00CB2E1E" w:rsidRDefault="00E70395">
                        <w:pPr>
                          <w:pStyle w:val="NormalTextRed"/>
                        </w:pPr>
                        <w:r w:rsidRPr="00A2522A">
                          <w:t>Total Administered expenses</w:t>
                        </w:r>
                      </w:p>
                    </w:txbxContent>
                  </v:textbox>
                </v:shape>
                <v:shape id="Text Box 22" o:spid="_x0000_s1040" type="#_x0000_t202" style="position:absolute;left:30897;top:10587;width:3080;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" fillcolor="#d8d8d8 [2732]" stroked="f">
                  <v:textbox>
                    <w:txbxContent>
                      <w:p w14:paraId="68D5B103" w14:textId="77777777" w:rsidR="00E70395" w:rsidRPr="003E3C9D" w:rsidRDefault="00E70395">
                        <w:r w:rsidRPr="003E3C9D">
                          <w:t>=</w:t>
                        </w:r>
                      </w:p>
                    </w:txbxContent>
                  </v:textbox>
                </v:shape>
                <w10:anchorlock/>
              </v:group>
            </w:pict>
          </mc:Fallback>
        </mc:AlternateContent>
      </w:r>
    </w:p>
    <w:p w14:paraId="17BD4825" w14:textId="77777777" w:rsidR="000E69EB" w:rsidRPr="000C5235" w:rsidRDefault="000E69EB">
      <w:pPr>
        <w:suppressAutoHyphens w:val="0"/>
        <w:spacing w:before="0" w:after="120" w:line="440" w:lineRule="atLeast"/>
        <w:rPr>
          <w:rStyle w:val="BodyTextChar"/>
          <w:rFonts w:ascii="Arial" w:eastAsia="MS Gothic" w:hAnsi="Arial"/>
          <w:iCs/>
          <w:color w:val="005A77"/>
          <w:spacing w:val="-6"/>
          <w:sz w:val="32"/>
          <w:szCs w:val="24"/>
        </w:rPr>
      </w:pPr>
      <w:bookmarkStart w:id="493" w:name="_Toc26963584"/>
      <w:r w:rsidRPr="000C5235">
        <w:rPr>
          <w:rStyle w:val="BodyTextChar"/>
          <w:rFonts w:eastAsia="MS Gothic"/>
        </w:rPr>
        <w:br w:type="page"/>
      </w:r>
    </w:p>
    <w:p w14:paraId="53856977" w14:textId="77777777" w:rsidR="00DE5C35" w:rsidRPr="000C5235" w:rsidRDefault="00DE5C35" w:rsidP="000A7DEC">
      <w:pPr>
        <w:pStyle w:val="Heading3Numbered"/>
        <w:rPr>
          <w:rStyle w:val="BodyTextChar"/>
          <w:rFonts w:eastAsia="MS Gothic"/>
        </w:rPr>
      </w:pPr>
      <w:bookmarkStart w:id="494" w:name="_Toc53564760"/>
      <w:r w:rsidRPr="000C5235">
        <w:rPr>
          <w:rStyle w:val="BodyTextChar"/>
          <w:rFonts w:eastAsia="MS Gothic"/>
        </w:rPr>
        <w:t xml:space="preserve">Interest and </w:t>
      </w:r>
      <w:r w:rsidR="00B51040" w:rsidRPr="000C5235">
        <w:rPr>
          <w:rStyle w:val="BodyTextChar"/>
          <w:rFonts w:eastAsia="MS Gothic"/>
        </w:rPr>
        <w:t>d</w:t>
      </w:r>
      <w:r w:rsidRPr="000C5235">
        <w:rPr>
          <w:rStyle w:val="BodyTextChar"/>
          <w:rFonts w:eastAsia="MS Gothic"/>
        </w:rPr>
        <w:t xml:space="preserve">epreciation of </w:t>
      </w:r>
      <w:r w:rsidR="009F3C94" w:rsidRPr="000C5235">
        <w:rPr>
          <w:rStyle w:val="BodyTextChar"/>
          <w:rFonts w:eastAsia="MS Gothic"/>
        </w:rPr>
        <w:t xml:space="preserve">Right-of-Use </w:t>
      </w:r>
      <w:r w:rsidR="00B51040" w:rsidRPr="000C5235">
        <w:rPr>
          <w:rStyle w:val="BodyTextChar"/>
          <w:rFonts w:eastAsia="MS Gothic"/>
        </w:rPr>
        <w:t>a</w:t>
      </w:r>
      <w:r w:rsidRPr="000C5235">
        <w:rPr>
          <w:rStyle w:val="BodyTextChar"/>
          <w:rFonts w:eastAsia="MS Gothic"/>
        </w:rPr>
        <w:t xml:space="preserve">ssets reported as part of </w:t>
      </w:r>
      <w:r w:rsidR="00B51040" w:rsidRPr="000C5235">
        <w:rPr>
          <w:rStyle w:val="BodyTextChar"/>
          <w:rFonts w:eastAsia="MS Gothic"/>
        </w:rPr>
        <w:t>d</w:t>
      </w:r>
      <w:r w:rsidRPr="000C5235">
        <w:rPr>
          <w:rStyle w:val="BodyTextChar"/>
          <w:rFonts w:eastAsia="MS Gothic"/>
        </w:rPr>
        <w:t xml:space="preserve">epartmental </w:t>
      </w:r>
      <w:r w:rsidR="00B51040" w:rsidRPr="000C5235">
        <w:rPr>
          <w:rStyle w:val="BodyTextChar"/>
          <w:rFonts w:eastAsia="MS Gothic"/>
        </w:rPr>
        <w:t>a</w:t>
      </w:r>
      <w:r w:rsidRPr="000C5235">
        <w:rPr>
          <w:rStyle w:val="BodyTextChar"/>
          <w:rFonts w:eastAsia="MS Gothic"/>
        </w:rPr>
        <w:t xml:space="preserve">ppropriation </w:t>
      </w:r>
      <w:r w:rsidR="00B51040" w:rsidRPr="000C5235">
        <w:rPr>
          <w:rStyle w:val="BodyTextChar"/>
          <w:rFonts w:eastAsia="MS Gothic"/>
        </w:rPr>
        <w:t>e</w:t>
      </w:r>
      <w:r w:rsidRPr="000C5235">
        <w:rPr>
          <w:rStyle w:val="BodyTextChar"/>
          <w:rFonts w:eastAsia="MS Gothic"/>
        </w:rPr>
        <w:t>xpenses</w:t>
      </w:r>
      <w:bookmarkEnd w:id="493"/>
      <w:bookmarkEnd w:id="494"/>
    </w:p>
    <w:p w14:paraId="402BD2A5" w14:textId="77777777" w:rsidR="00DE5C35" w:rsidRPr="000C5235" w:rsidRDefault="00DE5C35">
      <w:r w:rsidRPr="000C5235">
        <w:t>There are three main leasing components that are required to be calculated and included as part of the table’s derivation</w:t>
      </w:r>
      <w:r w:rsidR="00641438" w:rsidRPr="000C5235">
        <w:t xml:space="preserve">. These </w:t>
      </w:r>
      <w:r w:rsidRPr="000C5235">
        <w:t xml:space="preserve">are the </w:t>
      </w:r>
      <w:r w:rsidRPr="000C5235">
        <w:rPr>
          <w:i/>
        </w:rPr>
        <w:t>Interest on R</w:t>
      </w:r>
      <w:r w:rsidR="00071DD0" w:rsidRPr="000C5235">
        <w:rPr>
          <w:i/>
        </w:rPr>
        <w:t>o</w:t>
      </w:r>
      <w:r w:rsidRPr="000C5235">
        <w:rPr>
          <w:i/>
        </w:rPr>
        <w:t>U,</w:t>
      </w:r>
      <w:r w:rsidRPr="000C5235">
        <w:t xml:space="preserve"> </w:t>
      </w:r>
      <w:r w:rsidRPr="000C5235">
        <w:rPr>
          <w:i/>
        </w:rPr>
        <w:t>Depreciation of R</w:t>
      </w:r>
      <w:r w:rsidR="00071DD0" w:rsidRPr="000C5235">
        <w:rPr>
          <w:i/>
        </w:rPr>
        <w:t>o</w:t>
      </w:r>
      <w:r w:rsidRPr="000C5235">
        <w:rPr>
          <w:i/>
        </w:rPr>
        <w:t>U</w:t>
      </w:r>
      <w:r w:rsidR="00071DD0" w:rsidRPr="000C5235">
        <w:rPr>
          <w:i/>
        </w:rPr>
        <w:t xml:space="preserve"> assets</w:t>
      </w:r>
      <w:r w:rsidRPr="000C5235">
        <w:t xml:space="preserve"> and the </w:t>
      </w:r>
      <w:r w:rsidRPr="000C5235">
        <w:rPr>
          <w:i/>
        </w:rPr>
        <w:t>Credit applied to rental supplier expenses</w:t>
      </w:r>
      <w:r w:rsidRPr="000C5235">
        <w:t>.</w:t>
      </w:r>
    </w:p>
    <w:p w14:paraId="6C3CEAAA" w14:textId="77777777" w:rsidR="00DE5C35" w:rsidRPr="000C5235" w:rsidRDefault="00DE5C35">
      <w:r w:rsidRPr="000C5235">
        <w:t>The following leasing components will be included in the Departmental appropriation expenses line:</w:t>
      </w:r>
    </w:p>
    <w:p w14:paraId="78037D15" w14:textId="77777777" w:rsidR="00DE5C35" w:rsidRPr="000C5235" w:rsidRDefault="00DE5C35">
      <w:r w:rsidRPr="000C5235">
        <w:rPr>
          <w:i/>
          <w:color w:val="0070C0"/>
        </w:rPr>
        <w:t>Interest on R</w:t>
      </w:r>
      <w:r w:rsidR="009F3C94" w:rsidRPr="000C5235">
        <w:rPr>
          <w:i/>
          <w:color w:val="0070C0"/>
        </w:rPr>
        <w:t>oU</w:t>
      </w:r>
      <w:r w:rsidRPr="000C5235">
        <w:rPr>
          <w:i/>
          <w:color w:val="0070C0"/>
        </w:rPr>
        <w:t xml:space="preserve"> </w:t>
      </w:r>
      <w:r w:rsidR="00B51040" w:rsidRPr="000C5235">
        <w:rPr>
          <w:i/>
          <w:color w:val="0070C0"/>
        </w:rPr>
        <w:t>a</w:t>
      </w:r>
      <w:r w:rsidRPr="000C5235">
        <w:rPr>
          <w:i/>
          <w:color w:val="0070C0"/>
        </w:rPr>
        <w:t>ssets -</w:t>
      </w:r>
      <w:r w:rsidRPr="000C5235">
        <w:t xml:space="preserve"> as the account is reported as part of the Comprehensive Income Statement this needs to be reported as part of the ‘Departmental appropriation expenses’.</w:t>
      </w:r>
    </w:p>
    <w:p w14:paraId="38E27C40" w14:textId="77777777" w:rsidR="00243657" w:rsidRPr="000C5235" w:rsidRDefault="00DE5C35">
      <w:r w:rsidRPr="000C5235">
        <w:rPr>
          <w:i/>
          <w:color w:val="0070C0"/>
        </w:rPr>
        <w:t xml:space="preserve">Depreciation/amortisation of </w:t>
      </w:r>
      <w:r w:rsidR="009F3C94" w:rsidRPr="000C5235">
        <w:rPr>
          <w:i/>
          <w:color w:val="0070C0"/>
        </w:rPr>
        <w:t>RoU</w:t>
      </w:r>
      <w:r w:rsidRPr="000C5235">
        <w:rPr>
          <w:i/>
          <w:color w:val="0070C0"/>
        </w:rPr>
        <w:t xml:space="preserve"> </w:t>
      </w:r>
      <w:r w:rsidR="00B51040" w:rsidRPr="000C5235">
        <w:rPr>
          <w:i/>
          <w:color w:val="0070C0"/>
        </w:rPr>
        <w:t>a</w:t>
      </w:r>
      <w:r w:rsidRPr="000C5235">
        <w:rPr>
          <w:i/>
          <w:color w:val="0070C0"/>
        </w:rPr>
        <w:t>sset</w:t>
      </w:r>
      <w:r w:rsidR="00FC0AF4" w:rsidRPr="000C5235">
        <w:rPr>
          <w:i/>
          <w:color w:val="0070C0"/>
        </w:rPr>
        <w:t xml:space="preserve"> </w:t>
      </w:r>
      <w:r w:rsidRPr="000C5235">
        <w:rPr>
          <w:color w:val="0070C0"/>
        </w:rPr>
        <w:t xml:space="preserve">- </w:t>
      </w:r>
      <w:r w:rsidRPr="000C5235">
        <w:t xml:space="preserve">for </w:t>
      </w:r>
      <w:r w:rsidRPr="000C5235">
        <w:rPr>
          <w:b/>
          <w:i/>
        </w:rPr>
        <w:t>Non-Corporate Commonwealth</w:t>
      </w:r>
      <w:r w:rsidRPr="000C5235">
        <w:rPr>
          <w:b/>
        </w:rPr>
        <w:t xml:space="preserve"> entities </w:t>
      </w:r>
      <w:r w:rsidRPr="000C5235">
        <w:t xml:space="preserve">who receive a DCB, will need to split their depreciation expenses between </w:t>
      </w:r>
      <w:r w:rsidR="009F3C94" w:rsidRPr="000C5235">
        <w:t>RoU</w:t>
      </w:r>
      <w:r w:rsidRPr="000C5235">
        <w:t xml:space="preserve"> </w:t>
      </w:r>
      <w:r w:rsidR="00071DD0" w:rsidRPr="000C5235">
        <w:t xml:space="preserve">assets </w:t>
      </w:r>
      <w:r w:rsidRPr="000C5235">
        <w:t>and Non</w:t>
      </w:r>
      <w:r w:rsidR="00071DD0" w:rsidRPr="000C5235">
        <w:noBreakHyphen/>
      </w:r>
      <w:r w:rsidR="009F3C94" w:rsidRPr="000C5235">
        <w:t>RoU</w:t>
      </w:r>
      <w:r w:rsidR="00071DD0" w:rsidRPr="000C5235">
        <w:t xml:space="preserve"> assets</w:t>
      </w:r>
      <w:r w:rsidRPr="000C5235">
        <w:t>. The latter Non-</w:t>
      </w:r>
      <w:r w:rsidR="009F3C94" w:rsidRPr="000C5235">
        <w:t>RoU</w:t>
      </w:r>
      <w:r w:rsidRPr="000C5235">
        <w:t xml:space="preserve"> depreciation will still be reported as </w:t>
      </w:r>
      <w:r w:rsidRPr="000C5235">
        <w:rPr>
          <w:i/>
        </w:rPr>
        <w:t>Expenses not requiring appropriation</w:t>
      </w:r>
      <w:r w:rsidRPr="000C5235">
        <w:t xml:space="preserve"> and the </w:t>
      </w:r>
      <w:r w:rsidR="009F3C94" w:rsidRPr="000C5235">
        <w:t>RoU</w:t>
      </w:r>
      <w:r w:rsidRPr="000C5235">
        <w:t xml:space="preserve"> depreciation included as part of the entity’s </w:t>
      </w:r>
      <w:r w:rsidRPr="000C5235">
        <w:rPr>
          <w:i/>
        </w:rPr>
        <w:t>Departmental appropriation expenses</w:t>
      </w:r>
      <w:r w:rsidRPr="000C5235">
        <w:t>.</w:t>
      </w:r>
    </w:p>
    <w:p w14:paraId="63C57332" w14:textId="77777777" w:rsidR="00DE5C35" w:rsidRPr="000C5235" w:rsidRDefault="00DE5C35">
      <w:r w:rsidRPr="000C5235">
        <w:t xml:space="preserve">For </w:t>
      </w:r>
      <w:r w:rsidRPr="000C5235">
        <w:rPr>
          <w:b/>
          <w:i/>
        </w:rPr>
        <w:t>Corporate Commonwealth Entities</w:t>
      </w:r>
      <w:r w:rsidRPr="000C5235">
        <w:t xml:space="preserve"> who are funded for depreciation</w:t>
      </w:r>
      <w:r w:rsidR="006037D8" w:rsidRPr="000C5235">
        <w:t>,</w:t>
      </w:r>
      <w:r w:rsidRPr="000C5235">
        <w:t xml:space="preserve"> there will be no change in how they will continue to report the Depreciation/Amortisation of </w:t>
      </w:r>
      <w:r w:rsidR="009F3C94" w:rsidRPr="000C5235">
        <w:t>RoU</w:t>
      </w:r>
      <w:r w:rsidR="00071DD0" w:rsidRPr="000C5235">
        <w:t xml:space="preserve"> assets</w:t>
      </w:r>
      <w:r w:rsidRPr="000C5235">
        <w:t xml:space="preserve"> in their program table as they should already report this as part of their </w:t>
      </w:r>
      <w:r w:rsidRPr="000C5235">
        <w:rPr>
          <w:i/>
        </w:rPr>
        <w:t>Departmental appropriation expenses</w:t>
      </w:r>
      <w:r w:rsidRPr="000C5235">
        <w:t>.</w:t>
      </w:r>
    </w:p>
    <w:p w14:paraId="28E13E1A" w14:textId="77777777" w:rsidR="00DE5C35" w:rsidRPr="000C5235" w:rsidRDefault="00DE5C35">
      <w:r w:rsidRPr="000C5235">
        <w:rPr>
          <w:i/>
          <w:color w:val="0070C0"/>
        </w:rPr>
        <w:t xml:space="preserve">Credit applied to rental / supplier expenses - </w:t>
      </w:r>
      <w:r w:rsidR="0077177D" w:rsidRPr="000C5235">
        <w:t>a</w:t>
      </w:r>
      <w:r w:rsidR="00F55069" w:rsidRPr="000C5235">
        <w:t>pplicable</w:t>
      </w:r>
      <w:r w:rsidR="0077177D" w:rsidRPr="000C5235">
        <w:t xml:space="preserve"> only to</w:t>
      </w:r>
      <w:r w:rsidR="0077177D" w:rsidRPr="000C5235">
        <w:rPr>
          <w:i/>
        </w:rPr>
        <w:t xml:space="preserve"> </w:t>
      </w:r>
      <w:r w:rsidR="00F55069" w:rsidRPr="000C5235">
        <w:t xml:space="preserve">entities upon </w:t>
      </w:r>
      <w:r w:rsidRPr="000C5235">
        <w:t xml:space="preserve">transitioning to the new standard AASB 16 </w:t>
      </w:r>
      <w:r w:rsidRPr="000C5235">
        <w:rPr>
          <w:i/>
        </w:rPr>
        <w:t>Leases,</w:t>
      </w:r>
      <w:r w:rsidRPr="000C5235">
        <w:t xml:space="preserve"> entities were required to reduce their rental / supplier expenses in order to debit their </w:t>
      </w:r>
      <w:r w:rsidRPr="000C5235">
        <w:rPr>
          <w:i/>
        </w:rPr>
        <w:t xml:space="preserve">Interest on </w:t>
      </w:r>
      <w:r w:rsidR="009F3C94" w:rsidRPr="000C5235">
        <w:rPr>
          <w:i/>
        </w:rPr>
        <w:t>RoU</w:t>
      </w:r>
      <w:r w:rsidR="00071DD0" w:rsidRPr="000C5235">
        <w:rPr>
          <w:i/>
        </w:rPr>
        <w:t xml:space="preserve"> </w:t>
      </w:r>
      <w:r w:rsidRPr="000C5235">
        <w:t xml:space="preserve">and </w:t>
      </w:r>
      <w:r w:rsidRPr="000C5235">
        <w:rPr>
          <w:i/>
        </w:rPr>
        <w:t xml:space="preserve">Principal repayment </w:t>
      </w:r>
      <w:r w:rsidRPr="000C5235">
        <w:t xml:space="preserve">component of their </w:t>
      </w:r>
      <w:r w:rsidR="00F55069" w:rsidRPr="000C5235">
        <w:t xml:space="preserve">previous </w:t>
      </w:r>
      <w:r w:rsidRPr="000C5235">
        <w:t xml:space="preserve">lease expenses. As appropriations have not changed and </w:t>
      </w:r>
      <w:r w:rsidRPr="000C5235">
        <w:rPr>
          <w:i/>
        </w:rPr>
        <w:t xml:space="preserve">Depreciation on </w:t>
      </w:r>
      <w:r w:rsidR="009F3C94" w:rsidRPr="000C5235">
        <w:rPr>
          <w:i/>
        </w:rPr>
        <w:t>RoU</w:t>
      </w:r>
      <w:r w:rsidRPr="000C5235">
        <w:rPr>
          <w:i/>
        </w:rPr>
        <w:t xml:space="preserve"> assets</w:t>
      </w:r>
      <w:r w:rsidRPr="000C5235">
        <w:t xml:space="preserve"> is a new program expense item, the components of the program expense table will need to be adjusted to reduce the impact that lease</w:t>
      </w:r>
      <w:r w:rsidR="00E424CA" w:rsidRPr="000C5235">
        <w:t>s</w:t>
      </w:r>
      <w:r w:rsidRPr="000C5235">
        <w:t xml:space="preserve"> has on the </w:t>
      </w:r>
      <w:r w:rsidRPr="000C5235">
        <w:rPr>
          <w:i/>
        </w:rPr>
        <w:t>Departmental appropriation expenses</w:t>
      </w:r>
      <w:r w:rsidRPr="000C5235">
        <w:t xml:space="preserve"> line item.</w:t>
      </w:r>
    </w:p>
    <w:p w14:paraId="6418255D" w14:textId="77777777" w:rsidR="00C1760E" w:rsidRPr="000C5235" w:rsidRDefault="00716285" w:rsidP="000A7DEC">
      <w:pPr>
        <w:pStyle w:val="Boxed2Text"/>
      </w:pPr>
      <w:r w:rsidRPr="000C5235">
        <w:t xml:space="preserve">Since the introduction of AASB 16 </w:t>
      </w:r>
      <w:r w:rsidRPr="000C5235">
        <w:rPr>
          <w:i/>
        </w:rPr>
        <w:t>Leases</w:t>
      </w:r>
      <w:r w:rsidR="00E7710D" w:rsidRPr="000C5235">
        <w:t xml:space="preserve">, the appropriation expenses reported by the </w:t>
      </w:r>
      <w:r w:rsidRPr="000C5235">
        <w:rPr>
          <w:i/>
        </w:rPr>
        <w:t xml:space="preserve">Table 2.x.1 Budgeted expenses for outcomes </w:t>
      </w:r>
      <w:r w:rsidR="0077177D" w:rsidRPr="000C5235">
        <w:t>should</w:t>
      </w:r>
      <w:r w:rsidR="00F53B86" w:rsidRPr="000C5235">
        <w:t xml:space="preserve"> </w:t>
      </w:r>
      <w:r w:rsidR="004712A9" w:rsidRPr="000C5235">
        <w:t xml:space="preserve">generally </w:t>
      </w:r>
      <w:r w:rsidR="00E7710D" w:rsidRPr="000C5235">
        <w:t xml:space="preserve">match </w:t>
      </w:r>
      <w:r w:rsidR="0077177D" w:rsidRPr="000C5235">
        <w:t xml:space="preserve">total expenses as reported in </w:t>
      </w:r>
      <w:r w:rsidR="00802A0B" w:rsidRPr="000C5235">
        <w:t xml:space="preserve">the comprehensive income statement </w:t>
      </w:r>
      <w:r w:rsidR="0077177D" w:rsidRPr="000C5235">
        <w:t>(</w:t>
      </w:r>
      <w:r w:rsidR="00D44DBC" w:rsidRPr="000C5235">
        <w:t xml:space="preserve">when </w:t>
      </w:r>
      <w:r w:rsidR="0077177D" w:rsidRPr="000C5235">
        <w:t xml:space="preserve">all outcomes are aggregated). </w:t>
      </w:r>
      <w:r w:rsidR="00C1760E" w:rsidRPr="000C5235">
        <w:br/>
      </w:r>
      <w:r w:rsidR="00C1760E" w:rsidRPr="000C5235">
        <w:br/>
        <w:t>Under the new standard</w:t>
      </w:r>
      <w:r w:rsidR="0077177D" w:rsidRPr="000C5235">
        <w:t>,</w:t>
      </w:r>
      <w:r w:rsidR="00C1760E" w:rsidRPr="000C5235">
        <w:t xml:space="preserve"> the principle repayments are </w:t>
      </w:r>
      <w:r w:rsidR="0077177D" w:rsidRPr="000C5235">
        <w:t xml:space="preserve">reported through </w:t>
      </w:r>
      <w:r w:rsidR="00C1760E" w:rsidRPr="000C5235">
        <w:t xml:space="preserve">the balance sheet </w:t>
      </w:r>
      <w:r w:rsidR="0077177D" w:rsidRPr="000C5235">
        <w:t xml:space="preserve">and cash-flow statement </w:t>
      </w:r>
      <w:r w:rsidR="00F53B86" w:rsidRPr="000C5235">
        <w:t>with</w:t>
      </w:r>
      <w:r w:rsidR="00C1760E" w:rsidRPr="000C5235">
        <w:t xml:space="preserve"> the </w:t>
      </w:r>
      <w:r w:rsidR="00F53B86" w:rsidRPr="000C5235">
        <w:t xml:space="preserve">deficits and </w:t>
      </w:r>
      <w:r w:rsidR="004712A9" w:rsidRPr="000C5235">
        <w:t>surplus</w:t>
      </w:r>
      <w:r w:rsidR="00F53B86" w:rsidRPr="000C5235">
        <w:t>es</w:t>
      </w:r>
      <w:r w:rsidR="004712A9" w:rsidRPr="000C5235">
        <w:t xml:space="preserve"> reported in </w:t>
      </w:r>
      <w:r w:rsidR="00F53B86" w:rsidRPr="000C5235">
        <w:t xml:space="preserve">an </w:t>
      </w:r>
      <w:r w:rsidR="004712A9" w:rsidRPr="000C5235">
        <w:t xml:space="preserve">entity's income statement </w:t>
      </w:r>
      <w:r w:rsidR="00F53B86" w:rsidRPr="000C5235">
        <w:t xml:space="preserve">correlating </w:t>
      </w:r>
      <w:r w:rsidR="00802A0B" w:rsidRPr="000C5235">
        <w:t>with</w:t>
      </w:r>
      <w:r w:rsidR="00F53B86" w:rsidRPr="000C5235">
        <w:t xml:space="preserve"> the </w:t>
      </w:r>
      <w:r w:rsidR="00C1760E" w:rsidRPr="000C5235">
        <w:t xml:space="preserve">non-funded </w:t>
      </w:r>
      <w:r w:rsidR="009F3C94" w:rsidRPr="000C5235">
        <w:t>RoU</w:t>
      </w:r>
      <w:r w:rsidR="00071DD0" w:rsidRPr="000C5235">
        <w:t xml:space="preserve"> assets</w:t>
      </w:r>
      <w:r w:rsidR="00C1760E" w:rsidRPr="000C5235">
        <w:t xml:space="preserve"> depreciation expenses.</w:t>
      </w:r>
      <w:r w:rsidR="00C1760E" w:rsidRPr="000C5235">
        <w:br/>
      </w:r>
      <w:r w:rsidR="00C1760E" w:rsidRPr="000C5235">
        <w:br/>
      </w:r>
      <w:r w:rsidR="00D44DBC" w:rsidRPr="000C5235">
        <w:t xml:space="preserve">This means the most consistent way to report Depreciation on </w:t>
      </w:r>
      <w:r w:rsidR="009F3C94" w:rsidRPr="000C5235">
        <w:t>RoU</w:t>
      </w:r>
      <w:r w:rsidR="00D44DBC" w:rsidRPr="000C5235">
        <w:t xml:space="preserve"> assets </w:t>
      </w:r>
      <w:r w:rsidR="00C1760E" w:rsidRPr="000C5235">
        <w:t xml:space="preserve">across government </w:t>
      </w:r>
      <w:r w:rsidR="00802A0B" w:rsidRPr="000C5235">
        <w:t xml:space="preserve">will be to </w:t>
      </w:r>
      <w:r w:rsidR="00D44DBC" w:rsidRPr="000C5235">
        <w:t xml:space="preserve">factor </w:t>
      </w:r>
      <w:r w:rsidR="0077177D" w:rsidRPr="000C5235">
        <w:t>th</w:t>
      </w:r>
      <w:r w:rsidR="009F3C94" w:rsidRPr="000C5235">
        <w:t>e</w:t>
      </w:r>
      <w:r w:rsidR="0077177D" w:rsidRPr="000C5235">
        <w:t xml:space="preserve"> line-item </w:t>
      </w:r>
      <w:r w:rsidR="00D44DBC" w:rsidRPr="000C5235">
        <w:t xml:space="preserve">as part of </w:t>
      </w:r>
      <w:r w:rsidR="00C1760E" w:rsidRPr="000C5235">
        <w:rPr>
          <w:i/>
        </w:rPr>
        <w:t>appropriation expenses</w:t>
      </w:r>
      <w:r w:rsidR="00C1760E" w:rsidRPr="000C5235">
        <w:t xml:space="preserve"> </w:t>
      </w:r>
      <w:r w:rsidR="00802A0B" w:rsidRPr="000C5235">
        <w:t xml:space="preserve">rather than </w:t>
      </w:r>
      <w:r w:rsidR="00802A0B" w:rsidRPr="000C5235">
        <w:rPr>
          <w:i/>
        </w:rPr>
        <w:t>expenses not requiring an appropriation</w:t>
      </w:r>
      <w:r w:rsidR="00802A0B" w:rsidRPr="000C5235">
        <w:t xml:space="preserve"> </w:t>
      </w:r>
      <w:r w:rsidR="00C52819" w:rsidRPr="000C5235">
        <w:t xml:space="preserve">as </w:t>
      </w:r>
      <w:r w:rsidR="009F3C94" w:rsidRPr="000C5235">
        <w:t xml:space="preserve">reported </w:t>
      </w:r>
      <w:r w:rsidR="00802A0B" w:rsidRPr="000C5235">
        <w:t xml:space="preserve">in </w:t>
      </w:r>
      <w:r w:rsidR="00D44DBC" w:rsidRPr="000C5235">
        <w:rPr>
          <w:i/>
        </w:rPr>
        <w:t>Table 2.x.1 Budgeted expenses for outcomes</w:t>
      </w:r>
      <w:r w:rsidR="00C1760E" w:rsidRPr="000C5235">
        <w:t>, as entities are still appropriated for the rental expenses/payments through appropriation Bill 1 ordinary annual services.</w:t>
      </w:r>
    </w:p>
    <w:p w14:paraId="0D5E4A4A" w14:textId="77777777" w:rsidR="00802A0B" w:rsidRPr="000C5235" w:rsidRDefault="00802A0B" w:rsidP="000A7DEC">
      <w:pPr>
        <w:pStyle w:val="Boxed2Text"/>
      </w:pPr>
      <w:r w:rsidRPr="000C5235">
        <w:t>Entities may notice assuming no other variables that the entity's Comprehensive income statement results for deficits reported in the first half of the lease's life balance with the surpluses reported in the later half.</w:t>
      </w:r>
    </w:p>
    <w:p w14:paraId="7554A2C4" w14:textId="77777777" w:rsidR="00DE5C35" w:rsidRPr="000C5235" w:rsidRDefault="00DE5C35">
      <w:r w:rsidRPr="000C5235">
        <w:t>An illustrative example has been provided below to demonstrate how to calculate depreciation appropriation expenses in the Budgeted expenses by outcome table.</w:t>
      </w:r>
    </w:p>
    <w:p w14:paraId="4AF527A6" w14:textId="77777777" w:rsidR="00261938" w:rsidRPr="000C5235" w:rsidRDefault="00DE5C35" w:rsidP="00C75597">
      <w:pPr>
        <w:pStyle w:val="NormalTextRed"/>
      </w:pPr>
      <w:r w:rsidRPr="000C5235">
        <w:rPr>
          <w:u w:val="single"/>
        </w:rPr>
        <w:t>Note:</w:t>
      </w:r>
      <w:r w:rsidRPr="000C5235">
        <w:t xml:space="preserve"> The text highlighted in </w:t>
      </w:r>
      <w:r w:rsidR="00016E16" w:rsidRPr="000C5235">
        <w:rPr>
          <w:i/>
        </w:rPr>
        <w:t>p</w:t>
      </w:r>
      <w:r w:rsidR="00975593" w:rsidRPr="000C5235">
        <w:rPr>
          <w:i/>
        </w:rPr>
        <w:t xml:space="preserve">ale </w:t>
      </w:r>
      <w:r w:rsidRPr="000C5235">
        <w:rPr>
          <w:i/>
        </w:rPr>
        <w:t>Yellow</w:t>
      </w:r>
      <w:r w:rsidRPr="000C5235">
        <w:t xml:space="preserve"> and in </w:t>
      </w:r>
      <w:r w:rsidR="00016E16" w:rsidRPr="000C5235">
        <w:rPr>
          <w:i/>
        </w:rPr>
        <w:t>p</w:t>
      </w:r>
      <w:r w:rsidRPr="000C5235">
        <w:rPr>
          <w:i/>
        </w:rPr>
        <w:t>ale Blue</w:t>
      </w:r>
      <w:r w:rsidRPr="000C5235">
        <w:t xml:space="preserve"> below are intended to show how the Departmental appropriation expenses line item is derived, they are not intended to be published as distinct separate line-items</w:t>
      </w:r>
      <w:r w:rsidR="004D7EA2" w:rsidRPr="000C5235">
        <w:t xml:space="preserve"> in the program table.</w:t>
      </w:r>
    </w:p>
    <w:tbl>
      <w:tblPr>
        <w:tblW w:w="8916" w:type="dxa"/>
        <w:tblLayout w:type="fixed"/>
        <w:tblLook w:val="04A0" w:firstRow="1" w:lastRow="0" w:firstColumn="1" w:lastColumn="0" w:noHBand="0" w:noVBand="1"/>
      </w:tblPr>
      <w:tblGrid>
        <w:gridCol w:w="3364"/>
        <w:gridCol w:w="1157"/>
        <w:gridCol w:w="993"/>
        <w:gridCol w:w="1134"/>
        <w:gridCol w:w="1134"/>
        <w:gridCol w:w="1134"/>
      </w:tblGrid>
      <w:tr w:rsidR="00261938" w:rsidRPr="000C5235" w14:paraId="012E1F30" w14:textId="77777777" w:rsidTr="000A7DEC">
        <w:trPr>
          <w:trHeight w:val="357"/>
        </w:trPr>
        <w:tc>
          <w:tcPr>
            <w:tcW w:w="8916" w:type="dxa"/>
            <w:gridSpan w:val="6"/>
            <w:tcBorders>
              <w:top w:val="single" w:sz="12" w:space="0" w:color="auto"/>
              <w:left w:val="single" w:sz="12" w:space="0" w:color="auto"/>
              <w:bottom w:val="nil"/>
              <w:right w:val="single" w:sz="12" w:space="0" w:color="auto"/>
            </w:tcBorders>
            <w:shd w:val="clear" w:color="000000" w:fill="FFFFFF"/>
            <w:noWrap/>
            <w:vAlign w:val="center"/>
            <w:hideMark/>
          </w:tcPr>
          <w:p w14:paraId="39FEDB41" w14:textId="77777777" w:rsidR="00261938" w:rsidRPr="000C5235" w:rsidRDefault="00261938" w:rsidP="000A7DEC">
            <w:pPr>
              <w:pStyle w:val="LeasingProgTableText"/>
              <w:spacing w:after="120" w:line="220" w:lineRule="atLeast"/>
              <w:rPr>
                <w:b/>
                <w:sz w:val="28"/>
              </w:rPr>
            </w:pPr>
            <w:r w:rsidRPr="000C5235">
              <w:rPr>
                <w:b/>
                <w:sz w:val="28"/>
              </w:rPr>
              <w:t>Program Table 2.x Budgeted expenses by outcome</w:t>
            </w:r>
          </w:p>
        </w:tc>
      </w:tr>
      <w:tr w:rsidR="001C70F1" w:rsidRPr="000C5235" w14:paraId="6BDC9C1B" w14:textId="77777777" w:rsidTr="000A7DEC">
        <w:trPr>
          <w:trHeight w:val="315"/>
        </w:trPr>
        <w:tc>
          <w:tcPr>
            <w:tcW w:w="3364" w:type="dxa"/>
            <w:tcBorders>
              <w:top w:val="nil"/>
              <w:left w:val="single" w:sz="12" w:space="0" w:color="auto"/>
              <w:bottom w:val="nil"/>
              <w:right w:val="nil"/>
            </w:tcBorders>
            <w:shd w:val="clear" w:color="000000" w:fill="FFFFFF"/>
            <w:noWrap/>
            <w:hideMark/>
          </w:tcPr>
          <w:p w14:paraId="616F2E5B" w14:textId="77777777" w:rsidR="00261938" w:rsidRPr="000C5235" w:rsidRDefault="00261938" w:rsidP="000A7DEC">
            <w:pPr>
              <w:pStyle w:val="LeasingProgTableText"/>
              <w:spacing w:line="220" w:lineRule="atLeast"/>
            </w:pPr>
          </w:p>
        </w:tc>
        <w:tc>
          <w:tcPr>
            <w:tcW w:w="1157" w:type="dxa"/>
            <w:tcBorders>
              <w:top w:val="nil"/>
              <w:left w:val="nil"/>
              <w:bottom w:val="single" w:sz="8" w:space="0" w:color="auto"/>
              <w:right w:val="nil"/>
            </w:tcBorders>
            <w:shd w:val="clear" w:color="000000" w:fill="FFFFFF"/>
            <w:vAlign w:val="center"/>
            <w:hideMark/>
          </w:tcPr>
          <w:p w14:paraId="01524290" w14:textId="77777777" w:rsidR="00261938" w:rsidRPr="000C5235" w:rsidRDefault="00261938" w:rsidP="000A7DEC">
            <w:pPr>
              <w:pStyle w:val="LeasingProgTableText"/>
              <w:spacing w:line="220" w:lineRule="atLeast"/>
            </w:pPr>
          </w:p>
        </w:tc>
        <w:tc>
          <w:tcPr>
            <w:tcW w:w="993" w:type="dxa"/>
            <w:tcBorders>
              <w:top w:val="nil"/>
              <w:left w:val="nil"/>
              <w:bottom w:val="single" w:sz="8" w:space="0" w:color="auto"/>
              <w:right w:val="nil"/>
            </w:tcBorders>
            <w:shd w:val="clear" w:color="000000" w:fill="FFFFFF"/>
            <w:noWrap/>
            <w:vAlign w:val="center"/>
            <w:hideMark/>
          </w:tcPr>
          <w:p w14:paraId="4BD043A9" w14:textId="77777777" w:rsidR="00261938" w:rsidRPr="000C5235" w:rsidRDefault="00261938" w:rsidP="000A7DEC">
            <w:pPr>
              <w:pStyle w:val="LeasingProgTableText"/>
              <w:spacing w:line="220" w:lineRule="atLeast"/>
            </w:pPr>
          </w:p>
        </w:tc>
        <w:tc>
          <w:tcPr>
            <w:tcW w:w="1134" w:type="dxa"/>
            <w:tcBorders>
              <w:top w:val="nil"/>
              <w:left w:val="nil"/>
              <w:bottom w:val="single" w:sz="8" w:space="0" w:color="auto"/>
              <w:right w:val="nil"/>
            </w:tcBorders>
            <w:shd w:val="clear" w:color="000000" w:fill="FFFFFF"/>
            <w:noWrap/>
            <w:vAlign w:val="center"/>
            <w:hideMark/>
          </w:tcPr>
          <w:p w14:paraId="0FC090D3" w14:textId="77777777" w:rsidR="00261938" w:rsidRPr="000C5235" w:rsidRDefault="00261938" w:rsidP="000A7DEC">
            <w:pPr>
              <w:pStyle w:val="LeasingProgTableText"/>
              <w:spacing w:line="220" w:lineRule="atLeast"/>
            </w:pPr>
          </w:p>
        </w:tc>
        <w:tc>
          <w:tcPr>
            <w:tcW w:w="1134" w:type="dxa"/>
            <w:tcBorders>
              <w:top w:val="nil"/>
              <w:left w:val="nil"/>
              <w:bottom w:val="single" w:sz="8" w:space="0" w:color="auto"/>
              <w:right w:val="nil"/>
            </w:tcBorders>
            <w:shd w:val="clear" w:color="000000" w:fill="FFFFFF"/>
            <w:noWrap/>
            <w:vAlign w:val="center"/>
            <w:hideMark/>
          </w:tcPr>
          <w:p w14:paraId="6980B934" w14:textId="77777777" w:rsidR="00261938" w:rsidRPr="000C5235" w:rsidRDefault="00261938" w:rsidP="000A7DEC">
            <w:pPr>
              <w:pStyle w:val="LeasingProgTableText"/>
              <w:spacing w:line="220" w:lineRule="atLeast"/>
            </w:pPr>
          </w:p>
        </w:tc>
        <w:tc>
          <w:tcPr>
            <w:tcW w:w="1134" w:type="dxa"/>
            <w:tcBorders>
              <w:top w:val="nil"/>
              <w:left w:val="nil"/>
              <w:bottom w:val="single" w:sz="8" w:space="0" w:color="auto"/>
              <w:right w:val="single" w:sz="12" w:space="0" w:color="auto"/>
            </w:tcBorders>
            <w:shd w:val="clear" w:color="000000" w:fill="FFFFFF"/>
            <w:noWrap/>
            <w:vAlign w:val="center"/>
            <w:hideMark/>
          </w:tcPr>
          <w:p w14:paraId="0A4DF5D5" w14:textId="77777777" w:rsidR="00261938" w:rsidRPr="000C5235" w:rsidRDefault="00261938" w:rsidP="000A7DEC">
            <w:pPr>
              <w:pStyle w:val="LeasingProgTableText"/>
              <w:spacing w:line="220" w:lineRule="atLeast"/>
            </w:pPr>
          </w:p>
        </w:tc>
      </w:tr>
      <w:tr w:rsidR="001C70F1" w:rsidRPr="000C5235" w14:paraId="1FCE1938" w14:textId="77777777" w:rsidTr="000A7DEC">
        <w:trPr>
          <w:trHeight w:val="312"/>
        </w:trPr>
        <w:tc>
          <w:tcPr>
            <w:tcW w:w="3364" w:type="dxa"/>
            <w:tcBorders>
              <w:top w:val="nil"/>
              <w:left w:val="single" w:sz="12" w:space="0" w:color="auto"/>
              <w:bottom w:val="nil"/>
              <w:right w:val="single" w:sz="8" w:space="0" w:color="auto"/>
            </w:tcBorders>
            <w:shd w:val="clear" w:color="000000" w:fill="FFFFFF"/>
            <w:noWrap/>
            <w:hideMark/>
          </w:tcPr>
          <w:p w14:paraId="095DACB3" w14:textId="77777777" w:rsidR="00261938" w:rsidRPr="000C5235" w:rsidRDefault="00261938"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vAlign w:val="center"/>
            <w:hideMark/>
          </w:tcPr>
          <w:p w14:paraId="69B7104A" w14:textId="77777777" w:rsidR="00261938" w:rsidRPr="000C5235" w:rsidRDefault="00261938" w:rsidP="000A7DEC">
            <w:pPr>
              <w:pStyle w:val="LeasingProgTableText"/>
              <w:spacing w:line="220" w:lineRule="atLeast"/>
              <w:jc w:val="right"/>
              <w:rPr>
                <w:szCs w:val="20"/>
              </w:rPr>
            </w:pPr>
            <w:r w:rsidRPr="000C5235">
              <w:rPr>
                <w:szCs w:val="20"/>
              </w:rPr>
              <w:t>20</w:t>
            </w:r>
            <w:r w:rsidR="00FC0AF4" w:rsidRPr="000C5235">
              <w:rPr>
                <w:szCs w:val="20"/>
              </w:rPr>
              <w:t>19</w:t>
            </w:r>
            <w:r w:rsidRPr="000C5235">
              <w:rPr>
                <w:szCs w:val="20"/>
              </w:rPr>
              <w:t>-</w:t>
            </w:r>
            <w:r w:rsidR="00FC0AF4" w:rsidRPr="000C5235">
              <w:rPr>
                <w:szCs w:val="20"/>
              </w:rPr>
              <w:t>20</w:t>
            </w:r>
          </w:p>
        </w:tc>
        <w:tc>
          <w:tcPr>
            <w:tcW w:w="993" w:type="dxa"/>
            <w:tcBorders>
              <w:top w:val="nil"/>
              <w:left w:val="nil"/>
              <w:bottom w:val="nil"/>
              <w:right w:val="single" w:sz="8" w:space="0" w:color="auto"/>
            </w:tcBorders>
            <w:shd w:val="clear" w:color="000000" w:fill="FFFFFF"/>
            <w:vAlign w:val="center"/>
            <w:hideMark/>
          </w:tcPr>
          <w:p w14:paraId="2EF8C8BE" w14:textId="77777777" w:rsidR="00261938" w:rsidRPr="000C5235" w:rsidRDefault="00261938" w:rsidP="000A7DEC">
            <w:pPr>
              <w:pStyle w:val="LeasingProgTableText"/>
              <w:spacing w:line="220" w:lineRule="atLeast"/>
              <w:jc w:val="right"/>
              <w:rPr>
                <w:szCs w:val="20"/>
              </w:rPr>
            </w:pPr>
            <w:r w:rsidRPr="000C5235">
              <w:rPr>
                <w:szCs w:val="20"/>
              </w:rPr>
              <w:t>20</w:t>
            </w:r>
            <w:r w:rsidR="00FC0AF4" w:rsidRPr="000C5235">
              <w:rPr>
                <w:szCs w:val="20"/>
              </w:rPr>
              <w:t>20</w:t>
            </w:r>
            <w:r w:rsidRPr="000C5235">
              <w:rPr>
                <w:szCs w:val="20"/>
              </w:rPr>
              <w:t>-2</w:t>
            </w:r>
            <w:r w:rsidR="00FC0AF4" w:rsidRPr="000C5235">
              <w:rPr>
                <w:szCs w:val="20"/>
              </w:rPr>
              <w:t>1</w:t>
            </w:r>
          </w:p>
        </w:tc>
        <w:tc>
          <w:tcPr>
            <w:tcW w:w="1134" w:type="dxa"/>
            <w:tcBorders>
              <w:top w:val="nil"/>
              <w:left w:val="nil"/>
              <w:bottom w:val="nil"/>
              <w:right w:val="single" w:sz="8" w:space="0" w:color="auto"/>
            </w:tcBorders>
            <w:shd w:val="clear" w:color="000000" w:fill="FFFFFF"/>
            <w:vAlign w:val="center"/>
            <w:hideMark/>
          </w:tcPr>
          <w:p w14:paraId="1939DD0B" w14:textId="77777777" w:rsidR="00261938" w:rsidRPr="000C5235" w:rsidRDefault="00261938" w:rsidP="000A7DEC">
            <w:pPr>
              <w:pStyle w:val="LeasingProgTableText"/>
              <w:spacing w:line="220" w:lineRule="atLeast"/>
              <w:jc w:val="right"/>
              <w:rPr>
                <w:szCs w:val="20"/>
              </w:rPr>
            </w:pPr>
            <w:r w:rsidRPr="000C5235">
              <w:rPr>
                <w:szCs w:val="20"/>
              </w:rPr>
              <w:t>202</w:t>
            </w:r>
            <w:r w:rsidR="00FC0AF4" w:rsidRPr="000C5235">
              <w:rPr>
                <w:szCs w:val="20"/>
              </w:rPr>
              <w:t>1</w:t>
            </w:r>
            <w:r w:rsidRPr="000C5235">
              <w:rPr>
                <w:szCs w:val="20"/>
              </w:rPr>
              <w:t>-2</w:t>
            </w:r>
            <w:r w:rsidR="00FC0AF4" w:rsidRPr="000C5235">
              <w:rPr>
                <w:szCs w:val="20"/>
              </w:rPr>
              <w:t>2</w:t>
            </w:r>
          </w:p>
        </w:tc>
        <w:tc>
          <w:tcPr>
            <w:tcW w:w="1134" w:type="dxa"/>
            <w:tcBorders>
              <w:top w:val="nil"/>
              <w:left w:val="nil"/>
              <w:bottom w:val="nil"/>
              <w:right w:val="single" w:sz="8" w:space="0" w:color="auto"/>
            </w:tcBorders>
            <w:shd w:val="clear" w:color="000000" w:fill="FFFFFF"/>
            <w:vAlign w:val="center"/>
            <w:hideMark/>
          </w:tcPr>
          <w:p w14:paraId="5BE1B56D" w14:textId="77777777" w:rsidR="00261938" w:rsidRPr="000C5235" w:rsidRDefault="00261938" w:rsidP="000A7DEC">
            <w:pPr>
              <w:pStyle w:val="LeasingProgTableText"/>
              <w:spacing w:line="220" w:lineRule="atLeast"/>
              <w:jc w:val="right"/>
              <w:rPr>
                <w:szCs w:val="20"/>
              </w:rPr>
            </w:pPr>
            <w:r w:rsidRPr="000C5235">
              <w:rPr>
                <w:szCs w:val="20"/>
              </w:rPr>
              <w:t>202</w:t>
            </w:r>
            <w:r w:rsidR="00FC0AF4" w:rsidRPr="000C5235">
              <w:rPr>
                <w:szCs w:val="20"/>
              </w:rPr>
              <w:t>2</w:t>
            </w:r>
            <w:r w:rsidRPr="000C5235">
              <w:rPr>
                <w:szCs w:val="20"/>
              </w:rPr>
              <w:t>-2</w:t>
            </w:r>
            <w:r w:rsidR="00FC0AF4" w:rsidRPr="000C5235">
              <w:rPr>
                <w:szCs w:val="20"/>
              </w:rPr>
              <w:t>3</w:t>
            </w:r>
          </w:p>
        </w:tc>
        <w:tc>
          <w:tcPr>
            <w:tcW w:w="1134" w:type="dxa"/>
            <w:tcBorders>
              <w:top w:val="nil"/>
              <w:left w:val="nil"/>
              <w:bottom w:val="nil"/>
              <w:right w:val="single" w:sz="12" w:space="0" w:color="auto"/>
            </w:tcBorders>
            <w:shd w:val="clear" w:color="000000" w:fill="FFFFFF"/>
            <w:vAlign w:val="center"/>
            <w:hideMark/>
          </w:tcPr>
          <w:p w14:paraId="7CFA0CE8" w14:textId="77777777" w:rsidR="00261938" w:rsidRPr="000C5235" w:rsidRDefault="00261938" w:rsidP="000A7DEC">
            <w:pPr>
              <w:pStyle w:val="LeasingProgTableText"/>
              <w:spacing w:line="220" w:lineRule="atLeast"/>
              <w:jc w:val="right"/>
              <w:rPr>
                <w:szCs w:val="20"/>
              </w:rPr>
            </w:pPr>
            <w:r w:rsidRPr="000C5235">
              <w:rPr>
                <w:szCs w:val="20"/>
              </w:rPr>
              <w:t>202</w:t>
            </w:r>
            <w:r w:rsidR="00FC0AF4" w:rsidRPr="000C5235">
              <w:rPr>
                <w:szCs w:val="20"/>
              </w:rPr>
              <w:t>3</w:t>
            </w:r>
            <w:r w:rsidRPr="000C5235">
              <w:rPr>
                <w:szCs w:val="20"/>
              </w:rPr>
              <w:t>-2</w:t>
            </w:r>
            <w:r w:rsidR="00FC0AF4" w:rsidRPr="000C5235">
              <w:rPr>
                <w:szCs w:val="20"/>
              </w:rPr>
              <w:t>4</w:t>
            </w:r>
          </w:p>
        </w:tc>
      </w:tr>
      <w:tr w:rsidR="001C70F1" w:rsidRPr="000C5235" w14:paraId="311AF638" w14:textId="77777777" w:rsidTr="000A7DEC">
        <w:trPr>
          <w:trHeight w:val="312"/>
        </w:trPr>
        <w:tc>
          <w:tcPr>
            <w:tcW w:w="3364" w:type="dxa"/>
            <w:tcBorders>
              <w:top w:val="nil"/>
              <w:left w:val="single" w:sz="12" w:space="0" w:color="auto"/>
              <w:bottom w:val="nil"/>
              <w:right w:val="single" w:sz="8" w:space="0" w:color="auto"/>
            </w:tcBorders>
            <w:shd w:val="clear" w:color="000000" w:fill="FFFFFF"/>
            <w:noWrap/>
            <w:hideMark/>
          </w:tcPr>
          <w:p w14:paraId="40AA336A" w14:textId="77777777" w:rsidR="00261938" w:rsidRPr="000C5235" w:rsidRDefault="00261938"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vAlign w:val="center"/>
            <w:hideMark/>
          </w:tcPr>
          <w:p w14:paraId="5C833A94" w14:textId="77777777" w:rsidR="00261938" w:rsidRPr="000C5235" w:rsidRDefault="00FC0AF4" w:rsidP="000A7DEC">
            <w:pPr>
              <w:pStyle w:val="LeasingProgTableText"/>
              <w:spacing w:line="220" w:lineRule="atLeast"/>
              <w:jc w:val="right"/>
              <w:rPr>
                <w:szCs w:val="20"/>
              </w:rPr>
            </w:pPr>
            <w:r w:rsidRPr="000C5235">
              <w:rPr>
                <w:szCs w:val="20"/>
              </w:rPr>
              <w:t>Estimated</w:t>
            </w:r>
          </w:p>
        </w:tc>
        <w:tc>
          <w:tcPr>
            <w:tcW w:w="993" w:type="dxa"/>
            <w:tcBorders>
              <w:top w:val="nil"/>
              <w:left w:val="nil"/>
              <w:bottom w:val="nil"/>
              <w:right w:val="single" w:sz="8" w:space="0" w:color="auto"/>
            </w:tcBorders>
            <w:shd w:val="clear" w:color="000000" w:fill="FFFFFF"/>
            <w:vAlign w:val="center"/>
            <w:hideMark/>
          </w:tcPr>
          <w:p w14:paraId="316B2E23" w14:textId="77777777" w:rsidR="00261938" w:rsidRPr="000C5235" w:rsidRDefault="00FC0AF4" w:rsidP="000A7DEC">
            <w:pPr>
              <w:pStyle w:val="LeasingProgTableText"/>
              <w:spacing w:line="220" w:lineRule="atLeast"/>
              <w:jc w:val="right"/>
              <w:rPr>
                <w:szCs w:val="20"/>
              </w:rPr>
            </w:pPr>
            <w:r w:rsidRPr="000C5235">
              <w:rPr>
                <w:szCs w:val="20"/>
              </w:rPr>
              <w:t>Budget</w:t>
            </w:r>
          </w:p>
        </w:tc>
        <w:tc>
          <w:tcPr>
            <w:tcW w:w="1134" w:type="dxa"/>
            <w:tcBorders>
              <w:top w:val="nil"/>
              <w:left w:val="nil"/>
              <w:bottom w:val="nil"/>
              <w:right w:val="single" w:sz="8" w:space="0" w:color="auto"/>
            </w:tcBorders>
            <w:shd w:val="clear" w:color="000000" w:fill="FFFFFF"/>
            <w:vAlign w:val="center"/>
            <w:hideMark/>
          </w:tcPr>
          <w:p w14:paraId="77D5BD8B" w14:textId="77777777" w:rsidR="00261938" w:rsidRPr="000C5235" w:rsidRDefault="00261938" w:rsidP="000A7DEC">
            <w:pPr>
              <w:pStyle w:val="LeasingProgTableText"/>
              <w:spacing w:line="220" w:lineRule="atLeast"/>
              <w:jc w:val="right"/>
              <w:rPr>
                <w:szCs w:val="20"/>
              </w:rPr>
            </w:pPr>
            <w:r w:rsidRPr="000C5235">
              <w:rPr>
                <w:szCs w:val="20"/>
              </w:rPr>
              <w:t>Forward</w:t>
            </w:r>
          </w:p>
        </w:tc>
        <w:tc>
          <w:tcPr>
            <w:tcW w:w="1134" w:type="dxa"/>
            <w:tcBorders>
              <w:top w:val="nil"/>
              <w:left w:val="nil"/>
              <w:bottom w:val="nil"/>
              <w:right w:val="single" w:sz="8" w:space="0" w:color="auto"/>
            </w:tcBorders>
            <w:shd w:val="clear" w:color="000000" w:fill="FFFFFF"/>
            <w:vAlign w:val="center"/>
            <w:hideMark/>
          </w:tcPr>
          <w:p w14:paraId="5DD56C9D" w14:textId="77777777" w:rsidR="00261938" w:rsidRPr="000C5235" w:rsidRDefault="00261938" w:rsidP="000A7DEC">
            <w:pPr>
              <w:pStyle w:val="LeasingProgTableText"/>
              <w:spacing w:line="220" w:lineRule="atLeast"/>
              <w:jc w:val="right"/>
              <w:rPr>
                <w:szCs w:val="20"/>
              </w:rPr>
            </w:pPr>
            <w:r w:rsidRPr="000C5235">
              <w:rPr>
                <w:szCs w:val="20"/>
              </w:rPr>
              <w:t>Forward</w:t>
            </w:r>
          </w:p>
        </w:tc>
        <w:tc>
          <w:tcPr>
            <w:tcW w:w="1134" w:type="dxa"/>
            <w:tcBorders>
              <w:top w:val="nil"/>
              <w:left w:val="nil"/>
              <w:bottom w:val="nil"/>
              <w:right w:val="single" w:sz="12" w:space="0" w:color="auto"/>
            </w:tcBorders>
            <w:shd w:val="clear" w:color="000000" w:fill="FFFFFF"/>
            <w:vAlign w:val="center"/>
            <w:hideMark/>
          </w:tcPr>
          <w:p w14:paraId="5FB4AB42" w14:textId="77777777" w:rsidR="00261938" w:rsidRPr="000C5235" w:rsidRDefault="00261938" w:rsidP="000A7DEC">
            <w:pPr>
              <w:pStyle w:val="LeasingProgTableText"/>
              <w:spacing w:line="220" w:lineRule="atLeast"/>
              <w:jc w:val="right"/>
              <w:rPr>
                <w:szCs w:val="20"/>
              </w:rPr>
            </w:pPr>
            <w:r w:rsidRPr="000C5235">
              <w:rPr>
                <w:szCs w:val="20"/>
              </w:rPr>
              <w:t>Forward</w:t>
            </w:r>
          </w:p>
        </w:tc>
      </w:tr>
      <w:tr w:rsidR="001C70F1" w:rsidRPr="000C5235" w14:paraId="4F179A43" w14:textId="77777777" w:rsidTr="000A7DEC">
        <w:trPr>
          <w:trHeight w:val="312"/>
        </w:trPr>
        <w:tc>
          <w:tcPr>
            <w:tcW w:w="3364" w:type="dxa"/>
            <w:tcBorders>
              <w:top w:val="nil"/>
              <w:left w:val="single" w:sz="12" w:space="0" w:color="auto"/>
              <w:bottom w:val="nil"/>
              <w:right w:val="single" w:sz="8" w:space="0" w:color="auto"/>
            </w:tcBorders>
            <w:shd w:val="clear" w:color="000000" w:fill="FFFFFF"/>
            <w:noWrap/>
            <w:hideMark/>
          </w:tcPr>
          <w:p w14:paraId="726483C1" w14:textId="77777777" w:rsidR="00261938" w:rsidRPr="000C5235" w:rsidRDefault="00261938"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vAlign w:val="center"/>
            <w:hideMark/>
          </w:tcPr>
          <w:p w14:paraId="151F72E9" w14:textId="77777777" w:rsidR="00261938" w:rsidRPr="000C5235" w:rsidRDefault="00FC0AF4" w:rsidP="000A7DEC">
            <w:pPr>
              <w:pStyle w:val="LeasingProgTableText"/>
              <w:spacing w:line="220" w:lineRule="atLeast"/>
              <w:jc w:val="right"/>
              <w:rPr>
                <w:szCs w:val="20"/>
              </w:rPr>
            </w:pPr>
            <w:r w:rsidRPr="000C5235">
              <w:rPr>
                <w:szCs w:val="20"/>
              </w:rPr>
              <w:t>Actual</w:t>
            </w:r>
            <w:r w:rsidR="00261938" w:rsidRPr="000C5235">
              <w:rPr>
                <w:szCs w:val="20"/>
              </w:rPr>
              <w:t xml:space="preserve"> *</w:t>
            </w:r>
          </w:p>
        </w:tc>
        <w:tc>
          <w:tcPr>
            <w:tcW w:w="993" w:type="dxa"/>
            <w:tcBorders>
              <w:top w:val="nil"/>
              <w:left w:val="nil"/>
              <w:bottom w:val="nil"/>
              <w:right w:val="single" w:sz="8" w:space="0" w:color="auto"/>
            </w:tcBorders>
            <w:shd w:val="clear" w:color="000000" w:fill="FFFFFF"/>
            <w:vAlign w:val="center"/>
            <w:hideMark/>
          </w:tcPr>
          <w:p w14:paraId="7288086B" w14:textId="77777777" w:rsidR="00261938" w:rsidRPr="000C5235" w:rsidRDefault="00261938" w:rsidP="000A7DEC">
            <w:pPr>
              <w:pStyle w:val="LeasingProgTableText"/>
              <w:spacing w:line="220" w:lineRule="atLeast"/>
              <w:rPr>
                <w:szCs w:val="20"/>
              </w:rPr>
            </w:pPr>
          </w:p>
        </w:tc>
        <w:tc>
          <w:tcPr>
            <w:tcW w:w="1134" w:type="dxa"/>
            <w:tcBorders>
              <w:top w:val="nil"/>
              <w:left w:val="nil"/>
              <w:bottom w:val="nil"/>
              <w:right w:val="single" w:sz="8" w:space="0" w:color="auto"/>
            </w:tcBorders>
            <w:shd w:val="clear" w:color="000000" w:fill="FFFFFF"/>
            <w:vAlign w:val="center"/>
            <w:hideMark/>
          </w:tcPr>
          <w:p w14:paraId="67B7DE6A" w14:textId="77777777" w:rsidR="00261938" w:rsidRPr="000C5235" w:rsidRDefault="00261938" w:rsidP="000A7DEC">
            <w:pPr>
              <w:pStyle w:val="LeasingProgTableText"/>
              <w:spacing w:line="220" w:lineRule="atLeast"/>
              <w:jc w:val="right"/>
              <w:rPr>
                <w:szCs w:val="20"/>
              </w:rPr>
            </w:pPr>
            <w:r w:rsidRPr="000C5235">
              <w:rPr>
                <w:szCs w:val="20"/>
              </w:rPr>
              <w:t>estimated</w:t>
            </w:r>
          </w:p>
        </w:tc>
        <w:tc>
          <w:tcPr>
            <w:tcW w:w="1134" w:type="dxa"/>
            <w:tcBorders>
              <w:top w:val="nil"/>
              <w:left w:val="nil"/>
              <w:bottom w:val="nil"/>
              <w:right w:val="single" w:sz="8" w:space="0" w:color="auto"/>
            </w:tcBorders>
            <w:shd w:val="clear" w:color="000000" w:fill="FFFFFF"/>
            <w:vAlign w:val="center"/>
            <w:hideMark/>
          </w:tcPr>
          <w:p w14:paraId="13DC77EE" w14:textId="77777777" w:rsidR="00261938" w:rsidRPr="000C5235" w:rsidRDefault="00261938" w:rsidP="000A7DEC">
            <w:pPr>
              <w:pStyle w:val="LeasingProgTableText"/>
              <w:spacing w:line="220" w:lineRule="atLeast"/>
              <w:jc w:val="right"/>
              <w:rPr>
                <w:szCs w:val="20"/>
              </w:rPr>
            </w:pPr>
            <w:r w:rsidRPr="000C5235">
              <w:rPr>
                <w:szCs w:val="20"/>
              </w:rPr>
              <w:t>estimated</w:t>
            </w:r>
          </w:p>
        </w:tc>
        <w:tc>
          <w:tcPr>
            <w:tcW w:w="1134" w:type="dxa"/>
            <w:tcBorders>
              <w:top w:val="nil"/>
              <w:left w:val="nil"/>
              <w:bottom w:val="nil"/>
              <w:right w:val="single" w:sz="12" w:space="0" w:color="auto"/>
            </w:tcBorders>
            <w:shd w:val="clear" w:color="000000" w:fill="FFFFFF"/>
            <w:vAlign w:val="center"/>
            <w:hideMark/>
          </w:tcPr>
          <w:p w14:paraId="0BF19CC3" w14:textId="77777777" w:rsidR="00261938" w:rsidRPr="000C5235" w:rsidRDefault="00261938" w:rsidP="000A7DEC">
            <w:pPr>
              <w:pStyle w:val="LeasingProgTableText"/>
              <w:spacing w:line="220" w:lineRule="atLeast"/>
              <w:jc w:val="right"/>
              <w:rPr>
                <w:szCs w:val="20"/>
              </w:rPr>
            </w:pPr>
            <w:r w:rsidRPr="000C5235">
              <w:rPr>
                <w:szCs w:val="20"/>
              </w:rPr>
              <w:t>estimated</w:t>
            </w:r>
          </w:p>
        </w:tc>
      </w:tr>
      <w:tr w:rsidR="001C70F1" w:rsidRPr="000C5235" w14:paraId="4E3EA4F1" w14:textId="77777777" w:rsidTr="000A7DEC">
        <w:trPr>
          <w:trHeight w:val="312"/>
        </w:trPr>
        <w:tc>
          <w:tcPr>
            <w:tcW w:w="3364" w:type="dxa"/>
            <w:tcBorders>
              <w:top w:val="nil"/>
              <w:left w:val="single" w:sz="12" w:space="0" w:color="auto"/>
              <w:bottom w:val="single" w:sz="8" w:space="0" w:color="auto"/>
              <w:right w:val="single" w:sz="8" w:space="0" w:color="auto"/>
            </w:tcBorders>
            <w:shd w:val="clear" w:color="000000" w:fill="FFFFFF"/>
            <w:noWrap/>
            <w:hideMark/>
          </w:tcPr>
          <w:p w14:paraId="5785E9BC" w14:textId="77777777" w:rsidR="00261938" w:rsidRPr="000C5235" w:rsidRDefault="00261938" w:rsidP="000A7DEC">
            <w:pPr>
              <w:pStyle w:val="LeasingProgTableText"/>
              <w:spacing w:line="220" w:lineRule="atLeast"/>
              <w:rPr>
                <w:szCs w:val="20"/>
              </w:rPr>
            </w:pPr>
          </w:p>
        </w:tc>
        <w:tc>
          <w:tcPr>
            <w:tcW w:w="1157" w:type="dxa"/>
            <w:tcBorders>
              <w:top w:val="nil"/>
              <w:left w:val="nil"/>
              <w:bottom w:val="single" w:sz="8" w:space="0" w:color="auto"/>
              <w:right w:val="single" w:sz="8" w:space="0" w:color="auto"/>
            </w:tcBorders>
            <w:shd w:val="clear" w:color="000000" w:fill="FFFFFF"/>
            <w:vAlign w:val="center"/>
            <w:hideMark/>
          </w:tcPr>
          <w:p w14:paraId="4764B2A1" w14:textId="77777777" w:rsidR="00261938" w:rsidRPr="000C5235" w:rsidRDefault="00261938" w:rsidP="000A7DEC">
            <w:pPr>
              <w:pStyle w:val="LeasingProgTableText"/>
              <w:spacing w:line="220" w:lineRule="atLeast"/>
              <w:jc w:val="right"/>
              <w:rPr>
                <w:szCs w:val="20"/>
              </w:rPr>
            </w:pPr>
          </w:p>
        </w:tc>
        <w:tc>
          <w:tcPr>
            <w:tcW w:w="993" w:type="dxa"/>
            <w:tcBorders>
              <w:top w:val="nil"/>
              <w:left w:val="nil"/>
              <w:bottom w:val="single" w:sz="8" w:space="0" w:color="auto"/>
              <w:right w:val="single" w:sz="8" w:space="0" w:color="auto"/>
            </w:tcBorders>
            <w:shd w:val="clear" w:color="000000" w:fill="FFFFFF"/>
            <w:vAlign w:val="center"/>
            <w:hideMark/>
          </w:tcPr>
          <w:p w14:paraId="7D25A273" w14:textId="77777777" w:rsidR="00261938" w:rsidRPr="000C5235" w:rsidRDefault="00261938" w:rsidP="000A7DEC">
            <w:pPr>
              <w:pStyle w:val="LeasingProgTableText"/>
              <w:spacing w:line="220" w:lineRule="atLeast"/>
              <w:jc w:val="right"/>
              <w:rPr>
                <w:szCs w:val="20"/>
              </w:rPr>
            </w:pPr>
          </w:p>
        </w:tc>
        <w:tc>
          <w:tcPr>
            <w:tcW w:w="1134" w:type="dxa"/>
            <w:tcBorders>
              <w:top w:val="nil"/>
              <w:left w:val="nil"/>
              <w:bottom w:val="single" w:sz="8" w:space="0" w:color="auto"/>
              <w:right w:val="single" w:sz="8" w:space="0" w:color="auto"/>
            </w:tcBorders>
            <w:shd w:val="clear" w:color="000000" w:fill="FFFFFF"/>
            <w:vAlign w:val="center"/>
            <w:hideMark/>
          </w:tcPr>
          <w:p w14:paraId="27D61F6C" w14:textId="77777777" w:rsidR="00261938" w:rsidRPr="000C5235" w:rsidRDefault="00261938" w:rsidP="000A7DEC">
            <w:pPr>
              <w:pStyle w:val="LeasingProgTableText"/>
              <w:spacing w:line="220" w:lineRule="atLeast"/>
              <w:jc w:val="right"/>
              <w:rPr>
                <w:szCs w:val="20"/>
              </w:rPr>
            </w:pPr>
            <w:r w:rsidRPr="000C5235">
              <w:rPr>
                <w:szCs w:val="20"/>
              </w:rPr>
              <w:t>expenses</w:t>
            </w:r>
          </w:p>
        </w:tc>
        <w:tc>
          <w:tcPr>
            <w:tcW w:w="1134" w:type="dxa"/>
            <w:tcBorders>
              <w:top w:val="nil"/>
              <w:left w:val="nil"/>
              <w:bottom w:val="single" w:sz="8" w:space="0" w:color="auto"/>
              <w:right w:val="single" w:sz="8" w:space="0" w:color="auto"/>
            </w:tcBorders>
            <w:shd w:val="clear" w:color="000000" w:fill="FFFFFF"/>
            <w:vAlign w:val="center"/>
            <w:hideMark/>
          </w:tcPr>
          <w:p w14:paraId="5C803FA2" w14:textId="77777777" w:rsidR="00261938" w:rsidRPr="000C5235" w:rsidRDefault="00261938" w:rsidP="000A7DEC">
            <w:pPr>
              <w:pStyle w:val="LeasingProgTableText"/>
              <w:spacing w:line="220" w:lineRule="atLeast"/>
              <w:jc w:val="right"/>
              <w:rPr>
                <w:szCs w:val="20"/>
              </w:rPr>
            </w:pPr>
            <w:r w:rsidRPr="000C5235">
              <w:rPr>
                <w:szCs w:val="20"/>
              </w:rPr>
              <w:t>expenses</w:t>
            </w:r>
          </w:p>
        </w:tc>
        <w:tc>
          <w:tcPr>
            <w:tcW w:w="1134" w:type="dxa"/>
            <w:tcBorders>
              <w:top w:val="nil"/>
              <w:left w:val="nil"/>
              <w:bottom w:val="single" w:sz="8" w:space="0" w:color="auto"/>
              <w:right w:val="single" w:sz="12" w:space="0" w:color="auto"/>
            </w:tcBorders>
            <w:shd w:val="clear" w:color="000000" w:fill="FFFFFF"/>
            <w:vAlign w:val="center"/>
            <w:hideMark/>
          </w:tcPr>
          <w:p w14:paraId="3F161C0B" w14:textId="77777777" w:rsidR="00261938" w:rsidRPr="000C5235" w:rsidRDefault="00261938" w:rsidP="000A7DEC">
            <w:pPr>
              <w:pStyle w:val="LeasingProgTableText"/>
              <w:spacing w:line="220" w:lineRule="atLeast"/>
              <w:jc w:val="right"/>
              <w:rPr>
                <w:szCs w:val="20"/>
              </w:rPr>
            </w:pPr>
            <w:r w:rsidRPr="000C5235">
              <w:rPr>
                <w:szCs w:val="20"/>
              </w:rPr>
              <w:t>expenses</w:t>
            </w:r>
          </w:p>
        </w:tc>
      </w:tr>
      <w:tr w:rsidR="00261938" w:rsidRPr="000C5235" w14:paraId="4D9AF420" w14:textId="77777777" w:rsidTr="000A7DEC">
        <w:trPr>
          <w:trHeight w:val="306"/>
        </w:trPr>
        <w:tc>
          <w:tcPr>
            <w:tcW w:w="8916" w:type="dxa"/>
            <w:gridSpan w:val="6"/>
            <w:tcBorders>
              <w:top w:val="nil"/>
              <w:left w:val="single" w:sz="12" w:space="0" w:color="auto"/>
              <w:bottom w:val="single" w:sz="8" w:space="0" w:color="auto"/>
              <w:right w:val="single" w:sz="12" w:space="0" w:color="auto"/>
            </w:tcBorders>
            <w:shd w:val="clear" w:color="000000" w:fill="D9D9D9"/>
            <w:noWrap/>
            <w:vAlign w:val="center"/>
            <w:hideMark/>
          </w:tcPr>
          <w:p w14:paraId="544A8E50" w14:textId="77777777" w:rsidR="00261938" w:rsidRPr="000C5235" w:rsidRDefault="00261938" w:rsidP="000A7DEC">
            <w:pPr>
              <w:pStyle w:val="LeasingProgTableText"/>
              <w:spacing w:line="220" w:lineRule="atLeast"/>
              <w:rPr>
                <w:szCs w:val="20"/>
              </w:rPr>
            </w:pPr>
            <w:r w:rsidRPr="000C5235">
              <w:rPr>
                <w:szCs w:val="20"/>
              </w:rPr>
              <w:t>Program 1.x (insert program name here)</w:t>
            </w:r>
          </w:p>
          <w:p w14:paraId="4B4267F5" w14:textId="77777777" w:rsidR="00261938" w:rsidRPr="000C5235" w:rsidRDefault="00261938" w:rsidP="000A7DEC">
            <w:pPr>
              <w:pStyle w:val="LeasingProgTableText"/>
              <w:spacing w:line="220" w:lineRule="atLeast"/>
              <w:rPr>
                <w:szCs w:val="20"/>
              </w:rPr>
            </w:pPr>
          </w:p>
        </w:tc>
      </w:tr>
      <w:tr w:rsidR="001C70F1" w:rsidRPr="000C5235" w14:paraId="5F5C3B3F" w14:textId="77777777" w:rsidTr="000A7DEC">
        <w:trPr>
          <w:trHeight w:val="293"/>
        </w:trPr>
        <w:tc>
          <w:tcPr>
            <w:tcW w:w="3364" w:type="dxa"/>
            <w:tcBorders>
              <w:top w:val="nil"/>
              <w:left w:val="single" w:sz="12" w:space="0" w:color="auto"/>
              <w:bottom w:val="nil"/>
              <w:right w:val="single" w:sz="8" w:space="0" w:color="auto"/>
            </w:tcBorders>
            <w:shd w:val="clear" w:color="auto" w:fill="auto"/>
            <w:noWrap/>
            <w:hideMark/>
          </w:tcPr>
          <w:p w14:paraId="4C944C76" w14:textId="77777777" w:rsidR="00261938" w:rsidRPr="000C5235" w:rsidRDefault="00261938" w:rsidP="000A7DEC">
            <w:pPr>
              <w:pStyle w:val="LeasingProgTableText"/>
              <w:spacing w:line="220" w:lineRule="atLeast"/>
              <w:rPr>
                <w:b/>
                <w:szCs w:val="20"/>
              </w:rPr>
            </w:pPr>
            <w:r w:rsidRPr="000C5235">
              <w:rPr>
                <w:b/>
                <w:szCs w:val="20"/>
              </w:rPr>
              <w:t>Departmental expenses</w:t>
            </w:r>
          </w:p>
        </w:tc>
        <w:tc>
          <w:tcPr>
            <w:tcW w:w="1157" w:type="dxa"/>
            <w:tcBorders>
              <w:top w:val="nil"/>
              <w:left w:val="nil"/>
              <w:bottom w:val="nil"/>
              <w:right w:val="single" w:sz="8" w:space="0" w:color="auto"/>
            </w:tcBorders>
            <w:shd w:val="clear" w:color="auto" w:fill="auto"/>
          </w:tcPr>
          <w:p w14:paraId="704626BA" w14:textId="77777777" w:rsidR="00261938" w:rsidRPr="000C5235" w:rsidRDefault="00261938" w:rsidP="000A7DEC">
            <w:pPr>
              <w:pStyle w:val="LeasingProgTableText"/>
              <w:spacing w:line="220" w:lineRule="atLeast"/>
              <w:rPr>
                <w:szCs w:val="20"/>
              </w:rPr>
            </w:pPr>
          </w:p>
        </w:tc>
        <w:tc>
          <w:tcPr>
            <w:tcW w:w="993" w:type="dxa"/>
            <w:tcBorders>
              <w:top w:val="nil"/>
              <w:left w:val="nil"/>
              <w:bottom w:val="nil"/>
              <w:right w:val="single" w:sz="8" w:space="0" w:color="auto"/>
            </w:tcBorders>
            <w:shd w:val="clear" w:color="000000" w:fill="FFFFFF"/>
            <w:noWrap/>
          </w:tcPr>
          <w:p w14:paraId="4E48A1EF" w14:textId="77777777" w:rsidR="00261938" w:rsidRPr="000C5235" w:rsidRDefault="00261938" w:rsidP="000A7DEC">
            <w:pPr>
              <w:pStyle w:val="LeasingProgTableText"/>
              <w:spacing w:line="220" w:lineRule="atLeast"/>
              <w:rPr>
                <w:szCs w:val="20"/>
              </w:rPr>
            </w:pPr>
          </w:p>
        </w:tc>
        <w:tc>
          <w:tcPr>
            <w:tcW w:w="1134" w:type="dxa"/>
            <w:tcBorders>
              <w:top w:val="nil"/>
              <w:left w:val="nil"/>
              <w:bottom w:val="nil"/>
              <w:right w:val="single" w:sz="8" w:space="0" w:color="auto"/>
            </w:tcBorders>
            <w:shd w:val="clear" w:color="000000" w:fill="FFFFFF"/>
            <w:noWrap/>
          </w:tcPr>
          <w:p w14:paraId="53792B1C" w14:textId="77777777" w:rsidR="00261938" w:rsidRPr="000C5235" w:rsidRDefault="00261938" w:rsidP="000A7DEC">
            <w:pPr>
              <w:pStyle w:val="LeasingProgTableText"/>
              <w:spacing w:line="220" w:lineRule="atLeast"/>
              <w:rPr>
                <w:szCs w:val="20"/>
              </w:rPr>
            </w:pPr>
          </w:p>
        </w:tc>
        <w:tc>
          <w:tcPr>
            <w:tcW w:w="1134" w:type="dxa"/>
            <w:tcBorders>
              <w:top w:val="nil"/>
              <w:left w:val="nil"/>
              <w:bottom w:val="nil"/>
              <w:right w:val="single" w:sz="8" w:space="0" w:color="auto"/>
            </w:tcBorders>
            <w:shd w:val="clear" w:color="000000" w:fill="FFFFFF"/>
            <w:noWrap/>
          </w:tcPr>
          <w:p w14:paraId="6A77B07A" w14:textId="77777777" w:rsidR="00261938" w:rsidRPr="000C5235" w:rsidRDefault="00261938" w:rsidP="000A7DEC">
            <w:pPr>
              <w:pStyle w:val="LeasingProgTableText"/>
              <w:spacing w:line="220" w:lineRule="atLeast"/>
              <w:rPr>
                <w:szCs w:val="20"/>
              </w:rPr>
            </w:pPr>
          </w:p>
        </w:tc>
        <w:tc>
          <w:tcPr>
            <w:tcW w:w="1134" w:type="dxa"/>
            <w:tcBorders>
              <w:top w:val="nil"/>
              <w:left w:val="nil"/>
              <w:bottom w:val="nil"/>
              <w:right w:val="single" w:sz="12" w:space="0" w:color="auto"/>
            </w:tcBorders>
            <w:shd w:val="clear" w:color="000000" w:fill="FFFFFF"/>
            <w:noWrap/>
          </w:tcPr>
          <w:p w14:paraId="0CBA3A53" w14:textId="77777777" w:rsidR="00261938" w:rsidRPr="000C5235" w:rsidRDefault="00261938" w:rsidP="000A7DEC">
            <w:pPr>
              <w:pStyle w:val="LeasingProgTableText"/>
              <w:spacing w:line="220" w:lineRule="atLeast"/>
              <w:rPr>
                <w:szCs w:val="20"/>
              </w:rPr>
            </w:pPr>
          </w:p>
        </w:tc>
      </w:tr>
      <w:tr w:rsidR="001C70F1" w:rsidRPr="000C5235" w14:paraId="14B1BFA1" w14:textId="77777777" w:rsidTr="000A7DEC">
        <w:trPr>
          <w:trHeight w:val="293"/>
        </w:trPr>
        <w:tc>
          <w:tcPr>
            <w:tcW w:w="3364" w:type="dxa"/>
            <w:tcBorders>
              <w:top w:val="nil"/>
              <w:left w:val="single" w:sz="12" w:space="0" w:color="auto"/>
              <w:bottom w:val="nil"/>
              <w:right w:val="single" w:sz="8" w:space="0" w:color="auto"/>
            </w:tcBorders>
            <w:shd w:val="clear" w:color="000000" w:fill="FFFFFF"/>
            <w:noWrap/>
            <w:hideMark/>
          </w:tcPr>
          <w:p w14:paraId="7059C975" w14:textId="77777777" w:rsidR="00B06390" w:rsidRPr="000C5235" w:rsidRDefault="00B06390" w:rsidP="000A7DEC">
            <w:pPr>
              <w:pStyle w:val="LeasingProgTableText"/>
              <w:spacing w:line="220" w:lineRule="atLeast"/>
              <w:rPr>
                <w:szCs w:val="20"/>
              </w:rPr>
            </w:pPr>
            <w:r w:rsidRPr="000C5235">
              <w:rPr>
                <w:szCs w:val="20"/>
              </w:rPr>
              <w:t>Departmental appropriation expenses *</w:t>
            </w:r>
          </w:p>
        </w:tc>
        <w:tc>
          <w:tcPr>
            <w:tcW w:w="1157" w:type="dxa"/>
            <w:tcBorders>
              <w:top w:val="nil"/>
              <w:left w:val="nil"/>
              <w:bottom w:val="nil"/>
              <w:right w:val="single" w:sz="8" w:space="0" w:color="auto"/>
            </w:tcBorders>
            <w:shd w:val="clear" w:color="000000" w:fill="FFFFFF"/>
            <w:hideMark/>
          </w:tcPr>
          <w:p w14:paraId="3F928B16" w14:textId="77777777" w:rsidR="00B06390" w:rsidRPr="000C5235" w:rsidRDefault="00B06390" w:rsidP="000A7DEC">
            <w:pPr>
              <w:pStyle w:val="LeasingProgTableText"/>
              <w:spacing w:line="220" w:lineRule="atLeast"/>
              <w:jc w:val="right"/>
              <w:rPr>
                <w:szCs w:val="20"/>
              </w:rPr>
            </w:pPr>
            <w:r w:rsidRPr="000C5235">
              <w:rPr>
                <w:szCs w:val="20"/>
              </w:rPr>
              <w:t>5,770</w:t>
            </w:r>
          </w:p>
        </w:tc>
        <w:tc>
          <w:tcPr>
            <w:tcW w:w="993" w:type="dxa"/>
            <w:tcBorders>
              <w:top w:val="nil"/>
              <w:left w:val="nil"/>
              <w:bottom w:val="nil"/>
              <w:right w:val="single" w:sz="8" w:space="0" w:color="auto"/>
            </w:tcBorders>
            <w:shd w:val="clear" w:color="000000" w:fill="FFFFFF"/>
            <w:noWrap/>
            <w:hideMark/>
          </w:tcPr>
          <w:p w14:paraId="73EE8EF3" w14:textId="77777777" w:rsidR="00B06390" w:rsidRPr="000C5235" w:rsidRDefault="00B06390" w:rsidP="000A7DEC">
            <w:pPr>
              <w:pStyle w:val="LeasingProgTableText"/>
              <w:spacing w:line="220" w:lineRule="atLeast"/>
              <w:jc w:val="right"/>
              <w:rPr>
                <w:szCs w:val="20"/>
              </w:rPr>
            </w:pPr>
            <w:r w:rsidRPr="000C5235">
              <w:rPr>
                <w:szCs w:val="20"/>
              </w:rPr>
              <w:t>6,010</w:t>
            </w:r>
          </w:p>
        </w:tc>
        <w:tc>
          <w:tcPr>
            <w:tcW w:w="1134" w:type="dxa"/>
            <w:tcBorders>
              <w:top w:val="nil"/>
              <w:left w:val="nil"/>
              <w:bottom w:val="nil"/>
              <w:right w:val="single" w:sz="8" w:space="0" w:color="auto"/>
            </w:tcBorders>
            <w:shd w:val="clear" w:color="000000" w:fill="FFFFFF"/>
            <w:noWrap/>
            <w:hideMark/>
          </w:tcPr>
          <w:p w14:paraId="21EEF6D1" w14:textId="77777777" w:rsidR="00B06390" w:rsidRPr="000C5235" w:rsidRDefault="00B06390" w:rsidP="000A7DEC">
            <w:pPr>
              <w:pStyle w:val="LeasingProgTableText"/>
              <w:spacing w:line="220" w:lineRule="atLeast"/>
              <w:jc w:val="right"/>
              <w:rPr>
                <w:szCs w:val="20"/>
              </w:rPr>
            </w:pPr>
            <w:r w:rsidRPr="000C5235">
              <w:rPr>
                <w:szCs w:val="20"/>
              </w:rPr>
              <w:t>6,100</w:t>
            </w:r>
          </w:p>
        </w:tc>
        <w:tc>
          <w:tcPr>
            <w:tcW w:w="1134" w:type="dxa"/>
            <w:tcBorders>
              <w:top w:val="nil"/>
              <w:left w:val="nil"/>
              <w:bottom w:val="nil"/>
              <w:right w:val="single" w:sz="8" w:space="0" w:color="auto"/>
            </w:tcBorders>
            <w:shd w:val="clear" w:color="000000" w:fill="FFFFFF"/>
            <w:noWrap/>
            <w:hideMark/>
          </w:tcPr>
          <w:p w14:paraId="677F7130" w14:textId="77777777" w:rsidR="00B06390" w:rsidRPr="000C5235" w:rsidRDefault="00B06390" w:rsidP="000A7DEC">
            <w:pPr>
              <w:pStyle w:val="LeasingProgTableText"/>
              <w:spacing w:line="220" w:lineRule="atLeast"/>
              <w:jc w:val="right"/>
              <w:rPr>
                <w:szCs w:val="20"/>
              </w:rPr>
            </w:pPr>
            <w:r w:rsidRPr="000C5235">
              <w:rPr>
                <w:szCs w:val="20"/>
              </w:rPr>
              <w:t>6,285</w:t>
            </w:r>
          </w:p>
        </w:tc>
        <w:tc>
          <w:tcPr>
            <w:tcW w:w="1134" w:type="dxa"/>
            <w:tcBorders>
              <w:top w:val="nil"/>
              <w:left w:val="nil"/>
              <w:bottom w:val="nil"/>
              <w:right w:val="single" w:sz="12" w:space="0" w:color="auto"/>
            </w:tcBorders>
            <w:shd w:val="clear" w:color="000000" w:fill="FFFFFF"/>
            <w:noWrap/>
            <w:hideMark/>
          </w:tcPr>
          <w:p w14:paraId="1F26204C" w14:textId="77777777" w:rsidR="00B06390" w:rsidRPr="000C5235" w:rsidRDefault="00B06390" w:rsidP="000A7DEC">
            <w:pPr>
              <w:pStyle w:val="LeasingProgTableText"/>
              <w:spacing w:line="220" w:lineRule="atLeast"/>
              <w:jc w:val="right"/>
              <w:rPr>
                <w:szCs w:val="20"/>
              </w:rPr>
            </w:pPr>
            <w:r w:rsidRPr="000C5235">
              <w:rPr>
                <w:sz w:val="20"/>
                <w:szCs w:val="20"/>
              </w:rPr>
              <w:t>6,</w:t>
            </w:r>
            <w:r w:rsidR="008C3275" w:rsidRPr="000C5235">
              <w:rPr>
                <w:szCs w:val="20"/>
              </w:rPr>
              <w:t>453</w:t>
            </w:r>
          </w:p>
        </w:tc>
      </w:tr>
      <w:tr w:rsidR="001C70F1" w:rsidRPr="000C5235" w14:paraId="4818C5A8" w14:textId="77777777" w:rsidTr="000A7DEC">
        <w:trPr>
          <w:trHeight w:val="293"/>
        </w:trPr>
        <w:tc>
          <w:tcPr>
            <w:tcW w:w="3364" w:type="dxa"/>
            <w:tcBorders>
              <w:top w:val="nil"/>
              <w:left w:val="single" w:sz="12" w:space="0" w:color="auto"/>
              <w:bottom w:val="nil"/>
              <w:right w:val="single" w:sz="8" w:space="0" w:color="auto"/>
            </w:tcBorders>
            <w:shd w:val="clear" w:color="auto" w:fill="FFE68F" w:themeFill="accent6" w:themeFillTint="66"/>
            <w:noWrap/>
            <w:hideMark/>
          </w:tcPr>
          <w:p w14:paraId="021149ED" w14:textId="77777777" w:rsidR="00B06390" w:rsidRPr="000C5235" w:rsidRDefault="00B06390" w:rsidP="000A7DEC">
            <w:pPr>
              <w:pStyle w:val="LeasingProgTableText"/>
              <w:spacing w:line="220" w:lineRule="atLeast"/>
              <w:ind w:left="165"/>
              <w:jc w:val="both"/>
              <w:rPr>
                <w:color w:val="0070C0"/>
                <w:szCs w:val="20"/>
                <w:u w:val="single"/>
              </w:rPr>
            </w:pPr>
            <w:r w:rsidRPr="000C5235">
              <w:rPr>
                <w:color w:val="0070C0"/>
                <w:szCs w:val="20"/>
                <w:u w:val="single"/>
              </w:rPr>
              <w:t>Consists of:</w:t>
            </w:r>
          </w:p>
        </w:tc>
        <w:tc>
          <w:tcPr>
            <w:tcW w:w="1157" w:type="dxa"/>
            <w:tcBorders>
              <w:top w:val="nil"/>
              <w:left w:val="nil"/>
              <w:bottom w:val="nil"/>
              <w:right w:val="single" w:sz="8" w:space="0" w:color="auto"/>
            </w:tcBorders>
            <w:shd w:val="clear" w:color="auto" w:fill="FFE68F" w:themeFill="accent6" w:themeFillTint="66"/>
          </w:tcPr>
          <w:p w14:paraId="6C4DB2AE" w14:textId="77777777" w:rsidR="00B06390" w:rsidRPr="000C5235"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auto" w:fill="FFE68F" w:themeFill="accent6" w:themeFillTint="66"/>
            <w:noWrap/>
          </w:tcPr>
          <w:p w14:paraId="7BCCB625"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7774A0CD"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5049BFF3"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auto" w:fill="FFE68F" w:themeFill="accent6" w:themeFillTint="66"/>
            <w:noWrap/>
          </w:tcPr>
          <w:p w14:paraId="3855A146" w14:textId="77777777" w:rsidR="00B06390" w:rsidRPr="000C5235" w:rsidRDefault="00B06390" w:rsidP="000A7DEC">
            <w:pPr>
              <w:pStyle w:val="LeasingProgTableText"/>
              <w:spacing w:line="220" w:lineRule="atLeast"/>
              <w:jc w:val="right"/>
              <w:rPr>
                <w:szCs w:val="20"/>
              </w:rPr>
            </w:pPr>
          </w:p>
        </w:tc>
      </w:tr>
      <w:tr w:rsidR="001C70F1" w:rsidRPr="000C5235" w14:paraId="00982901" w14:textId="77777777" w:rsidTr="000A7DEC">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7963A5F4"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Other Expenses</w:t>
            </w:r>
          </w:p>
        </w:tc>
        <w:tc>
          <w:tcPr>
            <w:tcW w:w="1157" w:type="dxa"/>
            <w:tcBorders>
              <w:top w:val="nil"/>
              <w:left w:val="nil"/>
              <w:bottom w:val="nil"/>
              <w:right w:val="single" w:sz="8" w:space="0" w:color="auto"/>
            </w:tcBorders>
            <w:shd w:val="clear" w:color="auto" w:fill="FFE68F" w:themeFill="accent6" w:themeFillTint="66"/>
            <w:hideMark/>
          </w:tcPr>
          <w:p w14:paraId="7EE27F5E"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5,750</w:t>
            </w:r>
          </w:p>
        </w:tc>
        <w:tc>
          <w:tcPr>
            <w:tcW w:w="993" w:type="dxa"/>
            <w:tcBorders>
              <w:top w:val="nil"/>
              <w:left w:val="nil"/>
              <w:bottom w:val="nil"/>
              <w:right w:val="single" w:sz="8" w:space="0" w:color="auto"/>
            </w:tcBorders>
            <w:shd w:val="clear" w:color="000000" w:fill="FFE68F"/>
            <w:noWrap/>
            <w:hideMark/>
          </w:tcPr>
          <w:p w14:paraId="523D318F"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6,000</w:t>
            </w:r>
          </w:p>
        </w:tc>
        <w:tc>
          <w:tcPr>
            <w:tcW w:w="1134" w:type="dxa"/>
            <w:tcBorders>
              <w:top w:val="nil"/>
              <w:left w:val="nil"/>
              <w:bottom w:val="nil"/>
              <w:right w:val="single" w:sz="8" w:space="0" w:color="auto"/>
            </w:tcBorders>
            <w:shd w:val="clear" w:color="000000" w:fill="FFE68F"/>
            <w:noWrap/>
            <w:hideMark/>
          </w:tcPr>
          <w:p w14:paraId="10A310E5"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6,100</w:t>
            </w:r>
          </w:p>
        </w:tc>
        <w:tc>
          <w:tcPr>
            <w:tcW w:w="1134" w:type="dxa"/>
            <w:tcBorders>
              <w:top w:val="nil"/>
              <w:left w:val="nil"/>
              <w:bottom w:val="nil"/>
              <w:right w:val="single" w:sz="8" w:space="0" w:color="auto"/>
            </w:tcBorders>
            <w:shd w:val="clear" w:color="000000" w:fill="FFE68F"/>
            <w:noWrap/>
            <w:hideMark/>
          </w:tcPr>
          <w:p w14:paraId="5ACBE1C7"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6,300</w:t>
            </w:r>
          </w:p>
        </w:tc>
        <w:tc>
          <w:tcPr>
            <w:tcW w:w="1134" w:type="dxa"/>
            <w:tcBorders>
              <w:top w:val="nil"/>
              <w:left w:val="nil"/>
              <w:bottom w:val="nil"/>
              <w:right w:val="single" w:sz="12" w:space="0" w:color="auto"/>
            </w:tcBorders>
            <w:shd w:val="clear" w:color="000000" w:fill="FFE68F"/>
            <w:noWrap/>
            <w:hideMark/>
          </w:tcPr>
          <w:p w14:paraId="5AA17F29" w14:textId="77777777" w:rsidR="008C3275" w:rsidRPr="000C5235" w:rsidRDefault="00B06390" w:rsidP="000A7DEC">
            <w:pPr>
              <w:pStyle w:val="LeasingProgTableText"/>
              <w:spacing w:line="220" w:lineRule="atLeast"/>
              <w:jc w:val="right"/>
              <w:rPr>
                <w:color w:val="0070C0"/>
                <w:szCs w:val="20"/>
              </w:rPr>
            </w:pPr>
            <w:r w:rsidRPr="000C5235">
              <w:rPr>
                <w:color w:val="0070C0"/>
                <w:sz w:val="20"/>
                <w:szCs w:val="20"/>
              </w:rPr>
              <w:t>6,</w:t>
            </w:r>
            <w:r w:rsidR="008C3275" w:rsidRPr="000C5235">
              <w:rPr>
                <w:color w:val="0070C0"/>
                <w:szCs w:val="20"/>
              </w:rPr>
              <w:t>477</w:t>
            </w:r>
          </w:p>
        </w:tc>
      </w:tr>
      <w:tr w:rsidR="001C70F1" w:rsidRPr="000C5235" w14:paraId="39E532D3" w14:textId="77777777" w:rsidTr="000A7DEC">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6869CE6C"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 xml:space="preserve">Interest on </w:t>
            </w:r>
            <w:r w:rsidR="009F3C94" w:rsidRPr="000C5235">
              <w:rPr>
                <w:color w:val="0070C0"/>
                <w:szCs w:val="20"/>
              </w:rPr>
              <w:t>RoU</w:t>
            </w:r>
            <w:r w:rsidRPr="000C5235">
              <w:rPr>
                <w:color w:val="0070C0"/>
                <w:szCs w:val="20"/>
              </w:rPr>
              <w:t xml:space="preserve"> a/c (2422020)</w:t>
            </w:r>
          </w:p>
        </w:tc>
        <w:tc>
          <w:tcPr>
            <w:tcW w:w="1157" w:type="dxa"/>
            <w:tcBorders>
              <w:top w:val="nil"/>
              <w:left w:val="nil"/>
              <w:bottom w:val="nil"/>
              <w:right w:val="single" w:sz="8" w:space="0" w:color="auto"/>
            </w:tcBorders>
            <w:shd w:val="clear" w:color="auto" w:fill="FFE68F" w:themeFill="accent6" w:themeFillTint="66"/>
            <w:hideMark/>
          </w:tcPr>
          <w:p w14:paraId="3E20F4E1"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16</w:t>
            </w:r>
          </w:p>
        </w:tc>
        <w:tc>
          <w:tcPr>
            <w:tcW w:w="993" w:type="dxa"/>
            <w:tcBorders>
              <w:top w:val="nil"/>
              <w:left w:val="nil"/>
              <w:bottom w:val="nil"/>
              <w:right w:val="single" w:sz="8" w:space="0" w:color="auto"/>
            </w:tcBorders>
            <w:shd w:val="clear" w:color="000000" w:fill="FFE68F"/>
            <w:noWrap/>
            <w:hideMark/>
          </w:tcPr>
          <w:p w14:paraId="115F3368"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14</w:t>
            </w:r>
          </w:p>
        </w:tc>
        <w:tc>
          <w:tcPr>
            <w:tcW w:w="1134" w:type="dxa"/>
            <w:tcBorders>
              <w:top w:val="nil"/>
              <w:left w:val="nil"/>
              <w:bottom w:val="nil"/>
              <w:right w:val="single" w:sz="8" w:space="0" w:color="auto"/>
            </w:tcBorders>
            <w:shd w:val="clear" w:color="000000" w:fill="FFE68F"/>
            <w:noWrap/>
            <w:hideMark/>
          </w:tcPr>
          <w:p w14:paraId="0C43E431"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12</w:t>
            </w:r>
          </w:p>
        </w:tc>
        <w:tc>
          <w:tcPr>
            <w:tcW w:w="1134" w:type="dxa"/>
            <w:tcBorders>
              <w:top w:val="nil"/>
              <w:left w:val="nil"/>
              <w:bottom w:val="nil"/>
              <w:right w:val="single" w:sz="8" w:space="0" w:color="auto"/>
            </w:tcBorders>
            <w:shd w:val="clear" w:color="000000" w:fill="FFE68F"/>
            <w:noWrap/>
            <w:hideMark/>
          </w:tcPr>
          <w:p w14:paraId="2395E340"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w:t>
            </w:r>
          </w:p>
        </w:tc>
        <w:tc>
          <w:tcPr>
            <w:tcW w:w="1134" w:type="dxa"/>
            <w:tcBorders>
              <w:top w:val="nil"/>
              <w:left w:val="nil"/>
              <w:bottom w:val="nil"/>
              <w:right w:val="single" w:sz="12" w:space="0" w:color="auto"/>
            </w:tcBorders>
            <w:shd w:val="clear" w:color="000000" w:fill="FFE68F"/>
            <w:noWrap/>
            <w:hideMark/>
          </w:tcPr>
          <w:p w14:paraId="483BD19C" w14:textId="77777777" w:rsidR="00B06390" w:rsidRPr="000C5235" w:rsidRDefault="008C3275" w:rsidP="000A7DEC">
            <w:pPr>
              <w:pStyle w:val="LeasingProgTableText"/>
              <w:spacing w:line="220" w:lineRule="atLeast"/>
              <w:jc w:val="right"/>
              <w:rPr>
                <w:color w:val="0070C0"/>
                <w:szCs w:val="20"/>
              </w:rPr>
            </w:pPr>
            <w:r w:rsidRPr="000C5235">
              <w:rPr>
                <w:color w:val="0070C0"/>
                <w:szCs w:val="20"/>
              </w:rPr>
              <w:t>8</w:t>
            </w:r>
          </w:p>
        </w:tc>
      </w:tr>
      <w:tr w:rsidR="001C70F1" w:rsidRPr="000C5235" w14:paraId="53AFB769" w14:textId="77777777" w:rsidTr="000A7DEC">
        <w:trPr>
          <w:trHeight w:val="293"/>
        </w:trPr>
        <w:tc>
          <w:tcPr>
            <w:tcW w:w="3364" w:type="dxa"/>
            <w:tcBorders>
              <w:top w:val="nil"/>
              <w:left w:val="single" w:sz="12" w:space="0" w:color="auto"/>
              <w:bottom w:val="nil"/>
              <w:right w:val="single" w:sz="8" w:space="0" w:color="auto"/>
            </w:tcBorders>
            <w:shd w:val="clear" w:color="000000" w:fill="FFE68F"/>
            <w:hideMark/>
          </w:tcPr>
          <w:p w14:paraId="28DBAABC"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 xml:space="preserve">Depreciation on </w:t>
            </w:r>
            <w:r w:rsidR="009F3C94" w:rsidRPr="000C5235">
              <w:rPr>
                <w:color w:val="0070C0"/>
                <w:szCs w:val="20"/>
              </w:rPr>
              <w:t>RoU</w:t>
            </w:r>
            <w:r w:rsidR="00B51040" w:rsidRPr="000C5235">
              <w:rPr>
                <w:color w:val="0070C0"/>
                <w:szCs w:val="20"/>
              </w:rPr>
              <w:t xml:space="preserve"> assets</w:t>
            </w:r>
          </w:p>
        </w:tc>
        <w:tc>
          <w:tcPr>
            <w:tcW w:w="1157" w:type="dxa"/>
            <w:tcBorders>
              <w:top w:val="nil"/>
              <w:left w:val="nil"/>
              <w:bottom w:val="nil"/>
              <w:right w:val="single" w:sz="8" w:space="0" w:color="auto"/>
            </w:tcBorders>
            <w:shd w:val="clear" w:color="000000" w:fill="FFE68F"/>
            <w:hideMark/>
          </w:tcPr>
          <w:p w14:paraId="0E31BF39"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380</w:t>
            </w:r>
          </w:p>
        </w:tc>
        <w:tc>
          <w:tcPr>
            <w:tcW w:w="993" w:type="dxa"/>
            <w:tcBorders>
              <w:top w:val="nil"/>
              <w:left w:val="nil"/>
              <w:bottom w:val="nil"/>
              <w:right w:val="single" w:sz="8" w:space="0" w:color="auto"/>
            </w:tcBorders>
            <w:shd w:val="clear" w:color="000000" w:fill="FFE68F"/>
            <w:noWrap/>
            <w:hideMark/>
          </w:tcPr>
          <w:p w14:paraId="2581A7C7"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380</w:t>
            </w:r>
          </w:p>
        </w:tc>
        <w:tc>
          <w:tcPr>
            <w:tcW w:w="1134" w:type="dxa"/>
            <w:tcBorders>
              <w:top w:val="nil"/>
              <w:left w:val="nil"/>
              <w:bottom w:val="nil"/>
              <w:right w:val="single" w:sz="8" w:space="0" w:color="auto"/>
            </w:tcBorders>
            <w:shd w:val="clear" w:color="000000" w:fill="FFE68F"/>
            <w:noWrap/>
            <w:hideMark/>
          </w:tcPr>
          <w:p w14:paraId="7A0E4E5D"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380</w:t>
            </w:r>
          </w:p>
        </w:tc>
        <w:tc>
          <w:tcPr>
            <w:tcW w:w="1134" w:type="dxa"/>
            <w:tcBorders>
              <w:top w:val="nil"/>
              <w:left w:val="nil"/>
              <w:bottom w:val="nil"/>
              <w:right w:val="single" w:sz="8" w:space="0" w:color="auto"/>
            </w:tcBorders>
            <w:shd w:val="clear" w:color="000000" w:fill="FFE68F"/>
            <w:noWrap/>
            <w:hideMark/>
          </w:tcPr>
          <w:p w14:paraId="11E13428"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380</w:t>
            </w:r>
          </w:p>
        </w:tc>
        <w:tc>
          <w:tcPr>
            <w:tcW w:w="1134" w:type="dxa"/>
            <w:tcBorders>
              <w:top w:val="nil"/>
              <w:left w:val="nil"/>
              <w:bottom w:val="nil"/>
              <w:right w:val="single" w:sz="12" w:space="0" w:color="auto"/>
            </w:tcBorders>
            <w:shd w:val="clear" w:color="000000" w:fill="FFE68F"/>
            <w:noWrap/>
            <w:hideMark/>
          </w:tcPr>
          <w:p w14:paraId="079AAB71" w14:textId="77777777" w:rsidR="00B06390" w:rsidRPr="000C5235" w:rsidRDefault="00B06390" w:rsidP="000A7DEC">
            <w:pPr>
              <w:pStyle w:val="LeasingProgTableText"/>
              <w:spacing w:line="220" w:lineRule="atLeast"/>
              <w:jc w:val="right"/>
              <w:rPr>
                <w:color w:val="0070C0"/>
                <w:szCs w:val="20"/>
              </w:rPr>
            </w:pPr>
            <w:r w:rsidRPr="000C5235">
              <w:rPr>
                <w:color w:val="0070C0"/>
                <w:sz w:val="20"/>
                <w:szCs w:val="20"/>
              </w:rPr>
              <w:t>380</w:t>
            </w:r>
          </w:p>
        </w:tc>
      </w:tr>
      <w:tr w:rsidR="001C70F1" w:rsidRPr="000C5235" w14:paraId="414F85DD" w14:textId="77777777" w:rsidTr="000A7DEC">
        <w:trPr>
          <w:trHeight w:val="293"/>
        </w:trPr>
        <w:tc>
          <w:tcPr>
            <w:tcW w:w="3364" w:type="dxa"/>
            <w:tcBorders>
              <w:top w:val="nil"/>
              <w:left w:val="single" w:sz="12" w:space="0" w:color="auto"/>
              <w:bottom w:val="nil"/>
              <w:right w:val="single" w:sz="8" w:space="0" w:color="auto"/>
            </w:tcBorders>
            <w:shd w:val="clear" w:color="auto" w:fill="CCECFF"/>
          </w:tcPr>
          <w:p w14:paraId="171C1B2D"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Credit applied to rental supplier expenses (rental payments)</w:t>
            </w:r>
          </w:p>
        </w:tc>
        <w:tc>
          <w:tcPr>
            <w:tcW w:w="1157" w:type="dxa"/>
            <w:tcBorders>
              <w:top w:val="nil"/>
              <w:left w:val="nil"/>
              <w:bottom w:val="nil"/>
              <w:right w:val="single" w:sz="8" w:space="0" w:color="auto"/>
            </w:tcBorders>
            <w:shd w:val="clear" w:color="auto" w:fill="CCECFF"/>
          </w:tcPr>
          <w:p w14:paraId="2C4B53A2"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-376</w:t>
            </w:r>
          </w:p>
        </w:tc>
        <w:tc>
          <w:tcPr>
            <w:tcW w:w="993" w:type="dxa"/>
            <w:tcBorders>
              <w:top w:val="nil"/>
              <w:left w:val="nil"/>
              <w:bottom w:val="nil"/>
              <w:right w:val="single" w:sz="8" w:space="0" w:color="auto"/>
            </w:tcBorders>
            <w:shd w:val="clear" w:color="auto" w:fill="CCECFF"/>
            <w:noWrap/>
          </w:tcPr>
          <w:p w14:paraId="60D42FDD"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-384</w:t>
            </w:r>
          </w:p>
        </w:tc>
        <w:tc>
          <w:tcPr>
            <w:tcW w:w="1134" w:type="dxa"/>
            <w:tcBorders>
              <w:top w:val="nil"/>
              <w:left w:val="nil"/>
              <w:bottom w:val="nil"/>
              <w:right w:val="single" w:sz="8" w:space="0" w:color="auto"/>
            </w:tcBorders>
            <w:shd w:val="clear" w:color="auto" w:fill="CCECFF"/>
            <w:noWrap/>
          </w:tcPr>
          <w:p w14:paraId="473D0C19"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-392</w:t>
            </w:r>
          </w:p>
        </w:tc>
        <w:tc>
          <w:tcPr>
            <w:tcW w:w="1134" w:type="dxa"/>
            <w:tcBorders>
              <w:top w:val="nil"/>
              <w:left w:val="nil"/>
              <w:bottom w:val="nil"/>
              <w:right w:val="single" w:sz="8" w:space="0" w:color="auto"/>
            </w:tcBorders>
            <w:shd w:val="clear" w:color="auto" w:fill="CCECFF"/>
            <w:noWrap/>
          </w:tcPr>
          <w:p w14:paraId="0C05FA9E"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-405</w:t>
            </w:r>
          </w:p>
        </w:tc>
        <w:tc>
          <w:tcPr>
            <w:tcW w:w="1134" w:type="dxa"/>
            <w:tcBorders>
              <w:top w:val="nil"/>
              <w:left w:val="nil"/>
              <w:bottom w:val="nil"/>
              <w:right w:val="single" w:sz="12" w:space="0" w:color="auto"/>
            </w:tcBorders>
            <w:shd w:val="clear" w:color="auto" w:fill="CCECFF"/>
            <w:noWrap/>
          </w:tcPr>
          <w:p w14:paraId="5C6C4993"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-4</w:t>
            </w:r>
            <w:r w:rsidR="008C3275" w:rsidRPr="000C5235">
              <w:rPr>
                <w:color w:val="FF0000"/>
                <w:szCs w:val="20"/>
              </w:rPr>
              <w:t>12</w:t>
            </w:r>
          </w:p>
        </w:tc>
      </w:tr>
      <w:tr w:rsidR="001C70F1" w:rsidRPr="000C5235" w14:paraId="3D48BC7A" w14:textId="77777777" w:rsidTr="000A7DEC">
        <w:trPr>
          <w:trHeight w:val="293"/>
        </w:trPr>
        <w:tc>
          <w:tcPr>
            <w:tcW w:w="3364" w:type="dxa"/>
            <w:tcBorders>
              <w:top w:val="nil"/>
              <w:left w:val="single" w:sz="12" w:space="0" w:color="auto"/>
              <w:bottom w:val="nil"/>
              <w:right w:val="single" w:sz="8" w:space="0" w:color="auto"/>
            </w:tcBorders>
            <w:shd w:val="clear" w:color="000000" w:fill="FFFFFF"/>
            <w:hideMark/>
          </w:tcPr>
          <w:p w14:paraId="22CF339F" w14:textId="77777777" w:rsidR="00B06390" w:rsidRPr="000C5235" w:rsidRDefault="00B06390"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tcPr>
          <w:p w14:paraId="01FC276B" w14:textId="77777777" w:rsidR="00B06390" w:rsidRPr="000C5235"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000000" w:fill="FFFFFF"/>
            <w:noWrap/>
          </w:tcPr>
          <w:p w14:paraId="4180E061"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000000" w:fill="FFFFFF"/>
            <w:noWrap/>
          </w:tcPr>
          <w:p w14:paraId="082CBF0A"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000000" w:fill="FFFFFF"/>
            <w:noWrap/>
          </w:tcPr>
          <w:p w14:paraId="37A985ED"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000000" w:fill="FFFFFF"/>
            <w:noWrap/>
          </w:tcPr>
          <w:p w14:paraId="7D839DC6" w14:textId="77777777" w:rsidR="00B06390" w:rsidRPr="000C5235" w:rsidRDefault="00B06390" w:rsidP="000A7DEC">
            <w:pPr>
              <w:pStyle w:val="LeasingProgTableText"/>
              <w:spacing w:line="220" w:lineRule="atLeast"/>
              <w:jc w:val="right"/>
              <w:rPr>
                <w:szCs w:val="20"/>
              </w:rPr>
            </w:pPr>
          </w:p>
        </w:tc>
      </w:tr>
      <w:tr w:rsidR="001C70F1" w:rsidRPr="000C5235" w14:paraId="0AE179D1" w14:textId="77777777" w:rsidTr="000A7DEC">
        <w:trPr>
          <w:trHeight w:val="293"/>
        </w:trPr>
        <w:tc>
          <w:tcPr>
            <w:tcW w:w="3364" w:type="dxa"/>
            <w:tcBorders>
              <w:top w:val="nil"/>
              <w:left w:val="single" w:sz="12" w:space="0" w:color="auto"/>
              <w:bottom w:val="nil"/>
              <w:right w:val="single" w:sz="8" w:space="0" w:color="auto"/>
            </w:tcBorders>
            <w:shd w:val="clear" w:color="000000" w:fill="FFFFFF"/>
            <w:noWrap/>
            <w:hideMark/>
          </w:tcPr>
          <w:p w14:paraId="2A735E6D" w14:textId="77777777" w:rsidR="00B06390" w:rsidRPr="000C5235" w:rsidRDefault="00B06390" w:rsidP="000A7DEC">
            <w:pPr>
              <w:pStyle w:val="LeasingProgTableText"/>
              <w:spacing w:line="220" w:lineRule="atLeast"/>
              <w:rPr>
                <w:szCs w:val="20"/>
              </w:rPr>
            </w:pPr>
            <w:r w:rsidRPr="000C5235">
              <w:rPr>
                <w:szCs w:val="20"/>
              </w:rPr>
              <w:t>s74 External Revenue</w:t>
            </w:r>
          </w:p>
        </w:tc>
        <w:tc>
          <w:tcPr>
            <w:tcW w:w="1157" w:type="dxa"/>
            <w:tcBorders>
              <w:top w:val="nil"/>
              <w:left w:val="nil"/>
              <w:bottom w:val="nil"/>
              <w:right w:val="single" w:sz="8" w:space="0" w:color="auto"/>
            </w:tcBorders>
            <w:shd w:val="clear" w:color="000000" w:fill="FFFFFF"/>
            <w:hideMark/>
          </w:tcPr>
          <w:p w14:paraId="26FA47BA" w14:textId="77777777" w:rsidR="00B06390" w:rsidRPr="000C5235" w:rsidRDefault="00B06390" w:rsidP="000A7DEC">
            <w:pPr>
              <w:pStyle w:val="LeasingProgTableText"/>
              <w:spacing w:line="220" w:lineRule="atLeast"/>
              <w:jc w:val="right"/>
              <w:rPr>
                <w:szCs w:val="20"/>
              </w:rPr>
            </w:pPr>
            <w:r w:rsidRPr="000C5235">
              <w:rPr>
                <w:szCs w:val="20"/>
              </w:rPr>
              <w:t>30</w:t>
            </w:r>
          </w:p>
        </w:tc>
        <w:tc>
          <w:tcPr>
            <w:tcW w:w="993" w:type="dxa"/>
            <w:tcBorders>
              <w:top w:val="nil"/>
              <w:left w:val="nil"/>
              <w:bottom w:val="nil"/>
              <w:right w:val="single" w:sz="8" w:space="0" w:color="auto"/>
            </w:tcBorders>
            <w:shd w:val="clear" w:color="000000" w:fill="FFFFFF"/>
            <w:noWrap/>
            <w:hideMark/>
          </w:tcPr>
          <w:p w14:paraId="6A9E7306" w14:textId="77777777" w:rsidR="00B06390" w:rsidRPr="000C5235" w:rsidRDefault="00B06390" w:rsidP="000A7DEC">
            <w:pPr>
              <w:pStyle w:val="LeasingProgTableText"/>
              <w:spacing w:line="220" w:lineRule="atLeast"/>
              <w:jc w:val="right"/>
              <w:rPr>
                <w:szCs w:val="20"/>
              </w:rPr>
            </w:pPr>
            <w:r w:rsidRPr="000C5235">
              <w:rPr>
                <w:szCs w:val="20"/>
              </w:rPr>
              <w:t>30</w:t>
            </w:r>
          </w:p>
        </w:tc>
        <w:tc>
          <w:tcPr>
            <w:tcW w:w="1134" w:type="dxa"/>
            <w:tcBorders>
              <w:top w:val="nil"/>
              <w:left w:val="nil"/>
              <w:bottom w:val="nil"/>
              <w:right w:val="single" w:sz="8" w:space="0" w:color="auto"/>
            </w:tcBorders>
            <w:shd w:val="clear" w:color="000000" w:fill="FFFFFF"/>
            <w:noWrap/>
            <w:hideMark/>
          </w:tcPr>
          <w:p w14:paraId="5BAF9FD2" w14:textId="77777777" w:rsidR="00B06390" w:rsidRPr="000C5235" w:rsidRDefault="00B06390" w:rsidP="000A7DEC">
            <w:pPr>
              <w:pStyle w:val="LeasingProgTableText"/>
              <w:spacing w:line="220" w:lineRule="atLeast"/>
              <w:jc w:val="right"/>
              <w:rPr>
                <w:szCs w:val="20"/>
              </w:rPr>
            </w:pPr>
            <w:r w:rsidRPr="000C5235">
              <w:rPr>
                <w:szCs w:val="20"/>
              </w:rPr>
              <w:t>30</w:t>
            </w:r>
          </w:p>
        </w:tc>
        <w:tc>
          <w:tcPr>
            <w:tcW w:w="1134" w:type="dxa"/>
            <w:tcBorders>
              <w:top w:val="nil"/>
              <w:left w:val="nil"/>
              <w:bottom w:val="nil"/>
              <w:right w:val="single" w:sz="8" w:space="0" w:color="auto"/>
            </w:tcBorders>
            <w:shd w:val="clear" w:color="000000" w:fill="FFFFFF"/>
            <w:noWrap/>
            <w:hideMark/>
          </w:tcPr>
          <w:p w14:paraId="7B9311AE" w14:textId="77777777" w:rsidR="00B06390" w:rsidRPr="000C5235" w:rsidRDefault="00B06390" w:rsidP="000A7DEC">
            <w:pPr>
              <w:pStyle w:val="LeasingProgTableText"/>
              <w:spacing w:line="220" w:lineRule="atLeast"/>
              <w:jc w:val="right"/>
              <w:rPr>
                <w:szCs w:val="20"/>
              </w:rPr>
            </w:pPr>
            <w:r w:rsidRPr="000C5235">
              <w:rPr>
                <w:szCs w:val="20"/>
              </w:rPr>
              <w:t>30</w:t>
            </w:r>
          </w:p>
        </w:tc>
        <w:tc>
          <w:tcPr>
            <w:tcW w:w="1134" w:type="dxa"/>
            <w:tcBorders>
              <w:top w:val="nil"/>
              <w:left w:val="nil"/>
              <w:bottom w:val="nil"/>
              <w:right w:val="single" w:sz="12" w:space="0" w:color="auto"/>
            </w:tcBorders>
            <w:shd w:val="clear" w:color="000000" w:fill="FFFFFF"/>
            <w:noWrap/>
            <w:hideMark/>
          </w:tcPr>
          <w:p w14:paraId="541A2A9C" w14:textId="77777777" w:rsidR="00B06390" w:rsidRPr="000C5235" w:rsidRDefault="00B06390" w:rsidP="000A7DEC">
            <w:pPr>
              <w:pStyle w:val="LeasingProgTableText"/>
              <w:spacing w:line="220" w:lineRule="atLeast"/>
              <w:jc w:val="right"/>
              <w:rPr>
                <w:szCs w:val="20"/>
              </w:rPr>
            </w:pPr>
            <w:r w:rsidRPr="000C5235">
              <w:rPr>
                <w:szCs w:val="20"/>
              </w:rPr>
              <w:t>30</w:t>
            </w:r>
          </w:p>
        </w:tc>
      </w:tr>
      <w:tr w:rsidR="001C70F1" w:rsidRPr="000C5235" w14:paraId="0599F839" w14:textId="77777777" w:rsidTr="000A7DEC">
        <w:trPr>
          <w:trHeight w:val="293"/>
        </w:trPr>
        <w:tc>
          <w:tcPr>
            <w:tcW w:w="3364" w:type="dxa"/>
            <w:tcBorders>
              <w:top w:val="nil"/>
              <w:left w:val="single" w:sz="12" w:space="0" w:color="auto"/>
              <w:bottom w:val="nil"/>
              <w:right w:val="single" w:sz="8" w:space="0" w:color="auto"/>
            </w:tcBorders>
            <w:shd w:val="clear" w:color="000000" w:fill="FFFFFF"/>
            <w:hideMark/>
          </w:tcPr>
          <w:p w14:paraId="070B03EC" w14:textId="77777777" w:rsidR="00B06390" w:rsidRPr="000C5235" w:rsidRDefault="00B06390"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tcPr>
          <w:p w14:paraId="4CA222AA" w14:textId="77777777" w:rsidR="00B06390" w:rsidRPr="000C5235"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000000" w:fill="FFFFFF"/>
            <w:noWrap/>
          </w:tcPr>
          <w:p w14:paraId="0318BADD"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000000" w:fill="FFFFFF"/>
            <w:noWrap/>
          </w:tcPr>
          <w:p w14:paraId="66C5615C"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000000" w:fill="FFFFFF"/>
            <w:noWrap/>
          </w:tcPr>
          <w:p w14:paraId="3D3505A7"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000000" w:fill="FFFFFF"/>
            <w:noWrap/>
          </w:tcPr>
          <w:p w14:paraId="3626B27B" w14:textId="77777777" w:rsidR="00B06390" w:rsidRPr="000C5235" w:rsidRDefault="00B06390" w:rsidP="000A7DEC">
            <w:pPr>
              <w:pStyle w:val="LeasingProgTableText"/>
              <w:spacing w:line="220" w:lineRule="atLeast"/>
              <w:jc w:val="right"/>
              <w:rPr>
                <w:szCs w:val="20"/>
              </w:rPr>
            </w:pPr>
          </w:p>
        </w:tc>
      </w:tr>
      <w:tr w:rsidR="001C70F1" w:rsidRPr="000C5235" w14:paraId="59B099EC" w14:textId="77777777" w:rsidTr="000A7DEC">
        <w:trPr>
          <w:trHeight w:val="459"/>
        </w:trPr>
        <w:tc>
          <w:tcPr>
            <w:tcW w:w="3364" w:type="dxa"/>
            <w:tcBorders>
              <w:top w:val="nil"/>
              <w:left w:val="single" w:sz="12" w:space="0" w:color="auto"/>
              <w:bottom w:val="nil"/>
              <w:right w:val="single" w:sz="8" w:space="0" w:color="auto"/>
            </w:tcBorders>
            <w:shd w:val="clear" w:color="000000" w:fill="FFFFFF"/>
            <w:hideMark/>
          </w:tcPr>
          <w:p w14:paraId="7ED44685" w14:textId="77777777" w:rsidR="00B06390" w:rsidRPr="000C5235" w:rsidRDefault="00B06390" w:rsidP="000A7DEC">
            <w:pPr>
              <w:pStyle w:val="LeasingProgTableText"/>
              <w:spacing w:line="220" w:lineRule="atLeast"/>
              <w:rPr>
                <w:szCs w:val="20"/>
              </w:rPr>
            </w:pPr>
            <w:r w:rsidRPr="000C5235">
              <w:rPr>
                <w:szCs w:val="20"/>
              </w:rPr>
              <w:t>Expenses not requiring appropriation in the Budget Year</w:t>
            </w:r>
          </w:p>
        </w:tc>
        <w:tc>
          <w:tcPr>
            <w:tcW w:w="1157" w:type="dxa"/>
            <w:tcBorders>
              <w:top w:val="nil"/>
              <w:left w:val="nil"/>
              <w:bottom w:val="nil"/>
              <w:right w:val="single" w:sz="8" w:space="0" w:color="auto"/>
            </w:tcBorders>
            <w:shd w:val="clear" w:color="000000" w:fill="FFFFFF"/>
            <w:hideMark/>
          </w:tcPr>
          <w:p w14:paraId="30A255C7" w14:textId="77777777" w:rsidR="00B06390" w:rsidRPr="000C5235" w:rsidRDefault="00B06390" w:rsidP="000A7DEC">
            <w:pPr>
              <w:pStyle w:val="LeasingProgTableText"/>
              <w:spacing w:line="220" w:lineRule="atLeast"/>
              <w:jc w:val="right"/>
              <w:rPr>
                <w:szCs w:val="20"/>
              </w:rPr>
            </w:pPr>
            <w:r w:rsidRPr="000C5235">
              <w:rPr>
                <w:szCs w:val="20"/>
              </w:rPr>
              <w:t>100</w:t>
            </w:r>
          </w:p>
        </w:tc>
        <w:tc>
          <w:tcPr>
            <w:tcW w:w="993" w:type="dxa"/>
            <w:tcBorders>
              <w:top w:val="nil"/>
              <w:left w:val="nil"/>
              <w:bottom w:val="nil"/>
              <w:right w:val="single" w:sz="8" w:space="0" w:color="auto"/>
            </w:tcBorders>
            <w:shd w:val="clear" w:color="000000" w:fill="FFFFFF"/>
            <w:noWrap/>
            <w:hideMark/>
          </w:tcPr>
          <w:p w14:paraId="5EC177B3" w14:textId="77777777" w:rsidR="00B06390" w:rsidRPr="000C5235" w:rsidRDefault="00B06390" w:rsidP="000A7DEC">
            <w:pPr>
              <w:pStyle w:val="LeasingProgTableText"/>
              <w:spacing w:line="220" w:lineRule="atLeast"/>
              <w:jc w:val="right"/>
              <w:rPr>
                <w:szCs w:val="20"/>
              </w:rPr>
            </w:pPr>
            <w:r w:rsidRPr="000C5235">
              <w:rPr>
                <w:szCs w:val="20"/>
              </w:rPr>
              <w:t>100</w:t>
            </w:r>
          </w:p>
        </w:tc>
        <w:tc>
          <w:tcPr>
            <w:tcW w:w="1134" w:type="dxa"/>
            <w:tcBorders>
              <w:top w:val="nil"/>
              <w:left w:val="nil"/>
              <w:bottom w:val="nil"/>
              <w:right w:val="single" w:sz="8" w:space="0" w:color="auto"/>
            </w:tcBorders>
            <w:shd w:val="clear" w:color="000000" w:fill="FFFFFF"/>
            <w:noWrap/>
            <w:hideMark/>
          </w:tcPr>
          <w:p w14:paraId="3F1A0803" w14:textId="77777777" w:rsidR="00B06390" w:rsidRPr="000C5235" w:rsidRDefault="00B06390" w:rsidP="000A7DEC">
            <w:pPr>
              <w:pStyle w:val="LeasingProgTableText"/>
              <w:spacing w:line="220" w:lineRule="atLeast"/>
              <w:jc w:val="right"/>
              <w:rPr>
                <w:szCs w:val="20"/>
              </w:rPr>
            </w:pPr>
            <w:r w:rsidRPr="000C5235">
              <w:rPr>
                <w:szCs w:val="20"/>
              </w:rPr>
              <w:t>100</w:t>
            </w:r>
          </w:p>
        </w:tc>
        <w:tc>
          <w:tcPr>
            <w:tcW w:w="1134" w:type="dxa"/>
            <w:tcBorders>
              <w:top w:val="nil"/>
              <w:left w:val="nil"/>
              <w:bottom w:val="nil"/>
              <w:right w:val="single" w:sz="8" w:space="0" w:color="auto"/>
            </w:tcBorders>
            <w:shd w:val="clear" w:color="000000" w:fill="FFFFFF"/>
            <w:noWrap/>
            <w:hideMark/>
          </w:tcPr>
          <w:p w14:paraId="64B229D6" w14:textId="77777777" w:rsidR="00B06390" w:rsidRPr="000C5235" w:rsidRDefault="00B06390" w:rsidP="000A7DEC">
            <w:pPr>
              <w:pStyle w:val="LeasingProgTableText"/>
              <w:spacing w:line="220" w:lineRule="atLeast"/>
              <w:jc w:val="right"/>
              <w:rPr>
                <w:szCs w:val="20"/>
              </w:rPr>
            </w:pPr>
            <w:r w:rsidRPr="000C5235">
              <w:rPr>
                <w:szCs w:val="20"/>
              </w:rPr>
              <w:t>100</w:t>
            </w:r>
          </w:p>
        </w:tc>
        <w:tc>
          <w:tcPr>
            <w:tcW w:w="1134" w:type="dxa"/>
            <w:tcBorders>
              <w:top w:val="nil"/>
              <w:left w:val="nil"/>
              <w:bottom w:val="nil"/>
              <w:right w:val="single" w:sz="12" w:space="0" w:color="auto"/>
            </w:tcBorders>
            <w:shd w:val="clear" w:color="000000" w:fill="FFFFFF"/>
            <w:noWrap/>
            <w:hideMark/>
          </w:tcPr>
          <w:p w14:paraId="21FBF346" w14:textId="77777777" w:rsidR="00B06390" w:rsidRPr="000C5235" w:rsidRDefault="00B06390" w:rsidP="000A7DEC">
            <w:pPr>
              <w:pStyle w:val="LeasingProgTableText"/>
              <w:spacing w:line="220" w:lineRule="atLeast"/>
              <w:jc w:val="right"/>
              <w:rPr>
                <w:szCs w:val="20"/>
              </w:rPr>
            </w:pPr>
            <w:r w:rsidRPr="000C5235">
              <w:rPr>
                <w:szCs w:val="20"/>
              </w:rPr>
              <w:t>100</w:t>
            </w:r>
          </w:p>
        </w:tc>
      </w:tr>
      <w:tr w:rsidR="001C70F1" w:rsidRPr="000C5235" w14:paraId="67A9BED2" w14:textId="77777777" w:rsidTr="000A7DEC">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670DD63D" w14:textId="77777777" w:rsidR="00B06390" w:rsidRPr="000C5235" w:rsidRDefault="00B06390" w:rsidP="000A7DEC">
            <w:pPr>
              <w:pStyle w:val="LeasingProgTableText"/>
              <w:spacing w:line="220" w:lineRule="atLeast"/>
              <w:ind w:left="165"/>
              <w:rPr>
                <w:color w:val="0070C0"/>
                <w:szCs w:val="20"/>
                <w:u w:val="single"/>
              </w:rPr>
            </w:pPr>
            <w:r w:rsidRPr="000C5235">
              <w:rPr>
                <w:color w:val="0070C0"/>
                <w:szCs w:val="20"/>
                <w:u w:val="single"/>
              </w:rPr>
              <w:t>Consists of:</w:t>
            </w:r>
          </w:p>
        </w:tc>
        <w:tc>
          <w:tcPr>
            <w:tcW w:w="1157" w:type="dxa"/>
            <w:tcBorders>
              <w:top w:val="nil"/>
              <w:left w:val="nil"/>
              <w:bottom w:val="nil"/>
              <w:right w:val="single" w:sz="8" w:space="0" w:color="auto"/>
            </w:tcBorders>
            <w:shd w:val="clear" w:color="auto" w:fill="FFE68F" w:themeFill="accent6" w:themeFillTint="66"/>
          </w:tcPr>
          <w:p w14:paraId="18E0C465" w14:textId="77777777" w:rsidR="00B06390" w:rsidRPr="000C5235"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auto" w:fill="FFE68F" w:themeFill="accent6" w:themeFillTint="66"/>
            <w:noWrap/>
          </w:tcPr>
          <w:p w14:paraId="01DB0F31"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4BE27CA1"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4AD3FE50"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auto" w:fill="FFE68F" w:themeFill="accent6" w:themeFillTint="66"/>
            <w:noWrap/>
          </w:tcPr>
          <w:p w14:paraId="41D01B07" w14:textId="77777777" w:rsidR="00B06390" w:rsidRPr="000C5235" w:rsidRDefault="00B06390" w:rsidP="000A7DEC">
            <w:pPr>
              <w:pStyle w:val="LeasingProgTableText"/>
              <w:spacing w:line="220" w:lineRule="atLeast"/>
              <w:jc w:val="right"/>
              <w:rPr>
                <w:szCs w:val="20"/>
              </w:rPr>
            </w:pPr>
          </w:p>
        </w:tc>
      </w:tr>
      <w:tr w:rsidR="001C70F1" w:rsidRPr="000C5235" w14:paraId="152D4021" w14:textId="77777777" w:rsidTr="000A7DEC">
        <w:trPr>
          <w:trHeight w:val="306"/>
        </w:trPr>
        <w:tc>
          <w:tcPr>
            <w:tcW w:w="3364" w:type="dxa"/>
            <w:tcBorders>
              <w:top w:val="nil"/>
              <w:left w:val="single" w:sz="12" w:space="0" w:color="auto"/>
              <w:bottom w:val="nil"/>
              <w:right w:val="single" w:sz="8" w:space="0" w:color="auto"/>
            </w:tcBorders>
            <w:shd w:val="clear" w:color="auto" w:fill="FFE68F" w:themeFill="accent6" w:themeFillTint="66"/>
            <w:hideMark/>
          </w:tcPr>
          <w:p w14:paraId="760A71FA"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Other Depreciation</w:t>
            </w:r>
          </w:p>
        </w:tc>
        <w:tc>
          <w:tcPr>
            <w:tcW w:w="1157" w:type="dxa"/>
            <w:tcBorders>
              <w:top w:val="nil"/>
              <w:left w:val="nil"/>
              <w:bottom w:val="single" w:sz="8" w:space="0" w:color="auto"/>
              <w:right w:val="single" w:sz="8" w:space="0" w:color="auto"/>
            </w:tcBorders>
            <w:shd w:val="clear" w:color="auto" w:fill="FFE68F" w:themeFill="accent6" w:themeFillTint="66"/>
            <w:hideMark/>
          </w:tcPr>
          <w:p w14:paraId="09C36F0C"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c>
          <w:tcPr>
            <w:tcW w:w="993" w:type="dxa"/>
            <w:tcBorders>
              <w:top w:val="nil"/>
              <w:left w:val="nil"/>
              <w:bottom w:val="single" w:sz="8" w:space="0" w:color="auto"/>
              <w:right w:val="single" w:sz="8" w:space="0" w:color="auto"/>
            </w:tcBorders>
            <w:shd w:val="clear" w:color="auto" w:fill="FFE68F" w:themeFill="accent6" w:themeFillTint="66"/>
            <w:noWrap/>
            <w:hideMark/>
          </w:tcPr>
          <w:p w14:paraId="2987D024"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c>
          <w:tcPr>
            <w:tcW w:w="1134" w:type="dxa"/>
            <w:tcBorders>
              <w:top w:val="nil"/>
              <w:left w:val="nil"/>
              <w:bottom w:val="single" w:sz="8" w:space="0" w:color="auto"/>
              <w:right w:val="single" w:sz="8" w:space="0" w:color="auto"/>
            </w:tcBorders>
            <w:shd w:val="clear" w:color="auto" w:fill="FFE68F" w:themeFill="accent6" w:themeFillTint="66"/>
            <w:noWrap/>
            <w:hideMark/>
          </w:tcPr>
          <w:p w14:paraId="5A48B212"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c>
          <w:tcPr>
            <w:tcW w:w="1134" w:type="dxa"/>
            <w:tcBorders>
              <w:top w:val="nil"/>
              <w:left w:val="nil"/>
              <w:bottom w:val="single" w:sz="8" w:space="0" w:color="auto"/>
              <w:right w:val="single" w:sz="8" w:space="0" w:color="auto"/>
            </w:tcBorders>
            <w:shd w:val="clear" w:color="auto" w:fill="FFE68F" w:themeFill="accent6" w:themeFillTint="66"/>
            <w:noWrap/>
            <w:hideMark/>
          </w:tcPr>
          <w:p w14:paraId="31E430D6"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c>
          <w:tcPr>
            <w:tcW w:w="1134" w:type="dxa"/>
            <w:tcBorders>
              <w:top w:val="nil"/>
              <w:left w:val="nil"/>
              <w:bottom w:val="single" w:sz="8" w:space="0" w:color="auto"/>
              <w:right w:val="single" w:sz="12" w:space="0" w:color="auto"/>
            </w:tcBorders>
            <w:shd w:val="clear" w:color="auto" w:fill="FFE68F" w:themeFill="accent6" w:themeFillTint="66"/>
            <w:noWrap/>
            <w:hideMark/>
          </w:tcPr>
          <w:p w14:paraId="1A32427C"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r>
      <w:tr w:rsidR="001C70F1" w:rsidRPr="000C5235" w14:paraId="653E1E99" w14:textId="77777777" w:rsidTr="000A7DEC">
        <w:trPr>
          <w:trHeight w:val="306"/>
        </w:trPr>
        <w:tc>
          <w:tcPr>
            <w:tcW w:w="3364" w:type="dxa"/>
            <w:tcBorders>
              <w:top w:val="nil"/>
              <w:left w:val="single" w:sz="12" w:space="0" w:color="auto"/>
              <w:bottom w:val="nil"/>
              <w:right w:val="single" w:sz="8" w:space="0" w:color="auto"/>
            </w:tcBorders>
            <w:shd w:val="clear" w:color="000000" w:fill="FFFFFF"/>
            <w:noWrap/>
            <w:hideMark/>
          </w:tcPr>
          <w:p w14:paraId="0401E47E" w14:textId="77777777" w:rsidR="00B06390" w:rsidRPr="000C5235" w:rsidRDefault="00B06390" w:rsidP="000A7DEC">
            <w:pPr>
              <w:pStyle w:val="LeasingProgTableText"/>
              <w:spacing w:line="220" w:lineRule="atLeast"/>
              <w:rPr>
                <w:szCs w:val="20"/>
              </w:rPr>
            </w:pPr>
            <w:r w:rsidRPr="000C5235">
              <w:rPr>
                <w:szCs w:val="20"/>
              </w:rPr>
              <w:t>Departmental program expenditure</w:t>
            </w:r>
          </w:p>
        </w:tc>
        <w:tc>
          <w:tcPr>
            <w:tcW w:w="1157" w:type="dxa"/>
            <w:tcBorders>
              <w:top w:val="nil"/>
              <w:left w:val="nil"/>
              <w:bottom w:val="double" w:sz="6" w:space="0" w:color="auto"/>
              <w:right w:val="single" w:sz="8" w:space="0" w:color="auto"/>
            </w:tcBorders>
            <w:shd w:val="clear" w:color="000000" w:fill="FFFFFF"/>
            <w:hideMark/>
          </w:tcPr>
          <w:p w14:paraId="57A77995" w14:textId="77777777" w:rsidR="00B06390" w:rsidRPr="000C5235" w:rsidRDefault="00B06390" w:rsidP="000A7DEC">
            <w:pPr>
              <w:pStyle w:val="LeasingProgTableText"/>
              <w:spacing w:line="220" w:lineRule="atLeast"/>
              <w:jc w:val="right"/>
              <w:rPr>
                <w:szCs w:val="20"/>
              </w:rPr>
            </w:pPr>
            <w:r w:rsidRPr="000C5235">
              <w:rPr>
                <w:szCs w:val="20"/>
              </w:rPr>
              <w:t>5,900</w:t>
            </w:r>
          </w:p>
        </w:tc>
        <w:tc>
          <w:tcPr>
            <w:tcW w:w="993" w:type="dxa"/>
            <w:tcBorders>
              <w:top w:val="nil"/>
              <w:left w:val="nil"/>
              <w:bottom w:val="double" w:sz="6" w:space="0" w:color="auto"/>
              <w:right w:val="single" w:sz="8" w:space="0" w:color="auto"/>
            </w:tcBorders>
            <w:shd w:val="clear" w:color="000000" w:fill="FFFFFF"/>
            <w:hideMark/>
          </w:tcPr>
          <w:p w14:paraId="4EF031BA" w14:textId="77777777" w:rsidR="00B06390" w:rsidRPr="000C5235" w:rsidRDefault="00B06390" w:rsidP="000A7DEC">
            <w:pPr>
              <w:pStyle w:val="LeasingProgTableText"/>
              <w:spacing w:line="220" w:lineRule="atLeast"/>
              <w:jc w:val="right"/>
              <w:rPr>
                <w:szCs w:val="20"/>
              </w:rPr>
            </w:pPr>
            <w:r w:rsidRPr="000C5235">
              <w:rPr>
                <w:szCs w:val="20"/>
              </w:rPr>
              <w:t>6,140</w:t>
            </w:r>
          </w:p>
        </w:tc>
        <w:tc>
          <w:tcPr>
            <w:tcW w:w="1134" w:type="dxa"/>
            <w:tcBorders>
              <w:top w:val="nil"/>
              <w:left w:val="nil"/>
              <w:bottom w:val="double" w:sz="6" w:space="0" w:color="auto"/>
              <w:right w:val="single" w:sz="8" w:space="0" w:color="auto"/>
            </w:tcBorders>
            <w:shd w:val="clear" w:color="000000" w:fill="FFFFFF"/>
            <w:hideMark/>
          </w:tcPr>
          <w:p w14:paraId="6FB09C49" w14:textId="77777777" w:rsidR="00B06390" w:rsidRPr="000C5235" w:rsidRDefault="00B06390" w:rsidP="000A7DEC">
            <w:pPr>
              <w:pStyle w:val="LeasingProgTableText"/>
              <w:spacing w:line="220" w:lineRule="atLeast"/>
              <w:jc w:val="right"/>
              <w:rPr>
                <w:szCs w:val="20"/>
              </w:rPr>
            </w:pPr>
            <w:r w:rsidRPr="000C5235">
              <w:rPr>
                <w:szCs w:val="20"/>
              </w:rPr>
              <w:t>6,230</w:t>
            </w:r>
          </w:p>
        </w:tc>
        <w:tc>
          <w:tcPr>
            <w:tcW w:w="1134" w:type="dxa"/>
            <w:tcBorders>
              <w:top w:val="nil"/>
              <w:left w:val="nil"/>
              <w:bottom w:val="double" w:sz="6" w:space="0" w:color="auto"/>
              <w:right w:val="single" w:sz="8" w:space="0" w:color="auto"/>
            </w:tcBorders>
            <w:shd w:val="clear" w:color="000000" w:fill="FFFFFF"/>
            <w:hideMark/>
          </w:tcPr>
          <w:p w14:paraId="6568960D" w14:textId="77777777" w:rsidR="00B06390" w:rsidRPr="000C5235" w:rsidRDefault="00B06390" w:rsidP="000A7DEC">
            <w:pPr>
              <w:pStyle w:val="LeasingProgTableText"/>
              <w:spacing w:line="220" w:lineRule="atLeast"/>
              <w:jc w:val="right"/>
              <w:rPr>
                <w:szCs w:val="20"/>
              </w:rPr>
            </w:pPr>
            <w:r w:rsidRPr="000C5235">
              <w:rPr>
                <w:szCs w:val="20"/>
              </w:rPr>
              <w:t>6,415</w:t>
            </w:r>
          </w:p>
        </w:tc>
        <w:tc>
          <w:tcPr>
            <w:tcW w:w="1134" w:type="dxa"/>
            <w:tcBorders>
              <w:top w:val="nil"/>
              <w:left w:val="nil"/>
              <w:bottom w:val="double" w:sz="6" w:space="0" w:color="auto"/>
              <w:right w:val="single" w:sz="12" w:space="0" w:color="auto"/>
            </w:tcBorders>
            <w:shd w:val="clear" w:color="000000" w:fill="FFFFFF"/>
            <w:hideMark/>
          </w:tcPr>
          <w:p w14:paraId="78516289" w14:textId="77777777" w:rsidR="00B06390" w:rsidRPr="000C5235" w:rsidRDefault="00B06390" w:rsidP="000A7DEC">
            <w:pPr>
              <w:pStyle w:val="LeasingProgTableText"/>
              <w:spacing w:line="220" w:lineRule="atLeast"/>
              <w:jc w:val="right"/>
              <w:rPr>
                <w:szCs w:val="20"/>
              </w:rPr>
            </w:pPr>
            <w:r w:rsidRPr="000C5235">
              <w:rPr>
                <w:sz w:val="20"/>
                <w:szCs w:val="20"/>
              </w:rPr>
              <w:t>6,5</w:t>
            </w:r>
            <w:r w:rsidR="00D65C98" w:rsidRPr="000C5235">
              <w:rPr>
                <w:szCs w:val="20"/>
              </w:rPr>
              <w:t>83</w:t>
            </w:r>
          </w:p>
        </w:tc>
      </w:tr>
      <w:tr w:rsidR="001C70F1" w:rsidRPr="000C5235" w14:paraId="766CE899" w14:textId="77777777" w:rsidTr="000A7DEC">
        <w:trPr>
          <w:trHeight w:val="306"/>
        </w:trPr>
        <w:tc>
          <w:tcPr>
            <w:tcW w:w="3364" w:type="dxa"/>
            <w:tcBorders>
              <w:top w:val="nil"/>
              <w:left w:val="single" w:sz="12" w:space="0" w:color="auto"/>
              <w:bottom w:val="nil"/>
              <w:right w:val="nil"/>
            </w:tcBorders>
            <w:shd w:val="clear" w:color="000000" w:fill="FFFFFF"/>
            <w:noWrap/>
            <w:hideMark/>
          </w:tcPr>
          <w:p w14:paraId="1B28C51A" w14:textId="77777777" w:rsidR="00261938" w:rsidRPr="000C5235" w:rsidRDefault="00261938" w:rsidP="000A7DEC">
            <w:pPr>
              <w:pStyle w:val="LeasingProgTableText"/>
              <w:spacing w:line="220" w:lineRule="atLeast"/>
              <w:rPr>
                <w:szCs w:val="20"/>
              </w:rPr>
            </w:pPr>
          </w:p>
        </w:tc>
        <w:tc>
          <w:tcPr>
            <w:tcW w:w="1157" w:type="dxa"/>
            <w:tcBorders>
              <w:top w:val="nil"/>
              <w:left w:val="nil"/>
              <w:bottom w:val="nil"/>
              <w:right w:val="nil"/>
            </w:tcBorders>
            <w:shd w:val="clear" w:color="000000" w:fill="FFFFFF"/>
            <w:vAlign w:val="center"/>
          </w:tcPr>
          <w:p w14:paraId="061E310B" w14:textId="77777777" w:rsidR="00261938" w:rsidRPr="000C5235" w:rsidRDefault="00261938" w:rsidP="000A7DEC">
            <w:pPr>
              <w:pStyle w:val="LeasingProgTableText"/>
              <w:spacing w:line="220" w:lineRule="atLeast"/>
              <w:jc w:val="right"/>
              <w:rPr>
                <w:szCs w:val="20"/>
              </w:rPr>
            </w:pPr>
          </w:p>
        </w:tc>
        <w:tc>
          <w:tcPr>
            <w:tcW w:w="993" w:type="dxa"/>
            <w:tcBorders>
              <w:top w:val="nil"/>
              <w:left w:val="nil"/>
              <w:bottom w:val="nil"/>
              <w:right w:val="nil"/>
            </w:tcBorders>
            <w:shd w:val="clear" w:color="000000" w:fill="FFFFFF"/>
            <w:noWrap/>
          </w:tcPr>
          <w:p w14:paraId="4F4C281F" w14:textId="77777777" w:rsidR="00261938" w:rsidRPr="000C5235" w:rsidRDefault="00261938" w:rsidP="000A7DEC">
            <w:pPr>
              <w:pStyle w:val="LeasingProgTableText"/>
              <w:spacing w:line="220" w:lineRule="atLeast"/>
              <w:jc w:val="right"/>
              <w:rPr>
                <w:szCs w:val="20"/>
              </w:rPr>
            </w:pPr>
          </w:p>
        </w:tc>
        <w:tc>
          <w:tcPr>
            <w:tcW w:w="1134" w:type="dxa"/>
            <w:tcBorders>
              <w:top w:val="nil"/>
              <w:left w:val="nil"/>
              <w:bottom w:val="nil"/>
              <w:right w:val="nil"/>
            </w:tcBorders>
            <w:shd w:val="clear" w:color="000000" w:fill="FFFFFF"/>
            <w:noWrap/>
          </w:tcPr>
          <w:p w14:paraId="37ABFEC9" w14:textId="77777777" w:rsidR="00261938" w:rsidRPr="000C5235" w:rsidRDefault="00261938" w:rsidP="000A7DEC">
            <w:pPr>
              <w:pStyle w:val="LeasingProgTableText"/>
              <w:spacing w:line="220" w:lineRule="atLeast"/>
              <w:jc w:val="right"/>
              <w:rPr>
                <w:szCs w:val="20"/>
              </w:rPr>
            </w:pPr>
          </w:p>
        </w:tc>
        <w:tc>
          <w:tcPr>
            <w:tcW w:w="1134" w:type="dxa"/>
            <w:tcBorders>
              <w:top w:val="nil"/>
              <w:left w:val="nil"/>
              <w:bottom w:val="nil"/>
              <w:right w:val="nil"/>
            </w:tcBorders>
            <w:shd w:val="clear" w:color="000000" w:fill="FFFFFF"/>
            <w:noWrap/>
          </w:tcPr>
          <w:p w14:paraId="5C5A3079" w14:textId="77777777" w:rsidR="00261938" w:rsidRPr="000C5235" w:rsidRDefault="00261938"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000000" w:fill="FFFFFF"/>
            <w:noWrap/>
          </w:tcPr>
          <w:p w14:paraId="0B02686E" w14:textId="77777777" w:rsidR="00261938" w:rsidRPr="000C5235" w:rsidRDefault="00261938" w:rsidP="000A7DEC">
            <w:pPr>
              <w:pStyle w:val="LeasingProgTableText"/>
              <w:spacing w:line="220" w:lineRule="atLeast"/>
              <w:jc w:val="right"/>
              <w:rPr>
                <w:szCs w:val="20"/>
              </w:rPr>
            </w:pPr>
          </w:p>
        </w:tc>
      </w:tr>
      <w:tr w:rsidR="00261938" w:rsidRPr="000C5235" w14:paraId="462A9D76" w14:textId="77777777" w:rsidTr="000A7DEC">
        <w:trPr>
          <w:trHeight w:val="293"/>
        </w:trPr>
        <w:tc>
          <w:tcPr>
            <w:tcW w:w="8916" w:type="dxa"/>
            <w:gridSpan w:val="6"/>
            <w:tcBorders>
              <w:top w:val="nil"/>
              <w:left w:val="single" w:sz="12" w:space="0" w:color="auto"/>
              <w:right w:val="single" w:sz="12" w:space="0" w:color="auto"/>
            </w:tcBorders>
            <w:shd w:val="clear" w:color="000000" w:fill="FFFFFF"/>
            <w:noWrap/>
            <w:vAlign w:val="center"/>
            <w:hideMark/>
          </w:tcPr>
          <w:p w14:paraId="4B242EF7" w14:textId="77777777" w:rsidR="00261938" w:rsidRPr="000C5235" w:rsidRDefault="00261938" w:rsidP="000A7DEC">
            <w:pPr>
              <w:pStyle w:val="LeasingProgTableText"/>
              <w:spacing w:line="220" w:lineRule="atLeast"/>
              <w:rPr>
                <w:b/>
                <w:bCs/>
                <w:i/>
                <w:szCs w:val="20"/>
              </w:rPr>
            </w:pPr>
            <w:r w:rsidRPr="000C5235">
              <w:rPr>
                <w:b/>
                <w:bCs/>
                <w:i/>
                <w:szCs w:val="20"/>
              </w:rPr>
              <w:t>*</w:t>
            </w:r>
            <w:r w:rsidRPr="000C5235">
              <w:rPr>
                <w:i/>
                <w:szCs w:val="20"/>
              </w:rPr>
              <w:t xml:space="preserve"> Reporting as per the new accounting standard AASB</w:t>
            </w:r>
            <w:r w:rsidR="00A250B5" w:rsidRPr="000C5235">
              <w:rPr>
                <w:i/>
                <w:szCs w:val="20"/>
              </w:rPr>
              <w:t xml:space="preserve"> </w:t>
            </w:r>
            <w:r w:rsidRPr="000C5235">
              <w:rPr>
                <w:i/>
                <w:szCs w:val="20"/>
              </w:rPr>
              <w:t>16 Leases came into effect for Commonwealth entities from 1 July 2019.</w:t>
            </w:r>
          </w:p>
        </w:tc>
      </w:tr>
      <w:tr w:rsidR="001C70F1" w:rsidRPr="000C5235" w14:paraId="24AE579A" w14:textId="77777777" w:rsidTr="000A7DEC">
        <w:trPr>
          <w:trHeight w:val="80"/>
        </w:trPr>
        <w:tc>
          <w:tcPr>
            <w:tcW w:w="3364" w:type="dxa"/>
            <w:tcBorders>
              <w:top w:val="nil"/>
              <w:left w:val="single" w:sz="12" w:space="0" w:color="auto"/>
              <w:bottom w:val="single" w:sz="12" w:space="0" w:color="auto"/>
              <w:right w:val="nil"/>
            </w:tcBorders>
            <w:shd w:val="clear" w:color="000000" w:fill="FFFFFF"/>
            <w:noWrap/>
            <w:vAlign w:val="center"/>
            <w:hideMark/>
          </w:tcPr>
          <w:p w14:paraId="6BE788A3" w14:textId="77777777" w:rsidR="00261938" w:rsidRPr="000C5235" w:rsidRDefault="00261938" w:rsidP="000A7DEC">
            <w:pPr>
              <w:pStyle w:val="LeasingProgTableText"/>
              <w:spacing w:line="220" w:lineRule="atLeast"/>
              <w:rPr>
                <w:szCs w:val="20"/>
              </w:rPr>
            </w:pPr>
          </w:p>
        </w:tc>
        <w:tc>
          <w:tcPr>
            <w:tcW w:w="1157" w:type="dxa"/>
            <w:tcBorders>
              <w:top w:val="nil"/>
              <w:left w:val="nil"/>
              <w:bottom w:val="single" w:sz="12" w:space="0" w:color="auto"/>
              <w:right w:val="nil"/>
            </w:tcBorders>
            <w:shd w:val="clear" w:color="000000" w:fill="FFFFFF"/>
            <w:vAlign w:val="center"/>
          </w:tcPr>
          <w:p w14:paraId="2C71CE13" w14:textId="77777777" w:rsidR="00261938" w:rsidRPr="000C5235" w:rsidRDefault="00261938" w:rsidP="000A7DEC">
            <w:pPr>
              <w:pStyle w:val="LeasingProgTableText"/>
              <w:spacing w:line="220" w:lineRule="atLeast"/>
              <w:rPr>
                <w:szCs w:val="20"/>
              </w:rPr>
            </w:pPr>
          </w:p>
        </w:tc>
        <w:tc>
          <w:tcPr>
            <w:tcW w:w="993" w:type="dxa"/>
            <w:tcBorders>
              <w:top w:val="nil"/>
              <w:left w:val="nil"/>
              <w:bottom w:val="single" w:sz="12" w:space="0" w:color="auto"/>
              <w:right w:val="nil"/>
            </w:tcBorders>
            <w:shd w:val="clear" w:color="000000" w:fill="FFFFFF"/>
            <w:noWrap/>
            <w:vAlign w:val="center"/>
          </w:tcPr>
          <w:p w14:paraId="24FB884B" w14:textId="77777777" w:rsidR="00261938" w:rsidRPr="000C5235" w:rsidRDefault="00261938" w:rsidP="000A7DEC">
            <w:pPr>
              <w:pStyle w:val="LeasingProgTableText"/>
              <w:spacing w:line="220" w:lineRule="atLeast"/>
              <w:rPr>
                <w:szCs w:val="20"/>
              </w:rPr>
            </w:pPr>
          </w:p>
        </w:tc>
        <w:tc>
          <w:tcPr>
            <w:tcW w:w="1134" w:type="dxa"/>
            <w:tcBorders>
              <w:top w:val="nil"/>
              <w:left w:val="nil"/>
              <w:bottom w:val="single" w:sz="12" w:space="0" w:color="auto"/>
              <w:right w:val="nil"/>
            </w:tcBorders>
            <w:shd w:val="clear" w:color="000000" w:fill="FFFFFF"/>
            <w:noWrap/>
            <w:vAlign w:val="center"/>
          </w:tcPr>
          <w:p w14:paraId="60A87378" w14:textId="77777777" w:rsidR="00261938" w:rsidRPr="000C5235" w:rsidRDefault="00261938" w:rsidP="000A7DEC">
            <w:pPr>
              <w:pStyle w:val="LeasingProgTableText"/>
              <w:spacing w:line="220" w:lineRule="atLeast"/>
              <w:rPr>
                <w:szCs w:val="20"/>
              </w:rPr>
            </w:pPr>
          </w:p>
        </w:tc>
        <w:tc>
          <w:tcPr>
            <w:tcW w:w="1134" w:type="dxa"/>
            <w:tcBorders>
              <w:top w:val="nil"/>
              <w:left w:val="nil"/>
              <w:bottom w:val="single" w:sz="12" w:space="0" w:color="auto"/>
              <w:right w:val="nil"/>
            </w:tcBorders>
            <w:shd w:val="clear" w:color="000000" w:fill="FFFFFF"/>
            <w:noWrap/>
            <w:vAlign w:val="center"/>
          </w:tcPr>
          <w:p w14:paraId="3962B4B6" w14:textId="77777777" w:rsidR="00261938" w:rsidRPr="000C5235" w:rsidRDefault="00261938" w:rsidP="000A7DEC">
            <w:pPr>
              <w:pStyle w:val="LeasingProgTableText"/>
              <w:spacing w:line="220" w:lineRule="atLeast"/>
              <w:rPr>
                <w:szCs w:val="20"/>
              </w:rPr>
            </w:pPr>
          </w:p>
        </w:tc>
        <w:tc>
          <w:tcPr>
            <w:tcW w:w="1134" w:type="dxa"/>
            <w:tcBorders>
              <w:top w:val="nil"/>
              <w:left w:val="nil"/>
              <w:bottom w:val="single" w:sz="12" w:space="0" w:color="auto"/>
              <w:right w:val="single" w:sz="12" w:space="0" w:color="auto"/>
            </w:tcBorders>
            <w:shd w:val="clear" w:color="000000" w:fill="FFFFFF"/>
            <w:noWrap/>
            <w:vAlign w:val="center"/>
          </w:tcPr>
          <w:p w14:paraId="1ABB7619" w14:textId="77777777" w:rsidR="00261938" w:rsidRPr="000C5235" w:rsidRDefault="00261938" w:rsidP="000A7DEC">
            <w:pPr>
              <w:pStyle w:val="LeasingProgTableText"/>
              <w:spacing w:line="220" w:lineRule="atLeast"/>
              <w:rPr>
                <w:szCs w:val="20"/>
              </w:rPr>
            </w:pPr>
          </w:p>
        </w:tc>
      </w:tr>
    </w:tbl>
    <w:p w14:paraId="4F638377" w14:textId="77777777" w:rsidR="005F4D5C" w:rsidRPr="000C5235" w:rsidRDefault="005F4D5C" w:rsidP="000A7DEC">
      <w:pPr>
        <w:pStyle w:val="Heading4nonumbers"/>
        <w:spacing w:before="240"/>
        <w:rPr>
          <w:rStyle w:val="BodyTextChar"/>
          <w:rFonts w:asciiTheme="minorHAnsi" w:hAnsiTheme="minorHAnsi"/>
          <w:bCs w:val="0"/>
          <w:iCs w:val="0"/>
          <w:color w:val="auto"/>
          <w:sz w:val="22"/>
          <w:szCs w:val="22"/>
        </w:rPr>
      </w:pPr>
      <w:bookmarkStart w:id="495" w:name="_Toc26351482"/>
      <w:bookmarkStart w:id="496" w:name="_Toc26353922"/>
      <w:bookmarkStart w:id="497" w:name="_Toc26351483"/>
      <w:bookmarkStart w:id="498" w:name="_Toc26353923"/>
      <w:bookmarkStart w:id="499" w:name="_Toc26351484"/>
      <w:bookmarkStart w:id="500" w:name="_Toc26353924"/>
      <w:bookmarkEnd w:id="495"/>
      <w:bookmarkEnd w:id="496"/>
      <w:bookmarkEnd w:id="497"/>
      <w:bookmarkEnd w:id="498"/>
      <w:bookmarkEnd w:id="499"/>
      <w:bookmarkEnd w:id="500"/>
      <w:r w:rsidRPr="000C5235">
        <w:rPr>
          <w:rStyle w:val="BodyTextChar"/>
          <w:rFonts w:eastAsia="MS Gothic"/>
        </w:rPr>
        <w:t>Source of information</w:t>
      </w:r>
    </w:p>
    <w:p w14:paraId="37B741E0" w14:textId="77777777" w:rsidR="004D761E" w:rsidRPr="000C5235" w:rsidRDefault="004D761E" w:rsidP="000A7DEC">
      <w:pPr>
        <w:rPr>
          <w:rStyle w:val="BodyTextChar"/>
        </w:rPr>
      </w:pPr>
      <w:r w:rsidRPr="000C5235">
        <w:rPr>
          <w:rStyle w:val="BodyTextChar"/>
        </w:rPr>
        <w:t>Data for Budgeted Expenses by Program (the tables in Section 2 of the document) can only be sourced from CBMS at a total level</w:t>
      </w:r>
      <w:r w:rsidR="00E10C89" w:rsidRPr="000C5235">
        <w:rPr>
          <w:rStyle w:val="BodyTextChar"/>
        </w:rPr>
        <w:t xml:space="preserve"> (ie</w:t>
      </w:r>
      <w:r w:rsidRPr="000C5235">
        <w:rPr>
          <w:rStyle w:val="BodyTextChar"/>
        </w:rPr>
        <w:t xml:space="preserve"> program-level expense information </w:t>
      </w:r>
      <w:r w:rsidR="00BE329A" w:rsidRPr="000C5235">
        <w:rPr>
          <w:rStyle w:val="BodyTextChar"/>
        </w:rPr>
        <w:t xml:space="preserve">by appropriation </w:t>
      </w:r>
      <w:r w:rsidRPr="000C5235">
        <w:rPr>
          <w:rStyle w:val="BodyTextChar"/>
        </w:rPr>
        <w:t>is not available</w:t>
      </w:r>
      <w:r w:rsidR="00E10C89" w:rsidRPr="000C5235">
        <w:rPr>
          <w:rStyle w:val="BodyTextChar"/>
        </w:rPr>
        <w:t>)</w:t>
      </w:r>
      <w:r w:rsidRPr="000C5235">
        <w:rPr>
          <w:rStyle w:val="BodyTextChar"/>
        </w:rPr>
        <w:t xml:space="preserve">. This data will need to be sourced from the Entity’s internal </w:t>
      </w:r>
      <w:r w:rsidR="00884D97" w:rsidRPr="000C5235">
        <w:rPr>
          <w:rStyle w:val="BodyTextChar"/>
        </w:rPr>
        <w:t>FMIS.</w:t>
      </w:r>
    </w:p>
    <w:p w14:paraId="0C66F975" w14:textId="77777777" w:rsidR="004D4C93" w:rsidRPr="000C5235" w:rsidRDefault="004D4C93">
      <w:r w:rsidRPr="000C5235">
        <w:t>The system generated reports are located at:</w:t>
      </w:r>
    </w:p>
    <w:p w14:paraId="657CB121" w14:textId="77777777" w:rsidR="00ED0B88" w:rsidRPr="000C5235" w:rsidRDefault="004D4C93" w:rsidP="000A7DEC">
      <w:pPr>
        <w:pStyle w:val="CBMSReportPath"/>
        <w:rPr>
          <w:rStyle w:val="BodyTextChar"/>
          <w:rFonts w:eastAsiaTheme="minorHAnsi" w:cstheme="minorBidi"/>
        </w:rPr>
      </w:pPr>
      <w:r w:rsidRPr="000C5235">
        <w:t xml:space="preserve">Reports  </w:t>
      </w:r>
      <w:r w:rsidRPr="000C5235">
        <w:sym w:font="Wingdings" w:char="F0E0"/>
      </w:r>
      <w:r w:rsidRPr="000C5235">
        <w:t xml:space="preserve"> CBMS Reporting </w:t>
      </w:r>
      <w:r w:rsidRPr="000C5235">
        <w:sym w:font="Wingdings" w:char="F0E0"/>
      </w:r>
      <w:r w:rsidRPr="000C5235">
        <w:t xml:space="preserve">  Statutory Reports  </w:t>
      </w:r>
      <w:r w:rsidRPr="000C5235">
        <w:sym w:font="Wingdings" w:char="F0E0"/>
      </w:r>
      <w:r w:rsidRPr="000C5235">
        <w:t xml:space="preserve">  PBS  </w:t>
      </w:r>
      <w:r w:rsidRPr="000C5235">
        <w:sym w:font="Wingdings" w:char="F0E0"/>
      </w:r>
      <w:r w:rsidRPr="000C5235">
        <w:t xml:space="preserve"> PBS.T2.1</w:t>
      </w:r>
      <w:r w:rsidR="00862D17" w:rsidRPr="000C5235">
        <w:t xml:space="preserve"> Budget</w:t>
      </w:r>
      <w:r w:rsidR="00E1734F" w:rsidRPr="000C5235">
        <w:t>ed</w:t>
      </w:r>
      <w:r w:rsidR="00862D17" w:rsidRPr="000C5235">
        <w:t xml:space="preserve"> Expenses for Outcomes</w:t>
      </w:r>
      <w:r w:rsidRPr="000C5235">
        <w:t xml:space="preserve"> </w:t>
      </w:r>
    </w:p>
    <w:p w14:paraId="7BA41E98" w14:textId="77777777" w:rsidR="00FA0945" w:rsidRPr="000C5235" w:rsidRDefault="00FA0945">
      <w:pPr>
        <w:pStyle w:val="Bullet1"/>
        <w:rPr>
          <w:rStyle w:val="BodyTextChar"/>
        </w:rPr>
      </w:pPr>
      <w:r w:rsidRPr="000C5235">
        <w:rPr>
          <w:rStyle w:val="BodyTextChar"/>
        </w:rPr>
        <w:t>The “Expenses not requiring appropriation in Budget year” line is to be used by entities</w:t>
      </w:r>
      <w:r w:rsidR="00ED0B88" w:rsidRPr="000C5235">
        <w:rPr>
          <w:rStyle w:val="BodyTextChar"/>
        </w:rPr>
        <w:t xml:space="preserve"> </w:t>
      </w:r>
      <w:r w:rsidRPr="000C5235">
        <w:rPr>
          <w:rStyle w:val="BodyTextChar"/>
        </w:rPr>
        <w:t>where there is a government policy not to fund those expenses within the year; where the funding has been provided in a prior year but the expense will be incurred in the current year; or where the expenses reflect the usage of services provided free of charg</w:t>
      </w:r>
      <w:r w:rsidR="006D021E" w:rsidRPr="000C5235">
        <w:rPr>
          <w:rStyle w:val="BodyTextChar"/>
        </w:rPr>
        <w:t>e</w:t>
      </w:r>
    </w:p>
    <w:p w14:paraId="6236A4BA" w14:textId="77777777" w:rsidR="00FA0945" w:rsidRPr="000C5235" w:rsidRDefault="00FA0945">
      <w:pPr>
        <w:pStyle w:val="Bullet2"/>
        <w:rPr>
          <w:rStyle w:val="BodyTextChar"/>
        </w:rPr>
      </w:pPr>
      <w:r w:rsidRPr="000C5235">
        <w:rPr>
          <w:rStyle w:val="BodyTextChar"/>
        </w:rPr>
        <w:t xml:space="preserve">For example, depreciation expenses which the Government has provided a separate capital budget/Collection Development Acquisition Budget should be shown in this line, along with expenses associated with audit services provided by the </w:t>
      </w:r>
      <w:r w:rsidR="00A81B39" w:rsidRPr="000C5235">
        <w:rPr>
          <w:rStyle w:val="BodyTextChar"/>
        </w:rPr>
        <w:t>ANAO</w:t>
      </w:r>
      <w:r w:rsidRPr="000C5235">
        <w:rPr>
          <w:rStyle w:val="BodyTextChar"/>
        </w:rPr>
        <w:t>, and non-cash expenses for which the entity has received operating loss approval</w:t>
      </w:r>
    </w:p>
    <w:p w14:paraId="655A68FB" w14:textId="77777777" w:rsidR="00FA0945" w:rsidRPr="000C5235" w:rsidRDefault="00FA0945">
      <w:pPr>
        <w:pStyle w:val="Bullet2"/>
        <w:rPr>
          <w:rStyle w:val="BodyTextChar"/>
        </w:rPr>
      </w:pPr>
      <w:r w:rsidRPr="000C5235">
        <w:rPr>
          <w:rStyle w:val="BodyTextChar"/>
        </w:rPr>
        <w:t>Items which do not or will not involve a cash flow impact (such as bad debt expenses) are also considered “expenses not requiring appropriation”.</w:t>
      </w:r>
    </w:p>
    <w:p w14:paraId="587A5739" w14:textId="6F459A7D" w:rsidR="00ED0B88" w:rsidRPr="000C5235" w:rsidRDefault="00FA0945">
      <w:pPr>
        <w:pStyle w:val="Bullet1"/>
        <w:rPr>
          <w:rStyle w:val="BodyTextChar"/>
          <w:rFonts w:asciiTheme="minorHAnsi" w:hAnsiTheme="minorHAnsi"/>
        </w:rPr>
      </w:pPr>
      <w:r w:rsidRPr="000C5235">
        <w:rPr>
          <w:rStyle w:val="BodyTextChar"/>
        </w:rPr>
        <w:t>A</w:t>
      </w:r>
      <w:r w:rsidR="008555BE" w:rsidRPr="000C5235">
        <w:rPr>
          <w:rStyle w:val="BodyTextChar"/>
        </w:rPr>
        <w:t xml:space="preserve">SL </w:t>
      </w:r>
      <w:r w:rsidRPr="000C5235">
        <w:rPr>
          <w:rStyle w:val="BodyTextChar"/>
        </w:rPr>
        <w:t xml:space="preserve">figures across all outcomes should be discussed with Finance (please refer to </w:t>
      </w:r>
      <w:r w:rsidR="00F328AB" w:rsidRPr="000C5235">
        <w:rPr>
          <w:rStyle w:val="BodyTextChar"/>
        </w:rPr>
        <w:t>s</w:t>
      </w:r>
      <w:r w:rsidR="00D45389" w:rsidRPr="000C5235">
        <w:rPr>
          <w:rStyle w:val="BodyTextChar"/>
        </w:rPr>
        <w:t xml:space="preserve">ection </w:t>
      </w:r>
      <w:r w:rsidR="009B0701" w:rsidRPr="000C5235">
        <w:rPr>
          <w:rStyle w:val="BodyTextChar"/>
          <w:i/>
          <w:color w:val="0070C0"/>
          <w:u w:val="single"/>
        </w:rPr>
        <w:fldChar w:fldCharType="begin"/>
      </w:r>
      <w:r w:rsidR="009B0701" w:rsidRPr="000C5235">
        <w:rPr>
          <w:rStyle w:val="BodyTextChar"/>
          <w:i/>
          <w:color w:val="0070C0"/>
          <w:u w:val="single"/>
        </w:rPr>
        <w:instrText xml:space="preserve"> REF _Ref33523372 \r \h  \* MERGEFORMAT </w:instrText>
      </w:r>
      <w:r w:rsidR="009B0701" w:rsidRPr="000C5235">
        <w:rPr>
          <w:rStyle w:val="BodyTextChar"/>
          <w:i/>
          <w:color w:val="0070C0"/>
          <w:u w:val="single"/>
        </w:rPr>
      </w:r>
      <w:r w:rsidR="009B0701" w:rsidRPr="000C5235">
        <w:rPr>
          <w:rStyle w:val="BodyTextChar"/>
          <w:i/>
          <w:color w:val="0070C0"/>
          <w:u w:val="single"/>
        </w:rPr>
        <w:fldChar w:fldCharType="separate"/>
      </w:r>
      <w:r w:rsidR="00507230">
        <w:rPr>
          <w:rStyle w:val="BodyTextChar"/>
          <w:i/>
          <w:color w:val="0070C0"/>
          <w:u w:val="single"/>
        </w:rPr>
        <w:t>14</w:t>
      </w:r>
      <w:r w:rsidR="009B0701" w:rsidRPr="000C5235">
        <w:rPr>
          <w:rStyle w:val="BodyTextChar"/>
          <w:i/>
          <w:color w:val="0070C0"/>
          <w:u w:val="single"/>
        </w:rPr>
        <w:fldChar w:fldCharType="end"/>
      </w:r>
      <w:r w:rsidR="009B0701" w:rsidRPr="000C5235">
        <w:rPr>
          <w:rStyle w:val="BodyTextChar"/>
          <w:i/>
          <w:color w:val="0070C0"/>
          <w:u w:val="single"/>
        </w:rPr>
        <w:t xml:space="preserve"> </w:t>
      </w:r>
      <w:r w:rsidR="009B0701" w:rsidRPr="000C5235">
        <w:rPr>
          <w:rStyle w:val="BodyTextChar"/>
          <w:i/>
          <w:color w:val="0070C0"/>
          <w:u w:val="single"/>
        </w:rPr>
        <w:fldChar w:fldCharType="begin"/>
      </w:r>
      <w:r w:rsidR="009B0701" w:rsidRPr="000C5235">
        <w:rPr>
          <w:rStyle w:val="BodyTextChar"/>
          <w:i/>
          <w:color w:val="0070C0"/>
          <w:u w:val="single"/>
        </w:rPr>
        <w:instrText xml:space="preserve"> REF _Ref33523377 \h  \* MERGEFORMAT </w:instrText>
      </w:r>
      <w:r w:rsidR="009B0701" w:rsidRPr="000C5235">
        <w:rPr>
          <w:rStyle w:val="BodyTextChar"/>
          <w:i/>
          <w:color w:val="0070C0"/>
          <w:u w:val="single"/>
        </w:rPr>
      </w:r>
      <w:r w:rsidR="009B0701" w:rsidRPr="000C5235">
        <w:rPr>
          <w:rStyle w:val="BodyTextChar"/>
          <w:i/>
          <w:color w:val="0070C0"/>
          <w:u w:val="single"/>
        </w:rPr>
        <w:fldChar w:fldCharType="separate"/>
      </w:r>
      <w:r w:rsidR="00507230" w:rsidRPr="00507230">
        <w:rPr>
          <w:i/>
          <w:color w:val="0070C0"/>
          <w:u w:val="single"/>
        </w:rPr>
        <w:t>Contacts</w:t>
      </w:r>
      <w:r w:rsidR="009B0701" w:rsidRPr="000C5235">
        <w:rPr>
          <w:rStyle w:val="BodyTextChar"/>
          <w:i/>
          <w:color w:val="0070C0"/>
          <w:u w:val="single"/>
        </w:rPr>
        <w:fldChar w:fldCharType="end"/>
      </w:r>
      <w:r w:rsidR="009B0701" w:rsidRPr="000C5235">
        <w:rPr>
          <w:rStyle w:val="BodyTextChar"/>
        </w:rPr>
        <w:t xml:space="preserve"> </w:t>
      </w:r>
      <w:r w:rsidR="009B0701" w:rsidRPr="000C5235">
        <w:rPr>
          <w:rStyle w:val="BodyTextChar"/>
        </w:rPr>
        <w:fldChar w:fldCharType="begin"/>
      </w:r>
      <w:r w:rsidR="009B0701" w:rsidRPr="000C5235">
        <w:rPr>
          <w:rStyle w:val="BodyTextChar"/>
        </w:rPr>
        <w:instrText xml:space="preserve"> REF _Ref33523382 \p \h </w:instrText>
      </w:r>
      <w:r w:rsidR="008B029A" w:rsidRPr="000C5235">
        <w:rPr>
          <w:rStyle w:val="BodyTextChar"/>
        </w:rPr>
        <w:instrText xml:space="preserve"> \* MERGEFORMAT </w:instrText>
      </w:r>
      <w:r w:rsidR="009B0701" w:rsidRPr="000C5235">
        <w:rPr>
          <w:rStyle w:val="BodyTextChar"/>
        </w:rPr>
      </w:r>
      <w:r w:rsidR="009B0701" w:rsidRPr="000C5235">
        <w:rPr>
          <w:rStyle w:val="BodyTextChar"/>
        </w:rPr>
        <w:fldChar w:fldCharType="separate"/>
      </w:r>
      <w:r w:rsidR="00507230">
        <w:rPr>
          <w:rStyle w:val="BodyTextChar"/>
        </w:rPr>
        <w:t>below</w:t>
      </w:r>
      <w:r w:rsidR="009B0701" w:rsidRPr="000C5235">
        <w:rPr>
          <w:rStyle w:val="BodyTextChar"/>
        </w:rPr>
        <w:fldChar w:fldCharType="end"/>
      </w:r>
      <w:r w:rsidR="00D45389" w:rsidRPr="000C5235">
        <w:rPr>
          <w:rStyle w:val="BodyTextChar"/>
        </w:rPr>
        <w:t xml:space="preserve"> of this guide</w:t>
      </w:r>
      <w:r w:rsidR="00FD4BA3" w:rsidRPr="000C5235">
        <w:rPr>
          <w:rStyle w:val="BodyTextChar"/>
        </w:rPr>
        <w:t>) and</w:t>
      </w:r>
      <w:r w:rsidRPr="000C5235">
        <w:rPr>
          <w:rStyle w:val="BodyTextChar"/>
        </w:rPr>
        <w:t xml:space="preserve"> match the figures to be published in BP No. 4 and at the bottom of Table 1.1: Entity resource statement. Please refer to the latest Finance guidance on ASL for more information on ASL reporting</w:t>
      </w:r>
      <w:r w:rsidR="008555BE" w:rsidRPr="000C5235">
        <w:rPr>
          <w:rStyle w:val="BodyTextChar"/>
        </w:rPr>
        <w:t>.</w:t>
      </w:r>
    </w:p>
    <w:p w14:paraId="68711114" w14:textId="77777777" w:rsidR="00FA0945" w:rsidRPr="000C5235" w:rsidRDefault="00FA0945">
      <w:pPr>
        <w:pStyle w:val="Bullet1"/>
        <w:rPr>
          <w:rStyle w:val="BodyTextChar"/>
        </w:rPr>
      </w:pPr>
      <w:r w:rsidRPr="000C5235">
        <w:rPr>
          <w:rStyle w:val="BodyTextChar"/>
        </w:rPr>
        <w:t>Information on Movements of Funds should be sourced from approved movement of funds requests (as detailed in correspondence from the Minister for Finance) and/or adjustments in CBMS against the reason code “Movement of Funds”.</w:t>
      </w:r>
    </w:p>
    <w:p w14:paraId="54A91145" w14:textId="77777777" w:rsidR="00FA0945" w:rsidRPr="000C5235" w:rsidRDefault="00FA0945">
      <w:pPr>
        <w:pStyle w:val="Bullet2"/>
        <w:rPr>
          <w:rStyle w:val="BodyTextChar"/>
        </w:rPr>
      </w:pPr>
      <w:r w:rsidRPr="000C5235">
        <w:rPr>
          <w:rStyle w:val="BodyTextChar"/>
        </w:rPr>
        <w:t>For information on the Movement of Funds process, please contact your AAU.</w:t>
      </w:r>
    </w:p>
    <w:p w14:paraId="75085835" w14:textId="77777777" w:rsidR="00FA0945" w:rsidRPr="000C5235" w:rsidRDefault="00FA0945" w:rsidP="000A7DEC">
      <w:pPr>
        <w:pStyle w:val="Heading2Numbered"/>
        <w:rPr>
          <w:rFonts w:eastAsia="Times New Roman"/>
          <w:spacing w:val="-6"/>
          <w:szCs w:val="34"/>
        </w:rPr>
      </w:pPr>
      <w:bookmarkStart w:id="501" w:name="_Toc411852685"/>
      <w:bookmarkStart w:id="502" w:name="_Toc534382565"/>
      <w:bookmarkStart w:id="503" w:name="_Ref33523258"/>
      <w:bookmarkStart w:id="504" w:name="_Ref33523261"/>
      <w:bookmarkStart w:id="505" w:name="_Ref33523265"/>
      <w:bookmarkStart w:id="506" w:name="_Toc53564761"/>
      <w:r w:rsidRPr="000C5235">
        <w:rPr>
          <w:rFonts w:eastAsia="Times New Roman"/>
        </w:rPr>
        <w:t xml:space="preserve">Program </w:t>
      </w:r>
      <w:r w:rsidR="00511DF0" w:rsidRPr="000C5235">
        <w:rPr>
          <w:rFonts w:eastAsia="Times New Roman"/>
        </w:rPr>
        <w:t>c</w:t>
      </w:r>
      <w:r w:rsidRPr="000C5235">
        <w:rPr>
          <w:rFonts w:eastAsia="Times New Roman"/>
        </w:rPr>
        <w:t>omponents</w:t>
      </w:r>
      <w:bookmarkEnd w:id="501"/>
      <w:bookmarkEnd w:id="502"/>
      <w:bookmarkEnd w:id="503"/>
      <w:bookmarkEnd w:id="504"/>
      <w:bookmarkEnd w:id="505"/>
      <w:bookmarkEnd w:id="506"/>
    </w:p>
    <w:p w14:paraId="5C2CE8C8" w14:textId="77777777" w:rsidR="00FA0945" w:rsidRPr="000C5235" w:rsidRDefault="00233EB4">
      <w:pPr>
        <w:pStyle w:val="NormalTextRed"/>
      </w:pPr>
      <w:r w:rsidRPr="000C5235">
        <w:t xml:space="preserve">The template for the </w:t>
      </w:r>
      <w:r w:rsidRPr="000C5235">
        <w:rPr>
          <w:i/>
        </w:rPr>
        <w:t>Program components</w:t>
      </w:r>
      <w:r w:rsidR="00FA0945" w:rsidRPr="000C5235">
        <w:t xml:space="preserve"> table can be found in the “</w:t>
      </w:r>
      <w:r w:rsidR="00FA0945" w:rsidRPr="000C5235">
        <w:rPr>
          <w:i/>
        </w:rPr>
        <w:t>Table 2.X.2 Program Components</w:t>
      </w:r>
      <w:r w:rsidR="00FA0945" w:rsidRPr="000C5235">
        <w:t>” tab</w:t>
      </w:r>
      <w:r w:rsidR="00FA0945" w:rsidRPr="000C5235">
        <w:rPr>
          <w:rStyle w:val="BodyTextChar"/>
        </w:rPr>
        <w:t xml:space="preserve"> of the Excel Tables workbook (</w:t>
      </w:r>
      <w:r w:rsidR="00E1734F" w:rsidRPr="000C5235">
        <w:rPr>
          <w:rStyle w:val="BodyTextChar"/>
          <w:u w:val="single"/>
        </w:rPr>
        <w:t xml:space="preserve">Attachment </w:t>
      </w:r>
      <w:r w:rsidR="006E5A47" w:rsidRPr="000C5235">
        <w:rPr>
          <w:rStyle w:val="BodyTextChar"/>
          <w:u w:val="single"/>
        </w:rPr>
        <w:t>B</w:t>
      </w:r>
      <w:r w:rsidR="006E5A47" w:rsidRPr="000C5235">
        <w:rPr>
          <w:rStyle w:val="BodyTextChar"/>
        </w:rPr>
        <w:t xml:space="preserve"> </w:t>
      </w:r>
      <w:r w:rsidR="00E1734F" w:rsidRPr="000C5235">
        <w:rPr>
          <w:rStyle w:val="BodyTextChar"/>
        </w:rPr>
        <w:t>refers</w:t>
      </w:r>
      <w:r w:rsidR="00FA0945" w:rsidRPr="000C5235">
        <w:rPr>
          <w:rStyle w:val="BodyTextChar"/>
        </w:rPr>
        <w:t xml:space="preserve">). </w:t>
      </w:r>
    </w:p>
    <w:p w14:paraId="41EB207D" w14:textId="77777777" w:rsidR="00FA0945" w:rsidRPr="000C5235" w:rsidRDefault="00FA0945" w:rsidP="000A7DEC">
      <w:pPr>
        <w:rPr>
          <w:rStyle w:val="BodyTextChar"/>
          <w:color w:val="FF0000"/>
        </w:rPr>
      </w:pPr>
      <w:r w:rsidRPr="000C5235">
        <w:rPr>
          <w:rStyle w:val="BodyTextChar"/>
        </w:rPr>
        <w:t>Entities are not required to provide reporting below the program level.</w:t>
      </w:r>
    </w:p>
    <w:p w14:paraId="744A4176" w14:textId="77777777" w:rsidR="00FA0945" w:rsidRPr="000C5235" w:rsidRDefault="00FA0945" w:rsidP="000A7DEC">
      <w:pPr>
        <w:rPr>
          <w:rStyle w:val="BodyTextChar"/>
        </w:rPr>
      </w:pPr>
      <w:r w:rsidRPr="000C5235">
        <w:rPr>
          <w:rStyle w:val="BodyTextChar"/>
        </w:rPr>
        <w:t>Program component reporting is a subset of program-level reporting, and program components can be funded through administered and departmental appropriations. If entities choose to provide program components, these should be clearly identified as components and not described as a program. An example of a program component that an entity chooses to report on could be an item of special public interest or political sensitivity.</w:t>
      </w:r>
    </w:p>
    <w:p w14:paraId="5FBE34D7" w14:textId="77777777" w:rsidR="006F2C96" w:rsidRPr="000C5235" w:rsidRDefault="00FA0945" w:rsidP="000A7DEC">
      <w:pPr>
        <w:rPr>
          <w:rStyle w:val="BodyTextChar"/>
        </w:rPr>
      </w:pPr>
      <w:r w:rsidRPr="000C5235">
        <w:rPr>
          <w:rStyle w:val="BodyTextChar"/>
        </w:rPr>
        <w:t xml:space="preserve">Should entities choose to report on program components, a program component expense table should be provided for each and every program with more than one component. The full program expenses must still be shown in </w:t>
      </w:r>
      <w:r w:rsidRPr="000C5235">
        <w:rPr>
          <w:rStyle w:val="BodyTextChar"/>
          <w:i/>
        </w:rPr>
        <w:t xml:space="preserve">the Budgeted expenses by Outcome X </w:t>
      </w:r>
      <w:r w:rsidR="00710BF8" w:rsidRPr="000C5235">
        <w:rPr>
          <w:rStyle w:val="BodyTextChar"/>
          <w:i/>
        </w:rPr>
        <w:t>T</w:t>
      </w:r>
      <w:r w:rsidRPr="000C5235">
        <w:rPr>
          <w:rStyle w:val="BodyTextChar"/>
          <w:i/>
        </w:rPr>
        <w:t>able (Table 2.X.1)</w:t>
      </w:r>
      <w:r w:rsidRPr="000C5235">
        <w:rPr>
          <w:rStyle w:val="BodyTextChar"/>
        </w:rPr>
        <w:t xml:space="preserve">. The itemised sub-set of expenses is then provided for each relevant program component. Sub-program expenses must reconcile with the relevant program total. </w:t>
      </w:r>
    </w:p>
    <w:p w14:paraId="1EFE0861" w14:textId="77777777" w:rsidR="006F2C96" w:rsidRPr="000C5235" w:rsidRDefault="006F2C96" w:rsidP="000A7DEC">
      <w:pPr>
        <w:rPr>
          <w:rStyle w:val="BodyTextChar"/>
        </w:rPr>
      </w:pPr>
      <w:r w:rsidRPr="000C5235">
        <w:rPr>
          <w:rStyle w:val="BodyTextChar"/>
        </w:rPr>
        <w:br w:type="page"/>
      </w:r>
    </w:p>
    <w:p w14:paraId="129436C6" w14:textId="77777777" w:rsidR="00FA0945" w:rsidRPr="000C5235" w:rsidRDefault="00FA0945" w:rsidP="000A7DEC">
      <w:pPr>
        <w:pStyle w:val="Heading2Numbered"/>
        <w:rPr>
          <w:rFonts w:ascii="Arial" w:eastAsia="Times New Roman" w:hAnsi="Arial"/>
          <w:spacing w:val="-6"/>
          <w:szCs w:val="34"/>
        </w:rPr>
      </w:pPr>
      <w:bookmarkStart w:id="507" w:name="_Toc534458885"/>
      <w:bookmarkStart w:id="508" w:name="_Toc534459674"/>
      <w:bookmarkStart w:id="509" w:name="_Toc534519169"/>
      <w:bookmarkStart w:id="510" w:name="_Toc534520079"/>
      <w:bookmarkStart w:id="511" w:name="_Toc534520349"/>
      <w:bookmarkStart w:id="512" w:name="_Toc534527561"/>
      <w:bookmarkStart w:id="513" w:name="_Toc534528291"/>
      <w:bookmarkStart w:id="514" w:name="_Toc534803512"/>
      <w:bookmarkStart w:id="515" w:name="_Toc534814203"/>
      <w:bookmarkStart w:id="516" w:name="_Toc536108576"/>
      <w:bookmarkStart w:id="517" w:name="_Toc534382566"/>
      <w:bookmarkStart w:id="518" w:name="_Ref33522765"/>
      <w:bookmarkStart w:id="519" w:name="_Ref33522777"/>
      <w:bookmarkStart w:id="520" w:name="_Ref33522783"/>
      <w:bookmarkStart w:id="521" w:name="_Toc53564762"/>
      <w:bookmarkEnd w:id="507"/>
      <w:bookmarkEnd w:id="508"/>
      <w:bookmarkEnd w:id="509"/>
      <w:bookmarkEnd w:id="510"/>
      <w:bookmarkEnd w:id="511"/>
      <w:bookmarkEnd w:id="512"/>
      <w:bookmarkEnd w:id="513"/>
      <w:bookmarkEnd w:id="514"/>
      <w:bookmarkEnd w:id="515"/>
      <w:bookmarkEnd w:id="516"/>
      <w:r w:rsidRPr="000C5235">
        <w:rPr>
          <w:rFonts w:eastAsia="Times New Roman"/>
        </w:rPr>
        <w:t xml:space="preserve">Overview of </w:t>
      </w:r>
      <w:r w:rsidR="00511DF0" w:rsidRPr="000C5235">
        <w:rPr>
          <w:rFonts w:eastAsia="Times New Roman"/>
        </w:rPr>
        <w:t>t</w:t>
      </w:r>
      <w:r w:rsidRPr="000C5235">
        <w:rPr>
          <w:rFonts w:eastAsia="Times New Roman"/>
        </w:rPr>
        <w:t>able 2.X.3 – performance information</w:t>
      </w:r>
      <w:bookmarkEnd w:id="517"/>
      <w:bookmarkEnd w:id="518"/>
      <w:bookmarkEnd w:id="519"/>
      <w:bookmarkEnd w:id="520"/>
      <w:bookmarkEnd w:id="521"/>
    </w:p>
    <w:p w14:paraId="5B0612FC" w14:textId="77777777" w:rsidR="00FA0945" w:rsidRPr="000C5235" w:rsidRDefault="00FA0945">
      <w:pPr>
        <w:pStyle w:val="NormalTextRed"/>
        <w:rPr>
          <w:rStyle w:val="BodyTextChar"/>
          <w:rFonts w:ascii="Arial" w:hAnsi="Arial"/>
          <w:color w:val="auto"/>
          <w:spacing w:val="-6"/>
          <w:sz w:val="34"/>
          <w:szCs w:val="34"/>
        </w:rPr>
      </w:pPr>
      <w:r w:rsidRPr="000C5235">
        <w:rPr>
          <w:rStyle w:val="BodyTextChar"/>
        </w:rPr>
        <w:t xml:space="preserve">The template for </w:t>
      </w:r>
      <w:r w:rsidRPr="000C5235">
        <w:rPr>
          <w:rStyle w:val="BodyTextChar"/>
          <w:i/>
        </w:rPr>
        <w:t>Table 2.X.3</w:t>
      </w:r>
      <w:r w:rsidRPr="000C5235">
        <w:rPr>
          <w:rStyle w:val="BodyTextChar"/>
        </w:rPr>
        <w:t xml:space="preserve"> can be found in the Word template</w:t>
      </w:r>
      <w:r w:rsidR="00884D97" w:rsidRPr="000C5235">
        <w:rPr>
          <w:rStyle w:val="BodyTextChar"/>
        </w:rPr>
        <w:t xml:space="preserve"> (</w:t>
      </w:r>
      <w:r w:rsidR="0072052F" w:rsidRPr="000C5235">
        <w:rPr>
          <w:rStyle w:val="BodyTextChar"/>
          <w:u w:val="single"/>
        </w:rPr>
        <w:t xml:space="preserve">Attachment </w:t>
      </w:r>
      <w:r w:rsidR="006E5A47" w:rsidRPr="000C5235">
        <w:rPr>
          <w:rStyle w:val="BodyTextChar"/>
          <w:u w:val="single"/>
        </w:rPr>
        <w:t>C</w:t>
      </w:r>
      <w:r w:rsidR="006E5A47" w:rsidRPr="000C5235">
        <w:rPr>
          <w:rStyle w:val="BodyTextChar"/>
        </w:rPr>
        <w:t xml:space="preserve"> </w:t>
      </w:r>
      <w:r w:rsidR="0072052F" w:rsidRPr="000C5235">
        <w:rPr>
          <w:rStyle w:val="BodyTextChar"/>
        </w:rPr>
        <w:t>refers</w:t>
      </w:r>
      <w:r w:rsidR="00884D97" w:rsidRPr="000C5235">
        <w:rPr>
          <w:rStyle w:val="BodyTextChar"/>
        </w:rPr>
        <w:t xml:space="preserve">). </w:t>
      </w:r>
    </w:p>
    <w:p w14:paraId="13132B36" w14:textId="77777777" w:rsidR="00905D4E" w:rsidRPr="000C5235" w:rsidRDefault="00FA0945" w:rsidP="000A7DEC">
      <w:r w:rsidRPr="000C5235">
        <w:t xml:space="preserve">The illustration below summarises the components of </w:t>
      </w:r>
      <w:r w:rsidRPr="000C5235">
        <w:rPr>
          <w:i/>
        </w:rPr>
        <w:t>Table 2.X.3</w:t>
      </w:r>
      <w:r w:rsidRPr="000C5235">
        <w:t xml:space="preserve"> and their relationship to each other. Information for each program associated with an Outcome X begins with the program title, a brief description of the program objective and how it contributes to the wider objectives of Outcome X</w:t>
      </w:r>
      <w:r w:rsidR="006D021E" w:rsidRPr="000C5235">
        <w:t>.</w:t>
      </w:r>
    </w:p>
    <w:p w14:paraId="616D6C0A" w14:textId="77777777" w:rsidR="00FA0945" w:rsidRPr="000C5235" w:rsidRDefault="00FA0945">
      <w:pPr>
        <w:pStyle w:val="Bullet1"/>
      </w:pPr>
      <w:r w:rsidRPr="000C5235">
        <w:t xml:space="preserve">The “Delivery” cell in </w:t>
      </w:r>
      <w:r w:rsidRPr="000C5235">
        <w:rPr>
          <w:i/>
        </w:rPr>
        <w:t>Table 2.X.3</w:t>
      </w:r>
      <w:r w:rsidRPr="000C5235">
        <w:t xml:space="preserve"> will include information on how the program is delivered (</w:t>
      </w:r>
      <w:r w:rsidR="001754FC" w:rsidRPr="000C5235">
        <w:t>ie</w:t>
      </w:r>
      <w:r w:rsidRPr="000C5235">
        <w:t xml:space="preserve"> through payments to eligible individuals) and the group/s targeted</w:t>
      </w:r>
    </w:p>
    <w:p w14:paraId="3DD6A907" w14:textId="77777777" w:rsidR="00FA0945" w:rsidRPr="000C5235" w:rsidRDefault="00FA0945">
      <w:pPr>
        <w:pStyle w:val="Bullet1"/>
      </w:pPr>
      <w:r w:rsidRPr="000C5235">
        <w:t xml:space="preserve">The performance criteria cell in </w:t>
      </w:r>
      <w:r w:rsidRPr="000C5235">
        <w:rPr>
          <w:i/>
        </w:rPr>
        <w:t>Table 2.X.3</w:t>
      </w:r>
      <w:r w:rsidRPr="000C5235">
        <w:t xml:space="preserve"> includes reporting on estimated performance </w:t>
      </w:r>
      <w:r w:rsidR="00A81B39" w:rsidRPr="000C5235">
        <w:t xml:space="preserve">results for </w:t>
      </w:r>
      <w:r w:rsidR="00282468" w:rsidRPr="000C5235">
        <w:t>2019-20</w:t>
      </w:r>
      <w:r w:rsidRPr="000C5235">
        <w:t xml:space="preserve"> and p</w:t>
      </w:r>
      <w:r w:rsidR="00A81B39" w:rsidRPr="000C5235">
        <w:t xml:space="preserve">erformance expectations for </w:t>
      </w:r>
      <w:r w:rsidR="00282468" w:rsidRPr="000C5235">
        <w:t>2020-21</w:t>
      </w:r>
      <w:r w:rsidRPr="000C5235">
        <w:t xml:space="preserve"> and over the forward estimates</w:t>
      </w:r>
    </w:p>
    <w:p w14:paraId="6F1F52DF" w14:textId="77777777" w:rsidR="00FA0945" w:rsidRPr="000C5235" w:rsidRDefault="00FA0945">
      <w:pPr>
        <w:pStyle w:val="Bullet1"/>
      </w:pPr>
      <w:r w:rsidRPr="000C5235">
        <w:t xml:space="preserve">The “Purposes” cell in </w:t>
      </w:r>
      <w:r w:rsidRPr="000C5235">
        <w:rPr>
          <w:i/>
        </w:rPr>
        <w:t>Table 2.X.3</w:t>
      </w:r>
      <w:r w:rsidRPr="000C5235">
        <w:t xml:space="preserve"> indicates how a program is linked to purposes described in an entity’s corporate plan.</w:t>
      </w:r>
    </w:p>
    <w:p w14:paraId="1FBB3358" w14:textId="77777777" w:rsidR="000E69EB" w:rsidRPr="000C5235" w:rsidRDefault="000E69EB" w:rsidP="000A7DEC"/>
    <w:bookmarkEnd w:id="454"/>
    <w:bookmarkEnd w:id="455"/>
    <w:p w14:paraId="6BAD7408" w14:textId="77777777" w:rsidR="00FA0945" w:rsidRPr="000C5235" w:rsidRDefault="00FA0945">
      <w:pPr>
        <w:pStyle w:val="BodyText"/>
      </w:pPr>
      <w:r w:rsidRPr="000C5235">
        <w:rPr>
          <w:rStyle w:val="BodyTextChar"/>
          <w:noProof/>
          <w:lang w:eastAsia="en-AU"/>
        </w:rPr>
        <mc:AlternateContent>
          <mc:Choice Requires="wpc">
            <w:drawing>
              <wp:inline distT="0" distB="0" distL="0" distR="0" wp14:anchorId="35ADD072" wp14:editId="68227702">
                <wp:extent cx="5886450" cy="3707765"/>
                <wp:effectExtent l="0" t="0" r="19050" b="2603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19" name="Text Box 4"/>
                        <wps:cNvSpPr txBox="1">
                          <a:spLocks noChangeArrowheads="1"/>
                        </wps:cNvSpPr>
                        <wps:spPr bwMode="auto">
                          <a:xfrm>
                            <a:off x="1812346" y="104763"/>
                            <a:ext cx="1865813" cy="809638"/>
                          </a:xfrm>
                          <a:prstGeom prst="rect">
                            <a:avLst/>
                          </a:prstGeom>
                          <a:solidFill>
                            <a:srgbClr val="FFFFFF"/>
                          </a:solidFill>
                          <a:ln w="9525">
                            <a:solidFill>
                              <a:srgbClr val="000000"/>
                            </a:solidFill>
                            <a:miter lim="800000"/>
                            <a:headEnd/>
                            <a:tailEnd/>
                          </a:ln>
                        </wps:spPr>
                        <wps:txbx>
                          <w:txbxContent>
                            <w:p w14:paraId="0F98F966" w14:textId="77777777" w:rsidR="00E70395" w:rsidRPr="002406F9" w:rsidRDefault="00E70395" w:rsidP="000A7DEC">
                              <w:pPr>
                                <w:pStyle w:val="TableText-Small"/>
                                <w:ind w:left="0"/>
                              </w:pPr>
                              <w:r w:rsidRPr="00EF6ACB">
                                <w:t>2020-21</w:t>
                              </w:r>
                              <w:r w:rsidRPr="00155B83">
                                <w:t xml:space="preserve"> BUDGET MEASURES</w:t>
                              </w:r>
                            </w:p>
                            <w:p w14:paraId="7AA4659D" w14:textId="77777777" w:rsidR="00E70395" w:rsidRPr="000A7DEC" w:rsidRDefault="00E70395">
                              <w:pPr>
                                <w:rPr>
                                  <w:sz w:val="18"/>
                                  <w:szCs w:val="18"/>
                                </w:rPr>
                              </w:pPr>
                              <w:r w:rsidRPr="000A7DEC">
                                <w:rPr>
                                  <w:sz w:val="18"/>
                                  <w:szCs w:val="18"/>
                                </w:rPr>
                                <w:t>New programs or material impact on existing programs</w:t>
                              </w:r>
                            </w:p>
                          </w:txbxContent>
                        </wps:txbx>
                        <wps:bodyPr rot="0" vert="horz" wrap="square" lIns="91440" tIns="45720" rIns="91440" bIns="45720" anchor="t" anchorCtr="0" upright="1">
                          <a:noAutofit/>
                        </wps:bodyPr>
                      </wps:wsp>
                      <wps:wsp>
                        <wps:cNvPr id="20" name="Text Box 5"/>
                        <wps:cNvSpPr txBox="1">
                          <a:spLocks noChangeArrowheads="1"/>
                        </wps:cNvSpPr>
                        <wps:spPr bwMode="auto">
                          <a:xfrm>
                            <a:off x="134061" y="1304527"/>
                            <a:ext cx="1195040" cy="2233256"/>
                          </a:xfrm>
                          <a:prstGeom prst="rect">
                            <a:avLst/>
                          </a:prstGeom>
                          <a:solidFill>
                            <a:srgbClr val="FFFFFF"/>
                          </a:solidFill>
                          <a:ln w="9525">
                            <a:solidFill>
                              <a:srgbClr val="000000"/>
                            </a:solidFill>
                            <a:miter lim="800000"/>
                            <a:headEnd/>
                            <a:tailEnd/>
                          </a:ln>
                        </wps:spPr>
                        <wps:txbx>
                          <w:txbxContent>
                            <w:p w14:paraId="677F541D" w14:textId="77777777" w:rsidR="00E70395" w:rsidRPr="00905D4E" w:rsidRDefault="00E70395">
                              <w:pPr>
                                <w:pStyle w:val="TableText-Small"/>
                              </w:pPr>
                              <w:r w:rsidRPr="00905D4E">
                                <w:t>PROGRAM TITLE AND DESCRIPTION</w:t>
                              </w:r>
                              <w:r>
                                <w:br/>
                              </w:r>
                            </w:p>
                            <w:p w14:paraId="1ACAC2E4" w14:textId="77777777" w:rsidR="00E70395" w:rsidRPr="00905D4E" w:rsidRDefault="00E70395">
                              <w:pPr>
                                <w:pStyle w:val="TableText-Small"/>
                              </w:pPr>
                              <w:r w:rsidRPr="00905D4E">
                                <w:t>Objective</w:t>
                              </w:r>
                            </w:p>
                            <w:p w14:paraId="6FA35CF2" w14:textId="77777777" w:rsidR="00E70395" w:rsidRPr="00905D4E" w:rsidRDefault="00E70395">
                              <w:pPr>
                                <w:pStyle w:val="TableText-Small"/>
                              </w:pPr>
                              <w:r w:rsidRPr="00905D4E">
                                <w:t>What impact?</w:t>
                              </w:r>
                            </w:p>
                            <w:p w14:paraId="6931B1FD" w14:textId="77777777" w:rsidR="00E70395" w:rsidRPr="00905D4E" w:rsidRDefault="00E70395">
                              <w:pPr>
                                <w:pStyle w:val="TableText-Small"/>
                              </w:pPr>
                              <w:r w:rsidRPr="00905D4E">
                                <w:t>Contribution to Outcome X</w:t>
                              </w:r>
                            </w:p>
                            <w:p w14:paraId="32861D57" w14:textId="77777777" w:rsidR="00E70395" w:rsidRPr="00905D4E" w:rsidRDefault="00E70395">
                              <w:pPr>
                                <w:pStyle w:val="TableText-Small"/>
                              </w:pPr>
                              <w:r w:rsidRPr="00905D4E">
                                <w:t>How does the program help contribute to Outcome X?</w:t>
                              </w:r>
                            </w:p>
                          </w:txbxContent>
                        </wps:txbx>
                        <wps:bodyPr rot="0" vert="horz" wrap="square" lIns="91440" tIns="45720" rIns="91440" bIns="45720" anchor="t" anchorCtr="0" upright="1">
                          <a:noAutofit/>
                        </wps:bodyPr>
                      </wps:wsp>
                      <wps:wsp>
                        <wps:cNvPr id="21" name="Text Box 6"/>
                        <wps:cNvSpPr txBox="1">
                          <a:spLocks noChangeArrowheads="1"/>
                        </wps:cNvSpPr>
                        <wps:spPr bwMode="auto">
                          <a:xfrm>
                            <a:off x="1481454" y="1298326"/>
                            <a:ext cx="1080770" cy="2233150"/>
                          </a:xfrm>
                          <a:prstGeom prst="rect">
                            <a:avLst/>
                          </a:prstGeom>
                          <a:solidFill>
                            <a:srgbClr val="FFFFFF"/>
                          </a:solidFill>
                          <a:ln w="9525">
                            <a:solidFill>
                              <a:srgbClr val="000000"/>
                            </a:solidFill>
                            <a:miter lim="800000"/>
                            <a:headEnd/>
                            <a:tailEnd/>
                          </a:ln>
                        </wps:spPr>
                        <wps:txbx>
                          <w:txbxContent>
                            <w:p w14:paraId="18EAF142" w14:textId="77777777" w:rsidR="00E70395" w:rsidRDefault="00E70395" w:rsidP="000A7DEC">
                              <w:pPr>
                                <w:pStyle w:val="TableText-Small"/>
                              </w:pPr>
                              <w:r w:rsidRPr="00314AE9">
                                <w:t>DELIVERY</w:t>
                              </w:r>
                              <w:r>
                                <w:br/>
                              </w:r>
                              <w:r>
                                <w:br/>
                              </w:r>
                              <w:r>
                                <w:br/>
                              </w:r>
                            </w:p>
                            <w:p w14:paraId="0836316B" w14:textId="77777777" w:rsidR="00E70395" w:rsidRPr="00DA25E5" w:rsidRDefault="00E70395" w:rsidP="000A7DEC">
                              <w:pPr>
                                <w:pStyle w:val="TableText-Small"/>
                              </w:pPr>
                              <w:r w:rsidRPr="0008587A">
                                <w:t xml:space="preserve">What mechanisms (or activities)? </w:t>
                              </w:r>
                            </w:p>
                            <w:p w14:paraId="22129171" w14:textId="77777777" w:rsidR="00E70395" w:rsidRPr="00DA25E5" w:rsidRDefault="00E70395" w:rsidP="000A7DEC">
                              <w:pPr>
                                <w:pStyle w:val="TableText-Small"/>
                              </w:pPr>
                              <w:r w:rsidRPr="00DA25E5">
                                <w:t xml:space="preserve">Target group? </w:t>
                              </w:r>
                            </w:p>
                            <w:p w14:paraId="3D625F0A" w14:textId="77777777" w:rsidR="00E70395" w:rsidRPr="00314AE9" w:rsidRDefault="00E70395" w:rsidP="000A7DEC">
                              <w:pPr>
                                <w:pStyle w:val="TableText-Small"/>
                              </w:pPr>
                              <w:r w:rsidRPr="004C1DA7">
                                <w:t>Who benefits?</w:t>
                              </w: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2745664" y="1297248"/>
                            <a:ext cx="1679154" cy="2227922"/>
                          </a:xfrm>
                          <a:prstGeom prst="rect">
                            <a:avLst/>
                          </a:prstGeom>
                          <a:solidFill>
                            <a:srgbClr val="FFFFFF"/>
                          </a:solidFill>
                          <a:ln w="9525">
                            <a:solidFill>
                              <a:srgbClr val="000000"/>
                            </a:solidFill>
                            <a:miter lim="800000"/>
                            <a:headEnd/>
                            <a:tailEnd/>
                          </a:ln>
                        </wps:spPr>
                        <wps:txbx>
                          <w:txbxContent>
                            <w:p w14:paraId="4064483D" w14:textId="77777777" w:rsidR="00E70395" w:rsidRPr="00DA485B" w:rsidRDefault="00E70395" w:rsidP="000A7DEC">
                              <w:pPr>
                                <w:pStyle w:val="TableText-Small"/>
                              </w:pPr>
                              <w:r w:rsidRPr="00314AE9">
                                <w:t>PLANNED PERFORMANCE CRITERIA</w:t>
                              </w:r>
                              <w:r>
                                <w:br/>
                              </w:r>
                            </w:p>
                            <w:p w14:paraId="62341B36" w14:textId="77777777" w:rsidR="00E70395" w:rsidRPr="00DA25E5" w:rsidRDefault="00E70395" w:rsidP="000A7DEC">
                              <w:pPr>
                                <w:pStyle w:val="TableText-Small"/>
                              </w:pPr>
                              <w:r w:rsidRPr="0008587A">
                                <w:t>What does success look like during:</w:t>
                              </w:r>
                            </w:p>
                            <w:p w14:paraId="0404C94D" w14:textId="77777777" w:rsidR="00E70395" w:rsidRPr="000C42A6" w:rsidRDefault="00E70395" w:rsidP="00A250B5">
                              <w:pPr>
                                <w:pStyle w:val="TableText-Bullets-Compact"/>
                              </w:pPr>
                              <w:r w:rsidRPr="00A250B5">
                                <w:t>2019-</w:t>
                              </w:r>
                              <w:r w:rsidRPr="000C42A6">
                                <w:t>20 Actuals</w:t>
                              </w:r>
                            </w:p>
                            <w:p w14:paraId="46AB4AEA" w14:textId="77777777" w:rsidR="00E70395" w:rsidRPr="00A250B5" w:rsidRDefault="00E70395" w:rsidP="00A250B5">
                              <w:pPr>
                                <w:pStyle w:val="TableText-Bullets-Compact"/>
                              </w:pPr>
                              <w:r w:rsidRPr="00A250B5">
                                <w:t>2020-21 Budget</w:t>
                              </w:r>
                            </w:p>
                            <w:p w14:paraId="3465D8D6" w14:textId="77777777" w:rsidR="00E70395" w:rsidRPr="00A250B5" w:rsidRDefault="00E70395" w:rsidP="00A250B5">
                              <w:pPr>
                                <w:pStyle w:val="TableText-Bullets-Compact"/>
                              </w:pPr>
                              <w:r w:rsidRPr="00A250B5">
                                <w:t>2021-22 and beyond</w:t>
                              </w:r>
                            </w:p>
                            <w:p w14:paraId="423C5DD0" w14:textId="77777777" w:rsidR="00E70395" w:rsidRPr="00A250B5" w:rsidRDefault="00E70395" w:rsidP="00A250B5">
                              <w:pPr>
                                <w:pStyle w:val="TableText-Bullets-Compact"/>
                              </w:pPr>
                              <w:r w:rsidRPr="00A250B5">
                                <w:t xml:space="preserve">Targets </w:t>
                              </w:r>
                            </w:p>
                            <w:p w14:paraId="20E7C6C3" w14:textId="77777777" w:rsidR="00E70395" w:rsidRPr="000E692C" w:rsidRDefault="00E70395" w:rsidP="000A7DEC">
                              <w:pPr>
                                <w:pStyle w:val="TableText-Small"/>
                              </w:pPr>
                              <w:r w:rsidRPr="000E692C">
                                <w:t>(</w:t>
                              </w:r>
                              <w:r>
                                <w:t>ie</w:t>
                              </w:r>
                              <w:r w:rsidRPr="000E692C">
                                <w:t xml:space="preserve"> milestones, standards, extent)</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4607984" y="1298080"/>
                            <a:ext cx="1182589" cy="2227010"/>
                          </a:xfrm>
                          <a:prstGeom prst="rect">
                            <a:avLst/>
                          </a:prstGeom>
                          <a:solidFill>
                            <a:srgbClr val="FFFFFF"/>
                          </a:solidFill>
                          <a:ln w="9525">
                            <a:solidFill>
                              <a:srgbClr val="000000"/>
                            </a:solidFill>
                            <a:miter lim="800000"/>
                            <a:headEnd/>
                            <a:tailEnd/>
                          </a:ln>
                        </wps:spPr>
                        <wps:txbx>
                          <w:txbxContent>
                            <w:p w14:paraId="610275E5" w14:textId="77777777" w:rsidR="00E70395" w:rsidRPr="0008587A" w:rsidRDefault="00E70395" w:rsidP="000A7DEC">
                              <w:pPr>
                                <w:pStyle w:val="TableText-Small"/>
                              </w:pPr>
                              <w:r w:rsidRPr="00314AE9">
                                <w:t>PURPOSES</w:t>
                              </w:r>
                              <w:r>
                                <w:br/>
                              </w:r>
                              <w:r>
                                <w:br/>
                              </w:r>
                              <w:r>
                                <w:br/>
                              </w:r>
                            </w:p>
                            <w:p w14:paraId="3671C701" w14:textId="77777777" w:rsidR="00E70395" w:rsidRPr="00DA25E5" w:rsidRDefault="00E70395" w:rsidP="000A7DEC">
                              <w:pPr>
                                <w:pStyle w:val="TableText-Small"/>
                              </w:pPr>
                              <w:r w:rsidRPr="00DA25E5">
                                <w:t>Link to the broader context and performance framework described in an entity’s current corporate plan</w:t>
                              </w:r>
                            </w:p>
                          </w:txbxContent>
                        </wps:txbx>
                        <wps:bodyPr rot="0" vert="horz" wrap="square" lIns="91440" tIns="45720" rIns="91440" bIns="45720" anchor="t" anchorCtr="0" upright="1">
                          <a:noAutofit/>
                        </wps:bodyPr>
                      </wps:wsp>
                      <wpg:wgp>
                        <wpg:cNvPr id="24" name="Group 9" descr="Arrow showing 2016-17 Budget measures modify Performance Criteria. "/>
                        <wpg:cNvGrpSpPr>
                          <a:grpSpLocks/>
                        </wpg:cNvGrpSpPr>
                        <wpg:grpSpPr bwMode="auto">
                          <a:xfrm>
                            <a:off x="3678159" y="472112"/>
                            <a:ext cx="1098053" cy="826216"/>
                            <a:chOff x="7357" y="7859"/>
                            <a:chExt cx="1388" cy="1759"/>
                          </a:xfrm>
                        </wpg:grpSpPr>
                        <wps:wsp>
                          <wps:cNvPr id="25" name="AutoShape 10" descr="Modifies"/>
                          <wps:cNvCnPr>
                            <a:cxnSpLocks noChangeShapeType="1"/>
                          </wps:cNvCnPr>
                          <wps:spPr bwMode="auto">
                            <a:xfrm rot="16200000" flipH="1">
                              <a:off x="6676" y="8540"/>
                              <a:ext cx="1759" cy="397"/>
                            </a:xfrm>
                            <a:prstGeom prst="bentConnector3">
                              <a:avLst>
                                <a:gd name="adj1" fmla="val 52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Text Box 11"/>
                          <wps:cNvSpPr txBox="1">
                            <a:spLocks noChangeArrowheads="1"/>
                          </wps:cNvSpPr>
                          <wps:spPr bwMode="auto">
                            <a:xfrm>
                              <a:off x="7718" y="8344"/>
                              <a:ext cx="1027" cy="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136FCC" w14:textId="77777777" w:rsidR="00E70395" w:rsidRPr="00877B45" w:rsidRDefault="00E70395">
                                <w:r w:rsidRPr="00877B45">
                                  <w:t>Modifies</w:t>
                                </w:r>
                              </w:p>
                            </w:txbxContent>
                          </wps:txbx>
                          <wps:bodyPr rot="0" vert="horz" wrap="square" lIns="91440" tIns="45720" rIns="91440" bIns="45720" anchor="t" anchorCtr="0" upright="1">
                            <a:noAutofit/>
                          </wps:bodyPr>
                        </wps:wsp>
                      </wpg:wgp>
                      <wpg:wgp>
                        <wpg:cNvPr id="27" name="Group 12" descr="Arrow showing 2016-17 Budget measures modify Delivery. "/>
                        <wpg:cNvGrpSpPr>
                          <a:grpSpLocks/>
                        </wpg:cNvGrpSpPr>
                        <wpg:grpSpPr bwMode="auto">
                          <a:xfrm>
                            <a:off x="800531" y="509570"/>
                            <a:ext cx="1558958" cy="777837"/>
                            <a:chOff x="3942" y="8420"/>
                            <a:chExt cx="1191" cy="1112"/>
                          </a:xfrm>
                        </wpg:grpSpPr>
                        <wps:wsp>
                          <wps:cNvPr id="28" name="AutoShape 13" descr="Modifies"/>
                          <wps:cNvCnPr>
                            <a:cxnSpLocks noChangeShapeType="1"/>
                            <a:stCxn id="19" idx="1"/>
                          </wps:cNvCnPr>
                          <wps:spPr bwMode="auto">
                            <a:xfrm rot="10800000" flipV="1">
                              <a:off x="4518" y="8420"/>
                              <a:ext cx="197" cy="111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Text Box 14"/>
                          <wps:cNvSpPr txBox="1">
                            <a:spLocks noChangeArrowheads="1"/>
                          </wps:cNvSpPr>
                          <wps:spPr bwMode="auto">
                            <a:xfrm>
                              <a:off x="3942" y="8692"/>
                              <a:ext cx="1191"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87D611" w14:textId="77777777" w:rsidR="00E70395" w:rsidRPr="00877B45" w:rsidRDefault="00E70395">
                                <w:r w:rsidRPr="00877B45">
                                  <w:t>Modifies</w:t>
                                </w:r>
                              </w:p>
                            </w:txbxContent>
                          </wps:txbx>
                          <wps:bodyPr rot="0" vert="horz" wrap="square" lIns="91440" tIns="45720" rIns="91440" bIns="45720" anchor="t" anchorCtr="0" upright="1">
                            <a:noAutofit/>
                          </wps:bodyPr>
                        </wps:wsp>
                      </wpg:wgp>
                      <wps:wsp>
                        <wps:cNvPr id="30" name="AutoShape 15" descr="Arrow from Program Title and Description to Delivery"/>
                        <wps:cNvCnPr>
                          <a:cxnSpLocks noChangeShapeType="1"/>
                          <a:stCxn id="20" idx="3"/>
                          <a:endCxn id="21" idx="1"/>
                        </wps:cNvCnPr>
                        <wps:spPr bwMode="auto">
                          <a:xfrm flipV="1">
                            <a:off x="1329101" y="2414901"/>
                            <a:ext cx="152353" cy="62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16" descr="Arrow from Delivery to Performance Criteria"/>
                        <wps:cNvCnPr>
                          <a:cxnSpLocks noChangeShapeType="1"/>
                          <a:stCxn id="21" idx="3"/>
                          <a:endCxn id="22" idx="1"/>
                        </wps:cNvCnPr>
                        <wps:spPr bwMode="auto">
                          <a:xfrm flipV="1">
                            <a:off x="2562224" y="2411209"/>
                            <a:ext cx="183440" cy="369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17" descr="Arrow from Performance Criteria to Purposes"/>
                        <wps:cNvCnPr>
                          <a:cxnSpLocks noChangeShapeType="1"/>
                          <a:stCxn id="22" idx="3"/>
                          <a:endCxn id="23" idx="1"/>
                        </wps:cNvCnPr>
                        <wps:spPr bwMode="auto">
                          <a:xfrm>
                            <a:off x="4424818" y="2411209"/>
                            <a:ext cx="183166" cy="37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5ADD072" id="Canvas 33" o:spid="_x0000_s1041" editas="canvas" style="width:463.5pt;height:291.95pt;mso-position-horizontal-relative:char;mso-position-vertical-relative:line" coordsize="58864,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">
                <v:shape id="_x0000_s1042" type="#_x0000_t75" style="position:absolute;width:58864;height:37077;visibility:visible;mso-wrap-style:square" filled="t" fillcolor="#d8d8d8 [2732]" stroked="t" strokecolor="black [3213]">
                  <v:fill o:detectmouseclick="t"/>
                  <v:path o:connecttype="none"/>
                </v:shape>
                <v:shape id="Text Box 4" o:spid="_x0000_s1043" type="#_x0000_t202" style="position:absolute;left:18123;top:1047;width:18658;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F98F966" w14:textId="77777777" w:rsidR="00E70395" w:rsidRPr="002406F9" w:rsidRDefault="00E70395" w:rsidP="000A7DEC">
                        <w:pPr>
                          <w:pStyle w:val="TableText-Small"/>
                          <w:ind w:left="0"/>
                        </w:pPr>
                        <w:r w:rsidRPr="00EF6ACB">
                          <w:t>2020-21</w:t>
                        </w:r>
                        <w:r w:rsidRPr="00155B83">
                          <w:t xml:space="preserve"> BUDGET MEASURES</w:t>
                        </w:r>
                      </w:p>
                      <w:p w14:paraId="7AA4659D" w14:textId="77777777" w:rsidR="00E70395" w:rsidRPr="000A7DEC" w:rsidRDefault="00E70395">
                        <w:pPr>
                          <w:rPr>
                            <w:sz w:val="18"/>
                            <w:szCs w:val="18"/>
                          </w:rPr>
                        </w:pPr>
                        <w:r w:rsidRPr="000A7DEC">
                          <w:rPr>
                            <w:sz w:val="18"/>
                            <w:szCs w:val="18"/>
                          </w:rPr>
                          <w:t>New programs or material impact on existing programs</w:t>
                        </w:r>
                      </w:p>
                    </w:txbxContent>
                  </v:textbox>
                </v:shape>
                <v:shape id="Text Box 5" o:spid="_x0000_s1044" type="#_x0000_t202" style="position:absolute;left:1340;top:13045;width:11951;height:2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77F541D" w14:textId="77777777" w:rsidR="00E70395" w:rsidRPr="00905D4E" w:rsidRDefault="00E70395">
                        <w:pPr>
                          <w:pStyle w:val="TableText-Small"/>
                        </w:pPr>
                        <w:r w:rsidRPr="00905D4E">
                          <w:t>PROGRAM TITLE AND DESCRIPTION</w:t>
                        </w:r>
                        <w:r>
                          <w:br/>
                        </w:r>
                      </w:p>
                      <w:p w14:paraId="1ACAC2E4" w14:textId="77777777" w:rsidR="00E70395" w:rsidRPr="00905D4E" w:rsidRDefault="00E70395">
                        <w:pPr>
                          <w:pStyle w:val="TableText-Small"/>
                        </w:pPr>
                        <w:r w:rsidRPr="00905D4E">
                          <w:t>Objective</w:t>
                        </w:r>
                      </w:p>
                      <w:p w14:paraId="6FA35CF2" w14:textId="77777777" w:rsidR="00E70395" w:rsidRPr="00905D4E" w:rsidRDefault="00E70395">
                        <w:pPr>
                          <w:pStyle w:val="TableText-Small"/>
                        </w:pPr>
                        <w:r w:rsidRPr="00905D4E">
                          <w:t>What impact?</w:t>
                        </w:r>
                      </w:p>
                      <w:p w14:paraId="6931B1FD" w14:textId="77777777" w:rsidR="00E70395" w:rsidRPr="00905D4E" w:rsidRDefault="00E70395">
                        <w:pPr>
                          <w:pStyle w:val="TableText-Small"/>
                        </w:pPr>
                        <w:r w:rsidRPr="00905D4E">
                          <w:t>Contribution to Outcome X</w:t>
                        </w:r>
                      </w:p>
                      <w:p w14:paraId="32861D57" w14:textId="77777777" w:rsidR="00E70395" w:rsidRPr="00905D4E" w:rsidRDefault="00E70395">
                        <w:pPr>
                          <w:pStyle w:val="TableText-Small"/>
                        </w:pPr>
                        <w:r w:rsidRPr="00905D4E">
                          <w:t>How does the program help contribute to Outcome X?</w:t>
                        </w:r>
                      </w:p>
                    </w:txbxContent>
                  </v:textbox>
                </v:shape>
                <v:shape id="Text Box 6" o:spid="_x0000_s1045" type="#_x0000_t202" style="position:absolute;left:14814;top:12983;width:10808;height:2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18EAF142" w14:textId="77777777" w:rsidR="00E70395" w:rsidRDefault="00E70395" w:rsidP="000A7DEC">
                        <w:pPr>
                          <w:pStyle w:val="TableText-Small"/>
                        </w:pPr>
                        <w:r w:rsidRPr="00314AE9">
                          <w:t>DELIVERY</w:t>
                        </w:r>
                        <w:r>
                          <w:br/>
                        </w:r>
                        <w:r>
                          <w:br/>
                        </w:r>
                        <w:r>
                          <w:br/>
                        </w:r>
                      </w:p>
                      <w:p w14:paraId="0836316B" w14:textId="77777777" w:rsidR="00E70395" w:rsidRPr="00DA25E5" w:rsidRDefault="00E70395" w:rsidP="000A7DEC">
                        <w:pPr>
                          <w:pStyle w:val="TableText-Small"/>
                        </w:pPr>
                        <w:r w:rsidRPr="0008587A">
                          <w:t xml:space="preserve">What mechanisms (or activities)? </w:t>
                        </w:r>
                      </w:p>
                      <w:p w14:paraId="22129171" w14:textId="77777777" w:rsidR="00E70395" w:rsidRPr="00DA25E5" w:rsidRDefault="00E70395" w:rsidP="000A7DEC">
                        <w:pPr>
                          <w:pStyle w:val="TableText-Small"/>
                        </w:pPr>
                        <w:r w:rsidRPr="00DA25E5">
                          <w:t xml:space="preserve">Target group? </w:t>
                        </w:r>
                      </w:p>
                      <w:p w14:paraId="3D625F0A" w14:textId="77777777" w:rsidR="00E70395" w:rsidRPr="00314AE9" w:rsidRDefault="00E70395" w:rsidP="000A7DEC">
                        <w:pPr>
                          <w:pStyle w:val="TableText-Small"/>
                        </w:pPr>
                        <w:r w:rsidRPr="004C1DA7">
                          <w:t>Who benefits?</w:t>
                        </w:r>
                      </w:p>
                    </w:txbxContent>
                  </v:textbox>
                </v:shape>
                <v:shape id="Text Box 7" o:spid="_x0000_s1046" type="#_x0000_t202" style="position:absolute;left:27456;top:12972;width:16792;height:2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4064483D" w14:textId="77777777" w:rsidR="00E70395" w:rsidRPr="00DA485B" w:rsidRDefault="00E70395" w:rsidP="000A7DEC">
                        <w:pPr>
                          <w:pStyle w:val="TableText-Small"/>
                        </w:pPr>
                        <w:r w:rsidRPr="00314AE9">
                          <w:t>PLANNED PERFORMANCE CRITERIA</w:t>
                        </w:r>
                        <w:r>
                          <w:br/>
                        </w:r>
                      </w:p>
                      <w:p w14:paraId="62341B36" w14:textId="77777777" w:rsidR="00E70395" w:rsidRPr="00DA25E5" w:rsidRDefault="00E70395" w:rsidP="000A7DEC">
                        <w:pPr>
                          <w:pStyle w:val="TableText-Small"/>
                        </w:pPr>
                        <w:r w:rsidRPr="0008587A">
                          <w:t>What does success look like during:</w:t>
                        </w:r>
                      </w:p>
                      <w:p w14:paraId="0404C94D" w14:textId="77777777" w:rsidR="00E70395" w:rsidRPr="000C42A6" w:rsidRDefault="00E70395" w:rsidP="00A250B5">
                        <w:pPr>
                          <w:pStyle w:val="TableText-Bullets-Compact"/>
                        </w:pPr>
                        <w:r w:rsidRPr="00A250B5">
                          <w:t>2019-</w:t>
                        </w:r>
                        <w:r w:rsidRPr="000C42A6">
                          <w:t>20 Actuals</w:t>
                        </w:r>
                      </w:p>
                      <w:p w14:paraId="46AB4AEA" w14:textId="77777777" w:rsidR="00E70395" w:rsidRPr="00A250B5" w:rsidRDefault="00E70395" w:rsidP="00A250B5">
                        <w:pPr>
                          <w:pStyle w:val="TableText-Bullets-Compact"/>
                        </w:pPr>
                        <w:r w:rsidRPr="00A250B5">
                          <w:t>2020-21 Budget</w:t>
                        </w:r>
                      </w:p>
                      <w:p w14:paraId="3465D8D6" w14:textId="77777777" w:rsidR="00E70395" w:rsidRPr="00A250B5" w:rsidRDefault="00E70395" w:rsidP="00A250B5">
                        <w:pPr>
                          <w:pStyle w:val="TableText-Bullets-Compact"/>
                        </w:pPr>
                        <w:r w:rsidRPr="00A250B5">
                          <w:t>2021-22 and beyond</w:t>
                        </w:r>
                      </w:p>
                      <w:p w14:paraId="423C5DD0" w14:textId="77777777" w:rsidR="00E70395" w:rsidRPr="00A250B5" w:rsidRDefault="00E70395" w:rsidP="00A250B5">
                        <w:pPr>
                          <w:pStyle w:val="TableText-Bullets-Compact"/>
                        </w:pPr>
                        <w:r w:rsidRPr="00A250B5">
                          <w:t xml:space="preserve">Targets </w:t>
                        </w:r>
                      </w:p>
                      <w:p w14:paraId="20E7C6C3" w14:textId="77777777" w:rsidR="00E70395" w:rsidRPr="000E692C" w:rsidRDefault="00E70395" w:rsidP="000A7DEC">
                        <w:pPr>
                          <w:pStyle w:val="TableText-Small"/>
                        </w:pPr>
                        <w:r w:rsidRPr="000E692C">
                          <w:t>(</w:t>
                        </w:r>
                        <w:r>
                          <w:t>ie</w:t>
                        </w:r>
                        <w:r w:rsidRPr="000E692C">
                          <w:t xml:space="preserve"> milestones, standards, extent)</w:t>
                        </w:r>
                      </w:p>
                    </w:txbxContent>
                  </v:textbox>
                </v:shape>
                <v:shape id="Text Box 8" o:spid="_x0000_s1047" type="#_x0000_t202" style="position:absolute;left:46079;top:12980;width:11826;height:2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10275E5" w14:textId="77777777" w:rsidR="00E70395" w:rsidRPr="0008587A" w:rsidRDefault="00E70395" w:rsidP="000A7DEC">
                        <w:pPr>
                          <w:pStyle w:val="TableText-Small"/>
                        </w:pPr>
                        <w:r w:rsidRPr="00314AE9">
                          <w:t>PURPOSES</w:t>
                        </w:r>
                        <w:r>
                          <w:br/>
                        </w:r>
                        <w:r>
                          <w:br/>
                        </w:r>
                        <w:r>
                          <w:br/>
                        </w:r>
                      </w:p>
                      <w:p w14:paraId="3671C701" w14:textId="77777777" w:rsidR="00E70395" w:rsidRPr="00DA25E5" w:rsidRDefault="00E70395" w:rsidP="000A7DEC">
                        <w:pPr>
                          <w:pStyle w:val="TableText-Small"/>
                        </w:pPr>
                        <w:r w:rsidRPr="00DA25E5">
                          <w:t>Link to the broader context and performance framework described in an entity’s current corporate plan</w:t>
                        </w:r>
                      </w:p>
                    </w:txbxContent>
                  </v:textbox>
                </v:shape>
                <v:group id="Group 9" o:spid="_x0000_s1048" alt="Arrow showing 2016-17 Budget measures modify Performance Criteria. " style="position:absolute;left:36781;top:4721;width:10981;height:8262" coordorigin="7357,7859" coordsize="1388,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49" type="#_x0000_t34" alt="Modifies" style="position:absolute;left:6676;top:8540;width:1759;height:39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" adj="1143">
                    <v:stroke endarrow="block"/>
                  </v:shape>
                  <v:shape id="Text Box 11" o:spid="_x0000_s1050" type="#_x0000_t202" style="position:absolute;left:7718;top:8344;width:102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6136FCC" w14:textId="77777777" w:rsidR="00E70395" w:rsidRPr="00877B45" w:rsidRDefault="00E70395">
                          <w:r w:rsidRPr="00877B45">
                            <w:t>Modifies</w:t>
                          </w:r>
                        </w:p>
                      </w:txbxContent>
                    </v:textbox>
                  </v:shape>
                </v:group>
                <v:group id="Group 12" o:spid="_x0000_s1051" alt="Arrow showing 2016-17 Budget measures modify Delivery. " style="position:absolute;left:8005;top:5095;width:15589;height:7779" coordorigin="3942,8420" coordsize="119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3" coordsize="21600,21600" o:spt="33" o:oned="t" path="m,l21600,r,21600e" filled="f">
                    <v:stroke joinstyle="miter"/>
                    <v:path arrowok="t" fillok="f" o:connecttype="none"/>
                    <o:lock v:ext="edit" shapetype="t"/>
                  </v:shapetype>
                  <v:shape id="AutoShape 13" o:spid="_x0000_s1052" type="#_x0000_t33" alt="Modifies" style="position:absolute;left:4518;top:8420;width:197;height:11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">
                    <v:stroke endarrow="block"/>
                  </v:shape>
                  <v:shape id="Text Box 14" o:spid="_x0000_s1053" type="#_x0000_t202" style="position:absolute;left:3942;top:8692;width:119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687D611" w14:textId="77777777" w:rsidR="00E70395" w:rsidRPr="00877B45" w:rsidRDefault="00E70395">
                          <w:r w:rsidRPr="00877B45">
                            <w:t>Modifies</w:t>
                          </w:r>
                        </w:p>
                      </w:txbxContent>
                    </v:textbox>
                  </v:shape>
                </v:group>
                <v:shape id="AutoShape 15" o:spid="_x0000_s1054" type="#_x0000_t32" alt="Arrow from Program Title and Description to Delivery" style="position:absolute;left:13291;top:24149;width:1523;height: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16" o:spid="_x0000_s1055" type="#_x0000_t32" alt="Arrow from Delivery to Performance Criteria" style="position:absolute;left:25622;top:24112;width:1834;height: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AutoShape 17" o:spid="_x0000_s1056" type="#_x0000_t32" alt="Arrow from Performance Criteria to Purposes" style="position:absolute;left:44248;top:24112;width:1831;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w10:anchorlock/>
              </v:group>
            </w:pict>
          </mc:Fallback>
        </mc:AlternateContent>
      </w:r>
      <w:r w:rsidRPr="000C5235">
        <w:br w:type="page"/>
        <w:t>Table 2.X.3: Performance criteria for Outcome X</w:t>
      </w:r>
    </w:p>
    <w:tbl>
      <w:tblPr>
        <w:tblW w:w="9211" w:type="dxa"/>
        <w:jc w:val="center"/>
        <w:tblCellMar>
          <w:left w:w="0" w:type="dxa"/>
          <w:right w:w="0" w:type="dxa"/>
        </w:tblCellMar>
        <w:tblLook w:val="04A0" w:firstRow="1" w:lastRow="0" w:firstColumn="1" w:lastColumn="0" w:noHBand="0" w:noVBand="1"/>
      </w:tblPr>
      <w:tblGrid>
        <w:gridCol w:w="1809"/>
        <w:gridCol w:w="3475"/>
        <w:gridCol w:w="3927"/>
      </w:tblGrid>
      <w:tr w:rsidR="00FA0945" w:rsidRPr="000C5235" w14:paraId="30D63C8A" w14:textId="77777777" w:rsidTr="008D0F6F">
        <w:trPr>
          <w:jc w:val="center"/>
        </w:trPr>
        <w:tc>
          <w:tcPr>
            <w:tcW w:w="9211" w:type="dxa"/>
            <w:gridSpan w:val="3"/>
            <w:tcBorders>
              <w:top w:val="single" w:sz="2" w:space="0" w:color="auto"/>
              <w:left w:val="single" w:sz="2" w:space="0" w:color="auto"/>
              <w:bottom w:val="single" w:sz="2" w:space="0" w:color="auto"/>
              <w:right w:val="single" w:sz="2" w:space="0" w:color="auto"/>
            </w:tcBorders>
            <w:shd w:val="clear" w:color="auto" w:fill="D2D2D2"/>
          </w:tcPr>
          <w:p w14:paraId="78495887" w14:textId="77777777" w:rsidR="00FA0945" w:rsidRPr="000C5235" w:rsidRDefault="00FA0945" w:rsidP="000A7DEC">
            <w:pPr>
              <w:pStyle w:val="TableText-Normal"/>
            </w:pPr>
            <w:r w:rsidRPr="000C5235">
              <w:rPr>
                <w:b/>
              </w:rPr>
              <w:t xml:space="preserve">Outcome X </w:t>
            </w:r>
            <w:r w:rsidRPr="000C5235">
              <w:t>– Repeat relevant outcome statement for Outcome X</w:t>
            </w:r>
          </w:p>
        </w:tc>
      </w:tr>
      <w:tr w:rsidR="00FA0945" w:rsidRPr="000C5235" w14:paraId="32F776A7" w14:textId="77777777" w:rsidTr="008D0F6F">
        <w:trPr>
          <w:jc w:val="center"/>
        </w:trPr>
        <w:tc>
          <w:tcPr>
            <w:tcW w:w="9211" w:type="dxa"/>
            <w:gridSpan w:val="3"/>
            <w:tcBorders>
              <w:top w:val="single" w:sz="2" w:space="0" w:color="auto"/>
              <w:left w:val="single" w:sz="2" w:space="0" w:color="auto"/>
              <w:bottom w:val="single" w:sz="2" w:space="0" w:color="auto"/>
              <w:right w:val="single" w:sz="2" w:space="0" w:color="auto"/>
            </w:tcBorders>
            <w:shd w:val="clear" w:color="auto" w:fill="D2D2D2"/>
          </w:tcPr>
          <w:p w14:paraId="25DD3999" w14:textId="77777777" w:rsidR="00FA0945" w:rsidRPr="000C5235" w:rsidRDefault="00FA0945" w:rsidP="000A7DEC">
            <w:pPr>
              <w:pStyle w:val="TableText-Normal"/>
            </w:pPr>
            <w:r w:rsidRPr="000C5235">
              <w:rPr>
                <w:b/>
              </w:rPr>
              <w:t>Program X.1</w:t>
            </w:r>
            <w:r w:rsidRPr="000C5235">
              <w:t xml:space="preserve"> – Brief description of Program X.1 (objective and how it contributes to delivering Outcome X)</w:t>
            </w:r>
          </w:p>
        </w:tc>
      </w:tr>
      <w:tr w:rsidR="00FA0945" w:rsidRPr="000C5235" w14:paraId="4D46EA19" w14:textId="77777777" w:rsidTr="008D0F6F">
        <w:trPr>
          <w:jc w:val="center"/>
        </w:trPr>
        <w:tc>
          <w:tcPr>
            <w:tcW w:w="1809" w:type="dxa"/>
            <w:tcBorders>
              <w:top w:val="single" w:sz="2" w:space="0" w:color="auto"/>
              <w:left w:val="single" w:sz="2" w:space="0" w:color="auto"/>
              <w:bottom w:val="double" w:sz="4" w:space="0" w:color="auto"/>
              <w:right w:val="single" w:sz="2" w:space="0" w:color="auto"/>
            </w:tcBorders>
          </w:tcPr>
          <w:p w14:paraId="5A8FB6DD" w14:textId="77777777" w:rsidR="00FA0945" w:rsidRPr="000C5235" w:rsidRDefault="00FA0945" w:rsidP="000A7DEC">
            <w:pPr>
              <w:pStyle w:val="TableText-Normal"/>
            </w:pPr>
            <w:r w:rsidRPr="000C5235">
              <w:t>Delivery</w:t>
            </w:r>
          </w:p>
        </w:tc>
        <w:tc>
          <w:tcPr>
            <w:tcW w:w="7402" w:type="dxa"/>
            <w:gridSpan w:val="2"/>
            <w:tcBorders>
              <w:top w:val="single" w:sz="2" w:space="0" w:color="auto"/>
              <w:left w:val="single" w:sz="2" w:space="0" w:color="auto"/>
              <w:bottom w:val="double" w:sz="4" w:space="0" w:color="auto"/>
              <w:right w:val="single" w:sz="2" w:space="0" w:color="auto"/>
            </w:tcBorders>
          </w:tcPr>
          <w:p w14:paraId="56672017" w14:textId="77777777" w:rsidR="00FA0945" w:rsidRPr="000C5235" w:rsidRDefault="00FA0945" w:rsidP="000A7DEC">
            <w:pPr>
              <w:pStyle w:val="TableText-Normal"/>
            </w:pPr>
            <w:r w:rsidRPr="000C5235">
              <w:t>Insert a brief description of the mechanisms through which Program X.1 will be delivered (</w:t>
            </w:r>
            <w:r w:rsidR="001754FC" w:rsidRPr="000C5235">
              <w:t>ie</w:t>
            </w:r>
            <w:r w:rsidRPr="000C5235">
              <w:t xml:space="preserve"> the high-level activities) and the target group to be impacted.</w:t>
            </w:r>
          </w:p>
        </w:tc>
      </w:tr>
      <w:tr w:rsidR="00FA0945" w:rsidRPr="000C5235" w14:paraId="027F5532" w14:textId="77777777" w:rsidTr="008D0F6F">
        <w:trPr>
          <w:jc w:val="center"/>
        </w:trPr>
        <w:tc>
          <w:tcPr>
            <w:tcW w:w="9211" w:type="dxa"/>
            <w:gridSpan w:val="3"/>
            <w:tcBorders>
              <w:top w:val="double" w:sz="4" w:space="0" w:color="auto"/>
              <w:left w:val="single" w:sz="2" w:space="0" w:color="auto"/>
              <w:bottom w:val="double" w:sz="4" w:space="0" w:color="auto"/>
              <w:right w:val="single" w:sz="2" w:space="0" w:color="auto"/>
            </w:tcBorders>
          </w:tcPr>
          <w:p w14:paraId="348F8F75" w14:textId="77777777" w:rsidR="00FA0945" w:rsidRPr="000C5235" w:rsidRDefault="00FA0945" w:rsidP="000A7DEC">
            <w:pPr>
              <w:pStyle w:val="TableText-Normal"/>
            </w:pPr>
            <w:r w:rsidRPr="000C5235">
              <w:t>Performance information</w:t>
            </w:r>
          </w:p>
        </w:tc>
      </w:tr>
      <w:tr w:rsidR="00FA0945" w:rsidRPr="000C5235" w14:paraId="72D02D19" w14:textId="77777777" w:rsidTr="008D0F6F">
        <w:trPr>
          <w:jc w:val="center"/>
        </w:trPr>
        <w:tc>
          <w:tcPr>
            <w:tcW w:w="1809" w:type="dxa"/>
            <w:tcBorders>
              <w:top w:val="double" w:sz="4" w:space="0" w:color="auto"/>
              <w:left w:val="single" w:sz="2" w:space="0" w:color="auto"/>
              <w:bottom w:val="single" w:sz="2" w:space="0" w:color="auto"/>
              <w:right w:val="single" w:sz="2" w:space="0" w:color="auto"/>
            </w:tcBorders>
          </w:tcPr>
          <w:p w14:paraId="69F422E6" w14:textId="77777777" w:rsidR="00FA0945" w:rsidRPr="000C5235" w:rsidRDefault="00FA0945" w:rsidP="000A7DEC">
            <w:pPr>
              <w:pStyle w:val="TableText-Normal"/>
            </w:pPr>
            <w:r w:rsidRPr="000C5235">
              <w:t>Year</w:t>
            </w:r>
          </w:p>
        </w:tc>
        <w:tc>
          <w:tcPr>
            <w:tcW w:w="3475" w:type="dxa"/>
            <w:tcBorders>
              <w:top w:val="double" w:sz="4" w:space="0" w:color="auto"/>
              <w:left w:val="single" w:sz="2" w:space="0" w:color="auto"/>
              <w:bottom w:val="single" w:sz="2" w:space="0" w:color="auto"/>
              <w:right w:val="single" w:sz="2" w:space="0" w:color="auto"/>
            </w:tcBorders>
          </w:tcPr>
          <w:p w14:paraId="55EBB330" w14:textId="77777777" w:rsidR="00FA0945" w:rsidRPr="000C5235" w:rsidRDefault="00FA0945" w:rsidP="000A7DEC">
            <w:pPr>
              <w:pStyle w:val="TableText-Normal"/>
            </w:pPr>
            <w:r w:rsidRPr="000C5235">
              <w:t>Performance criteria (a)</w:t>
            </w:r>
          </w:p>
        </w:tc>
        <w:tc>
          <w:tcPr>
            <w:tcW w:w="3927" w:type="dxa"/>
            <w:tcBorders>
              <w:top w:val="double" w:sz="4" w:space="0" w:color="auto"/>
              <w:left w:val="single" w:sz="2" w:space="0" w:color="auto"/>
              <w:bottom w:val="single" w:sz="2" w:space="0" w:color="auto"/>
              <w:right w:val="single" w:sz="2" w:space="0" w:color="auto"/>
            </w:tcBorders>
          </w:tcPr>
          <w:p w14:paraId="4E461CEA" w14:textId="77777777" w:rsidR="00FA0945" w:rsidRPr="000C5235" w:rsidRDefault="009A6E92" w:rsidP="000A7DEC">
            <w:pPr>
              <w:pStyle w:val="TableText-Normal"/>
            </w:pPr>
            <w:r w:rsidRPr="000C5235">
              <w:t>2019-20 Actual Achievement/Targets</w:t>
            </w:r>
          </w:p>
        </w:tc>
      </w:tr>
      <w:tr w:rsidR="00FA0945" w:rsidRPr="000C5235" w14:paraId="53E88B57" w14:textId="77777777" w:rsidTr="008D0F6F">
        <w:trPr>
          <w:trHeight w:val="60"/>
          <w:jc w:val="center"/>
        </w:trPr>
        <w:tc>
          <w:tcPr>
            <w:tcW w:w="1809" w:type="dxa"/>
            <w:tcBorders>
              <w:top w:val="single" w:sz="2" w:space="0" w:color="auto"/>
              <w:left w:val="single" w:sz="2" w:space="0" w:color="auto"/>
              <w:bottom w:val="dotted" w:sz="4" w:space="0" w:color="auto"/>
              <w:right w:val="single" w:sz="2" w:space="0" w:color="auto"/>
            </w:tcBorders>
          </w:tcPr>
          <w:p w14:paraId="375F0E18" w14:textId="77777777" w:rsidR="00FA0945" w:rsidRPr="000C5235" w:rsidRDefault="00282468" w:rsidP="000A7DEC">
            <w:pPr>
              <w:pStyle w:val="TableText-Normal"/>
            </w:pPr>
            <w:r w:rsidRPr="000C5235">
              <w:t>2019-20</w:t>
            </w:r>
          </w:p>
        </w:tc>
        <w:tc>
          <w:tcPr>
            <w:tcW w:w="3475" w:type="dxa"/>
            <w:tcBorders>
              <w:top w:val="single" w:sz="2" w:space="0" w:color="auto"/>
              <w:left w:val="single" w:sz="2" w:space="0" w:color="auto"/>
              <w:bottom w:val="dotted" w:sz="4" w:space="0" w:color="auto"/>
              <w:right w:val="single" w:sz="2" w:space="0" w:color="auto"/>
            </w:tcBorders>
          </w:tcPr>
          <w:p w14:paraId="54AC8BDB" w14:textId="77777777" w:rsidR="00FA0945" w:rsidRPr="000C5235" w:rsidRDefault="009A6E92" w:rsidP="000A7DEC">
            <w:pPr>
              <w:pStyle w:val="TableText-Normal"/>
            </w:pPr>
            <w:r w:rsidRPr="000C5235">
              <w:t>P</w:t>
            </w:r>
            <w:r w:rsidR="00A81B39" w:rsidRPr="000C5235">
              <w:t xml:space="preserve">erformance criteria for </w:t>
            </w:r>
            <w:r w:rsidR="00282468" w:rsidRPr="000C5235">
              <w:t>2019-20</w:t>
            </w:r>
            <w:r w:rsidR="00A81B39" w:rsidRPr="000C5235">
              <w:t xml:space="preserve"> described in </w:t>
            </w:r>
            <w:r w:rsidR="00282468" w:rsidRPr="000C5235">
              <w:t>2019-20</w:t>
            </w:r>
            <w:r w:rsidR="00FA0945" w:rsidRPr="000C5235">
              <w:t xml:space="preserve"> Portfolio Budget Statements</w:t>
            </w:r>
          </w:p>
        </w:tc>
        <w:tc>
          <w:tcPr>
            <w:tcW w:w="3927" w:type="dxa"/>
            <w:tcBorders>
              <w:top w:val="single" w:sz="2" w:space="0" w:color="auto"/>
              <w:left w:val="single" w:sz="2" w:space="0" w:color="auto"/>
              <w:bottom w:val="dotted" w:sz="4" w:space="0" w:color="auto"/>
              <w:right w:val="single" w:sz="2" w:space="0" w:color="auto"/>
            </w:tcBorders>
          </w:tcPr>
          <w:p w14:paraId="7A7E21ED" w14:textId="77777777" w:rsidR="00FA0945" w:rsidRPr="000C5235" w:rsidRDefault="009A6E92" w:rsidP="000A7DEC">
            <w:pPr>
              <w:pStyle w:val="TableText-Normal"/>
            </w:pPr>
            <w:r w:rsidRPr="000C5235">
              <w:t>Actual performance against targets for 2019-20 described in 2019-20 Portfolio Budget Statements.</w:t>
            </w:r>
          </w:p>
        </w:tc>
      </w:tr>
      <w:tr w:rsidR="00FA0945" w:rsidRPr="000C5235" w14:paraId="260E1246" w14:textId="77777777" w:rsidTr="008D0F6F">
        <w:trPr>
          <w:jc w:val="center"/>
        </w:trPr>
        <w:tc>
          <w:tcPr>
            <w:tcW w:w="1809" w:type="dxa"/>
            <w:tcBorders>
              <w:top w:val="dotted" w:sz="4" w:space="0" w:color="auto"/>
              <w:left w:val="single" w:sz="2" w:space="0" w:color="auto"/>
              <w:bottom w:val="dotted" w:sz="4" w:space="0" w:color="auto"/>
              <w:right w:val="single" w:sz="2" w:space="0" w:color="auto"/>
            </w:tcBorders>
          </w:tcPr>
          <w:p w14:paraId="1B366764" w14:textId="77777777" w:rsidR="00FA0945" w:rsidRPr="000C5235" w:rsidRDefault="00282468" w:rsidP="000A7DEC">
            <w:pPr>
              <w:pStyle w:val="TableText-Normal"/>
            </w:pPr>
            <w:r w:rsidRPr="000C5235">
              <w:t>2020-21</w:t>
            </w:r>
          </w:p>
        </w:tc>
        <w:tc>
          <w:tcPr>
            <w:tcW w:w="3475" w:type="dxa"/>
            <w:tcBorders>
              <w:top w:val="dotted" w:sz="4" w:space="0" w:color="auto"/>
              <w:left w:val="single" w:sz="2" w:space="0" w:color="auto"/>
              <w:bottom w:val="dotted" w:sz="4" w:space="0" w:color="auto"/>
              <w:right w:val="single" w:sz="2" w:space="0" w:color="auto"/>
            </w:tcBorders>
          </w:tcPr>
          <w:p w14:paraId="1129388E" w14:textId="77777777" w:rsidR="00FA0945" w:rsidRPr="000C5235" w:rsidRDefault="00FA0945" w:rsidP="000A7DEC">
            <w:pPr>
              <w:pStyle w:val="TableText-Normal"/>
            </w:pPr>
            <w:r w:rsidRPr="000C5235">
              <w:t>Criteria f</w:t>
            </w:r>
            <w:r w:rsidR="00A81B39" w:rsidRPr="000C5235">
              <w:t xml:space="preserve">or assessing performance in </w:t>
            </w:r>
            <w:r w:rsidR="00282468" w:rsidRPr="000C5235">
              <w:t>2020-21</w:t>
            </w:r>
          </w:p>
          <w:p w14:paraId="756B4F2A" w14:textId="77777777" w:rsidR="00FA0945" w:rsidRPr="000C5235" w:rsidRDefault="00FA0945" w:rsidP="000A7DEC">
            <w:pPr>
              <w:pStyle w:val="TableText-Normal"/>
            </w:pPr>
            <w:r w:rsidRPr="000C5235">
              <w:t>[Note – performance criteria that ref</w:t>
            </w:r>
            <w:r w:rsidR="00A81B39" w:rsidRPr="000C5235">
              <w:t xml:space="preserve">lect the material impact of </w:t>
            </w:r>
            <w:r w:rsidR="00282468" w:rsidRPr="000C5235">
              <w:t>2020-21</w:t>
            </w:r>
            <w:r w:rsidRPr="000C5235">
              <w:t xml:space="preserve"> Budget measures should be italicised]</w:t>
            </w:r>
          </w:p>
        </w:tc>
        <w:tc>
          <w:tcPr>
            <w:tcW w:w="3927" w:type="dxa"/>
            <w:tcBorders>
              <w:top w:val="dotted" w:sz="4" w:space="0" w:color="auto"/>
              <w:left w:val="single" w:sz="2" w:space="0" w:color="auto"/>
              <w:bottom w:val="dotted" w:sz="4" w:space="0" w:color="auto"/>
              <w:right w:val="single" w:sz="2" w:space="0" w:color="auto"/>
            </w:tcBorders>
          </w:tcPr>
          <w:p w14:paraId="30C8E536" w14:textId="77777777" w:rsidR="00FA0945" w:rsidRPr="000C5235" w:rsidRDefault="00FA0945" w:rsidP="000A7DEC">
            <w:pPr>
              <w:pStyle w:val="TableText-Normal"/>
            </w:pPr>
            <w:r w:rsidRPr="000C5235">
              <w:t>Insert description of each t</w:t>
            </w:r>
            <w:r w:rsidR="00A81B39" w:rsidRPr="000C5235">
              <w:t xml:space="preserve">arget and value aimed at in </w:t>
            </w:r>
            <w:r w:rsidR="00282468" w:rsidRPr="000C5235">
              <w:t>2020-21</w:t>
            </w:r>
            <w:r w:rsidRPr="000C5235">
              <w:t>.</w:t>
            </w:r>
          </w:p>
        </w:tc>
      </w:tr>
      <w:tr w:rsidR="00FA0945" w:rsidRPr="000C5235" w14:paraId="03FD5389" w14:textId="77777777" w:rsidTr="008D0F6F">
        <w:trPr>
          <w:jc w:val="center"/>
        </w:trPr>
        <w:tc>
          <w:tcPr>
            <w:tcW w:w="1809" w:type="dxa"/>
            <w:tcBorders>
              <w:top w:val="dotted" w:sz="4" w:space="0" w:color="auto"/>
              <w:left w:val="single" w:sz="2" w:space="0" w:color="auto"/>
              <w:bottom w:val="single" w:sz="2" w:space="0" w:color="auto"/>
              <w:right w:val="single" w:sz="2" w:space="0" w:color="auto"/>
            </w:tcBorders>
          </w:tcPr>
          <w:p w14:paraId="04DFD01D" w14:textId="77777777" w:rsidR="00FA0945" w:rsidRPr="000C5235" w:rsidRDefault="00282468" w:rsidP="000A7DEC">
            <w:pPr>
              <w:pStyle w:val="TableText-Normal"/>
            </w:pPr>
            <w:r w:rsidRPr="000C5235">
              <w:t>2021-22</w:t>
            </w:r>
            <w:r w:rsidR="00FA0945" w:rsidRPr="000C5235">
              <w:t xml:space="preserve"> and </w:t>
            </w:r>
            <w:r w:rsidRPr="000C5235">
              <w:br/>
            </w:r>
            <w:r w:rsidR="00FA0945" w:rsidRPr="000C5235">
              <w:t>beyond</w:t>
            </w:r>
          </w:p>
        </w:tc>
        <w:tc>
          <w:tcPr>
            <w:tcW w:w="3475" w:type="dxa"/>
            <w:tcBorders>
              <w:top w:val="dotted" w:sz="4" w:space="0" w:color="auto"/>
              <w:left w:val="single" w:sz="2" w:space="0" w:color="auto"/>
              <w:bottom w:val="single" w:sz="2" w:space="0" w:color="auto"/>
              <w:right w:val="single" w:sz="2" w:space="0" w:color="auto"/>
            </w:tcBorders>
          </w:tcPr>
          <w:p w14:paraId="193FA35B" w14:textId="77777777" w:rsidR="00FA0945" w:rsidRPr="000C5235" w:rsidRDefault="00FA0945" w:rsidP="000A7DEC">
            <w:pPr>
              <w:pStyle w:val="TableText-Normal"/>
            </w:pPr>
            <w:r w:rsidRPr="000C5235">
              <w:t>Criteria for assessing performance over the forward estimates</w:t>
            </w:r>
          </w:p>
          <w:p w14:paraId="396AA417" w14:textId="77777777" w:rsidR="00FA0945" w:rsidRPr="000C5235" w:rsidRDefault="00FA0945" w:rsidP="000A7DEC">
            <w:pPr>
              <w:pStyle w:val="TableText-Normal"/>
            </w:pPr>
            <w:r w:rsidRPr="000C5235">
              <w:t>[</w:t>
            </w:r>
            <w:r w:rsidRPr="000C5235">
              <w:rPr>
                <w:b/>
              </w:rPr>
              <w:t>Note</w:t>
            </w:r>
            <w:r w:rsidRPr="000C5235">
              <w:t xml:space="preserve"> – if same criteria as </w:t>
            </w:r>
            <w:r w:rsidR="00282468" w:rsidRPr="000C5235">
              <w:t>2020-21</w:t>
            </w:r>
            <w:r w:rsidR="00A81B39" w:rsidRPr="000C5235">
              <w:t xml:space="preserve">, use “As per </w:t>
            </w:r>
            <w:r w:rsidR="00282468" w:rsidRPr="000C5235">
              <w:t>2020-21</w:t>
            </w:r>
            <w:r w:rsidRPr="000C5235">
              <w:t>”.]</w:t>
            </w:r>
          </w:p>
        </w:tc>
        <w:tc>
          <w:tcPr>
            <w:tcW w:w="3927" w:type="dxa"/>
            <w:tcBorders>
              <w:top w:val="dotted" w:sz="4" w:space="0" w:color="auto"/>
              <w:left w:val="single" w:sz="2" w:space="0" w:color="auto"/>
              <w:bottom w:val="single" w:sz="2" w:space="0" w:color="auto"/>
              <w:right w:val="single" w:sz="2" w:space="0" w:color="auto"/>
            </w:tcBorders>
          </w:tcPr>
          <w:p w14:paraId="4B25CB84" w14:textId="77777777" w:rsidR="00FA0945" w:rsidRPr="000C5235" w:rsidRDefault="00FA0945" w:rsidP="000A7DEC">
            <w:pPr>
              <w:pStyle w:val="TableText-Normal"/>
            </w:pPr>
            <w:r w:rsidRPr="000C5235">
              <w:t xml:space="preserve">Insert description of each target and value aimed at over </w:t>
            </w:r>
            <w:r w:rsidR="00E86D01" w:rsidRPr="000C5235">
              <w:t>2021-22</w:t>
            </w:r>
            <w:r w:rsidR="00A81B39" w:rsidRPr="000C5235">
              <w:t xml:space="preserve"> to </w:t>
            </w:r>
            <w:r w:rsidR="00E86D01" w:rsidRPr="000C5235">
              <w:t>2023-24</w:t>
            </w:r>
          </w:p>
        </w:tc>
      </w:tr>
      <w:tr w:rsidR="00FA0945" w:rsidRPr="000C5235" w14:paraId="614C43AC" w14:textId="77777777" w:rsidTr="008D0F6F">
        <w:trPr>
          <w:jc w:val="center"/>
        </w:trPr>
        <w:tc>
          <w:tcPr>
            <w:tcW w:w="1809" w:type="dxa"/>
            <w:tcBorders>
              <w:top w:val="single" w:sz="2" w:space="0" w:color="auto"/>
              <w:left w:val="single" w:sz="2" w:space="0" w:color="auto"/>
              <w:bottom w:val="single" w:sz="2" w:space="0" w:color="auto"/>
              <w:right w:val="single" w:sz="2" w:space="0" w:color="auto"/>
            </w:tcBorders>
          </w:tcPr>
          <w:p w14:paraId="287A544F" w14:textId="77777777" w:rsidR="00FA0945" w:rsidRPr="000C5235" w:rsidRDefault="00FA0945" w:rsidP="000A7DEC">
            <w:pPr>
              <w:pStyle w:val="TableText-Normal"/>
            </w:pPr>
            <w:r w:rsidRPr="000C5235">
              <w:t>Purposes (b)</w:t>
            </w:r>
          </w:p>
        </w:tc>
        <w:tc>
          <w:tcPr>
            <w:tcW w:w="7402" w:type="dxa"/>
            <w:gridSpan w:val="2"/>
            <w:tcBorders>
              <w:top w:val="single" w:sz="2" w:space="0" w:color="auto"/>
              <w:left w:val="single" w:sz="2" w:space="0" w:color="auto"/>
              <w:bottom w:val="single" w:sz="2" w:space="0" w:color="auto"/>
              <w:right w:val="single" w:sz="2" w:space="0" w:color="auto"/>
            </w:tcBorders>
          </w:tcPr>
          <w:p w14:paraId="7801349C" w14:textId="77777777" w:rsidR="00FA0945" w:rsidRPr="000C5235" w:rsidRDefault="00FA0945" w:rsidP="000A7DEC">
            <w:pPr>
              <w:pStyle w:val="TableText-Normal"/>
            </w:pPr>
            <w:r w:rsidRPr="000C5235">
              <w:t>Purpose statement – as it appears in current corporate plan – for each and every purpose to which Program X.1 contributes.</w:t>
            </w:r>
          </w:p>
        </w:tc>
      </w:tr>
      <w:tr w:rsidR="00FA0945" w:rsidRPr="000C5235" w14:paraId="509AFA9F" w14:textId="77777777" w:rsidTr="008D0F6F">
        <w:trPr>
          <w:trHeight w:val="1050"/>
          <w:jc w:val="center"/>
        </w:trPr>
        <w:tc>
          <w:tcPr>
            <w:tcW w:w="9211" w:type="dxa"/>
            <w:gridSpan w:val="3"/>
            <w:tcBorders>
              <w:top w:val="single" w:sz="2" w:space="0" w:color="auto"/>
              <w:left w:val="single" w:sz="2" w:space="0" w:color="auto"/>
              <w:bottom w:val="single" w:sz="2" w:space="0" w:color="auto"/>
              <w:right w:val="single" w:sz="2" w:space="0" w:color="auto"/>
            </w:tcBorders>
          </w:tcPr>
          <w:p w14:paraId="45CD1931" w14:textId="77777777" w:rsidR="00FA0945" w:rsidRPr="000C5235" w:rsidRDefault="00FA0945">
            <w:r w:rsidRPr="000C5235">
              <w:t>Material changes to Program X.1 resulting from the following measures:</w:t>
            </w:r>
          </w:p>
          <w:p w14:paraId="684C425E" w14:textId="77777777" w:rsidR="00FA0945" w:rsidRPr="000C5235" w:rsidRDefault="00FA0945" w:rsidP="000A7DEC">
            <w:r w:rsidRPr="000C5235">
              <w:t>Measure title – XXXX  (Insert  title of each measure that creates or materially impacts Program X.1)</w:t>
            </w:r>
          </w:p>
        </w:tc>
      </w:tr>
    </w:tbl>
    <w:p w14:paraId="648D83DF" w14:textId="77777777" w:rsidR="00FA0945" w:rsidRPr="000C5235" w:rsidRDefault="00FA0945" w:rsidP="000A7DEC">
      <w:pPr>
        <w:pStyle w:val="ChartandTableFootnote"/>
        <w:numPr>
          <w:ilvl w:val="0"/>
          <w:numId w:val="47"/>
        </w:numPr>
        <w:rPr>
          <w:lang w:val="en-AU"/>
        </w:rPr>
      </w:pPr>
      <w:r w:rsidRPr="000C5235">
        <w:rPr>
          <w:lang w:val="en-AU"/>
        </w:rPr>
        <w:t>New or modified performance criteria that reflect new or materially changed programs are shown in italics. Where new prog</w:t>
      </w:r>
      <w:r w:rsidR="00A81B39" w:rsidRPr="000C5235">
        <w:rPr>
          <w:lang w:val="en-AU"/>
        </w:rPr>
        <w:t xml:space="preserve">rams are established in the </w:t>
      </w:r>
      <w:r w:rsidR="00E86D01" w:rsidRPr="000C5235">
        <w:rPr>
          <w:lang w:val="en-AU"/>
        </w:rPr>
        <w:t>2020-21</w:t>
      </w:r>
      <w:r w:rsidRPr="000C5235">
        <w:rPr>
          <w:lang w:val="en-AU"/>
        </w:rPr>
        <w:t xml:space="preserve"> Budget, all of the performance criteria related to that program need to be shown. </w:t>
      </w:r>
    </w:p>
    <w:p w14:paraId="2408E13F" w14:textId="77777777" w:rsidR="00FA0945" w:rsidRPr="000C5235" w:rsidRDefault="00FA0945" w:rsidP="000A7DEC">
      <w:pPr>
        <w:pStyle w:val="ChartandTableFootnote"/>
        <w:numPr>
          <w:ilvl w:val="0"/>
          <w:numId w:val="47"/>
        </w:numPr>
        <w:rPr>
          <w:lang w:val="en-AU"/>
        </w:rPr>
      </w:pPr>
      <w:r w:rsidRPr="000C5235">
        <w:rPr>
          <w:lang w:val="en-AU"/>
        </w:rPr>
        <w:t xml:space="preserve">Insert footnote if purposes </w:t>
      </w:r>
      <w:r w:rsidR="00A81B39" w:rsidRPr="000C5235">
        <w:rPr>
          <w:lang w:val="en-AU"/>
        </w:rPr>
        <w:t xml:space="preserve">have been updated since the </w:t>
      </w:r>
      <w:r w:rsidR="00E86D01" w:rsidRPr="000C5235">
        <w:rPr>
          <w:lang w:val="en-AU"/>
        </w:rPr>
        <w:t>2019-20</w:t>
      </w:r>
      <w:r w:rsidRPr="000C5235">
        <w:rPr>
          <w:lang w:val="en-AU"/>
        </w:rPr>
        <w:t xml:space="preserve"> Corporate Plan (</w:t>
      </w:r>
      <w:r w:rsidR="001754FC" w:rsidRPr="000C5235">
        <w:rPr>
          <w:lang w:val="en-AU"/>
        </w:rPr>
        <w:t>ie</w:t>
      </w:r>
      <w:r w:rsidRPr="000C5235">
        <w:rPr>
          <w:lang w:val="en-AU"/>
        </w:rPr>
        <w:t xml:space="preserve"> a form of words similar to “Refers to updated purposes that will be reflected in the </w:t>
      </w:r>
      <w:r w:rsidR="00E86D01" w:rsidRPr="000C5235">
        <w:rPr>
          <w:lang w:val="en-AU"/>
        </w:rPr>
        <w:t>2020-21</w:t>
      </w:r>
      <w:r w:rsidRPr="000C5235">
        <w:rPr>
          <w:lang w:val="en-AU"/>
        </w:rPr>
        <w:t xml:space="preserve"> Corporate Plan).</w:t>
      </w:r>
    </w:p>
    <w:p w14:paraId="03B6028F" w14:textId="77777777" w:rsidR="00E02C97" w:rsidRPr="000C5235" w:rsidRDefault="00E02C97">
      <w:pPr>
        <w:pStyle w:val="BodyText"/>
        <w:rPr>
          <w:i/>
        </w:rPr>
      </w:pPr>
    </w:p>
    <w:p w14:paraId="788CE52A" w14:textId="77777777" w:rsidR="006F2C96" w:rsidRPr="000C5235" w:rsidRDefault="00FA0945">
      <w:pPr>
        <w:pStyle w:val="BodyText"/>
      </w:pPr>
      <w:r w:rsidRPr="000C5235">
        <w:rPr>
          <w:i/>
        </w:rPr>
        <w:t>Table 2.X.3</w:t>
      </w:r>
      <w:r w:rsidRPr="000C5235">
        <w:t xml:space="preserve"> also includes a lis</w:t>
      </w:r>
      <w:r w:rsidR="00DD132C" w:rsidRPr="000C5235">
        <w:t xml:space="preserve">t of new Budget measures in </w:t>
      </w:r>
      <w:r w:rsidR="00E86D01" w:rsidRPr="000C5235">
        <w:t>2020-21</w:t>
      </w:r>
      <w:r w:rsidRPr="000C5235">
        <w:t xml:space="preserve"> that either create new programs or materially impact on existing programs (in addition to the list of Budget measures in </w:t>
      </w:r>
      <w:r w:rsidRPr="000C5235">
        <w:rPr>
          <w:i/>
        </w:rPr>
        <w:t>Table 1.2</w:t>
      </w:r>
      <w:r w:rsidRPr="000C5235">
        <w:t xml:space="preserve">). Advice on assessing whether a new Budget measure impacts on an existing program and how to account for these impacts in </w:t>
      </w:r>
      <w:r w:rsidRPr="000C5235">
        <w:rPr>
          <w:i/>
        </w:rPr>
        <w:t>Table 2.X.3</w:t>
      </w:r>
      <w:r w:rsidRPr="000C5235">
        <w:t xml:space="preserve"> is provided below.</w:t>
      </w:r>
    </w:p>
    <w:p w14:paraId="50406575" w14:textId="77777777" w:rsidR="00FA0945" w:rsidRPr="000C5235" w:rsidRDefault="00FA0945" w:rsidP="000A7DEC">
      <w:pPr>
        <w:pStyle w:val="Heading3Numbered"/>
      </w:pPr>
      <w:bookmarkStart w:id="522" w:name="_Toc534458887"/>
      <w:bookmarkStart w:id="523" w:name="_Toc534459676"/>
      <w:bookmarkStart w:id="524" w:name="_Toc534519171"/>
      <w:bookmarkStart w:id="525" w:name="_Toc534520081"/>
      <w:bookmarkStart w:id="526" w:name="_Toc534520351"/>
      <w:bookmarkStart w:id="527" w:name="_Toc534527563"/>
      <w:bookmarkStart w:id="528" w:name="_Toc534528293"/>
      <w:bookmarkStart w:id="529" w:name="_Toc534803514"/>
      <w:bookmarkStart w:id="530" w:name="_Toc534814205"/>
      <w:bookmarkStart w:id="531" w:name="_Toc536108578"/>
      <w:bookmarkStart w:id="532" w:name="_Toc536802125"/>
      <w:bookmarkStart w:id="533" w:name="_Toc422724"/>
      <w:bookmarkStart w:id="534" w:name="_Toc534382567"/>
      <w:bookmarkStart w:id="535" w:name="_Toc53564763"/>
      <w:bookmarkEnd w:id="522"/>
      <w:bookmarkEnd w:id="523"/>
      <w:bookmarkEnd w:id="524"/>
      <w:bookmarkEnd w:id="525"/>
      <w:bookmarkEnd w:id="526"/>
      <w:bookmarkEnd w:id="527"/>
      <w:bookmarkEnd w:id="528"/>
      <w:bookmarkEnd w:id="529"/>
      <w:bookmarkEnd w:id="530"/>
      <w:bookmarkEnd w:id="531"/>
      <w:bookmarkEnd w:id="532"/>
      <w:bookmarkEnd w:id="533"/>
      <w:r w:rsidRPr="000C5235">
        <w:t>Program title and brief description</w:t>
      </w:r>
      <w:bookmarkEnd w:id="534"/>
      <w:bookmarkEnd w:id="535"/>
    </w:p>
    <w:p w14:paraId="5181143E" w14:textId="77777777" w:rsidR="00FA0945" w:rsidRPr="000C5235" w:rsidRDefault="00FA0945" w:rsidP="000A7DEC">
      <w:r w:rsidRPr="000C5235">
        <w:t xml:space="preserve">The program titles inserted in </w:t>
      </w:r>
      <w:r w:rsidR="00710BF8" w:rsidRPr="000C5235">
        <w:rPr>
          <w:i/>
        </w:rPr>
        <w:t>T</w:t>
      </w:r>
      <w:r w:rsidRPr="000C5235">
        <w:rPr>
          <w:i/>
        </w:rPr>
        <w:t>able 2.X.3</w:t>
      </w:r>
      <w:r w:rsidRPr="000C5235">
        <w:t xml:space="preserve"> should be the same as they appear in CBMS for the relevant program. </w:t>
      </w:r>
    </w:p>
    <w:p w14:paraId="5FF26716" w14:textId="77777777" w:rsidR="00FA0945" w:rsidRPr="000C5235" w:rsidRDefault="00FA0945" w:rsidP="000A7DEC">
      <w:r w:rsidRPr="000C5235">
        <w:t>Program titles should be followed by a brief description that includes the:</w:t>
      </w:r>
    </w:p>
    <w:p w14:paraId="7169ABA7" w14:textId="77777777" w:rsidR="00FA0945" w:rsidRPr="000C5235" w:rsidRDefault="00FA0945">
      <w:pPr>
        <w:pStyle w:val="Bullet1"/>
      </w:pPr>
      <w:r w:rsidRPr="000C5235">
        <w:t>objective of the program (</w:t>
      </w:r>
      <w:r w:rsidR="001754FC" w:rsidRPr="000C5235">
        <w:t>ie</w:t>
      </w:r>
      <w:r w:rsidRPr="000C5235">
        <w:t xml:space="preserve"> the difference it aims to make, the intended results, etc)</w:t>
      </w:r>
    </w:p>
    <w:p w14:paraId="7DEB1EC0" w14:textId="77777777" w:rsidR="00FA0945" w:rsidRPr="000C5235" w:rsidRDefault="00FA0945">
      <w:pPr>
        <w:pStyle w:val="Bullet1"/>
      </w:pPr>
      <w:r w:rsidRPr="000C5235">
        <w:t>contribution it makes to achieving Outcome X (or why Outcome X cannot be delivered successfully without the program).</w:t>
      </w:r>
    </w:p>
    <w:p w14:paraId="400799F8" w14:textId="77777777" w:rsidR="00FA0945" w:rsidRPr="000C5235" w:rsidRDefault="00FA0945" w:rsidP="000A7DEC">
      <w:r w:rsidRPr="000C5235">
        <w:t>Program descriptions should be concise. It is anticipated that a program description will be no more than a few sentences (</w:t>
      </w:r>
      <w:r w:rsidR="001754FC" w:rsidRPr="000C5235">
        <w:t>ie</w:t>
      </w:r>
      <w:r w:rsidRPr="000C5235">
        <w:t xml:space="preserve"> two or three). For example, a program that provides payments to assist rural families might be described along the following lines:</w:t>
      </w:r>
    </w:p>
    <w:p w14:paraId="7EAAA06C" w14:textId="77777777" w:rsidR="00FA0945" w:rsidRPr="000C5235" w:rsidRDefault="00FA0945" w:rsidP="000A7DEC">
      <w:r w:rsidRPr="000C5235">
        <w:t>“Program X.1 – to support rural families facing hardship through payments that allow them to adjust to structural changes in their local economy and benefit from the broader set of initiatives to deliver a sustainable regional Australia.”</w:t>
      </w:r>
    </w:p>
    <w:p w14:paraId="72D94D90" w14:textId="77777777" w:rsidR="00FA0945" w:rsidRPr="000C5235" w:rsidRDefault="00FA0945" w:rsidP="000A7DEC">
      <w:r w:rsidRPr="000C5235">
        <w:t>In this hypothetical example</w:t>
      </w:r>
      <w:r w:rsidR="00B652BC" w:rsidRPr="000C5235">
        <w:t>,</w:t>
      </w:r>
      <w:r w:rsidRPr="000C5235">
        <w:t xml:space="preserve"> it is clear that the object of Program X.1 is to make payments to eligible families, and that it sits under an outcome that seeks to improve the economic sustainability of regional Australia.  </w:t>
      </w:r>
    </w:p>
    <w:p w14:paraId="158170BF" w14:textId="77777777" w:rsidR="00FA0945" w:rsidRPr="000C5235" w:rsidRDefault="00FA0945" w:rsidP="000A7DEC">
      <w:pPr>
        <w:pStyle w:val="Heading3Numbered"/>
      </w:pPr>
      <w:bookmarkStart w:id="536" w:name="_Toc534382568"/>
      <w:bookmarkStart w:id="537" w:name="_Toc53564764"/>
      <w:r w:rsidRPr="000C5235">
        <w:t>Delivery</w:t>
      </w:r>
      <w:bookmarkEnd w:id="536"/>
      <w:bookmarkEnd w:id="537"/>
    </w:p>
    <w:p w14:paraId="21CF045D" w14:textId="77777777" w:rsidR="00FA0945" w:rsidRPr="000C5235" w:rsidRDefault="00FA0945" w:rsidP="000A7DEC">
      <w:r w:rsidRPr="000C5235">
        <w:t xml:space="preserve">Entities should enter Delivery details in </w:t>
      </w:r>
      <w:r w:rsidRPr="000C5235">
        <w:rPr>
          <w:i/>
        </w:rPr>
        <w:t>Table 2.X.3</w:t>
      </w:r>
      <w:r w:rsidRPr="000C5235">
        <w:t xml:space="preserve"> for each program associated with each Outcome X. </w:t>
      </w:r>
    </w:p>
    <w:p w14:paraId="1DE7275F" w14:textId="77777777" w:rsidR="00FA0945" w:rsidRPr="000C5235" w:rsidRDefault="00FA0945">
      <w:pPr>
        <w:pStyle w:val="Bullet1"/>
      </w:pPr>
      <w:r w:rsidRPr="000C5235">
        <w:t xml:space="preserve">The </w:t>
      </w:r>
      <w:r w:rsidRPr="000C5235">
        <w:rPr>
          <w:u w:val="single"/>
        </w:rPr>
        <w:t>mechanism</w:t>
      </w:r>
      <w:r w:rsidRPr="000C5235">
        <w:t xml:space="preserve"> (or “the how”) through which the program is delivered – the primary high-level activities undertaken by an entity to deliver a program. For the regional assistance example this could be:</w:t>
      </w:r>
    </w:p>
    <w:p w14:paraId="47DE3B35" w14:textId="77777777" w:rsidR="00FA0945" w:rsidRPr="000C5235" w:rsidRDefault="00FA0945">
      <w:pPr>
        <w:pStyle w:val="Bullet2"/>
      </w:pPr>
      <w:r w:rsidRPr="000C5235">
        <w:t>administering legislated criteria that allows eligible recipients to be identified and payment levels to be determined</w:t>
      </w:r>
    </w:p>
    <w:p w14:paraId="339235F9" w14:textId="77777777" w:rsidR="00FA0945" w:rsidRPr="000C5235" w:rsidRDefault="00FA0945">
      <w:pPr>
        <w:pStyle w:val="Bullet2"/>
      </w:pPr>
      <w:r w:rsidRPr="000C5235">
        <w:t>managing application processes and making the payments</w:t>
      </w:r>
    </w:p>
    <w:p w14:paraId="0B2D6382" w14:textId="77777777" w:rsidR="00FA0945" w:rsidRPr="000C5235" w:rsidRDefault="00FA0945">
      <w:pPr>
        <w:pStyle w:val="Bullet2"/>
      </w:pPr>
      <w:r w:rsidRPr="000C5235">
        <w:t>public awareness campaigns to ensure that eligible recipients are aware of the opportunities to receive assistance.</w:t>
      </w:r>
    </w:p>
    <w:p w14:paraId="674F21BB" w14:textId="77777777" w:rsidR="00FA0945" w:rsidRPr="000C5235" w:rsidRDefault="00FA0945">
      <w:pPr>
        <w:pStyle w:val="Bullet1"/>
      </w:pPr>
      <w:r w:rsidRPr="000C5235">
        <w:t xml:space="preserve">The </w:t>
      </w:r>
      <w:r w:rsidRPr="000C5235">
        <w:rPr>
          <w:u w:val="single"/>
        </w:rPr>
        <w:t>target group</w:t>
      </w:r>
      <w:r w:rsidRPr="000C5235">
        <w:t xml:space="preserve"> (or “the who”) – the people who are to be benefited and/or those whose behaviour is to be influenced. For example, the target group for the illustrative regional assistance program would be rural families who are to benefit. An anti-smoking campaign may target those that smoke to encourage them to quit, or it may target young people to dissuade them from commencing.  </w:t>
      </w:r>
    </w:p>
    <w:p w14:paraId="61CDE2EA" w14:textId="77777777" w:rsidR="00FA0945" w:rsidRPr="000C5235" w:rsidRDefault="00FA0945" w:rsidP="000A7DEC">
      <w:r w:rsidRPr="000C5235">
        <w:t>When using information from previous PB Statements, enti</w:t>
      </w:r>
      <w:r w:rsidR="00DD132C" w:rsidRPr="000C5235">
        <w:t xml:space="preserve">ties should ensure that the </w:t>
      </w:r>
      <w:r w:rsidR="006D021E" w:rsidRPr="000C5235">
        <w:t xml:space="preserve">                     </w:t>
      </w:r>
      <w:r w:rsidR="00CF50AD" w:rsidRPr="000C5235">
        <w:t>2020-21</w:t>
      </w:r>
      <w:r w:rsidRPr="000C5235">
        <w:t xml:space="preserve"> PB Statements take into account material changes th</w:t>
      </w:r>
      <w:r w:rsidR="00DD132C" w:rsidRPr="000C5235">
        <w:t xml:space="preserve">at have occurred during the </w:t>
      </w:r>
      <w:r w:rsidR="00CF50AD" w:rsidRPr="000C5235">
        <w:t>2019-20</w:t>
      </w:r>
      <w:r w:rsidRPr="000C5235">
        <w:t xml:space="preserve"> Budget year. </w:t>
      </w:r>
    </w:p>
    <w:p w14:paraId="32871EFF" w14:textId="77777777" w:rsidR="00FA0945" w:rsidRPr="000C5235" w:rsidRDefault="00FA0945" w:rsidP="000A7DEC">
      <w:r w:rsidRPr="000C5235">
        <w:t xml:space="preserve">The assessment of whether a material change has occurred to a program will, in the first instance, depend on how a program was described in an entity’s </w:t>
      </w:r>
      <w:r w:rsidR="00CF50AD" w:rsidRPr="000C5235">
        <w:t>2019-20</w:t>
      </w:r>
      <w:r w:rsidRPr="000C5235">
        <w:t xml:space="preserve"> PB Statements. If a decision was taken at</w:t>
      </w:r>
      <w:r w:rsidR="00C126E5" w:rsidRPr="000C5235">
        <w:t xml:space="preserve"> some other time during the </w:t>
      </w:r>
      <w:r w:rsidR="00CF50AD" w:rsidRPr="000C5235">
        <w:t>2019-20</w:t>
      </w:r>
      <w:r w:rsidR="00C126E5" w:rsidRPr="000C5235">
        <w:t xml:space="preserve"> Budget year (</w:t>
      </w:r>
      <w:r w:rsidR="001754FC" w:rsidRPr="000C5235">
        <w:t>ie</w:t>
      </w:r>
      <w:r w:rsidR="00C126E5" w:rsidRPr="000C5235">
        <w:t xml:space="preserve"> at MYEFO </w:t>
      </w:r>
      <w:r w:rsidR="00CF50AD" w:rsidRPr="000C5235">
        <w:t>2019-20</w:t>
      </w:r>
      <w:r w:rsidRPr="000C5235">
        <w:t>), then reporting in relevant budget documents will form the basis for ma</w:t>
      </w:r>
      <w:r w:rsidR="00C126E5" w:rsidRPr="000C5235">
        <w:t xml:space="preserve">king a judgement on whether </w:t>
      </w:r>
      <w:r w:rsidR="00CF50AD" w:rsidRPr="000C5235">
        <w:t>2020-21</w:t>
      </w:r>
      <w:r w:rsidRPr="000C5235">
        <w:t xml:space="preserve"> Budget measures materially affect a program.</w:t>
      </w:r>
    </w:p>
    <w:p w14:paraId="04BCFD60" w14:textId="77777777" w:rsidR="002754DF" w:rsidRPr="000C5235" w:rsidRDefault="002754DF">
      <w:r w:rsidRPr="000C5235">
        <w:br w:type="page"/>
      </w:r>
    </w:p>
    <w:tbl>
      <w:tblPr>
        <w:tblW w:w="0" w:type="auto"/>
        <w:jc w:val="center"/>
        <w:tblBorders>
          <w:top w:val="single" w:sz="2" w:space="0" w:color="A7B4BE"/>
          <w:left w:val="single" w:sz="2" w:space="0" w:color="A7B4BE"/>
          <w:bottom w:val="single" w:sz="2" w:space="0" w:color="A7B4BE"/>
          <w:right w:val="single" w:sz="2" w:space="0" w:color="A7B4BE"/>
        </w:tblBorders>
        <w:tblCellMar>
          <w:left w:w="0" w:type="dxa"/>
          <w:right w:w="0" w:type="dxa"/>
        </w:tblCellMar>
        <w:tblLook w:val="04A0" w:firstRow="1" w:lastRow="0" w:firstColumn="1" w:lastColumn="0" w:noHBand="0" w:noVBand="1"/>
      </w:tblPr>
      <w:tblGrid>
        <w:gridCol w:w="7936"/>
      </w:tblGrid>
      <w:tr w:rsidR="00FA0945" w:rsidRPr="000C5235" w14:paraId="787E329A" w14:textId="77777777" w:rsidTr="003E3C9D">
        <w:trPr>
          <w:jc w:val="center"/>
        </w:trPr>
        <w:tc>
          <w:tcPr>
            <w:tcW w:w="7936" w:type="dxa"/>
            <w:shd w:val="clear" w:color="auto" w:fill="DDF3FA"/>
          </w:tcPr>
          <w:p w14:paraId="6150EC18" w14:textId="77777777" w:rsidR="00FA0945" w:rsidRPr="000C5235" w:rsidRDefault="00FA0945" w:rsidP="000A7DEC">
            <w:pPr>
              <w:pStyle w:val="TableText-Normal"/>
            </w:pPr>
            <w:r w:rsidRPr="000C5235">
              <w:t>Identifying material changes</w:t>
            </w:r>
          </w:p>
        </w:tc>
      </w:tr>
      <w:tr w:rsidR="00FA0945" w:rsidRPr="000C5235" w14:paraId="546DE226" w14:textId="77777777" w:rsidTr="003E3C9D">
        <w:trPr>
          <w:jc w:val="center"/>
        </w:trPr>
        <w:tc>
          <w:tcPr>
            <w:tcW w:w="7936" w:type="dxa"/>
          </w:tcPr>
          <w:p w14:paraId="1C682EA4" w14:textId="77777777" w:rsidR="00FA0945" w:rsidRPr="000C5235" w:rsidRDefault="00FA0945" w:rsidP="000A7DEC">
            <w:pPr>
              <w:pStyle w:val="TableText-Normal"/>
            </w:pPr>
            <w:r w:rsidRPr="000C5235">
              <w:t>Material changes will typically result from Budge</w:t>
            </w:r>
            <w:r w:rsidR="00C126E5" w:rsidRPr="000C5235">
              <w:t xml:space="preserve">t measures announced in the </w:t>
            </w:r>
            <w:r w:rsidR="005F39A5" w:rsidRPr="000C5235">
              <w:t>2020-21</w:t>
            </w:r>
            <w:r w:rsidRPr="000C5235">
              <w:t xml:space="preserve"> Budget or major government init</w:t>
            </w:r>
            <w:r w:rsidR="00C126E5" w:rsidRPr="000C5235">
              <w:t xml:space="preserve">iatives announced since the </w:t>
            </w:r>
            <w:r w:rsidR="005F39A5" w:rsidRPr="000C5235">
              <w:t>2019-20</w:t>
            </w:r>
            <w:r w:rsidRPr="000C5235">
              <w:t xml:space="preserve"> Budget. </w:t>
            </w:r>
          </w:p>
          <w:p w14:paraId="63D2043F" w14:textId="77777777" w:rsidR="00FB71B6" w:rsidRPr="000C5235" w:rsidRDefault="00FB71B6" w:rsidP="000A7DEC">
            <w:pPr>
              <w:pStyle w:val="TableText-Normal"/>
            </w:pPr>
          </w:p>
          <w:p w14:paraId="0AF9C759" w14:textId="77777777" w:rsidR="00472232" w:rsidRPr="000C5235" w:rsidRDefault="00472232" w:rsidP="000A7DEC">
            <w:pPr>
              <w:pStyle w:val="TableText-Normal"/>
            </w:pPr>
            <w:r w:rsidRPr="000C5235">
              <w:t>When asses</w:t>
            </w:r>
            <w:r w:rsidR="00CD0900" w:rsidRPr="000C5235">
              <w:t>sing if a new B</w:t>
            </w:r>
            <w:r w:rsidRPr="000C5235">
              <w:t>udget measure or government initiative materially impacts on a program, entities should consider if the following has happened:</w:t>
            </w:r>
          </w:p>
          <w:p w14:paraId="2B61485F" w14:textId="77777777" w:rsidR="00472232" w:rsidRPr="000C5235" w:rsidRDefault="00472232" w:rsidP="000A7DEC">
            <w:pPr>
              <w:pStyle w:val="TableText-Normal-DotPoint"/>
            </w:pPr>
            <w:r w:rsidRPr="000C5235">
              <w:t>the objective or intended impact of the program has changed;</w:t>
            </w:r>
          </w:p>
          <w:p w14:paraId="4E223057" w14:textId="77777777" w:rsidR="00472232" w:rsidRPr="000C5235" w:rsidRDefault="00472232" w:rsidP="000A7DEC">
            <w:pPr>
              <w:pStyle w:val="TableText-Normal-DotPoint"/>
            </w:pPr>
            <w:r w:rsidRPr="000C5235">
              <w:t>the mechanism(s) through which the program is delivered has changed; and/or</w:t>
            </w:r>
          </w:p>
          <w:p w14:paraId="10A54C8E" w14:textId="77777777" w:rsidR="00472232" w:rsidRPr="000C5235" w:rsidRDefault="00472232" w:rsidP="000A7DEC">
            <w:pPr>
              <w:pStyle w:val="TableText-Normal-DotPoint"/>
            </w:pPr>
            <w:r w:rsidRPr="000C5235">
              <w:t>the target group or those to be influenced has been changed.</w:t>
            </w:r>
          </w:p>
          <w:p w14:paraId="307699FC" w14:textId="77777777" w:rsidR="00FB71B6" w:rsidRPr="000C5235" w:rsidRDefault="00FB71B6" w:rsidP="000A7DEC">
            <w:pPr>
              <w:pStyle w:val="TableText-Normal"/>
            </w:pPr>
          </w:p>
          <w:p w14:paraId="50FE2D71" w14:textId="77777777" w:rsidR="00472232" w:rsidRPr="000C5235" w:rsidRDefault="00472232" w:rsidP="000A7DEC">
            <w:pPr>
              <w:pStyle w:val="TableText-Normal"/>
            </w:pPr>
            <w:r w:rsidRPr="000C5235">
              <w:t xml:space="preserve">The changes in the appropriations allocated to a program do not form the only basis for identifying material changes to a program. </w:t>
            </w:r>
          </w:p>
          <w:p w14:paraId="42221A2C" w14:textId="77777777" w:rsidR="00FB71B6" w:rsidRPr="000C5235" w:rsidRDefault="00FB71B6" w:rsidP="000A7DEC">
            <w:pPr>
              <w:pStyle w:val="TableText-Normal"/>
            </w:pPr>
          </w:p>
          <w:p w14:paraId="3152E6D2" w14:textId="77777777" w:rsidR="00FA0945" w:rsidRPr="000C5235" w:rsidRDefault="00FA0945" w:rsidP="000A7DEC">
            <w:pPr>
              <w:pStyle w:val="TableText-Normal"/>
            </w:pPr>
            <w:r w:rsidRPr="000C5235">
              <w:t>A significant change to appropriation may also serve as a flag for reconsidering how a program is described in PB Statements</w:t>
            </w:r>
            <w:r w:rsidR="003B3DEC" w:rsidRPr="000C5235">
              <w:t xml:space="preserve"> b</w:t>
            </w:r>
            <w:r w:rsidR="00FD4BA3" w:rsidRPr="000C5235">
              <w:t>ut</w:t>
            </w:r>
            <w:r w:rsidRPr="000C5235">
              <w:t xml:space="preserve"> it will be variations in the nature of the program (</w:t>
            </w:r>
            <w:r w:rsidR="001754FC" w:rsidRPr="000C5235">
              <w:t>ie</w:t>
            </w:r>
            <w:r w:rsidRPr="000C5235">
              <w:t xml:space="preserve"> the delivery mechanism, objective or target group) as a result of funding decisions that should be used as the ultimate indicator of material changes.</w:t>
            </w:r>
          </w:p>
        </w:tc>
      </w:tr>
    </w:tbl>
    <w:tbl>
      <w:tblPr>
        <w:tblpPr w:leftFromText="180" w:rightFromText="180" w:vertAnchor="text" w:horzAnchor="page" w:tblpX="1988" w:tblpY="613"/>
        <w:tblW w:w="0" w:type="auto"/>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924"/>
      </w:tblGrid>
      <w:tr w:rsidR="00472232" w:rsidRPr="000C5235" w14:paraId="3D9E0ED5" w14:textId="77777777" w:rsidTr="00DB312F">
        <w:tc>
          <w:tcPr>
            <w:tcW w:w="7924" w:type="dxa"/>
            <w:shd w:val="clear" w:color="auto" w:fill="DDF3FA"/>
          </w:tcPr>
          <w:p w14:paraId="1689C02C" w14:textId="77777777" w:rsidR="00472232" w:rsidRPr="000C5235" w:rsidRDefault="00472232" w:rsidP="00E02C97">
            <w:pPr>
              <w:pStyle w:val="TableText-Normal"/>
            </w:pPr>
            <w:r w:rsidRPr="000C5235">
              <w:rPr>
                <w:u w:val="single"/>
              </w:rPr>
              <w:t>Example</w:t>
            </w:r>
            <w:r w:rsidRPr="000C5235">
              <w:t xml:space="preserve"> – material change</w:t>
            </w:r>
          </w:p>
        </w:tc>
      </w:tr>
      <w:tr w:rsidR="00472232" w:rsidRPr="000C5235" w14:paraId="6903BF61" w14:textId="77777777" w:rsidTr="00DB312F">
        <w:tc>
          <w:tcPr>
            <w:tcW w:w="7924" w:type="dxa"/>
          </w:tcPr>
          <w:p w14:paraId="73ABD9B7" w14:textId="77777777" w:rsidR="00472232" w:rsidRPr="000C5235" w:rsidRDefault="00472232" w:rsidP="00E02C97">
            <w:pPr>
              <w:pStyle w:val="TableText-Normal"/>
            </w:pPr>
            <w:r w:rsidRPr="000C5235">
              <w:t>Consider the example of a program to dissuade young people from taking up smoking:</w:t>
            </w:r>
          </w:p>
          <w:p w14:paraId="22CC479B" w14:textId="77777777" w:rsidR="00472232" w:rsidRPr="000C5235" w:rsidRDefault="00CD0900" w:rsidP="00E02C97">
            <w:pPr>
              <w:pStyle w:val="Bullet1"/>
              <w:tabs>
                <w:tab w:val="clear" w:pos="360"/>
              </w:tabs>
              <w:ind w:left="490"/>
            </w:pPr>
            <w:r w:rsidRPr="000C5235">
              <w:t>If a B</w:t>
            </w:r>
            <w:r w:rsidR="00472232" w:rsidRPr="000C5235">
              <w:t xml:space="preserve">udget measure increased funding for an advertising campaign to increase the number of people informed of the ill-effect of smoking it is unlikely to result in a material change in the program. The mode of delivery (government advertising) and the target group (young people) remain the same. </w:t>
            </w:r>
          </w:p>
          <w:p w14:paraId="11E3BE2F" w14:textId="77777777" w:rsidR="00472232" w:rsidRPr="000C5235" w:rsidRDefault="00CD0900" w:rsidP="00E02C97">
            <w:pPr>
              <w:pStyle w:val="Bullet1"/>
              <w:tabs>
                <w:tab w:val="clear" w:pos="360"/>
              </w:tabs>
              <w:ind w:left="490"/>
            </w:pPr>
            <w:r w:rsidRPr="000C5235">
              <w:t>However, a new B</w:t>
            </w:r>
            <w:r w:rsidR="00472232" w:rsidRPr="000C5235">
              <w:t>udget measure to substitute advertising to include the ill</w:t>
            </w:r>
            <w:r w:rsidR="00472232" w:rsidRPr="000C5235">
              <w:noBreakHyphen/>
              <w:t>effects of smoking in school curricula would be a material change. The target group and object of the program remains unchanged, but the delivery mechanism has changed. There will be a need to alter how “Delivery” (and other) information is described in Table 2.X.3.</w:t>
            </w:r>
          </w:p>
        </w:tc>
      </w:tr>
    </w:tbl>
    <w:p w14:paraId="4FD1CFD1" w14:textId="77777777" w:rsidR="006F2C96" w:rsidRPr="000C5235" w:rsidRDefault="006F2C96">
      <w:bookmarkStart w:id="538" w:name="_Toc534382569"/>
    </w:p>
    <w:p w14:paraId="3F1E6E20" w14:textId="77777777" w:rsidR="00E02C97" w:rsidRPr="000C5235" w:rsidRDefault="00E02C97"/>
    <w:p w14:paraId="0D739C5E" w14:textId="77777777" w:rsidR="00E02C97" w:rsidRPr="000C5235" w:rsidRDefault="00E02C97"/>
    <w:p w14:paraId="2742745A" w14:textId="77777777" w:rsidR="006F2C96" w:rsidRPr="000C5235" w:rsidRDefault="006F2C96"/>
    <w:p w14:paraId="3B766EFF" w14:textId="77777777" w:rsidR="006F2C96" w:rsidRPr="000C5235" w:rsidRDefault="006F2C96"/>
    <w:p w14:paraId="498CFF5B" w14:textId="77777777" w:rsidR="006F2C96" w:rsidRPr="000C5235" w:rsidRDefault="006F2C96"/>
    <w:p w14:paraId="412D3447" w14:textId="77777777" w:rsidR="006F2C96" w:rsidRPr="000C5235" w:rsidRDefault="006F2C96"/>
    <w:p w14:paraId="7E3B690C" w14:textId="77777777" w:rsidR="006F2C96" w:rsidRPr="000C5235" w:rsidRDefault="006F2C96"/>
    <w:p w14:paraId="4839E8B8" w14:textId="77777777" w:rsidR="006F2C96" w:rsidRPr="000C5235" w:rsidRDefault="006F2C96"/>
    <w:p w14:paraId="70A1C251" w14:textId="77777777" w:rsidR="006F2C96" w:rsidRPr="000C5235" w:rsidRDefault="006F2C96"/>
    <w:p w14:paraId="08A897B6" w14:textId="77777777" w:rsidR="006F2C96" w:rsidRPr="000C5235" w:rsidRDefault="006F2C96"/>
    <w:p w14:paraId="46D0E560" w14:textId="77777777" w:rsidR="006F2C96" w:rsidRPr="000C5235" w:rsidRDefault="006F2C96"/>
    <w:p w14:paraId="56FC7FEC" w14:textId="77777777" w:rsidR="006F2C96" w:rsidRPr="000C5235" w:rsidRDefault="006F2C96"/>
    <w:p w14:paraId="2FC457BA" w14:textId="77777777" w:rsidR="006F2C96" w:rsidRPr="000C5235" w:rsidRDefault="006F2C96" w:rsidP="000A7DEC">
      <w:pPr>
        <w:rPr>
          <w:rFonts w:ascii="Arial" w:eastAsia="Times New Roman" w:hAnsi="Arial" w:cs="Times New Roman"/>
          <w:spacing w:val="-6"/>
          <w:sz w:val="36"/>
          <w:szCs w:val="34"/>
        </w:rPr>
      </w:pPr>
      <w:r w:rsidRPr="000C5235">
        <w:br w:type="page"/>
      </w:r>
    </w:p>
    <w:p w14:paraId="1A664FFE" w14:textId="77777777" w:rsidR="00FA0945" w:rsidRPr="000C5235" w:rsidRDefault="00FA0945" w:rsidP="000A7DEC">
      <w:pPr>
        <w:pStyle w:val="Heading3Numbered"/>
      </w:pPr>
      <w:bookmarkStart w:id="539" w:name="_Toc53564765"/>
      <w:r w:rsidRPr="000C5235">
        <w:t>Performance criteria</w:t>
      </w:r>
      <w:bookmarkEnd w:id="538"/>
      <w:bookmarkEnd w:id="539"/>
    </w:p>
    <w:p w14:paraId="62177972" w14:textId="77777777" w:rsidR="00CF269C" w:rsidRPr="000C5235" w:rsidRDefault="00FA0945" w:rsidP="000A7DEC">
      <w:r w:rsidRPr="000C5235">
        <w:t xml:space="preserve">Entities should enter performance criteria in </w:t>
      </w:r>
      <w:r w:rsidRPr="000C5235">
        <w:rPr>
          <w:i/>
        </w:rPr>
        <w:t>Table 2.X.3</w:t>
      </w:r>
      <w:r w:rsidRPr="000C5235">
        <w:t xml:space="preserve"> for each program associated with each Outcome X.</w:t>
      </w:r>
    </w:p>
    <w:p w14:paraId="399AF0C4" w14:textId="77777777" w:rsidR="00CF269C" w:rsidRPr="000C5235" w:rsidRDefault="00CF269C" w:rsidP="000A7DEC">
      <w:pPr>
        <w:pStyle w:val="Boxed2Text"/>
      </w:pPr>
      <w:r w:rsidRPr="000C5235">
        <w:t xml:space="preserve">The Finance Secretary Direction under subsection 36(3) of the PGPA Act requires there is at </w:t>
      </w:r>
      <w:r w:rsidRPr="000C5235">
        <w:rPr>
          <w:b/>
          <w:color w:val="FF0000"/>
        </w:rPr>
        <w:t>least one performance criterion</w:t>
      </w:r>
      <w:r w:rsidRPr="000C5235">
        <w:t xml:space="preserve"> for each program.</w:t>
      </w:r>
    </w:p>
    <w:p w14:paraId="08136DB1" w14:textId="77777777" w:rsidR="00FA0945" w:rsidRPr="000C5235" w:rsidRDefault="00FA0945" w:rsidP="000A7DEC">
      <w:r w:rsidRPr="000C5235">
        <w:t xml:space="preserve">Performance criteria included in Table 2.X.3 need to indicate how an entity will assess whether a program objective has been achieved, and whether the specific program makes the intended contribution to the overall outcome with which it is associated. </w:t>
      </w:r>
    </w:p>
    <w:p w14:paraId="6C63D4A6" w14:textId="77777777" w:rsidR="00FA0945" w:rsidRPr="000C5235" w:rsidRDefault="00FA0945" w:rsidP="000A7DEC">
      <w:r w:rsidRPr="000C5235">
        <w:t>Entities should include the following performance criteria for the following reporting periods:</w:t>
      </w:r>
    </w:p>
    <w:p w14:paraId="4CE1CABB" w14:textId="77777777" w:rsidR="00FA0945" w:rsidRPr="000C5235" w:rsidRDefault="003D2E67">
      <w:pPr>
        <w:pStyle w:val="Bullet1"/>
      </w:pPr>
      <w:r w:rsidRPr="000C5235">
        <w:rPr>
          <w:b/>
        </w:rPr>
        <w:t>2019-20</w:t>
      </w:r>
      <w:r w:rsidR="00FA0945" w:rsidRPr="000C5235">
        <w:t xml:space="preserve"> </w:t>
      </w:r>
      <w:r w:rsidR="00FA0945" w:rsidRPr="000C5235">
        <w:rPr>
          <w:i/>
        </w:rPr>
        <w:t>(</w:t>
      </w:r>
      <w:r w:rsidR="009A6E92" w:rsidRPr="000C5235">
        <w:rPr>
          <w:i/>
        </w:rPr>
        <w:t xml:space="preserve">Last </w:t>
      </w:r>
      <w:r w:rsidR="00FA0945" w:rsidRPr="000C5235">
        <w:rPr>
          <w:i/>
        </w:rPr>
        <w:t>Budget Year)</w:t>
      </w:r>
      <w:r w:rsidR="00FA0945" w:rsidRPr="000C5235">
        <w:t xml:space="preserve"> – </w:t>
      </w:r>
      <w:r w:rsidR="009A6E92" w:rsidRPr="000C5235">
        <w:t>actual performance against targets for 2019-20 described in 2019-20 Portfolio Budget Statements</w:t>
      </w:r>
    </w:p>
    <w:p w14:paraId="0D2B4D77" w14:textId="77777777" w:rsidR="00FA0945" w:rsidRPr="000C5235" w:rsidRDefault="003D2E67">
      <w:pPr>
        <w:pStyle w:val="Bullet1"/>
      </w:pPr>
      <w:r w:rsidRPr="000C5235">
        <w:rPr>
          <w:b/>
        </w:rPr>
        <w:t>2020-21</w:t>
      </w:r>
      <w:r w:rsidR="00FA0945" w:rsidRPr="000C5235">
        <w:t xml:space="preserve"> </w:t>
      </w:r>
      <w:r w:rsidR="00FA0945" w:rsidRPr="000C5235">
        <w:rPr>
          <w:i/>
        </w:rPr>
        <w:t>(New Budget Year)</w:t>
      </w:r>
      <w:r w:rsidR="00FA0945" w:rsidRPr="000C5235">
        <w:t xml:space="preserve"> – a description of what criteria will be used to assess whether a specific program de</w:t>
      </w:r>
      <w:r w:rsidR="00611E25" w:rsidRPr="000C5235">
        <w:t xml:space="preserve">livers on its objectives in </w:t>
      </w:r>
      <w:r w:rsidRPr="000C5235">
        <w:t>2020-21</w:t>
      </w:r>
    </w:p>
    <w:p w14:paraId="5147866D" w14:textId="77777777" w:rsidR="00FA0945" w:rsidRPr="000C5235" w:rsidRDefault="003D2E67">
      <w:pPr>
        <w:pStyle w:val="Bullet1"/>
      </w:pPr>
      <w:r w:rsidRPr="000C5235">
        <w:rPr>
          <w:b/>
        </w:rPr>
        <w:t>2021-22</w:t>
      </w:r>
      <w:r w:rsidR="00FA0945" w:rsidRPr="000C5235">
        <w:rPr>
          <w:b/>
        </w:rPr>
        <w:t xml:space="preserve"> and beyond</w:t>
      </w:r>
      <w:r w:rsidR="00FA0945" w:rsidRPr="000C5235">
        <w:t xml:space="preserve"> </w:t>
      </w:r>
      <w:r w:rsidR="00FA0945" w:rsidRPr="000C5235">
        <w:rPr>
          <w:i/>
        </w:rPr>
        <w:t>(Forward Estimates)</w:t>
      </w:r>
      <w:r w:rsidR="00FA0945" w:rsidRPr="000C5235">
        <w:t xml:space="preserve"> – a description of what criteria will be used to assess whether a specific program delivers on its objectives for each</w:t>
      </w:r>
      <w:r w:rsidR="00611E25" w:rsidRPr="000C5235">
        <w:t xml:space="preserve"> forward estimate (</w:t>
      </w:r>
      <w:r w:rsidR="00E10C89" w:rsidRPr="000C5235">
        <w:t>ie</w:t>
      </w:r>
      <w:r w:rsidR="00611E25" w:rsidRPr="000C5235">
        <w:t xml:space="preserve"> </w:t>
      </w:r>
      <w:r w:rsidRPr="000C5235">
        <w:t>2021-22</w:t>
      </w:r>
      <w:r w:rsidR="00611E25" w:rsidRPr="000C5235">
        <w:t xml:space="preserve">, </w:t>
      </w:r>
      <w:r w:rsidRPr="000C5235">
        <w:t>2022-23</w:t>
      </w:r>
      <w:r w:rsidR="00611E25" w:rsidRPr="000C5235">
        <w:t xml:space="preserve"> and </w:t>
      </w:r>
      <w:r w:rsidRPr="000C5235">
        <w:t>2023-24</w:t>
      </w:r>
      <w:r w:rsidR="00FA0945" w:rsidRPr="000C5235">
        <w:t>).</w:t>
      </w:r>
    </w:p>
    <w:p w14:paraId="3FFCE647" w14:textId="77777777" w:rsidR="00FA0945" w:rsidRPr="000C5235" w:rsidRDefault="00FA0945">
      <w:pPr>
        <w:pStyle w:val="NormalTextRed"/>
      </w:pPr>
      <w:r w:rsidRPr="000C5235">
        <w:rPr>
          <w:u w:val="single"/>
        </w:rPr>
        <w:t>Note</w:t>
      </w:r>
      <w:r w:rsidR="006F2C96" w:rsidRPr="000C5235">
        <w:rPr>
          <w:u w:val="single"/>
        </w:rPr>
        <w:t>:</w:t>
      </w:r>
      <w:r w:rsidRPr="000C5235">
        <w:t xml:space="preserve"> if the performance criteria to be applied during </w:t>
      </w:r>
      <w:r w:rsidR="003D2E67" w:rsidRPr="000C5235">
        <w:t>2020-21</w:t>
      </w:r>
      <w:r w:rsidR="00611E25" w:rsidRPr="000C5235">
        <w:t xml:space="preserve"> and beyond are the same as </w:t>
      </w:r>
      <w:r w:rsidR="003D2E67" w:rsidRPr="000C5235">
        <w:t>2019-20</w:t>
      </w:r>
      <w:r w:rsidRPr="000C5235">
        <w:t>, entities may wi</w:t>
      </w:r>
      <w:r w:rsidR="00611E25" w:rsidRPr="000C5235">
        <w:t xml:space="preserve">sh to describe them “as per </w:t>
      </w:r>
      <w:r w:rsidR="003D2E67" w:rsidRPr="000C5235">
        <w:t>2019-20</w:t>
      </w:r>
      <w:r w:rsidRPr="000C5235">
        <w:t>” to avoid duplicating text.</w:t>
      </w:r>
    </w:p>
    <w:p w14:paraId="641B1419" w14:textId="77777777" w:rsidR="00FA0945" w:rsidRPr="000C5235" w:rsidRDefault="00FA0945" w:rsidP="000A7DEC">
      <w:r w:rsidRPr="000C5235">
        <w:t>Performance criteri</w:t>
      </w:r>
      <w:r w:rsidR="00611E25" w:rsidRPr="000C5235">
        <w:t xml:space="preserve">a included in </w:t>
      </w:r>
      <w:r w:rsidR="003D2E67" w:rsidRPr="000C5235">
        <w:t>2020-21</w:t>
      </w:r>
      <w:r w:rsidRPr="000C5235">
        <w:t xml:space="preserve"> PB Statements should be </w:t>
      </w:r>
      <w:r w:rsidR="00A30D01" w:rsidRPr="000C5235">
        <w:t xml:space="preserve">focused on the impact of programs. </w:t>
      </w:r>
    </w:p>
    <w:p w14:paraId="7DDEE8E8" w14:textId="77777777" w:rsidR="00FA0945" w:rsidRPr="000C5235" w:rsidRDefault="00FA0945" w:rsidP="000A7DEC">
      <w:r w:rsidRPr="000C5235">
        <w:t xml:space="preserve">The performance criteria reported in </w:t>
      </w:r>
      <w:r w:rsidRPr="000C5235">
        <w:rPr>
          <w:i/>
        </w:rPr>
        <w:t>Table 2.X.3</w:t>
      </w:r>
      <w:r w:rsidRPr="000C5235">
        <w:t xml:space="preserve"> must make sense within the context of the broader set of performance information in corporate plans, annual performance statements and any other public reporting under legislation or required by government. Information across these documents </w:t>
      </w:r>
      <w:r w:rsidR="00071D4D" w:rsidRPr="000C5235">
        <w:t xml:space="preserve">should </w:t>
      </w:r>
      <w:r w:rsidRPr="000C5235">
        <w:t xml:space="preserve">form an integrated set that allows readers to understand an entity’s </w:t>
      </w:r>
      <w:r w:rsidR="00071D4D" w:rsidRPr="000C5235">
        <w:t xml:space="preserve">planned and actual </w:t>
      </w:r>
      <w:r w:rsidRPr="000C5235">
        <w:t>performance story, including the links between programs described in PB Statements and their relationship to purposes described in the entity’s corporate plan.</w:t>
      </w:r>
    </w:p>
    <w:p w14:paraId="6B9A06B6" w14:textId="5C449AA7" w:rsidR="00CF269C" w:rsidRPr="000C5235" w:rsidRDefault="00FA0945">
      <w:r w:rsidRPr="000C5235">
        <w:t xml:space="preserve">Entities should note advice provided in </w:t>
      </w:r>
      <w:r w:rsidRPr="000C5235">
        <w:rPr>
          <w:i/>
        </w:rPr>
        <w:t>RMG 131 – Developing good performance information</w:t>
      </w:r>
      <w:r w:rsidR="00391B0E" w:rsidRPr="000C5235">
        <w:t xml:space="preserve"> and </w:t>
      </w:r>
      <w:r w:rsidR="00391B0E" w:rsidRPr="000C5235">
        <w:rPr>
          <w:i/>
        </w:rPr>
        <w:t>RMG 131A – Developing performance measures</w:t>
      </w:r>
      <w:r w:rsidR="00E47F62" w:rsidRPr="000C5235">
        <w:t xml:space="preserve"> </w:t>
      </w:r>
      <w:hyperlink r:id="rId60" w:history="1">
        <w:r w:rsidR="0012362E" w:rsidRPr="000C5235">
          <w:rPr>
            <w:rStyle w:val="Hyperlink"/>
            <w:rFonts w:asciiTheme="minorHAnsi" w:hAnsiTheme="minorHAnsi" w:cstheme="minorBidi"/>
          </w:rPr>
          <w:t>https://www.finance.gov.au/publications/resource-management-guides</w:t>
        </w:r>
      </w:hyperlink>
      <w:r w:rsidRPr="000C5235">
        <w:t xml:space="preserve"> </w:t>
      </w:r>
      <w:r w:rsidR="00071D4D" w:rsidRPr="000C5235">
        <w:t xml:space="preserve">when developing performance measures. </w:t>
      </w:r>
    </w:p>
    <w:p w14:paraId="0F006CD4" w14:textId="77777777" w:rsidR="00CF269C" w:rsidRPr="000C5235" w:rsidRDefault="00CF269C">
      <w:pPr>
        <w:suppressAutoHyphens w:val="0"/>
        <w:spacing w:before="0" w:after="120" w:line="440" w:lineRule="atLeast"/>
      </w:pPr>
      <w:r w:rsidRPr="000C5235">
        <w:br w:type="page"/>
      </w:r>
    </w:p>
    <w:p w14:paraId="1E5BCC79" w14:textId="77777777" w:rsidR="00CF269C" w:rsidRPr="000C5235" w:rsidRDefault="00FA0945" w:rsidP="00CF269C">
      <w:r w:rsidRPr="000C5235">
        <w:t xml:space="preserve">The Finance Secretary Direction under </w:t>
      </w:r>
      <w:r w:rsidR="004D0115" w:rsidRPr="000C5235">
        <w:t>subsection</w:t>
      </w:r>
      <w:r w:rsidRPr="000C5235">
        <w:t xml:space="preserve"> 36(3) of the PGPA Act</w:t>
      </w:r>
      <w:r w:rsidRPr="000C5235">
        <w:rPr>
          <w:i/>
        </w:rPr>
        <w:t xml:space="preserve"> </w:t>
      </w:r>
      <w:r w:rsidRPr="000C5235">
        <w:t xml:space="preserve">requires PB Statements to include targets. Such targets are expected to complement descriptions of performance criteria </w:t>
      </w:r>
      <w:r w:rsidR="00611E25" w:rsidRPr="000C5235">
        <w:t xml:space="preserve">used to assess a program in </w:t>
      </w:r>
      <w:r w:rsidR="000041E1" w:rsidRPr="000C5235">
        <w:t>2020-21</w:t>
      </w:r>
      <w:r w:rsidRPr="000C5235">
        <w:t xml:space="preserve"> and across the forward estimates. Targets are to be included in </w:t>
      </w:r>
      <w:r w:rsidRPr="000C5235">
        <w:rPr>
          <w:i/>
        </w:rPr>
        <w:t>Table 2.X.3</w:t>
      </w:r>
      <w:r w:rsidRPr="000C5235">
        <w:t xml:space="preserve"> following the description of performance criteria for relevant years.</w:t>
      </w:r>
      <w:r w:rsidR="00CF269C" w:rsidRPr="000C5235">
        <w:t xml:space="preserve"> </w:t>
      </w:r>
    </w:p>
    <w:p w14:paraId="42BFEE10" w14:textId="77777777" w:rsidR="00CF269C" w:rsidRPr="000C5235" w:rsidRDefault="00CF269C" w:rsidP="00CF269C">
      <w:r w:rsidRPr="000C5235">
        <w:t>Targets will typically help readers understand the standard to which certain aspects of program delivery will be achieved or the extent to which it is achieved (ie the reach of a government advertising campaign). For example, targets may be benchmarks that identify ideal performance or milestones that indicate progress to longer-term outcomes.</w:t>
      </w:r>
    </w:p>
    <w:p w14:paraId="581CA6D1" w14:textId="77777777" w:rsidR="00CF269C" w:rsidRPr="000C5235" w:rsidRDefault="00CF269C" w:rsidP="000A7DEC">
      <w:pPr>
        <w:pStyle w:val="Boxed2Text"/>
      </w:pPr>
      <w:r w:rsidRPr="000C5235">
        <w:t>As noted above, targets complement performance criteria.</w:t>
      </w:r>
    </w:p>
    <w:p w14:paraId="5E3872F2" w14:textId="4EEDF293" w:rsidR="00CF269C" w:rsidRPr="000C5235" w:rsidRDefault="00CF269C" w:rsidP="000A7DEC">
      <w:pPr>
        <w:pStyle w:val="Boxed2Text"/>
        <w:spacing w:after="240"/>
      </w:pPr>
      <w:r w:rsidRPr="000C5235">
        <w:t xml:space="preserve">Because targets are likely to be quantitative (ie number of transactions completed, satisfaction ratings or cost per output) they will tend to provide useful information on how a program is delivered. Judgements on the impact of this delivery should be supported by other information, which will often draw on a mix of quantitative and qualitative sources.  For further information, refer to </w:t>
      </w:r>
      <w:r w:rsidR="00CC0203" w:rsidRPr="000C5235">
        <w:rPr>
          <w:i/>
        </w:rPr>
        <w:t>RMG 131 – Developing good performance information</w:t>
      </w:r>
      <w:r w:rsidR="00D2735C" w:rsidRPr="000C5235">
        <w:t xml:space="preserve"> and </w:t>
      </w:r>
      <w:r w:rsidR="00D2735C" w:rsidRPr="000C5235">
        <w:rPr>
          <w:i/>
        </w:rPr>
        <w:t>RMG 131A Developing performance measures</w:t>
      </w:r>
      <w:r w:rsidR="00CC0203" w:rsidRPr="000C5235">
        <w:t xml:space="preserve"> </w:t>
      </w:r>
      <w:hyperlink r:id="rId61" w:history="1">
        <w:r w:rsidR="00CC0203" w:rsidRPr="000C5235">
          <w:rPr>
            <w:rStyle w:val="Hyperlink"/>
            <w:rFonts w:asciiTheme="minorHAnsi" w:hAnsiTheme="minorHAnsi" w:cstheme="minorBidi"/>
          </w:rPr>
          <w:t>https://www.finance.gov.au/publications/resource-management-guides</w:t>
        </w:r>
      </w:hyperlink>
      <w:r w:rsidR="00CC0203" w:rsidRPr="000C5235">
        <w:t>.</w:t>
      </w:r>
    </w:p>
    <w:p w14:paraId="369E91A5" w14:textId="77777777" w:rsidR="00FA0945" w:rsidRPr="000C5235" w:rsidRDefault="00FA0945" w:rsidP="000A7DEC">
      <w:pPr>
        <w:pStyle w:val="Heading3Numbered"/>
      </w:pPr>
      <w:bookmarkStart w:id="540" w:name="_Toc33099408"/>
      <w:bookmarkStart w:id="541" w:name="_Toc33196033"/>
      <w:bookmarkStart w:id="542" w:name="_Toc33196335"/>
      <w:bookmarkStart w:id="543" w:name="_Toc33099409"/>
      <w:bookmarkStart w:id="544" w:name="_Toc33196034"/>
      <w:bookmarkStart w:id="545" w:name="_Toc33196336"/>
      <w:bookmarkStart w:id="546" w:name="_Toc534382570"/>
      <w:bookmarkStart w:id="547" w:name="_Toc53564766"/>
      <w:bookmarkEnd w:id="540"/>
      <w:bookmarkEnd w:id="541"/>
      <w:bookmarkEnd w:id="542"/>
      <w:bookmarkEnd w:id="543"/>
      <w:bookmarkEnd w:id="544"/>
      <w:bookmarkEnd w:id="545"/>
      <w:r w:rsidRPr="000C5235">
        <w:t>Presentation of new or modified performance criteria</w:t>
      </w:r>
      <w:bookmarkEnd w:id="546"/>
      <w:bookmarkEnd w:id="547"/>
    </w:p>
    <w:p w14:paraId="7C4637B6" w14:textId="77777777" w:rsidR="00FA0945" w:rsidRPr="000C5235" w:rsidRDefault="00FA0945" w:rsidP="000A7DEC">
      <w:r w:rsidRPr="000C5235">
        <w:t>As discusse</w:t>
      </w:r>
      <w:r w:rsidR="00611E25" w:rsidRPr="000C5235">
        <w:t xml:space="preserve">d, an entity’s </w:t>
      </w:r>
      <w:r w:rsidR="000041E1" w:rsidRPr="000C5235">
        <w:t>2020-21</w:t>
      </w:r>
      <w:r w:rsidRPr="000C5235">
        <w:t xml:space="preserve"> PB Statements shoul</w:t>
      </w:r>
      <w:r w:rsidR="00611E25" w:rsidRPr="000C5235">
        <w:t xml:space="preserve">d reflect changes since the </w:t>
      </w:r>
      <w:r w:rsidR="000041E1" w:rsidRPr="000C5235">
        <w:t>2019</w:t>
      </w:r>
      <w:r w:rsidR="00A667A6" w:rsidRPr="000C5235">
        <w:noBreakHyphen/>
      </w:r>
      <w:r w:rsidR="000041E1" w:rsidRPr="000C5235">
        <w:t>20</w:t>
      </w:r>
      <w:r w:rsidR="00A667A6" w:rsidRPr="000C5235">
        <w:t> </w:t>
      </w:r>
      <w:r w:rsidRPr="000C5235">
        <w:t xml:space="preserve">Budget that have </w:t>
      </w:r>
      <w:r w:rsidR="00E67D07" w:rsidRPr="000C5235">
        <w:t xml:space="preserve">had a </w:t>
      </w:r>
      <w:r w:rsidRPr="000C5235">
        <w:t>material impact on a program</w:t>
      </w:r>
      <w:r w:rsidR="00611E25" w:rsidRPr="000C5235">
        <w:t xml:space="preserve"> (</w:t>
      </w:r>
      <w:r w:rsidR="001754FC" w:rsidRPr="000C5235">
        <w:t>ie</w:t>
      </w:r>
      <w:r w:rsidR="00611E25" w:rsidRPr="000C5235">
        <w:t xml:space="preserve"> as a result of a new </w:t>
      </w:r>
      <w:r w:rsidR="000041E1" w:rsidRPr="000C5235">
        <w:t>2020</w:t>
      </w:r>
      <w:r w:rsidR="00A667A6" w:rsidRPr="000C5235">
        <w:noBreakHyphen/>
      </w:r>
      <w:r w:rsidR="000041E1" w:rsidRPr="000C5235">
        <w:t>21</w:t>
      </w:r>
      <w:r w:rsidRPr="000C5235">
        <w:t xml:space="preserve"> Budget measure or announcement of government initiative). </w:t>
      </w:r>
    </w:p>
    <w:p w14:paraId="2CD439FA" w14:textId="77777777" w:rsidR="00FA0945" w:rsidRPr="000C5235" w:rsidRDefault="00FA0945" w:rsidP="000A7DEC">
      <w:r w:rsidRPr="000C5235">
        <w:t xml:space="preserve">Performance criteria that have been modified or added to reflect such changes should be presented </w:t>
      </w:r>
      <w:r w:rsidRPr="000C5235">
        <w:rPr>
          <w:u w:val="single"/>
        </w:rPr>
        <w:t>underlined</w:t>
      </w:r>
      <w:r w:rsidRPr="000C5235">
        <w:t xml:space="preserve"> and in </w:t>
      </w:r>
      <w:r w:rsidRPr="000C5235">
        <w:rPr>
          <w:i/>
        </w:rPr>
        <w:t>italics</w:t>
      </w:r>
      <w:r w:rsidRPr="000C5235">
        <w:t xml:space="preserve"> in the Performance Criteria section of </w:t>
      </w:r>
      <w:r w:rsidRPr="000C5235">
        <w:rPr>
          <w:i/>
        </w:rPr>
        <w:t>Table 2.X.3</w:t>
      </w:r>
      <w:r w:rsidRPr="000C5235">
        <w:t xml:space="preserve"> for the relevant program. </w:t>
      </w:r>
    </w:p>
    <w:p w14:paraId="64C10535" w14:textId="77777777" w:rsidR="00FA0945" w:rsidRPr="000C5235" w:rsidRDefault="00FA0945" w:rsidP="000A7DEC">
      <w:r w:rsidRPr="000C5235">
        <w:t xml:space="preserve">Presenting new or modified performance criteria </w:t>
      </w:r>
      <w:r w:rsidRPr="000C5235">
        <w:rPr>
          <w:u w:val="single"/>
        </w:rPr>
        <w:t>underlined</w:t>
      </w:r>
      <w:r w:rsidRPr="000C5235">
        <w:t xml:space="preserve"> and in </w:t>
      </w:r>
      <w:r w:rsidRPr="000C5235">
        <w:rPr>
          <w:i/>
        </w:rPr>
        <w:t>italics</w:t>
      </w:r>
      <w:r w:rsidRPr="000C5235">
        <w:t xml:space="preserve"> will indicate to readers that the program has materially changed (</w:t>
      </w:r>
      <w:r w:rsidR="001754FC" w:rsidRPr="000C5235">
        <w:t>ie</w:t>
      </w:r>
      <w:r w:rsidRPr="000C5235">
        <w:t xml:space="preserve"> because </w:t>
      </w:r>
      <w:r w:rsidR="00A250B5" w:rsidRPr="000C5235">
        <w:t>its</w:t>
      </w:r>
      <w:r w:rsidRPr="000C5235">
        <w:t xml:space="preserve"> objective, delivery mechanism and/or target group has changed) and the way success is assessed has been adjusted appropriately. Where new prog</w:t>
      </w:r>
      <w:r w:rsidR="00611E25" w:rsidRPr="000C5235">
        <w:t xml:space="preserve">rams are established in the </w:t>
      </w:r>
      <w:r w:rsidR="000041E1" w:rsidRPr="000C5235">
        <w:t>2020-21</w:t>
      </w:r>
      <w:r w:rsidRPr="000C5235">
        <w:t xml:space="preserve"> Budget, all of the performance criteria related to that program need to be shown. </w:t>
      </w:r>
    </w:p>
    <w:p w14:paraId="5BF1B6D7" w14:textId="77777777" w:rsidR="00FA0945" w:rsidRPr="000C5235" w:rsidRDefault="00FA0945" w:rsidP="000A7DEC">
      <w:pPr>
        <w:pStyle w:val="Heading3Numbered"/>
      </w:pPr>
      <w:bookmarkStart w:id="548" w:name="_Toc534382571"/>
      <w:bookmarkStart w:id="549" w:name="_Toc53564767"/>
      <w:r w:rsidRPr="000C5235">
        <w:t>Purposes</w:t>
      </w:r>
      <w:bookmarkEnd w:id="548"/>
      <w:bookmarkEnd w:id="549"/>
    </w:p>
    <w:p w14:paraId="63004838" w14:textId="77777777" w:rsidR="00FA0945" w:rsidRPr="000C5235" w:rsidRDefault="00FA0945" w:rsidP="000A7DEC">
      <w:r w:rsidRPr="000C5235">
        <w:rPr>
          <w:i/>
        </w:rPr>
        <w:t>Table 2.X.3</w:t>
      </w:r>
      <w:r w:rsidRPr="000C5235">
        <w:t xml:space="preserve"> should indicate the relationship between each program and the purposes described in an entity’s current corporate plan – prepared in accordance with requirements set out in the Public Governance, Performance and Accountability Rule 2014 (the PGPA Rule).</w:t>
      </w:r>
    </w:p>
    <w:p w14:paraId="1CDF7EB0" w14:textId="77777777" w:rsidR="00FA0945" w:rsidRPr="000C5235" w:rsidRDefault="00F61D99" w:rsidP="000A7DEC">
      <w:r w:rsidRPr="000C5235">
        <w:rPr>
          <w:noProof/>
          <w:lang w:eastAsia="en-AU"/>
        </w:rPr>
        <mc:AlternateContent>
          <mc:Choice Requires="wpc">
            <w:drawing>
              <wp:anchor distT="0" distB="0" distL="114300" distR="114300" simplePos="0" relativeHeight="251658240" behindDoc="1" locked="0" layoutInCell="1" allowOverlap="1" wp14:anchorId="0D3C8084" wp14:editId="651AF3EF">
                <wp:simplePos x="0" y="0"/>
                <wp:positionH relativeFrom="margin">
                  <wp:posOffset>-6350</wp:posOffset>
                </wp:positionH>
                <wp:positionV relativeFrom="paragraph">
                  <wp:posOffset>582295</wp:posOffset>
                </wp:positionV>
                <wp:extent cx="5446395" cy="2585085"/>
                <wp:effectExtent l="0" t="0" r="20955" b="24765"/>
                <wp:wrapTopAndBottom/>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w="9525">
                          <a:solidFill>
                            <a:schemeClr val="tx1"/>
                          </a:solidFill>
                        </a:ln>
                      </wpc:whole>
                      <wps:wsp>
                        <wps:cNvPr id="9" name="Text Box 35"/>
                        <wps:cNvSpPr txBox="1">
                          <a:spLocks noChangeArrowheads="1"/>
                        </wps:cNvSpPr>
                        <wps:spPr bwMode="auto">
                          <a:xfrm>
                            <a:off x="2636551" y="146112"/>
                            <a:ext cx="2639340" cy="91301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09A3A3" w14:textId="77777777" w:rsidR="00E70395" w:rsidRPr="00047731" w:rsidRDefault="00E70395" w:rsidP="000A7DEC">
                              <w:pPr>
                                <w:pStyle w:val="TableText"/>
                              </w:pPr>
                              <w:r w:rsidRPr="00047731">
                                <w:rPr>
                                  <w:b/>
                                </w:rPr>
                                <w:t>Purpose:</w:t>
                              </w:r>
                              <w:r w:rsidRPr="00047731">
                                <w:t xml:space="preserve"> </w:t>
                              </w:r>
                              <w:r w:rsidRPr="00047731">
                                <w:rPr>
                                  <w:i/>
                                </w:rPr>
                                <w:t>Budget and financial advice, management and reporting</w:t>
                              </w:r>
                              <w:r>
                                <w:rPr>
                                  <w:i/>
                                </w:rPr>
                                <w:t xml:space="preserve"> </w:t>
                              </w:r>
                              <w:r w:rsidRPr="00047731">
                                <w:t>– support the government to deliver its fiscal target and policy objectives.</w:t>
                              </w:r>
                            </w:p>
                          </w:txbxContent>
                        </wps:txbx>
                        <wps:bodyPr rot="0" vert="horz" wrap="square" lIns="91440" tIns="45720" rIns="91440" bIns="45720" anchor="t" anchorCtr="0" upright="1">
                          <a:noAutofit/>
                        </wps:bodyPr>
                      </wps:wsp>
                      <wps:wsp>
                        <wps:cNvPr id="10" name="Text Box 36"/>
                        <wps:cNvSpPr txBox="1">
                          <a:spLocks noChangeArrowheads="1"/>
                        </wps:cNvSpPr>
                        <wps:spPr bwMode="auto">
                          <a:xfrm>
                            <a:off x="2636550" y="1147587"/>
                            <a:ext cx="2639342" cy="49701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8AD91B" w14:textId="77777777" w:rsidR="00E70395" w:rsidRPr="00047731" w:rsidRDefault="00E70395" w:rsidP="000A7DEC">
                              <w:pPr>
                                <w:pStyle w:val="TableText"/>
                              </w:pPr>
                              <w:r w:rsidRPr="00047731">
                                <w:rPr>
                                  <w:b/>
                                </w:rPr>
                                <w:t>Purpose:</w:t>
                              </w:r>
                              <w:r w:rsidRPr="00047731">
                                <w:t xml:space="preserve"> </w:t>
                              </w:r>
                              <w:r w:rsidRPr="00047731">
                                <w:rPr>
                                  <w:i/>
                                </w:rPr>
                                <w:t>Governance</w:t>
                              </w:r>
                              <w:r w:rsidRPr="00047731">
                                <w:t xml:space="preserve"> – foster leading public sector</w:t>
                              </w:r>
                              <w:r>
                                <w:t xml:space="preserve"> </w:t>
                              </w:r>
                              <w:r w:rsidRPr="00047731">
                                <w:t>practice.</w:t>
                              </w:r>
                            </w:p>
                          </w:txbxContent>
                        </wps:txbx>
                        <wps:bodyPr rot="0" vert="horz" wrap="square" lIns="91440" tIns="45720" rIns="91440" bIns="45720" anchor="t" anchorCtr="0" upright="1">
                          <a:noAutofit/>
                        </wps:bodyPr>
                      </wps:wsp>
                      <wps:wsp>
                        <wps:cNvPr id="11" name="Text Box 37"/>
                        <wps:cNvSpPr txBox="1">
                          <a:spLocks noChangeArrowheads="1"/>
                        </wps:cNvSpPr>
                        <wps:spPr bwMode="auto">
                          <a:xfrm>
                            <a:off x="2629350" y="1801453"/>
                            <a:ext cx="2646542" cy="59309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5E29D" w14:textId="77777777" w:rsidR="00E70395" w:rsidRPr="00047731" w:rsidRDefault="00E70395" w:rsidP="000A7DEC">
                              <w:pPr>
                                <w:pStyle w:val="TableText"/>
                              </w:pPr>
                              <w:r w:rsidRPr="00047731">
                                <w:rPr>
                                  <w:b/>
                                </w:rPr>
                                <w:t>Purpose:</w:t>
                              </w:r>
                              <w:r w:rsidRPr="00047731">
                                <w:t xml:space="preserve"> </w:t>
                              </w:r>
                              <w:r w:rsidRPr="00047731">
                                <w:rPr>
                                  <w:i/>
                                </w:rPr>
                                <w:t>Services</w:t>
                              </w:r>
                              <w:r w:rsidRPr="00047731">
                                <w:t xml:space="preserve"> – manage efficient, cost-effective services to, and for, the government.</w:t>
                              </w:r>
                            </w:p>
                          </w:txbxContent>
                        </wps:txbx>
                        <wps:bodyPr rot="0" vert="horz" wrap="square" lIns="91440" tIns="45720" rIns="91440" bIns="45720" anchor="t" anchorCtr="0" upright="1">
                          <a:noAutofit/>
                        </wps:bodyPr>
                      </wps:wsp>
                      <wps:wsp>
                        <wps:cNvPr id="12" name="Text Box 38"/>
                        <wps:cNvSpPr txBox="1">
                          <a:spLocks noChangeArrowheads="1"/>
                        </wps:cNvSpPr>
                        <wps:spPr bwMode="auto">
                          <a:xfrm>
                            <a:off x="157882" y="373896"/>
                            <a:ext cx="2050042" cy="49478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506527" w14:textId="77777777" w:rsidR="00E70395" w:rsidRPr="0068762E" w:rsidRDefault="00E70395" w:rsidP="000A7DEC">
                              <w:pPr>
                                <w:pStyle w:val="TableText-Small"/>
                                <w:ind w:left="0"/>
                              </w:pPr>
                              <w:r w:rsidRPr="00877B45">
                                <w:rPr>
                                  <w:b/>
                                </w:rPr>
                                <w:t>Program 1.1:</w:t>
                              </w:r>
                              <w:r w:rsidRPr="00877B45">
                                <w:t xml:space="preserve"> Budget and</w:t>
                              </w:r>
                              <w:r>
                                <w:br/>
                              </w:r>
                              <w:r w:rsidRPr="00877B45">
                                <w:t>Financial</w:t>
                              </w:r>
                              <w:r>
                                <w:t xml:space="preserve"> </w:t>
                              </w:r>
                              <w:r w:rsidRPr="00877B45">
                                <w:t>Management</w:t>
                              </w:r>
                            </w:p>
                          </w:txbxContent>
                        </wps:txbx>
                        <wps:bodyPr rot="0" vert="horz" wrap="square" lIns="91440" tIns="45720" rIns="91440" bIns="45720" anchor="ctr" anchorCtr="0" upright="1">
                          <a:noAutofit/>
                        </wps:bodyPr>
                      </wps:wsp>
                      <wps:wsp>
                        <wps:cNvPr id="13" name="Text Box 39"/>
                        <wps:cNvSpPr txBox="1">
                          <a:spLocks noChangeArrowheads="1"/>
                        </wps:cNvSpPr>
                        <wps:spPr bwMode="auto">
                          <a:xfrm>
                            <a:off x="157881" y="1486636"/>
                            <a:ext cx="2049817" cy="5279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916A0" w14:textId="77777777" w:rsidR="00E70395" w:rsidRPr="00877B45" w:rsidRDefault="00E70395" w:rsidP="000A7DEC">
                              <w:pPr>
                                <w:pStyle w:val="TableText"/>
                              </w:pPr>
                              <w:r w:rsidRPr="00877B45">
                                <w:rPr>
                                  <w:b/>
                                </w:rPr>
                                <w:t>Program 2.1:</w:t>
                              </w:r>
                              <w:r w:rsidRPr="00877B45">
                                <w:t xml:space="preserve"> Public Sector Governance</w:t>
                              </w:r>
                            </w:p>
                          </w:txbxContent>
                        </wps:txbx>
                        <wps:bodyPr rot="0" vert="horz" wrap="square" lIns="91440" tIns="45720" rIns="91440" bIns="45720" anchor="ctr" anchorCtr="0" upright="1">
                          <a:noAutofit/>
                        </wps:bodyPr>
                      </wps:wsp>
                      <wps:wsp>
                        <wps:cNvPr id="14" name="AutoShape 40" descr="Arrow from Program 2.1 Budget and Financial Management to Purpose: Budget and financial advice, management and reporting"/>
                        <wps:cNvCnPr>
                          <a:cxnSpLocks noChangeShapeType="1"/>
                          <a:stCxn id="12" idx="3"/>
                        </wps:cNvCnPr>
                        <wps:spPr bwMode="auto">
                          <a:xfrm>
                            <a:off x="2207924" y="621288"/>
                            <a:ext cx="421426"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15" name="Group 41" descr="Arrow from Program 2.1 Public Sector Governance to Purpose: Governance and Purpose: Services"/>
                        <wpg:cNvGrpSpPr>
                          <a:grpSpLocks/>
                        </wpg:cNvGrpSpPr>
                        <wpg:grpSpPr bwMode="auto">
                          <a:xfrm>
                            <a:off x="2207924" y="1396265"/>
                            <a:ext cx="428625" cy="701734"/>
                            <a:chOff x="5685" y="4464"/>
                            <a:chExt cx="675" cy="1159"/>
                          </a:xfrm>
                        </wpg:grpSpPr>
                        <wps:wsp>
                          <wps:cNvPr id="16" name="AutoShape 42"/>
                          <wps:cNvCnPr>
                            <a:cxnSpLocks noChangeShapeType="1"/>
                            <a:stCxn id="10" idx="1"/>
                            <a:endCxn id="11" idx="1"/>
                          </wps:cNvCnPr>
                          <wps:spPr bwMode="auto">
                            <a:xfrm rot="10800000" flipV="1">
                              <a:off x="6349" y="4464"/>
                              <a:ext cx="11" cy="1159"/>
                            </a:xfrm>
                            <a:prstGeom prst="bentConnector3">
                              <a:avLst>
                                <a:gd name="adj1" fmla="val 3275000"/>
                              </a:avLst>
                            </a:prstGeom>
                            <a:noFill/>
                            <a:ln w="9525">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43"/>
                          <wps:cNvCnPr>
                            <a:cxnSpLocks noChangeShapeType="1"/>
                            <a:stCxn id="13" idx="3"/>
                          </wps:cNvCnPr>
                          <wps:spPr bwMode="auto">
                            <a:xfrm flipV="1">
                              <a:off x="5685" y="5049"/>
                              <a:ext cx="311"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c:wpc>
                  </a:graphicData>
                </a:graphic>
                <wp14:sizeRelH relativeFrom="margin">
                  <wp14:pctWidth>0</wp14:pctWidth>
                </wp14:sizeRelH>
                <wp14:sizeRelV relativeFrom="margin">
                  <wp14:pctHeight>0</wp14:pctHeight>
                </wp14:sizeRelV>
              </wp:anchor>
            </w:drawing>
          </mc:Choice>
          <mc:Fallback>
            <w:pict>
              <v:group w14:anchorId="0D3C8084" id="Canvas 18" o:spid="_x0000_s1057" editas="canvas" style="position:absolute;margin-left:-.5pt;margin-top:45.85pt;width:428.85pt;height:203.55pt;z-index:-251658240;mso-position-horizontal-relative:margin;mso-position-vertical-relative:text;mso-width-relative:margin;mso-height-relative:margin" coordsize="54463,2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">
                <v:shape id="_x0000_s1058" type="#_x0000_t75" style="position:absolute;width:54463;height:25850;visibility:visible;mso-wrap-style:square" filled="t" fillcolor="#d8d8d8 [2732]" stroked="t" strokecolor="black [3213]">
                  <v:fill o:detectmouseclick="t"/>
                  <v:path o:connecttype="none"/>
                </v:shape>
                <v:shape id="Text Box 35" o:spid="_x0000_s1059" type="#_x0000_t202" style="position:absolute;left:26365;top:1461;width:26393;height:9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E09A3A3" w14:textId="77777777" w:rsidR="00E70395" w:rsidRPr="00047731" w:rsidRDefault="00E70395" w:rsidP="000A7DEC">
                        <w:pPr>
                          <w:pStyle w:val="TableText"/>
                        </w:pPr>
                        <w:r w:rsidRPr="00047731">
                          <w:rPr>
                            <w:b/>
                          </w:rPr>
                          <w:t>Purpose:</w:t>
                        </w:r>
                        <w:r w:rsidRPr="00047731">
                          <w:t xml:space="preserve"> </w:t>
                        </w:r>
                        <w:r w:rsidRPr="00047731">
                          <w:rPr>
                            <w:i/>
                          </w:rPr>
                          <w:t>Budget and financial advice, management and reporting</w:t>
                        </w:r>
                        <w:r>
                          <w:rPr>
                            <w:i/>
                          </w:rPr>
                          <w:t xml:space="preserve"> </w:t>
                        </w:r>
                        <w:r w:rsidRPr="00047731">
                          <w:t>– support the government to deliver its fiscal target and policy objectives.</w:t>
                        </w:r>
                      </w:p>
                    </w:txbxContent>
                  </v:textbox>
                </v:shape>
                <v:shape id="Text Box 36" o:spid="_x0000_s1060" type="#_x0000_t202" style="position:absolute;left:26365;top:11475;width:26393;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C8AD91B" w14:textId="77777777" w:rsidR="00E70395" w:rsidRPr="00047731" w:rsidRDefault="00E70395" w:rsidP="000A7DEC">
                        <w:pPr>
                          <w:pStyle w:val="TableText"/>
                        </w:pPr>
                        <w:r w:rsidRPr="00047731">
                          <w:rPr>
                            <w:b/>
                          </w:rPr>
                          <w:t>Purpose:</w:t>
                        </w:r>
                        <w:r w:rsidRPr="00047731">
                          <w:t xml:space="preserve"> </w:t>
                        </w:r>
                        <w:r w:rsidRPr="00047731">
                          <w:rPr>
                            <w:i/>
                          </w:rPr>
                          <w:t>Governance</w:t>
                        </w:r>
                        <w:r w:rsidRPr="00047731">
                          <w:t xml:space="preserve"> – foster leading public sector</w:t>
                        </w:r>
                        <w:r>
                          <w:t xml:space="preserve"> </w:t>
                        </w:r>
                        <w:r w:rsidRPr="00047731">
                          <w:t>practice.</w:t>
                        </w:r>
                      </w:p>
                    </w:txbxContent>
                  </v:textbox>
                </v:shape>
                <v:shape id="Text Box 37" o:spid="_x0000_s1061" type="#_x0000_t202" style="position:absolute;left:26293;top:18014;width:26465;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765E29D" w14:textId="77777777" w:rsidR="00E70395" w:rsidRPr="00047731" w:rsidRDefault="00E70395" w:rsidP="000A7DEC">
                        <w:pPr>
                          <w:pStyle w:val="TableText"/>
                        </w:pPr>
                        <w:r w:rsidRPr="00047731">
                          <w:rPr>
                            <w:b/>
                          </w:rPr>
                          <w:t>Purpose:</w:t>
                        </w:r>
                        <w:r w:rsidRPr="00047731">
                          <w:t xml:space="preserve"> </w:t>
                        </w:r>
                        <w:r w:rsidRPr="00047731">
                          <w:rPr>
                            <w:i/>
                          </w:rPr>
                          <w:t>Services</w:t>
                        </w:r>
                        <w:r w:rsidRPr="00047731">
                          <w:t xml:space="preserve"> – manage efficient, cost-effective services to, and for, the government.</w:t>
                        </w:r>
                      </w:p>
                    </w:txbxContent>
                  </v:textbox>
                </v:shape>
                <v:shape id="Text Box 38" o:spid="_x0000_s1062" type="#_x0000_t202" style="position:absolute;left:1578;top:3738;width:20501;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14:paraId="7E506527" w14:textId="77777777" w:rsidR="00E70395" w:rsidRPr="0068762E" w:rsidRDefault="00E70395" w:rsidP="000A7DEC">
                        <w:pPr>
                          <w:pStyle w:val="TableText-Small"/>
                          <w:ind w:left="0"/>
                        </w:pPr>
                        <w:r w:rsidRPr="00877B45">
                          <w:rPr>
                            <w:b/>
                          </w:rPr>
                          <w:t>Program 1.1:</w:t>
                        </w:r>
                        <w:r w:rsidRPr="00877B45">
                          <w:t xml:space="preserve"> Budget and</w:t>
                        </w:r>
                        <w:r>
                          <w:br/>
                        </w:r>
                        <w:r w:rsidRPr="00877B45">
                          <w:t>Financial</w:t>
                        </w:r>
                        <w:r>
                          <w:t xml:space="preserve"> </w:t>
                        </w:r>
                        <w:r w:rsidRPr="00877B45">
                          <w:t>Management</w:t>
                        </w:r>
                      </w:p>
                    </w:txbxContent>
                  </v:textbox>
                </v:shape>
                <v:shape id="Text Box 39" o:spid="_x0000_s1063" type="#_x0000_t202" style="position:absolute;left:1578;top:14866;width:20498;height:5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kEvwAAANsAAAAPAAAAZHJzL2Rvd25yZXYueG1sRE9NawIx&#10;EL0X/A9hCr3VbC2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BpgukEvwAAANsAAAAPAAAAAAAA&#10;AAAAAAAAAAcCAABkcnMvZG93bnJldi54bWxQSwUGAAAAAAMAAwC3AAAA8wIAAAAA&#10;">
                  <v:textbox>
                    <w:txbxContent>
                      <w:p w14:paraId="1F6916A0" w14:textId="77777777" w:rsidR="00E70395" w:rsidRPr="00877B45" w:rsidRDefault="00E70395" w:rsidP="000A7DEC">
                        <w:pPr>
                          <w:pStyle w:val="TableText"/>
                        </w:pPr>
                        <w:r w:rsidRPr="00877B45">
                          <w:rPr>
                            <w:b/>
                          </w:rPr>
                          <w:t>Program 2.1:</w:t>
                        </w:r>
                        <w:r w:rsidRPr="00877B45">
                          <w:t xml:space="preserve"> Public Sector Governance</w:t>
                        </w:r>
                      </w:p>
                    </w:txbxContent>
                  </v:textbox>
                </v:shape>
                <v:shape id="AutoShape 40" o:spid="_x0000_s1064" type="#_x0000_t32" alt="Arrow from Program 2.1 Budget and Financial Management to Purpose: Budget and financial advice, management and reporting" style="position:absolute;left:22079;top:6212;width:4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group id="Group 41" o:spid="_x0000_s1065" alt="Arrow from Program 2.1 Public Sector Governance to Purpose: Governance and Purpose: Services" style="position:absolute;left:22079;top:13962;width:4286;height:7017" coordorigin="5685,4464" coordsize="675,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42" o:spid="_x0000_s1066" type="#_x0000_t34" style="position:absolute;left:6349;top:4464;width:11;height:115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" adj="707400">
                    <v:stroke startarrow="block" endarrow="block"/>
                  </v:shape>
                  <v:shape id="AutoShape 43" o:spid="_x0000_s1067" type="#_x0000_t32" style="position:absolute;left:5685;top:5049;width:31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10:wrap type="topAndBottom" anchorx="margin"/>
              </v:group>
            </w:pict>
          </mc:Fallback>
        </mc:AlternateContent>
      </w:r>
      <w:r w:rsidR="00FA0945" w:rsidRPr="000C5235">
        <w:t>How a program maps to purposes described in a corporate plan will depend on an entity’s specific circumstance. Programs may map to more than one purpose.</w:t>
      </w:r>
    </w:p>
    <w:p w14:paraId="450BE075" w14:textId="77777777" w:rsidR="00FA0945" w:rsidRPr="000C5235" w:rsidRDefault="00E02C97" w:rsidP="000A7DEC">
      <w:r w:rsidRPr="000C5235">
        <w:br/>
      </w:r>
      <w:r w:rsidR="0039310C" w:rsidRPr="000C5235">
        <w:t>If entities revise their purposes,</w:t>
      </w:r>
      <w:r w:rsidR="00FA0945" w:rsidRPr="000C5235">
        <w:t xml:space="preserve"> they should include a footnote indicating the purposes ha</w:t>
      </w:r>
      <w:r w:rsidR="00611E25" w:rsidRPr="000C5235">
        <w:t xml:space="preserve">ve been changed since their </w:t>
      </w:r>
      <w:r w:rsidR="000041E1" w:rsidRPr="000C5235">
        <w:t>2019-20</w:t>
      </w:r>
      <w:r w:rsidR="00FA0945" w:rsidRPr="000C5235">
        <w:t xml:space="preserve"> corporate plan was published, and the new purpos</w:t>
      </w:r>
      <w:r w:rsidR="00611E25" w:rsidRPr="000C5235">
        <w:t xml:space="preserve">es will be reflected in the </w:t>
      </w:r>
      <w:r w:rsidR="000A0A1E" w:rsidRPr="000C5235">
        <w:t>2020-21</w:t>
      </w:r>
      <w:r w:rsidR="00FA0945" w:rsidRPr="000C5235">
        <w:t xml:space="preserve"> corporate plan to be published by 31</w:t>
      </w:r>
      <w:r w:rsidR="003276FB" w:rsidRPr="000C5235">
        <w:t> </w:t>
      </w:r>
      <w:r w:rsidR="00FA0945" w:rsidRPr="000C5235">
        <w:t>August</w:t>
      </w:r>
      <w:r w:rsidR="003276FB" w:rsidRPr="000C5235">
        <w:t> </w:t>
      </w:r>
      <w:r w:rsidR="000A0A1E" w:rsidRPr="000C5235">
        <w:t>2020.</w:t>
      </w:r>
    </w:p>
    <w:p w14:paraId="73AEBD05" w14:textId="197FDF8D" w:rsidR="00CF269C" w:rsidRPr="000C5235" w:rsidRDefault="0039310C" w:rsidP="000A7DEC">
      <w:r w:rsidRPr="000C5235">
        <w:t>For further information on purposes, refer to</w:t>
      </w:r>
      <w:r w:rsidRPr="000C5235">
        <w:rPr>
          <w:i/>
        </w:rPr>
        <w:t xml:space="preserve"> RMG 132: Corporate plans for Commonwealth entities</w:t>
      </w:r>
      <w:r w:rsidRPr="000C5235">
        <w:t xml:space="preserve"> </w:t>
      </w:r>
      <w:hyperlink r:id="rId62" w:history="1">
        <w:r w:rsidR="00591FAF" w:rsidRPr="000C5235">
          <w:rPr>
            <w:rStyle w:val="Hyperlink"/>
          </w:rPr>
          <w:t>https://www.finance.gov.au/publications/resource-management-guides</w:t>
        </w:r>
      </w:hyperlink>
      <w:r w:rsidRPr="000C5235">
        <w:t>.</w:t>
      </w:r>
    </w:p>
    <w:p w14:paraId="119664D3" w14:textId="77777777" w:rsidR="00CF269C" w:rsidRPr="000C5235" w:rsidRDefault="00CF269C" w:rsidP="000A7DEC">
      <w:pPr>
        <w:pStyle w:val="Boxed2Text"/>
      </w:pPr>
      <w:r w:rsidRPr="000C5235">
        <w:t>Performance information should be presented clearly and consistently (and be reconcilable) between an entity’s PB Statements, corporate plan and annual report within a reporting cycle.</w:t>
      </w:r>
    </w:p>
    <w:p w14:paraId="51A6BDCE" w14:textId="77777777" w:rsidR="003276FB" w:rsidRPr="000C5235" w:rsidRDefault="00CF269C" w:rsidP="000A7DEC">
      <w:pPr>
        <w:pStyle w:val="Boxed2Text"/>
      </w:pPr>
      <w:r w:rsidRPr="000C5235">
        <w:t>A clear read across reporting documents allows performance information in different places—and different levels of granularity—to be combined to provide stakeholders a complete picture of an entity’s planned and actual performance.</w:t>
      </w:r>
    </w:p>
    <w:p w14:paraId="04CC68CC" w14:textId="77777777" w:rsidR="00ED598B" w:rsidRPr="000C5235" w:rsidRDefault="00FA0945" w:rsidP="000A7DEC">
      <w:r w:rsidRPr="000C5235">
        <w:t xml:space="preserve">Entities are reminded that there is an expectation that corporate plans </w:t>
      </w:r>
      <w:r w:rsidR="009B490C" w:rsidRPr="000C5235">
        <w:t>will be</w:t>
      </w:r>
      <w:r w:rsidRPr="000C5235">
        <w:t xml:space="preserve"> updated and published as soon as practical following any material changes that affect their purposes, how these purposes are fulfilled or the </w:t>
      </w:r>
      <w:r w:rsidR="009B490C" w:rsidRPr="000C5235">
        <w:t xml:space="preserve">operating context </w:t>
      </w:r>
      <w:r w:rsidRPr="000C5235">
        <w:t>in which the entity operates. Such material changes are likely to include any changes noted in PB Statements that create new programs or modify significant existing programs.</w:t>
      </w:r>
    </w:p>
    <w:p w14:paraId="30DD0F3C" w14:textId="77777777" w:rsidR="00ED598B" w:rsidRPr="000C5235" w:rsidRDefault="00ED598B">
      <w:pPr>
        <w:suppressAutoHyphens w:val="0"/>
        <w:spacing w:before="0" w:after="120" w:line="440" w:lineRule="atLeast"/>
      </w:pPr>
      <w:r w:rsidRPr="000C5235">
        <w:br w:type="page"/>
      </w:r>
    </w:p>
    <w:p w14:paraId="2B9E4252" w14:textId="77777777" w:rsidR="00FA0945" w:rsidRPr="000C5235" w:rsidRDefault="00FA0945" w:rsidP="000A7DEC">
      <w:pPr>
        <w:pStyle w:val="Heading1Numbered"/>
        <w:rPr>
          <w:rFonts w:ascii="Arial" w:eastAsia="Times New Roman" w:hAnsi="Arial"/>
          <w:spacing w:val="-6"/>
          <w:szCs w:val="34"/>
        </w:rPr>
      </w:pPr>
      <w:bookmarkStart w:id="550" w:name="_Toc47369902"/>
      <w:bookmarkStart w:id="551" w:name="_Toc534519177"/>
      <w:bookmarkStart w:id="552" w:name="_Toc534520087"/>
      <w:bookmarkStart w:id="553" w:name="_Toc534520357"/>
      <w:bookmarkStart w:id="554" w:name="_Toc534527569"/>
      <w:bookmarkStart w:id="555" w:name="_Toc534528299"/>
      <w:bookmarkStart w:id="556" w:name="_Toc534803520"/>
      <w:bookmarkStart w:id="557" w:name="_Toc534814211"/>
      <w:bookmarkStart w:id="558" w:name="_Toc536108584"/>
      <w:bookmarkStart w:id="559" w:name="_Toc534519178"/>
      <w:bookmarkStart w:id="560" w:name="_Toc534520088"/>
      <w:bookmarkStart w:id="561" w:name="_Toc534520358"/>
      <w:bookmarkStart w:id="562" w:name="_Toc534527570"/>
      <w:bookmarkStart w:id="563" w:name="_Toc534528300"/>
      <w:bookmarkStart w:id="564" w:name="_Toc534803521"/>
      <w:bookmarkStart w:id="565" w:name="_Toc534814212"/>
      <w:bookmarkStart w:id="566" w:name="_Toc536108585"/>
      <w:bookmarkStart w:id="567" w:name="_Toc29980701"/>
      <w:bookmarkStart w:id="568" w:name="_Toc30405589"/>
      <w:bookmarkStart w:id="569" w:name="_Toc30581330"/>
      <w:bookmarkStart w:id="570" w:name="_Toc32829992"/>
      <w:bookmarkStart w:id="571" w:name="_Toc32917499"/>
      <w:bookmarkStart w:id="572" w:name="_Toc32918305"/>
      <w:bookmarkStart w:id="573" w:name="_Toc32999688"/>
      <w:bookmarkStart w:id="574" w:name="_Toc33099412"/>
      <w:bookmarkStart w:id="575" w:name="_Toc33196037"/>
      <w:bookmarkStart w:id="576" w:name="_Toc33196339"/>
      <w:bookmarkStart w:id="577" w:name="_Toc29980702"/>
      <w:bookmarkStart w:id="578" w:name="_Toc30405590"/>
      <w:bookmarkStart w:id="579" w:name="_Toc30581331"/>
      <w:bookmarkStart w:id="580" w:name="_Toc32829993"/>
      <w:bookmarkStart w:id="581" w:name="_Toc32917500"/>
      <w:bookmarkStart w:id="582" w:name="_Toc32918306"/>
      <w:bookmarkStart w:id="583" w:name="_Toc32999689"/>
      <w:bookmarkStart w:id="584" w:name="_Toc33099413"/>
      <w:bookmarkStart w:id="585" w:name="_Toc33196038"/>
      <w:bookmarkStart w:id="586" w:name="_Toc33196340"/>
      <w:bookmarkStart w:id="587" w:name="_Toc29980703"/>
      <w:bookmarkStart w:id="588" w:name="_Toc30405591"/>
      <w:bookmarkStart w:id="589" w:name="_Toc30581332"/>
      <w:bookmarkStart w:id="590" w:name="_Toc32829994"/>
      <w:bookmarkStart w:id="591" w:name="_Toc32917501"/>
      <w:bookmarkStart w:id="592" w:name="_Toc32918307"/>
      <w:bookmarkStart w:id="593" w:name="_Toc32999690"/>
      <w:bookmarkStart w:id="594" w:name="_Toc33099414"/>
      <w:bookmarkStart w:id="595" w:name="_Toc33196039"/>
      <w:bookmarkStart w:id="596" w:name="_Toc33196341"/>
      <w:bookmarkStart w:id="597" w:name="_Toc29980704"/>
      <w:bookmarkStart w:id="598" w:name="_Toc30405592"/>
      <w:bookmarkStart w:id="599" w:name="_Toc30581333"/>
      <w:bookmarkStart w:id="600" w:name="_Toc32829995"/>
      <w:bookmarkStart w:id="601" w:name="_Toc32917502"/>
      <w:bookmarkStart w:id="602" w:name="_Toc32918308"/>
      <w:bookmarkStart w:id="603" w:name="_Toc32999691"/>
      <w:bookmarkStart w:id="604" w:name="_Toc33099415"/>
      <w:bookmarkStart w:id="605" w:name="_Toc33196040"/>
      <w:bookmarkStart w:id="606" w:name="_Toc33196342"/>
      <w:bookmarkStart w:id="607" w:name="_Toc29980705"/>
      <w:bookmarkStart w:id="608" w:name="_Toc30405593"/>
      <w:bookmarkStart w:id="609" w:name="_Toc30581334"/>
      <w:bookmarkStart w:id="610" w:name="_Toc32829996"/>
      <w:bookmarkStart w:id="611" w:name="_Toc32917503"/>
      <w:bookmarkStart w:id="612" w:name="_Toc32918309"/>
      <w:bookmarkStart w:id="613" w:name="_Toc32999692"/>
      <w:bookmarkStart w:id="614" w:name="_Toc33099416"/>
      <w:bookmarkStart w:id="615" w:name="_Toc33196041"/>
      <w:bookmarkStart w:id="616" w:name="_Toc33196343"/>
      <w:bookmarkStart w:id="617" w:name="_Toc29980706"/>
      <w:bookmarkStart w:id="618" w:name="_Toc30405594"/>
      <w:bookmarkStart w:id="619" w:name="_Toc30581335"/>
      <w:bookmarkStart w:id="620" w:name="_Toc32829997"/>
      <w:bookmarkStart w:id="621" w:name="_Toc32917504"/>
      <w:bookmarkStart w:id="622" w:name="_Toc32918310"/>
      <w:bookmarkStart w:id="623" w:name="_Toc32999693"/>
      <w:bookmarkStart w:id="624" w:name="_Toc33099417"/>
      <w:bookmarkStart w:id="625" w:name="_Toc33196042"/>
      <w:bookmarkStart w:id="626" w:name="_Toc33196344"/>
      <w:bookmarkStart w:id="627" w:name="_Toc29980707"/>
      <w:bookmarkStart w:id="628" w:name="_Toc30405595"/>
      <w:bookmarkStart w:id="629" w:name="_Toc30581336"/>
      <w:bookmarkStart w:id="630" w:name="_Toc32829998"/>
      <w:bookmarkStart w:id="631" w:name="_Toc32917505"/>
      <w:bookmarkStart w:id="632" w:name="_Toc32918311"/>
      <w:bookmarkStart w:id="633" w:name="_Toc32999694"/>
      <w:bookmarkStart w:id="634" w:name="_Toc33099418"/>
      <w:bookmarkStart w:id="635" w:name="_Toc33196043"/>
      <w:bookmarkStart w:id="636" w:name="_Toc33196345"/>
      <w:bookmarkStart w:id="637" w:name="_Toc29980708"/>
      <w:bookmarkStart w:id="638" w:name="_Toc30405596"/>
      <w:bookmarkStart w:id="639" w:name="_Toc30581337"/>
      <w:bookmarkStart w:id="640" w:name="_Toc32829999"/>
      <w:bookmarkStart w:id="641" w:name="_Toc32917506"/>
      <w:bookmarkStart w:id="642" w:name="_Toc32918312"/>
      <w:bookmarkStart w:id="643" w:name="_Toc32999695"/>
      <w:bookmarkStart w:id="644" w:name="_Toc33099419"/>
      <w:bookmarkStart w:id="645" w:name="_Toc33196044"/>
      <w:bookmarkStart w:id="646" w:name="_Toc33196346"/>
      <w:bookmarkStart w:id="647" w:name="_Toc29980709"/>
      <w:bookmarkStart w:id="648" w:name="_Toc30405597"/>
      <w:bookmarkStart w:id="649" w:name="_Toc30581338"/>
      <w:bookmarkStart w:id="650" w:name="_Toc32830000"/>
      <w:bookmarkStart w:id="651" w:name="_Toc32917507"/>
      <w:bookmarkStart w:id="652" w:name="_Toc32918313"/>
      <w:bookmarkStart w:id="653" w:name="_Toc32999696"/>
      <w:bookmarkStart w:id="654" w:name="_Toc33099420"/>
      <w:bookmarkStart w:id="655" w:name="_Toc33196045"/>
      <w:bookmarkStart w:id="656" w:name="_Toc33196347"/>
      <w:bookmarkStart w:id="657" w:name="_Toc29980710"/>
      <w:bookmarkStart w:id="658" w:name="_Toc30405598"/>
      <w:bookmarkStart w:id="659" w:name="_Toc30581339"/>
      <w:bookmarkStart w:id="660" w:name="_Toc32830001"/>
      <w:bookmarkStart w:id="661" w:name="_Toc32917508"/>
      <w:bookmarkStart w:id="662" w:name="_Toc32918314"/>
      <w:bookmarkStart w:id="663" w:name="_Toc32999697"/>
      <w:bookmarkStart w:id="664" w:name="_Toc33099421"/>
      <w:bookmarkStart w:id="665" w:name="_Toc33196046"/>
      <w:bookmarkStart w:id="666" w:name="_Toc33196348"/>
      <w:bookmarkStart w:id="667" w:name="_Toc29980711"/>
      <w:bookmarkStart w:id="668" w:name="_Toc30405599"/>
      <w:bookmarkStart w:id="669" w:name="_Toc30581340"/>
      <w:bookmarkStart w:id="670" w:name="_Toc32830002"/>
      <w:bookmarkStart w:id="671" w:name="_Toc32917509"/>
      <w:bookmarkStart w:id="672" w:name="_Toc32918315"/>
      <w:bookmarkStart w:id="673" w:name="_Toc32999698"/>
      <w:bookmarkStart w:id="674" w:name="_Toc33099422"/>
      <w:bookmarkStart w:id="675" w:name="_Toc33196047"/>
      <w:bookmarkStart w:id="676" w:name="_Toc33196349"/>
      <w:bookmarkStart w:id="677" w:name="_Toc29980712"/>
      <w:bookmarkStart w:id="678" w:name="_Toc30405600"/>
      <w:bookmarkStart w:id="679" w:name="_Toc30581341"/>
      <w:bookmarkStart w:id="680" w:name="_Toc32830003"/>
      <w:bookmarkStart w:id="681" w:name="_Toc32917510"/>
      <w:bookmarkStart w:id="682" w:name="_Toc32918316"/>
      <w:bookmarkStart w:id="683" w:name="_Toc32999699"/>
      <w:bookmarkStart w:id="684" w:name="_Toc33099423"/>
      <w:bookmarkStart w:id="685" w:name="_Toc33196048"/>
      <w:bookmarkStart w:id="686" w:name="_Toc33196350"/>
      <w:bookmarkStart w:id="687" w:name="_Toc29980713"/>
      <w:bookmarkStart w:id="688" w:name="_Toc30405601"/>
      <w:bookmarkStart w:id="689" w:name="_Toc30581342"/>
      <w:bookmarkStart w:id="690" w:name="_Toc32830004"/>
      <w:bookmarkStart w:id="691" w:name="_Toc32917511"/>
      <w:bookmarkStart w:id="692" w:name="_Toc32918317"/>
      <w:bookmarkStart w:id="693" w:name="_Toc32999700"/>
      <w:bookmarkStart w:id="694" w:name="_Toc33099424"/>
      <w:bookmarkStart w:id="695" w:name="_Toc33196049"/>
      <w:bookmarkStart w:id="696" w:name="_Toc33196351"/>
      <w:bookmarkStart w:id="697" w:name="_Toc29980714"/>
      <w:bookmarkStart w:id="698" w:name="_Toc30405602"/>
      <w:bookmarkStart w:id="699" w:name="_Toc30581343"/>
      <w:bookmarkStart w:id="700" w:name="_Toc32830005"/>
      <w:bookmarkStart w:id="701" w:name="_Toc32917512"/>
      <w:bookmarkStart w:id="702" w:name="_Toc32918318"/>
      <w:bookmarkStart w:id="703" w:name="_Toc32999701"/>
      <w:bookmarkStart w:id="704" w:name="_Toc33099425"/>
      <w:bookmarkStart w:id="705" w:name="_Toc33196050"/>
      <w:bookmarkStart w:id="706" w:name="_Toc33196352"/>
      <w:bookmarkStart w:id="707" w:name="_Toc29980715"/>
      <w:bookmarkStart w:id="708" w:name="_Toc30405603"/>
      <w:bookmarkStart w:id="709" w:name="_Toc30581344"/>
      <w:bookmarkStart w:id="710" w:name="_Toc32830006"/>
      <w:bookmarkStart w:id="711" w:name="_Toc32917513"/>
      <w:bookmarkStart w:id="712" w:name="_Toc32918319"/>
      <w:bookmarkStart w:id="713" w:name="_Toc32999702"/>
      <w:bookmarkStart w:id="714" w:name="_Toc33099426"/>
      <w:bookmarkStart w:id="715" w:name="_Toc33196051"/>
      <w:bookmarkStart w:id="716" w:name="_Toc33196353"/>
      <w:bookmarkStart w:id="717" w:name="_Toc29980716"/>
      <w:bookmarkStart w:id="718" w:name="_Toc30405604"/>
      <w:bookmarkStart w:id="719" w:name="_Toc30581345"/>
      <w:bookmarkStart w:id="720" w:name="_Toc32830007"/>
      <w:bookmarkStart w:id="721" w:name="_Toc32917514"/>
      <w:bookmarkStart w:id="722" w:name="_Toc32918320"/>
      <w:bookmarkStart w:id="723" w:name="_Toc32999703"/>
      <w:bookmarkStart w:id="724" w:name="_Toc33099427"/>
      <w:bookmarkStart w:id="725" w:name="_Toc33196052"/>
      <w:bookmarkStart w:id="726" w:name="_Toc33196354"/>
      <w:bookmarkStart w:id="727" w:name="_Toc29980717"/>
      <w:bookmarkStart w:id="728" w:name="_Toc30405605"/>
      <w:bookmarkStart w:id="729" w:name="_Toc30581346"/>
      <w:bookmarkStart w:id="730" w:name="_Toc32830008"/>
      <w:bookmarkStart w:id="731" w:name="_Toc32917515"/>
      <w:bookmarkStart w:id="732" w:name="_Toc32918321"/>
      <w:bookmarkStart w:id="733" w:name="_Toc32999704"/>
      <w:bookmarkStart w:id="734" w:name="_Toc33099428"/>
      <w:bookmarkStart w:id="735" w:name="_Toc33196053"/>
      <w:bookmarkStart w:id="736" w:name="_Toc33196355"/>
      <w:bookmarkStart w:id="737" w:name="_Toc29980718"/>
      <w:bookmarkStart w:id="738" w:name="_Toc30405606"/>
      <w:bookmarkStart w:id="739" w:name="_Toc30581347"/>
      <w:bookmarkStart w:id="740" w:name="_Toc32830009"/>
      <w:bookmarkStart w:id="741" w:name="_Toc32917516"/>
      <w:bookmarkStart w:id="742" w:name="_Toc32918322"/>
      <w:bookmarkStart w:id="743" w:name="_Toc32999705"/>
      <w:bookmarkStart w:id="744" w:name="_Toc33099429"/>
      <w:bookmarkStart w:id="745" w:name="_Toc33196054"/>
      <w:bookmarkStart w:id="746" w:name="_Toc33196356"/>
      <w:bookmarkStart w:id="747" w:name="_Toc29980719"/>
      <w:bookmarkStart w:id="748" w:name="_Toc30405607"/>
      <w:bookmarkStart w:id="749" w:name="_Toc30581348"/>
      <w:bookmarkStart w:id="750" w:name="_Toc32830010"/>
      <w:bookmarkStart w:id="751" w:name="_Toc32917517"/>
      <w:bookmarkStart w:id="752" w:name="_Toc32918323"/>
      <w:bookmarkStart w:id="753" w:name="_Toc32999706"/>
      <w:bookmarkStart w:id="754" w:name="_Toc33099430"/>
      <w:bookmarkStart w:id="755" w:name="_Toc33196055"/>
      <w:bookmarkStart w:id="756" w:name="_Toc33196357"/>
      <w:bookmarkStart w:id="757" w:name="_Toc29980720"/>
      <w:bookmarkStart w:id="758" w:name="_Toc30405608"/>
      <w:bookmarkStart w:id="759" w:name="_Toc30581349"/>
      <w:bookmarkStart w:id="760" w:name="_Toc32830011"/>
      <w:bookmarkStart w:id="761" w:name="_Toc32917518"/>
      <w:bookmarkStart w:id="762" w:name="_Toc32918324"/>
      <w:bookmarkStart w:id="763" w:name="_Toc32999707"/>
      <w:bookmarkStart w:id="764" w:name="_Toc33099431"/>
      <w:bookmarkStart w:id="765" w:name="_Toc33196056"/>
      <w:bookmarkStart w:id="766" w:name="_Toc33196358"/>
      <w:bookmarkStart w:id="767" w:name="_Toc29980721"/>
      <w:bookmarkStart w:id="768" w:name="_Toc30405609"/>
      <w:bookmarkStart w:id="769" w:name="_Toc30581350"/>
      <w:bookmarkStart w:id="770" w:name="_Toc32830012"/>
      <w:bookmarkStart w:id="771" w:name="_Toc32917519"/>
      <w:bookmarkStart w:id="772" w:name="_Toc32918325"/>
      <w:bookmarkStart w:id="773" w:name="_Toc32999708"/>
      <w:bookmarkStart w:id="774" w:name="_Toc33099432"/>
      <w:bookmarkStart w:id="775" w:name="_Toc33196057"/>
      <w:bookmarkStart w:id="776" w:name="_Toc33196359"/>
      <w:bookmarkStart w:id="777" w:name="_Toc29980722"/>
      <w:bookmarkStart w:id="778" w:name="_Toc30405610"/>
      <w:bookmarkStart w:id="779" w:name="_Toc30581351"/>
      <w:bookmarkStart w:id="780" w:name="_Toc32830013"/>
      <w:bookmarkStart w:id="781" w:name="_Toc32917520"/>
      <w:bookmarkStart w:id="782" w:name="_Toc32918326"/>
      <w:bookmarkStart w:id="783" w:name="_Toc32999709"/>
      <w:bookmarkStart w:id="784" w:name="_Toc33099433"/>
      <w:bookmarkStart w:id="785" w:name="_Toc33196058"/>
      <w:bookmarkStart w:id="786" w:name="_Toc33196360"/>
      <w:bookmarkStart w:id="787" w:name="_Toc29980723"/>
      <w:bookmarkStart w:id="788" w:name="_Toc30405611"/>
      <w:bookmarkStart w:id="789" w:name="_Toc30581352"/>
      <w:bookmarkStart w:id="790" w:name="_Toc32830014"/>
      <w:bookmarkStart w:id="791" w:name="_Toc32917521"/>
      <w:bookmarkStart w:id="792" w:name="_Toc32918327"/>
      <w:bookmarkStart w:id="793" w:name="_Toc32999710"/>
      <w:bookmarkStart w:id="794" w:name="_Toc33099434"/>
      <w:bookmarkStart w:id="795" w:name="_Toc33196059"/>
      <w:bookmarkStart w:id="796" w:name="_Toc33196361"/>
      <w:bookmarkStart w:id="797" w:name="_Toc29980724"/>
      <w:bookmarkStart w:id="798" w:name="_Toc30405612"/>
      <w:bookmarkStart w:id="799" w:name="_Toc30581353"/>
      <w:bookmarkStart w:id="800" w:name="_Toc32830015"/>
      <w:bookmarkStart w:id="801" w:name="_Toc32917522"/>
      <w:bookmarkStart w:id="802" w:name="_Toc32918328"/>
      <w:bookmarkStart w:id="803" w:name="_Toc32999711"/>
      <w:bookmarkStart w:id="804" w:name="_Toc33099435"/>
      <w:bookmarkStart w:id="805" w:name="_Toc33196060"/>
      <w:bookmarkStart w:id="806" w:name="_Toc33196362"/>
      <w:bookmarkStart w:id="807" w:name="_Toc534458894"/>
      <w:bookmarkStart w:id="808" w:name="_Toc534459683"/>
      <w:bookmarkStart w:id="809" w:name="_Toc534519180"/>
      <w:bookmarkStart w:id="810" w:name="_Toc534520090"/>
      <w:bookmarkStart w:id="811" w:name="_Toc534520360"/>
      <w:bookmarkStart w:id="812" w:name="_Toc534527572"/>
      <w:bookmarkStart w:id="813" w:name="_Toc534528302"/>
      <w:bookmarkStart w:id="814" w:name="_Toc534803523"/>
      <w:bookmarkStart w:id="815" w:name="_Toc534814214"/>
      <w:bookmarkStart w:id="816" w:name="_Toc536108587"/>
      <w:bookmarkStart w:id="817" w:name="_Toc536802132"/>
      <w:bookmarkStart w:id="818" w:name="_Toc422731"/>
      <w:bookmarkStart w:id="819" w:name="_Toc411852692"/>
      <w:bookmarkStart w:id="820" w:name="_Toc534382573"/>
      <w:bookmarkStart w:id="821" w:name="_Toc53564768"/>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0C5235">
        <w:rPr>
          <w:rFonts w:eastAsia="Times New Roman"/>
        </w:rPr>
        <w:t>Budgeted financial statements</w:t>
      </w:r>
      <w:bookmarkEnd w:id="819"/>
      <w:bookmarkEnd w:id="820"/>
      <w:bookmarkEnd w:id="821"/>
    </w:p>
    <w:p w14:paraId="71630F3D" w14:textId="77777777" w:rsidR="00DF675F" w:rsidRPr="000C5235" w:rsidRDefault="00FA0945" w:rsidP="000A7DEC">
      <w:r w:rsidRPr="000C5235">
        <w:t>The budgeted financial statements section of the PB Statements provides readers with financial information about the entity’s operations over the budget and three forward years. They also include estimated actual information for the current financial year.</w:t>
      </w:r>
    </w:p>
    <w:p w14:paraId="004C93FF" w14:textId="77777777" w:rsidR="006541D7" w:rsidRPr="000C5235" w:rsidRDefault="006541D7" w:rsidP="006541D7">
      <w:r w:rsidRPr="000C5235">
        <w:t>Section 3 also provides a linkage between an entity’s forecast resources and its forecast expenditure in achieving its outcomes.</w:t>
      </w:r>
    </w:p>
    <w:p w14:paraId="14D6426E" w14:textId="77777777" w:rsidR="006541D7" w:rsidRPr="000C5235" w:rsidRDefault="006541D7" w:rsidP="006541D7">
      <w:r w:rsidRPr="000C5235">
        <w:t>Readers are also able to compare information in the Budgeted financial statements to the financial statements published in an entity’s annual report to form a view on the financial performance of the entity.</w:t>
      </w:r>
    </w:p>
    <w:p w14:paraId="7ABF308E" w14:textId="77777777" w:rsidR="00FA0945" w:rsidRPr="000C5235" w:rsidRDefault="00FA0945" w:rsidP="000A7DEC">
      <w:r w:rsidRPr="000C5235">
        <w:t xml:space="preserve">Entities should, to the extent that it is possible in an estimates context, be consistent in preparing their budgeted financial statements, applying the same accounting assumptions and processes that they used at Budget and expect to use in preparing the financial statements to be included in the </w:t>
      </w:r>
      <w:r w:rsidR="004D3574" w:rsidRPr="000C5235">
        <w:t>2020-21</w:t>
      </w:r>
      <w:r w:rsidRPr="000C5235">
        <w:t xml:space="preserve"> Annual Report.</w:t>
      </w:r>
    </w:p>
    <w:p w14:paraId="13B6A172" w14:textId="59AFD826" w:rsidR="00FA0945" w:rsidRPr="000C5235" w:rsidRDefault="00FA0945" w:rsidP="000A7DEC">
      <w:r w:rsidRPr="000C5235">
        <w:t xml:space="preserve">Entities are to refer to, and follow the Public Governance, Performance and Accountability (Financial Reporting) Rule 2015, the </w:t>
      </w:r>
      <w:r w:rsidR="004D3574" w:rsidRPr="000C5235">
        <w:rPr>
          <w:i/>
        </w:rPr>
        <w:t xml:space="preserve">RMG 125 </w:t>
      </w:r>
      <w:r w:rsidRPr="000C5235">
        <w:rPr>
          <w:i/>
        </w:rPr>
        <w:t>Commonwealth Entities Financial Statement</w:t>
      </w:r>
      <w:r w:rsidR="004D3574" w:rsidRPr="000C5235">
        <w:rPr>
          <w:i/>
        </w:rPr>
        <w:t>s</w:t>
      </w:r>
      <w:r w:rsidRPr="000C5235">
        <w:rPr>
          <w:i/>
        </w:rPr>
        <w:t xml:space="preserve"> Guide</w:t>
      </w:r>
      <w:r w:rsidRPr="000C5235">
        <w:t xml:space="preserve"> and the </w:t>
      </w:r>
      <w:r w:rsidR="00BC0625" w:rsidRPr="000C5235">
        <w:rPr>
          <w:i/>
        </w:rPr>
        <w:t>Primary Reporting and Information Management Aid (</w:t>
      </w:r>
      <w:r w:rsidRPr="000C5235">
        <w:rPr>
          <w:i/>
        </w:rPr>
        <w:t>PRIMA</w:t>
      </w:r>
      <w:r w:rsidR="00BC0625" w:rsidRPr="000C5235">
        <w:rPr>
          <w:i/>
        </w:rPr>
        <w:t>)</w:t>
      </w:r>
      <w:r w:rsidRPr="000C5235">
        <w:t xml:space="preserve"> Forms of Financial Statements when preparing their budgeted financial statements. These documents are available at</w:t>
      </w:r>
      <w:r w:rsidR="004D3574" w:rsidRPr="000C5235">
        <w:t xml:space="preserve">: </w:t>
      </w:r>
      <w:hyperlink r:id="rId63" w:history="1">
        <w:r w:rsidR="005C3ABA" w:rsidRPr="000C5235">
          <w:rPr>
            <w:rStyle w:val="Hyperlink"/>
            <w:rFonts w:asciiTheme="minorHAnsi" w:hAnsiTheme="minorHAnsi" w:cstheme="minorBidi"/>
          </w:rPr>
          <w:t>www.finance.gov.au/government/financial-reporting-accounting-policy/financial-reporting-commonwealth-entities</w:t>
        </w:r>
      </w:hyperlink>
    </w:p>
    <w:p w14:paraId="605C40A5" w14:textId="77777777" w:rsidR="00FA0945" w:rsidRPr="000C5235" w:rsidRDefault="00823B27" w:rsidP="000A7DEC">
      <w:pPr>
        <w:pStyle w:val="NormalTextRed"/>
      </w:pPr>
      <w:r w:rsidRPr="000C5235">
        <w:t>N</w:t>
      </w:r>
      <w:r w:rsidR="00FA0945" w:rsidRPr="000C5235">
        <w:t>ote:</w:t>
      </w:r>
      <w:r w:rsidR="00C87A78" w:rsidRPr="000C5235">
        <w:t xml:space="preserve"> </w:t>
      </w:r>
      <w:r w:rsidR="00FA0945" w:rsidRPr="000C5235">
        <w:t>For administered financial statements, entities should not report an administered appropriation receivable balance. This is consistent with Division 4 of the Financial Reporting Rule available in the link above.</w:t>
      </w:r>
    </w:p>
    <w:p w14:paraId="4E28D68D" w14:textId="77777777" w:rsidR="00FA0945" w:rsidRPr="000C5235" w:rsidRDefault="00FA0945" w:rsidP="000A7DEC">
      <w:r w:rsidRPr="000C5235">
        <w:t>Information in the budgeted financial statements must be sourced from CBMS, with the exception of the Impact of Net Cash Appropriation Arrangements note in Table 3.1 and the certain sections of the Capital Budget Statement (Table 3.5 and 3.10) and Asset Movement Table (Table 3.6 and 3.11).</w:t>
      </w:r>
    </w:p>
    <w:p w14:paraId="0FBBCC8C" w14:textId="19AA8BA9" w:rsidR="00FF5B29" w:rsidRPr="000C5235" w:rsidRDefault="00014DCE" w:rsidP="00DB312F">
      <w:pPr>
        <w:pStyle w:val="Boxed2Text"/>
      </w:pPr>
      <w:r w:rsidRPr="000C5235">
        <w:t>W</w:t>
      </w:r>
      <w:r w:rsidR="00FF5B29" w:rsidRPr="000C5235">
        <w:t xml:space="preserve">here applicable, Appropriation Bills 5 and 6 </w:t>
      </w:r>
      <w:r w:rsidR="00301442" w:rsidRPr="000C5235">
        <w:t xml:space="preserve">will be included in the data extracted from CBMS.  </w:t>
      </w:r>
      <w:r w:rsidR="00FC4C9C" w:rsidRPr="000C5235">
        <w:t xml:space="preserve">When the </w:t>
      </w:r>
      <w:r w:rsidR="005A0C9C" w:rsidRPr="000C5235">
        <w:t xml:space="preserve">Appropriation Bills 5 &amp; 6 </w:t>
      </w:r>
      <w:r w:rsidR="00301442" w:rsidRPr="000C5235">
        <w:t>are produced, the financial impacts of these statements are reflected in the PB</w:t>
      </w:r>
      <w:r w:rsidR="00CD3E53" w:rsidRPr="000C5235">
        <w:t> </w:t>
      </w:r>
      <w:r w:rsidR="00301442" w:rsidRPr="000C5235">
        <w:t>S</w:t>
      </w:r>
      <w:r w:rsidR="00CD3E53" w:rsidRPr="000C5235">
        <w:t>tatements</w:t>
      </w:r>
      <w:r w:rsidR="00301442" w:rsidRPr="000C5235">
        <w:t>.</w:t>
      </w:r>
    </w:p>
    <w:p w14:paraId="32A2CADC" w14:textId="77777777" w:rsidR="000069A6" w:rsidRPr="000C5235" w:rsidRDefault="000069A6">
      <w:pPr>
        <w:suppressAutoHyphens w:val="0"/>
        <w:spacing w:before="0" w:after="120" w:line="440" w:lineRule="atLeast"/>
        <w:rPr>
          <w:rFonts w:asciiTheme="majorHAnsi" w:eastAsiaTheme="majorEastAsia" w:hAnsiTheme="majorHAnsi" w:cstheme="majorBidi"/>
          <w:bCs/>
          <w:color w:val="1C1C1C" w:themeColor="text2"/>
          <w:sz w:val="34"/>
          <w:szCs w:val="26"/>
        </w:rPr>
      </w:pPr>
      <w:r w:rsidRPr="000C5235">
        <w:br w:type="page"/>
      </w:r>
    </w:p>
    <w:p w14:paraId="2A4D3603" w14:textId="77777777" w:rsidR="006541D7" w:rsidRPr="000C5235" w:rsidRDefault="006541D7" w:rsidP="000A7DEC">
      <w:pPr>
        <w:pStyle w:val="Heading2Numbered"/>
      </w:pPr>
      <w:bookmarkStart w:id="822" w:name="_Toc53564769"/>
      <w:r w:rsidRPr="000C5235">
        <w:t xml:space="preserve">Tables </w:t>
      </w:r>
      <w:r w:rsidR="000069A6" w:rsidRPr="000C5235">
        <w:t>c</w:t>
      </w:r>
      <w:r w:rsidRPr="000C5235">
        <w:t xml:space="preserve">onstituting the </w:t>
      </w:r>
      <w:r w:rsidR="000069A6" w:rsidRPr="000C5235">
        <w:t>b</w:t>
      </w:r>
      <w:r w:rsidRPr="000C5235">
        <w:t xml:space="preserve">udgeted </w:t>
      </w:r>
      <w:r w:rsidR="000069A6" w:rsidRPr="000C5235">
        <w:t>f</w:t>
      </w:r>
      <w:r w:rsidRPr="000C5235">
        <w:t>inancial Statements</w:t>
      </w:r>
      <w:bookmarkEnd w:id="822"/>
    </w:p>
    <w:p w14:paraId="6F1DCDA1" w14:textId="77777777" w:rsidR="006541D7" w:rsidRPr="000C5235" w:rsidRDefault="006541D7" w:rsidP="000A7DEC">
      <w:r w:rsidRPr="000C5235">
        <w:t>The following tables form part of the budgeted financial statements for both Departmental and Administered appropriations.</w:t>
      </w:r>
    </w:p>
    <w:p w14:paraId="656690B2" w14:textId="77777777" w:rsidR="006541D7" w:rsidRPr="000C5235" w:rsidRDefault="006541D7" w:rsidP="006541D7">
      <w:pPr>
        <w:rPr>
          <w:u w:val="single"/>
        </w:rPr>
      </w:pPr>
      <w:r w:rsidRPr="000C5235">
        <w:rPr>
          <w:u w:val="single"/>
        </w:rPr>
        <w:t>Departmental</w:t>
      </w:r>
    </w:p>
    <w:p w14:paraId="2AC9FC91" w14:textId="77777777" w:rsidR="006541D7" w:rsidRPr="000C5235" w:rsidRDefault="006541D7">
      <w:pPr>
        <w:pStyle w:val="Bullet1"/>
      </w:pPr>
      <w:r w:rsidRPr="000C5235">
        <w:t>Table 3.1: Comprehensive income statement (showing Net Cost of Services) for the period ended 30 June</w:t>
      </w:r>
    </w:p>
    <w:p w14:paraId="21EB22D7" w14:textId="77777777" w:rsidR="006541D7" w:rsidRPr="000C5235" w:rsidRDefault="006541D7">
      <w:pPr>
        <w:pStyle w:val="Bullet1"/>
      </w:pPr>
      <w:r w:rsidRPr="000C5235">
        <w:t>Table 3.2: Budgeted departmental balance sheet (as at 30 June)</w:t>
      </w:r>
    </w:p>
    <w:p w14:paraId="54A4559D" w14:textId="77777777" w:rsidR="006541D7" w:rsidRPr="000C5235" w:rsidRDefault="006541D7">
      <w:pPr>
        <w:pStyle w:val="Bullet1"/>
      </w:pPr>
      <w:r w:rsidRPr="000C5235">
        <w:t>Table 3.3: Departmental statement of changes in equity – summary of movement (Budget year 2020-21)</w:t>
      </w:r>
    </w:p>
    <w:p w14:paraId="3F755B20" w14:textId="77777777" w:rsidR="006541D7" w:rsidRPr="000C5235" w:rsidRDefault="006541D7">
      <w:pPr>
        <w:pStyle w:val="Bullet1"/>
      </w:pPr>
      <w:r w:rsidRPr="000C5235">
        <w:t>Table 3.4: Budgeted departmental statement of cash flows (for the period ended 30</w:t>
      </w:r>
      <w:r w:rsidR="00A667A6" w:rsidRPr="000C5235">
        <w:t> </w:t>
      </w:r>
      <w:r w:rsidRPr="000C5235">
        <w:t>June)</w:t>
      </w:r>
    </w:p>
    <w:p w14:paraId="1435B478" w14:textId="77777777" w:rsidR="006541D7" w:rsidRPr="000C5235" w:rsidRDefault="006541D7">
      <w:pPr>
        <w:pStyle w:val="Bullet1"/>
      </w:pPr>
      <w:r w:rsidRPr="000C5235">
        <w:t>Table 3.5: Departmental capital budget statement (for the period ended 30 June)</w:t>
      </w:r>
    </w:p>
    <w:p w14:paraId="6B590AE6" w14:textId="77777777" w:rsidR="006541D7" w:rsidRPr="000C5235" w:rsidRDefault="006541D7">
      <w:pPr>
        <w:pStyle w:val="Bullet1"/>
      </w:pPr>
      <w:r w:rsidRPr="000C5235">
        <w:t>Table 3.6: Statement of asset movements (2020-21)</w:t>
      </w:r>
    </w:p>
    <w:p w14:paraId="5204194F" w14:textId="77777777" w:rsidR="006541D7" w:rsidRPr="000C5235" w:rsidRDefault="006541D7" w:rsidP="006541D7">
      <w:pPr>
        <w:rPr>
          <w:u w:val="single"/>
        </w:rPr>
      </w:pPr>
      <w:r w:rsidRPr="000C5235">
        <w:rPr>
          <w:u w:val="single"/>
        </w:rPr>
        <w:t>Administered (where applicable):</w:t>
      </w:r>
    </w:p>
    <w:p w14:paraId="024BBA01" w14:textId="77777777" w:rsidR="006541D7" w:rsidRPr="000C5235" w:rsidRDefault="006541D7">
      <w:pPr>
        <w:pStyle w:val="Bullet1"/>
      </w:pPr>
      <w:r w:rsidRPr="000C5235">
        <w:t>Table 3.7: Schedule of Budgeted income and expenses administered on behalf of Government (for the period ended 30 June)</w:t>
      </w:r>
    </w:p>
    <w:p w14:paraId="2E2B64B9" w14:textId="77777777" w:rsidR="006541D7" w:rsidRPr="000C5235" w:rsidRDefault="006541D7">
      <w:pPr>
        <w:pStyle w:val="Bullet1"/>
      </w:pPr>
      <w:r w:rsidRPr="000C5235">
        <w:t>Table 3.8: Schedule of budgeted assets and liabilities administered on behalf of Government (as at 30 June)</w:t>
      </w:r>
    </w:p>
    <w:p w14:paraId="51C3D511" w14:textId="77777777" w:rsidR="006541D7" w:rsidRPr="000C5235" w:rsidRDefault="006541D7">
      <w:pPr>
        <w:pStyle w:val="Bullet1"/>
      </w:pPr>
      <w:r w:rsidRPr="000C5235">
        <w:t>Table 3.9: Schedule of budgeted administered cash flows (for the period ended 30 June)</w:t>
      </w:r>
    </w:p>
    <w:p w14:paraId="60D1BF12" w14:textId="77777777" w:rsidR="006541D7" w:rsidRPr="000C5235" w:rsidRDefault="006541D7">
      <w:pPr>
        <w:pStyle w:val="Bullet1"/>
      </w:pPr>
      <w:r w:rsidRPr="000C5235">
        <w:t>Table 3.10: Schedule of administered capital budget statement (for the period ended 30 June)</w:t>
      </w:r>
    </w:p>
    <w:p w14:paraId="699C03D5" w14:textId="77777777" w:rsidR="006541D7" w:rsidRPr="000C5235" w:rsidRDefault="006541D7" w:rsidP="000A7DEC">
      <w:pPr>
        <w:pStyle w:val="Bullet1"/>
      </w:pPr>
      <w:r w:rsidRPr="000C5235">
        <w:t>Table 3.11: Statement of administered asset movements (2020-21)</w:t>
      </w:r>
    </w:p>
    <w:p w14:paraId="214BEA9B" w14:textId="77777777" w:rsidR="00FA0945" w:rsidRPr="000C5235" w:rsidRDefault="00FA0945" w:rsidP="000A7DEC">
      <w:pPr>
        <w:pStyle w:val="Heading2Numbered"/>
      </w:pPr>
      <w:bookmarkStart w:id="823" w:name="_Toc53564770"/>
      <w:r w:rsidRPr="000C5235">
        <w:t xml:space="preserve">AASB 1055 </w:t>
      </w:r>
      <w:r w:rsidR="000069A6" w:rsidRPr="000C5235">
        <w:t>l</w:t>
      </w:r>
      <w:r w:rsidR="006541D7" w:rsidRPr="000C5235">
        <w:t xml:space="preserve">ink to </w:t>
      </w:r>
      <w:r w:rsidR="00511DF0" w:rsidRPr="000C5235">
        <w:t>b</w:t>
      </w:r>
      <w:r w:rsidRPr="000C5235">
        <w:t xml:space="preserve">udgetary </w:t>
      </w:r>
      <w:r w:rsidR="00511DF0" w:rsidRPr="000C5235">
        <w:t>r</w:t>
      </w:r>
      <w:r w:rsidRPr="000C5235">
        <w:t>eporting</w:t>
      </w:r>
      <w:bookmarkEnd w:id="823"/>
    </w:p>
    <w:p w14:paraId="7874092F" w14:textId="77777777" w:rsidR="00FA0945" w:rsidRPr="000C5235" w:rsidRDefault="00FA0945" w:rsidP="000A7DEC">
      <w:r w:rsidRPr="000C5235">
        <w:t xml:space="preserve">The accounting standard AASB 1055 Budgetary Reporting requires entities to provide in their annual departmental and administered financial statements a comparison and explanations of major variances between their annual financial statements and the corresponding original budget amounts (from the PB Statements). These explanations will be audited by the ANAO as part of their audit of the annual financial statements. Prior year budget comparatives are not required. Entities may also choose to include revised budget information (from the PAES) as part of their variance explanations, however this is not compulsory. </w:t>
      </w:r>
    </w:p>
    <w:p w14:paraId="169137DA" w14:textId="77777777" w:rsidR="00FA0945" w:rsidRPr="000C5235" w:rsidRDefault="00991ECE" w:rsidP="000A7DEC">
      <w:r w:rsidRPr="000C5235">
        <w:rPr>
          <w:u w:val="single"/>
        </w:rPr>
        <w:t>N</w:t>
      </w:r>
      <w:r w:rsidR="00FA0945" w:rsidRPr="000C5235">
        <w:rPr>
          <w:u w:val="single"/>
        </w:rPr>
        <w:t>ote:</w:t>
      </w:r>
      <w:r w:rsidR="00FA0945" w:rsidRPr="000C5235">
        <w:t xml:space="preserve"> Entities are reminded of the importance of maintaining internal documentation in order to substantiate the basis of the estimates included in the PB Statements. Appropriate documentation would include CBMS reconciliations, CFO sign-offs and Budget allocation authority. Entities also are reminded that PB Statement numbers must reconcile with those in CBMS.</w:t>
      </w:r>
    </w:p>
    <w:p w14:paraId="5C186FB3" w14:textId="4A03FEEC" w:rsidR="00DD3020" w:rsidRPr="000C5235" w:rsidRDefault="00FA0945" w:rsidP="000A7DEC">
      <w:r w:rsidRPr="000C5235">
        <w:t>For further information on the AASB</w:t>
      </w:r>
      <w:r w:rsidR="00C37129" w:rsidRPr="000C5235">
        <w:t xml:space="preserve"> </w:t>
      </w:r>
      <w:r w:rsidRPr="000C5235">
        <w:t>1055 reporting requirements, please refer to RMG</w:t>
      </w:r>
      <w:r w:rsidR="00427A89" w:rsidRPr="000C5235">
        <w:t xml:space="preserve"> </w:t>
      </w:r>
      <w:r w:rsidRPr="000C5235">
        <w:t>125: Commonwealth Entities Financial Statements Guide and the PRIMA Forms of Financial Statements</w:t>
      </w:r>
      <w:r w:rsidR="00FC4C9C" w:rsidRPr="000C5235">
        <w:t xml:space="preserve">. </w:t>
      </w:r>
      <w:r w:rsidRPr="000C5235">
        <w:t>Questions or concerns relating to the application of AASB 1055 to entities’ financial statements can be directed to the Accounting Policy Team (</w:t>
      </w:r>
      <w:hyperlink r:id="rId64" w:history="1">
        <w:r w:rsidRPr="000C5235">
          <w:rPr>
            <w:rStyle w:val="Hyperlink"/>
          </w:rPr>
          <w:t>accountingpolicy@finance.gov.au</w:t>
        </w:r>
      </w:hyperlink>
      <w:r w:rsidRPr="000C5235">
        <w:t>).</w:t>
      </w:r>
    </w:p>
    <w:p w14:paraId="30820723" w14:textId="77777777" w:rsidR="00FF5B29" w:rsidRPr="000C5235" w:rsidRDefault="00FF5B29" w:rsidP="000A7DEC">
      <w:pPr>
        <w:pStyle w:val="Heading4nonumbers"/>
      </w:pPr>
      <w:r w:rsidRPr="000C5235">
        <w:t>Sources of information</w:t>
      </w:r>
    </w:p>
    <w:p w14:paraId="07588CC8" w14:textId="77777777" w:rsidR="00FF5B29" w:rsidRPr="000C5235" w:rsidRDefault="006314AE" w:rsidP="000A7DEC">
      <w:r w:rsidRPr="000C5235">
        <w:t>S</w:t>
      </w:r>
      <w:r w:rsidR="00FF5B29" w:rsidRPr="000C5235">
        <w:t>ystem generated</w:t>
      </w:r>
      <w:r w:rsidRPr="000C5235">
        <w:t xml:space="preserve"> </w:t>
      </w:r>
      <w:r w:rsidR="00FF5B29" w:rsidRPr="000C5235">
        <w:t>Section 3 PB</w:t>
      </w:r>
      <w:r w:rsidR="00CD3E53" w:rsidRPr="000C5235">
        <w:t> </w:t>
      </w:r>
      <w:r w:rsidR="00FF5B29" w:rsidRPr="000C5235">
        <w:t>S</w:t>
      </w:r>
      <w:r w:rsidR="00CD3E53" w:rsidRPr="000C5235">
        <w:t>tatement</w:t>
      </w:r>
      <w:r w:rsidR="00FF5B29" w:rsidRPr="000C5235">
        <w:t xml:space="preserve"> tables for the Budgeted Financial Statements can be generated directly from CBMS through:</w:t>
      </w:r>
    </w:p>
    <w:p w14:paraId="6B1D7792" w14:textId="77777777" w:rsidR="00FF5B29" w:rsidRPr="000C5235" w:rsidRDefault="00FF5B29" w:rsidP="000A7DEC">
      <w:pPr>
        <w:pStyle w:val="Reports2"/>
        <w:numPr>
          <w:ilvl w:val="0"/>
          <w:numId w:val="0"/>
        </w:numPr>
        <w:ind w:left="425"/>
      </w:pPr>
      <w:r w:rsidRPr="000C5235">
        <w:t xml:space="preserve">Reports </w:t>
      </w:r>
      <w:r w:rsidR="00684C96" w:rsidRPr="000C5235">
        <w:sym w:font="Wingdings" w:char="F0E0"/>
      </w:r>
      <w:r w:rsidRPr="000C5235">
        <w:t xml:space="preserve"> CBMS Reporting </w:t>
      </w:r>
      <w:r w:rsidR="00684C96" w:rsidRPr="000C5235">
        <w:sym w:font="Wingdings" w:char="F0E0"/>
      </w:r>
      <w:r w:rsidRPr="000C5235">
        <w:t xml:space="preserve"> Statutory Reports </w:t>
      </w:r>
      <w:r w:rsidR="00684C96" w:rsidRPr="000C5235">
        <w:sym w:font="Wingdings" w:char="F0E0"/>
      </w:r>
      <w:r w:rsidRPr="000C5235">
        <w:t xml:space="preserve"> PBS </w:t>
      </w:r>
      <w:r w:rsidR="00684C96" w:rsidRPr="000C5235">
        <w:sym w:font="Wingdings" w:char="F0E0"/>
      </w:r>
      <w:r w:rsidRPr="000C5235">
        <w:t xml:space="preserve"> Table 3.1 etc.</w:t>
      </w:r>
    </w:p>
    <w:p w14:paraId="64810E9A" w14:textId="77777777" w:rsidR="00330E0D" w:rsidRPr="000C5235" w:rsidRDefault="006314AE" w:rsidP="00995AA1">
      <w:pPr>
        <w:pStyle w:val="TableText-NormalRed"/>
      </w:pPr>
      <w:r w:rsidRPr="000C5235">
        <w:rPr>
          <w:u w:val="single"/>
        </w:rPr>
        <w:t>Note:</w:t>
      </w:r>
      <w:r w:rsidRPr="000C5235">
        <w:t xml:space="preserve"> The PB Statement reports available from CBMS have not yet been updated to align with the new leasing account codes created. Therefore</w:t>
      </w:r>
      <w:r w:rsidR="00087771" w:rsidRPr="000C5235">
        <w:t xml:space="preserve">, </w:t>
      </w:r>
      <w:r w:rsidRPr="000C5235">
        <w:t xml:space="preserve">entities will be required to manually derive the leasing components. A </w:t>
      </w:r>
      <w:r w:rsidR="00C975E7" w:rsidRPr="000C5235">
        <w:t xml:space="preserve">user guide </w:t>
      </w:r>
      <w:r w:rsidRPr="000C5235">
        <w:t>exists that provides suggested mappings to derive tables</w:t>
      </w:r>
      <w:r w:rsidR="00C975E7" w:rsidRPr="000C5235">
        <w:t xml:space="preserve"> this </w:t>
      </w:r>
      <w:r w:rsidR="00330E0D" w:rsidRPr="000C5235">
        <w:t>can be obtained from:</w:t>
      </w:r>
    </w:p>
    <w:p w14:paraId="461A1FCF" w14:textId="77777777" w:rsidR="006314AE" w:rsidRPr="000C5235" w:rsidRDefault="006314AE" w:rsidP="000A7DEC">
      <w:pPr>
        <w:pStyle w:val="Reports2"/>
        <w:numPr>
          <w:ilvl w:val="0"/>
          <w:numId w:val="0"/>
        </w:numPr>
        <w:ind w:left="425"/>
      </w:pPr>
      <w:r w:rsidRPr="000C5235">
        <w:t xml:space="preserve">CBMS User Reference Material </w:t>
      </w:r>
      <w:r w:rsidRPr="000C5235">
        <w:sym w:font="Wingdings" w:char="F0E0"/>
      </w:r>
      <w:r w:rsidRPr="000C5235">
        <w:t xml:space="preserve"> 09. Reference Material </w:t>
      </w:r>
      <w:r w:rsidRPr="000C5235">
        <w:sym w:font="Wingdings" w:char="F0E0"/>
      </w:r>
      <w:r w:rsidRPr="000C5235">
        <w:t xml:space="preserve"> CBMS </w:t>
      </w:r>
      <w:r w:rsidRPr="000C5235">
        <w:sym w:font="Wingdings" w:char="F0E0"/>
      </w:r>
      <w:r w:rsidRPr="000C5235">
        <w:t xml:space="preserve"> Annual Estimates </w:t>
      </w:r>
      <w:r w:rsidRPr="000C5235">
        <w:sym w:font="Wingdings" w:char="F0E0"/>
      </w:r>
      <w:r w:rsidRPr="000C5235">
        <w:t xml:space="preserve"> PBS, PAES &amp; PSAES Mappings</w:t>
      </w:r>
    </w:p>
    <w:p w14:paraId="73431752" w14:textId="77777777" w:rsidR="00FF5B29" w:rsidRPr="000C5235" w:rsidRDefault="00FF5B29" w:rsidP="000A7DEC">
      <w:r w:rsidRPr="000C5235">
        <w:t>Entities are encouraged to use these reports and become familiar with their use to improve entity processes in checking and completing their PBS tables.</w:t>
      </w:r>
    </w:p>
    <w:p w14:paraId="6FE29DCC" w14:textId="77777777" w:rsidR="00FF5B29" w:rsidRPr="000C5235" w:rsidRDefault="00FF5B29" w:rsidP="000A7DEC">
      <w:r w:rsidRPr="000C5235">
        <w:t xml:space="preserve">Entities must use the Excel templates in </w:t>
      </w:r>
      <w:r w:rsidRPr="000C5235">
        <w:rPr>
          <w:u w:val="single"/>
        </w:rPr>
        <w:t xml:space="preserve">Attachment </w:t>
      </w:r>
      <w:r w:rsidR="006E5A47" w:rsidRPr="000C5235">
        <w:rPr>
          <w:u w:val="single"/>
        </w:rPr>
        <w:t>B</w:t>
      </w:r>
      <w:r w:rsidR="006E5A47" w:rsidRPr="000C5235">
        <w:t xml:space="preserve"> </w:t>
      </w:r>
      <w:r w:rsidRPr="000C5235">
        <w:t>to prepare their PBS document for publication.</w:t>
      </w:r>
    </w:p>
    <w:p w14:paraId="63CC826F" w14:textId="77777777" w:rsidR="00FF5B29" w:rsidRPr="000C5235" w:rsidRDefault="00FF5B29" w:rsidP="000A7DEC">
      <w:r w:rsidRPr="000C5235">
        <w:t>The following report contains transaction-level and can be used to cross-check / verify data sourced from other reports:</w:t>
      </w:r>
    </w:p>
    <w:p w14:paraId="37B4C8BF" w14:textId="77777777" w:rsidR="00FF5B29" w:rsidRPr="000C5235" w:rsidRDefault="00FF5B29" w:rsidP="000A7DEC">
      <w:pPr>
        <w:pStyle w:val="Reports2"/>
        <w:numPr>
          <w:ilvl w:val="0"/>
          <w:numId w:val="0"/>
        </w:numPr>
        <w:ind w:left="425"/>
      </w:pPr>
      <w:r w:rsidRPr="000C5235">
        <w:t xml:space="preserve">Reports </w:t>
      </w:r>
      <w:r w:rsidR="00684C96" w:rsidRPr="000C5235">
        <w:sym w:font="Wingdings" w:char="F0E0"/>
      </w:r>
      <w:r w:rsidRPr="000C5235">
        <w:t xml:space="preserve"> CBMS Reporting </w:t>
      </w:r>
      <w:r w:rsidR="00684C96" w:rsidRPr="000C5235">
        <w:sym w:font="Wingdings" w:char="F0E0"/>
      </w:r>
      <w:r w:rsidRPr="000C5235">
        <w:t xml:space="preserve"> Operational Reports </w:t>
      </w:r>
      <w:r w:rsidR="00684C96" w:rsidRPr="000C5235">
        <w:sym w:font="Wingdings" w:char="F0E0"/>
      </w:r>
      <w:r w:rsidRPr="000C5235">
        <w:t xml:space="preserve"> Estimates </w:t>
      </w:r>
      <w:r w:rsidR="00684C96" w:rsidRPr="000C5235">
        <w:sym w:font="Wingdings" w:char="F0E0"/>
      </w:r>
      <w:r w:rsidRPr="000C5235">
        <w:t xml:space="preserve"> Annual Estimates </w:t>
      </w:r>
      <w:r w:rsidR="00684C96" w:rsidRPr="000C5235">
        <w:sym w:font="Wingdings" w:char="F0E0"/>
      </w:r>
      <w:r w:rsidRPr="000C5235">
        <w:t xml:space="preserve"> AE.OR.13 Annual Estimates Detail Listing AEIFRS Report</w:t>
      </w:r>
      <w:r w:rsidR="00A57306" w:rsidRPr="000C5235">
        <w:t xml:space="preserve"> (PBF)</w:t>
      </w:r>
    </w:p>
    <w:p w14:paraId="2D861ADC" w14:textId="77777777" w:rsidR="00FA0945" w:rsidRPr="000C5235" w:rsidRDefault="00FA0945" w:rsidP="000A7DEC">
      <w:pPr>
        <w:pStyle w:val="Heading2Numbered"/>
      </w:pPr>
      <w:bookmarkStart w:id="824" w:name="_Toc411852693"/>
      <w:bookmarkStart w:id="825" w:name="_Toc534382574"/>
      <w:bookmarkStart w:id="826" w:name="_Toc53564771"/>
      <w:r w:rsidRPr="000C5235">
        <w:t>Departmental comprehensive income statement (showing net cost of services)</w:t>
      </w:r>
      <w:bookmarkEnd w:id="824"/>
      <w:bookmarkEnd w:id="825"/>
      <w:bookmarkEnd w:id="826"/>
      <w:r w:rsidRPr="000C5235">
        <w:t xml:space="preserve"> </w:t>
      </w:r>
    </w:p>
    <w:p w14:paraId="0CC12ABD" w14:textId="77777777" w:rsidR="00FA0945" w:rsidRPr="000C5235" w:rsidRDefault="00FA0945" w:rsidP="000A7DEC">
      <w:r w:rsidRPr="000C5235">
        <w:t>The template for th</w:t>
      </w:r>
      <w:r w:rsidR="00233EB4" w:rsidRPr="000C5235">
        <w:t>e Departmental comprehensive income statement (showing net cost of services)</w:t>
      </w:r>
      <w:r w:rsidRPr="000C5235">
        <w:t xml:space="preserve"> table can be found in the “Table 3.1” tab of the Excel Tables workbook (available </w:t>
      </w:r>
      <w:r w:rsidR="00735F2B" w:rsidRPr="000C5235">
        <w:t>from CBMS User Reference Material in</w:t>
      </w:r>
      <w:r w:rsidRPr="000C5235">
        <w:t xml:space="preserve"> CBMS). </w:t>
      </w:r>
    </w:p>
    <w:p w14:paraId="69914CB4" w14:textId="77777777" w:rsidR="00396F99" w:rsidRPr="000C5235" w:rsidRDefault="00FA0945" w:rsidP="000A7DEC">
      <w:r w:rsidRPr="000C5235">
        <w:t>This statement depicts the entity’s estimated income and expenses in relation to its departmental operations over the financial year</w:t>
      </w:r>
      <w:r w:rsidR="00AE6EBC" w:rsidRPr="000C5235">
        <w:t>.</w:t>
      </w:r>
    </w:p>
    <w:p w14:paraId="06389080" w14:textId="77777777" w:rsidR="00396F99" w:rsidRPr="000C5235" w:rsidRDefault="00396F99" w:rsidP="000A7DEC">
      <w:pPr>
        <w:pStyle w:val="Heading4nonumbers"/>
      </w:pPr>
      <w:r w:rsidRPr="000C5235">
        <w:t>Source of information</w:t>
      </w:r>
    </w:p>
    <w:p w14:paraId="430C42AF" w14:textId="77777777" w:rsidR="00396F99" w:rsidRPr="000C5235" w:rsidRDefault="00396F99" w:rsidP="000A7DEC">
      <w:r w:rsidRPr="000C5235">
        <w:t>Information for these tables should also be sourced and cross-checked from the following CBMS operational reports:</w:t>
      </w:r>
    </w:p>
    <w:p w14:paraId="486718A7" w14:textId="77777777" w:rsidR="00396F99" w:rsidRPr="000C5235" w:rsidRDefault="00396F99"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AE.OR.01 Annual Estimates Financial Statements</w:t>
      </w:r>
    </w:p>
    <w:p w14:paraId="362999C8" w14:textId="77777777" w:rsidR="00396F99" w:rsidRPr="000C5235" w:rsidRDefault="00396F99" w:rsidP="00995AA1">
      <w:pPr>
        <w:pStyle w:val="TableText-NormalRed"/>
      </w:pPr>
      <w:r w:rsidRPr="000C5235">
        <w:rPr>
          <w:u w:val="single"/>
        </w:rPr>
        <w:t>Note</w:t>
      </w:r>
      <w:r w:rsidR="00A81E9A" w:rsidRPr="000C5235">
        <w:rPr>
          <w:u w:val="single"/>
        </w:rPr>
        <w:t>:</w:t>
      </w:r>
      <w:r w:rsidR="00A81E9A" w:rsidRPr="000C5235">
        <w:t xml:space="preserve"> </w:t>
      </w:r>
      <w:r w:rsidRPr="000C5235">
        <w:t>that all Account Hierarchies should be expanded (by right clicking on one of the Account Hierarchy items and selecting</w:t>
      </w:r>
      <w:r w:rsidRPr="000C5235">
        <w:rPr>
          <w:i/>
        </w:rPr>
        <w:t xml:space="preserve"> </w:t>
      </w:r>
      <w:r w:rsidRPr="000C5235">
        <w:rPr>
          <w:i/>
          <w:color w:val="0070C0"/>
        </w:rPr>
        <w:t xml:space="preserve">Hierarchical Navigation </w:t>
      </w:r>
      <w:r w:rsidR="004B76F7" w:rsidRPr="000C5235">
        <w:rPr>
          <w:i/>
          <w:color w:val="0070C0"/>
        </w:rPr>
        <w:sym w:font="Wingdings" w:char="F0E0"/>
      </w:r>
      <w:r w:rsidRPr="000C5235">
        <w:rPr>
          <w:i/>
          <w:color w:val="0070C0"/>
        </w:rPr>
        <w:t xml:space="preserve"> All </w:t>
      </w:r>
      <w:r w:rsidR="004B76F7" w:rsidRPr="000C5235">
        <w:rPr>
          <w:i/>
          <w:color w:val="0070C0"/>
        </w:rPr>
        <w:sym w:font="Wingdings" w:char="F0E0"/>
      </w:r>
      <w:r w:rsidRPr="000C5235">
        <w:rPr>
          <w:i/>
          <w:color w:val="0070C0"/>
        </w:rPr>
        <w:t xml:space="preserve"> Expand all </w:t>
      </w:r>
      <w:r w:rsidRPr="000C5235">
        <w:t>hierarchies) prior to downloading reports</w:t>
      </w:r>
    </w:p>
    <w:p w14:paraId="74FD62B2" w14:textId="77777777" w:rsidR="00396F99" w:rsidRPr="000C5235" w:rsidRDefault="00396F99"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AE.OR.02 Annual Estimates and Equity Report</w:t>
      </w:r>
    </w:p>
    <w:p w14:paraId="37C04D16" w14:textId="77777777" w:rsidR="00AE6EBC" w:rsidRPr="000C5235" w:rsidRDefault="00396F99"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AE.OR.06 Capital Budget Statement Report</w:t>
      </w:r>
    </w:p>
    <w:p w14:paraId="675A19BC" w14:textId="16578AC3" w:rsidR="00FA0945" w:rsidRPr="000C5235" w:rsidRDefault="00FA0945" w:rsidP="00E97117">
      <w:r w:rsidRPr="000C5235">
        <w:t xml:space="preserve">In preparing the “Note: Impact of Net Cash Appropriation Arrangements”, please refer to the similar note at the bottom of the CBMS Income Statement and also refer to </w:t>
      </w:r>
      <w:r w:rsidRPr="000C5235">
        <w:rPr>
          <w:i/>
        </w:rPr>
        <w:t>RMG 125: Commonwealth Entities Financial Statements Guide</w:t>
      </w:r>
      <w:r w:rsidRPr="000C5235">
        <w:t xml:space="preserve"> from which figures should be shown in the “Depreciation/amortisation expenses previously funded through revenue appropriations” line. RMG 12</w:t>
      </w:r>
      <w:r w:rsidR="00427A89" w:rsidRPr="000C5235">
        <w:t>5</w:t>
      </w:r>
      <w:r w:rsidRPr="000C5235">
        <w:t xml:space="preserve"> is available at </w:t>
      </w:r>
      <w:hyperlink r:id="rId65" w:history="1">
        <w:r w:rsidR="0012362E" w:rsidRPr="000C5235">
          <w:rPr>
            <w:rStyle w:val="Hyperlink"/>
            <w:rFonts w:asciiTheme="minorHAnsi" w:hAnsiTheme="minorHAnsi" w:cstheme="minorBidi"/>
          </w:rPr>
          <w:t>https://www.finance.gov.au/publications/resource-management-guides</w:t>
        </w:r>
      </w:hyperlink>
      <w:r w:rsidR="00E97117" w:rsidRPr="000C5235">
        <w:t xml:space="preserve"> </w:t>
      </w:r>
      <w:r w:rsidR="0064398E" w:rsidRPr="000C5235">
        <w:t xml:space="preserve">(note this is manually derived). </w:t>
      </w:r>
    </w:p>
    <w:p w14:paraId="069A2BD9" w14:textId="77777777" w:rsidR="00FA0945" w:rsidRPr="000C5235" w:rsidRDefault="00FA0945" w:rsidP="000A7DEC">
      <w:pPr>
        <w:pStyle w:val="Heading2Numbered"/>
        <w:rPr>
          <w:rFonts w:ascii="Arial" w:eastAsia="Times New Roman" w:hAnsi="Arial"/>
          <w:spacing w:val="-6"/>
          <w:szCs w:val="34"/>
        </w:rPr>
      </w:pPr>
      <w:bookmarkStart w:id="827" w:name="_Toc411852694"/>
      <w:bookmarkStart w:id="828" w:name="_Toc534382575"/>
      <w:bookmarkStart w:id="829" w:name="_Toc53564772"/>
      <w:r w:rsidRPr="000C5235">
        <w:rPr>
          <w:rFonts w:eastAsia="Times New Roman"/>
        </w:rPr>
        <w:t>Budgeted departmental balance sheet</w:t>
      </w:r>
      <w:bookmarkEnd w:id="827"/>
      <w:bookmarkEnd w:id="828"/>
      <w:bookmarkEnd w:id="829"/>
    </w:p>
    <w:p w14:paraId="6390E28C" w14:textId="77777777" w:rsidR="00FA0945" w:rsidRPr="000C5235" w:rsidRDefault="00233EB4" w:rsidP="000A7DEC">
      <w:r w:rsidRPr="000C5235">
        <w:t>The template for the Budgeted departmental balance sheet</w:t>
      </w:r>
      <w:r w:rsidR="00FA0945" w:rsidRPr="000C5235">
        <w:t xml:space="preserve"> table can be found in the </w:t>
      </w:r>
      <w:r w:rsidR="006D021E" w:rsidRPr="000C5235">
        <w:t xml:space="preserve">               </w:t>
      </w:r>
      <w:r w:rsidR="00FA0945" w:rsidRPr="000C5235">
        <w:t xml:space="preserve">“Table 3.2” tab of the Excel Tables workbook (available from </w:t>
      </w:r>
      <w:r w:rsidR="00015F15" w:rsidRPr="000C5235">
        <w:t>User Reference Material</w:t>
      </w:r>
      <w:r w:rsidR="00FA0945" w:rsidRPr="000C5235">
        <w:t xml:space="preserve"> in CBMS). </w:t>
      </w:r>
    </w:p>
    <w:p w14:paraId="484FEFF9" w14:textId="77777777" w:rsidR="00AE6EBC" w:rsidRPr="000C5235" w:rsidRDefault="00AE6EBC" w:rsidP="00995AA1">
      <w:pPr>
        <w:pStyle w:val="TableText-NormalRed"/>
      </w:pPr>
      <w:r w:rsidRPr="000C5235">
        <w:rPr>
          <w:u w:val="single"/>
        </w:rPr>
        <w:t>Note</w:t>
      </w:r>
      <w:r w:rsidR="00427A89" w:rsidRPr="000C5235">
        <w:rPr>
          <w:u w:val="single"/>
        </w:rPr>
        <w:t>:</w:t>
      </w:r>
      <w:r w:rsidRPr="000C5235">
        <w:t xml:space="preserve"> all references to reports hereunto can be sourced from User Reference Material in CBMS. </w:t>
      </w:r>
    </w:p>
    <w:p w14:paraId="3DB5F880" w14:textId="77777777" w:rsidR="00FA0945" w:rsidRPr="000C5235" w:rsidRDefault="00FA0945" w:rsidP="000A7DEC">
      <w:r w:rsidRPr="000C5235">
        <w:t xml:space="preserve">This statement depicts the entity’s estimated assets and liabilities in relation to its departmental operations at the end of the financial year. </w:t>
      </w:r>
    </w:p>
    <w:p w14:paraId="090B2690" w14:textId="77777777" w:rsidR="00FA0945" w:rsidRPr="000C5235" w:rsidRDefault="00FA0945" w:rsidP="000A7DEC">
      <w:pPr>
        <w:pStyle w:val="Heading4nonumbers"/>
      </w:pPr>
      <w:r w:rsidRPr="000C5235">
        <w:t>Source of information</w:t>
      </w:r>
    </w:p>
    <w:p w14:paraId="0BD3108C" w14:textId="77777777" w:rsidR="00FA0945" w:rsidRPr="000C5235" w:rsidRDefault="00FA0945" w:rsidP="000A7DEC">
      <w:r w:rsidRPr="000C5235">
        <w:t>The following report from CBMS should be used to prepare Table 3.2:</w:t>
      </w:r>
    </w:p>
    <w:p w14:paraId="3B2E811C" w14:textId="77777777" w:rsidR="00891079" w:rsidRPr="000C5235" w:rsidRDefault="00015F15"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AE.OR.01 Annual Estimates Financial Statements</w:t>
      </w:r>
    </w:p>
    <w:p w14:paraId="021BD622" w14:textId="77777777" w:rsidR="00FA0945" w:rsidRPr="000C5235" w:rsidRDefault="00891079" w:rsidP="000A7DEC">
      <w:r w:rsidRPr="000C5235">
        <w:t>S</w:t>
      </w:r>
      <w:r w:rsidR="00FA0945" w:rsidRPr="000C5235">
        <w:t xml:space="preserve">elect “Departmental” as the control </w:t>
      </w:r>
      <w:r w:rsidR="00D00240" w:rsidRPr="000C5235">
        <w:t>type and</w:t>
      </w:r>
      <w:r w:rsidR="00015F15" w:rsidRPr="000C5235">
        <w:t xml:space="preserve"> go to “Program View”</w:t>
      </w:r>
      <w:r w:rsidR="00FA0945" w:rsidRPr="000C5235">
        <w:t xml:space="preserve">. </w:t>
      </w:r>
    </w:p>
    <w:p w14:paraId="00F28A5B" w14:textId="77777777" w:rsidR="00FA0945" w:rsidRPr="000C5235" w:rsidRDefault="00FA0945" w:rsidP="000A7DEC">
      <w:pPr>
        <w:pStyle w:val="Heading2Numbered"/>
      </w:pPr>
      <w:bookmarkStart w:id="830" w:name="_Toc411852695"/>
      <w:bookmarkStart w:id="831" w:name="_Toc534382576"/>
      <w:bookmarkStart w:id="832" w:name="_Toc53564773"/>
      <w:r w:rsidRPr="000C5235">
        <w:t>Departmental statement of changes in equity</w:t>
      </w:r>
      <w:bookmarkEnd w:id="830"/>
      <w:bookmarkEnd w:id="831"/>
      <w:bookmarkEnd w:id="832"/>
    </w:p>
    <w:p w14:paraId="73B27AC8" w14:textId="77777777" w:rsidR="00FA0945" w:rsidRPr="000C5235" w:rsidRDefault="00233EB4" w:rsidP="000A7DEC">
      <w:r w:rsidRPr="000C5235">
        <w:t>The template for the Departmental statement of changes in equity</w:t>
      </w:r>
      <w:r w:rsidR="00FA0945" w:rsidRPr="000C5235">
        <w:t xml:space="preserve"> table can be found in the “Table 3.3” tab of the Excel Tables workbook</w:t>
      </w:r>
      <w:r w:rsidR="00AE6EBC" w:rsidRPr="000C5235">
        <w:t>.</w:t>
      </w:r>
      <w:r w:rsidR="00FA0945" w:rsidRPr="000C5235">
        <w:t xml:space="preserve"> </w:t>
      </w:r>
    </w:p>
    <w:p w14:paraId="211D4490" w14:textId="77777777" w:rsidR="00FA0945" w:rsidRPr="000C5235" w:rsidRDefault="00FA0945" w:rsidP="000A7DEC">
      <w:r w:rsidRPr="000C5235">
        <w:t>This statement depicts the forecast movement in the entity’s equity position over the financial year (</w:t>
      </w:r>
      <w:r w:rsidR="00E10C89" w:rsidRPr="000C5235">
        <w:t>ie</w:t>
      </w:r>
      <w:r w:rsidRPr="000C5235">
        <w:t xml:space="preserve"> the change in the Government’s ownership interests in the entity).</w:t>
      </w:r>
    </w:p>
    <w:p w14:paraId="7ADBFCFC" w14:textId="77777777" w:rsidR="00FA0945" w:rsidRPr="000C5235" w:rsidRDefault="00FA0945" w:rsidP="000A7DEC">
      <w:pPr>
        <w:pStyle w:val="Heading4nonumbers"/>
      </w:pPr>
      <w:r w:rsidRPr="000C5235">
        <w:t>Source of information</w:t>
      </w:r>
    </w:p>
    <w:p w14:paraId="648543FC" w14:textId="77777777" w:rsidR="00FA0945" w:rsidRPr="000C5235" w:rsidRDefault="00FA0945" w:rsidP="000A7DEC">
      <w:r w:rsidRPr="000C5235">
        <w:t>The following report from CBMS should be used to prepare Table 3.3:</w:t>
      </w:r>
    </w:p>
    <w:p w14:paraId="678DFEE0" w14:textId="77777777" w:rsidR="00891079" w:rsidRPr="000C5235" w:rsidRDefault="00015F15" w:rsidP="000A7DEC">
      <w:pPr>
        <w:pStyle w:val="Reports2"/>
        <w:numPr>
          <w:ilvl w:val="0"/>
          <w:numId w:val="0"/>
        </w:numPr>
        <w:ind w:left="425"/>
      </w:pPr>
      <w:bookmarkStart w:id="833" w:name="_Toc411852696"/>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AE.OR.02 Annual Estimates and Equity Report</w:t>
      </w:r>
    </w:p>
    <w:p w14:paraId="4D77B988" w14:textId="77777777" w:rsidR="00015F15" w:rsidRPr="000C5235" w:rsidRDefault="00891079" w:rsidP="000A7DEC">
      <w:r w:rsidRPr="000C5235">
        <w:t>S</w:t>
      </w:r>
      <w:r w:rsidR="00015F15" w:rsidRPr="000C5235">
        <w:t>elect</w:t>
      </w:r>
      <w:r w:rsidRPr="000C5235">
        <w:t xml:space="preserve"> “</w:t>
      </w:r>
      <w:r w:rsidR="00271B87" w:rsidRPr="000C5235">
        <w:t>2019-20</w:t>
      </w:r>
      <w:r w:rsidR="00015F15" w:rsidRPr="000C5235">
        <w:t>” as the financial year and “Departmental” as the control type.</w:t>
      </w:r>
    </w:p>
    <w:p w14:paraId="05156E4D" w14:textId="77777777" w:rsidR="00FA0945" w:rsidRPr="000C5235" w:rsidRDefault="00FA0945" w:rsidP="000A7DEC">
      <w:pPr>
        <w:pStyle w:val="Heading2Numbered"/>
        <w:rPr>
          <w:rFonts w:ascii="Arial" w:eastAsia="Times New Roman" w:hAnsi="Arial"/>
          <w:color w:val="auto"/>
          <w:spacing w:val="-6"/>
          <w:szCs w:val="34"/>
        </w:rPr>
      </w:pPr>
      <w:bookmarkStart w:id="834" w:name="_Toc534382577"/>
      <w:bookmarkStart w:id="835" w:name="_Toc53564774"/>
      <w:r w:rsidRPr="000C5235">
        <w:rPr>
          <w:rFonts w:eastAsia="Times New Roman"/>
        </w:rPr>
        <w:t>Budgeted departmental statement of cash flows</w:t>
      </w:r>
      <w:bookmarkEnd w:id="833"/>
      <w:bookmarkEnd w:id="834"/>
      <w:bookmarkEnd w:id="835"/>
    </w:p>
    <w:p w14:paraId="223535EC" w14:textId="77777777" w:rsidR="00FA0945" w:rsidRPr="000C5235" w:rsidRDefault="00233EB4" w:rsidP="000A7DEC">
      <w:r w:rsidRPr="000C5235">
        <w:t>The template for the Budgeted departmental statement of cash flows</w:t>
      </w:r>
      <w:r w:rsidR="00FA0945" w:rsidRPr="000C5235">
        <w:t xml:space="preserve"> table can be found in the “Table 3.4” tab of the Excel Tables workbook</w:t>
      </w:r>
      <w:r w:rsidR="00AE6EBC" w:rsidRPr="000C5235">
        <w:t>.</w:t>
      </w:r>
    </w:p>
    <w:p w14:paraId="6E62702E" w14:textId="77777777" w:rsidR="00FA0945" w:rsidRPr="000C5235" w:rsidRDefault="00FA0945" w:rsidP="000A7DEC">
      <w:r w:rsidRPr="000C5235">
        <w:t>This statement depicts the entity’s estimated cash flows over the financial year.</w:t>
      </w:r>
    </w:p>
    <w:p w14:paraId="51767F8F" w14:textId="77777777" w:rsidR="00FA0945" w:rsidRPr="000C5235" w:rsidRDefault="00FA0945" w:rsidP="000A7DEC">
      <w:pPr>
        <w:pStyle w:val="Heading4nonumbers"/>
      </w:pPr>
      <w:r w:rsidRPr="000C5235">
        <w:t>Source of information</w:t>
      </w:r>
    </w:p>
    <w:p w14:paraId="4A086BB0" w14:textId="77777777" w:rsidR="00FA0945" w:rsidRPr="000C5235" w:rsidRDefault="00FA0945" w:rsidP="000A7DEC">
      <w:r w:rsidRPr="000C5235">
        <w:t>The following report from CBMS should be used to prepare Table 3.4:</w:t>
      </w:r>
    </w:p>
    <w:p w14:paraId="40181781" w14:textId="77777777" w:rsidR="00DA25E5" w:rsidRPr="000C5235" w:rsidRDefault="00F415C5"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AE.OR.01 Annual Estimates Financial Statements</w:t>
      </w:r>
    </w:p>
    <w:p w14:paraId="774A7E29" w14:textId="77777777" w:rsidR="007B5CC5" w:rsidRPr="000C5235" w:rsidRDefault="00DA25E5" w:rsidP="000A7DEC">
      <w:r w:rsidRPr="000C5235">
        <w:t>S</w:t>
      </w:r>
      <w:r w:rsidR="00FA0945" w:rsidRPr="000C5235">
        <w:t xml:space="preserve">elect “Departmental” as the control </w:t>
      </w:r>
      <w:r w:rsidR="00D00240" w:rsidRPr="000C5235">
        <w:t>type and</w:t>
      </w:r>
      <w:r w:rsidR="00F415C5" w:rsidRPr="000C5235">
        <w:t xml:space="preserve"> look up “Program View”.</w:t>
      </w:r>
    </w:p>
    <w:p w14:paraId="7FD6E3FA" w14:textId="77777777" w:rsidR="00FA0945" w:rsidRPr="000C5235" w:rsidRDefault="00FA0945" w:rsidP="000A7DEC">
      <w:pPr>
        <w:pStyle w:val="Heading2Numbered"/>
        <w:rPr>
          <w:rFonts w:ascii="Arial" w:hAnsi="Arial"/>
          <w:color w:val="auto"/>
          <w:spacing w:val="-6"/>
          <w:szCs w:val="34"/>
        </w:rPr>
      </w:pPr>
      <w:bookmarkStart w:id="836" w:name="_Toc534458900"/>
      <w:bookmarkStart w:id="837" w:name="_Toc534459689"/>
      <w:bookmarkStart w:id="838" w:name="_Toc534519186"/>
      <w:bookmarkStart w:id="839" w:name="_Toc534520096"/>
      <w:bookmarkStart w:id="840" w:name="_Toc534520366"/>
      <w:bookmarkStart w:id="841" w:name="_Toc534527578"/>
      <w:bookmarkStart w:id="842" w:name="_Toc534528308"/>
      <w:bookmarkStart w:id="843" w:name="_Toc534803529"/>
      <w:bookmarkStart w:id="844" w:name="_Toc534814220"/>
      <w:bookmarkStart w:id="845" w:name="_Toc536108593"/>
      <w:bookmarkStart w:id="846" w:name="_Toc536802138"/>
      <w:bookmarkStart w:id="847" w:name="_Toc411852697"/>
      <w:bookmarkStart w:id="848" w:name="_Toc534382578"/>
      <w:bookmarkStart w:id="849" w:name="_Toc53564775"/>
      <w:bookmarkEnd w:id="836"/>
      <w:bookmarkEnd w:id="837"/>
      <w:bookmarkEnd w:id="838"/>
      <w:bookmarkEnd w:id="839"/>
      <w:bookmarkEnd w:id="840"/>
      <w:bookmarkEnd w:id="841"/>
      <w:bookmarkEnd w:id="842"/>
      <w:bookmarkEnd w:id="843"/>
      <w:bookmarkEnd w:id="844"/>
      <w:bookmarkEnd w:id="845"/>
      <w:bookmarkEnd w:id="846"/>
      <w:r w:rsidRPr="000C5235">
        <w:rPr>
          <w:rFonts w:eastAsia="Times New Roman"/>
        </w:rPr>
        <w:t>Departmental capital budget statement</w:t>
      </w:r>
      <w:bookmarkEnd w:id="847"/>
      <w:bookmarkEnd w:id="848"/>
      <w:bookmarkEnd w:id="849"/>
    </w:p>
    <w:p w14:paraId="71F4DC0A" w14:textId="77777777" w:rsidR="00FA0945" w:rsidRPr="000C5235" w:rsidRDefault="00233EB4" w:rsidP="000A7DEC">
      <w:r w:rsidRPr="000C5235">
        <w:t>The template for the Departmental capital budget statement</w:t>
      </w:r>
      <w:r w:rsidR="00FA0945" w:rsidRPr="000C5235">
        <w:t xml:space="preserve"> table can be found in the “Table 3.5” tab of the Excel Tables workbook</w:t>
      </w:r>
      <w:r w:rsidR="00AE6EBC" w:rsidRPr="000C5235">
        <w:t>.</w:t>
      </w:r>
    </w:p>
    <w:p w14:paraId="59AA4CF7" w14:textId="77777777" w:rsidR="00FA0945" w:rsidRPr="000C5235" w:rsidRDefault="00FA0945" w:rsidP="000A7DEC">
      <w:r w:rsidRPr="000C5235">
        <w:t xml:space="preserve">This statement outlines the entity’s capital appropriations that will be provided through Appropriation Bills (No.1 and 2) and the purpose for which they were provided (either to purchase assets, or for departmental supplementation), compared to their forecast capital expenditure. </w:t>
      </w:r>
    </w:p>
    <w:p w14:paraId="755777C5" w14:textId="77777777" w:rsidR="00FA0945" w:rsidRPr="000C5235" w:rsidRDefault="00FA0945" w:rsidP="000A7DEC">
      <w:pPr>
        <w:pStyle w:val="Heading4nonumbers"/>
      </w:pPr>
      <w:r w:rsidRPr="000C5235">
        <w:t>Source of information</w:t>
      </w:r>
    </w:p>
    <w:p w14:paraId="379AAAD1" w14:textId="77777777" w:rsidR="00FA0945" w:rsidRPr="000C5235" w:rsidRDefault="00FA0945" w:rsidP="000A7DEC">
      <w:r w:rsidRPr="000C5235">
        <w:t>The following report from CBMS should be used to prepare Table 3.5:</w:t>
      </w:r>
    </w:p>
    <w:p w14:paraId="4397DD48" w14:textId="77777777" w:rsidR="00DA25E5" w:rsidRPr="000C5235" w:rsidRDefault="00F415C5" w:rsidP="000A7DEC">
      <w:pPr>
        <w:pStyle w:val="Reports2"/>
        <w:numPr>
          <w:ilvl w:val="0"/>
          <w:numId w:val="0"/>
        </w:numPr>
        <w:ind w:left="425"/>
      </w:pPr>
      <w:r w:rsidRPr="000C5235">
        <w:t xml:space="preserve">Reports </w:t>
      </w:r>
      <w:r w:rsidR="00887163" w:rsidRPr="000C5235">
        <w:sym w:font="Wingdings" w:char="F0E0"/>
      </w:r>
      <w:r w:rsidRPr="000C5235">
        <w:t xml:space="preserve"> CBMS Reporting </w:t>
      </w:r>
      <w:r w:rsidR="00887163" w:rsidRPr="000C5235">
        <w:sym w:font="Wingdings" w:char="F0E0"/>
      </w:r>
      <w:r w:rsidRPr="000C5235">
        <w:t xml:space="preserve"> Operational Reports </w:t>
      </w:r>
      <w:r w:rsidR="00887163" w:rsidRPr="000C5235">
        <w:sym w:font="Wingdings" w:char="F0E0"/>
      </w:r>
      <w:r w:rsidRPr="000C5235">
        <w:t xml:space="preserve"> Estimates </w:t>
      </w:r>
      <w:r w:rsidR="00887163" w:rsidRPr="000C5235">
        <w:sym w:font="Wingdings" w:char="F0E0"/>
      </w:r>
      <w:r w:rsidRPr="000C5235">
        <w:t xml:space="preserve"> Annual Estimates </w:t>
      </w:r>
      <w:r w:rsidR="00887163" w:rsidRPr="000C5235">
        <w:sym w:font="Wingdings" w:char="F0E0"/>
      </w:r>
      <w:r w:rsidRPr="000C5235">
        <w:t xml:space="preserve"> AE.OR.06 Capital Budget Statement Report</w:t>
      </w:r>
    </w:p>
    <w:p w14:paraId="3410E654" w14:textId="77777777" w:rsidR="00FA0945" w:rsidRPr="000C5235" w:rsidRDefault="00DA25E5" w:rsidP="000A7DEC">
      <w:r w:rsidRPr="000C5235">
        <w:t>S</w:t>
      </w:r>
      <w:r w:rsidR="00FA0945" w:rsidRPr="000C5235">
        <w:t xml:space="preserve">elect “Departmental” as the control type. </w:t>
      </w:r>
    </w:p>
    <w:p w14:paraId="0760EFD3" w14:textId="77777777" w:rsidR="00FA0945" w:rsidRPr="000C5235" w:rsidRDefault="00FA0945" w:rsidP="000A7DEC">
      <w:r w:rsidRPr="000C5235">
        <w:t xml:space="preserve">Information to be included in the “Reconciliation of cash used to acquire assets to Asset Movement Table” should be sourced from the cash flow statement (Table 3.4) and the entity’s FMIS. </w:t>
      </w:r>
    </w:p>
    <w:p w14:paraId="2CDD13D2" w14:textId="77777777" w:rsidR="00FA0945" w:rsidRPr="000C5235" w:rsidRDefault="00FA0945" w:rsidP="000A7DEC">
      <w:pPr>
        <w:pStyle w:val="Heading2Numbered"/>
        <w:rPr>
          <w:rFonts w:ascii="Arial" w:hAnsi="Arial"/>
          <w:spacing w:val="-6"/>
          <w:szCs w:val="34"/>
        </w:rPr>
      </w:pPr>
      <w:bookmarkStart w:id="850" w:name="_Toc411852698"/>
      <w:bookmarkStart w:id="851" w:name="_Toc534382579"/>
      <w:bookmarkStart w:id="852" w:name="_Toc53564776"/>
      <w:r w:rsidRPr="000C5235">
        <w:rPr>
          <w:rFonts w:eastAsia="Times New Roman"/>
        </w:rPr>
        <w:t>Departmental statement of asset movements</w:t>
      </w:r>
      <w:bookmarkEnd w:id="850"/>
      <w:bookmarkEnd w:id="851"/>
      <w:bookmarkEnd w:id="852"/>
    </w:p>
    <w:p w14:paraId="384E3289" w14:textId="77777777" w:rsidR="00FA0945" w:rsidRPr="000C5235" w:rsidRDefault="00233EB4" w:rsidP="000A7DEC">
      <w:r w:rsidRPr="000C5235">
        <w:t>The template for the Departmental statement of asset movements</w:t>
      </w:r>
      <w:r w:rsidR="00FA0945" w:rsidRPr="000C5235">
        <w:t xml:space="preserve"> table can be found in the “Table 3.6” tab of the Excel Tables workbook</w:t>
      </w:r>
      <w:r w:rsidR="00AE6EBC" w:rsidRPr="000C5235">
        <w:t>.</w:t>
      </w:r>
      <w:r w:rsidR="00FA0945" w:rsidRPr="000C5235">
        <w:t xml:space="preserve"> </w:t>
      </w:r>
    </w:p>
    <w:p w14:paraId="2AF5840B" w14:textId="77777777" w:rsidR="00FA0945" w:rsidRPr="000C5235" w:rsidRDefault="00FA0945" w:rsidP="000A7DEC">
      <w:r w:rsidRPr="000C5235">
        <w:t xml:space="preserve">This statement outlines the movements in the entity’s asset holdings, such as the acquisition of new or replacement assets, disposals, revaluations or depreciation. </w:t>
      </w:r>
    </w:p>
    <w:p w14:paraId="27D75E68" w14:textId="77777777" w:rsidR="006D1908" w:rsidRPr="000C5235" w:rsidRDefault="006D1908" w:rsidP="000A7DEC">
      <w:r w:rsidRPr="000C5235">
        <w:t>This statement now includes new line-items dealing with AASB 16 Leases (RoU Assets).</w:t>
      </w:r>
    </w:p>
    <w:p w14:paraId="0C4D8F68" w14:textId="77777777" w:rsidR="00FA0945" w:rsidRPr="000C5235" w:rsidRDefault="00FA0945" w:rsidP="000A7DEC">
      <w:pPr>
        <w:pStyle w:val="Heading4nonumbers"/>
      </w:pPr>
      <w:r w:rsidRPr="000C5235">
        <w:t>Source of information</w:t>
      </w:r>
    </w:p>
    <w:p w14:paraId="1683312C" w14:textId="77777777" w:rsidR="00FA0945" w:rsidRPr="000C5235" w:rsidRDefault="00FA0945" w:rsidP="000A7DEC">
      <w:r w:rsidRPr="000C5235">
        <w:t>The following report from CBMS should be used to prepare Table 3.6:</w:t>
      </w:r>
    </w:p>
    <w:p w14:paraId="420214CA" w14:textId="77777777" w:rsidR="00DA25E5" w:rsidRPr="000C5235" w:rsidRDefault="00F415C5" w:rsidP="000A7DEC">
      <w:pPr>
        <w:pStyle w:val="Reports2"/>
        <w:numPr>
          <w:ilvl w:val="0"/>
          <w:numId w:val="0"/>
        </w:numPr>
        <w:ind w:left="425"/>
      </w:pPr>
      <w:r w:rsidRPr="000C5235">
        <w:t xml:space="preserve">Reports </w:t>
      </w:r>
      <w:r w:rsidR="00887163" w:rsidRPr="000C5235">
        <w:sym w:font="Wingdings" w:char="F0E0"/>
      </w:r>
      <w:r w:rsidRPr="000C5235">
        <w:t xml:space="preserve"> CBMS Reporting </w:t>
      </w:r>
      <w:r w:rsidR="00887163" w:rsidRPr="000C5235">
        <w:sym w:font="Wingdings" w:char="F0E0"/>
      </w:r>
      <w:r w:rsidRPr="000C5235">
        <w:t xml:space="preserve"> Operational Reports </w:t>
      </w:r>
      <w:r w:rsidR="00887163" w:rsidRPr="000C5235">
        <w:sym w:font="Wingdings" w:char="F0E0"/>
      </w:r>
      <w:r w:rsidRPr="000C5235">
        <w:t xml:space="preserve"> Estimates </w:t>
      </w:r>
      <w:r w:rsidR="00887163" w:rsidRPr="000C5235">
        <w:sym w:font="Wingdings" w:char="F0E0"/>
      </w:r>
      <w:r w:rsidRPr="000C5235">
        <w:t xml:space="preserve"> Annual Estimates </w:t>
      </w:r>
      <w:r w:rsidR="00887163" w:rsidRPr="000C5235">
        <w:sym w:font="Wingdings" w:char="F0E0"/>
      </w:r>
      <w:r w:rsidRPr="000C5235">
        <w:t xml:space="preserve"> AE.OR.02 Annual Estimates and Equity Report </w:t>
      </w:r>
    </w:p>
    <w:p w14:paraId="64E45EE0" w14:textId="77777777" w:rsidR="00FA0945" w:rsidRPr="000C5235" w:rsidRDefault="00DA25E5" w:rsidP="000A7DEC">
      <w:r w:rsidRPr="000C5235">
        <w:t>S</w:t>
      </w:r>
      <w:r w:rsidR="00FA0945" w:rsidRPr="000C5235">
        <w:t>elect “</w:t>
      </w:r>
      <w:r w:rsidR="0072052F" w:rsidRPr="000C5235">
        <w:t>2020-21</w:t>
      </w:r>
      <w:r w:rsidR="00FA0945" w:rsidRPr="000C5235">
        <w:t xml:space="preserve">” as the financial year and “Departmental” as the control type. </w:t>
      </w:r>
    </w:p>
    <w:p w14:paraId="28189AE2" w14:textId="77777777" w:rsidR="00FA0945" w:rsidRPr="000C5235" w:rsidRDefault="00FA0945" w:rsidP="000A7DEC">
      <w:r w:rsidRPr="000C5235">
        <w:t xml:space="preserve">Information to be included in the “Estimated expenditure on new or replacement assets” should be consistent with information included in an entity’s Departmental Capital Management Plan and information contained in their FMIS. </w:t>
      </w:r>
    </w:p>
    <w:p w14:paraId="52FA8BF8" w14:textId="77777777" w:rsidR="007B5CC5" w:rsidRPr="000C5235" w:rsidRDefault="007B5CC5" w:rsidP="000A7DEC">
      <w:bookmarkStart w:id="853" w:name="_Toc411852699"/>
      <w:bookmarkStart w:id="854" w:name="_Toc534382580"/>
      <w:r w:rsidRPr="000C5235">
        <w:br w:type="page"/>
      </w:r>
    </w:p>
    <w:p w14:paraId="70D887F3" w14:textId="77777777" w:rsidR="00FA0945" w:rsidRPr="000C5235" w:rsidRDefault="00FA0945" w:rsidP="000A7DEC">
      <w:pPr>
        <w:pStyle w:val="Heading2Numbered"/>
        <w:rPr>
          <w:rFonts w:ascii="Arial" w:hAnsi="Arial"/>
          <w:spacing w:val="-6"/>
          <w:szCs w:val="34"/>
        </w:rPr>
      </w:pPr>
      <w:bookmarkStart w:id="855" w:name="_Toc53564777"/>
      <w:r w:rsidRPr="000C5235">
        <w:rPr>
          <w:rFonts w:eastAsia="Times New Roman"/>
        </w:rPr>
        <w:t>Administered financial statements</w:t>
      </w:r>
      <w:bookmarkEnd w:id="853"/>
      <w:r w:rsidRPr="000C5235">
        <w:rPr>
          <w:rFonts w:eastAsia="Times New Roman"/>
        </w:rPr>
        <w:t xml:space="preserve"> (Tables 3.7 to 3.11)</w:t>
      </w:r>
      <w:bookmarkEnd w:id="854"/>
      <w:bookmarkEnd w:id="855"/>
    </w:p>
    <w:p w14:paraId="3DE473D5" w14:textId="77777777" w:rsidR="00FA0945" w:rsidRPr="000C5235" w:rsidRDefault="00233EB4" w:rsidP="000A7DEC">
      <w:r w:rsidRPr="000C5235">
        <w:t>The templates for the Administered financial statements (Tables 3.7 to 3.11)</w:t>
      </w:r>
      <w:r w:rsidR="00FA0945" w:rsidRPr="000C5235">
        <w:t xml:space="preserve"> tables can be found in the Excel Tables workbook</w:t>
      </w:r>
      <w:r w:rsidR="00AE6EBC" w:rsidRPr="000C5235">
        <w:t>.</w:t>
      </w:r>
    </w:p>
    <w:p w14:paraId="003C8448" w14:textId="77777777" w:rsidR="00FA0945" w:rsidRPr="000C5235" w:rsidRDefault="00FA0945" w:rsidP="000A7DEC">
      <w:r w:rsidRPr="000C5235">
        <w:t xml:space="preserve">These statements describe the resources managed by the entity on behalf of the Government and the public. </w:t>
      </w:r>
    </w:p>
    <w:p w14:paraId="2CAB5FBA" w14:textId="77777777" w:rsidR="00FA0945" w:rsidRPr="000C5235" w:rsidRDefault="00FA0945" w:rsidP="000A7DEC">
      <w:pPr>
        <w:pStyle w:val="Heading4nonumbers"/>
        <w:rPr>
          <w:rFonts w:ascii="Arial" w:hAnsi="Arial"/>
          <w:spacing w:val="-6"/>
        </w:rPr>
      </w:pPr>
      <w:r w:rsidRPr="000C5235">
        <w:t>Source of information</w:t>
      </w:r>
    </w:p>
    <w:p w14:paraId="4584246F" w14:textId="77777777" w:rsidR="00FA0945" w:rsidRPr="000C5235" w:rsidRDefault="00FA0945" w:rsidP="000A7DEC">
      <w:r w:rsidRPr="000C5235">
        <w:t xml:space="preserve">Information for these tables can be sourced by running the same CBMS reports as Table 3.1 to 3.6 (see Sections </w:t>
      </w:r>
      <w:r w:rsidR="00C870EF" w:rsidRPr="000C5235">
        <w:t>10</w:t>
      </w:r>
      <w:r w:rsidRPr="000C5235">
        <w:t>.</w:t>
      </w:r>
      <w:r w:rsidR="00C870EF" w:rsidRPr="000C5235">
        <w:t>2</w:t>
      </w:r>
      <w:r w:rsidRPr="000C5235">
        <w:t xml:space="preserve"> to </w:t>
      </w:r>
      <w:r w:rsidR="00C870EF" w:rsidRPr="000C5235">
        <w:t>10</w:t>
      </w:r>
      <w:r w:rsidRPr="000C5235">
        <w:t>.7 above</w:t>
      </w:r>
      <w:r w:rsidR="00FD4BA3" w:rsidRPr="000C5235">
        <w:t>) but</w:t>
      </w:r>
      <w:r w:rsidRPr="000C5235">
        <w:t xml:space="preserve"> changing the control type to “Administered”.</w:t>
      </w:r>
    </w:p>
    <w:p w14:paraId="79769195" w14:textId="77777777" w:rsidR="00FA0945" w:rsidRPr="000C5235" w:rsidRDefault="00AF3133" w:rsidP="000A7DEC">
      <w:r w:rsidRPr="000C5235">
        <w:t>T</w:t>
      </w:r>
      <w:r w:rsidR="00FA0945" w:rsidRPr="000C5235">
        <w:t xml:space="preserve">he “net cash appropriation arrangements” note does not apply to Table 3.7: Schedule of budgeted income and expenses administered on behalf of Government, even though it may appear on the CBMS report. </w:t>
      </w:r>
    </w:p>
    <w:p w14:paraId="54BC0A79" w14:textId="77777777" w:rsidR="00FA0945" w:rsidRPr="000C5235" w:rsidRDefault="00FA0945" w:rsidP="000A7DEC">
      <w:pPr>
        <w:pStyle w:val="Heading1Numbered"/>
      </w:pPr>
      <w:r w:rsidRPr="000C5235">
        <w:br w:type="page"/>
      </w:r>
      <w:bookmarkStart w:id="856" w:name="_Toc411852704"/>
      <w:bookmarkStart w:id="857" w:name="_Toc534382581"/>
      <w:bookmarkStart w:id="858" w:name="_Toc53564778"/>
      <w:r w:rsidRPr="000C5235">
        <w:rPr>
          <w:rFonts w:eastAsia="Times New Roman"/>
        </w:rPr>
        <w:t>Related issues</w:t>
      </w:r>
      <w:bookmarkEnd w:id="856"/>
      <w:bookmarkEnd w:id="857"/>
      <w:bookmarkEnd w:id="858"/>
    </w:p>
    <w:p w14:paraId="4CEA9BD9" w14:textId="77777777" w:rsidR="00FA0945" w:rsidRPr="000C5235" w:rsidRDefault="00FA0945" w:rsidP="000A7DEC">
      <w:pPr>
        <w:pStyle w:val="Heading2Numbered"/>
      </w:pPr>
      <w:bookmarkStart w:id="859" w:name="_Machinery_of_Government"/>
      <w:bookmarkStart w:id="860" w:name="_Toc411852705"/>
      <w:bookmarkStart w:id="861" w:name="_Toc534382582"/>
      <w:bookmarkStart w:id="862" w:name="_Ref29395814"/>
      <w:bookmarkStart w:id="863" w:name="_Ref29395943"/>
      <w:bookmarkStart w:id="864" w:name="_Ref29395998"/>
      <w:bookmarkStart w:id="865" w:name="_Ref29396029"/>
      <w:bookmarkStart w:id="866" w:name="_Ref29396037"/>
      <w:bookmarkStart w:id="867" w:name="_Toc53564779"/>
      <w:bookmarkEnd w:id="859"/>
      <w:r w:rsidRPr="000C5235">
        <w:t>Machinery of Government changes</w:t>
      </w:r>
      <w:bookmarkEnd w:id="860"/>
      <w:bookmarkEnd w:id="861"/>
      <w:bookmarkEnd w:id="862"/>
      <w:bookmarkEnd w:id="863"/>
      <w:bookmarkEnd w:id="864"/>
      <w:bookmarkEnd w:id="865"/>
      <w:bookmarkEnd w:id="866"/>
      <w:bookmarkEnd w:id="867"/>
    </w:p>
    <w:p w14:paraId="5F69B024" w14:textId="77777777" w:rsidR="00FA0945" w:rsidRPr="000C5235" w:rsidRDefault="00FA0945" w:rsidP="000A7DEC">
      <w:r w:rsidRPr="000C5235">
        <w:t>Transfers of appropriations under section 75 of the PGPA Act as a result of Administrative Arrangement Order (AAO) changes must be reported in PB Statements and/or PAES.</w:t>
      </w:r>
    </w:p>
    <w:p w14:paraId="74974CE3" w14:textId="77777777" w:rsidR="00FA0945" w:rsidRPr="000C5235" w:rsidRDefault="00FA0945" w:rsidP="000A7DEC">
      <w:r w:rsidRPr="000C5235">
        <w:t>Where section 75 transfers have not been agreed in time to be reported in the PB Statements, entities should note in their PB Statements that further details of the AAO changes will be reported in the next budget statement (</w:t>
      </w:r>
      <w:r w:rsidR="00E10C89" w:rsidRPr="000C5235">
        <w:t>ie</w:t>
      </w:r>
      <w:r w:rsidRPr="000C5235">
        <w:t xml:space="preserve"> PAES).</w:t>
      </w:r>
    </w:p>
    <w:p w14:paraId="6B6D8B4F" w14:textId="77777777" w:rsidR="00FA0945" w:rsidRPr="000C5235" w:rsidRDefault="00FA0945" w:rsidP="000A7DEC">
      <w:r w:rsidRPr="000C5235">
        <w:t xml:space="preserve">Affected entities should use explanatory footnotes to provide more detail and context wherever AAO changes apply. </w:t>
      </w:r>
    </w:p>
    <w:p w14:paraId="648656CC" w14:textId="37732B50" w:rsidR="00FA0945" w:rsidRPr="000C5235" w:rsidRDefault="00FA0945" w:rsidP="000A7DEC">
      <w:r w:rsidRPr="000C5235">
        <w:t xml:space="preserve">Further information on implementing AAO changes can be found on the Australian Public Service Commission’s website </w:t>
      </w:r>
      <w:hyperlink r:id="rId66" w:history="1">
        <w:r w:rsidR="008A3667" w:rsidRPr="000C5235">
          <w:rPr>
            <w:rStyle w:val="Hyperlink"/>
          </w:rPr>
          <w:t>www.apsc.gov.au/publications-and-media/current-publications/machinery-of-government</w:t>
        </w:r>
      </w:hyperlink>
      <w:r w:rsidR="002E150F" w:rsidRPr="000C5235">
        <w:t>.</w:t>
      </w:r>
    </w:p>
    <w:p w14:paraId="10BCCF1E" w14:textId="77777777" w:rsidR="00FA0945" w:rsidRPr="000C5235" w:rsidRDefault="00FA0945" w:rsidP="000A7DEC">
      <w:pPr>
        <w:pStyle w:val="Heading3Numbered"/>
      </w:pPr>
      <w:bookmarkStart w:id="868" w:name="_Toc53564780"/>
      <w:r w:rsidRPr="000C5235">
        <w:t xml:space="preserve">Entity </w:t>
      </w:r>
      <w:r w:rsidR="0079648C" w:rsidRPr="000C5235">
        <w:t>r</w:t>
      </w:r>
      <w:r w:rsidRPr="000C5235">
        <w:t xml:space="preserve">esource </w:t>
      </w:r>
      <w:r w:rsidR="0079648C" w:rsidRPr="000C5235">
        <w:t>s</w:t>
      </w:r>
      <w:r w:rsidRPr="000C5235">
        <w:t>tatement (Table 1.1)</w:t>
      </w:r>
      <w:bookmarkEnd w:id="868"/>
    </w:p>
    <w:p w14:paraId="366260CE" w14:textId="77777777" w:rsidR="00FA0945" w:rsidRPr="000C5235" w:rsidRDefault="00FA0945" w:rsidP="000A7DEC">
      <w:r w:rsidRPr="000C5235">
        <w:t xml:space="preserve">The Entity </w:t>
      </w:r>
      <w:r w:rsidR="00FD4BA3" w:rsidRPr="000C5235">
        <w:t>R</w:t>
      </w:r>
      <w:r w:rsidRPr="000C5235">
        <w:t xml:space="preserve">esource </w:t>
      </w:r>
      <w:r w:rsidR="00FD4BA3" w:rsidRPr="000C5235">
        <w:t>S</w:t>
      </w:r>
      <w:r w:rsidRPr="000C5235">
        <w:t xml:space="preserve">tatement should explain by way of footnote for each affected entity the resourcing impact of functions that are gained and/or transferred, and from/to which entity it was transferred. </w:t>
      </w:r>
    </w:p>
    <w:p w14:paraId="77288D6F" w14:textId="77777777" w:rsidR="00FA0945" w:rsidRPr="000C5235" w:rsidRDefault="00FA0945" w:rsidP="000A7DEC">
      <w:r w:rsidRPr="000C5235">
        <w:t xml:space="preserve">The </w:t>
      </w:r>
      <w:r w:rsidR="00FD4BA3" w:rsidRPr="000C5235">
        <w:t>T</w:t>
      </w:r>
      <w:r w:rsidRPr="000C5235">
        <w:t xml:space="preserve">hird </w:t>
      </w:r>
      <w:r w:rsidR="00FD4BA3" w:rsidRPr="000C5235">
        <w:t>P</w:t>
      </w:r>
      <w:r w:rsidRPr="000C5235">
        <w:t>arty payments section should also reflect functions transferred between portfolios.  Entities should include a footnote describing the changes and the amounts transferred.</w:t>
      </w:r>
    </w:p>
    <w:p w14:paraId="69C6C9EB" w14:textId="77777777" w:rsidR="00FA0945" w:rsidRPr="000C5235" w:rsidRDefault="00FA0945" w:rsidP="000A7DEC">
      <w:pPr>
        <w:pStyle w:val="Heading4nonumbers"/>
      </w:pPr>
      <w:r w:rsidRPr="000C5235">
        <w:t>Gaining entities</w:t>
      </w:r>
    </w:p>
    <w:p w14:paraId="0A3D1A1C" w14:textId="77777777" w:rsidR="00FA0945" w:rsidRPr="000C5235" w:rsidRDefault="00FA0945" w:rsidP="000A7DEC">
      <w:r w:rsidRPr="000C5235">
        <w:t>These are entities that gain functions under the new AAOs.</w:t>
      </w:r>
    </w:p>
    <w:p w14:paraId="651F6090" w14:textId="77777777" w:rsidR="00FA0945" w:rsidRPr="000C5235" w:rsidRDefault="00FA0945">
      <w:pPr>
        <w:pStyle w:val="Bullet1"/>
      </w:pPr>
      <w:r w:rsidRPr="000C5235">
        <w:t>The “201</w:t>
      </w:r>
      <w:r w:rsidR="004932F4" w:rsidRPr="000C5235">
        <w:t>9</w:t>
      </w:r>
      <w:r w:rsidR="00F415C5" w:rsidRPr="000C5235">
        <w:t>-</w:t>
      </w:r>
      <w:r w:rsidR="004932F4" w:rsidRPr="000C5235">
        <w:t>20</w:t>
      </w:r>
      <w:r w:rsidRPr="000C5235">
        <w:t xml:space="preserve"> </w:t>
      </w:r>
      <w:r w:rsidR="00960812" w:rsidRPr="000C5235">
        <w:t>E</w:t>
      </w:r>
      <w:r w:rsidRPr="000C5235">
        <w:t>stimate</w:t>
      </w:r>
      <w:r w:rsidR="00960812" w:rsidRPr="000C5235">
        <w:t>d Actual</w:t>
      </w:r>
      <w:r w:rsidRPr="000C5235">
        <w:t xml:space="preserve">” column should reflect all the resources available to the entity, </w:t>
      </w:r>
      <w:r w:rsidRPr="000C5235">
        <w:rPr>
          <w:u w:val="single"/>
        </w:rPr>
        <w:t>including</w:t>
      </w:r>
      <w:r w:rsidRPr="000C5235">
        <w:t xml:space="preserve"> resourcing for those functions it has gained</w:t>
      </w:r>
    </w:p>
    <w:p w14:paraId="7FC85D95" w14:textId="77777777" w:rsidR="00FA0945" w:rsidRPr="000C5235" w:rsidRDefault="00FA0945">
      <w:pPr>
        <w:pStyle w:val="Bullet2"/>
      </w:pPr>
      <w:r w:rsidRPr="000C5235">
        <w:t>Where the AAO changes occur part-way through a financial year, the gaining entity should only show those resources available from the agreed date of effect of the AAO changes onwards</w:t>
      </w:r>
    </w:p>
    <w:p w14:paraId="44BB2533" w14:textId="77777777" w:rsidR="00FA0945" w:rsidRPr="000C5235" w:rsidRDefault="00FA0945">
      <w:pPr>
        <w:pStyle w:val="Bullet1"/>
      </w:pPr>
      <w:r w:rsidRPr="000C5235">
        <w:t xml:space="preserve">Entities should include a footnote to </w:t>
      </w:r>
      <w:r w:rsidRPr="000C5235">
        <w:rPr>
          <w:i/>
        </w:rPr>
        <w:t>Table 1.1</w:t>
      </w:r>
      <w:r w:rsidRPr="000C5235">
        <w:t xml:space="preserve"> detailing the effects of the AAO changes.</w:t>
      </w:r>
    </w:p>
    <w:p w14:paraId="5A8EE9F8" w14:textId="77777777" w:rsidR="00FA0945" w:rsidRPr="000C5235" w:rsidRDefault="00FA0945" w:rsidP="000A7DEC">
      <w:pPr>
        <w:pStyle w:val="Heading4nonumbers"/>
      </w:pPr>
      <w:r w:rsidRPr="000C5235">
        <w:t>Losing entities</w:t>
      </w:r>
    </w:p>
    <w:p w14:paraId="37B2C422" w14:textId="77777777" w:rsidR="00FA0945" w:rsidRPr="000C5235" w:rsidRDefault="00FA0945" w:rsidP="000A7DEC">
      <w:r w:rsidRPr="000C5235">
        <w:t>These are entities that lose functions under the new AAOs.</w:t>
      </w:r>
    </w:p>
    <w:p w14:paraId="601B1B8D" w14:textId="77777777" w:rsidR="00FA0945" w:rsidRPr="000C5235" w:rsidRDefault="00FA0945">
      <w:pPr>
        <w:pStyle w:val="Bullet1"/>
      </w:pPr>
      <w:r w:rsidRPr="000C5235">
        <w:t>The “</w:t>
      </w:r>
      <w:r w:rsidR="00F415C5" w:rsidRPr="000C5235">
        <w:t>201</w:t>
      </w:r>
      <w:r w:rsidR="004932F4" w:rsidRPr="000C5235">
        <w:t>9</w:t>
      </w:r>
      <w:r w:rsidR="00F415C5" w:rsidRPr="000C5235">
        <w:t>-</w:t>
      </w:r>
      <w:r w:rsidR="004932F4" w:rsidRPr="000C5235">
        <w:t>20</w:t>
      </w:r>
      <w:r w:rsidRPr="000C5235">
        <w:t xml:space="preserve"> </w:t>
      </w:r>
      <w:r w:rsidR="00511313" w:rsidRPr="000C5235">
        <w:t>E</w:t>
      </w:r>
      <w:r w:rsidRPr="000C5235">
        <w:t>stimate</w:t>
      </w:r>
      <w:r w:rsidR="00511313" w:rsidRPr="000C5235">
        <w:t>d Actual</w:t>
      </w:r>
      <w:r w:rsidRPr="000C5235">
        <w:t xml:space="preserve">” column should reflect all the resources available to the entity, </w:t>
      </w:r>
      <w:r w:rsidRPr="000C5235">
        <w:rPr>
          <w:u w:val="single"/>
        </w:rPr>
        <w:t>excluding</w:t>
      </w:r>
      <w:r w:rsidRPr="000C5235">
        <w:t xml:space="preserve"> those functions it has lost</w:t>
      </w:r>
    </w:p>
    <w:p w14:paraId="0AFCC9D7" w14:textId="77777777" w:rsidR="00FA0945" w:rsidRPr="000C5235" w:rsidRDefault="00FA0945">
      <w:pPr>
        <w:pStyle w:val="Bullet2"/>
      </w:pPr>
      <w:bookmarkStart w:id="869" w:name="_Toc411852706"/>
      <w:r w:rsidRPr="000C5235">
        <w:t>Where the AAO changes occur part-way through a financial year, the losing entity should only show those resources available up to the agreed date of effect of the AAO changes</w:t>
      </w:r>
    </w:p>
    <w:p w14:paraId="1ED7F9E0" w14:textId="77777777" w:rsidR="00FA0945" w:rsidRPr="000C5235" w:rsidRDefault="00FA0945">
      <w:pPr>
        <w:pStyle w:val="Bullet1"/>
      </w:pPr>
      <w:r w:rsidRPr="000C5235">
        <w:t xml:space="preserve">Entities should include a footnote to </w:t>
      </w:r>
      <w:r w:rsidRPr="000C5235">
        <w:rPr>
          <w:i/>
        </w:rPr>
        <w:t>Table 1.1</w:t>
      </w:r>
      <w:r w:rsidRPr="000C5235">
        <w:t xml:space="preserve"> detailing the effects of the AAO changes.</w:t>
      </w:r>
    </w:p>
    <w:p w14:paraId="5E99C5C3" w14:textId="77777777" w:rsidR="00FA0945" w:rsidRPr="000C5235" w:rsidRDefault="00FA0945" w:rsidP="000A7DEC">
      <w:pPr>
        <w:pStyle w:val="Heading3Numbered"/>
      </w:pPr>
      <w:bookmarkStart w:id="870" w:name="_Toc53564781"/>
      <w:r w:rsidRPr="000C5235">
        <w:t>Outcome information</w:t>
      </w:r>
      <w:bookmarkEnd w:id="870"/>
    </w:p>
    <w:p w14:paraId="4C44BD4E" w14:textId="77777777" w:rsidR="00FA0945" w:rsidRPr="000C5235" w:rsidRDefault="00FA0945" w:rsidP="000A7DEC">
      <w:r w:rsidRPr="000C5235">
        <w:t>Entities should describe any changes to outcome and program structures as a result of AAO changes to Section 2 of their PB Statements, including information on functions/entities transferred and to/from whom.</w:t>
      </w:r>
    </w:p>
    <w:p w14:paraId="041F2FA8" w14:textId="77777777" w:rsidR="00FA0945" w:rsidRPr="000C5235" w:rsidRDefault="00FA0945">
      <w:pPr>
        <w:pStyle w:val="Bullet1"/>
      </w:pPr>
      <w:r w:rsidRPr="000C5235">
        <w:t>Outcome statements presented must be those approved by the Minister for Finance (or his delegate), and program names/structures must be those approved by Finance and as reported in CBMS.</w:t>
      </w:r>
    </w:p>
    <w:p w14:paraId="3B73FD19" w14:textId="77777777" w:rsidR="00FA0945" w:rsidRPr="000C5235" w:rsidRDefault="00FA0945">
      <w:pPr>
        <w:pStyle w:val="Bullet2"/>
      </w:pPr>
      <w:r w:rsidRPr="000C5235">
        <w:t xml:space="preserve">An optional template for showing outcome and program changes is included in the “Table 2 optional” tab of the Excel Tables workbook (available from </w:t>
      </w:r>
      <w:r w:rsidR="00F415C5" w:rsidRPr="000C5235">
        <w:t>CBMS User Reference Material</w:t>
      </w:r>
      <w:r w:rsidRPr="000C5235">
        <w:t xml:space="preserve"> in CBMS). Entities may choose to show outcome and program changes in an alternative table or pictorial format – the presentation chosen will depend on the scope of the changes. </w:t>
      </w:r>
    </w:p>
    <w:p w14:paraId="6BC18358" w14:textId="77777777" w:rsidR="00FA0945" w:rsidRPr="000C5235" w:rsidRDefault="00FA0945">
      <w:pPr>
        <w:pStyle w:val="Bullet1"/>
      </w:pPr>
      <w:r w:rsidRPr="000C5235">
        <w:t xml:space="preserve">Previous year actuals figures reported in </w:t>
      </w:r>
      <w:r w:rsidRPr="000C5235">
        <w:rPr>
          <w:i/>
        </w:rPr>
        <w:t>Table 2.X.1 (Budgeted expenses by Outcome X)</w:t>
      </w:r>
      <w:r w:rsidRPr="000C5235">
        <w:t xml:space="preserve"> should match expense figures captured in CBMS. </w:t>
      </w:r>
    </w:p>
    <w:p w14:paraId="79D8A9F2" w14:textId="77777777" w:rsidR="00FA0945" w:rsidRPr="000C5235" w:rsidRDefault="00FA0945">
      <w:pPr>
        <w:pStyle w:val="Bullet2"/>
      </w:pPr>
      <w:r w:rsidRPr="000C5235">
        <w:t>Gaining entities are not required to report prior year actual (</w:t>
      </w:r>
      <w:r w:rsidR="00E10C89" w:rsidRPr="000C5235">
        <w:t>ie</w:t>
      </w:r>
      <w:r w:rsidRPr="000C5235">
        <w:t xml:space="preserve"> </w:t>
      </w:r>
      <w:r w:rsidR="00FB16C1" w:rsidRPr="000C5235">
        <w:t>2018-19</w:t>
      </w:r>
      <w:r w:rsidRPr="000C5235">
        <w:t xml:space="preserve">) for functions gained in the </w:t>
      </w:r>
      <w:r w:rsidR="00927D41" w:rsidRPr="000C5235">
        <w:t xml:space="preserve">previous </w:t>
      </w:r>
      <w:r w:rsidR="00F415C5" w:rsidRPr="000C5235">
        <w:t>financial year (</w:t>
      </w:r>
      <w:r w:rsidR="00E10C89" w:rsidRPr="000C5235">
        <w:t>ie</w:t>
      </w:r>
      <w:r w:rsidR="00F415C5" w:rsidRPr="000C5235">
        <w:t xml:space="preserve"> </w:t>
      </w:r>
      <w:r w:rsidR="00511313" w:rsidRPr="000C5235">
        <w:t>2019-20</w:t>
      </w:r>
      <w:r w:rsidRPr="000C5235">
        <w:t>) – they should however include a reference to the losing entity’s PAES and/or upcoming annual report for further information</w:t>
      </w:r>
    </w:p>
    <w:p w14:paraId="07FCA72C" w14:textId="77777777" w:rsidR="00FA0945" w:rsidRPr="000C5235" w:rsidRDefault="00FA0945">
      <w:pPr>
        <w:pStyle w:val="Bullet2"/>
      </w:pPr>
      <w:r w:rsidRPr="000C5235">
        <w:t>Losing entities should show</w:t>
      </w:r>
      <w:r w:rsidR="00F415C5" w:rsidRPr="000C5235">
        <w:t xml:space="preserve"> prior year actual (</w:t>
      </w:r>
      <w:r w:rsidR="00E10C89" w:rsidRPr="000C5235">
        <w:t>ie</w:t>
      </w:r>
      <w:r w:rsidR="00F415C5" w:rsidRPr="000C5235">
        <w:t xml:space="preserve"> </w:t>
      </w:r>
      <w:r w:rsidR="00511313" w:rsidRPr="000C5235">
        <w:t>2018-19</w:t>
      </w:r>
      <w:r w:rsidRPr="000C5235">
        <w:t xml:space="preserve">) for functions lost in the </w:t>
      </w:r>
      <w:r w:rsidR="00927D41" w:rsidRPr="000C5235">
        <w:t xml:space="preserve">previous </w:t>
      </w:r>
      <w:r w:rsidR="00F415C5" w:rsidRPr="000C5235">
        <w:t>financial year (</w:t>
      </w:r>
      <w:r w:rsidR="00E10C89" w:rsidRPr="000C5235">
        <w:t>ie</w:t>
      </w:r>
      <w:r w:rsidR="00F415C5" w:rsidRPr="000C5235">
        <w:t xml:space="preserve"> </w:t>
      </w:r>
      <w:r w:rsidR="00511313" w:rsidRPr="000C5235">
        <w:t>2019-20</w:t>
      </w:r>
      <w:r w:rsidRPr="000C5235">
        <w:t>), or describe where such information can be found, for example, in the entity’s PAES and/or upcoming annual report</w:t>
      </w:r>
    </w:p>
    <w:p w14:paraId="02A5F903" w14:textId="5851790C" w:rsidR="00FA0945" w:rsidRPr="000C5235" w:rsidRDefault="00FA0945">
      <w:pPr>
        <w:pStyle w:val="Bullet2"/>
      </w:pPr>
      <w:r w:rsidRPr="000C5235">
        <w:t xml:space="preserve">Further information on reporting AAO changes in financial statements can be found at </w:t>
      </w:r>
      <w:hyperlink r:id="rId67" w:history="1">
        <w:r w:rsidR="00E02C97" w:rsidRPr="000C5235">
          <w:rPr>
            <w:rStyle w:val="Hyperlink"/>
            <w:rFonts w:cs="Times New Roman"/>
          </w:rPr>
          <w:t>www.finance.gov.au/publications/resource-management-guides/commonwealth-entities-financial-statements-guide-rmg-125</w:t>
        </w:r>
      </w:hyperlink>
      <w:r w:rsidR="00427A89" w:rsidRPr="000C5235">
        <w:t>. For enquiries</w:t>
      </w:r>
      <w:r w:rsidR="00FB16C1" w:rsidRPr="000C5235">
        <w:t>, please</w:t>
      </w:r>
      <w:r w:rsidR="00427A89" w:rsidRPr="000C5235">
        <w:t xml:space="preserve"> contact your AAU in the first instance. </w:t>
      </w:r>
    </w:p>
    <w:p w14:paraId="344E9A25" w14:textId="77777777" w:rsidR="00FA0945" w:rsidRPr="000C5235" w:rsidRDefault="00FA0945" w:rsidP="000A7DEC">
      <w:pPr>
        <w:pStyle w:val="Heading3Numbered"/>
      </w:pPr>
      <w:bookmarkStart w:id="871" w:name="_Toc53564782"/>
      <w:r w:rsidRPr="000C5235">
        <w:t>Budgeted financial statements</w:t>
      </w:r>
      <w:bookmarkEnd w:id="871"/>
    </w:p>
    <w:p w14:paraId="467C3DCF" w14:textId="77777777" w:rsidR="00FA0945" w:rsidRPr="000C5235" w:rsidRDefault="00FA0945" w:rsidP="000A7DEC">
      <w:r w:rsidRPr="000C5235">
        <w:t>Entities’ financial statements should reflect the financial impact of functions/activities/programs transferred.</w:t>
      </w:r>
    </w:p>
    <w:p w14:paraId="275BF9CE" w14:textId="77777777" w:rsidR="00FA0945" w:rsidRPr="000C5235" w:rsidRDefault="00FA0945">
      <w:pPr>
        <w:pStyle w:val="Bullet1"/>
      </w:pPr>
      <w:r w:rsidRPr="000C5235">
        <w:t>Gaining entities should report the financial impact of the AAO changes from the agreed date of transfer onwards</w:t>
      </w:r>
    </w:p>
    <w:p w14:paraId="0E8B11E1" w14:textId="77777777" w:rsidR="00FA0945" w:rsidRPr="000C5235" w:rsidRDefault="00FA0945">
      <w:pPr>
        <w:pStyle w:val="Bullet1"/>
      </w:pPr>
      <w:r w:rsidRPr="000C5235">
        <w:t>Losing entities should report the financial impact of the AAO changes up to the agreed date of transfer.</w:t>
      </w:r>
    </w:p>
    <w:p w14:paraId="0839A781" w14:textId="77777777" w:rsidR="00BD51B0" w:rsidRPr="000C5235" w:rsidRDefault="00BD51B0" w:rsidP="000A7DEC">
      <w:pPr>
        <w:pStyle w:val="Heading3Numbered"/>
      </w:pPr>
      <w:bookmarkStart w:id="872" w:name="_Toc53564783"/>
      <w:r w:rsidRPr="000C5235">
        <w:t>Other important information</w:t>
      </w:r>
      <w:bookmarkEnd w:id="872"/>
    </w:p>
    <w:p w14:paraId="26DBAD46" w14:textId="77777777" w:rsidR="00FA0945" w:rsidRPr="000C5235" w:rsidRDefault="00FA0945" w:rsidP="000A7DEC">
      <w:pPr>
        <w:pStyle w:val="Heading4nonumbers"/>
      </w:pPr>
      <w:bookmarkStart w:id="873" w:name="Review_AAOs_Other_important_Info"/>
      <w:bookmarkEnd w:id="873"/>
      <w:r w:rsidRPr="000C5235">
        <w:t>Subsequent AAO changes following the PB Statements</w:t>
      </w:r>
    </w:p>
    <w:p w14:paraId="54930CC0" w14:textId="77777777" w:rsidR="00FA0945" w:rsidRPr="000C5235" w:rsidRDefault="00FA0945" w:rsidP="000A7DEC">
      <w:r w:rsidRPr="000C5235">
        <w:t>AAO changes can be announced at any time. This can occasionally be after the preparation of the Appropriation Bills has commenced or after the PB Statements have been completed but not yet tabled in Parliament.</w:t>
      </w:r>
    </w:p>
    <w:p w14:paraId="285D160A" w14:textId="77777777" w:rsidR="004215DD" w:rsidRPr="000C5235" w:rsidRDefault="00FA0945" w:rsidP="000A7DEC">
      <w:pPr>
        <w:rPr>
          <w:rFonts w:eastAsia="Cambria" w:cs="Times New Roman"/>
        </w:rPr>
      </w:pPr>
      <w:r w:rsidRPr="000C5235">
        <w:t>If changes are announced so close to the presentation of the Appropriation Bills to Parliament that neither the Bills nor the budget statements can reflect the announced changes, these should be explained in the next budget statements and subsequently in the entity’s annual report.</w:t>
      </w:r>
    </w:p>
    <w:p w14:paraId="162353E1" w14:textId="77777777" w:rsidR="00FA0945" w:rsidRPr="000C5235" w:rsidRDefault="00FA0945" w:rsidP="000A7DEC">
      <w:pPr>
        <w:pStyle w:val="Heading4nonumbers"/>
      </w:pPr>
      <w:bookmarkStart w:id="874" w:name="_Toc536108599"/>
      <w:bookmarkStart w:id="875" w:name="_Toc534382583"/>
      <w:bookmarkEnd w:id="874"/>
      <w:r w:rsidRPr="000C5235">
        <w:t>Program and outcome changes</w:t>
      </w:r>
      <w:bookmarkEnd w:id="869"/>
      <w:bookmarkEnd w:id="875"/>
    </w:p>
    <w:p w14:paraId="645594D6" w14:textId="77777777" w:rsidR="00FA0945" w:rsidRPr="000C5235" w:rsidRDefault="00FA0945" w:rsidP="000A7DEC">
      <w:r w:rsidRPr="000C5235">
        <w:t>Changes to outcomes and programs cannot be reflected in the PB Statements until the requisite approval from Finance and/or the Minister has been received.</w:t>
      </w:r>
    </w:p>
    <w:p w14:paraId="423BB520" w14:textId="77777777" w:rsidR="000B4CED" w:rsidRPr="000C5235" w:rsidRDefault="00FA0945" w:rsidP="000A7DEC">
      <w:r w:rsidRPr="000C5235">
        <w:t xml:space="preserve">For information on changing programs and/or outcomes, please refer to </w:t>
      </w:r>
      <w:r w:rsidR="000B4CED" w:rsidRPr="000C5235">
        <w:t xml:space="preserve">the latest EM on </w:t>
      </w:r>
      <w:r w:rsidRPr="000C5235">
        <w:t xml:space="preserve">the Outcome Statements </w:t>
      </w:r>
      <w:r w:rsidR="000B4CED" w:rsidRPr="000C5235">
        <w:t>and Programs.</w:t>
      </w:r>
    </w:p>
    <w:p w14:paraId="07A06F3C" w14:textId="2A4D8637" w:rsidR="00B06B0D" w:rsidRPr="000C5235" w:rsidRDefault="000B4CED" w:rsidP="002F164F">
      <w:pPr>
        <w:rPr>
          <w:rStyle w:val="Hyperlink"/>
          <w:color w:val="auto"/>
          <w:u w:val="none"/>
        </w:rPr>
      </w:pPr>
      <w:r w:rsidRPr="000C5235">
        <w:t>The p</w:t>
      </w:r>
      <w:r w:rsidR="00FA0945" w:rsidRPr="000C5235">
        <w:t xml:space="preserve">olicy and </w:t>
      </w:r>
      <w:r w:rsidRPr="000C5235">
        <w:t>a</w:t>
      </w:r>
      <w:r w:rsidR="00FA0945" w:rsidRPr="000C5235">
        <w:t xml:space="preserve">pproval </w:t>
      </w:r>
      <w:r w:rsidR="00CC3256" w:rsidRPr="000C5235">
        <w:t>p</w:t>
      </w:r>
      <w:r w:rsidR="00FA0945" w:rsidRPr="000C5235">
        <w:t xml:space="preserve">rocess </w:t>
      </w:r>
      <w:r w:rsidRPr="000C5235">
        <w:t xml:space="preserve">for outcomes and programs </w:t>
      </w:r>
      <w:r w:rsidR="00B06B0D" w:rsidRPr="000C5235">
        <w:t>changes please refer to</w:t>
      </w:r>
      <w:r w:rsidR="002F164F" w:rsidRPr="000C5235">
        <w:t xml:space="preserve"> section </w:t>
      </w:r>
      <w:r w:rsidR="002F164F" w:rsidRPr="000C5235">
        <w:rPr>
          <w:i/>
          <w:color w:val="0070C0"/>
          <w:u w:val="single"/>
        </w:rPr>
        <w:fldChar w:fldCharType="begin"/>
      </w:r>
      <w:r w:rsidR="002F164F" w:rsidRPr="000C5235">
        <w:rPr>
          <w:i/>
          <w:color w:val="0070C0"/>
          <w:u w:val="single"/>
        </w:rPr>
        <w:instrText xml:space="preserve"> REF _Ref33522177 \r \h  \* MERGEFORMAT </w:instrText>
      </w:r>
      <w:r w:rsidR="002F164F" w:rsidRPr="000C5235">
        <w:rPr>
          <w:i/>
          <w:color w:val="0070C0"/>
          <w:u w:val="single"/>
        </w:rPr>
      </w:r>
      <w:r w:rsidR="002F164F" w:rsidRPr="000C5235">
        <w:rPr>
          <w:i/>
          <w:color w:val="0070C0"/>
          <w:u w:val="single"/>
        </w:rPr>
        <w:fldChar w:fldCharType="separate"/>
      </w:r>
      <w:r w:rsidR="00507230">
        <w:rPr>
          <w:i/>
          <w:color w:val="0070C0"/>
          <w:u w:val="single"/>
        </w:rPr>
        <w:t>10.3</w:t>
      </w:r>
      <w:r w:rsidR="002F164F" w:rsidRPr="000C5235">
        <w:rPr>
          <w:i/>
          <w:color w:val="0070C0"/>
          <w:u w:val="single"/>
        </w:rPr>
        <w:fldChar w:fldCharType="end"/>
      </w:r>
      <w:r w:rsidR="002F164F" w:rsidRPr="000C5235">
        <w:rPr>
          <w:i/>
          <w:color w:val="0070C0"/>
          <w:u w:val="single"/>
        </w:rPr>
        <w:t xml:space="preserve"> </w:t>
      </w:r>
      <w:r w:rsidR="002F164F" w:rsidRPr="000C5235">
        <w:rPr>
          <w:i/>
          <w:color w:val="0070C0"/>
          <w:u w:val="single"/>
        </w:rPr>
        <w:fldChar w:fldCharType="begin"/>
      </w:r>
      <w:r w:rsidR="002F164F" w:rsidRPr="000C5235">
        <w:rPr>
          <w:i/>
          <w:color w:val="0070C0"/>
          <w:u w:val="single"/>
        </w:rPr>
        <w:instrText xml:space="preserve"> REF _Ref33522182 \h  \* MERGEFORMAT </w:instrText>
      </w:r>
      <w:r w:rsidR="002F164F" w:rsidRPr="000C5235">
        <w:rPr>
          <w:i/>
          <w:color w:val="0070C0"/>
          <w:u w:val="single"/>
        </w:rPr>
      </w:r>
      <w:r w:rsidR="002F164F" w:rsidRPr="000C5235">
        <w:rPr>
          <w:i/>
          <w:color w:val="0070C0"/>
          <w:u w:val="single"/>
        </w:rPr>
        <w:fldChar w:fldCharType="separate"/>
      </w:r>
      <w:r w:rsidR="00507230" w:rsidRPr="00507230">
        <w:rPr>
          <w:rFonts w:eastAsia="Times New Roman"/>
          <w:i/>
          <w:color w:val="0070C0"/>
          <w:u w:val="single"/>
        </w:rPr>
        <w:t>Outcome statements</w:t>
      </w:r>
      <w:r w:rsidR="002F164F" w:rsidRPr="000C5235">
        <w:rPr>
          <w:i/>
          <w:color w:val="0070C0"/>
          <w:u w:val="single"/>
        </w:rPr>
        <w:fldChar w:fldCharType="end"/>
      </w:r>
      <w:r w:rsidR="002F164F" w:rsidRPr="000C5235">
        <w:t xml:space="preserve"> </w:t>
      </w:r>
      <w:r w:rsidR="002F164F" w:rsidRPr="000C5235">
        <w:fldChar w:fldCharType="begin"/>
      </w:r>
      <w:r w:rsidR="002F164F" w:rsidRPr="000C5235">
        <w:instrText xml:space="preserve"> REF _Ref33522184 \p \h </w:instrText>
      </w:r>
      <w:r w:rsidR="008B029A" w:rsidRPr="000C5235">
        <w:instrText xml:space="preserve"> \* MERGEFORMAT </w:instrText>
      </w:r>
      <w:r w:rsidR="002F164F" w:rsidRPr="000C5235">
        <w:fldChar w:fldCharType="separate"/>
      </w:r>
      <w:r w:rsidR="00507230">
        <w:t>above</w:t>
      </w:r>
      <w:r w:rsidR="002F164F" w:rsidRPr="000C5235">
        <w:fldChar w:fldCharType="end"/>
      </w:r>
      <w:r w:rsidR="002F164F" w:rsidRPr="000C5235">
        <w:t xml:space="preserve"> </w:t>
      </w:r>
      <w:r w:rsidR="00B06B0D" w:rsidRPr="000C5235">
        <w:t>of this guidance for further information on outcome and program changes.</w:t>
      </w:r>
    </w:p>
    <w:p w14:paraId="30D805C6" w14:textId="388F4BF8" w:rsidR="00FA0945" w:rsidRPr="000C5235" w:rsidRDefault="00FA0945" w:rsidP="000A7DEC">
      <w:pPr>
        <w:pStyle w:val="Heading1Numbered"/>
      </w:pPr>
      <w:bookmarkStart w:id="876" w:name="_Toc29394574"/>
      <w:bookmarkStart w:id="877" w:name="_Toc29394872"/>
      <w:bookmarkStart w:id="878" w:name="_Toc29394999"/>
      <w:bookmarkStart w:id="879" w:name="_Toc29395396"/>
      <w:bookmarkStart w:id="880" w:name="_Toc29395483"/>
      <w:bookmarkStart w:id="881" w:name="_Toc29396914"/>
      <w:bookmarkStart w:id="882" w:name="_Toc29478156"/>
      <w:bookmarkStart w:id="883" w:name="_Toc29481894"/>
      <w:bookmarkStart w:id="884" w:name="_Toc29544198"/>
      <w:bookmarkStart w:id="885" w:name="_Toc29544785"/>
      <w:bookmarkStart w:id="886" w:name="_Toc29544860"/>
      <w:bookmarkStart w:id="887" w:name="_Toc29546724"/>
      <w:bookmarkStart w:id="888" w:name="_Toc29980741"/>
      <w:bookmarkStart w:id="889" w:name="_Toc30405629"/>
      <w:bookmarkStart w:id="890" w:name="_Toc30581370"/>
      <w:bookmarkStart w:id="891" w:name="_Toc32830032"/>
      <w:bookmarkStart w:id="892" w:name="_Toc32917539"/>
      <w:bookmarkStart w:id="893" w:name="_Toc32918345"/>
      <w:bookmarkStart w:id="894" w:name="_Toc32999728"/>
      <w:bookmarkStart w:id="895" w:name="_Toc33099452"/>
      <w:bookmarkStart w:id="896" w:name="_Toc33196077"/>
      <w:bookmarkStart w:id="897" w:name="_Toc33196379"/>
      <w:bookmarkStart w:id="898" w:name="_Toc411852707"/>
      <w:bookmarkStart w:id="899" w:name="_Toc534382584"/>
      <w:bookmarkStart w:id="900" w:name="_Toc53564784"/>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0C5235">
        <w:t xml:space="preserve">Working with </w:t>
      </w:r>
      <w:bookmarkEnd w:id="6"/>
      <w:bookmarkEnd w:id="898"/>
      <w:r w:rsidRPr="000C5235">
        <w:t>the templates</w:t>
      </w:r>
      <w:bookmarkEnd w:id="899"/>
      <w:bookmarkEnd w:id="900"/>
    </w:p>
    <w:p w14:paraId="6A624083" w14:textId="20F44BAA" w:rsidR="00FA0945" w:rsidRPr="000C5235" w:rsidRDefault="00FA0945" w:rsidP="000A7DEC">
      <w:pPr>
        <w:pStyle w:val="Heading2Numbered"/>
      </w:pPr>
      <w:bookmarkStart w:id="901" w:name="_Toc53564785"/>
      <w:r w:rsidRPr="000C5235">
        <w:t>Saving the files</w:t>
      </w:r>
      <w:bookmarkEnd w:id="901"/>
    </w:p>
    <w:p w14:paraId="5651DBA6" w14:textId="77777777" w:rsidR="00FA0945" w:rsidRPr="000C5235" w:rsidRDefault="00FA0945" w:rsidP="000A7DEC">
      <w:r w:rsidRPr="000C5235">
        <w:rPr>
          <w:u w:val="single"/>
        </w:rPr>
        <w:t>Do not</w:t>
      </w:r>
      <w:r w:rsidRPr="000C5235">
        <w:t xml:space="preserve"> open and save the files.  Use your email program to save the attachments. For example, using Outlook 2016:</w:t>
      </w:r>
    </w:p>
    <w:p w14:paraId="1D644506" w14:textId="77777777" w:rsidR="00FA0945" w:rsidRPr="000C5235" w:rsidRDefault="00FA0945" w:rsidP="005D722E">
      <w:pPr>
        <w:pStyle w:val="Numbered"/>
        <w:numPr>
          <w:ilvl w:val="0"/>
          <w:numId w:val="207"/>
        </w:numPr>
      </w:pPr>
      <w:r w:rsidRPr="000C5235">
        <w:t>Select the email containing the attachments</w:t>
      </w:r>
    </w:p>
    <w:p w14:paraId="2AB8C93A" w14:textId="77777777" w:rsidR="00FA0945" w:rsidRPr="000C5235" w:rsidRDefault="00FA0945" w:rsidP="005D722E">
      <w:pPr>
        <w:pStyle w:val="Numbered"/>
        <w:numPr>
          <w:ilvl w:val="0"/>
          <w:numId w:val="207"/>
        </w:numPr>
      </w:pPr>
      <w:r w:rsidRPr="000C5235">
        <w:t>Click File and select Save Attachments.</w:t>
      </w:r>
    </w:p>
    <w:p w14:paraId="0E0C8BF1" w14:textId="686CA58D" w:rsidR="00FA0945" w:rsidRPr="000C5235" w:rsidRDefault="00FA0945" w:rsidP="000A7DEC">
      <w:pPr>
        <w:pStyle w:val="Heading2Numbered"/>
      </w:pPr>
      <w:bookmarkStart w:id="902" w:name="_Toc53564786"/>
      <w:r w:rsidRPr="000C5235">
        <w:t>Excel table specifications</w:t>
      </w:r>
      <w:bookmarkEnd w:id="902"/>
    </w:p>
    <w:p w14:paraId="1261562C" w14:textId="77777777" w:rsidR="004B345F" w:rsidRPr="000C5235" w:rsidRDefault="00FA0945" w:rsidP="000A7DEC">
      <w:r w:rsidRPr="000C5235">
        <w:t>The Excel Tables have been formatted to B5 size. Should you need to reformat any of the tables, please use the following specifications: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1E0" w:firstRow="1" w:lastRow="1" w:firstColumn="1" w:lastColumn="1" w:noHBand="0" w:noVBand="0"/>
      </w:tblPr>
      <w:tblGrid>
        <w:gridCol w:w="3397"/>
        <w:gridCol w:w="2386"/>
        <w:gridCol w:w="2576"/>
      </w:tblGrid>
      <w:tr w:rsidR="00FA0945" w:rsidRPr="000C5235" w14:paraId="10CFF45E" w14:textId="77777777" w:rsidTr="00DB312F">
        <w:tc>
          <w:tcPr>
            <w:tcW w:w="3397" w:type="dxa"/>
            <w:shd w:val="clear" w:color="auto" w:fill="F2F2F2" w:themeFill="background1" w:themeFillShade="F2"/>
          </w:tcPr>
          <w:p w14:paraId="3B33A39C" w14:textId="77777777" w:rsidR="00FA0945" w:rsidRPr="000C5235" w:rsidRDefault="00FA0945" w:rsidP="00DB312F">
            <w:pPr>
              <w:pStyle w:val="TableText-Medium"/>
            </w:pPr>
            <w:r w:rsidRPr="000C5235">
              <w:t>Font name</w:t>
            </w:r>
          </w:p>
        </w:tc>
        <w:tc>
          <w:tcPr>
            <w:tcW w:w="4962" w:type="dxa"/>
            <w:gridSpan w:val="2"/>
            <w:shd w:val="clear" w:color="auto" w:fill="F2F2F2" w:themeFill="background1" w:themeFillShade="F2"/>
          </w:tcPr>
          <w:p w14:paraId="47187867" w14:textId="77777777" w:rsidR="00FA0945" w:rsidRPr="000C5235" w:rsidRDefault="00FA0945" w:rsidP="00DB312F">
            <w:pPr>
              <w:pStyle w:val="TableText-Medium"/>
            </w:pPr>
            <w:r w:rsidRPr="000C5235">
              <w:t>Arial</w:t>
            </w:r>
          </w:p>
        </w:tc>
      </w:tr>
      <w:tr w:rsidR="00FA0945" w:rsidRPr="000C5235" w14:paraId="1CA21599" w14:textId="77777777" w:rsidTr="00DB312F">
        <w:tc>
          <w:tcPr>
            <w:tcW w:w="3397" w:type="dxa"/>
            <w:shd w:val="clear" w:color="auto" w:fill="F2F2F2" w:themeFill="background1" w:themeFillShade="F2"/>
          </w:tcPr>
          <w:p w14:paraId="14DE71AC" w14:textId="77777777" w:rsidR="00FA0945" w:rsidRPr="000C5235" w:rsidRDefault="00FA0945" w:rsidP="00DB312F">
            <w:pPr>
              <w:pStyle w:val="TableText-Medium"/>
            </w:pPr>
            <w:r w:rsidRPr="000C5235">
              <w:t>Font size</w:t>
            </w:r>
          </w:p>
        </w:tc>
        <w:tc>
          <w:tcPr>
            <w:tcW w:w="4962" w:type="dxa"/>
            <w:gridSpan w:val="2"/>
            <w:shd w:val="clear" w:color="auto" w:fill="F2F2F2" w:themeFill="background1" w:themeFillShade="F2"/>
          </w:tcPr>
          <w:p w14:paraId="34BB9DD0" w14:textId="77777777" w:rsidR="00FA0945" w:rsidRPr="000C5235" w:rsidRDefault="00AE6EBC" w:rsidP="00DB312F">
            <w:pPr>
              <w:pStyle w:val="TableText-Medium"/>
            </w:pPr>
            <w:r w:rsidRPr="000C5235">
              <w:t>8</w:t>
            </w:r>
            <w:r w:rsidR="00FA0945" w:rsidRPr="000C5235">
              <w:t xml:space="preserve"> pts (colour = Black not automatic)</w:t>
            </w:r>
          </w:p>
        </w:tc>
      </w:tr>
      <w:tr w:rsidR="00FA0945" w:rsidRPr="000C5235" w14:paraId="79520573" w14:textId="77777777" w:rsidTr="00DB312F">
        <w:trPr>
          <w:trHeight w:val="900"/>
        </w:trPr>
        <w:tc>
          <w:tcPr>
            <w:tcW w:w="3397" w:type="dxa"/>
            <w:shd w:val="clear" w:color="auto" w:fill="F2F2F2" w:themeFill="background1" w:themeFillShade="F2"/>
          </w:tcPr>
          <w:p w14:paraId="11234AAD" w14:textId="77777777" w:rsidR="00FA0945" w:rsidRPr="000C5235" w:rsidRDefault="00FA0945" w:rsidP="00DB312F">
            <w:pPr>
              <w:pStyle w:val="TableText-Medium"/>
            </w:pPr>
            <w:r w:rsidRPr="000C5235">
              <w:t>Height/width dimensions</w:t>
            </w:r>
          </w:p>
          <w:p w14:paraId="11F49C40" w14:textId="77777777" w:rsidR="00FA0945" w:rsidRPr="000C5235" w:rsidRDefault="00FA0945" w:rsidP="00DB312F">
            <w:pPr>
              <w:pStyle w:val="TableText-Medium"/>
            </w:pPr>
            <w:r w:rsidRPr="000C5235">
              <w:t>Portrait tables</w:t>
            </w:r>
          </w:p>
        </w:tc>
        <w:tc>
          <w:tcPr>
            <w:tcW w:w="4962" w:type="dxa"/>
            <w:gridSpan w:val="2"/>
            <w:shd w:val="clear" w:color="auto" w:fill="F2F2F2" w:themeFill="background1" w:themeFillShade="F2"/>
          </w:tcPr>
          <w:p w14:paraId="701B0F13" w14:textId="77777777" w:rsidR="00FA0945" w:rsidRPr="000C5235" w:rsidRDefault="00FA0945" w:rsidP="00DB312F">
            <w:pPr>
              <w:pStyle w:val="TableText-Medium"/>
            </w:pPr>
            <w:r w:rsidRPr="000C5235">
              <w:t>Width 13.6 cm (13 cm in a shaded cell)</w:t>
            </w:r>
          </w:p>
          <w:p w14:paraId="591E4536" w14:textId="77777777" w:rsidR="00FA0945" w:rsidRPr="000C5235" w:rsidRDefault="00FA0945" w:rsidP="00DB312F">
            <w:pPr>
              <w:pStyle w:val="TableText-Medium"/>
            </w:pPr>
            <w:r w:rsidRPr="000C5235">
              <w:t>Height 21 cm</w:t>
            </w:r>
          </w:p>
        </w:tc>
      </w:tr>
      <w:tr w:rsidR="00FA0945" w:rsidRPr="000C5235" w14:paraId="1213DDE9" w14:textId="77777777" w:rsidTr="00DB312F">
        <w:trPr>
          <w:trHeight w:val="600"/>
        </w:trPr>
        <w:tc>
          <w:tcPr>
            <w:tcW w:w="3397" w:type="dxa"/>
            <w:shd w:val="clear" w:color="auto" w:fill="F2F2F2" w:themeFill="background1" w:themeFillShade="F2"/>
          </w:tcPr>
          <w:p w14:paraId="5AA80F00" w14:textId="77777777" w:rsidR="00FA0945" w:rsidRPr="000C5235" w:rsidRDefault="00FA0945" w:rsidP="00DB312F">
            <w:pPr>
              <w:pStyle w:val="TableText-Medium"/>
            </w:pPr>
            <w:r w:rsidRPr="000C5235">
              <w:t>Landscape</w:t>
            </w:r>
          </w:p>
        </w:tc>
        <w:tc>
          <w:tcPr>
            <w:tcW w:w="4962" w:type="dxa"/>
            <w:gridSpan w:val="2"/>
            <w:shd w:val="clear" w:color="auto" w:fill="F2F2F2" w:themeFill="background1" w:themeFillShade="F2"/>
          </w:tcPr>
          <w:p w14:paraId="7C546783" w14:textId="77777777" w:rsidR="00FA0945" w:rsidRPr="000C5235" w:rsidRDefault="00FA0945" w:rsidP="00DB312F">
            <w:pPr>
              <w:pStyle w:val="TableText-Medium"/>
            </w:pPr>
            <w:r w:rsidRPr="000C5235">
              <w:t>Width 21 cm</w:t>
            </w:r>
          </w:p>
          <w:p w14:paraId="4D13F7BD" w14:textId="77777777" w:rsidR="00FA0945" w:rsidRPr="000C5235" w:rsidRDefault="00FA0945" w:rsidP="00DB312F">
            <w:pPr>
              <w:pStyle w:val="TableText-Medium"/>
            </w:pPr>
            <w:r w:rsidRPr="000C5235">
              <w:t>Height 13.6 cm</w:t>
            </w:r>
          </w:p>
        </w:tc>
      </w:tr>
      <w:tr w:rsidR="00FA0945" w:rsidRPr="000C5235" w14:paraId="444D1EF7" w14:textId="77777777" w:rsidTr="00DB312F">
        <w:trPr>
          <w:trHeight w:val="600"/>
        </w:trPr>
        <w:tc>
          <w:tcPr>
            <w:tcW w:w="3397" w:type="dxa"/>
            <w:shd w:val="clear" w:color="auto" w:fill="F2F2F2" w:themeFill="background1" w:themeFillShade="F2"/>
          </w:tcPr>
          <w:p w14:paraId="1F34FBBA" w14:textId="77777777" w:rsidR="00FA0945" w:rsidRPr="000C5235" w:rsidRDefault="00FA0945" w:rsidP="00DB312F">
            <w:pPr>
              <w:pStyle w:val="TableText-Medium"/>
            </w:pPr>
            <w:r w:rsidRPr="000C5235">
              <w:t>Row height</w:t>
            </w:r>
          </w:p>
          <w:p w14:paraId="4EA9DE5E" w14:textId="77777777" w:rsidR="00FA0945" w:rsidRPr="000C5235" w:rsidRDefault="00FA0945" w:rsidP="00DB312F">
            <w:pPr>
              <w:pStyle w:val="TableText-Medium"/>
            </w:pPr>
            <w:r w:rsidRPr="000C5235">
              <w:t>Text and numbers in the body of table (8pt font size)</w:t>
            </w:r>
          </w:p>
        </w:tc>
        <w:tc>
          <w:tcPr>
            <w:tcW w:w="4962" w:type="dxa"/>
            <w:gridSpan w:val="2"/>
            <w:shd w:val="clear" w:color="auto" w:fill="F2F2F2" w:themeFill="background1" w:themeFillShade="F2"/>
          </w:tcPr>
          <w:p w14:paraId="65C4A725" w14:textId="77777777" w:rsidR="00FA0945" w:rsidRPr="000C5235" w:rsidRDefault="00FA0945" w:rsidP="00DB312F">
            <w:pPr>
              <w:pStyle w:val="TableText-Medium"/>
            </w:pPr>
            <w:r w:rsidRPr="000C5235">
              <w:t xml:space="preserve">Set row height to 11.25 pts </w:t>
            </w:r>
            <w:r w:rsidRPr="000C5235">
              <w:br/>
              <w:t>(Table Row Height button on the Treasury ribbon)</w:t>
            </w:r>
          </w:p>
        </w:tc>
      </w:tr>
      <w:tr w:rsidR="00FA0945" w:rsidRPr="000C5235" w14:paraId="64F075CD" w14:textId="77777777" w:rsidTr="00DB312F">
        <w:trPr>
          <w:trHeight w:val="1050"/>
        </w:trPr>
        <w:tc>
          <w:tcPr>
            <w:tcW w:w="3397" w:type="dxa"/>
            <w:shd w:val="clear" w:color="auto" w:fill="F2F2F2" w:themeFill="background1" w:themeFillShade="F2"/>
          </w:tcPr>
          <w:p w14:paraId="5DA9D27B" w14:textId="77777777" w:rsidR="0082509B" w:rsidRPr="000C5235" w:rsidRDefault="00FA0945" w:rsidP="00DB312F">
            <w:pPr>
              <w:pStyle w:val="TableText-Medium"/>
            </w:pPr>
            <w:r w:rsidRPr="000C5235">
              <w:t>If you need to squeeze a table onto one page, you can reduce the font size in the table to 7.5 pts.</w:t>
            </w:r>
          </w:p>
          <w:p w14:paraId="56FC8FF9" w14:textId="77777777" w:rsidR="00FA0945" w:rsidRPr="000C5235" w:rsidRDefault="0082509B" w:rsidP="00DB312F">
            <w:pPr>
              <w:pStyle w:val="TableText-Medium"/>
            </w:pPr>
            <w:r w:rsidRPr="000C5235">
              <w:rPr>
                <w:color w:val="FF0000"/>
                <w:u w:val="single"/>
              </w:rPr>
              <w:t>N</w:t>
            </w:r>
            <w:r w:rsidR="00FA0945" w:rsidRPr="000C5235">
              <w:rPr>
                <w:color w:val="FF0000"/>
                <w:u w:val="single"/>
              </w:rPr>
              <w:t>ote</w:t>
            </w:r>
            <w:r w:rsidRPr="000C5235">
              <w:rPr>
                <w:color w:val="FF0000"/>
                <w:u w:val="single"/>
              </w:rPr>
              <w:t>:</w:t>
            </w:r>
            <w:r w:rsidR="00FA0945" w:rsidRPr="000C5235">
              <w:rPr>
                <w:color w:val="FF0000"/>
              </w:rPr>
              <w:t xml:space="preserve"> fonts cannot be reduced any smaller than 7.5 pts.</w:t>
            </w:r>
          </w:p>
        </w:tc>
        <w:tc>
          <w:tcPr>
            <w:tcW w:w="4962" w:type="dxa"/>
            <w:gridSpan w:val="2"/>
            <w:shd w:val="clear" w:color="auto" w:fill="F2F2F2" w:themeFill="background1" w:themeFillShade="F2"/>
          </w:tcPr>
          <w:p w14:paraId="322C34C0" w14:textId="77777777" w:rsidR="00FA0945" w:rsidRPr="000C5235" w:rsidRDefault="00FA0945" w:rsidP="00DB312F">
            <w:pPr>
              <w:pStyle w:val="TableText-Medium"/>
            </w:pPr>
            <w:r w:rsidRPr="000C5235">
              <w:t>Set row height to 10.5 pts</w:t>
            </w:r>
          </w:p>
        </w:tc>
      </w:tr>
      <w:tr w:rsidR="00FA0945" w:rsidRPr="000C5235" w14:paraId="1D10FEE8" w14:textId="77777777" w:rsidTr="00DB312F">
        <w:trPr>
          <w:trHeight w:val="285"/>
        </w:trPr>
        <w:tc>
          <w:tcPr>
            <w:tcW w:w="3397" w:type="dxa"/>
            <w:vMerge w:val="restart"/>
            <w:shd w:val="clear" w:color="auto" w:fill="F2F2F2" w:themeFill="background1" w:themeFillShade="F2"/>
          </w:tcPr>
          <w:p w14:paraId="77E42152" w14:textId="77777777" w:rsidR="00FA0945" w:rsidRPr="000C5235" w:rsidRDefault="00FA0945" w:rsidP="00DB312F">
            <w:pPr>
              <w:pStyle w:val="TableText-Medium"/>
            </w:pPr>
            <w:r w:rsidRPr="000C5235">
              <w:t>Table cell alignment</w:t>
            </w:r>
          </w:p>
          <w:p w14:paraId="05DF3D8E" w14:textId="77777777" w:rsidR="00FA0945" w:rsidRPr="000C5235" w:rsidRDefault="00FA0945" w:rsidP="00DB312F">
            <w:pPr>
              <w:pStyle w:val="TableText-Medium"/>
            </w:pPr>
            <w:r w:rsidRPr="000C5235">
              <w:t>Text</w:t>
            </w:r>
          </w:p>
        </w:tc>
        <w:tc>
          <w:tcPr>
            <w:tcW w:w="2386" w:type="dxa"/>
            <w:shd w:val="clear" w:color="auto" w:fill="F2F2F2" w:themeFill="background1" w:themeFillShade="F2"/>
          </w:tcPr>
          <w:p w14:paraId="60492050" w14:textId="77777777" w:rsidR="00FA0945" w:rsidRPr="000C5235" w:rsidRDefault="00FA0945" w:rsidP="00DB312F">
            <w:pPr>
              <w:pStyle w:val="TableText-Medium"/>
            </w:pPr>
            <w:r w:rsidRPr="000C5235">
              <w:t>Horizontal</w:t>
            </w:r>
          </w:p>
        </w:tc>
        <w:tc>
          <w:tcPr>
            <w:tcW w:w="2576" w:type="dxa"/>
            <w:shd w:val="clear" w:color="auto" w:fill="F2F2F2" w:themeFill="background1" w:themeFillShade="F2"/>
          </w:tcPr>
          <w:p w14:paraId="706991F3" w14:textId="77777777" w:rsidR="00FA0945" w:rsidRPr="000C5235" w:rsidRDefault="00FA0945" w:rsidP="00DB312F">
            <w:pPr>
              <w:pStyle w:val="TableText-Medium"/>
            </w:pPr>
            <w:r w:rsidRPr="000C5235">
              <w:t>Vertical</w:t>
            </w:r>
          </w:p>
        </w:tc>
      </w:tr>
      <w:tr w:rsidR="00FA0945" w:rsidRPr="000C5235" w14:paraId="75D35649" w14:textId="77777777" w:rsidTr="00DB312F">
        <w:trPr>
          <w:trHeight w:val="330"/>
        </w:trPr>
        <w:tc>
          <w:tcPr>
            <w:tcW w:w="3397" w:type="dxa"/>
            <w:vMerge/>
            <w:shd w:val="clear" w:color="auto" w:fill="F2F2F2" w:themeFill="background1" w:themeFillShade="F2"/>
          </w:tcPr>
          <w:p w14:paraId="300FC5DA" w14:textId="77777777" w:rsidR="00FA0945" w:rsidRPr="000C5235" w:rsidRDefault="00FA0945" w:rsidP="00DB312F">
            <w:pPr>
              <w:pStyle w:val="TableText-Medium"/>
            </w:pPr>
          </w:p>
        </w:tc>
        <w:tc>
          <w:tcPr>
            <w:tcW w:w="2386" w:type="dxa"/>
            <w:shd w:val="clear" w:color="auto" w:fill="F2F2F2" w:themeFill="background1" w:themeFillShade="F2"/>
          </w:tcPr>
          <w:p w14:paraId="6825FF2E" w14:textId="77777777" w:rsidR="00FA0945" w:rsidRPr="000C5235" w:rsidRDefault="00FA0945" w:rsidP="00DB312F">
            <w:pPr>
              <w:pStyle w:val="TableText-Medium"/>
            </w:pPr>
            <w:r w:rsidRPr="000C5235">
              <w:t>Left align</w:t>
            </w:r>
          </w:p>
        </w:tc>
        <w:tc>
          <w:tcPr>
            <w:tcW w:w="2576" w:type="dxa"/>
            <w:shd w:val="clear" w:color="auto" w:fill="F2F2F2" w:themeFill="background1" w:themeFillShade="F2"/>
          </w:tcPr>
          <w:p w14:paraId="14BB7064" w14:textId="77777777" w:rsidR="00FA0945" w:rsidRPr="000C5235" w:rsidRDefault="00FA0945" w:rsidP="00DB312F">
            <w:pPr>
              <w:pStyle w:val="TableText-Medium"/>
            </w:pPr>
            <w:r w:rsidRPr="000C5235">
              <w:t>Centre</w:t>
            </w:r>
          </w:p>
        </w:tc>
      </w:tr>
      <w:tr w:rsidR="00FA0945" w:rsidRPr="000C5235" w14:paraId="32ACF9E8" w14:textId="77777777" w:rsidTr="00DB312F">
        <w:trPr>
          <w:trHeight w:val="270"/>
        </w:trPr>
        <w:tc>
          <w:tcPr>
            <w:tcW w:w="3397" w:type="dxa"/>
            <w:shd w:val="clear" w:color="auto" w:fill="F2F2F2" w:themeFill="background1" w:themeFillShade="F2"/>
          </w:tcPr>
          <w:p w14:paraId="47A223EF" w14:textId="77777777" w:rsidR="00FA0945" w:rsidRPr="000C5235" w:rsidRDefault="00FA0945" w:rsidP="00DB312F">
            <w:pPr>
              <w:pStyle w:val="TableText-Medium"/>
            </w:pPr>
            <w:r w:rsidRPr="000C5235">
              <w:t>Numbers</w:t>
            </w:r>
            <w:r w:rsidR="00782273" w:rsidRPr="000C5235">
              <w:t xml:space="preserve"> (use ROUND function)</w:t>
            </w:r>
          </w:p>
        </w:tc>
        <w:tc>
          <w:tcPr>
            <w:tcW w:w="2386" w:type="dxa"/>
            <w:shd w:val="clear" w:color="auto" w:fill="F2F2F2" w:themeFill="background1" w:themeFillShade="F2"/>
          </w:tcPr>
          <w:p w14:paraId="32495394" w14:textId="77777777" w:rsidR="00FA0945" w:rsidRPr="000C5235" w:rsidRDefault="00FA0945" w:rsidP="00DB312F">
            <w:pPr>
              <w:pStyle w:val="TableText-Medium"/>
            </w:pPr>
            <w:r w:rsidRPr="000C5235">
              <w:t>Right align</w:t>
            </w:r>
          </w:p>
        </w:tc>
        <w:tc>
          <w:tcPr>
            <w:tcW w:w="2576" w:type="dxa"/>
            <w:shd w:val="clear" w:color="auto" w:fill="F2F2F2" w:themeFill="background1" w:themeFillShade="F2"/>
          </w:tcPr>
          <w:p w14:paraId="421820BE" w14:textId="77777777" w:rsidR="00FA0945" w:rsidRPr="000C5235" w:rsidRDefault="00FA0945" w:rsidP="00DB312F">
            <w:pPr>
              <w:pStyle w:val="TableText-Medium"/>
            </w:pPr>
            <w:r w:rsidRPr="000C5235">
              <w:t>Centre</w:t>
            </w:r>
          </w:p>
        </w:tc>
      </w:tr>
      <w:tr w:rsidR="00FA0945" w:rsidRPr="000C5235" w14:paraId="066C94D0" w14:textId="77777777" w:rsidTr="00DB312F">
        <w:trPr>
          <w:trHeight w:val="495"/>
        </w:trPr>
        <w:tc>
          <w:tcPr>
            <w:tcW w:w="3397" w:type="dxa"/>
            <w:shd w:val="clear" w:color="auto" w:fill="F2F2F2" w:themeFill="background1" w:themeFillShade="F2"/>
          </w:tcPr>
          <w:p w14:paraId="30FC0DCD" w14:textId="77777777" w:rsidR="00FA0945" w:rsidRPr="000C5235" w:rsidRDefault="00FA0945" w:rsidP="00DB312F">
            <w:pPr>
              <w:pStyle w:val="TableText-Medium"/>
            </w:pPr>
            <w:r w:rsidRPr="000C5235">
              <w:t>Braced column headings</w:t>
            </w:r>
          </w:p>
        </w:tc>
        <w:tc>
          <w:tcPr>
            <w:tcW w:w="2386" w:type="dxa"/>
            <w:shd w:val="clear" w:color="auto" w:fill="F2F2F2" w:themeFill="background1" w:themeFillShade="F2"/>
          </w:tcPr>
          <w:p w14:paraId="50AA471D" w14:textId="77777777" w:rsidR="00FA0945" w:rsidRPr="000C5235" w:rsidRDefault="00FA0945" w:rsidP="00DB312F">
            <w:pPr>
              <w:pStyle w:val="TableText-Medium"/>
            </w:pPr>
            <w:r w:rsidRPr="000C5235">
              <w:t>Centre</w:t>
            </w:r>
          </w:p>
        </w:tc>
        <w:tc>
          <w:tcPr>
            <w:tcW w:w="2576" w:type="dxa"/>
            <w:shd w:val="clear" w:color="auto" w:fill="F2F2F2" w:themeFill="background1" w:themeFillShade="F2"/>
          </w:tcPr>
          <w:p w14:paraId="2F7714FA" w14:textId="77777777" w:rsidR="00FA0945" w:rsidRPr="000C5235" w:rsidRDefault="00FA0945" w:rsidP="00DB312F">
            <w:pPr>
              <w:pStyle w:val="TableText-Medium"/>
            </w:pPr>
            <w:r w:rsidRPr="000C5235">
              <w:t>Centre</w:t>
            </w:r>
          </w:p>
        </w:tc>
      </w:tr>
      <w:tr w:rsidR="00FA0945" w:rsidRPr="000C5235" w14:paraId="4453CB4E" w14:textId="77777777" w:rsidTr="00DB312F">
        <w:tc>
          <w:tcPr>
            <w:tcW w:w="3397" w:type="dxa"/>
            <w:shd w:val="clear" w:color="auto" w:fill="F2F2F2" w:themeFill="background1" w:themeFillShade="F2"/>
          </w:tcPr>
          <w:p w14:paraId="0E95A8D0" w14:textId="77777777" w:rsidR="00FA0945" w:rsidRPr="000C5235" w:rsidRDefault="00FA0945" w:rsidP="00DB312F">
            <w:pPr>
              <w:pStyle w:val="TableText-Medium"/>
            </w:pPr>
            <w:r w:rsidRPr="000C5235">
              <w:t>Borders</w:t>
            </w:r>
          </w:p>
        </w:tc>
        <w:tc>
          <w:tcPr>
            <w:tcW w:w="4962" w:type="dxa"/>
            <w:gridSpan w:val="2"/>
            <w:shd w:val="clear" w:color="auto" w:fill="F2F2F2" w:themeFill="background1" w:themeFillShade="F2"/>
          </w:tcPr>
          <w:p w14:paraId="1E79DE59" w14:textId="77777777" w:rsidR="00FA0945" w:rsidRPr="000C5235" w:rsidRDefault="00FA0945" w:rsidP="00DB312F">
            <w:pPr>
              <w:pStyle w:val="TableText-Medium"/>
            </w:pPr>
            <w:r w:rsidRPr="000C5235">
              <w:t>Colour = Black, hairline weight (first option in list, not the default)</w:t>
            </w:r>
            <w:r w:rsidRPr="000C5235">
              <w:br/>
              <w:t>(Apply Table Border button on the Treasury ribbon)</w:t>
            </w:r>
          </w:p>
        </w:tc>
      </w:tr>
      <w:tr w:rsidR="00FA0945" w:rsidRPr="000C5235" w14:paraId="632D5D0E" w14:textId="77777777" w:rsidTr="00DB312F">
        <w:tc>
          <w:tcPr>
            <w:tcW w:w="3397" w:type="dxa"/>
            <w:shd w:val="clear" w:color="auto" w:fill="F2F2F2" w:themeFill="background1" w:themeFillShade="F2"/>
          </w:tcPr>
          <w:p w14:paraId="5DAB5A68" w14:textId="77777777" w:rsidR="00FA0945" w:rsidRPr="000C5235" w:rsidRDefault="00FA0945" w:rsidP="00DB312F">
            <w:pPr>
              <w:pStyle w:val="TableText-Medium"/>
            </w:pPr>
            <w:r w:rsidRPr="000C5235">
              <w:t>Column width</w:t>
            </w:r>
          </w:p>
        </w:tc>
        <w:tc>
          <w:tcPr>
            <w:tcW w:w="4962" w:type="dxa"/>
            <w:gridSpan w:val="2"/>
            <w:shd w:val="clear" w:color="auto" w:fill="F2F2F2" w:themeFill="background1" w:themeFillShade="F2"/>
          </w:tcPr>
          <w:p w14:paraId="11B83747" w14:textId="77777777" w:rsidR="00FA0945" w:rsidRPr="000C5235" w:rsidRDefault="00FA0945" w:rsidP="00DB312F">
            <w:pPr>
              <w:pStyle w:val="TableText-Medium"/>
            </w:pPr>
            <w:r w:rsidRPr="000C5235">
              <w:t>Be consistent particularly if there are similar tables on the one page</w:t>
            </w:r>
          </w:p>
        </w:tc>
      </w:tr>
      <w:tr w:rsidR="00FA0945" w:rsidRPr="000C5235" w14:paraId="239D3761" w14:textId="77777777" w:rsidTr="00DB312F">
        <w:trPr>
          <w:trHeight w:val="1125"/>
        </w:trPr>
        <w:tc>
          <w:tcPr>
            <w:tcW w:w="3397" w:type="dxa"/>
            <w:shd w:val="clear" w:color="auto" w:fill="F2F2F2" w:themeFill="background1" w:themeFillShade="F2"/>
          </w:tcPr>
          <w:p w14:paraId="5E57E01D" w14:textId="77777777" w:rsidR="00FA0945" w:rsidRPr="000C5235" w:rsidRDefault="00FA0945" w:rsidP="00DB312F">
            <w:pPr>
              <w:pStyle w:val="TableText-Medium"/>
            </w:pPr>
            <w:r w:rsidRPr="000C5235">
              <w:t>Blank columns and rows</w:t>
            </w:r>
          </w:p>
          <w:p w14:paraId="6C3DA64D" w14:textId="77777777" w:rsidR="00FA0945" w:rsidRPr="000C5235" w:rsidRDefault="00FA0945" w:rsidP="00DB312F">
            <w:pPr>
              <w:pStyle w:val="TableText-Medium"/>
            </w:pPr>
            <w:r w:rsidRPr="000C5235">
              <w:t>Columns</w:t>
            </w:r>
          </w:p>
          <w:p w14:paraId="1421DC26" w14:textId="77777777" w:rsidR="00FA0945" w:rsidRPr="000C5235" w:rsidRDefault="00FA0945" w:rsidP="00DB312F">
            <w:pPr>
              <w:pStyle w:val="TableText-Medium"/>
            </w:pPr>
            <w:r w:rsidRPr="000C5235">
              <w:t>To separate columns where braced headings have been used</w:t>
            </w:r>
          </w:p>
        </w:tc>
        <w:tc>
          <w:tcPr>
            <w:tcW w:w="4962" w:type="dxa"/>
            <w:gridSpan w:val="2"/>
            <w:shd w:val="clear" w:color="auto" w:fill="F2F2F2" w:themeFill="background1" w:themeFillShade="F2"/>
          </w:tcPr>
          <w:p w14:paraId="7207612A" w14:textId="77777777" w:rsidR="00FA0945" w:rsidRPr="000C5235" w:rsidRDefault="00FA0945" w:rsidP="00DB312F">
            <w:pPr>
              <w:pStyle w:val="TableText-Medium"/>
            </w:pPr>
            <w:r w:rsidRPr="000C5235">
              <w:t>Set column width to .5</w:t>
            </w:r>
          </w:p>
          <w:p w14:paraId="20276D6A" w14:textId="77777777" w:rsidR="00FA0945" w:rsidRPr="000C5235" w:rsidRDefault="00FA0945" w:rsidP="00DB312F">
            <w:pPr>
              <w:pStyle w:val="TableText-Medium"/>
            </w:pPr>
            <w:r w:rsidRPr="000C5235">
              <w:t>Remove the bottom border for blank columns (see example table 1)</w:t>
            </w:r>
          </w:p>
        </w:tc>
      </w:tr>
      <w:tr w:rsidR="00FA0945" w:rsidRPr="000C5235" w14:paraId="500B1D3B" w14:textId="77777777" w:rsidTr="00DB312F">
        <w:trPr>
          <w:trHeight w:val="539"/>
        </w:trPr>
        <w:tc>
          <w:tcPr>
            <w:tcW w:w="3397" w:type="dxa"/>
            <w:shd w:val="clear" w:color="auto" w:fill="F2F2F2" w:themeFill="background1" w:themeFillShade="F2"/>
          </w:tcPr>
          <w:p w14:paraId="61623CBC" w14:textId="77777777" w:rsidR="00FA0945" w:rsidRPr="000C5235" w:rsidRDefault="00FA0945" w:rsidP="00DB312F">
            <w:pPr>
              <w:pStyle w:val="TableText-Medium"/>
            </w:pPr>
            <w:r w:rsidRPr="000C5235">
              <w:t>Rows</w:t>
            </w:r>
          </w:p>
        </w:tc>
        <w:tc>
          <w:tcPr>
            <w:tcW w:w="4962" w:type="dxa"/>
            <w:gridSpan w:val="2"/>
            <w:shd w:val="clear" w:color="auto" w:fill="F2F2F2" w:themeFill="background1" w:themeFillShade="F2"/>
          </w:tcPr>
          <w:p w14:paraId="10C0D07E" w14:textId="77777777" w:rsidR="00FA0945" w:rsidRPr="000C5235" w:rsidRDefault="00FA0945" w:rsidP="00DB312F">
            <w:pPr>
              <w:pStyle w:val="TableText-Medium"/>
            </w:pPr>
            <w:r w:rsidRPr="000C5235">
              <w:t>Set row height to 3 pts</w:t>
            </w:r>
            <w:r w:rsidRPr="000C5235">
              <w:br/>
              <w:t>(Table Row Height button on the Treasury ribbon)</w:t>
            </w:r>
          </w:p>
        </w:tc>
      </w:tr>
    </w:tbl>
    <w:p w14:paraId="556D47C2" w14:textId="77777777" w:rsidR="00FA0945" w:rsidRPr="000C5235" w:rsidRDefault="00FA0945">
      <w:pPr>
        <w:pStyle w:val="NormalTextRed"/>
      </w:pPr>
      <w:r w:rsidRPr="000C5235">
        <w:rPr>
          <w:u w:val="single"/>
        </w:rPr>
        <w:t>Note</w:t>
      </w:r>
      <w:r w:rsidRPr="000C5235">
        <w:t xml:space="preserve">: Please use minimal capitalisation. </w:t>
      </w:r>
      <w:r w:rsidRPr="000C5235">
        <w:rPr>
          <w:u w:val="single"/>
        </w:rPr>
        <w:t>Wrap text</w:t>
      </w:r>
      <w:r w:rsidRPr="000C5235">
        <w:t xml:space="preserve"> if text goes over a column width. </w:t>
      </w:r>
    </w:p>
    <w:p w14:paraId="5C66C9D2" w14:textId="3B98E54A" w:rsidR="00FA0945" w:rsidRPr="000C5235" w:rsidRDefault="00FA0945" w:rsidP="000A7DEC">
      <w:pPr>
        <w:pStyle w:val="Heading3Numbered"/>
      </w:pPr>
      <w:bookmarkStart w:id="903" w:name="_Toc53564787"/>
      <w:r w:rsidRPr="000C5235">
        <w:t>Formatting an existing table to budget standards</w:t>
      </w:r>
      <w:bookmarkEnd w:id="903"/>
    </w:p>
    <w:p w14:paraId="6E597027" w14:textId="77777777" w:rsidR="00FA0945" w:rsidRPr="000C5235" w:rsidRDefault="00FA0945" w:rsidP="000A7DEC">
      <w:r w:rsidRPr="000C5235">
        <w:t>To create an Excel table which fits into a Budget word document’s set margins.</w:t>
      </w:r>
    </w:p>
    <w:p w14:paraId="78307376" w14:textId="283A13D8" w:rsidR="00FA0945" w:rsidRPr="000C5235" w:rsidRDefault="00FA0945" w:rsidP="000A7DEC">
      <w:pPr>
        <w:pStyle w:val="Heading5"/>
      </w:pPr>
      <w:bookmarkStart w:id="904" w:name="_Ref45028756"/>
      <w:r w:rsidRPr="000C5235">
        <w:t>Portrait tables</w:t>
      </w:r>
      <w:bookmarkEnd w:id="904"/>
    </w:p>
    <w:p w14:paraId="75CA7A43" w14:textId="77777777" w:rsidR="00FA0945" w:rsidRPr="000C5235" w:rsidRDefault="00FA0945" w:rsidP="005D722E">
      <w:pPr>
        <w:pStyle w:val="Numbered"/>
        <w:numPr>
          <w:ilvl w:val="0"/>
          <w:numId w:val="230"/>
        </w:numPr>
      </w:pPr>
      <w:r w:rsidRPr="000C5235">
        <w:t xml:space="preserve">In Excel from “Page Layout” ribbon select Page Layout </w:t>
      </w:r>
      <w:r w:rsidR="004B76F7" w:rsidRPr="000C5235">
        <w:sym w:font="Wingdings" w:char="F0E0"/>
      </w:r>
      <w:r w:rsidRPr="000C5235">
        <w:t xml:space="preserve"> Margins </w:t>
      </w:r>
      <w:r w:rsidR="004B76F7" w:rsidRPr="000C5235">
        <w:sym w:font="Wingdings" w:char="F0E0"/>
      </w:r>
      <w:r w:rsidRPr="000C5235">
        <w:t xml:space="preserve"> Custom Margins</w:t>
      </w:r>
    </w:p>
    <w:p w14:paraId="73C15B0A" w14:textId="77777777" w:rsidR="00FA0945" w:rsidRPr="000C5235" w:rsidRDefault="00FA0945" w:rsidP="005D722E">
      <w:pPr>
        <w:pStyle w:val="Numbered"/>
        <w:numPr>
          <w:ilvl w:val="0"/>
          <w:numId w:val="230"/>
        </w:numPr>
      </w:pPr>
      <w:r w:rsidRPr="000C5235">
        <w:t>Click on the “Page” tab, select “Portrait orientation”</w:t>
      </w:r>
    </w:p>
    <w:p w14:paraId="5BCE94D4" w14:textId="77777777" w:rsidR="00FA0945" w:rsidRPr="000C5235" w:rsidRDefault="00FA0945" w:rsidP="005D722E">
      <w:pPr>
        <w:pStyle w:val="Numbered"/>
        <w:numPr>
          <w:ilvl w:val="0"/>
          <w:numId w:val="230"/>
        </w:numPr>
      </w:pPr>
      <w:r w:rsidRPr="000C5235">
        <w:t>Ensure the Scaling is set to 100% normal size</w:t>
      </w:r>
    </w:p>
    <w:p w14:paraId="1F306F25" w14:textId="77777777" w:rsidR="00FA0945" w:rsidRPr="000C5235" w:rsidRDefault="00FA0945" w:rsidP="005D722E">
      <w:pPr>
        <w:pStyle w:val="Numbered"/>
        <w:numPr>
          <w:ilvl w:val="0"/>
          <w:numId w:val="230"/>
        </w:numPr>
      </w:pPr>
      <w:r w:rsidRPr="000C5235">
        <w:t>Click on the “Margins tab” and set margins to:</w:t>
      </w:r>
    </w:p>
    <w:p w14:paraId="2024A806" w14:textId="77777777" w:rsidR="00FA0945" w:rsidRPr="000C5235" w:rsidRDefault="00FA0945" w:rsidP="000A7DEC">
      <w:pPr>
        <w:pStyle w:val="Bullet2"/>
      </w:pPr>
      <w:r w:rsidRPr="000C5235">
        <w:t>Left and right</w:t>
      </w:r>
      <w:r w:rsidRPr="000C5235">
        <w:tab/>
      </w:r>
      <w:r w:rsidR="004D0115" w:rsidRPr="000C5235">
        <w:tab/>
      </w:r>
      <w:r w:rsidR="004D0115" w:rsidRPr="000C5235">
        <w:rPr>
          <w:color w:val="0070C0"/>
        </w:rPr>
        <w:t xml:space="preserve">= </w:t>
      </w:r>
      <w:r w:rsidRPr="000C5235">
        <w:rPr>
          <w:color w:val="0070C0"/>
        </w:rPr>
        <w:t>3.7</w:t>
      </w:r>
      <w:r w:rsidR="004D0115" w:rsidRPr="000C5235">
        <w:rPr>
          <w:color w:val="0070C0"/>
        </w:rPr>
        <w:t>cm</w:t>
      </w:r>
    </w:p>
    <w:p w14:paraId="394EAFE4" w14:textId="77777777" w:rsidR="00FA0945" w:rsidRPr="000C5235" w:rsidRDefault="00FA0945" w:rsidP="000A7DEC">
      <w:pPr>
        <w:pStyle w:val="Bullet2"/>
      </w:pPr>
      <w:r w:rsidRPr="000C5235">
        <w:t>Top and bottom</w:t>
      </w:r>
      <w:r w:rsidRPr="000C5235">
        <w:tab/>
      </w:r>
      <w:r w:rsidR="004D0115" w:rsidRPr="000C5235">
        <w:rPr>
          <w:color w:val="0070C0"/>
        </w:rPr>
        <w:t xml:space="preserve">= </w:t>
      </w:r>
      <w:r w:rsidRPr="000C5235">
        <w:rPr>
          <w:color w:val="0070C0"/>
        </w:rPr>
        <w:t>4.3</w:t>
      </w:r>
      <w:r w:rsidR="004D0115" w:rsidRPr="000C5235">
        <w:rPr>
          <w:color w:val="0070C0"/>
        </w:rPr>
        <w:t>cm</w:t>
      </w:r>
    </w:p>
    <w:p w14:paraId="1ABEA322" w14:textId="77777777" w:rsidR="00FA0945" w:rsidRPr="000C5235" w:rsidRDefault="00FA0945" w:rsidP="000A7DEC">
      <w:pPr>
        <w:pStyle w:val="Bullet2"/>
      </w:pPr>
      <w:r w:rsidRPr="000C5235">
        <w:t>Landscape tables</w:t>
      </w:r>
    </w:p>
    <w:p w14:paraId="1E851902" w14:textId="77777777" w:rsidR="00FA0945" w:rsidRPr="000C5235" w:rsidRDefault="00FA0945" w:rsidP="005D722E">
      <w:pPr>
        <w:pStyle w:val="Numbered"/>
        <w:numPr>
          <w:ilvl w:val="0"/>
          <w:numId w:val="230"/>
        </w:numPr>
      </w:pPr>
      <w:r w:rsidRPr="000C5235">
        <w:t xml:space="preserve">In Excel from the “Page Layout” ribbon, select Page Layout </w:t>
      </w:r>
      <w:r w:rsidR="004B76F7" w:rsidRPr="000C5235">
        <w:sym w:font="Wingdings" w:char="F0E0"/>
      </w:r>
      <w:r w:rsidRPr="000C5235">
        <w:t xml:space="preserve"> Margins </w:t>
      </w:r>
      <w:r w:rsidR="004B76F7" w:rsidRPr="000C5235">
        <w:sym w:font="Wingdings" w:char="F0E0"/>
      </w:r>
      <w:r w:rsidRPr="000C5235">
        <w:t xml:space="preserve"> Custom Margins.</w:t>
      </w:r>
    </w:p>
    <w:p w14:paraId="731D2A67" w14:textId="77777777" w:rsidR="00FA0945" w:rsidRPr="000C5235" w:rsidRDefault="00FA0945" w:rsidP="005D722E">
      <w:pPr>
        <w:pStyle w:val="Numbered"/>
        <w:numPr>
          <w:ilvl w:val="0"/>
          <w:numId w:val="230"/>
        </w:numPr>
      </w:pPr>
      <w:r w:rsidRPr="000C5235">
        <w:t>Click on the “Page” tab, select “Landscape orientation”</w:t>
      </w:r>
    </w:p>
    <w:p w14:paraId="40F0B8F7" w14:textId="77777777" w:rsidR="00FA0945" w:rsidRPr="000C5235" w:rsidRDefault="00FA0945" w:rsidP="005D722E">
      <w:pPr>
        <w:pStyle w:val="Numbered"/>
        <w:numPr>
          <w:ilvl w:val="0"/>
          <w:numId w:val="230"/>
        </w:numPr>
      </w:pPr>
      <w:r w:rsidRPr="000C5235">
        <w:t>Ensure the Scaling is set to 100% normal size</w:t>
      </w:r>
    </w:p>
    <w:p w14:paraId="6DF4A5D5" w14:textId="77777777" w:rsidR="00FA0945" w:rsidRPr="000C5235" w:rsidRDefault="00FA0945" w:rsidP="005D722E">
      <w:pPr>
        <w:pStyle w:val="Numbered"/>
        <w:numPr>
          <w:ilvl w:val="0"/>
          <w:numId w:val="230"/>
        </w:numPr>
      </w:pPr>
      <w:r w:rsidRPr="000C5235">
        <w:t>Click on the “Margins” tab.</w:t>
      </w:r>
    </w:p>
    <w:p w14:paraId="5D8ACEDE" w14:textId="77777777" w:rsidR="00FA0945" w:rsidRPr="000C5235" w:rsidRDefault="00FA0945" w:rsidP="000A7DEC">
      <w:pPr>
        <w:pStyle w:val="Bullet2"/>
      </w:pPr>
      <w:r w:rsidRPr="000C5235">
        <w:t>Left and right</w:t>
      </w:r>
      <w:r w:rsidRPr="000C5235">
        <w:tab/>
      </w:r>
      <w:r w:rsidR="00444045" w:rsidRPr="000C5235">
        <w:tab/>
      </w:r>
      <w:r w:rsidR="004D0115" w:rsidRPr="000C5235">
        <w:rPr>
          <w:color w:val="0070C0"/>
        </w:rPr>
        <w:t xml:space="preserve">= </w:t>
      </w:r>
      <w:r w:rsidRPr="000C5235">
        <w:rPr>
          <w:color w:val="0070C0"/>
        </w:rPr>
        <w:t>4.3</w:t>
      </w:r>
      <w:r w:rsidR="004D0115" w:rsidRPr="000C5235">
        <w:rPr>
          <w:color w:val="0070C0"/>
        </w:rPr>
        <w:t>cm</w:t>
      </w:r>
    </w:p>
    <w:p w14:paraId="312F0978" w14:textId="77777777" w:rsidR="00655600" w:rsidRPr="000C5235" w:rsidRDefault="00FA0945" w:rsidP="000A7DEC">
      <w:pPr>
        <w:pStyle w:val="Bullet2"/>
        <w:rPr>
          <w:rFonts w:asciiTheme="majorHAnsi" w:eastAsiaTheme="majorEastAsia" w:hAnsiTheme="majorHAnsi" w:cstheme="majorBidi"/>
          <w:szCs w:val="26"/>
        </w:rPr>
      </w:pPr>
      <w:r w:rsidRPr="000C5235">
        <w:t>Top and bottom</w:t>
      </w:r>
      <w:r w:rsidRPr="000C5235">
        <w:tab/>
      </w:r>
      <w:r w:rsidR="004D0115" w:rsidRPr="000C5235">
        <w:rPr>
          <w:color w:val="0070C0"/>
        </w:rPr>
        <w:t xml:space="preserve">= </w:t>
      </w:r>
      <w:r w:rsidRPr="000C5235">
        <w:rPr>
          <w:color w:val="0070C0"/>
        </w:rPr>
        <w:t>3.7</w:t>
      </w:r>
      <w:r w:rsidR="004D0115" w:rsidRPr="000C5235">
        <w:rPr>
          <w:color w:val="0070C0"/>
        </w:rPr>
        <w:t>cm</w:t>
      </w:r>
    </w:p>
    <w:p w14:paraId="748B0CDE" w14:textId="2DBBC755" w:rsidR="00FA0945" w:rsidRPr="000C5235" w:rsidRDefault="00FA0945" w:rsidP="000A7DEC">
      <w:pPr>
        <w:pStyle w:val="Heading3Numbered"/>
      </w:pPr>
      <w:bookmarkStart w:id="905" w:name="_Toc53564788"/>
      <w:r w:rsidRPr="000C5235">
        <w:t>Setting font and text alignment</w:t>
      </w:r>
      <w:bookmarkEnd w:id="905"/>
    </w:p>
    <w:p w14:paraId="36506E42" w14:textId="7194C58F" w:rsidR="000C42A6" w:rsidRPr="000C5235" w:rsidRDefault="00FA0945" w:rsidP="000C42A6">
      <w:pPr>
        <w:pStyle w:val="Numbered"/>
        <w:numPr>
          <w:ilvl w:val="0"/>
          <w:numId w:val="231"/>
        </w:numPr>
      </w:pPr>
      <w:r w:rsidRPr="000C5235">
        <w:t>Click the select all button in the upper left corner of the worksheet (where the row and column headings meet)</w:t>
      </w:r>
      <w:r w:rsidR="004C0DE8" w:rsidRPr="000C5235">
        <w:br/>
      </w:r>
      <w:r w:rsidRPr="000C5235">
        <w:rPr>
          <w:noProof/>
          <w:lang w:eastAsia="en-AU"/>
        </w:rPr>
        <w:drawing>
          <wp:inline distT="0" distB="0" distL="0" distR="0" wp14:anchorId="560D0990" wp14:editId="4D34CF2D">
            <wp:extent cx="935355" cy="478155"/>
            <wp:effectExtent l="19050" t="19050" r="17145" b="17145"/>
            <wp:docPr id="8" name="Picture 8" descr="&quot;Select all&quot; button in a Microsoft Excel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Select all&quot; button in a Microsoft Excel workshee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35355" cy="478155"/>
                    </a:xfrm>
                    <a:prstGeom prst="rect">
                      <a:avLst/>
                    </a:prstGeom>
                    <a:noFill/>
                    <a:ln>
                      <a:solidFill>
                        <a:schemeClr val="tx1"/>
                      </a:solidFill>
                    </a:ln>
                  </pic:spPr>
                </pic:pic>
              </a:graphicData>
            </a:graphic>
          </wp:inline>
        </w:drawing>
      </w:r>
      <w:r w:rsidR="001E43CA" w:rsidRPr="000C5235">
        <w:br/>
      </w:r>
      <w:r w:rsidR="000C42A6" w:rsidRPr="000C5235">
        <w:br w:type="page"/>
      </w:r>
    </w:p>
    <w:p w14:paraId="759862E3" w14:textId="77777777" w:rsidR="00FA0945" w:rsidRPr="000C5235" w:rsidRDefault="00FA0945" w:rsidP="005D722E">
      <w:pPr>
        <w:pStyle w:val="Numbered"/>
        <w:numPr>
          <w:ilvl w:val="0"/>
          <w:numId w:val="231"/>
        </w:numPr>
      </w:pPr>
      <w:r w:rsidRPr="000C5235">
        <w:t>From the “Home” ribbon, on the “Font” tab set font to 8 pts Arial</w:t>
      </w:r>
    </w:p>
    <w:p w14:paraId="7216A2EF" w14:textId="7D3AA54C" w:rsidR="00FA0945" w:rsidRPr="000C5235" w:rsidRDefault="00FA0945" w:rsidP="005D722E">
      <w:pPr>
        <w:pStyle w:val="Numbered"/>
        <w:numPr>
          <w:ilvl w:val="0"/>
          <w:numId w:val="231"/>
        </w:numPr>
      </w:pPr>
      <w:r w:rsidRPr="000C5235">
        <w:t>Select the “Alignment” tab set the Vertical text alignment to “Centre”</w:t>
      </w:r>
      <w:r w:rsidR="004C0DE8" w:rsidRPr="000C5235">
        <w:br/>
      </w:r>
      <w:r w:rsidR="004C0DE8" w:rsidRPr="000C5235">
        <w:br/>
      </w:r>
      <w:r w:rsidRPr="000C5235">
        <w:rPr>
          <w:noProof/>
          <w:lang w:eastAsia="en-AU"/>
        </w:rPr>
        <w:drawing>
          <wp:inline distT="0" distB="0" distL="0" distR="0" wp14:anchorId="7DFCC078" wp14:editId="6470B49A">
            <wp:extent cx="4045585" cy="789940"/>
            <wp:effectExtent l="19050" t="19050" r="12065" b="10160"/>
            <wp:docPr id="7" name="Picture 7" descr="Alignment group on the Microsoft Excel Home ribb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ignment group on the Microsoft Excel Home ribbon.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45585" cy="789940"/>
                    </a:xfrm>
                    <a:prstGeom prst="rect">
                      <a:avLst/>
                    </a:prstGeom>
                    <a:noFill/>
                    <a:ln>
                      <a:solidFill>
                        <a:schemeClr val="tx1"/>
                      </a:solidFill>
                    </a:ln>
                  </pic:spPr>
                </pic:pic>
              </a:graphicData>
            </a:graphic>
          </wp:inline>
        </w:drawing>
      </w:r>
    </w:p>
    <w:p w14:paraId="6975B06B" w14:textId="0F5D81E4" w:rsidR="00FA0945" w:rsidRPr="000C5235" w:rsidRDefault="00FA0945" w:rsidP="000A7DEC">
      <w:pPr>
        <w:pStyle w:val="Heading3Numbered"/>
      </w:pPr>
      <w:bookmarkStart w:id="906" w:name="_Toc53564789"/>
      <w:r w:rsidRPr="000C5235">
        <w:t>Row height</w:t>
      </w:r>
      <w:bookmarkEnd w:id="906"/>
    </w:p>
    <w:p w14:paraId="62FDF3FA" w14:textId="77777777" w:rsidR="00FA0945" w:rsidRPr="000C5235" w:rsidRDefault="00FA0945" w:rsidP="005D722E">
      <w:pPr>
        <w:pStyle w:val="Numbered"/>
        <w:numPr>
          <w:ilvl w:val="0"/>
          <w:numId w:val="232"/>
        </w:numPr>
      </w:pPr>
      <w:r w:rsidRPr="000C5235">
        <w:t>Select the rows to be adjusted</w:t>
      </w:r>
    </w:p>
    <w:p w14:paraId="4385A85E" w14:textId="2342BD3F" w:rsidR="00FA0945" w:rsidRPr="000C5235" w:rsidRDefault="00FA0945" w:rsidP="005D722E">
      <w:pPr>
        <w:pStyle w:val="Numbered"/>
        <w:numPr>
          <w:ilvl w:val="0"/>
          <w:numId w:val="232"/>
        </w:numPr>
      </w:pPr>
      <w:r w:rsidRPr="000C5235">
        <w:t xml:space="preserve">From the “Home” ribbon, in the “Cells” group select “Format” and then “Row height” </w:t>
      </w:r>
      <w:r w:rsidR="004C0DE8" w:rsidRPr="000C5235">
        <w:br/>
      </w:r>
      <w:r w:rsidR="004C0DE8" w:rsidRPr="000C5235">
        <w:br/>
      </w:r>
      <w:r w:rsidRPr="000C5235">
        <w:rPr>
          <w:noProof/>
          <w:lang w:eastAsia="en-AU"/>
        </w:rPr>
        <w:drawing>
          <wp:inline distT="0" distB="0" distL="0" distR="0" wp14:anchorId="52CD5F45" wp14:editId="2BCCC66A">
            <wp:extent cx="1717675" cy="1524000"/>
            <wp:effectExtent l="19050" t="19050" r="15875" b="19050"/>
            <wp:docPr id="5" name="Picture 5" descr="&quot;Row height&quot; command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Row height&quot; command on the Microsoft Excel Home ribb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17675" cy="1524000"/>
                    </a:xfrm>
                    <a:prstGeom prst="rect">
                      <a:avLst/>
                    </a:prstGeom>
                    <a:noFill/>
                    <a:ln>
                      <a:solidFill>
                        <a:schemeClr val="tx1"/>
                      </a:solidFill>
                    </a:ln>
                  </pic:spPr>
                </pic:pic>
              </a:graphicData>
            </a:graphic>
          </wp:inline>
        </w:drawing>
      </w:r>
    </w:p>
    <w:p w14:paraId="79990339" w14:textId="77777777" w:rsidR="00E23D4B" w:rsidRPr="000C5235" w:rsidRDefault="00FA0945" w:rsidP="005D722E">
      <w:pPr>
        <w:pStyle w:val="Numbered"/>
        <w:numPr>
          <w:ilvl w:val="0"/>
          <w:numId w:val="232"/>
        </w:numPr>
      </w:pPr>
      <w:r w:rsidRPr="000C5235">
        <w:t>Enter 11.25 and then click OK</w:t>
      </w:r>
    </w:p>
    <w:p w14:paraId="7E1DA32E" w14:textId="77777777" w:rsidR="00FA0945" w:rsidRPr="000C5235" w:rsidRDefault="00FA0945" w:rsidP="00E23D4B">
      <w:pPr>
        <w:ind w:left="425"/>
      </w:pPr>
      <w:r w:rsidRPr="000C5235">
        <w:rPr>
          <w:u w:val="single"/>
        </w:rPr>
        <w:t>Tip</w:t>
      </w:r>
      <w:r w:rsidRPr="000C5235">
        <w:rPr>
          <w:b/>
        </w:rPr>
        <w:t>:</w:t>
      </w:r>
      <w:r w:rsidRPr="000C5235">
        <w:t xml:space="preserve"> If a table is difficult to fit onto a Word page the row height can be reduced. In Word check the printed page to ensure that numbers and text are not cut off.</w:t>
      </w:r>
    </w:p>
    <w:p w14:paraId="520A171E" w14:textId="2CAD0FEF" w:rsidR="00FA0945" w:rsidRPr="000C5235" w:rsidRDefault="00FA0945" w:rsidP="000A7DEC">
      <w:pPr>
        <w:pStyle w:val="Heading3Numbered"/>
      </w:pPr>
      <w:bookmarkStart w:id="907" w:name="_Toc53564790"/>
      <w:r w:rsidRPr="000C5235">
        <w:t>Table borders</w:t>
      </w:r>
      <w:bookmarkEnd w:id="907"/>
    </w:p>
    <w:p w14:paraId="6825BA08" w14:textId="77777777" w:rsidR="00FA0945" w:rsidRPr="000C5235" w:rsidRDefault="00FA0945" w:rsidP="005D722E">
      <w:pPr>
        <w:pStyle w:val="Numbered"/>
        <w:numPr>
          <w:ilvl w:val="0"/>
          <w:numId w:val="233"/>
        </w:numPr>
      </w:pPr>
      <w:r w:rsidRPr="000C5235">
        <w:t>Select the row to contain the ruled line</w:t>
      </w:r>
    </w:p>
    <w:p w14:paraId="0A5EA079" w14:textId="77777777" w:rsidR="00FA0945" w:rsidRPr="000C5235" w:rsidRDefault="00FA0945" w:rsidP="005D722E">
      <w:pPr>
        <w:pStyle w:val="Numbered"/>
        <w:numPr>
          <w:ilvl w:val="0"/>
          <w:numId w:val="233"/>
        </w:numPr>
      </w:pPr>
      <w:r w:rsidRPr="000C5235">
        <w:t>From the “Home” ribbon, select the “Font” tab</w:t>
      </w:r>
      <w:r w:rsidR="004C0DE8" w:rsidRPr="000C5235">
        <w:br/>
      </w:r>
      <w:r w:rsidRPr="000C5235">
        <w:rPr>
          <w:noProof/>
          <w:lang w:eastAsia="en-AU"/>
        </w:rPr>
        <w:drawing>
          <wp:inline distT="0" distB="0" distL="0" distR="0" wp14:anchorId="69E49D02" wp14:editId="02684107">
            <wp:extent cx="1911985" cy="817245"/>
            <wp:effectExtent l="19050" t="19050" r="12065" b="20955"/>
            <wp:docPr id="4" name="Picture 4" descr="Font group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nt group on the Microsoft Excel Home ribbo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11985" cy="817245"/>
                    </a:xfrm>
                    <a:prstGeom prst="rect">
                      <a:avLst/>
                    </a:prstGeom>
                    <a:noFill/>
                    <a:ln>
                      <a:solidFill>
                        <a:schemeClr val="tx1"/>
                      </a:solidFill>
                    </a:ln>
                  </pic:spPr>
                </pic:pic>
              </a:graphicData>
            </a:graphic>
          </wp:inline>
        </w:drawing>
      </w:r>
      <w:r w:rsidR="004E58F5" w:rsidRPr="000C5235">
        <w:br/>
      </w:r>
    </w:p>
    <w:p w14:paraId="6B3EF415" w14:textId="77777777" w:rsidR="003E05CE" w:rsidRPr="000C5235" w:rsidRDefault="003E05CE">
      <w:pPr>
        <w:suppressAutoHyphens w:val="0"/>
        <w:spacing w:before="0" w:after="120" w:line="440" w:lineRule="atLeast"/>
        <w:rPr>
          <w:rFonts w:eastAsia="Cambria" w:cstheme="minorHAnsi"/>
        </w:rPr>
      </w:pPr>
      <w:r w:rsidRPr="000C5235">
        <w:br w:type="page"/>
      </w:r>
    </w:p>
    <w:p w14:paraId="6926B752" w14:textId="77777777" w:rsidR="00FA0945" w:rsidRPr="000C5235" w:rsidRDefault="00FA0945" w:rsidP="005D722E">
      <w:pPr>
        <w:pStyle w:val="Numbered"/>
        <w:numPr>
          <w:ilvl w:val="0"/>
          <w:numId w:val="233"/>
        </w:numPr>
      </w:pPr>
      <w:r w:rsidRPr="000C5235">
        <w:t>Select the “Border” tab</w:t>
      </w:r>
      <w:r w:rsidR="004C0DE8" w:rsidRPr="000C5235">
        <w:br/>
      </w:r>
      <w:r w:rsidRPr="000C5235">
        <w:rPr>
          <w:noProof/>
          <w:lang w:eastAsia="en-AU"/>
        </w:rPr>
        <w:drawing>
          <wp:inline distT="0" distB="0" distL="0" distR="0" wp14:anchorId="74936136" wp14:editId="5505533F">
            <wp:extent cx="2988000" cy="2026800"/>
            <wp:effectExtent l="19050" t="19050" r="22225" b="12065"/>
            <wp:docPr id="3" name="Picture 3" descr="&quot;Format Cells&quot; pop up menu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ot;Format Cells&quot; pop up menu in Excel."/>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88000" cy="2026800"/>
                    </a:xfrm>
                    <a:prstGeom prst="rect">
                      <a:avLst/>
                    </a:prstGeom>
                    <a:noFill/>
                    <a:ln>
                      <a:solidFill>
                        <a:schemeClr val="tx1"/>
                      </a:solidFill>
                    </a:ln>
                  </pic:spPr>
                </pic:pic>
              </a:graphicData>
            </a:graphic>
          </wp:inline>
        </w:drawing>
      </w:r>
      <w:r w:rsidR="004E58F5" w:rsidRPr="000C5235">
        <w:br/>
      </w:r>
    </w:p>
    <w:p w14:paraId="0D53C1FF" w14:textId="77777777" w:rsidR="00E23D4B" w:rsidRPr="000C5235" w:rsidRDefault="00FA0945" w:rsidP="005D722E">
      <w:pPr>
        <w:pStyle w:val="Numbered"/>
        <w:numPr>
          <w:ilvl w:val="0"/>
          <w:numId w:val="233"/>
        </w:numPr>
      </w:pPr>
      <w:r w:rsidRPr="000C5235">
        <w:t>Select the first weight (first in list) and Colour = Black</w:t>
      </w:r>
    </w:p>
    <w:p w14:paraId="61461B1E" w14:textId="77777777" w:rsidR="00FE449B" w:rsidRPr="000C5235" w:rsidRDefault="00AF3133" w:rsidP="005D722E">
      <w:pPr>
        <w:pStyle w:val="Numbered"/>
        <w:numPr>
          <w:ilvl w:val="0"/>
          <w:numId w:val="0"/>
        </w:numPr>
        <w:ind w:left="360"/>
      </w:pPr>
      <w:r w:rsidRPr="000C5235">
        <w:rPr>
          <w:u w:val="single"/>
        </w:rPr>
        <w:t>N</w:t>
      </w:r>
      <w:r w:rsidR="00FA0945" w:rsidRPr="000C5235">
        <w:rPr>
          <w:u w:val="single"/>
        </w:rPr>
        <w:t>ote:</w:t>
      </w:r>
      <w:r w:rsidR="00FA0945" w:rsidRPr="000C5235">
        <w:t xml:space="preserve"> though the line appears to be broken it will appear as solid when linked in Word</w:t>
      </w:r>
      <w:r w:rsidR="00FE449B" w:rsidRPr="000C5235">
        <w:t>.</w:t>
      </w:r>
    </w:p>
    <w:p w14:paraId="598B32AD" w14:textId="77777777" w:rsidR="00FA0945" w:rsidRPr="000C5235" w:rsidRDefault="00FA0945" w:rsidP="005D722E">
      <w:pPr>
        <w:pStyle w:val="Numbered"/>
        <w:numPr>
          <w:ilvl w:val="0"/>
          <w:numId w:val="233"/>
        </w:numPr>
      </w:pPr>
      <w:r w:rsidRPr="000C5235">
        <w:t>Click OK.</w:t>
      </w:r>
    </w:p>
    <w:p w14:paraId="4C23FC73" w14:textId="77777777" w:rsidR="00FA0945" w:rsidRPr="000C5235" w:rsidRDefault="00FA0945" w:rsidP="00E23D4B">
      <w:pPr>
        <w:ind w:left="425"/>
      </w:pPr>
      <w:r w:rsidRPr="000C5235">
        <w:rPr>
          <w:u w:val="single"/>
        </w:rPr>
        <w:t>Tip:</w:t>
      </w:r>
      <w:r w:rsidRPr="000C5235">
        <w:t xml:space="preserve"> Only apply borders to the row with the description and values, not the row above or below </w:t>
      </w:r>
    </w:p>
    <w:p w14:paraId="1B98AD4F" w14:textId="46C5DC1C" w:rsidR="00FA0945" w:rsidRPr="000C5235" w:rsidRDefault="00FA0945" w:rsidP="000A7DEC">
      <w:pPr>
        <w:pStyle w:val="Heading3Numbered"/>
      </w:pPr>
      <w:bookmarkStart w:id="908" w:name="_Toc53564791"/>
      <w:r w:rsidRPr="000C5235">
        <w:t>Shading</w:t>
      </w:r>
      <w:bookmarkEnd w:id="908"/>
    </w:p>
    <w:p w14:paraId="4B3D67E5" w14:textId="77777777" w:rsidR="00FA0945" w:rsidRPr="000C5235" w:rsidRDefault="00FA0945" w:rsidP="005D722E">
      <w:pPr>
        <w:pStyle w:val="Numbered"/>
        <w:numPr>
          <w:ilvl w:val="0"/>
          <w:numId w:val="234"/>
        </w:numPr>
      </w:pPr>
      <w:r w:rsidRPr="000C5235">
        <w:t>Select the cells to be shaded</w:t>
      </w:r>
    </w:p>
    <w:p w14:paraId="0DC79EE0" w14:textId="77777777" w:rsidR="00FE449B" w:rsidRPr="000C5235" w:rsidRDefault="00FA0945" w:rsidP="005D722E">
      <w:pPr>
        <w:pStyle w:val="Numbered"/>
        <w:numPr>
          <w:ilvl w:val="0"/>
          <w:numId w:val="234"/>
        </w:numPr>
      </w:pPr>
      <w:r w:rsidRPr="000C5235">
        <w:t>Select the “Fill” tab from the “Font” group</w:t>
      </w:r>
    </w:p>
    <w:p w14:paraId="3E26B351" w14:textId="77777777" w:rsidR="00FE449B" w:rsidRPr="000C5235" w:rsidRDefault="00FA0945" w:rsidP="005D722E">
      <w:pPr>
        <w:pStyle w:val="Numbered"/>
        <w:numPr>
          <w:ilvl w:val="0"/>
          <w:numId w:val="234"/>
        </w:numPr>
      </w:pPr>
      <w:r w:rsidRPr="000C5235">
        <w:t>Select “More colours”</w:t>
      </w:r>
    </w:p>
    <w:p w14:paraId="6DBA1040" w14:textId="77777777" w:rsidR="00FE449B" w:rsidRPr="000C5235" w:rsidRDefault="00FA0945" w:rsidP="005D722E">
      <w:pPr>
        <w:pStyle w:val="Numbered"/>
        <w:numPr>
          <w:ilvl w:val="0"/>
          <w:numId w:val="234"/>
        </w:numPr>
      </w:pPr>
      <w:r w:rsidRPr="000C5235">
        <w:t>Select the “Custom” tab</w:t>
      </w:r>
    </w:p>
    <w:p w14:paraId="160E61B0" w14:textId="77777777" w:rsidR="00FA0945" w:rsidRPr="000C5235" w:rsidRDefault="00FA0945" w:rsidP="005D722E">
      <w:pPr>
        <w:pStyle w:val="Numbered"/>
        <w:numPr>
          <w:ilvl w:val="0"/>
          <w:numId w:val="234"/>
        </w:numPr>
      </w:pPr>
      <w:r w:rsidRPr="000C5235">
        <w:t>Set as: Red – 235, Green – 235 and Blue – 235.</w:t>
      </w:r>
    </w:p>
    <w:p w14:paraId="40C648EC" w14:textId="489BDEF8" w:rsidR="00FA0945" w:rsidRPr="000C5235" w:rsidRDefault="00FA0945" w:rsidP="000A7DEC">
      <w:pPr>
        <w:pStyle w:val="Heading3Numbered"/>
      </w:pPr>
      <w:bookmarkStart w:id="909" w:name="_Toc53564792"/>
      <w:r w:rsidRPr="000C5235">
        <w:t>Indenting text</w:t>
      </w:r>
      <w:bookmarkEnd w:id="909"/>
    </w:p>
    <w:p w14:paraId="11E8511E" w14:textId="77777777" w:rsidR="00FA0945" w:rsidRPr="000C5235" w:rsidRDefault="00FA0945" w:rsidP="000A7DEC">
      <w:r w:rsidRPr="000C5235">
        <w:t xml:space="preserve">Use the “Right Indent” button to indent text in columns. Do not create a second column to indent text or use spaces to indent text. </w:t>
      </w:r>
    </w:p>
    <w:p w14:paraId="187C9509" w14:textId="07B1F939" w:rsidR="00FA0945" w:rsidRPr="000C5235" w:rsidRDefault="00FA0945">
      <w:pPr>
        <w:pStyle w:val="BodyText"/>
      </w:pPr>
      <w:r w:rsidRPr="000C5235">
        <w:rPr>
          <w:noProof/>
          <w:lang w:eastAsia="en-AU"/>
        </w:rPr>
        <w:drawing>
          <wp:inline distT="0" distB="0" distL="0" distR="0" wp14:anchorId="485787C1" wp14:editId="60FFD838">
            <wp:extent cx="1537970" cy="803275"/>
            <wp:effectExtent l="19050" t="19050" r="24130" b="15875"/>
            <wp:docPr id="2" name="Picture 2" descr="&quot;Right indent&quot; button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uot;Right indent&quot; button on the Microsoft Excel Home ribbo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37970" cy="803275"/>
                    </a:xfrm>
                    <a:prstGeom prst="rect">
                      <a:avLst/>
                    </a:prstGeom>
                    <a:noFill/>
                    <a:ln>
                      <a:solidFill>
                        <a:schemeClr val="tx1"/>
                      </a:solidFill>
                    </a:ln>
                  </pic:spPr>
                </pic:pic>
              </a:graphicData>
            </a:graphic>
          </wp:inline>
        </w:drawing>
      </w:r>
    </w:p>
    <w:p w14:paraId="7E6E4964" w14:textId="2C77554B" w:rsidR="00FA0945" w:rsidRPr="000C5235" w:rsidRDefault="00FA0945" w:rsidP="000A7DEC">
      <w:pPr>
        <w:pStyle w:val="Heading3Numbered"/>
      </w:pPr>
      <w:bookmarkStart w:id="910" w:name="_Toc53564793"/>
      <w:r w:rsidRPr="000C5235">
        <w:t xml:space="preserve">Inserting linked </w:t>
      </w:r>
      <w:r w:rsidR="0079648C" w:rsidRPr="000C5235">
        <w:t>e</w:t>
      </w:r>
      <w:r w:rsidRPr="000C5235">
        <w:t xml:space="preserve">xcel tables into the </w:t>
      </w:r>
      <w:r w:rsidR="0079648C" w:rsidRPr="000C5235">
        <w:t>w</w:t>
      </w:r>
      <w:r w:rsidRPr="000C5235">
        <w:t>ord template</w:t>
      </w:r>
      <w:bookmarkEnd w:id="910"/>
    </w:p>
    <w:p w14:paraId="68027A56" w14:textId="77777777" w:rsidR="00FA0945" w:rsidRPr="000C5235" w:rsidRDefault="00FA0945" w:rsidP="000A7DEC">
      <w:r w:rsidRPr="000C5235">
        <w:t>The standard practice for preparing Budget documentation is to link tables and charts from Excel into Word. There are a number of reasons for this:</w:t>
      </w:r>
    </w:p>
    <w:p w14:paraId="421C1C92" w14:textId="77777777" w:rsidR="00FA0945" w:rsidRPr="000C5235" w:rsidRDefault="00FA0945">
      <w:pPr>
        <w:pStyle w:val="Bullet1"/>
      </w:pPr>
      <w:r w:rsidRPr="000C5235">
        <w:t>When the Excel tables are updated, the Word template can be easily updated by pressing the F9 key in Word</w:t>
      </w:r>
    </w:p>
    <w:p w14:paraId="4B80D306" w14:textId="77777777" w:rsidR="00FA0945" w:rsidRPr="000C5235" w:rsidRDefault="00FA0945">
      <w:pPr>
        <w:pStyle w:val="Bullet1"/>
      </w:pPr>
      <w:r w:rsidRPr="000C5235">
        <w:t>Placing a linked object into a document helps to keep the file size smaller. An unlinked object increases the document size</w:t>
      </w:r>
    </w:p>
    <w:p w14:paraId="282C59AF" w14:textId="77777777" w:rsidR="00FA0945" w:rsidRPr="000C5235" w:rsidRDefault="00FA0945">
      <w:pPr>
        <w:pStyle w:val="Bullet1"/>
      </w:pPr>
      <w:r w:rsidRPr="000C5235">
        <w:t>When you double click on a linked object in Word you cannot open a copy of the Excel workbook (unless you have access to the Excel file).</w:t>
      </w:r>
    </w:p>
    <w:p w14:paraId="48795382" w14:textId="77777777" w:rsidR="00FA0945" w:rsidRPr="000C5235" w:rsidRDefault="00FA0945" w:rsidP="000A7DEC">
      <w:pPr>
        <w:pStyle w:val="Heading5"/>
      </w:pPr>
      <w:r w:rsidRPr="000C5235">
        <w:t>To insert a linked Excel table into the Word template:</w:t>
      </w:r>
    </w:p>
    <w:p w14:paraId="71858042" w14:textId="77777777" w:rsidR="00FA0945" w:rsidRPr="000C5235" w:rsidRDefault="00FA0945" w:rsidP="005D722E">
      <w:pPr>
        <w:pStyle w:val="Numbered"/>
        <w:numPr>
          <w:ilvl w:val="0"/>
          <w:numId w:val="235"/>
        </w:numPr>
      </w:pPr>
      <w:r w:rsidRPr="000C5235">
        <w:t>In Excel, format the table to budget standards (see page 5</w:t>
      </w:r>
      <w:r w:rsidR="003A289D" w:rsidRPr="000C5235">
        <w:t>9</w:t>
      </w:r>
      <w:r w:rsidRPr="000C5235">
        <w:t>)</w:t>
      </w:r>
    </w:p>
    <w:p w14:paraId="2996629B" w14:textId="77777777" w:rsidR="00FA0945" w:rsidRPr="000C5235" w:rsidRDefault="00FA0945" w:rsidP="005D722E">
      <w:pPr>
        <w:pStyle w:val="Numbered"/>
        <w:numPr>
          <w:ilvl w:val="0"/>
          <w:numId w:val="235"/>
        </w:numPr>
      </w:pPr>
      <w:r w:rsidRPr="000C5235">
        <w:t>In Excel, select and copy the table</w:t>
      </w:r>
    </w:p>
    <w:p w14:paraId="0951AD41" w14:textId="77777777" w:rsidR="00FA0945" w:rsidRPr="000C5235" w:rsidRDefault="00FA0945" w:rsidP="005D722E">
      <w:pPr>
        <w:pStyle w:val="Numbered"/>
        <w:numPr>
          <w:ilvl w:val="0"/>
          <w:numId w:val="235"/>
        </w:numPr>
      </w:pPr>
      <w:r w:rsidRPr="000C5235">
        <w:t>In Word, enter the appropriate heading and apply the Table Heading format to the text</w:t>
      </w:r>
    </w:p>
    <w:p w14:paraId="1D703B08" w14:textId="77777777" w:rsidR="00FA0945" w:rsidRPr="000C5235" w:rsidRDefault="00FA0945" w:rsidP="005D722E">
      <w:pPr>
        <w:pStyle w:val="Numbered"/>
        <w:numPr>
          <w:ilvl w:val="0"/>
          <w:numId w:val="235"/>
        </w:numPr>
      </w:pPr>
      <w:r w:rsidRPr="000C5235">
        <w:t>In Word, select “Paste Special”, choose “Paste Link – Excel Object” and click “OK”</w:t>
      </w:r>
    </w:p>
    <w:p w14:paraId="75956005" w14:textId="77777777" w:rsidR="00FA0945" w:rsidRPr="000C5235" w:rsidRDefault="00FA0945" w:rsidP="005D722E">
      <w:pPr>
        <w:pStyle w:val="Numbered"/>
        <w:numPr>
          <w:ilvl w:val="0"/>
          <w:numId w:val="235"/>
        </w:numPr>
      </w:pPr>
      <w:r w:rsidRPr="000C5235">
        <w:t>In Word, type in the footnotes and other text</w:t>
      </w:r>
    </w:p>
    <w:p w14:paraId="7E918FE8" w14:textId="77777777" w:rsidR="00FA0945" w:rsidRPr="000C5235" w:rsidRDefault="00FA0945" w:rsidP="005D722E">
      <w:pPr>
        <w:pStyle w:val="Numbered"/>
        <w:numPr>
          <w:ilvl w:val="0"/>
          <w:numId w:val="235"/>
        </w:numPr>
      </w:pPr>
      <w:r w:rsidRPr="000C5235">
        <w:t xml:space="preserve">In Word lock the links by right clicking the linked table and choosing Linked Worksheet Object </w:t>
      </w:r>
      <w:r w:rsidR="00160EE4" w:rsidRPr="000C5235">
        <w:t xml:space="preserve"> </w:t>
      </w:r>
      <w:r w:rsidR="004B76F7" w:rsidRPr="000C5235">
        <w:sym w:font="Wingdings" w:char="F0E0"/>
      </w:r>
      <w:r w:rsidRPr="000C5235">
        <w:t xml:space="preserve"> Links and then checking the “Locked” tick box, then click “OK”.</w:t>
      </w:r>
    </w:p>
    <w:p w14:paraId="314AAD4B" w14:textId="77777777" w:rsidR="00FA0945" w:rsidRPr="000C5235" w:rsidRDefault="00FA0945" w:rsidP="000A7DEC">
      <w:pPr>
        <w:pStyle w:val="Heading5"/>
      </w:pPr>
      <w:r w:rsidRPr="000C5235">
        <w:t>To update linked tables</w:t>
      </w:r>
    </w:p>
    <w:p w14:paraId="18E6F362" w14:textId="77777777" w:rsidR="00FA0945" w:rsidRPr="000C5235" w:rsidRDefault="00FA0945" w:rsidP="005D722E">
      <w:pPr>
        <w:pStyle w:val="Numbered"/>
        <w:numPr>
          <w:ilvl w:val="0"/>
          <w:numId w:val="236"/>
        </w:numPr>
      </w:pPr>
      <w:r w:rsidRPr="000C5235">
        <w:t>In Excel, open the source workbook to update the table</w:t>
      </w:r>
    </w:p>
    <w:p w14:paraId="6F13C7F9" w14:textId="77777777" w:rsidR="00FA0945" w:rsidRPr="000C5235" w:rsidRDefault="00FA0945" w:rsidP="005D722E">
      <w:pPr>
        <w:pStyle w:val="Numbered"/>
        <w:numPr>
          <w:ilvl w:val="0"/>
          <w:numId w:val="236"/>
        </w:numPr>
      </w:pPr>
      <w:r w:rsidRPr="000C5235">
        <w:t xml:space="preserve">To update the table, in Word, right click the table and select Linked Worksheet Object </w:t>
      </w:r>
      <w:r w:rsidR="004B76F7" w:rsidRPr="000C5235">
        <w:sym w:font="Wingdings" w:char="F0E0"/>
      </w:r>
      <w:r w:rsidRPr="000C5235">
        <w:t xml:space="preserve"> Links. Uncheck the “Locked” tick box, then select update now, then re-check the “Locked” tick box, then click “OK”</w:t>
      </w:r>
    </w:p>
    <w:p w14:paraId="64EB7F56" w14:textId="77777777" w:rsidR="00FA0945" w:rsidRPr="000C5235" w:rsidRDefault="00FA0945" w:rsidP="005D722E">
      <w:pPr>
        <w:pStyle w:val="Numbered"/>
        <w:numPr>
          <w:ilvl w:val="0"/>
          <w:numId w:val="236"/>
        </w:numPr>
      </w:pPr>
      <w:r w:rsidRPr="000C5235">
        <w:t xml:space="preserve">If you have not locked the tables, press F9 to update the table in the Word document. </w:t>
      </w:r>
    </w:p>
    <w:p w14:paraId="3980E507" w14:textId="570B7778" w:rsidR="00FA0945" w:rsidRPr="000C5235" w:rsidRDefault="00FA0945" w:rsidP="000A7DEC">
      <w:pPr>
        <w:pStyle w:val="Heading2Numbered"/>
      </w:pPr>
      <w:bookmarkStart w:id="911" w:name="_Toc534382585"/>
      <w:bookmarkStart w:id="912" w:name="_Toc53564794"/>
      <w:r w:rsidRPr="000C5235">
        <w:t xml:space="preserve">Preparing the </w:t>
      </w:r>
      <w:r w:rsidR="0079648C" w:rsidRPr="000C5235">
        <w:t>w</w:t>
      </w:r>
      <w:r w:rsidRPr="000C5235">
        <w:t>ord template for printing</w:t>
      </w:r>
      <w:bookmarkEnd w:id="911"/>
      <w:bookmarkEnd w:id="912"/>
    </w:p>
    <w:p w14:paraId="20DF0EC4" w14:textId="77777777" w:rsidR="00FA0945" w:rsidRPr="000C5235" w:rsidRDefault="00FA0945">
      <w:pPr>
        <w:pStyle w:val="BodyText"/>
      </w:pPr>
      <w:r w:rsidRPr="000C5235">
        <w:t>To prepare the Word template for printing, the links to the Excel template should be broken. To break the links:</w:t>
      </w:r>
    </w:p>
    <w:p w14:paraId="28464B26" w14:textId="77777777" w:rsidR="00FA0945" w:rsidRPr="000C5235" w:rsidRDefault="00FA0945" w:rsidP="005D722E">
      <w:pPr>
        <w:pStyle w:val="Numbered"/>
        <w:numPr>
          <w:ilvl w:val="0"/>
          <w:numId w:val="237"/>
        </w:numPr>
      </w:pPr>
      <w:r w:rsidRPr="000C5235">
        <w:t>In Word, click the Office button, then “Prepare” and then “Edit Links to Files”</w:t>
      </w:r>
      <w:r w:rsidR="00BC09E0" w:rsidRPr="000C5235">
        <w:t>.</w:t>
      </w:r>
    </w:p>
    <w:p w14:paraId="2BBDB165" w14:textId="77777777" w:rsidR="00FA0945" w:rsidRPr="000C5235" w:rsidRDefault="00FA0945" w:rsidP="005D722E">
      <w:pPr>
        <w:pStyle w:val="Numbered"/>
        <w:numPr>
          <w:ilvl w:val="0"/>
          <w:numId w:val="237"/>
        </w:numPr>
      </w:pPr>
      <w:r w:rsidRPr="000C5235">
        <w:t>For each link listed, click “Break Link”</w:t>
      </w:r>
      <w:r w:rsidR="00BC09E0" w:rsidRPr="000C5235">
        <w:t>.</w:t>
      </w:r>
    </w:p>
    <w:p w14:paraId="274B3933" w14:textId="77777777" w:rsidR="00FA0945" w:rsidRPr="000C5235" w:rsidRDefault="00FA0945" w:rsidP="005D722E">
      <w:pPr>
        <w:pStyle w:val="Numbered"/>
        <w:numPr>
          <w:ilvl w:val="0"/>
          <w:numId w:val="237"/>
        </w:numPr>
      </w:pPr>
      <w:r w:rsidRPr="000C5235">
        <w:t xml:space="preserve">Save the file and if required by your publisher, convert to Adobe PDF format for printing. </w:t>
      </w:r>
    </w:p>
    <w:p w14:paraId="0BDE1446" w14:textId="6FA8D539" w:rsidR="00FA0945" w:rsidRPr="000C5235" w:rsidRDefault="00FA0945" w:rsidP="000A7DEC">
      <w:pPr>
        <w:pStyle w:val="Heading2Numbered"/>
      </w:pPr>
      <w:bookmarkStart w:id="913" w:name="_Toc534382586"/>
      <w:bookmarkStart w:id="914" w:name="_Toc53564795"/>
      <w:r w:rsidRPr="000C5235">
        <w:t xml:space="preserve">Preparing the </w:t>
      </w:r>
      <w:r w:rsidR="0079648C" w:rsidRPr="000C5235">
        <w:t>w</w:t>
      </w:r>
      <w:r w:rsidRPr="000C5235">
        <w:t>ord template for online publication</w:t>
      </w:r>
      <w:bookmarkEnd w:id="913"/>
      <w:bookmarkEnd w:id="914"/>
    </w:p>
    <w:p w14:paraId="61BC847D" w14:textId="77777777" w:rsidR="00FA0945" w:rsidRPr="000C5235" w:rsidRDefault="00FA0945">
      <w:pPr>
        <w:pStyle w:val="BodyText"/>
      </w:pPr>
      <w:r w:rsidRPr="000C5235">
        <w:t>In order to prepare the Word template for online publication and to ensure they are web accessible, entities will need to re-paste the Excel tables into the Word document in HTML format:</w:t>
      </w:r>
    </w:p>
    <w:p w14:paraId="18339F0E" w14:textId="77777777" w:rsidR="00FA0945" w:rsidRPr="000C5235" w:rsidRDefault="00FA0945" w:rsidP="005D722E">
      <w:pPr>
        <w:pStyle w:val="Numbered"/>
        <w:numPr>
          <w:ilvl w:val="0"/>
          <w:numId w:val="238"/>
        </w:numPr>
      </w:pPr>
      <w:r w:rsidRPr="000C5235">
        <w:t>In Excel, select and copy the table</w:t>
      </w:r>
    </w:p>
    <w:p w14:paraId="0F69A84B" w14:textId="77777777" w:rsidR="00FA0945" w:rsidRPr="000C5235" w:rsidRDefault="00FA0945" w:rsidP="005D722E">
      <w:pPr>
        <w:pStyle w:val="Numbered"/>
        <w:numPr>
          <w:ilvl w:val="0"/>
          <w:numId w:val="238"/>
        </w:numPr>
      </w:pPr>
      <w:r w:rsidRPr="000C5235">
        <w:t>In Word, select “Paste Special”, choose “Paste – HTML Format” and click “OK”</w:t>
      </w:r>
    </w:p>
    <w:p w14:paraId="6369EE4E" w14:textId="77777777" w:rsidR="00FA0945" w:rsidRPr="000C5235" w:rsidRDefault="00FA0945" w:rsidP="005D722E">
      <w:pPr>
        <w:pStyle w:val="Numbered"/>
        <w:numPr>
          <w:ilvl w:val="0"/>
          <w:numId w:val="238"/>
        </w:numPr>
      </w:pPr>
      <w:r w:rsidRPr="000C5235">
        <w:t xml:space="preserve">Save the file. It is now ready for conversion into Adobe PDF or HTML format by your Web Publishing area. </w:t>
      </w:r>
    </w:p>
    <w:p w14:paraId="71E814DA" w14:textId="6BC8C4BD" w:rsidR="00FA0945" w:rsidRPr="000C5235" w:rsidRDefault="00FA0945" w:rsidP="000A7DEC">
      <w:pPr>
        <w:pStyle w:val="Heading2Numbered"/>
      </w:pPr>
      <w:bookmarkStart w:id="915" w:name="_Toc534382587"/>
      <w:bookmarkStart w:id="916" w:name="_Toc53564796"/>
      <w:r w:rsidRPr="000C5235">
        <w:t>Web accessibility requirements</w:t>
      </w:r>
      <w:bookmarkEnd w:id="915"/>
      <w:bookmarkEnd w:id="916"/>
    </w:p>
    <w:p w14:paraId="6F74EC53" w14:textId="7B22B170" w:rsidR="00FA0945" w:rsidRPr="000C5235" w:rsidRDefault="00FA0945" w:rsidP="000A7DEC">
      <w:r w:rsidRPr="000C5235">
        <w:t xml:space="preserve">Entities must ensure web content published on government websites meets the mandatory accessibility standard ‘Web Content Accessibility Guidelines Version 2.0’. Details of the standard and associated policy advice can be found online at </w:t>
      </w:r>
      <w:hyperlink r:id="rId74" w:history="1">
        <w:r w:rsidR="00F415C5" w:rsidRPr="000C5235">
          <w:rPr>
            <w:rStyle w:val="Hyperlink"/>
            <w:rFonts w:asciiTheme="minorHAnsi" w:hAnsiTheme="minorHAnsi" w:cs="Times New Roman"/>
          </w:rPr>
          <w:t>https://guides.service.gov.au/content-guide/accessibility-inclusivity/</w:t>
        </w:r>
      </w:hyperlink>
      <w:r w:rsidR="00F415C5" w:rsidRPr="000C5235">
        <w:t>.</w:t>
      </w:r>
    </w:p>
    <w:p w14:paraId="739B132D" w14:textId="77777777" w:rsidR="00FA0945" w:rsidRPr="000C5235" w:rsidRDefault="00FA0945" w:rsidP="000A7DEC">
      <w:r w:rsidRPr="000C5235">
        <w:t>The tables for the PB Statements and PAES have been reformatted to improve accessibility for users with a disability. Changes to improve the accessibility of the tables include:</w:t>
      </w:r>
    </w:p>
    <w:p w14:paraId="1F3B9C43" w14:textId="77777777" w:rsidR="00FA0945" w:rsidRPr="000C5235" w:rsidRDefault="00FA0945">
      <w:pPr>
        <w:pStyle w:val="Bullet1"/>
      </w:pPr>
      <w:r w:rsidRPr="000C5235">
        <w:t>Removal of blank cells and rows so text-to-speech reader software can read tables</w:t>
      </w:r>
    </w:p>
    <w:p w14:paraId="4CE67401" w14:textId="77777777" w:rsidR="00FA0945" w:rsidRPr="000C5235" w:rsidRDefault="00FA0945">
      <w:pPr>
        <w:pStyle w:val="Bullet1"/>
      </w:pPr>
      <w:r w:rsidRPr="000C5235">
        <w:t>Wrapping text so that entire phrases, titles or sentences appear in the one cell, rather than being split over several lines</w:t>
      </w:r>
    </w:p>
    <w:p w14:paraId="3FFD3702" w14:textId="77777777" w:rsidR="00FA0945" w:rsidRPr="000C5235" w:rsidRDefault="00FA0945">
      <w:pPr>
        <w:pStyle w:val="Bullet1"/>
      </w:pPr>
      <w:r w:rsidRPr="000C5235">
        <w:t>Using “soft returns” in cells so headings in the electronic version can be read by text-to-speech reader software but headings are formatted correctly in the printed version and</w:t>
      </w:r>
    </w:p>
    <w:p w14:paraId="70343019" w14:textId="77777777" w:rsidR="00FA0945" w:rsidRPr="000C5235" w:rsidRDefault="00FA0945">
      <w:pPr>
        <w:pStyle w:val="Bullet1"/>
      </w:pPr>
      <w:r w:rsidRPr="000C5235">
        <w:t xml:space="preserve">More consistent capitalisation so sighted users can differentiate between new cells versus new lines within a cell/row. </w:t>
      </w:r>
    </w:p>
    <w:p w14:paraId="1D263043" w14:textId="3BD946A0" w:rsidR="00FA0945" w:rsidRPr="000C5235" w:rsidRDefault="00FA0945" w:rsidP="000A7DEC">
      <w:pPr>
        <w:pStyle w:val="Heading3Numbered"/>
      </w:pPr>
      <w:bookmarkStart w:id="917" w:name="_Toc53564797"/>
      <w:r w:rsidRPr="000C5235">
        <w:t>Guide to making accessible soft copy documents</w:t>
      </w:r>
      <w:bookmarkEnd w:id="917"/>
    </w:p>
    <w:p w14:paraId="5D163382" w14:textId="77777777" w:rsidR="00FA0945" w:rsidRPr="000C5235" w:rsidRDefault="00FA0945" w:rsidP="000A7DEC">
      <w:r w:rsidRPr="000C5235">
        <w:t>Entities are responsible for making their documents accessible and it is recommended entities contact their publishing or web teams early to ensure requirements are met.</w:t>
      </w:r>
    </w:p>
    <w:p w14:paraId="37C2F2C5" w14:textId="77777777" w:rsidR="00FA0945" w:rsidRPr="000C5235" w:rsidRDefault="00FA0945" w:rsidP="005D722E">
      <w:pPr>
        <w:pStyle w:val="Numbered"/>
        <w:numPr>
          <w:ilvl w:val="0"/>
          <w:numId w:val="217"/>
        </w:numPr>
      </w:pPr>
      <w:r w:rsidRPr="000C5235">
        <w:t>Content structure — use styles:</w:t>
      </w:r>
    </w:p>
    <w:p w14:paraId="4CE842A9" w14:textId="77777777" w:rsidR="00FA0945" w:rsidRPr="000C5235" w:rsidRDefault="00FA0945">
      <w:pPr>
        <w:pStyle w:val="Bullet2"/>
      </w:pPr>
      <w:r w:rsidRPr="000C5235">
        <w:t>Using styles such as heading types, bullet point lists and numbered lists makes it easier for users with disabilities to navigate through a document.</w:t>
      </w:r>
    </w:p>
    <w:p w14:paraId="05523819" w14:textId="77777777" w:rsidR="00FA0945" w:rsidRPr="000C5235" w:rsidRDefault="00FA0945">
      <w:pPr>
        <w:pStyle w:val="Bullet2"/>
      </w:pPr>
      <w:r w:rsidRPr="000C5235">
        <w:t>Use the styles that are available on the Office ribbon under the Home tab or through the Styles window (Alt</w:t>
      </w:r>
      <w:r w:rsidR="00C37129" w:rsidRPr="000C5235">
        <w:t xml:space="preserve"> </w:t>
      </w:r>
      <w:r w:rsidRPr="000C5235">
        <w:t>+</w:t>
      </w:r>
      <w:r w:rsidR="00C37129" w:rsidRPr="000C5235">
        <w:t xml:space="preserve"> </w:t>
      </w:r>
      <w:r w:rsidRPr="000C5235">
        <w:t>Ctrl</w:t>
      </w:r>
      <w:r w:rsidR="00C37129" w:rsidRPr="000C5235">
        <w:t xml:space="preserve"> </w:t>
      </w:r>
      <w:r w:rsidRPr="000C5235">
        <w:t>+</w:t>
      </w:r>
      <w:r w:rsidR="00C37129" w:rsidRPr="000C5235">
        <w:t xml:space="preserve"> </w:t>
      </w:r>
      <w:r w:rsidRPr="000C5235">
        <w:t>Shift</w:t>
      </w:r>
      <w:r w:rsidR="00C37129" w:rsidRPr="000C5235">
        <w:t xml:space="preserve"> </w:t>
      </w:r>
      <w:r w:rsidRPr="000C5235">
        <w:t>+</w:t>
      </w:r>
      <w:r w:rsidR="00C37129" w:rsidRPr="000C5235">
        <w:t xml:space="preserve"> </w:t>
      </w:r>
      <w:r w:rsidRPr="000C5235">
        <w:t>S)</w:t>
      </w:r>
      <w:r w:rsidR="00E10C89" w:rsidRPr="000C5235">
        <w:t xml:space="preserve"> (ie</w:t>
      </w:r>
      <w:r w:rsidRPr="000C5235">
        <w:t xml:space="preserve"> Heading 1, Heading 2, Heading 3, Heading 4, Normal etc</w:t>
      </w:r>
      <w:r w:rsidR="00E10C89" w:rsidRPr="000C5235">
        <w:t>)</w:t>
      </w:r>
      <w:r w:rsidRPr="000C5235">
        <w:t>.</w:t>
      </w:r>
      <w:r w:rsidR="003911FC" w:rsidRPr="000C5235">
        <w:br/>
      </w:r>
      <w:r w:rsidR="003911FC" w:rsidRPr="000C5235">
        <w:br/>
      </w:r>
      <w:r w:rsidRPr="000C5235">
        <w:rPr>
          <w:noProof/>
          <w:lang w:eastAsia="en-AU"/>
        </w:rPr>
        <w:drawing>
          <wp:inline distT="0" distB="0" distL="0" distR="0" wp14:anchorId="5216C5C4" wp14:editId="4EADDFD9">
            <wp:extent cx="4862830" cy="873125"/>
            <wp:effectExtent l="19050" t="19050" r="13970" b="22225"/>
            <wp:docPr id="1" name="Picture 1" descr="&quot;Styles&quot; group on the Microsoft Word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ot;Styles&quot; group on the Microsoft Word Home ribb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62830" cy="873125"/>
                    </a:xfrm>
                    <a:prstGeom prst="rect">
                      <a:avLst/>
                    </a:prstGeom>
                    <a:noFill/>
                    <a:ln>
                      <a:solidFill>
                        <a:schemeClr val="tx1"/>
                      </a:solidFill>
                    </a:ln>
                  </pic:spPr>
                </pic:pic>
              </a:graphicData>
            </a:graphic>
          </wp:inline>
        </w:drawing>
      </w:r>
      <w:r w:rsidR="004E58F5" w:rsidRPr="000C5235">
        <w:br/>
      </w:r>
    </w:p>
    <w:p w14:paraId="3E3EBD5F" w14:textId="77777777" w:rsidR="00FA0945" w:rsidRPr="000C5235" w:rsidRDefault="00FA0945">
      <w:pPr>
        <w:pStyle w:val="Bullet2"/>
      </w:pPr>
      <w:r w:rsidRPr="000C5235">
        <w:t>Use heading styles to apply a logical structure to your document. Headings will allow screen reader users to navigate through the page easily and will make the page more usable for everyone. Use the Outline view to see the hierarchy of styles</w:t>
      </w:r>
    </w:p>
    <w:p w14:paraId="07F3B863" w14:textId="77777777" w:rsidR="00FA0945" w:rsidRPr="000C5235" w:rsidRDefault="00FA0945">
      <w:pPr>
        <w:pStyle w:val="Bullet2"/>
      </w:pPr>
      <w:r w:rsidRPr="000C5235">
        <w:t>Do not skip any heading level — this may affect the logical reading order of the document when used by a screen reader</w:t>
      </w:r>
    </w:p>
    <w:p w14:paraId="2BF55D65" w14:textId="77777777" w:rsidR="00FA0945" w:rsidRPr="000C5235" w:rsidRDefault="00FA0945">
      <w:pPr>
        <w:pStyle w:val="Bullet2"/>
      </w:pPr>
      <w:r w:rsidRPr="000C5235">
        <w:t>Make a page break to move text to the next page to ensure there is no blank space for screen reader audio.</w:t>
      </w:r>
    </w:p>
    <w:p w14:paraId="7F0CC4B4" w14:textId="77777777" w:rsidR="00FA0945" w:rsidRPr="000C5235" w:rsidRDefault="00FA0945" w:rsidP="005D722E">
      <w:pPr>
        <w:pStyle w:val="Numbered"/>
        <w:numPr>
          <w:ilvl w:val="0"/>
          <w:numId w:val="238"/>
        </w:numPr>
      </w:pPr>
      <w:r w:rsidRPr="000C5235">
        <w:t>Alternative text:</w:t>
      </w:r>
    </w:p>
    <w:p w14:paraId="27E32581" w14:textId="77777777" w:rsidR="00FA0945" w:rsidRPr="000C5235" w:rsidRDefault="00FA0945">
      <w:pPr>
        <w:pStyle w:val="Bullet2"/>
      </w:pPr>
      <w:r w:rsidRPr="000C5235">
        <w:t>Charts and images all need to have alternative text, this text will be read by a screen reader in a Word file and will remain intact when exported to HTML or PDF</w:t>
      </w:r>
    </w:p>
    <w:p w14:paraId="50227FEF" w14:textId="77777777" w:rsidR="00FA0945" w:rsidRPr="000C5235" w:rsidRDefault="00FA0945">
      <w:pPr>
        <w:pStyle w:val="Bullet2"/>
      </w:pPr>
      <w:r w:rsidRPr="000C5235">
        <w:t>You must always provide an alternative text (ALT Text) description for all non-text objects and should communicate the essential content of the image as efficiently as possible</w:t>
      </w:r>
    </w:p>
    <w:p w14:paraId="5692C4E5" w14:textId="77777777" w:rsidR="00FA0945" w:rsidRPr="000C5235" w:rsidRDefault="00FA0945">
      <w:pPr>
        <w:pStyle w:val="Bullet2"/>
      </w:pPr>
      <w:r w:rsidRPr="000C5235">
        <w:t>To enter in ALT text right click on the image, select Format Picture/Shape and then select the ALT text tab to enter in the title and description.</w:t>
      </w:r>
    </w:p>
    <w:p w14:paraId="5798738F" w14:textId="77777777" w:rsidR="00FA0945" w:rsidRPr="000C5235" w:rsidRDefault="00FA0945" w:rsidP="002754DF">
      <w:pPr>
        <w:pStyle w:val="Numbered"/>
        <w:numPr>
          <w:ilvl w:val="0"/>
          <w:numId w:val="238"/>
        </w:numPr>
      </w:pPr>
      <w:r w:rsidRPr="000C5235">
        <w:t>Use the accessibility checker:</w:t>
      </w:r>
    </w:p>
    <w:p w14:paraId="0E962425" w14:textId="77777777" w:rsidR="00FA0945" w:rsidRPr="000C5235" w:rsidRDefault="00FA0945">
      <w:pPr>
        <w:pStyle w:val="Bullet2"/>
      </w:pPr>
      <w:r w:rsidRPr="000C5235">
        <w:t xml:space="preserve">If you wish to check the accessibility of your document or template (see Technique 1, above), Word 2016 offers an “Accessibility Checker” to review your document against a set of possible issues that users with disabilities may experience in your file: </w:t>
      </w:r>
    </w:p>
    <w:p w14:paraId="30F56833" w14:textId="77777777" w:rsidR="00FA0945" w:rsidRPr="000C5235" w:rsidRDefault="00FA0945">
      <w:pPr>
        <w:pStyle w:val="Bullet3"/>
      </w:pPr>
      <w:r w:rsidRPr="000C5235">
        <w:t xml:space="preserve">Select File </w:t>
      </w:r>
      <w:r w:rsidR="004B76F7" w:rsidRPr="000C5235">
        <w:sym w:font="Wingdings" w:char="F0E0"/>
      </w:r>
      <w:r w:rsidRPr="000C5235">
        <w:t xml:space="preserve"> Info</w:t>
      </w:r>
    </w:p>
    <w:p w14:paraId="51AB2E50" w14:textId="77777777" w:rsidR="00FA0945" w:rsidRPr="000C5235" w:rsidRDefault="00FA0945">
      <w:pPr>
        <w:pStyle w:val="Bullet3"/>
      </w:pPr>
      <w:r w:rsidRPr="000C5235">
        <w:t xml:space="preserve">Select ‘Check for Issues’ </w:t>
      </w:r>
      <w:r w:rsidR="004B76F7" w:rsidRPr="000C5235">
        <w:sym w:font="Wingdings" w:char="F0E0"/>
      </w:r>
      <w:r w:rsidRPr="000C5235">
        <w:t xml:space="preserve"> ‘Check Accessibility’.</w:t>
      </w:r>
    </w:p>
    <w:p w14:paraId="2F1C9F56" w14:textId="77777777" w:rsidR="00FA0945" w:rsidRPr="000C5235" w:rsidRDefault="00FA0945" w:rsidP="00C75597">
      <w:pPr>
        <w:pStyle w:val="Numbered"/>
        <w:numPr>
          <w:ilvl w:val="0"/>
          <w:numId w:val="238"/>
        </w:numPr>
      </w:pPr>
      <w:r w:rsidRPr="000C5235">
        <w:t>Convert Word documents to tagged PDF files</w:t>
      </w:r>
    </w:p>
    <w:p w14:paraId="78196BC6" w14:textId="77777777" w:rsidR="00FA0945" w:rsidRPr="000C5235" w:rsidRDefault="00FA0945">
      <w:pPr>
        <w:pStyle w:val="Bullet2"/>
      </w:pPr>
      <w:r w:rsidRPr="000C5235">
        <w:t>Microsoft Office 2016 allows you to create tagged PDF files. If you want to verify the accessibility of the PDF or edit the tags that are created, you will still need Acrobat Professional (your web team can help).</w:t>
      </w:r>
    </w:p>
    <w:p w14:paraId="02487A5A" w14:textId="77777777" w:rsidR="00FA0945" w:rsidRPr="000C5235" w:rsidRDefault="00FA0945">
      <w:pPr>
        <w:pStyle w:val="Bullet3"/>
      </w:pPr>
      <w:r w:rsidRPr="000C5235">
        <w:t xml:space="preserve">Select File </w:t>
      </w:r>
      <w:r w:rsidR="004B76F7" w:rsidRPr="000C5235">
        <w:sym w:font="Wingdings" w:char="F0E0"/>
      </w:r>
      <w:r w:rsidRPr="000C5235">
        <w:t xml:space="preserve"> Save As</w:t>
      </w:r>
    </w:p>
    <w:p w14:paraId="318A8612" w14:textId="77777777" w:rsidR="00FA0945" w:rsidRPr="000C5235" w:rsidRDefault="00FA0945">
      <w:pPr>
        <w:pStyle w:val="Bullet3"/>
      </w:pPr>
      <w:r w:rsidRPr="000C5235">
        <w:t>Under ‘Save as’ type: select PDF. Before you save the file, select ‘Options’ and ensure that the ‘Document structure tags for accessibility’ option is selected.</w:t>
      </w:r>
    </w:p>
    <w:p w14:paraId="2A461CEF" w14:textId="77777777" w:rsidR="00FA0945" w:rsidRPr="000C5235" w:rsidRDefault="00FA0945" w:rsidP="00C75597">
      <w:pPr>
        <w:pStyle w:val="Numbered"/>
        <w:numPr>
          <w:ilvl w:val="0"/>
          <w:numId w:val="238"/>
        </w:numPr>
      </w:pPr>
      <w:r w:rsidRPr="000C5235">
        <w:t>Making Excel tables accessible</w:t>
      </w:r>
    </w:p>
    <w:p w14:paraId="5ED0D6BD" w14:textId="77777777" w:rsidR="00FA0945" w:rsidRPr="000C5235" w:rsidRDefault="00FA0945">
      <w:pPr>
        <w:pStyle w:val="Bullet2"/>
      </w:pPr>
      <w:r w:rsidRPr="000C5235">
        <w:t>Because of the complex nature of the Budget tables, it’s difficult to make them accessible using Microsoft Office 2016 features. There are two options to make this content available - entities can either make the data behind the tables available on their website or they can convert the Excel tables to Word.</w:t>
      </w:r>
    </w:p>
    <w:p w14:paraId="0CCAE94E" w14:textId="7CFDFE22" w:rsidR="00CA731A" w:rsidRPr="000C5235" w:rsidRDefault="00FA0945" w:rsidP="00AC0C8A">
      <w:pPr>
        <w:pStyle w:val="Bullet3"/>
      </w:pPr>
      <w:r w:rsidRPr="000C5235">
        <w:t xml:space="preserve">Portfolios may also wish to include a link on their website to </w:t>
      </w:r>
      <w:hyperlink r:id="rId76" w:history="1">
        <w:r w:rsidRPr="000C5235">
          <w:rPr>
            <w:rStyle w:val="Hyperlink"/>
          </w:rPr>
          <w:t>http://www.data.gov.au</w:t>
        </w:r>
      </w:hyperlink>
      <w:r w:rsidRPr="000C5235">
        <w:t>, where most PB Statement financial tables will be available in Excel format following tabling of t</w:t>
      </w:r>
      <w:r w:rsidR="009064EE" w:rsidRPr="000C5235">
        <w:t>he PB Statements in Parliament.</w:t>
      </w:r>
    </w:p>
    <w:p w14:paraId="5F65043D" w14:textId="77777777" w:rsidR="00FA0945" w:rsidRPr="000C5235" w:rsidRDefault="00FA0945" w:rsidP="000A7DEC">
      <w:pPr>
        <w:pStyle w:val="Heading1Numbered"/>
      </w:pPr>
      <w:r w:rsidRPr="000C5235">
        <w:br w:type="page"/>
      </w:r>
      <w:bookmarkStart w:id="918" w:name="_Toc411852709"/>
      <w:bookmarkStart w:id="919" w:name="_Toc534382589"/>
      <w:bookmarkStart w:id="920" w:name="_Ref33522418"/>
      <w:bookmarkStart w:id="921" w:name="_Ref33522421"/>
      <w:bookmarkStart w:id="922" w:name="_Ref33522426"/>
      <w:bookmarkStart w:id="923" w:name="_Ref33523372"/>
      <w:bookmarkStart w:id="924" w:name="_Ref33523377"/>
      <w:bookmarkStart w:id="925" w:name="_Ref33523382"/>
      <w:bookmarkStart w:id="926" w:name="_Toc53564798"/>
      <w:r w:rsidRPr="000C5235">
        <w:t>Contacts</w:t>
      </w:r>
      <w:bookmarkEnd w:id="918"/>
      <w:bookmarkEnd w:id="919"/>
      <w:bookmarkEnd w:id="920"/>
      <w:bookmarkEnd w:id="921"/>
      <w:bookmarkEnd w:id="922"/>
      <w:bookmarkEnd w:id="923"/>
      <w:bookmarkEnd w:id="924"/>
      <w:bookmarkEnd w:id="925"/>
      <w:bookmarkEnd w:id="926"/>
    </w:p>
    <w:p w14:paraId="41608D20" w14:textId="12CDEFE0" w:rsidR="00FA0945" w:rsidRPr="000C5235" w:rsidRDefault="00FA0945" w:rsidP="000A7DEC">
      <w:pPr>
        <w:pStyle w:val="Heading2Numbered"/>
      </w:pPr>
      <w:bookmarkStart w:id="927" w:name="_Toc53564799"/>
      <w:r w:rsidRPr="000C5235">
        <w:t>Department of Finance</w:t>
      </w:r>
      <w:bookmarkEnd w:id="927"/>
    </w:p>
    <w:p w14:paraId="3012CCDB" w14:textId="77777777" w:rsidR="00FA0945" w:rsidRPr="000C5235" w:rsidRDefault="00FA0945" w:rsidP="000A7DEC">
      <w:r w:rsidRPr="000C5235">
        <w:t>In the first instance, entities should contact Finance staff in the relevant AAU with enquiries.</w:t>
      </w:r>
    </w:p>
    <w:p w14:paraId="5C49CB4B" w14:textId="6435BD5D" w:rsidR="00FA0945" w:rsidRDefault="00FA0945" w:rsidP="000A7DEC">
      <w:r w:rsidRPr="000C5235">
        <w:t>For guidance on the preparation of the PB Statements (including publication on data.gov</w:t>
      </w:r>
      <w:r w:rsidR="00001EE6" w:rsidRPr="000C5235">
        <w:t>.au</w:t>
      </w:r>
      <w:r w:rsidRPr="000C5235">
        <w:t xml:space="preserve"> but excluding performance reporting), entities can contact the</w:t>
      </w:r>
      <w:r w:rsidR="00BC3BC8" w:rsidRPr="000C5235">
        <w:t xml:space="preserve"> </w:t>
      </w:r>
      <w:r w:rsidR="00BC3BC8" w:rsidRPr="000C5235">
        <w:rPr>
          <w:b/>
        </w:rPr>
        <w:t>Agency Accounting and</w:t>
      </w:r>
      <w:r w:rsidRPr="000C5235">
        <w:rPr>
          <w:b/>
        </w:rPr>
        <w:t xml:space="preserve"> Budget Framework Team</w:t>
      </w:r>
      <w:r w:rsidRPr="000C5235">
        <w:t>:</w:t>
      </w:r>
      <w:r w:rsidR="00160EE4" w:rsidRPr="000C5235">
        <w:br/>
      </w:r>
    </w:p>
    <w:p w14:paraId="7CAE92EA" w14:textId="370B66A6" w:rsidR="00A700FE" w:rsidRPr="000C5235" w:rsidRDefault="00854156" w:rsidP="000A7DEC">
      <w:hyperlink r:id="rId77" w:history="1">
        <w:r w:rsidR="00A700FE" w:rsidRPr="000C5235">
          <w:rPr>
            <w:rStyle w:val="Hyperlink"/>
            <w:rFonts w:asciiTheme="minorHAnsi" w:hAnsiTheme="minorHAnsi" w:cs="Times New Roman"/>
          </w:rPr>
          <w:t>Budget_Framework@finance.gov.au</w:t>
        </w:r>
      </w:hyperlink>
      <w:r w:rsidR="00A700FE" w:rsidRPr="000C5235">
        <w:t xml:space="preserve">  </w:t>
      </w:r>
      <w:r w:rsidR="00A700FE" w:rsidRPr="000C5235">
        <w:tab/>
      </w:r>
      <w:r w:rsidR="00A700FE" w:rsidRPr="000C5235">
        <w:tab/>
        <w:t>(emails rated up to Protected)</w:t>
      </w:r>
    </w:p>
    <w:p w14:paraId="12C322B8" w14:textId="77777777" w:rsidR="00A753A3" w:rsidRPr="000C5235" w:rsidRDefault="00A753A3" w:rsidP="000A7DEC"/>
    <w:p w14:paraId="631798FA" w14:textId="77777777" w:rsidR="00156C1B" w:rsidRPr="000C5235" w:rsidRDefault="00782273" w:rsidP="000A7DEC">
      <w:r w:rsidRPr="000C5235">
        <w:t xml:space="preserve">For guidance on </w:t>
      </w:r>
      <w:r w:rsidR="00156C1B" w:rsidRPr="000C5235">
        <w:rPr>
          <w:b/>
        </w:rPr>
        <w:t>P</w:t>
      </w:r>
      <w:r w:rsidRPr="000C5235">
        <w:rPr>
          <w:b/>
        </w:rPr>
        <w:t xml:space="preserve">erformance </w:t>
      </w:r>
      <w:r w:rsidR="00156C1B" w:rsidRPr="000C5235">
        <w:rPr>
          <w:b/>
        </w:rPr>
        <w:t>I</w:t>
      </w:r>
      <w:r w:rsidRPr="000C5235">
        <w:rPr>
          <w:b/>
        </w:rPr>
        <w:t>nformation</w:t>
      </w:r>
      <w:r w:rsidRPr="000C5235">
        <w:t xml:space="preserve"> and annual performance statements (Section 2 of the PAES; excluding </w:t>
      </w:r>
      <w:r w:rsidRPr="000C5235">
        <w:rPr>
          <w:i/>
        </w:rPr>
        <w:t>Table 2.x.1</w:t>
      </w:r>
      <w:r w:rsidRPr="000C5235">
        <w:t xml:space="preserve"> and </w:t>
      </w:r>
      <w:r w:rsidRPr="000C5235">
        <w:rPr>
          <w:i/>
        </w:rPr>
        <w:t>2.x.2</w:t>
      </w:r>
      <w:r w:rsidRPr="000C5235">
        <w:t>), corporate plans and annual reports entities should contact the</w:t>
      </w:r>
      <w:r w:rsidR="00156C1B" w:rsidRPr="000C5235">
        <w:t>:</w:t>
      </w:r>
    </w:p>
    <w:p w14:paraId="1B548823" w14:textId="4B6DB15D" w:rsidR="00156C1B" w:rsidRPr="000C5235" w:rsidRDefault="00886B74">
      <w:pPr>
        <w:pStyle w:val="Bullet1"/>
      </w:pPr>
      <w:r w:rsidRPr="000C5235">
        <w:t>Accountability and Reporting</w:t>
      </w:r>
      <w:r w:rsidR="00782273" w:rsidRPr="000C5235">
        <w:t xml:space="preserve"> Branch </w:t>
      </w:r>
      <w:hyperlink r:id="rId78" w:history="1">
        <w:r w:rsidR="0085419F" w:rsidRPr="000C5235">
          <w:rPr>
            <w:rStyle w:val="Hyperlink"/>
            <w:rFonts w:asciiTheme="minorHAnsi" w:hAnsiTheme="minorHAnsi" w:cs="Times New Roman"/>
          </w:rPr>
          <w:t>PGPA@finance.gov.au</w:t>
        </w:r>
      </w:hyperlink>
      <w:r w:rsidR="0062189E" w:rsidRPr="000C5235">
        <w:t>)</w:t>
      </w:r>
    </w:p>
    <w:p w14:paraId="7342B954" w14:textId="77777777" w:rsidR="00CB6D35" w:rsidRPr="000C5235" w:rsidRDefault="00CB6D35" w:rsidP="000A7DEC"/>
    <w:p w14:paraId="61CCBD7B" w14:textId="77777777" w:rsidR="00156C1B" w:rsidRPr="000C5235" w:rsidRDefault="00FA0945" w:rsidP="000A7DEC">
      <w:r w:rsidRPr="000C5235">
        <w:t xml:space="preserve">For guidance on the production of the </w:t>
      </w:r>
      <w:r w:rsidRPr="000C5235">
        <w:rPr>
          <w:b/>
        </w:rPr>
        <w:t>Appropriation Bills</w:t>
      </w:r>
      <w:r w:rsidRPr="000C5235">
        <w:t>, the CFO sign-off process and outcome changes, entities should contact</w:t>
      </w:r>
      <w:r w:rsidR="00156C1B" w:rsidRPr="000C5235">
        <w:t>:</w:t>
      </w:r>
    </w:p>
    <w:p w14:paraId="068DFC2B" w14:textId="4A3A2C6E" w:rsidR="00156C1B" w:rsidRPr="000C5235" w:rsidRDefault="00156C1B" w:rsidP="00754464">
      <w:pPr>
        <w:pStyle w:val="Bullet1"/>
        <w:tabs>
          <w:tab w:val="left" w:pos="2835"/>
          <w:tab w:val="left" w:pos="4678"/>
        </w:tabs>
      </w:pPr>
      <w:r w:rsidRPr="000C5235">
        <w:t>The Annual Appropriation Team or email</w:t>
      </w:r>
      <w:r w:rsidR="00754464" w:rsidRPr="000C5235">
        <w:t xml:space="preserve"> </w:t>
      </w:r>
      <w:hyperlink r:id="rId79" w:history="1">
        <w:r w:rsidRPr="000C5235">
          <w:rPr>
            <w:rStyle w:val="Hyperlink"/>
            <w:rFonts w:asciiTheme="minorHAnsi" w:hAnsiTheme="minorHAnsi" w:cs="Times New Roman"/>
          </w:rPr>
          <w:t>G&amp;TAnnualAppropriations@finance.gov.au</w:t>
        </w:r>
      </w:hyperlink>
      <w:r w:rsidRPr="000C5235">
        <w:t>.</w:t>
      </w:r>
    </w:p>
    <w:p w14:paraId="096A2004" w14:textId="77777777" w:rsidR="00CB6D35" w:rsidRPr="000C5235" w:rsidRDefault="00CB6D35">
      <w:pPr>
        <w:pStyle w:val="BodyText"/>
      </w:pPr>
    </w:p>
    <w:p w14:paraId="475ADD7E" w14:textId="0C0FF9AC" w:rsidR="00FA0945" w:rsidRPr="000C5235" w:rsidRDefault="00FA0945" w:rsidP="000A7DEC">
      <w:r w:rsidRPr="000C5235">
        <w:t xml:space="preserve">For queries regarding </w:t>
      </w:r>
      <w:r w:rsidRPr="000C5235">
        <w:rPr>
          <w:b/>
        </w:rPr>
        <w:t>ASL reporting</w:t>
      </w:r>
      <w:r w:rsidRPr="000C5235">
        <w:t xml:space="preserve">, please </w:t>
      </w:r>
      <w:r w:rsidR="00B17EB6">
        <w:t>contact your Agency Advice Unit</w:t>
      </w:r>
      <w:r w:rsidR="00782273" w:rsidRPr="000C5235">
        <w:t>.</w:t>
      </w:r>
    </w:p>
    <w:p w14:paraId="03F012C7" w14:textId="77777777" w:rsidR="00C03287" w:rsidRPr="000C5235" w:rsidRDefault="00C03287">
      <w:pPr>
        <w:suppressAutoHyphens w:val="0"/>
        <w:spacing w:before="0" w:after="120" w:line="440" w:lineRule="atLeast"/>
        <w:rPr>
          <w:rFonts w:asciiTheme="majorHAnsi" w:eastAsiaTheme="majorEastAsia" w:hAnsiTheme="majorHAnsi" w:cstheme="majorBidi"/>
          <w:bCs/>
          <w:color w:val="1C1C1C" w:themeColor="text2"/>
          <w:sz w:val="34"/>
          <w:szCs w:val="26"/>
        </w:rPr>
      </w:pPr>
      <w:r w:rsidRPr="000C5235">
        <w:br w:type="page"/>
      </w:r>
    </w:p>
    <w:p w14:paraId="2C0D1444" w14:textId="328F4539" w:rsidR="00FA0945" w:rsidRPr="000C5235" w:rsidRDefault="00FA0945" w:rsidP="000A7DEC">
      <w:pPr>
        <w:pStyle w:val="Heading2Numbered"/>
      </w:pPr>
      <w:bookmarkStart w:id="928" w:name="_Toc53564800"/>
      <w:r w:rsidRPr="000C5235">
        <w:t>Treasury</w:t>
      </w:r>
      <w:bookmarkEnd w:id="928"/>
    </w:p>
    <w:p w14:paraId="0CCF427B" w14:textId="77777777" w:rsidR="001106C6" w:rsidRPr="000C5235" w:rsidRDefault="001106C6" w:rsidP="001106C6">
      <w:r w:rsidRPr="000C5235">
        <w:t>Treasury sets formatting standards for PBS templates and uploads PBS links to www.budget.gov.au. Treasury also coordinates the Budget lock-up at Australian Parliament House and undertakes budget coordination activities</w:t>
      </w:r>
      <w:r w:rsidR="00881C1D" w:rsidRPr="000C5235">
        <w:t xml:space="preserve"> at the agency level.</w:t>
      </w:r>
    </w:p>
    <w:p w14:paraId="063630FE" w14:textId="77777777" w:rsidR="001106C6" w:rsidRPr="000C5235" w:rsidRDefault="001106C6" w:rsidP="001106C6">
      <w:r w:rsidRPr="000C5235">
        <w:t>Key Treasury contacts:</w:t>
      </w:r>
    </w:p>
    <w:p w14:paraId="68023E9D" w14:textId="77777777" w:rsidR="001106C6" w:rsidRPr="000C5235" w:rsidRDefault="001106C6" w:rsidP="000A7DEC">
      <w:pPr>
        <w:pStyle w:val="Bullet1"/>
      </w:pPr>
      <w:r w:rsidRPr="000C5235">
        <w:t>General Budget communications queries</w:t>
      </w:r>
    </w:p>
    <w:p w14:paraId="3928EBAC" w14:textId="34C7442A" w:rsidR="001106C6" w:rsidRPr="000C5235" w:rsidRDefault="00854156" w:rsidP="00DB312F">
      <w:pPr>
        <w:pStyle w:val="Bullet1"/>
        <w:numPr>
          <w:ilvl w:val="0"/>
          <w:numId w:val="0"/>
        </w:numPr>
        <w:ind w:left="1440" w:firstLine="720"/>
        <w:rPr>
          <w:rStyle w:val="Hyperlink"/>
        </w:rPr>
      </w:pPr>
      <w:hyperlink r:id="rId80" w:history="1">
        <w:r w:rsidR="00FE2128" w:rsidRPr="000C5235">
          <w:rPr>
            <w:rStyle w:val="Hyperlink"/>
          </w:rPr>
          <w:t>budgetcommunications@treasury.gov.au</w:t>
        </w:r>
      </w:hyperlink>
    </w:p>
    <w:p w14:paraId="71E5E8C4" w14:textId="77777777" w:rsidR="00881C1D" w:rsidRPr="000C5235" w:rsidRDefault="001106C6" w:rsidP="000A7DEC">
      <w:pPr>
        <w:pStyle w:val="Bullet1"/>
      </w:pPr>
      <w:r w:rsidRPr="000C5235">
        <w:t>Publishing and formatting</w:t>
      </w:r>
    </w:p>
    <w:p w14:paraId="1C1FABC1" w14:textId="5B8ECEAE" w:rsidR="001106C6" w:rsidRPr="000C5235" w:rsidRDefault="00854156" w:rsidP="000A7DEC">
      <w:pPr>
        <w:pStyle w:val="Bullet1"/>
        <w:numPr>
          <w:ilvl w:val="0"/>
          <w:numId w:val="0"/>
        </w:numPr>
        <w:ind w:left="1440" w:firstLine="720"/>
      </w:pPr>
      <w:hyperlink r:id="rId81" w:history="1">
        <w:r w:rsidR="00AC6E0F" w:rsidRPr="00AC6E0F">
          <w:rPr>
            <w:rStyle w:val="Hyperlink"/>
          </w:rPr>
          <w:t>budget.publishing@treasury.gov.au</w:t>
        </w:r>
      </w:hyperlink>
    </w:p>
    <w:p w14:paraId="060CCB08" w14:textId="109BD7BC" w:rsidR="001106C6" w:rsidRPr="000C5235" w:rsidRDefault="001106C6" w:rsidP="000A7DEC">
      <w:pPr>
        <w:pStyle w:val="Bullet1"/>
      </w:pPr>
      <w:r w:rsidRPr="000C5235">
        <w:t>Web content</w:t>
      </w:r>
      <w:r w:rsidR="000711B1" w:rsidRPr="000C5235">
        <w:tab/>
      </w:r>
      <w:hyperlink r:id="rId82" w:history="1">
        <w:r w:rsidR="00FE2128" w:rsidRPr="000C5235">
          <w:rPr>
            <w:rStyle w:val="Hyperlink"/>
          </w:rPr>
          <w:t>budget-website@treasury.gov.au</w:t>
        </w:r>
      </w:hyperlink>
    </w:p>
    <w:p w14:paraId="33D5A30F" w14:textId="77777777" w:rsidR="00AA7167" w:rsidRPr="000C5235" w:rsidRDefault="00B31167" w:rsidP="000A7DEC">
      <w:pPr>
        <w:pStyle w:val="Bullet1"/>
        <w:numPr>
          <w:ilvl w:val="0"/>
          <w:numId w:val="0"/>
        </w:numPr>
      </w:pPr>
      <w:r w:rsidRPr="000C5235">
        <w:t xml:space="preserve">The Treasury Budget communications team can also be reached via </w:t>
      </w:r>
      <w:r w:rsidR="00F564E6" w:rsidRPr="000C5235">
        <w:t>(</w:t>
      </w:r>
      <w:r w:rsidRPr="000C5235">
        <w:t>02</w:t>
      </w:r>
      <w:r w:rsidR="00F564E6" w:rsidRPr="000C5235">
        <w:t>)</w:t>
      </w:r>
      <w:r w:rsidRPr="000C5235">
        <w:t xml:space="preserve"> 6263 3788.</w:t>
      </w:r>
    </w:p>
    <w:p w14:paraId="25DD5649" w14:textId="1508C351" w:rsidR="00FA0945" w:rsidRPr="000C5235" w:rsidRDefault="00FA0945" w:rsidP="000A7DEC">
      <w:pPr>
        <w:pStyle w:val="Heading2Numbered"/>
      </w:pPr>
      <w:bookmarkStart w:id="929" w:name="_Toc33196095"/>
      <w:bookmarkStart w:id="930" w:name="_Toc33196397"/>
      <w:bookmarkStart w:id="931" w:name="_Toc33196096"/>
      <w:bookmarkStart w:id="932" w:name="_Toc33196398"/>
      <w:bookmarkStart w:id="933" w:name="_Toc33196097"/>
      <w:bookmarkStart w:id="934" w:name="_Toc33196399"/>
      <w:bookmarkStart w:id="935" w:name="_Toc33196098"/>
      <w:bookmarkStart w:id="936" w:name="_Toc33196400"/>
      <w:bookmarkStart w:id="937" w:name="_Toc33099470"/>
      <w:bookmarkStart w:id="938" w:name="_Toc33196099"/>
      <w:bookmarkStart w:id="939" w:name="_Toc33196401"/>
      <w:bookmarkStart w:id="940" w:name="_Toc53564801"/>
      <w:bookmarkEnd w:id="929"/>
      <w:bookmarkEnd w:id="930"/>
      <w:bookmarkEnd w:id="931"/>
      <w:bookmarkEnd w:id="932"/>
      <w:bookmarkEnd w:id="933"/>
      <w:bookmarkEnd w:id="934"/>
      <w:bookmarkEnd w:id="935"/>
      <w:bookmarkEnd w:id="936"/>
      <w:bookmarkEnd w:id="937"/>
      <w:bookmarkEnd w:id="938"/>
      <w:bookmarkEnd w:id="939"/>
      <w:r w:rsidRPr="000C5235">
        <w:t>CanPrint</w:t>
      </w:r>
      <w:bookmarkEnd w:id="940"/>
    </w:p>
    <w:p w14:paraId="3743EE36" w14:textId="77777777" w:rsidR="00FA0945" w:rsidRPr="000C5235" w:rsidRDefault="00FA0945" w:rsidP="000A7DEC">
      <w:r w:rsidRPr="000C5235">
        <w:t xml:space="preserve">CanPrint is the preferred printer for </w:t>
      </w:r>
      <w:r w:rsidR="00A671CE" w:rsidRPr="000C5235">
        <w:t>BP</w:t>
      </w:r>
      <w:r w:rsidRPr="000C5235">
        <w:t xml:space="preserve"> and PB Statements. If printing is carried out ‘in-house’ or with another printer, entities must liaise with Finance to ensure that cover stock, colour and text is consistent with all other portfolio entities.</w:t>
      </w:r>
    </w:p>
    <w:p w14:paraId="4416503B" w14:textId="77777777" w:rsidR="00FA0945" w:rsidRPr="000C5235" w:rsidRDefault="00FA0945" w:rsidP="000A7DEC">
      <w:r w:rsidRPr="000C5235">
        <w:t>It is the responsibility of each portfolio departments to arrange the printing and secure freighting of their PB Statements.</w:t>
      </w:r>
    </w:p>
    <w:p w14:paraId="2710AD45" w14:textId="77777777" w:rsidR="00FA0945" w:rsidRPr="000C5235" w:rsidRDefault="00FA0945" w:rsidP="000A7DEC">
      <w:r w:rsidRPr="000C5235">
        <w:t>Contact details for CanPrint Communications Pty Ltd are:</w:t>
      </w:r>
    </w:p>
    <w:p w14:paraId="549A0BD4" w14:textId="34201361" w:rsidR="00C454D7" w:rsidRPr="000C5235" w:rsidRDefault="00FA0945" w:rsidP="000A7DEC">
      <w:pPr>
        <w:pStyle w:val="Bullet1"/>
      </w:pPr>
      <w:r w:rsidRPr="000C5235">
        <w:t>Address</w:t>
      </w:r>
      <w:r w:rsidR="00160EE4" w:rsidRPr="000C5235">
        <w:t>:</w:t>
      </w:r>
      <w:r w:rsidR="00C454D7" w:rsidRPr="000C5235">
        <w:tab/>
      </w:r>
      <w:r w:rsidR="00C454D7" w:rsidRPr="000C5235">
        <w:tab/>
      </w:r>
      <w:r w:rsidR="00CE03E6">
        <w:tab/>
      </w:r>
      <w:r w:rsidR="00CE03E6">
        <w:tab/>
      </w:r>
      <w:r w:rsidRPr="000C5235">
        <w:t>Canprint Communications Pty Ltd</w:t>
      </w:r>
    </w:p>
    <w:p w14:paraId="34C4A366" w14:textId="77777777" w:rsidR="00C454D7" w:rsidRPr="000C5235" w:rsidRDefault="00FA0945" w:rsidP="00CE03E6">
      <w:pPr>
        <w:pStyle w:val="Bullet1"/>
        <w:numPr>
          <w:ilvl w:val="0"/>
          <w:numId w:val="0"/>
        </w:numPr>
        <w:ind w:left="2880" w:firstLine="720"/>
      </w:pPr>
      <w:r w:rsidRPr="000C5235">
        <w:t>16 Nyrang Street</w:t>
      </w:r>
    </w:p>
    <w:p w14:paraId="76BD62A8" w14:textId="77777777" w:rsidR="00FA0945" w:rsidRPr="000C5235" w:rsidRDefault="00FA0945" w:rsidP="00CE03E6">
      <w:pPr>
        <w:pStyle w:val="Bullet1"/>
        <w:numPr>
          <w:ilvl w:val="0"/>
          <w:numId w:val="0"/>
        </w:numPr>
        <w:ind w:left="2880" w:firstLine="720"/>
      </w:pPr>
      <w:r w:rsidRPr="000C5235">
        <w:t>Fyshwick, ACT 2609</w:t>
      </w:r>
    </w:p>
    <w:p w14:paraId="5A7EC8BB" w14:textId="13032500" w:rsidR="00FA0945" w:rsidRPr="000C5235" w:rsidRDefault="00FA0945" w:rsidP="000A7DEC">
      <w:pPr>
        <w:pStyle w:val="Heading2Numbered"/>
      </w:pPr>
      <w:bookmarkStart w:id="941" w:name="_Toc53564802"/>
      <w:r w:rsidRPr="000C5235">
        <w:t>Senate Table Office</w:t>
      </w:r>
      <w:bookmarkEnd w:id="941"/>
    </w:p>
    <w:p w14:paraId="4CE797F5" w14:textId="77777777" w:rsidR="00FA0945" w:rsidRPr="000C5235" w:rsidRDefault="00FA0945" w:rsidP="000A7DEC">
      <w:r w:rsidRPr="000C5235">
        <w:t xml:space="preserve">The </w:t>
      </w:r>
      <w:r w:rsidRPr="000C5235">
        <w:rPr>
          <w:b/>
        </w:rPr>
        <w:t>Senate Table Office</w:t>
      </w:r>
      <w:r w:rsidRPr="000C5235">
        <w:t xml:space="preserve"> receives deliveries from entities of PB Statements for the Senate, House of Representatives, Budget lockup and the Parliamentary Library. Their contact details are:</w:t>
      </w:r>
    </w:p>
    <w:p w14:paraId="5CFEADB7" w14:textId="77777777" w:rsidR="00616039" w:rsidRPr="000C5235" w:rsidRDefault="00FA0945" w:rsidP="00616039">
      <w:pPr>
        <w:pStyle w:val="Bullet1"/>
        <w:tabs>
          <w:tab w:val="left" w:pos="3544"/>
        </w:tabs>
        <w:ind w:left="0" w:firstLine="0"/>
      </w:pPr>
      <w:r w:rsidRPr="000C5235">
        <w:t>Address:</w:t>
      </w:r>
      <w:r w:rsidR="00311B30" w:rsidRPr="000C5235">
        <w:tab/>
      </w:r>
      <w:r w:rsidRPr="000C5235">
        <w:t>Room SG 25</w:t>
      </w:r>
    </w:p>
    <w:p w14:paraId="315B3E57" w14:textId="77777777" w:rsidR="00616039" w:rsidRPr="000C5235" w:rsidRDefault="00616039" w:rsidP="00616039">
      <w:pPr>
        <w:pStyle w:val="Bullet1"/>
        <w:numPr>
          <w:ilvl w:val="0"/>
          <w:numId w:val="0"/>
        </w:numPr>
        <w:tabs>
          <w:tab w:val="left" w:pos="3544"/>
        </w:tabs>
      </w:pPr>
      <w:r w:rsidRPr="000C5235">
        <w:tab/>
      </w:r>
      <w:r w:rsidR="00FA0945" w:rsidRPr="000C5235">
        <w:t>Department of the Senate</w:t>
      </w:r>
    </w:p>
    <w:p w14:paraId="147368EC" w14:textId="77777777" w:rsidR="00616039" w:rsidRPr="000C5235" w:rsidRDefault="00616039" w:rsidP="00616039">
      <w:pPr>
        <w:pStyle w:val="Bullet1"/>
        <w:numPr>
          <w:ilvl w:val="0"/>
          <w:numId w:val="0"/>
        </w:numPr>
        <w:tabs>
          <w:tab w:val="left" w:pos="3544"/>
        </w:tabs>
      </w:pPr>
      <w:r w:rsidRPr="000C5235">
        <w:tab/>
        <w:t>P</w:t>
      </w:r>
      <w:r w:rsidR="00FA0945" w:rsidRPr="000C5235">
        <w:t>arliament House</w:t>
      </w:r>
    </w:p>
    <w:p w14:paraId="2A8CECFE" w14:textId="77777777" w:rsidR="00595D6E" w:rsidRPr="000C5235" w:rsidRDefault="00616039" w:rsidP="00616039">
      <w:pPr>
        <w:pStyle w:val="Bullet1"/>
        <w:numPr>
          <w:ilvl w:val="0"/>
          <w:numId w:val="0"/>
        </w:numPr>
        <w:tabs>
          <w:tab w:val="left" w:pos="3544"/>
        </w:tabs>
        <w:sectPr w:rsidR="00595D6E" w:rsidRPr="000C5235" w:rsidSect="00665EAD">
          <w:pgSz w:w="11900" w:h="16840" w:code="9"/>
          <w:pgMar w:top="1418" w:right="1418" w:bottom="1701" w:left="1418" w:header="510" w:footer="510" w:gutter="0"/>
          <w:cols w:space="708"/>
          <w:docGrid w:linePitch="360"/>
        </w:sectPr>
      </w:pPr>
      <w:r w:rsidRPr="000C5235">
        <w:tab/>
      </w:r>
      <w:r w:rsidR="00FA0945" w:rsidRPr="000C5235">
        <w:t>Canberra, ACT 2600</w:t>
      </w:r>
      <w:bookmarkStart w:id="942" w:name="_Toc534382590"/>
    </w:p>
    <w:p w14:paraId="7B6C9C25" w14:textId="72F4D9C4" w:rsidR="00FA0945" w:rsidRPr="000C5235" w:rsidRDefault="00FA0945" w:rsidP="00595D6E">
      <w:pPr>
        <w:pStyle w:val="Heading1Numbered"/>
      </w:pPr>
      <w:bookmarkStart w:id="943" w:name="_Toc53564803"/>
      <w:r w:rsidRPr="000C5235">
        <w:t>Glossary of terms</w:t>
      </w:r>
      <w:bookmarkEnd w:id="942"/>
      <w:bookmarkEnd w:id="943"/>
    </w:p>
    <w:p w14:paraId="10AF2969" w14:textId="77777777" w:rsidR="00FA0945" w:rsidRPr="000C5235" w:rsidRDefault="00FA0945" w:rsidP="000A7DEC">
      <w:pPr>
        <w:pStyle w:val="Heading4nonumbers"/>
      </w:pPr>
      <w:r w:rsidRPr="000C5235">
        <w:t>Activities</w:t>
      </w:r>
    </w:p>
    <w:p w14:paraId="2AD45F43" w14:textId="77777777" w:rsidR="00FA0945" w:rsidRPr="000C5235" w:rsidRDefault="00FA0945" w:rsidP="000A7DEC">
      <w:r w:rsidRPr="000C5235">
        <w:t>The actions/functions performed by entities to deliver government policies.</w:t>
      </w:r>
    </w:p>
    <w:p w14:paraId="30575712" w14:textId="77777777" w:rsidR="00FA0945" w:rsidRPr="000C5235" w:rsidRDefault="00FA0945" w:rsidP="000A7DEC">
      <w:pPr>
        <w:pStyle w:val="Heading4nonumbers"/>
      </w:pPr>
      <w:r w:rsidRPr="000C5235">
        <w:t xml:space="preserve">Actual </w:t>
      </w:r>
      <w:r w:rsidR="0079648C" w:rsidRPr="000C5235">
        <w:t>a</w:t>
      </w:r>
      <w:r w:rsidRPr="000C5235">
        <w:t xml:space="preserve">vailable </w:t>
      </w:r>
      <w:r w:rsidR="0079648C" w:rsidRPr="000C5235">
        <w:t>a</w:t>
      </w:r>
      <w:r w:rsidRPr="000C5235">
        <w:t>ppropriation</w:t>
      </w:r>
    </w:p>
    <w:p w14:paraId="21B41D31" w14:textId="77777777" w:rsidR="00FA0945" w:rsidRPr="000C5235" w:rsidRDefault="00FA0945" w:rsidP="000A7DEC">
      <w:r w:rsidRPr="000C5235">
        <w:t xml:space="preserve">The Actual Available Appropriation indicates the total appropriations </w:t>
      </w:r>
      <w:r w:rsidR="00A624B2" w:rsidRPr="000C5235">
        <w:t>available to the entity for 2017-18 as at the 20</w:t>
      </w:r>
      <w:r w:rsidR="00886B74" w:rsidRPr="000C5235">
        <w:t>19</w:t>
      </w:r>
      <w:r w:rsidR="00A624B2" w:rsidRPr="000C5235">
        <w:t>-</w:t>
      </w:r>
      <w:r w:rsidR="00886B74" w:rsidRPr="000C5235">
        <w:t>20</w:t>
      </w:r>
      <w:r w:rsidRPr="000C5235">
        <w:t xml:space="preserve"> Budget. It includes all appropriations made available to the entity in the year (+/- section 75 transfers, Advances to the Minister for Finance, withholdings under section 51 of the </w:t>
      </w:r>
      <w:r w:rsidRPr="000C5235">
        <w:rPr>
          <w:i/>
        </w:rPr>
        <w:t>Public Governance, Performance and Accountability Act 2013</w:t>
      </w:r>
      <w:r w:rsidRPr="000C5235">
        <w:t xml:space="preserve"> and other administrative quarantines made by Finance). It is to be the same as the comparator figure included in the Appropriation Bills, and as such provides a comparison with the appropriation proposed for the budget year.</w:t>
      </w:r>
    </w:p>
    <w:p w14:paraId="15D09780" w14:textId="77777777" w:rsidR="00FA0945" w:rsidRPr="000C5235" w:rsidRDefault="00FA0945" w:rsidP="000A7DEC">
      <w:pPr>
        <w:pStyle w:val="Heading4nonumbers"/>
      </w:pPr>
      <w:r w:rsidRPr="000C5235">
        <w:t xml:space="preserve">Administered </w:t>
      </w:r>
      <w:r w:rsidR="0079648C" w:rsidRPr="000C5235">
        <w:t>i</w:t>
      </w:r>
      <w:r w:rsidRPr="000C5235">
        <w:t>tem</w:t>
      </w:r>
    </w:p>
    <w:p w14:paraId="7E50D3E6" w14:textId="77777777" w:rsidR="002F060E" w:rsidRPr="000C5235" w:rsidRDefault="002F060E" w:rsidP="000A7DEC">
      <w:r w:rsidRPr="000C5235">
        <w:t>Administered items are usually those managed by an entity on behalf of the Government. Entities do not have control over these items, which are normally related to activities governed by eligibility rules and conditions established by the legislation (for example, grants, subsidies and benefit payments).</w:t>
      </w:r>
    </w:p>
    <w:p w14:paraId="7DDE2CEA" w14:textId="77777777" w:rsidR="00FA0945" w:rsidRPr="000C5235" w:rsidRDefault="00FA0945" w:rsidP="000A7DEC">
      <w:r w:rsidRPr="000C5235">
        <w:t>This funding is not at the discretion of the entity and any unspent appropriation is returned to the CRF at the end of the financial year. An administered item is a component of an administered program. It may be a measure but will not constitute a program in its own right.</w:t>
      </w:r>
    </w:p>
    <w:p w14:paraId="4F6E11B5" w14:textId="77777777" w:rsidR="002F0879" w:rsidRPr="000C5235" w:rsidRDefault="002F0879" w:rsidP="000A7DEC">
      <w:pPr>
        <w:pStyle w:val="Heading4nonumbers"/>
      </w:pPr>
      <w:r w:rsidRPr="000C5235">
        <w:t>Administrative Arrangement Order (AAO)</w:t>
      </w:r>
    </w:p>
    <w:p w14:paraId="4CAA1A9B" w14:textId="77777777" w:rsidR="002F0879" w:rsidRPr="000C5235" w:rsidRDefault="002F0879" w:rsidP="002F0879">
      <w:r w:rsidRPr="000C5235">
        <w:t>Administrative Arrangements Orders (AAOs) specify firstly, the subject matters, and secondly, the legislation dealt with by particular government departments.</w:t>
      </w:r>
    </w:p>
    <w:p w14:paraId="34CB7B95" w14:textId="77777777" w:rsidR="00FA0945" w:rsidRPr="000C5235" w:rsidRDefault="00FA0945" w:rsidP="000A7DEC">
      <w:pPr>
        <w:pStyle w:val="Heading4nonumbers"/>
      </w:pPr>
      <w:r w:rsidRPr="000C5235">
        <w:t xml:space="preserve">Agency </w:t>
      </w:r>
      <w:r w:rsidR="0079648C" w:rsidRPr="000C5235">
        <w:t>a</w:t>
      </w:r>
      <w:r w:rsidRPr="000C5235">
        <w:t xml:space="preserve">dvice </w:t>
      </w:r>
      <w:r w:rsidR="0079648C" w:rsidRPr="000C5235">
        <w:t>u</w:t>
      </w:r>
      <w:r w:rsidRPr="000C5235">
        <w:t xml:space="preserve">nit </w:t>
      </w:r>
    </w:p>
    <w:p w14:paraId="7D50E3B5" w14:textId="77777777" w:rsidR="00FA0945" w:rsidRPr="000C5235" w:rsidRDefault="00FA0945" w:rsidP="000A7DEC">
      <w:r w:rsidRPr="000C5235">
        <w:t xml:space="preserve">Advisers within the Budget and Financial Reporting Group, Finance that analyse expenditure trends of entities, agree costings of Policy Proposals, validate entities’ program estimates and advise entities on financial and budget matters.  </w:t>
      </w:r>
    </w:p>
    <w:p w14:paraId="233C9C21" w14:textId="77777777" w:rsidR="00FA0945" w:rsidRPr="000C5235" w:rsidRDefault="00FA0945" w:rsidP="000A7DEC">
      <w:pPr>
        <w:pStyle w:val="Heading4nonumbers"/>
      </w:pPr>
      <w:r w:rsidRPr="000C5235">
        <w:t>Appropriation</w:t>
      </w:r>
    </w:p>
    <w:p w14:paraId="673E5DC0" w14:textId="77777777" w:rsidR="00FA0945" w:rsidRPr="000C5235" w:rsidRDefault="00FA0945" w:rsidP="000A7DEC">
      <w:r w:rsidRPr="000C5235">
        <w:t>An amount of public money the Parliament authorises for spending (</w:t>
      </w:r>
      <w:r w:rsidR="00E10C89" w:rsidRPr="000C5235">
        <w:t>ie</w:t>
      </w:r>
      <w:r w:rsidRPr="000C5235">
        <w:t xml:space="preserve"> funds to be withdrawn from the CRF). The Parliament makes laws for appropriating money under the Annual Appropriation Acts and under Special Appropriations, with spending restricted to the purposes specified in the Appropriation Acts.</w:t>
      </w:r>
    </w:p>
    <w:p w14:paraId="5E9F7EB1" w14:textId="77777777" w:rsidR="00FA0945" w:rsidRPr="000C5235" w:rsidRDefault="00FA0945" w:rsidP="000A7DEC">
      <w:pPr>
        <w:pStyle w:val="Heading4nonumbers"/>
      </w:pPr>
      <w:r w:rsidRPr="000C5235">
        <w:t xml:space="preserve">Appropriations and </w:t>
      </w:r>
      <w:r w:rsidR="0079648C" w:rsidRPr="000C5235">
        <w:t>c</w:t>
      </w:r>
      <w:r w:rsidRPr="000C5235">
        <w:t xml:space="preserve">ash </w:t>
      </w:r>
      <w:r w:rsidR="0079648C" w:rsidRPr="000C5235">
        <w:t>m</w:t>
      </w:r>
      <w:r w:rsidRPr="000C5235">
        <w:t xml:space="preserve">anagement </w:t>
      </w:r>
      <w:r w:rsidR="0079648C" w:rsidRPr="000C5235">
        <w:t>m</w:t>
      </w:r>
      <w:r w:rsidRPr="000C5235">
        <w:t xml:space="preserve">odule </w:t>
      </w:r>
    </w:p>
    <w:p w14:paraId="27CC3461" w14:textId="77777777" w:rsidR="00FA0945" w:rsidRPr="000C5235" w:rsidRDefault="00FA0945" w:rsidP="000A7DEC">
      <w:r w:rsidRPr="000C5235">
        <w:t xml:space="preserve">A module of the </w:t>
      </w:r>
      <w:r w:rsidR="008A3568" w:rsidRPr="000C5235">
        <w:t xml:space="preserve">CBMS </w:t>
      </w:r>
      <w:r w:rsidRPr="000C5235">
        <w:t>from which entities draw down funds from the CRF.</w:t>
      </w:r>
    </w:p>
    <w:p w14:paraId="60022C2D" w14:textId="77777777" w:rsidR="00554601" w:rsidRPr="000C5235" w:rsidRDefault="00554601" w:rsidP="000A7DEC">
      <w:pPr>
        <w:pStyle w:val="Heading4nonumbers"/>
      </w:pPr>
      <w:r w:rsidRPr="000C5235">
        <w:t>Australian Government Organisation Register (AGOR)</w:t>
      </w:r>
    </w:p>
    <w:p w14:paraId="4E65AA5D" w14:textId="77777777" w:rsidR="00554601" w:rsidRPr="000C5235" w:rsidRDefault="00554601" w:rsidP="000A7DEC">
      <w:r w:rsidRPr="000C5235">
        <w:t>Provides information on the function, composition, origins and other details of Australian Government bodies.  The scope is based on the characteristics used to describe the 12 main types of bodies identified for classification purposes.</w:t>
      </w:r>
    </w:p>
    <w:p w14:paraId="2D45A0D5" w14:textId="77777777" w:rsidR="00554601" w:rsidRPr="000C5235" w:rsidRDefault="00554601" w:rsidP="000A7DEC">
      <w:r w:rsidRPr="000C5235">
        <w:t>The AGOR dataset forms part of the Organisation and Appointments Register (OAR) which supports the front-facing website known as directory.gov.au:</w:t>
      </w:r>
    </w:p>
    <w:p w14:paraId="6337C632" w14:textId="64BF9803" w:rsidR="00554601" w:rsidRPr="000C5235" w:rsidRDefault="00854156" w:rsidP="000A7DEC">
      <w:pPr>
        <w:rPr>
          <w:rStyle w:val="Hyperlink"/>
        </w:rPr>
      </w:pPr>
      <w:hyperlink r:id="rId83" w:history="1">
        <w:r w:rsidR="00AE3636" w:rsidRPr="000C5235">
          <w:rPr>
            <w:rStyle w:val="Hyperlink"/>
          </w:rPr>
          <w:t>www.directory.gov.au/reports/australian-government-organisations-register</w:t>
        </w:r>
      </w:hyperlink>
    </w:p>
    <w:p w14:paraId="6DBB5C8E" w14:textId="77777777" w:rsidR="00554601" w:rsidRPr="000C5235" w:rsidRDefault="00554601">
      <w:r w:rsidRPr="000C5235">
        <w:t>The portfolio departments are responsible for collecting information about the entities and bodies listed.  Further information can also be found on Finance's website at:</w:t>
      </w:r>
    </w:p>
    <w:p w14:paraId="47DA9F1C" w14:textId="2537969D" w:rsidR="00554601" w:rsidRPr="000C5235" w:rsidRDefault="00854156">
      <w:pPr>
        <w:rPr>
          <w:rStyle w:val="Hyperlink"/>
        </w:rPr>
      </w:pPr>
      <w:hyperlink r:id="rId84" w:history="1">
        <w:r w:rsidR="00AE3636" w:rsidRPr="000C5235">
          <w:rPr>
            <w:rStyle w:val="Hyperlink"/>
          </w:rPr>
          <w:t>www.finance.gov.au/government/managing-commonwealth-resources/structure-australian-government-public-sector/australian-government-organisations-register</w:t>
        </w:r>
      </w:hyperlink>
    </w:p>
    <w:p w14:paraId="2916C1D3" w14:textId="77777777" w:rsidR="00FA0945" w:rsidRPr="000C5235" w:rsidRDefault="00FA0945" w:rsidP="000A7DEC">
      <w:pPr>
        <w:pStyle w:val="Heading4nonumbers"/>
      </w:pPr>
      <w:r w:rsidRPr="000C5235">
        <w:t>Budget Paper 1 (BP No.1)</w:t>
      </w:r>
    </w:p>
    <w:p w14:paraId="69168E85" w14:textId="77777777" w:rsidR="00FA0945" w:rsidRPr="000C5235" w:rsidRDefault="00FA0945" w:rsidP="000A7DEC">
      <w:r w:rsidRPr="000C5235">
        <w:t>Budget Strategy and Outlook. Provides information on the economic and fiscal outlook for the Australian Government, including information on the Government’s fiscal strategy.</w:t>
      </w:r>
    </w:p>
    <w:p w14:paraId="2166807A" w14:textId="77777777" w:rsidR="00FA0945" w:rsidRPr="000C5235" w:rsidRDefault="00FA0945" w:rsidP="000A7DEC">
      <w:pPr>
        <w:pStyle w:val="Heading4nonumbers"/>
      </w:pPr>
      <w:r w:rsidRPr="000C5235">
        <w:t>Budget Paper 2 (BP No.</w:t>
      </w:r>
      <w:r w:rsidR="00EE4AE2" w:rsidRPr="000C5235">
        <w:t xml:space="preserve"> </w:t>
      </w:r>
      <w:r w:rsidRPr="000C5235">
        <w:t>2)</w:t>
      </w:r>
    </w:p>
    <w:p w14:paraId="745B7AF8" w14:textId="77777777" w:rsidR="00FA0945" w:rsidRPr="000C5235" w:rsidRDefault="00FA0945" w:rsidP="000A7DEC">
      <w:r w:rsidRPr="000C5235">
        <w:t>Budget Measures. Provides a description of each budget measure (revenue, expense and capital) by Portfolio.</w:t>
      </w:r>
    </w:p>
    <w:p w14:paraId="74897433" w14:textId="77777777" w:rsidR="00FA0945" w:rsidRPr="000C5235" w:rsidRDefault="00FA0945" w:rsidP="000A7DEC">
      <w:pPr>
        <w:pStyle w:val="Heading4nonumbers"/>
      </w:pPr>
      <w:r w:rsidRPr="000C5235">
        <w:t>Budget Paper 3 (BP No.3)</w:t>
      </w:r>
    </w:p>
    <w:p w14:paraId="583BCF52" w14:textId="77777777" w:rsidR="00FA0945" w:rsidRPr="000C5235" w:rsidRDefault="00FA0945" w:rsidP="000A7DEC">
      <w:r w:rsidRPr="000C5235">
        <w:t>Australia’s Federal Relations. Provides information and analysis on Federal funding provided to the States, Territories and local government.</w:t>
      </w:r>
    </w:p>
    <w:p w14:paraId="098D744E" w14:textId="77777777" w:rsidR="00FA0945" w:rsidRPr="000C5235" w:rsidRDefault="00FA0945" w:rsidP="000A7DEC">
      <w:pPr>
        <w:pStyle w:val="Heading4nonumbers"/>
      </w:pPr>
      <w:r w:rsidRPr="000C5235">
        <w:t>Budget Paper 4 (BP No.4)</w:t>
      </w:r>
    </w:p>
    <w:p w14:paraId="12B37CF3" w14:textId="77777777" w:rsidR="00FA0945" w:rsidRPr="000C5235" w:rsidRDefault="00FA0945" w:rsidP="000A7DEC">
      <w:r w:rsidRPr="000C5235">
        <w:t xml:space="preserve">Agency Resourcing. Contains information on resourcing for Australian Government entities (including special appropriations, special accounts and a summary of agency resourcing). </w:t>
      </w:r>
    </w:p>
    <w:p w14:paraId="0ACD3AFD" w14:textId="77777777" w:rsidR="00FA0945" w:rsidRPr="000C5235" w:rsidRDefault="00FA0945" w:rsidP="000A7DEC">
      <w:pPr>
        <w:pStyle w:val="Heading4nonumbers"/>
      </w:pPr>
      <w:r w:rsidRPr="000C5235">
        <w:t xml:space="preserve">Central Budget Management System </w:t>
      </w:r>
    </w:p>
    <w:p w14:paraId="7E5CC509" w14:textId="77777777" w:rsidR="00CD0900" w:rsidRPr="000C5235" w:rsidRDefault="00FA0945" w:rsidP="000A7DEC">
      <w:r w:rsidRPr="000C5235">
        <w:t>CBMS is the Australian Government’s central budget and financial management information system administered by Finance. It contains the Commonwealth’s program list and produces the annual Appropriation Bills.</w:t>
      </w:r>
    </w:p>
    <w:p w14:paraId="47FFF543" w14:textId="77777777" w:rsidR="00FA0945" w:rsidRPr="000C5235" w:rsidRDefault="00FA0945" w:rsidP="000A7DEC">
      <w:pPr>
        <w:pStyle w:val="Heading4nonumbers"/>
      </w:pPr>
      <w:r w:rsidRPr="000C5235">
        <w:t xml:space="preserve">Clear </w:t>
      </w:r>
      <w:r w:rsidR="0079648C" w:rsidRPr="000C5235">
        <w:t>r</w:t>
      </w:r>
      <w:r w:rsidRPr="000C5235">
        <w:t xml:space="preserve">ead </w:t>
      </w:r>
      <w:r w:rsidR="0079648C" w:rsidRPr="000C5235">
        <w:t>p</w:t>
      </w:r>
      <w:r w:rsidRPr="000C5235">
        <w:t>rinciple</w:t>
      </w:r>
    </w:p>
    <w:p w14:paraId="4170E315" w14:textId="77777777" w:rsidR="00B06B0D" w:rsidRPr="000C5235" w:rsidRDefault="00B06B0D" w:rsidP="00B06B0D">
      <w:r w:rsidRPr="000C5235">
        <w:t xml:space="preserve">The Commonwealth Resource Management Framework is designed to support an accountable and transparent public sector by providing the opportunity for the Parliament and the public to make judgements on the performance of Commonwealth entities. To assist readers to form a judgment, reporting by entities should provide a clear linkage (a “clear read”) between the allocation and use of public resources, and the results being achieved. </w:t>
      </w:r>
    </w:p>
    <w:p w14:paraId="22C46B02" w14:textId="77777777" w:rsidR="00B06B0D" w:rsidRPr="000C5235" w:rsidRDefault="00B06B0D" w:rsidP="00B06B0D"/>
    <w:p w14:paraId="6449DF0D" w14:textId="77777777" w:rsidR="00B06B0D" w:rsidRPr="000C5235" w:rsidRDefault="00B06B0D" w:rsidP="00B06B0D">
      <w:pPr>
        <w:rPr>
          <w:bCs/>
          <w:iCs/>
        </w:rPr>
      </w:pPr>
      <w:r w:rsidRPr="000C5235">
        <w:t>Entities should present information clearly and consistently (and ensure it is reconcilable) between/across reporting documents.</w:t>
      </w:r>
    </w:p>
    <w:p w14:paraId="00FEDFD3" w14:textId="77777777" w:rsidR="00FA0945" w:rsidRPr="000C5235" w:rsidRDefault="00FA0945" w:rsidP="00B06B0D">
      <w:pPr>
        <w:pStyle w:val="Heading4nonumbers"/>
      </w:pPr>
      <w:r w:rsidRPr="000C5235">
        <w:t xml:space="preserve">Consolidated </w:t>
      </w:r>
      <w:r w:rsidR="0079648C" w:rsidRPr="000C5235">
        <w:t>r</w:t>
      </w:r>
      <w:r w:rsidRPr="000C5235">
        <w:t xml:space="preserve">evenue </w:t>
      </w:r>
      <w:r w:rsidR="0079648C" w:rsidRPr="000C5235">
        <w:t>f</w:t>
      </w:r>
      <w:r w:rsidRPr="000C5235">
        <w:t>und</w:t>
      </w:r>
    </w:p>
    <w:p w14:paraId="4CDD5CEC" w14:textId="77777777" w:rsidR="00FA0945" w:rsidRPr="000C5235" w:rsidRDefault="00FA0945" w:rsidP="000A7DEC">
      <w:r w:rsidRPr="000C5235">
        <w:t>The principal operating fund from which money is drawn to pay for the activities of the Government. Section 81 of the Australian Constitution provides all revenue raised or monies received by the Executive Government forms one consolidated revenue fund from which appropriations are made for the purposes of the Australian Government.</w:t>
      </w:r>
    </w:p>
    <w:p w14:paraId="63429736" w14:textId="77777777" w:rsidR="00FA0945" w:rsidRPr="000C5235" w:rsidRDefault="00FA0945" w:rsidP="000A7DEC">
      <w:pPr>
        <w:pStyle w:val="Heading4nonumbers"/>
      </w:pPr>
      <w:r w:rsidRPr="000C5235">
        <w:t>Contractor</w:t>
      </w:r>
    </w:p>
    <w:p w14:paraId="0CAFD0E1" w14:textId="77777777" w:rsidR="00FA0945" w:rsidRPr="000C5235" w:rsidRDefault="00FA0945" w:rsidP="000A7DEC">
      <w:r w:rsidRPr="000C5235">
        <w:t>A person engaged by an entity, usually on a temporary basis. Treated as an employee of the entity for the purposes of program performance reporting.</w:t>
      </w:r>
    </w:p>
    <w:p w14:paraId="4FED0E8B" w14:textId="77777777" w:rsidR="00FA0945" w:rsidRPr="000C5235" w:rsidRDefault="00FA0945" w:rsidP="000A7DEC">
      <w:pPr>
        <w:pStyle w:val="Heading4nonumbers"/>
      </w:pPr>
      <w:r w:rsidRPr="000C5235">
        <w:t xml:space="preserve">Departmental </w:t>
      </w:r>
      <w:r w:rsidR="0079648C" w:rsidRPr="000C5235">
        <w:t>i</w:t>
      </w:r>
      <w:r w:rsidRPr="000C5235">
        <w:t>tem</w:t>
      </w:r>
    </w:p>
    <w:p w14:paraId="5453DD49" w14:textId="77777777" w:rsidR="00FA0945" w:rsidRPr="000C5235" w:rsidRDefault="00FA0945" w:rsidP="000A7DEC">
      <w:r w:rsidRPr="000C5235">
        <w:t xml:space="preserve">Resources (assets, liabilities, revenues and expenses) that the entity’s Accountable Authority controls directly. This includes outsourced activities funded and controlled by the entity. Examples of departmental items include entity running costs, accrued employee entitlements and net appropriations. A departmental item is a component of a departmental program. </w:t>
      </w:r>
    </w:p>
    <w:p w14:paraId="305D1DDA" w14:textId="77777777" w:rsidR="00C50DBC" w:rsidRPr="000C5235" w:rsidRDefault="00C50DBC" w:rsidP="000A7DEC">
      <w:pPr>
        <w:pStyle w:val="Heading4nonumbers"/>
      </w:pPr>
      <w:r w:rsidRPr="000C5235">
        <w:t>Economic and Fiscal Update July 2020</w:t>
      </w:r>
    </w:p>
    <w:p w14:paraId="7F4EEFFC" w14:textId="77777777" w:rsidR="00C50DBC" w:rsidRPr="000C5235" w:rsidRDefault="00C50DBC" w:rsidP="005D722E">
      <w:r w:rsidRPr="000C5235">
        <w:t>The Economic and Fiscal Update released on the 23 July 2020 shows the impact of the COVID-19 pandemic on our nation’s finances as well as the scale of the support that has been provided to prepare our health system and cushion the blow for millions of households and businesses.</w:t>
      </w:r>
    </w:p>
    <w:p w14:paraId="125994CE" w14:textId="77777777" w:rsidR="00FA0945" w:rsidRPr="000C5235" w:rsidRDefault="00FA0945" w:rsidP="000A7DEC">
      <w:pPr>
        <w:pStyle w:val="Heading4nonumbers"/>
      </w:pPr>
      <w:r w:rsidRPr="000C5235">
        <w:t>Entities</w:t>
      </w:r>
    </w:p>
    <w:p w14:paraId="11AE58DD" w14:textId="77777777" w:rsidR="00FA0945" w:rsidRPr="000C5235" w:rsidRDefault="00FA0945" w:rsidP="000A7DEC">
      <w:pPr>
        <w:rPr>
          <w:i/>
        </w:rPr>
      </w:pPr>
      <w:r w:rsidRPr="000C5235">
        <w:t>For the purposes of this guidance, this means Commonwealth entities and Commonwealth companies as defined under the PGPA Act</w:t>
      </w:r>
      <w:r w:rsidRPr="000C5235">
        <w:rPr>
          <w:i/>
        </w:rPr>
        <w:t xml:space="preserve"> </w:t>
      </w:r>
      <w:r w:rsidRPr="000C5235">
        <w:t>that are within the General Government Sector; the High Court of Australia; and the Future Fund Board of Guardians.</w:t>
      </w:r>
    </w:p>
    <w:p w14:paraId="6893C856" w14:textId="77777777" w:rsidR="00FA0945" w:rsidRPr="000C5235" w:rsidRDefault="00FA0945" w:rsidP="000A7DEC">
      <w:pPr>
        <w:pStyle w:val="Heading4nonumbers"/>
      </w:pPr>
      <w:r w:rsidRPr="000C5235">
        <w:t xml:space="preserve">Estimated </w:t>
      </w:r>
      <w:r w:rsidR="0079648C" w:rsidRPr="000C5235">
        <w:t>a</w:t>
      </w:r>
      <w:r w:rsidRPr="000C5235">
        <w:t xml:space="preserve">ctual </w:t>
      </w:r>
      <w:r w:rsidR="0079648C" w:rsidRPr="000C5235">
        <w:t>e</w:t>
      </w:r>
      <w:r w:rsidRPr="000C5235">
        <w:t>xpenses</w:t>
      </w:r>
    </w:p>
    <w:p w14:paraId="087971F9" w14:textId="77777777" w:rsidR="00FA0945" w:rsidRPr="000C5235" w:rsidRDefault="00FA0945" w:rsidP="000A7DEC">
      <w:r w:rsidRPr="000C5235">
        <w:t>Details of the current year’s estimated final figures as included in the Budget documentation. As the Budget is released in May each year, but the financial year does not end until 30 June, the current year numbers that are used for comparison with Budget amounts can only be estimates.</w:t>
      </w:r>
    </w:p>
    <w:p w14:paraId="3616120F" w14:textId="77777777" w:rsidR="00FA0945" w:rsidRPr="000C5235" w:rsidRDefault="00FA0945" w:rsidP="000A7DEC">
      <w:pPr>
        <w:pStyle w:val="Heading4nonumbers"/>
      </w:pPr>
      <w:r w:rsidRPr="000C5235">
        <w:t>Expenses not requiring appropriation in the Budget year</w:t>
      </w:r>
    </w:p>
    <w:p w14:paraId="07BF908F" w14:textId="77777777" w:rsidR="00FA0945" w:rsidRPr="000C5235" w:rsidRDefault="00FA0945" w:rsidP="000A7DEC">
      <w:r w:rsidRPr="000C5235">
        <w:t>Expenses which do not involve a cash flow impact in the Budget year are generally excluded from the calculation of an appropriation. An example of such an event is goods or services received free of charge that are then expensed</w:t>
      </w:r>
      <w:r w:rsidR="001754FC" w:rsidRPr="000C5235">
        <w:t xml:space="preserve"> (ie</w:t>
      </w:r>
      <w:r w:rsidRPr="000C5235">
        <w:t xml:space="preserve"> Australian National Audit Office (ANAO) audit services — the ANAO does not charge for audit services however the expense must be recognised</w:t>
      </w:r>
      <w:r w:rsidR="001754FC" w:rsidRPr="000C5235">
        <w:t>)</w:t>
      </w:r>
      <w:r w:rsidRPr="000C5235">
        <w:t>. Similarly, bad debts are recognised as an expense but are not recognised for the purpose of calculating appropriation amounts to be sought from Parliament.</w:t>
      </w:r>
    </w:p>
    <w:p w14:paraId="5B197FE3" w14:textId="77777777" w:rsidR="00FA0945" w:rsidRPr="000C5235" w:rsidRDefault="00FA0945" w:rsidP="000A7DEC">
      <w:pPr>
        <w:pStyle w:val="Heading4nonumbers"/>
      </w:pPr>
      <w:r w:rsidRPr="000C5235">
        <w:t xml:space="preserve">Financial </w:t>
      </w:r>
      <w:r w:rsidR="0079648C" w:rsidRPr="000C5235">
        <w:t>m</w:t>
      </w:r>
      <w:r w:rsidRPr="000C5235">
        <w:t xml:space="preserve">anagement </w:t>
      </w:r>
      <w:r w:rsidR="0079648C" w:rsidRPr="000C5235">
        <w:t>i</w:t>
      </w:r>
      <w:r w:rsidRPr="000C5235">
        <w:t xml:space="preserve">nformation </w:t>
      </w:r>
      <w:r w:rsidR="0079648C" w:rsidRPr="000C5235">
        <w:t>s</w:t>
      </w:r>
      <w:r w:rsidRPr="000C5235">
        <w:t>ystem</w:t>
      </w:r>
    </w:p>
    <w:p w14:paraId="7C4BFB4E" w14:textId="77777777" w:rsidR="00FA0945" w:rsidRPr="000C5235" w:rsidRDefault="00FA0945" w:rsidP="000A7DEC">
      <w:r w:rsidRPr="000C5235">
        <w:t>A system that holds the financial information of an entity.</w:t>
      </w:r>
    </w:p>
    <w:p w14:paraId="09F4E95C" w14:textId="77777777" w:rsidR="00FA0945" w:rsidRPr="000C5235" w:rsidRDefault="00FA0945" w:rsidP="000A7DEC">
      <w:pPr>
        <w:pStyle w:val="Heading4nonumbers"/>
      </w:pPr>
      <w:r w:rsidRPr="000C5235">
        <w:t xml:space="preserve">Forward </w:t>
      </w:r>
      <w:r w:rsidR="0079648C" w:rsidRPr="000C5235">
        <w:t>e</w:t>
      </w:r>
      <w:r w:rsidRPr="000C5235">
        <w:t xml:space="preserve">stimates </w:t>
      </w:r>
      <w:r w:rsidR="0079648C" w:rsidRPr="000C5235">
        <w:t>p</w:t>
      </w:r>
      <w:r w:rsidRPr="000C5235">
        <w:t>eriod</w:t>
      </w:r>
    </w:p>
    <w:p w14:paraId="13A91204" w14:textId="77777777" w:rsidR="00FA0945" w:rsidRPr="000C5235" w:rsidRDefault="00FA0945" w:rsidP="000A7DEC">
      <w:r w:rsidRPr="000C5235">
        <w:t>The three years following the b</w:t>
      </w:r>
      <w:r w:rsidR="00A624B2" w:rsidRPr="000C5235">
        <w:t>udget year. For example, if 20</w:t>
      </w:r>
      <w:r w:rsidR="0074521F" w:rsidRPr="000C5235">
        <w:t>20</w:t>
      </w:r>
      <w:r w:rsidR="00A624B2" w:rsidRPr="000C5235">
        <w:t>-</w:t>
      </w:r>
      <w:r w:rsidR="00886B74" w:rsidRPr="000C5235">
        <w:t>2</w:t>
      </w:r>
      <w:r w:rsidR="0074521F" w:rsidRPr="000C5235">
        <w:t>1</w:t>
      </w:r>
      <w:r w:rsidR="00A624B2" w:rsidRPr="000C5235">
        <w:t xml:space="preserve"> is the budget year, </w:t>
      </w:r>
      <w:r w:rsidR="00886B74" w:rsidRPr="000C5235">
        <w:t>202</w:t>
      </w:r>
      <w:r w:rsidR="0074521F" w:rsidRPr="000C5235">
        <w:t>1</w:t>
      </w:r>
      <w:r w:rsidR="00A624B2" w:rsidRPr="000C5235">
        <w:t>-2</w:t>
      </w:r>
      <w:r w:rsidR="0074521F" w:rsidRPr="000C5235">
        <w:t>2</w:t>
      </w:r>
      <w:r w:rsidRPr="000C5235">
        <w:t xml:space="preserve"> i</w:t>
      </w:r>
      <w:r w:rsidR="00A624B2" w:rsidRPr="000C5235">
        <w:t>s forward year 1, 202</w:t>
      </w:r>
      <w:r w:rsidR="0074521F" w:rsidRPr="000C5235">
        <w:t>2</w:t>
      </w:r>
      <w:r w:rsidR="00A624B2" w:rsidRPr="000C5235">
        <w:t>-2</w:t>
      </w:r>
      <w:r w:rsidR="0074521F" w:rsidRPr="000C5235">
        <w:t>3</w:t>
      </w:r>
      <w:r w:rsidR="00A624B2" w:rsidRPr="000C5235">
        <w:t xml:space="preserve"> is forward year 2 and 202</w:t>
      </w:r>
      <w:r w:rsidR="0074521F" w:rsidRPr="000C5235">
        <w:t>3</w:t>
      </w:r>
      <w:r w:rsidR="00A624B2" w:rsidRPr="000C5235">
        <w:t>-2</w:t>
      </w:r>
      <w:r w:rsidR="0074521F" w:rsidRPr="000C5235">
        <w:t>4</w:t>
      </w:r>
      <w:r w:rsidRPr="000C5235">
        <w:t xml:space="preserve"> is forward year 3. This period does not inc</w:t>
      </w:r>
      <w:r w:rsidR="00A624B2" w:rsidRPr="000C5235">
        <w:t>lude the (201</w:t>
      </w:r>
      <w:r w:rsidR="0074521F" w:rsidRPr="000C5235">
        <w:t>9</w:t>
      </w:r>
      <w:r w:rsidR="00A624B2" w:rsidRPr="000C5235">
        <w:t>-</w:t>
      </w:r>
      <w:r w:rsidR="0074521F" w:rsidRPr="000C5235">
        <w:t>20</w:t>
      </w:r>
      <w:r w:rsidR="00A624B2" w:rsidRPr="000C5235">
        <w:t>) or the budget year (20</w:t>
      </w:r>
      <w:r w:rsidR="0074521F" w:rsidRPr="000C5235">
        <w:t>20</w:t>
      </w:r>
      <w:r w:rsidR="00A624B2" w:rsidRPr="000C5235">
        <w:t>-</w:t>
      </w:r>
      <w:r w:rsidR="003107BE" w:rsidRPr="000C5235">
        <w:t>2</w:t>
      </w:r>
      <w:r w:rsidR="0074521F" w:rsidRPr="000C5235">
        <w:t>1</w:t>
      </w:r>
      <w:r w:rsidRPr="000C5235">
        <w:t>).</w:t>
      </w:r>
    </w:p>
    <w:p w14:paraId="5824E1A4" w14:textId="77777777" w:rsidR="00FA0945" w:rsidRPr="000C5235" w:rsidRDefault="00FA0945" w:rsidP="000A7DEC">
      <w:pPr>
        <w:pStyle w:val="Heading4nonumbers"/>
      </w:pPr>
      <w:r w:rsidRPr="000C5235">
        <w:t xml:space="preserve">General </w:t>
      </w:r>
      <w:r w:rsidR="0079648C" w:rsidRPr="000C5235">
        <w:t>g</w:t>
      </w:r>
      <w:r w:rsidRPr="000C5235">
        <w:t xml:space="preserve">overnment </w:t>
      </w:r>
      <w:r w:rsidR="0079648C" w:rsidRPr="000C5235">
        <w:t>s</w:t>
      </w:r>
      <w:r w:rsidRPr="000C5235">
        <w:t>ector</w:t>
      </w:r>
    </w:p>
    <w:p w14:paraId="19F147A4" w14:textId="77777777" w:rsidR="00FA0945" w:rsidRPr="000C5235" w:rsidRDefault="00FA0945" w:rsidP="000A7DEC">
      <w:r w:rsidRPr="000C5235">
        <w:t xml:space="preserve">A Government Finance Statistics’ classification of all entities that are controlled and largely funded by the Australian Government. The GGS provides public services that are mainly non-market in nature and for the collective consumption of the </w:t>
      </w:r>
      <w:r w:rsidR="00FD4BA3" w:rsidRPr="000C5235">
        <w:t>community or</w:t>
      </w:r>
      <w:r w:rsidRPr="000C5235">
        <w:t xml:space="preserve"> involve the transfer or redistribution of income. These services are largely financed through taxes and other compulsory levies, user charging and external funding. This sector comprises all government departments, offices and some other bodies. </w:t>
      </w:r>
    </w:p>
    <w:p w14:paraId="58562A1B" w14:textId="77777777" w:rsidR="00FA0945" w:rsidRPr="000C5235" w:rsidRDefault="00FA0945" w:rsidP="000A7DEC">
      <w:pPr>
        <w:pStyle w:val="Heading4nonumbers"/>
      </w:pPr>
      <w:r w:rsidRPr="000C5235">
        <w:t xml:space="preserve">Government </w:t>
      </w:r>
      <w:r w:rsidR="0079648C" w:rsidRPr="000C5235">
        <w:t>f</w:t>
      </w:r>
      <w:r w:rsidRPr="000C5235">
        <w:t xml:space="preserve">inance </w:t>
      </w:r>
      <w:r w:rsidR="0079648C" w:rsidRPr="000C5235">
        <w:t>s</w:t>
      </w:r>
      <w:r w:rsidRPr="000C5235">
        <w:t>tatistics</w:t>
      </w:r>
    </w:p>
    <w:p w14:paraId="7C9A2B3E" w14:textId="77777777" w:rsidR="00FA0945" w:rsidRPr="000C5235" w:rsidRDefault="00FA0945" w:rsidP="000A7DEC">
      <w:r w:rsidRPr="000C5235">
        <w:t>A reporting framework that is a specialised statistical system designed to support economic analysis of the public sector. It allows for comprehensive assessments of the economic impact of government and is consistent with international statistical standards of the International Monetary Fund and the System of National Accounts.</w:t>
      </w:r>
    </w:p>
    <w:p w14:paraId="4179D6C5" w14:textId="77777777" w:rsidR="00FA0945" w:rsidRPr="000C5235" w:rsidRDefault="00FA0945" w:rsidP="000A7DEC">
      <w:pPr>
        <w:pStyle w:val="Heading4nonumbers"/>
      </w:pPr>
      <w:r w:rsidRPr="000C5235">
        <w:t xml:space="preserve">Intended </w:t>
      </w:r>
      <w:r w:rsidR="0079648C" w:rsidRPr="000C5235">
        <w:t>r</w:t>
      </w:r>
      <w:r w:rsidRPr="000C5235">
        <w:t>esult</w:t>
      </w:r>
    </w:p>
    <w:p w14:paraId="7A31171C" w14:textId="77777777" w:rsidR="00FA0945" w:rsidRPr="000C5235" w:rsidRDefault="00FA0945" w:rsidP="000A7DEC">
      <w:r w:rsidRPr="000C5235">
        <w:t>Intended result is a key part of an outcome statement and describes the goal or objective of an entity. The intended result is typically distilled from the Government’s economic, social, health or environmental policy goals.</w:t>
      </w:r>
    </w:p>
    <w:p w14:paraId="48507B51" w14:textId="77777777" w:rsidR="00FA0945" w:rsidRPr="000C5235" w:rsidRDefault="00FA0945" w:rsidP="000A7DEC">
      <w:pPr>
        <w:pStyle w:val="Heading4nonumbers"/>
      </w:pPr>
      <w:r w:rsidRPr="000C5235">
        <w:t>Materiality</w:t>
      </w:r>
    </w:p>
    <w:p w14:paraId="5297ACDD" w14:textId="77777777" w:rsidR="00FA0945" w:rsidRPr="000C5235" w:rsidRDefault="00FA0945" w:rsidP="000A7DEC">
      <w:r w:rsidRPr="000C5235">
        <w:t xml:space="preserve">Reflects the importance of government financial or other information that if omitted, misstated or not disclosed has the potential to adversely affect decisions about the allocation of resources made by users of the financial report, or the discharge of accountability by the management or governing body of an entity. </w:t>
      </w:r>
    </w:p>
    <w:p w14:paraId="1FCF7D58" w14:textId="77777777" w:rsidR="00FA0945" w:rsidRPr="000C5235" w:rsidRDefault="00FA0945" w:rsidP="000A7DEC">
      <w:pPr>
        <w:pStyle w:val="Heading4nonumbers"/>
      </w:pPr>
      <w:r w:rsidRPr="000C5235">
        <w:t>Measure</w:t>
      </w:r>
    </w:p>
    <w:p w14:paraId="76085163" w14:textId="77777777" w:rsidR="00FA0945" w:rsidRPr="000C5235" w:rsidRDefault="00FA0945" w:rsidP="000A7DEC">
      <w:r w:rsidRPr="000C5235">
        <w:t>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BP No.</w:t>
      </w:r>
      <w:r w:rsidR="00EE4AE2" w:rsidRPr="000C5235">
        <w:t xml:space="preserve"> </w:t>
      </w:r>
      <w:r w:rsidRPr="000C5235">
        <w:t>2, in the MYEFO and the Pre</w:t>
      </w:r>
      <w:r w:rsidR="00B95147" w:rsidRPr="000C5235">
        <w:noBreakHyphen/>
        <w:t>election </w:t>
      </w:r>
      <w:r w:rsidRPr="000C5235">
        <w:t>Economic and Fiscal Outlook (PEFO).</w:t>
      </w:r>
    </w:p>
    <w:p w14:paraId="38273A8D" w14:textId="77777777" w:rsidR="00FA0945" w:rsidRPr="000C5235" w:rsidRDefault="00FA0945" w:rsidP="000A7DEC">
      <w:pPr>
        <w:pStyle w:val="Heading4nonumbers"/>
      </w:pPr>
      <w:r w:rsidRPr="000C5235">
        <w:t>Mid-</w:t>
      </w:r>
      <w:r w:rsidR="0079648C" w:rsidRPr="000C5235">
        <w:t>y</w:t>
      </w:r>
      <w:r w:rsidRPr="000C5235">
        <w:t xml:space="preserve">ear </w:t>
      </w:r>
      <w:r w:rsidR="0079648C" w:rsidRPr="000C5235">
        <w:t>e</w:t>
      </w:r>
      <w:r w:rsidRPr="000C5235">
        <w:t xml:space="preserve">conomic and </w:t>
      </w:r>
      <w:r w:rsidR="0079648C" w:rsidRPr="000C5235">
        <w:t>f</w:t>
      </w:r>
      <w:r w:rsidRPr="000C5235">
        <w:t xml:space="preserve">iscal </w:t>
      </w:r>
      <w:r w:rsidR="0079648C" w:rsidRPr="000C5235">
        <w:t>o</w:t>
      </w:r>
      <w:r w:rsidRPr="000C5235">
        <w:t xml:space="preserve">utlook </w:t>
      </w:r>
    </w:p>
    <w:p w14:paraId="53FE092A" w14:textId="77777777" w:rsidR="00FA0945" w:rsidRPr="000C5235" w:rsidRDefault="00FA0945" w:rsidP="000A7DEC">
      <w:r w:rsidRPr="000C5235">
        <w:t xml:space="preserve">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 </w:t>
      </w:r>
    </w:p>
    <w:p w14:paraId="53B27735" w14:textId="77777777" w:rsidR="00FA0945" w:rsidRPr="000C5235" w:rsidRDefault="00FA0945" w:rsidP="000A7DEC">
      <w:pPr>
        <w:pStyle w:val="Heading4nonumbers"/>
      </w:pPr>
      <w:r w:rsidRPr="000C5235">
        <w:t xml:space="preserve">Official </w:t>
      </w:r>
      <w:r w:rsidR="0079648C" w:rsidRPr="000C5235">
        <w:t>p</w:t>
      </w:r>
      <w:r w:rsidRPr="000C5235">
        <w:t xml:space="preserve">ublic </w:t>
      </w:r>
      <w:r w:rsidR="0079648C" w:rsidRPr="000C5235">
        <w:t>a</w:t>
      </w:r>
      <w:r w:rsidRPr="000C5235">
        <w:t xml:space="preserve">ccount </w:t>
      </w:r>
    </w:p>
    <w:p w14:paraId="00941C20" w14:textId="77777777" w:rsidR="00FA0945" w:rsidRPr="000C5235" w:rsidRDefault="00FA0945" w:rsidP="000A7DEC">
      <w:r w:rsidRPr="000C5235">
        <w:t xml:space="preserve">The </w:t>
      </w:r>
      <w:r w:rsidR="00B95147" w:rsidRPr="000C5235">
        <w:t>Official Public Account (</w:t>
      </w:r>
      <w:r w:rsidRPr="000C5235">
        <w:t>OPA</w:t>
      </w:r>
      <w:r w:rsidR="00B95147" w:rsidRPr="000C5235">
        <w:t>)</w:t>
      </w:r>
      <w:r w:rsidRPr="000C5235">
        <w:t xml:space="preserve"> is the Australian Government’s central bank account held within the Reserve Bank of Australia. The OPA reflects the operations of the Consolidated Revenue Fund.</w:t>
      </w:r>
    </w:p>
    <w:p w14:paraId="4D07B25E" w14:textId="77777777" w:rsidR="00FA0945" w:rsidRPr="000C5235" w:rsidRDefault="00FA0945" w:rsidP="000A7DEC">
      <w:pPr>
        <w:pStyle w:val="Heading4nonumbers"/>
      </w:pPr>
      <w:r w:rsidRPr="000C5235">
        <w:t xml:space="preserve">Operating </w:t>
      </w:r>
      <w:r w:rsidR="0079648C" w:rsidRPr="000C5235">
        <w:t>e</w:t>
      </w:r>
      <w:r w:rsidRPr="000C5235">
        <w:t xml:space="preserve">xpenditure (of </w:t>
      </w:r>
      <w:r w:rsidR="0079648C" w:rsidRPr="000C5235">
        <w:t>h</w:t>
      </w:r>
      <w:r w:rsidRPr="000C5235">
        <w:t xml:space="preserve">eritage and </w:t>
      </w:r>
      <w:r w:rsidR="0079648C" w:rsidRPr="000C5235">
        <w:t>c</w:t>
      </w:r>
      <w:r w:rsidRPr="000C5235">
        <w:t xml:space="preserve">ultural </w:t>
      </w:r>
      <w:r w:rsidR="0079648C" w:rsidRPr="000C5235">
        <w:t>a</w:t>
      </w:r>
      <w:r w:rsidRPr="000C5235">
        <w:t>ssets)</w:t>
      </w:r>
    </w:p>
    <w:p w14:paraId="3B52A993" w14:textId="77777777" w:rsidR="0014140F" w:rsidRPr="000C5235" w:rsidRDefault="00FA0945" w:rsidP="000A7DEC">
      <w:r w:rsidRPr="000C5235">
        <w:t xml:space="preserve">The following is a list of expenditure items that Collection Institutions might include in the “Operating expenditure for heritage and cultural assets” section of </w:t>
      </w:r>
      <w:r w:rsidRPr="000C5235">
        <w:rPr>
          <w:i/>
        </w:rPr>
        <w:t>Table 3.6</w:t>
      </w:r>
      <w:r w:rsidRPr="000C5235">
        <w:t xml:space="preserve"> and </w:t>
      </w:r>
      <w:r w:rsidRPr="000C5235">
        <w:rPr>
          <w:i/>
        </w:rPr>
        <w:t>Table 3.11</w:t>
      </w:r>
      <w:r w:rsidRPr="000C5235">
        <w:t>:</w:t>
      </w:r>
    </w:p>
    <w:p w14:paraId="6D404125" w14:textId="77777777" w:rsidR="00FA0945" w:rsidRPr="000C5235" w:rsidRDefault="00FA0945" w:rsidP="005D722E">
      <w:pPr>
        <w:pStyle w:val="Numbered"/>
        <w:numPr>
          <w:ilvl w:val="0"/>
          <w:numId w:val="240"/>
        </w:numPr>
      </w:pPr>
      <w:r w:rsidRPr="000C5235">
        <w:t>supply of goods and services, for example, outsourced repairs to artwork or insurance costs</w:t>
      </w:r>
    </w:p>
    <w:p w14:paraId="551012FD" w14:textId="77777777" w:rsidR="00FA0945" w:rsidRPr="000C5235" w:rsidRDefault="00FA0945" w:rsidP="005D722E">
      <w:pPr>
        <w:pStyle w:val="Numbered"/>
        <w:numPr>
          <w:ilvl w:val="0"/>
          <w:numId w:val="240"/>
        </w:numPr>
      </w:pPr>
      <w:r w:rsidRPr="000C5235">
        <w:t xml:space="preserve">direct labour on-costs, for example, the salaries and associated costs of staff researching and restoring items, lease of storage facilities </w:t>
      </w:r>
    </w:p>
    <w:p w14:paraId="64B55923" w14:textId="77777777" w:rsidR="00FA0945" w:rsidRPr="000C5235" w:rsidRDefault="00FA0945" w:rsidP="005D722E">
      <w:pPr>
        <w:pStyle w:val="Numbered"/>
        <w:numPr>
          <w:ilvl w:val="0"/>
          <w:numId w:val="240"/>
        </w:numPr>
      </w:pPr>
      <w:r w:rsidRPr="000C5235">
        <w:t>associated utility costs (electricity, water, gas)</w:t>
      </w:r>
    </w:p>
    <w:p w14:paraId="1C297CC4" w14:textId="77777777" w:rsidR="00FA0945" w:rsidRPr="000C5235" w:rsidRDefault="00FA0945" w:rsidP="005D722E">
      <w:pPr>
        <w:pStyle w:val="Numbered"/>
        <w:numPr>
          <w:ilvl w:val="0"/>
          <w:numId w:val="240"/>
        </w:numPr>
      </w:pPr>
      <w:r w:rsidRPr="000C5235">
        <w:t>cataloguing costs</w:t>
      </w:r>
    </w:p>
    <w:p w14:paraId="7EA43800" w14:textId="77777777" w:rsidR="00FA0945" w:rsidRPr="000C5235" w:rsidRDefault="00FA0945" w:rsidP="005D722E">
      <w:pPr>
        <w:pStyle w:val="Numbered"/>
        <w:numPr>
          <w:ilvl w:val="0"/>
          <w:numId w:val="240"/>
        </w:numPr>
      </w:pPr>
      <w:r w:rsidRPr="000C5235">
        <w:t>containers and packaging and transportation</w:t>
      </w:r>
    </w:p>
    <w:p w14:paraId="7D055F2B" w14:textId="77777777" w:rsidR="00FA0945" w:rsidRPr="000C5235" w:rsidRDefault="00FA0945" w:rsidP="005D722E">
      <w:pPr>
        <w:pStyle w:val="Numbered"/>
        <w:numPr>
          <w:ilvl w:val="0"/>
          <w:numId w:val="240"/>
        </w:numPr>
      </w:pPr>
      <w:r w:rsidRPr="000C5235">
        <w:t>cleaning of collections and storage facilities</w:t>
      </w:r>
    </w:p>
    <w:p w14:paraId="5220E889" w14:textId="77777777" w:rsidR="00FA0945" w:rsidRPr="000C5235" w:rsidRDefault="00FA0945" w:rsidP="005D722E">
      <w:pPr>
        <w:pStyle w:val="Numbered"/>
        <w:numPr>
          <w:ilvl w:val="0"/>
          <w:numId w:val="240"/>
        </w:numPr>
      </w:pPr>
      <w:r w:rsidRPr="000C5235">
        <w:t>substitution costs (preparation of copies/surrogates of art work for public display).</w:t>
      </w:r>
    </w:p>
    <w:p w14:paraId="5385A99C" w14:textId="77777777" w:rsidR="00FA0945" w:rsidRPr="000C5235" w:rsidRDefault="0014140F" w:rsidP="000A7DEC">
      <w:r w:rsidRPr="000C5235">
        <w:br/>
      </w:r>
      <w:r w:rsidR="00FA0945" w:rsidRPr="000C5235">
        <w:t>The costs above do not include full absorption costing such as an allocation for corporate administration costs or costs that are eligible to be capitalised.</w:t>
      </w:r>
    </w:p>
    <w:p w14:paraId="49C89758" w14:textId="77777777" w:rsidR="00FA0945" w:rsidRPr="000C5235" w:rsidRDefault="00FA0945" w:rsidP="000A7DEC">
      <w:r w:rsidRPr="000C5235">
        <w:t>Depreciation is not operating expenditure for the purposes of this definition.</w:t>
      </w:r>
    </w:p>
    <w:p w14:paraId="2F62E45C" w14:textId="77777777" w:rsidR="00FA0945" w:rsidRPr="000C5235" w:rsidRDefault="00FA0945" w:rsidP="000A7DEC">
      <w:pPr>
        <w:pStyle w:val="Heading4nonumbers"/>
      </w:pPr>
      <w:r w:rsidRPr="000C5235">
        <w:t>Outcome</w:t>
      </w:r>
    </w:p>
    <w:p w14:paraId="7FDF6BA5" w14:textId="77777777" w:rsidR="00FA0945" w:rsidRPr="000C5235" w:rsidRDefault="00FA0945" w:rsidP="000A7DEC">
      <w:r w:rsidRPr="000C5235">
        <w:t>An outcome is the intended result, consequence or impact of Government actions on the Australian community.</w:t>
      </w:r>
    </w:p>
    <w:p w14:paraId="39318B0F" w14:textId="77777777" w:rsidR="00FA0945" w:rsidRPr="000C5235" w:rsidRDefault="00FA0945" w:rsidP="000A7DEC">
      <w:pPr>
        <w:pStyle w:val="Heading4nonumbers"/>
      </w:pPr>
      <w:r w:rsidRPr="000C5235">
        <w:t xml:space="preserve">Outcome </w:t>
      </w:r>
      <w:r w:rsidR="0079648C" w:rsidRPr="000C5235">
        <w:t>s</w:t>
      </w:r>
      <w:r w:rsidRPr="000C5235">
        <w:t>tatement</w:t>
      </w:r>
    </w:p>
    <w:p w14:paraId="3CB08A81" w14:textId="77777777" w:rsidR="00FA0945" w:rsidRPr="000C5235" w:rsidRDefault="00FA0945" w:rsidP="000A7DEC">
      <w:r w:rsidRPr="000C5235">
        <w:t>An outcome statement articulates the intended results, activities and target group of an Australian Government entity. An outcome statement serves three main purposes within the financial framework:</w:t>
      </w:r>
    </w:p>
    <w:p w14:paraId="5BBE3859" w14:textId="77777777" w:rsidR="00FA0945" w:rsidRPr="000C5235" w:rsidRDefault="00FA0945">
      <w:pPr>
        <w:pStyle w:val="Bullet1"/>
      </w:pPr>
      <w:r w:rsidRPr="000C5235">
        <w:t>to explain and control the purposes for which annual appropriations are approved by the Parliament for use by entities</w:t>
      </w:r>
    </w:p>
    <w:p w14:paraId="2B84A518" w14:textId="77777777" w:rsidR="0074521F" w:rsidRPr="000C5235" w:rsidRDefault="00FA0945">
      <w:pPr>
        <w:pStyle w:val="Bullet1"/>
      </w:pPr>
      <w:r w:rsidRPr="000C5235">
        <w:t>to provide a basis for annual budgeting, including (financial) reporting against the use of appropriated funds</w:t>
      </w:r>
    </w:p>
    <w:p w14:paraId="1ABE5FBD" w14:textId="77777777" w:rsidR="00FA0945" w:rsidRPr="000C5235" w:rsidRDefault="0074521F" w:rsidP="0074521F">
      <w:pPr>
        <w:pStyle w:val="Bullet1"/>
      </w:pPr>
      <w:r w:rsidRPr="000C5235">
        <w:t>to measure and assess entity and program non</w:t>
      </w:r>
      <w:r w:rsidRPr="000C5235">
        <w:rPr>
          <w:rFonts w:ascii="Cambria Math" w:hAnsi="Cambria Math" w:cs="Cambria Math"/>
        </w:rPr>
        <w:t>‐</w:t>
      </w:r>
      <w:r w:rsidRPr="000C5235">
        <w:t>financial performance in contributing to Government policy objectives.</w:t>
      </w:r>
    </w:p>
    <w:p w14:paraId="146B9D38" w14:textId="77777777" w:rsidR="003C2C71" w:rsidRPr="000C5235" w:rsidRDefault="003C2C71" w:rsidP="000A7DEC">
      <w:pPr>
        <w:pStyle w:val="Heading4nonumbers"/>
      </w:pPr>
      <w:r w:rsidRPr="000C5235">
        <w:t>PB Statements</w:t>
      </w:r>
    </w:p>
    <w:p w14:paraId="7F7B32B9" w14:textId="77777777" w:rsidR="003C2C71" w:rsidRPr="000C5235" w:rsidRDefault="003C2C71" w:rsidP="000A7DEC">
      <w:r w:rsidRPr="000C5235">
        <w:t>Are the Portfolio Budget Statements</w:t>
      </w:r>
      <w:r w:rsidR="00E10524" w:rsidRPr="000C5235">
        <w:t xml:space="preserve"> and also</w:t>
      </w:r>
      <w:r w:rsidR="009526CA" w:rsidRPr="000C5235">
        <w:t xml:space="preserve"> commonly referred to as either the </w:t>
      </w:r>
      <w:r w:rsidR="00B95147" w:rsidRPr="000C5235">
        <w:t>PB </w:t>
      </w:r>
      <w:r w:rsidR="009526CA" w:rsidRPr="000C5235">
        <w:t>Statements or as</w:t>
      </w:r>
      <w:r w:rsidR="003908FF" w:rsidRPr="000C5235">
        <w:t xml:space="preserve"> the</w:t>
      </w:r>
      <w:r w:rsidR="009526CA" w:rsidRPr="000C5235">
        <w:t xml:space="preserve"> PBS</w:t>
      </w:r>
      <w:r w:rsidR="003908FF" w:rsidRPr="000C5235">
        <w:t xml:space="preserve"> Statements</w:t>
      </w:r>
      <w:r w:rsidR="009526CA" w:rsidRPr="000C5235">
        <w:t>.</w:t>
      </w:r>
    </w:p>
    <w:p w14:paraId="3455EB0E" w14:textId="1D6A7B43" w:rsidR="00D75D60" w:rsidRPr="000C5235" w:rsidRDefault="009526CA" w:rsidP="00347B58">
      <w:pPr>
        <w:rPr>
          <w:rFonts w:asciiTheme="majorHAnsi" w:eastAsia="MS Gothic" w:hAnsiTheme="majorHAnsi" w:cstheme="majorBidi"/>
          <w:bCs/>
          <w:iCs/>
          <w:color w:val="005A77"/>
          <w:sz w:val="28"/>
          <w:szCs w:val="24"/>
        </w:rPr>
      </w:pPr>
      <w:r w:rsidRPr="000C5235">
        <w:t xml:space="preserve">Refer to section </w:t>
      </w:r>
      <w:r w:rsidR="00700F9D" w:rsidRPr="000C5235">
        <w:rPr>
          <w:i/>
        </w:rPr>
        <w:fldChar w:fldCharType="begin"/>
      </w:r>
      <w:r w:rsidR="00700F9D" w:rsidRPr="000C5235">
        <w:rPr>
          <w:i/>
        </w:rPr>
        <w:instrText xml:space="preserve"> REF _Ref29395987 \w \h  \* MERGEFORMAT </w:instrText>
      </w:r>
      <w:r w:rsidR="00700F9D" w:rsidRPr="000C5235">
        <w:rPr>
          <w:i/>
        </w:rPr>
      </w:r>
      <w:r w:rsidR="00700F9D" w:rsidRPr="000C5235">
        <w:rPr>
          <w:i/>
        </w:rPr>
        <w:fldChar w:fldCharType="separate"/>
      </w:r>
      <w:r w:rsidR="00507230">
        <w:rPr>
          <w:i/>
        </w:rPr>
        <w:t>3</w:t>
      </w:r>
      <w:r w:rsidR="00700F9D" w:rsidRPr="000C5235">
        <w:rPr>
          <w:i/>
        </w:rPr>
        <w:fldChar w:fldCharType="end"/>
      </w:r>
      <w:r w:rsidR="00DF32A1" w:rsidRPr="000C5235">
        <w:rPr>
          <w:i/>
        </w:rPr>
        <w:t>.</w:t>
      </w:r>
      <w:r w:rsidR="00700F9D" w:rsidRPr="000C5235">
        <w:rPr>
          <w:i/>
        </w:rPr>
        <w:t xml:space="preserve"> </w:t>
      </w:r>
      <w:r w:rsidR="003908FF" w:rsidRPr="000C5235">
        <w:rPr>
          <w:i/>
          <w:color w:val="0070C0"/>
        </w:rPr>
        <w:fldChar w:fldCharType="begin"/>
      </w:r>
      <w:r w:rsidR="003908FF" w:rsidRPr="000C5235">
        <w:rPr>
          <w:i/>
          <w:color w:val="0070C0"/>
        </w:rPr>
        <w:instrText xml:space="preserve"> REF _Ref29395987 \h  \* MERGEFORMAT </w:instrText>
      </w:r>
      <w:r w:rsidR="003908FF" w:rsidRPr="000C5235">
        <w:rPr>
          <w:i/>
          <w:color w:val="0070C0"/>
        </w:rPr>
      </w:r>
      <w:r w:rsidR="003908FF" w:rsidRPr="000C5235">
        <w:rPr>
          <w:i/>
          <w:color w:val="0070C0"/>
        </w:rPr>
        <w:fldChar w:fldCharType="separate"/>
      </w:r>
      <w:r w:rsidR="00507230" w:rsidRPr="00507230">
        <w:rPr>
          <w:i/>
        </w:rPr>
        <w:t>Purpose</w:t>
      </w:r>
      <w:r w:rsidR="003908FF" w:rsidRPr="000C5235">
        <w:rPr>
          <w:i/>
          <w:color w:val="0070C0"/>
        </w:rPr>
        <w:fldChar w:fldCharType="end"/>
      </w:r>
      <w:r w:rsidR="003908FF" w:rsidRPr="000C5235">
        <w:t xml:space="preserve"> </w:t>
      </w:r>
      <w:r w:rsidR="00700F9D" w:rsidRPr="000C5235">
        <w:t xml:space="preserve">within this guide </w:t>
      </w:r>
      <w:r w:rsidRPr="000C5235">
        <w:t xml:space="preserve">for an explanation </w:t>
      </w:r>
      <w:r w:rsidR="00700F9D" w:rsidRPr="000C5235">
        <w:t xml:space="preserve">to purpose </w:t>
      </w:r>
      <w:r w:rsidRPr="000C5235">
        <w:t>of the statements.</w:t>
      </w:r>
    </w:p>
    <w:p w14:paraId="5F2737B3" w14:textId="77777777" w:rsidR="004E2865" w:rsidRPr="000C5235" w:rsidRDefault="004E2865" w:rsidP="000A7DEC">
      <w:pPr>
        <w:pStyle w:val="Heading4nonumbers"/>
      </w:pPr>
      <w:r w:rsidRPr="000C5235">
        <w:t>PGPA Act Flipchart and List</w:t>
      </w:r>
    </w:p>
    <w:p w14:paraId="7E90B008" w14:textId="77777777" w:rsidR="004E2865" w:rsidRPr="000C5235" w:rsidRDefault="004E2865" w:rsidP="000A7DEC">
      <w:r w:rsidRPr="000C5235">
        <w:t xml:space="preserve">The Flipchart is a reference of all non-corporate and corporate Commonwealth entities and companies. Commonwealth entities and companies are government bodies that are subject to the </w:t>
      </w:r>
      <w:r w:rsidR="00761FCC" w:rsidRPr="000C5235">
        <w:t>PGPA Act</w:t>
      </w:r>
      <w:r w:rsidRPr="000C5235">
        <w:t>.</w:t>
      </w:r>
    </w:p>
    <w:p w14:paraId="0FBE133A" w14:textId="77777777" w:rsidR="004E2865" w:rsidRPr="000C5235" w:rsidRDefault="004E2865" w:rsidP="000A7DEC">
      <w:r w:rsidRPr="000C5235">
        <w:t>Commonwealth entities and companies on the Flipchart are organised by their portfolio.</w:t>
      </w:r>
    </w:p>
    <w:p w14:paraId="09F45657" w14:textId="77777777" w:rsidR="004E2865" w:rsidRPr="000C5235" w:rsidRDefault="004E2865" w:rsidP="000A7DEC">
      <w:r w:rsidRPr="000C5235">
        <w:t>The PGPA Act Flipchart is located at:</w:t>
      </w:r>
    </w:p>
    <w:p w14:paraId="7DA0F8E8" w14:textId="190787F1" w:rsidR="004E2865" w:rsidRPr="000C5235" w:rsidRDefault="00854156" w:rsidP="000A7DEC">
      <w:hyperlink r:id="rId85" w:history="1">
        <w:r w:rsidR="00222B0D" w:rsidRPr="000C5235">
          <w:rPr>
            <w:rStyle w:val="Hyperlink"/>
            <w:rFonts w:asciiTheme="minorHAnsi" w:hAnsiTheme="minorHAnsi" w:cstheme="minorBidi"/>
          </w:rPr>
          <w:t>www.finance.gov.au/government/managing-commonwealth-resources/structure-australian-government-public-sector/pgpa-act-flipchart-list</w:t>
        </w:r>
      </w:hyperlink>
    </w:p>
    <w:p w14:paraId="2379CA0E" w14:textId="77777777" w:rsidR="0017331E" w:rsidRPr="000C5235" w:rsidRDefault="002F0879" w:rsidP="000A7DEC">
      <w:pPr>
        <w:pStyle w:val="Heading4nonumbers"/>
      </w:pPr>
      <w:r w:rsidRPr="000C5235">
        <w:t xml:space="preserve">Portfolio Additional Estimates Statements </w:t>
      </w:r>
    </w:p>
    <w:p w14:paraId="1249329C" w14:textId="77777777" w:rsidR="003D66F9" w:rsidRPr="000C5235" w:rsidRDefault="00CA19B9" w:rsidP="000A7DEC">
      <w:r w:rsidRPr="000C5235">
        <w:t>The PAES provide an update to Parliament on updated entity expenditure estimates for the current budget year and reflect changes since the Budget. The PAES should be considered a supplement to the Portfolio Budget Statements (PB Statements) explaining subsequent changes to Budget estimates as they appear in the Additional Estimates Appropriation Bills No. 3 and 4.</w:t>
      </w:r>
    </w:p>
    <w:p w14:paraId="1D275501" w14:textId="77777777" w:rsidR="00FA0945" w:rsidRPr="000C5235" w:rsidRDefault="00FA0945" w:rsidP="000A7DEC">
      <w:pPr>
        <w:pStyle w:val="Heading4nonumbers"/>
      </w:pPr>
      <w:r w:rsidRPr="000C5235">
        <w:t xml:space="preserve">Portfolio </w:t>
      </w:r>
      <w:r w:rsidR="0079648C" w:rsidRPr="000C5235">
        <w:t>b</w:t>
      </w:r>
      <w:r w:rsidRPr="000C5235">
        <w:t xml:space="preserve">udget </w:t>
      </w:r>
      <w:r w:rsidR="0079648C" w:rsidRPr="000C5235">
        <w:t>s</w:t>
      </w:r>
      <w:r w:rsidRPr="000C5235">
        <w:t xml:space="preserve">tatements </w:t>
      </w:r>
    </w:p>
    <w:p w14:paraId="08F4C209" w14:textId="77777777" w:rsidR="00FA0945" w:rsidRPr="000C5235" w:rsidRDefault="00FA0945" w:rsidP="000A7DEC">
      <w:r w:rsidRPr="000C5235">
        <w:t>Budget related paper detailing budget initiatives and explanations of appropriations specified by outcome and program by each entity within a Portfolio.</w:t>
      </w:r>
    </w:p>
    <w:p w14:paraId="30C48F5D" w14:textId="068C7EAF" w:rsidR="009526CA" w:rsidRPr="000C5235" w:rsidRDefault="00C861A0" w:rsidP="009526CA">
      <w:r w:rsidRPr="000C5235">
        <w:t xml:space="preserve">Refer to section </w:t>
      </w:r>
      <w:r w:rsidRPr="000C5235">
        <w:rPr>
          <w:i/>
          <w:color w:val="0070C0"/>
          <w:u w:val="single"/>
        </w:rPr>
        <w:fldChar w:fldCharType="begin"/>
      </w:r>
      <w:r w:rsidRPr="000C5235">
        <w:rPr>
          <w:i/>
          <w:color w:val="0070C0"/>
          <w:u w:val="single"/>
        </w:rPr>
        <w:instrText xml:space="preserve"> REF _Ref29395987 \w \h  \* MERGEFORMAT </w:instrText>
      </w:r>
      <w:r w:rsidRPr="000C5235">
        <w:rPr>
          <w:i/>
          <w:color w:val="0070C0"/>
          <w:u w:val="single"/>
        </w:rPr>
      </w:r>
      <w:r w:rsidRPr="000C5235">
        <w:rPr>
          <w:i/>
          <w:color w:val="0070C0"/>
          <w:u w:val="single"/>
        </w:rPr>
        <w:fldChar w:fldCharType="separate"/>
      </w:r>
      <w:r w:rsidR="00507230">
        <w:rPr>
          <w:i/>
          <w:color w:val="0070C0"/>
          <w:u w:val="single"/>
        </w:rPr>
        <w:t>3</w:t>
      </w:r>
      <w:r w:rsidRPr="000C5235">
        <w:rPr>
          <w:i/>
          <w:color w:val="0070C0"/>
          <w:u w:val="single"/>
        </w:rPr>
        <w:fldChar w:fldCharType="end"/>
      </w:r>
      <w:r w:rsidRPr="000C5235">
        <w:rPr>
          <w:i/>
          <w:color w:val="0070C0"/>
          <w:u w:val="single"/>
        </w:rPr>
        <w:t xml:space="preserve"> </w:t>
      </w:r>
      <w:r w:rsidRPr="000C5235">
        <w:rPr>
          <w:i/>
          <w:color w:val="0070C0"/>
          <w:u w:val="single"/>
        </w:rPr>
        <w:fldChar w:fldCharType="begin"/>
      </w:r>
      <w:r w:rsidRPr="000C5235">
        <w:rPr>
          <w:i/>
          <w:color w:val="0070C0"/>
          <w:u w:val="single"/>
        </w:rPr>
        <w:instrText xml:space="preserve"> REF _Ref29395987 \h  \* MERGEFORMAT </w:instrText>
      </w:r>
      <w:r w:rsidRPr="000C5235">
        <w:rPr>
          <w:i/>
          <w:color w:val="0070C0"/>
          <w:u w:val="single"/>
        </w:rPr>
      </w:r>
      <w:r w:rsidRPr="000C5235">
        <w:rPr>
          <w:i/>
          <w:color w:val="0070C0"/>
          <w:u w:val="single"/>
        </w:rPr>
        <w:fldChar w:fldCharType="separate"/>
      </w:r>
      <w:r w:rsidR="00507230" w:rsidRPr="00507230">
        <w:rPr>
          <w:i/>
          <w:color w:val="0070C0"/>
          <w:u w:val="single"/>
        </w:rPr>
        <w:t>Purpose</w:t>
      </w:r>
      <w:r w:rsidRPr="000C5235">
        <w:rPr>
          <w:i/>
          <w:color w:val="0070C0"/>
          <w:u w:val="single"/>
        </w:rPr>
        <w:fldChar w:fldCharType="end"/>
      </w:r>
      <w:r w:rsidRPr="000C5235">
        <w:t xml:space="preserve"> </w:t>
      </w:r>
      <w:r w:rsidRPr="000C5235">
        <w:fldChar w:fldCharType="begin"/>
      </w:r>
      <w:r w:rsidRPr="000C5235">
        <w:instrText xml:space="preserve"> REF _Ref29395987 \p \h </w:instrText>
      </w:r>
      <w:r w:rsidR="008B029A" w:rsidRPr="000C5235">
        <w:instrText xml:space="preserve"> \* MERGEFORMAT </w:instrText>
      </w:r>
      <w:r w:rsidRPr="000C5235">
        <w:fldChar w:fldCharType="separate"/>
      </w:r>
      <w:r w:rsidR="00507230">
        <w:t>above</w:t>
      </w:r>
      <w:r w:rsidRPr="000C5235">
        <w:fldChar w:fldCharType="end"/>
      </w:r>
      <w:r w:rsidRPr="000C5235">
        <w:t xml:space="preserve"> for an explanation to the statement's purpose.</w:t>
      </w:r>
    </w:p>
    <w:p w14:paraId="1C9DE912" w14:textId="77777777" w:rsidR="00204269" w:rsidRPr="000C5235" w:rsidRDefault="00204269" w:rsidP="008718A1">
      <w:pPr>
        <w:pStyle w:val="Heading4nonumbers"/>
      </w:pPr>
      <w:r w:rsidRPr="000C5235">
        <w:t>Pre-Election Fiscal Outlook</w:t>
      </w:r>
    </w:p>
    <w:p w14:paraId="71030611" w14:textId="77777777" w:rsidR="00204269" w:rsidRPr="000C5235" w:rsidRDefault="00204269" w:rsidP="000A7DEC">
      <w:r w:rsidRPr="000C5235">
        <w:t>The PEFO provides an update, to the fullest extent possible, on all Government decisions and all other circumstances that may have a material effect on the economic, fiscal outlook before the issue of the writs for the election.</w:t>
      </w:r>
    </w:p>
    <w:p w14:paraId="1C0CB2AA" w14:textId="77777777" w:rsidR="00204269" w:rsidRPr="000C5235" w:rsidRDefault="00204269" w:rsidP="000A7DEC">
      <w:pPr>
        <w:pStyle w:val="Heading4nonumbers"/>
      </w:pPr>
      <w:r w:rsidRPr="000C5235">
        <w:t>Primary Reporting and Information Management Aid</w:t>
      </w:r>
    </w:p>
    <w:p w14:paraId="2E2EDA3B" w14:textId="77777777" w:rsidR="00204269" w:rsidRPr="000C5235" w:rsidRDefault="00204269" w:rsidP="000A7DEC">
      <w:r w:rsidRPr="000C5235">
        <w:t xml:space="preserve">The </w:t>
      </w:r>
      <w:r w:rsidR="00B95147" w:rsidRPr="000C5235">
        <w:t>Primary Reporting and Information Management Aid (</w:t>
      </w:r>
      <w:r w:rsidRPr="000C5235">
        <w:t>PRIMA</w:t>
      </w:r>
      <w:r w:rsidR="00B95147" w:rsidRPr="000C5235">
        <w:t>)</w:t>
      </w:r>
      <w:r w:rsidRPr="000C5235">
        <w:t xml:space="preserve"> model demonstrates the most common disclosures and presentation affecting entities. There are two separate sets of PRIMA forms to demonstrate tiered reporting requirements (Tier 1, full disclosure; or Tier 2, Reduced Disclosure Requirements).</w:t>
      </w:r>
    </w:p>
    <w:p w14:paraId="5676E54B" w14:textId="77777777" w:rsidR="00204269" w:rsidRPr="000C5235" w:rsidRDefault="00204269" w:rsidP="000A7DEC">
      <w:r w:rsidRPr="000C5235">
        <w:t>The key principle of PRIMA is to include disclosures that are required by most Australian Accounting Standards or the Financial Reporting Rule.</w:t>
      </w:r>
    </w:p>
    <w:p w14:paraId="2A47629D" w14:textId="77777777" w:rsidR="00FA0945" w:rsidRPr="000C5235" w:rsidRDefault="00FA0945" w:rsidP="000A7DEC">
      <w:pPr>
        <w:pStyle w:val="Heading4nonumbers"/>
      </w:pPr>
      <w:r w:rsidRPr="000C5235">
        <w:t>Program</w:t>
      </w:r>
    </w:p>
    <w:p w14:paraId="0F9ED7E3" w14:textId="77777777" w:rsidR="00FA0945" w:rsidRPr="000C5235" w:rsidRDefault="00FA0945" w:rsidP="000A7DEC">
      <w:r w:rsidRPr="000C5235">
        <w:t>Activity that delivers benefits, services or transfer payments to individuals, industry and/or the community as a whole, with the aim of achieving the intended result specified in an outcome statement.</w:t>
      </w:r>
    </w:p>
    <w:p w14:paraId="5BCCD171" w14:textId="77777777" w:rsidR="00FA0945" w:rsidRPr="000C5235" w:rsidRDefault="00FA0945" w:rsidP="000A7DEC">
      <w:pPr>
        <w:pStyle w:val="Heading4nonumbers"/>
      </w:pPr>
      <w:r w:rsidRPr="000C5235">
        <w:t xml:space="preserve">Program </w:t>
      </w:r>
      <w:r w:rsidR="0079648C" w:rsidRPr="000C5235">
        <w:t>s</w:t>
      </w:r>
      <w:r w:rsidRPr="000C5235">
        <w:t>upport</w:t>
      </w:r>
    </w:p>
    <w:p w14:paraId="5B8BBBCF" w14:textId="77777777" w:rsidR="00FA0945" w:rsidRPr="000C5235" w:rsidRDefault="00FA0945" w:rsidP="000A7DEC">
      <w:r w:rsidRPr="000C5235">
        <w:t>The entity’s running costs allocated to a program. This is funded through an entity’s departmental appropriations.</w:t>
      </w:r>
    </w:p>
    <w:p w14:paraId="1AB0D349" w14:textId="77777777" w:rsidR="00406ADB" w:rsidRPr="000C5235" w:rsidRDefault="00406ADB" w:rsidP="000A7DEC">
      <w:pPr>
        <w:pStyle w:val="Heading4nonumbers"/>
      </w:pPr>
      <w:r w:rsidRPr="000C5235">
        <w:t xml:space="preserve">Public Budget Formulation </w:t>
      </w:r>
    </w:p>
    <w:p w14:paraId="0CA65E41" w14:textId="77777777" w:rsidR="00406ADB" w:rsidRPr="000C5235" w:rsidRDefault="00406ADB" w:rsidP="00406ADB">
      <w:r w:rsidRPr="000C5235">
        <w:t>Public Budget Formulation (module of CBMS), is used to record an entity’s annual estimates.  The module is also used to generate the Appropriation Bills.</w:t>
      </w:r>
    </w:p>
    <w:p w14:paraId="657AA912" w14:textId="77777777" w:rsidR="00FA0945" w:rsidRPr="000C5235" w:rsidRDefault="00FA0945" w:rsidP="000A7DEC">
      <w:pPr>
        <w:pStyle w:val="Heading4nonumbers"/>
      </w:pPr>
      <w:r w:rsidRPr="000C5235">
        <w:rPr>
          <w:i/>
        </w:rPr>
        <w:t xml:space="preserve">Public </w:t>
      </w:r>
      <w:r w:rsidR="009B490C" w:rsidRPr="000C5235">
        <w:rPr>
          <w:i/>
        </w:rPr>
        <w:t>G</w:t>
      </w:r>
      <w:r w:rsidRPr="000C5235">
        <w:rPr>
          <w:i/>
        </w:rPr>
        <w:t xml:space="preserve">overnance, </w:t>
      </w:r>
      <w:r w:rsidR="009B490C" w:rsidRPr="000C5235">
        <w:rPr>
          <w:i/>
        </w:rPr>
        <w:t>P</w:t>
      </w:r>
      <w:r w:rsidRPr="000C5235">
        <w:rPr>
          <w:i/>
        </w:rPr>
        <w:t xml:space="preserve">erformance and </w:t>
      </w:r>
      <w:r w:rsidR="009B490C" w:rsidRPr="000C5235">
        <w:rPr>
          <w:i/>
        </w:rPr>
        <w:t>A</w:t>
      </w:r>
      <w:r w:rsidRPr="000C5235">
        <w:rPr>
          <w:i/>
        </w:rPr>
        <w:t xml:space="preserve">ccountability </w:t>
      </w:r>
      <w:r w:rsidR="0079648C" w:rsidRPr="000C5235">
        <w:rPr>
          <w:i/>
        </w:rPr>
        <w:t>A</w:t>
      </w:r>
      <w:r w:rsidRPr="000C5235">
        <w:rPr>
          <w:i/>
        </w:rPr>
        <w:t>ct 2013</w:t>
      </w:r>
    </w:p>
    <w:p w14:paraId="2DB4FFFE" w14:textId="77777777" w:rsidR="0063372C" w:rsidRPr="000C5235" w:rsidRDefault="0063372C" w:rsidP="000A7DEC">
      <w:r w:rsidRPr="000C5235">
        <w:t>The PGPA Act establishes a coherent system of governance and accountability for public resources, with an emphasis on planning, performance and reporting.</w:t>
      </w:r>
    </w:p>
    <w:p w14:paraId="13CD6EB2" w14:textId="77777777" w:rsidR="0063372C" w:rsidRPr="000C5235" w:rsidRDefault="0063372C" w:rsidP="000A7DEC">
      <w:r w:rsidRPr="000C5235">
        <w:t>The PGPA Act applies to all Commonwealth entities and Commonwealth companies.</w:t>
      </w:r>
    </w:p>
    <w:p w14:paraId="4B1C57B7" w14:textId="56E4B2D3" w:rsidR="0063372C" w:rsidRPr="000C5235" w:rsidRDefault="0063372C">
      <w:r w:rsidRPr="000C5235">
        <w:t xml:space="preserve">The official version of the PGPA Act is available from </w:t>
      </w:r>
      <w:hyperlink r:id="rId86" w:history="1">
        <w:r w:rsidRPr="000C5235">
          <w:rPr>
            <w:rStyle w:val="Hyperlink"/>
            <w:rFonts w:asciiTheme="minorHAnsi" w:hAnsiTheme="minorHAnsi" w:cstheme="minorBidi"/>
          </w:rPr>
          <w:t>www.legislation.gov.au</w:t>
        </w:r>
      </w:hyperlink>
      <w:r w:rsidRPr="000C5235">
        <w:t xml:space="preserve"> </w:t>
      </w:r>
    </w:p>
    <w:p w14:paraId="195DD209" w14:textId="77777777" w:rsidR="00334C6F" w:rsidRPr="000C5235" w:rsidRDefault="00334C6F" w:rsidP="000A7DEC">
      <w:pPr>
        <w:pStyle w:val="Heading4nonumbers"/>
      </w:pPr>
      <w:r w:rsidRPr="000C5235">
        <w:t>Purpose</w:t>
      </w:r>
    </w:p>
    <w:p w14:paraId="3F4F72D8" w14:textId="1EAD2BC9" w:rsidR="00334C6F" w:rsidRPr="000C5235" w:rsidRDefault="00334C6F" w:rsidP="000A7DEC">
      <w:r w:rsidRPr="000C5235">
        <w:t xml:space="preserve">The purposes of a Commonwealth entity </w:t>
      </w:r>
      <w:r w:rsidR="00FD4BA3" w:rsidRPr="000C5235">
        <w:t>include</w:t>
      </w:r>
      <w:r w:rsidRPr="000C5235">
        <w:t xml:space="preserve"> the objectives, functions or role of the entity.  For further information see </w:t>
      </w:r>
      <w:r w:rsidRPr="000C5235">
        <w:rPr>
          <w:i/>
        </w:rPr>
        <w:t>RMG 132 – Corporate plans for Commonwealth entities</w:t>
      </w:r>
      <w:r w:rsidRPr="000C5235">
        <w:t xml:space="preserve"> (</w:t>
      </w:r>
      <w:hyperlink r:id="rId87" w:history="1">
        <w:r w:rsidR="00B9628A" w:rsidRPr="000C5235">
          <w:rPr>
            <w:rStyle w:val="Hyperlink"/>
          </w:rPr>
          <w:t>https://www.finance.gov.au/publications/resource-management-guides</w:t>
        </w:r>
      </w:hyperlink>
      <w:r w:rsidR="008A41EF" w:rsidRPr="000C5235">
        <w:t>).</w:t>
      </w:r>
    </w:p>
    <w:p w14:paraId="65F59E8F" w14:textId="77777777" w:rsidR="00497E40" w:rsidRPr="000C5235" w:rsidRDefault="00497E40" w:rsidP="000A7DEC">
      <w:pPr>
        <w:pStyle w:val="Heading4nonumbers"/>
      </w:pPr>
      <w:r w:rsidRPr="000C5235">
        <w:t xml:space="preserve">Right-of-Use Asset </w:t>
      </w:r>
    </w:p>
    <w:p w14:paraId="1AD0C8D7" w14:textId="77777777" w:rsidR="00497E40" w:rsidRPr="000C5235" w:rsidRDefault="00497E40" w:rsidP="000A7DEC">
      <w:r w:rsidRPr="000C5235">
        <w:t xml:space="preserve">AASB 16 </w:t>
      </w:r>
      <w:r w:rsidRPr="000C5235">
        <w:rPr>
          <w:i/>
        </w:rPr>
        <w:t>Leases</w:t>
      </w:r>
      <w:r w:rsidR="00A0360B" w:rsidRPr="000C5235">
        <w:rPr>
          <w:i/>
        </w:rPr>
        <w:t xml:space="preserve"> </w:t>
      </w:r>
      <w:r w:rsidR="00A0360B" w:rsidRPr="000C5235">
        <w:t>(the Standard)</w:t>
      </w:r>
      <w:r w:rsidRPr="000C5235">
        <w:t>, remov</w:t>
      </w:r>
      <w:r w:rsidR="00EA2C25" w:rsidRPr="000C5235">
        <w:t>es</w:t>
      </w:r>
      <w:r w:rsidRPr="000C5235">
        <w:t xml:space="preserve"> the distinction between operating and finance leases for </w:t>
      </w:r>
      <w:r w:rsidR="00EA2C25" w:rsidRPr="000C5235">
        <w:t>lessees</w:t>
      </w:r>
      <w:r w:rsidRPr="000C5235">
        <w:t xml:space="preserve"> and </w:t>
      </w:r>
      <w:r w:rsidR="00EA2C25" w:rsidRPr="000C5235">
        <w:t>requires</w:t>
      </w:r>
      <w:r w:rsidRPr="000C5235">
        <w:t xml:space="preserve"> the recognition of a</w:t>
      </w:r>
      <w:r w:rsidR="00673397" w:rsidRPr="000C5235">
        <w:t>n</w:t>
      </w:r>
      <w:r w:rsidRPr="000C5235">
        <w:t xml:space="preserve"> </w:t>
      </w:r>
      <w:r w:rsidR="009F3C94" w:rsidRPr="000C5235">
        <w:t>RoU</w:t>
      </w:r>
      <w:r w:rsidR="00A0360B" w:rsidRPr="000C5235">
        <w:t xml:space="preserve"> </w:t>
      </w:r>
      <w:r w:rsidRPr="000C5235">
        <w:t xml:space="preserve">asset and lease liability on the balance sheet for most leasing arrangements. </w:t>
      </w:r>
      <w:r w:rsidR="00A0360B" w:rsidRPr="000C5235">
        <w:t>The Standard comes into effect for the 2019</w:t>
      </w:r>
      <w:r w:rsidR="00673397" w:rsidRPr="000C5235">
        <w:noBreakHyphen/>
      </w:r>
      <w:r w:rsidR="00A0360B" w:rsidRPr="000C5235">
        <w:t xml:space="preserve">20 financial reporting period. From 1 July 2019, all Commonwealth entities and companies </w:t>
      </w:r>
      <w:r w:rsidR="00EA2C25" w:rsidRPr="000C5235">
        <w:t>are</w:t>
      </w:r>
      <w:r w:rsidR="00A0360B" w:rsidRPr="000C5235">
        <w:t xml:space="preserve"> required to report on their </w:t>
      </w:r>
      <w:r w:rsidR="009F3C94" w:rsidRPr="000C5235">
        <w:t>RoU</w:t>
      </w:r>
      <w:r w:rsidR="00A0360B" w:rsidRPr="000C5235">
        <w:t xml:space="preserve"> assets and associated lease liabilities in their financial statements.</w:t>
      </w:r>
    </w:p>
    <w:p w14:paraId="56B5A15E" w14:textId="77777777" w:rsidR="00FA0945" w:rsidRPr="000C5235" w:rsidRDefault="00FA0945" w:rsidP="000A7DEC">
      <w:pPr>
        <w:pStyle w:val="Heading4nonumbers"/>
      </w:pPr>
      <w:r w:rsidRPr="000C5235">
        <w:t xml:space="preserve">Senate </w:t>
      </w:r>
      <w:r w:rsidR="0079648C" w:rsidRPr="000C5235">
        <w:t>e</w:t>
      </w:r>
      <w:r w:rsidRPr="000C5235">
        <w:t xml:space="preserve">stimates </w:t>
      </w:r>
      <w:r w:rsidR="0079648C" w:rsidRPr="000C5235">
        <w:t>h</w:t>
      </w:r>
      <w:r w:rsidRPr="000C5235">
        <w:t>earings</w:t>
      </w:r>
    </w:p>
    <w:p w14:paraId="10FC7502" w14:textId="77777777" w:rsidR="00FA0945" w:rsidRPr="000C5235" w:rsidRDefault="00FA0945" w:rsidP="000A7DEC">
      <w:r w:rsidRPr="000C5235">
        <w:t>Senate Standing Committees hold hearings to scrutinise the Appropriation Bills and any explanatory documentation tabled to accompany them. Public servants may be called to attend hearings as witnesses.</w:t>
      </w:r>
    </w:p>
    <w:p w14:paraId="402189BF" w14:textId="77777777" w:rsidR="00FA0945" w:rsidRPr="000C5235" w:rsidRDefault="00FA0945" w:rsidP="000A7DEC">
      <w:pPr>
        <w:pStyle w:val="Heading4nonumbers"/>
      </w:pPr>
      <w:r w:rsidRPr="000C5235">
        <w:t xml:space="preserve">Specific </w:t>
      </w:r>
      <w:r w:rsidR="0079648C" w:rsidRPr="000C5235">
        <w:t>p</w:t>
      </w:r>
      <w:r w:rsidRPr="000C5235">
        <w:t xml:space="preserve">urpose </w:t>
      </w:r>
      <w:r w:rsidR="0079648C" w:rsidRPr="000C5235">
        <w:t>p</w:t>
      </w:r>
      <w:r w:rsidRPr="000C5235">
        <w:t xml:space="preserve">ayments </w:t>
      </w:r>
    </w:p>
    <w:p w14:paraId="61AE2AD1" w14:textId="77777777" w:rsidR="00FA0945" w:rsidRPr="000C5235" w:rsidRDefault="00FA0945" w:rsidP="000A7DEC">
      <w:r w:rsidRPr="000C5235">
        <w:t>Commonwealth payments to the States for specific purposes in order to pursue important national policy objectives in areas that may be administered by the States.</w:t>
      </w:r>
    </w:p>
    <w:p w14:paraId="71AD8A3C" w14:textId="77777777" w:rsidR="00FA0945" w:rsidRPr="000C5235" w:rsidRDefault="00FA0945" w:rsidP="000A7DEC">
      <w:pPr>
        <w:pStyle w:val="Heading4nonumbers"/>
      </w:pPr>
      <w:r w:rsidRPr="000C5235">
        <w:t>Sub-function</w:t>
      </w:r>
    </w:p>
    <w:p w14:paraId="299D18BC" w14:textId="77777777" w:rsidR="00FA0945" w:rsidRPr="000C5235" w:rsidRDefault="00FA0945" w:rsidP="000A7DEC">
      <w:r w:rsidRPr="000C5235">
        <w:t>Government Finance Statistics classification of government expenses.</w:t>
      </w:r>
    </w:p>
    <w:p w14:paraId="0ACA9E5F" w14:textId="77777777" w:rsidR="00FA0945" w:rsidRPr="000C5235" w:rsidRDefault="00FA0945" w:rsidP="000A7DEC">
      <w:pPr>
        <w:pStyle w:val="Heading4nonumbers"/>
      </w:pPr>
      <w:r w:rsidRPr="000C5235">
        <w:t xml:space="preserve">System of </w:t>
      </w:r>
      <w:r w:rsidR="0079648C" w:rsidRPr="000C5235">
        <w:t>n</w:t>
      </w:r>
      <w:r w:rsidRPr="000C5235">
        <w:t xml:space="preserve">ational </w:t>
      </w:r>
      <w:r w:rsidR="0079648C" w:rsidRPr="000C5235">
        <w:t>a</w:t>
      </w:r>
      <w:r w:rsidRPr="000C5235">
        <w:t xml:space="preserve">ccounts </w:t>
      </w:r>
    </w:p>
    <w:p w14:paraId="1A2A4D39" w14:textId="77777777" w:rsidR="00FA0945" w:rsidRPr="000C5235" w:rsidRDefault="00FA0945" w:rsidP="000A7DEC">
      <w:r w:rsidRPr="000C5235">
        <w:t>The 2008 System of National Accounts (2008 SNA) is a comprehensive, consistent and flexible set of macroeconomic accounts to meet the needs of government and private-sector analysts, policy-makers, and decisions-takers. It was prepared jointly by the International Monetary Fund, the European Union, the Organization for Economic Co-operation and Development, the United Nations, and the World Bank.</w:t>
      </w:r>
    </w:p>
    <w:p w14:paraId="63E14BB6" w14:textId="77777777" w:rsidR="00FA0945" w:rsidRPr="000C5235" w:rsidRDefault="00FA0945" w:rsidP="000A7DEC">
      <w:pPr>
        <w:pStyle w:val="Heading4nonumbers"/>
      </w:pPr>
      <w:r w:rsidRPr="000C5235">
        <w:t xml:space="preserve">Target </w:t>
      </w:r>
      <w:r w:rsidR="0079648C" w:rsidRPr="000C5235">
        <w:t>g</w:t>
      </w:r>
      <w:r w:rsidRPr="000C5235">
        <w:t>roup</w:t>
      </w:r>
    </w:p>
    <w:p w14:paraId="5522744F" w14:textId="77777777" w:rsidR="00FA0945" w:rsidRPr="000C5235" w:rsidRDefault="00FA0945" w:rsidP="000A7DEC">
      <w:r w:rsidRPr="000C5235">
        <w:t>A specific group being targeted for assistance by government policy.</w:t>
      </w:r>
    </w:p>
    <w:p w14:paraId="25D4E9D2" w14:textId="77777777" w:rsidR="006A0F01" w:rsidRPr="000C5235" w:rsidRDefault="006A0F01" w:rsidP="000A7DEC">
      <w:pPr>
        <w:pStyle w:val="Heading4nonumbers"/>
      </w:pPr>
      <w:r w:rsidRPr="000C5235">
        <w:t xml:space="preserve">Third </w:t>
      </w:r>
      <w:r w:rsidR="0079648C" w:rsidRPr="000C5235">
        <w:t>p</w:t>
      </w:r>
      <w:r w:rsidRPr="000C5235">
        <w:t xml:space="preserve">arty </w:t>
      </w:r>
      <w:r w:rsidR="0079648C" w:rsidRPr="000C5235">
        <w:t>p</w:t>
      </w:r>
      <w:r w:rsidRPr="000C5235">
        <w:t>ayments</w:t>
      </w:r>
    </w:p>
    <w:p w14:paraId="741ADF13" w14:textId="77777777" w:rsidR="006A0F01" w:rsidRPr="000C5235" w:rsidRDefault="006A0F01" w:rsidP="000A7DEC">
      <w:r w:rsidRPr="000C5235">
        <w:t>Payments made on behalf of another entity, or by other entities on behalf of the agency. For example, payments made in relation to Special Appropriations.</w:t>
      </w:r>
    </w:p>
    <w:p w14:paraId="45ECC82C" w14:textId="77777777" w:rsidR="00FA0945" w:rsidRPr="000C5235" w:rsidRDefault="00FA0945" w:rsidP="000A7DEC">
      <w:pPr>
        <w:pStyle w:val="Heading4nonumbers"/>
      </w:pPr>
      <w:r w:rsidRPr="000C5235">
        <w:t>Transfer</w:t>
      </w:r>
    </w:p>
    <w:p w14:paraId="27C82BF5" w14:textId="77777777" w:rsidR="005D3E0C" w:rsidRPr="00E10524" w:rsidRDefault="00FA0945" w:rsidP="000A7DEC">
      <w:r w:rsidRPr="000C5235">
        <w:t>Cash paid to recipients of the applicable program. This includes welfare payments and tax rebates.</w:t>
      </w:r>
    </w:p>
    <w:sectPr w:rsidR="005D3E0C" w:rsidRPr="00E10524" w:rsidSect="00665EAD">
      <w:pgSz w:w="11900" w:h="16840" w:code="9"/>
      <w:pgMar w:top="1418" w:right="1418" w:bottom="170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5AD72" w14:textId="77777777" w:rsidR="00E70395" w:rsidRDefault="00E70395" w:rsidP="00DF7D78">
      <w:r>
        <w:separator/>
      </w:r>
    </w:p>
    <w:p w14:paraId="6D2BB991" w14:textId="77777777" w:rsidR="00E70395" w:rsidRDefault="00E70395" w:rsidP="00DF7D78"/>
    <w:p w14:paraId="417AD0A2" w14:textId="77777777" w:rsidR="00E70395" w:rsidRDefault="00E70395" w:rsidP="00DF7D78"/>
    <w:p w14:paraId="1FA2B27E" w14:textId="77777777" w:rsidR="00E70395" w:rsidRDefault="00E70395" w:rsidP="00DF7D78"/>
  </w:endnote>
  <w:endnote w:type="continuationSeparator" w:id="0">
    <w:p w14:paraId="68ACE238" w14:textId="77777777" w:rsidR="00E70395" w:rsidRDefault="00E70395" w:rsidP="00DF7D78">
      <w:r>
        <w:continuationSeparator/>
      </w:r>
    </w:p>
    <w:p w14:paraId="4B6F7BEC" w14:textId="77777777" w:rsidR="00E70395" w:rsidRDefault="00E70395" w:rsidP="00DF7D78"/>
    <w:p w14:paraId="0EF1F710" w14:textId="77777777" w:rsidR="00E70395" w:rsidRDefault="00E70395" w:rsidP="00DF7D78"/>
    <w:p w14:paraId="739FCA9F" w14:textId="77777777" w:rsidR="00E70395" w:rsidRDefault="00E70395" w:rsidP="00DF7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1E915" w14:textId="77777777" w:rsidR="00E70395" w:rsidRDefault="00E7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ADFF" w14:textId="77777777" w:rsidR="00E70395" w:rsidRDefault="00E7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AB32" w14:textId="77777777" w:rsidR="00E70395" w:rsidRDefault="00E70395" w:rsidP="008F72CD">
    <w:pPr>
      <w:pStyle w:val="Footer"/>
    </w:pPr>
  </w:p>
  <w:p w14:paraId="13309068" w14:textId="77777777" w:rsidR="00E70395" w:rsidRDefault="00E70395" w:rsidP="008F72CD">
    <w:pPr>
      <w:pStyle w:val="Footer"/>
      <w:rPr>
        <w:rStyle w:val="Classification"/>
      </w:rPr>
    </w:pPr>
    <w:r>
      <w:rPr>
        <w:rStyle w:val="Classification"/>
      </w:rPr>
      <w:t>UNCLASSIFIED</w:t>
    </w:r>
  </w:p>
  <w:p w14:paraId="4920A758" w14:textId="77777777" w:rsidR="00E70395" w:rsidRPr="000A6A8B" w:rsidRDefault="00E70395" w:rsidP="008F7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BCBA" w14:textId="599EA737" w:rsidR="00E70395" w:rsidRDefault="00E70395">
    <w:pPr>
      <w:pStyle w:val="Footer"/>
    </w:pPr>
    <w:r>
      <w:rPr>
        <w:rStyle w:val="ArialBlackBlue"/>
        <w:sz w:val="18"/>
        <w:szCs w:val="18"/>
      </w:rPr>
      <w:t>Guide to preparing the 2020-21 Portfolio Budget Statements</w:t>
    </w:r>
    <w:r w:rsidRPr="004D6565">
      <w:t xml:space="preserve">    </w:t>
    </w:r>
    <w:r w:rsidRPr="004D6565">
      <w:rPr>
        <w:rFonts w:ascii="Arial" w:hAnsi="Arial" w:cs="Arial"/>
      </w:rPr>
      <w:t xml:space="preserve">|    </w:t>
    </w:r>
    <w:r w:rsidRPr="004D6565">
      <w:rPr>
        <w:rFonts w:ascii="Arial" w:hAnsi="Arial" w:cs="Arial"/>
      </w:rPr>
      <w:fldChar w:fldCharType="begin"/>
    </w:r>
    <w:r w:rsidRPr="004D6565">
      <w:rPr>
        <w:rFonts w:ascii="Arial" w:hAnsi="Arial" w:cs="Arial"/>
      </w:rPr>
      <w:instrText xml:space="preserve"> PAGE   \* MERGEFORMAT </w:instrText>
    </w:r>
    <w:r w:rsidRPr="004D6565">
      <w:rPr>
        <w:rFonts w:ascii="Arial" w:hAnsi="Arial" w:cs="Arial"/>
      </w:rPr>
      <w:fldChar w:fldCharType="separate"/>
    </w:r>
    <w:r w:rsidR="00CE03E6">
      <w:rPr>
        <w:rFonts w:ascii="Arial" w:hAnsi="Arial" w:cs="Arial"/>
        <w:noProof/>
      </w:rPr>
      <w:t>4</w:t>
    </w:r>
    <w:r w:rsidRPr="004D6565">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026A" w14:textId="695EB1A6" w:rsidR="00E70395" w:rsidRDefault="00E70395">
    <w:pPr>
      <w:pStyle w:val="Footer"/>
    </w:pPr>
    <w:r>
      <w:rPr>
        <w:rStyle w:val="ArialBlackBlue"/>
        <w:sz w:val="18"/>
        <w:szCs w:val="18"/>
      </w:rPr>
      <w:t>Guide to preparing the 2020-21 Portfolio Budget Statements</w:t>
    </w:r>
    <w:r w:rsidRPr="004D6565">
      <w:t xml:space="preserve">    </w:t>
    </w:r>
    <w:r w:rsidRPr="004D6565">
      <w:rPr>
        <w:rFonts w:ascii="Arial" w:hAnsi="Arial" w:cs="Arial"/>
      </w:rPr>
      <w:t xml:space="preserve">|    </w:t>
    </w:r>
    <w:r w:rsidRPr="004D6565">
      <w:rPr>
        <w:rFonts w:ascii="Arial" w:hAnsi="Arial" w:cs="Arial"/>
      </w:rPr>
      <w:fldChar w:fldCharType="begin"/>
    </w:r>
    <w:r w:rsidRPr="004D6565">
      <w:rPr>
        <w:rFonts w:ascii="Arial" w:hAnsi="Arial" w:cs="Arial"/>
      </w:rPr>
      <w:instrText xml:space="preserve"> PAGE   \* MERGEFORMAT </w:instrText>
    </w:r>
    <w:r w:rsidRPr="004D6565">
      <w:rPr>
        <w:rFonts w:ascii="Arial" w:hAnsi="Arial" w:cs="Arial"/>
      </w:rPr>
      <w:fldChar w:fldCharType="separate"/>
    </w:r>
    <w:r w:rsidR="00CE03E6">
      <w:rPr>
        <w:rFonts w:ascii="Arial" w:hAnsi="Arial" w:cs="Arial"/>
        <w:noProof/>
      </w:rPr>
      <w:t>78</w:t>
    </w:r>
    <w:r w:rsidRPr="004D6565">
      <w:rPr>
        <w:rFonts w:ascii="Arial" w:hAnsi="Arial" w:cs="Arial"/>
      </w:rPr>
      <w:fldChar w:fldCharType="end"/>
    </w:r>
  </w:p>
  <w:p w14:paraId="11A44665" w14:textId="77777777" w:rsidR="00E70395" w:rsidRDefault="00E703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989B6" w14:textId="77777777" w:rsidR="00E70395" w:rsidRDefault="00E70395" w:rsidP="00DF7D78"/>
    <w:p w14:paraId="56D4F4EA" w14:textId="77777777" w:rsidR="00E70395" w:rsidRDefault="00E70395" w:rsidP="00DF7D78"/>
    <w:p w14:paraId="42C4A121" w14:textId="77777777" w:rsidR="00E70395" w:rsidRDefault="00E70395" w:rsidP="00DF7D78"/>
  </w:footnote>
  <w:footnote w:type="continuationSeparator" w:id="0">
    <w:p w14:paraId="4BA2D793" w14:textId="77777777" w:rsidR="00E70395" w:rsidRDefault="00E70395" w:rsidP="00DF7D78">
      <w:r>
        <w:continuationSeparator/>
      </w:r>
    </w:p>
    <w:p w14:paraId="4134FF50" w14:textId="77777777" w:rsidR="00E70395" w:rsidRDefault="00E70395" w:rsidP="00DF7D78"/>
    <w:p w14:paraId="293382E5" w14:textId="77777777" w:rsidR="00E70395" w:rsidRDefault="00E70395" w:rsidP="00DF7D78"/>
    <w:p w14:paraId="38315512" w14:textId="77777777" w:rsidR="00E70395" w:rsidRDefault="00E70395" w:rsidP="00DF7D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F612" w14:textId="77777777" w:rsidR="00E70395" w:rsidRDefault="00E70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8127" w14:textId="77777777" w:rsidR="00E70395" w:rsidRDefault="00E70395" w:rsidP="000A7DEC">
    <w:pPr>
      <w:pStyle w:val="Header"/>
      <w:jc w:val="center"/>
      <w:rPr>
        <w:rStyle w:val="Classification"/>
      </w:rPr>
    </w:pPr>
    <w:r>
      <w:rPr>
        <w:rStyle w:val="Classification"/>
      </w:rPr>
      <w:t>unclassified</w:t>
    </w:r>
  </w:p>
  <w:p w14:paraId="3DB2A6C2" w14:textId="77777777" w:rsidR="00E70395" w:rsidRPr="00BD6313" w:rsidRDefault="00E70395" w:rsidP="004B4224">
    <w:pPr>
      <w:pStyle w:val="Header"/>
      <w:rPr>
        <w:rStyle w:val="Classification"/>
        <w:rFonts w:cstheme="minorHAnsi"/>
        <w:caps w:val="0"/>
        <w:u w:val="single"/>
      </w:rPr>
    </w:pPr>
    <w:r w:rsidRPr="00BD6313">
      <w:rPr>
        <w:rStyle w:val="Classification"/>
        <w:rFonts w:cstheme="minorHAnsi"/>
        <w:caps w:val="0"/>
        <w:u w:val="single"/>
      </w:rPr>
      <w:t>Attachment A</w:t>
    </w:r>
  </w:p>
  <w:p w14:paraId="09B44868" w14:textId="77777777" w:rsidR="00E70395" w:rsidRDefault="00E70395" w:rsidP="008F72CD">
    <w:pPr>
      <w:pStyle w:val="Header"/>
    </w:pPr>
    <w:r>
      <w:rPr>
        <w:noProof/>
        <w:lang w:eastAsia="en-AU"/>
      </w:rPr>
      <w:drawing>
        <wp:anchor distT="0" distB="0" distL="114300" distR="114300" simplePos="0" relativeHeight="251657216" behindDoc="1" locked="0" layoutInCell="1" allowOverlap="1" wp14:anchorId="3967843C" wp14:editId="5348CAA9">
          <wp:simplePos x="0" y="0"/>
          <wp:positionH relativeFrom="page">
            <wp:align>left</wp:align>
          </wp:positionH>
          <wp:positionV relativeFrom="paragraph">
            <wp:posOffset>-538968</wp:posOffset>
          </wp:positionV>
          <wp:extent cx="7571105" cy="10705465"/>
          <wp:effectExtent l="0" t="0" r="0" b="635"/>
          <wp:wrapNone/>
          <wp:docPr id="49" name="Picture 49" descr="C:\Users\seabel\AppData\Local\Microsoft\Windows\INetCache\Content.Word\Long word cov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E6EB" w14:textId="77777777" w:rsidR="00E70395" w:rsidRDefault="00854156" w:rsidP="008F72CD">
    <w:pPr>
      <w:pStyle w:val="Header"/>
    </w:pPr>
    <w:r>
      <w:rPr>
        <w:noProof/>
      </w:rPr>
      <w:pict w14:anchorId="2A939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
          <v:imagedata r:id="rId1" o:title="Long word cover_blue"/>
        </v:shape>
      </w:pict>
    </w:r>
    <w:r w:rsidR="00E70395">
      <w:rPr>
        <w:rStyle w:val="Classification"/>
      </w:rPr>
      <w:t>UNCLASSIFIED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5F23" w14:textId="77777777" w:rsidR="00E70395" w:rsidRDefault="00E703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24F4" w14:textId="77777777" w:rsidR="00E70395" w:rsidRPr="00287835" w:rsidRDefault="00E70395" w:rsidP="000A7DEC">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98ED" w14:textId="77777777" w:rsidR="00E70395" w:rsidRDefault="00E703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2A10" w14:textId="77777777" w:rsidR="00E70395" w:rsidRDefault="00E70395">
    <w:pPr>
      <w:pStyle w:val="Header"/>
    </w:pPr>
  </w:p>
  <w:p w14:paraId="0197778A" w14:textId="77777777" w:rsidR="00E70395" w:rsidRDefault="00E7039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CCC2" w14:textId="77777777" w:rsidR="00E70395" w:rsidRDefault="00E70395" w:rsidP="000A7DEC">
    <w:pPr>
      <w:pStyle w:val="Header"/>
      <w:jc w:val="left"/>
      <w:rPr>
        <w:noProof/>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73BA" w14:textId="77777777" w:rsidR="00E70395" w:rsidRDefault="00E70395">
    <w:pPr>
      <w:pStyle w:val="Header"/>
    </w:pPr>
  </w:p>
  <w:p w14:paraId="236B9192" w14:textId="77777777" w:rsidR="00E70395" w:rsidRDefault="00E703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3C8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52E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9AEB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4EE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D04B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CAA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526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A4E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CCA7E"/>
    <w:lvl w:ilvl="0">
      <w:start w:val="1"/>
      <w:numFmt w:val="bullet"/>
      <w:pStyle w:val="Bullet1"/>
      <w:lvlText w:val=""/>
      <w:lvlJc w:val="left"/>
      <w:pPr>
        <w:tabs>
          <w:tab w:val="num" w:pos="360"/>
        </w:tabs>
        <w:ind w:left="360" w:hanging="360"/>
      </w:pPr>
      <w:rPr>
        <w:rFonts w:ascii="Symbol" w:hAnsi="Symbol" w:hint="default"/>
      </w:rPr>
    </w:lvl>
  </w:abstractNum>
  <w:abstractNum w:abstractNumId="10" w15:restartNumberingAfterBreak="0">
    <w:nsid w:val="000F7CA5"/>
    <w:multiLevelType w:val="hybridMultilevel"/>
    <w:tmpl w:val="1A5A6380"/>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1" w15:restartNumberingAfterBreak="0">
    <w:nsid w:val="010835EE"/>
    <w:multiLevelType w:val="multilevel"/>
    <w:tmpl w:val="3378FFD0"/>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1BF34E1"/>
    <w:multiLevelType w:val="hybridMultilevel"/>
    <w:tmpl w:val="CE542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28B44FC"/>
    <w:multiLevelType w:val="multilevel"/>
    <w:tmpl w:val="6C6ABDAC"/>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03F203B9"/>
    <w:multiLevelType w:val="hybridMultilevel"/>
    <w:tmpl w:val="0D38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8925B3"/>
    <w:multiLevelType w:val="hybridMultilevel"/>
    <w:tmpl w:val="5736359E"/>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7D689F96">
      <w:start w:val="1"/>
      <w:numFmt w:val="bullet"/>
      <w:pStyle w:val="Bullet4"/>
      <w:lvlText w:val="»"/>
      <w:lvlJc w:val="left"/>
      <w:pPr>
        <w:ind w:left="2256" w:hanging="360"/>
      </w:pPr>
      <w:rPr>
        <w:rFonts w:ascii="Arial" w:hAnsi="Arial" w:hint="default"/>
      </w:rPr>
    </w:lvl>
    <w:lvl w:ilvl="3" w:tplc="0C09000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7" w15:restartNumberingAfterBreak="0">
    <w:nsid w:val="089A2618"/>
    <w:multiLevelType w:val="hybridMultilevel"/>
    <w:tmpl w:val="1BA88664"/>
    <w:lvl w:ilvl="0" w:tplc="21181DCE">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9BE62B8"/>
    <w:multiLevelType w:val="hybridMultilevel"/>
    <w:tmpl w:val="4DBE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2F6B80"/>
    <w:multiLevelType w:val="multilevel"/>
    <w:tmpl w:val="FC9ECCC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0A436866"/>
    <w:multiLevelType w:val="multilevel"/>
    <w:tmpl w:val="9BB4C626"/>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0BBE366A"/>
    <w:multiLevelType w:val="hybridMultilevel"/>
    <w:tmpl w:val="75DC0EA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2" w15:restartNumberingAfterBreak="0">
    <w:nsid w:val="0C3A3A83"/>
    <w:multiLevelType w:val="hybridMultilevel"/>
    <w:tmpl w:val="F624461E"/>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0C09000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3" w15:restartNumberingAfterBreak="0">
    <w:nsid w:val="0C4C6C25"/>
    <w:multiLevelType w:val="hybridMultilevel"/>
    <w:tmpl w:val="C8145CAC"/>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A25650F0">
      <w:start w:val="1"/>
      <w:numFmt w:val="bullet"/>
      <w:pStyle w:val="Bullet5"/>
      <w:lvlText w:val="▫"/>
      <w:lvlJc w:val="left"/>
      <w:pPr>
        <w:ind w:left="2976" w:hanging="360"/>
      </w:pPr>
      <w:rPr>
        <w:rFonts w:ascii="Arial" w:hAnsi="Aria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4" w15:restartNumberingAfterBreak="0">
    <w:nsid w:val="0CC33B0F"/>
    <w:multiLevelType w:val="hybridMultilevel"/>
    <w:tmpl w:val="2B0A6CC0"/>
    <w:lvl w:ilvl="0" w:tplc="7C367F58">
      <w:start w:val="1"/>
      <w:numFmt w:val="decimal"/>
      <w:lvlText w:val="%1."/>
      <w:lvlJc w:val="left"/>
      <w:pPr>
        <w:ind w:left="185" w:hanging="360"/>
      </w:pPr>
      <w:rPr>
        <w:rFonts w:hint="default"/>
        <w:color w:val="auto"/>
      </w:rPr>
    </w:lvl>
    <w:lvl w:ilvl="1" w:tplc="0C090019">
      <w:start w:val="1"/>
      <w:numFmt w:val="lowerLetter"/>
      <w:lvlText w:val="%2."/>
      <w:lvlJc w:val="left"/>
      <w:pPr>
        <w:ind w:left="905" w:hanging="360"/>
      </w:pPr>
      <w:rPr>
        <w:rFonts w:hint="default"/>
      </w:rPr>
    </w:lvl>
    <w:lvl w:ilvl="2" w:tplc="0C090005">
      <w:start w:val="1"/>
      <w:numFmt w:val="bullet"/>
      <w:lvlText w:val=""/>
      <w:lvlJc w:val="left"/>
      <w:pPr>
        <w:ind w:left="1625" w:hanging="360"/>
      </w:pPr>
      <w:rPr>
        <w:rFonts w:ascii="Wingdings" w:hAnsi="Wingdings" w:hint="default"/>
      </w:rPr>
    </w:lvl>
    <w:lvl w:ilvl="3" w:tplc="0C090001" w:tentative="1">
      <w:start w:val="1"/>
      <w:numFmt w:val="bullet"/>
      <w:lvlText w:val=""/>
      <w:lvlJc w:val="left"/>
      <w:pPr>
        <w:ind w:left="2345" w:hanging="360"/>
      </w:pPr>
      <w:rPr>
        <w:rFonts w:ascii="Symbol" w:hAnsi="Symbol" w:hint="default"/>
      </w:rPr>
    </w:lvl>
    <w:lvl w:ilvl="4" w:tplc="0C090003" w:tentative="1">
      <w:start w:val="1"/>
      <w:numFmt w:val="bullet"/>
      <w:lvlText w:val="o"/>
      <w:lvlJc w:val="left"/>
      <w:pPr>
        <w:ind w:left="3065" w:hanging="360"/>
      </w:pPr>
      <w:rPr>
        <w:rFonts w:ascii="Courier New" w:hAnsi="Courier New" w:cs="Courier New" w:hint="default"/>
      </w:rPr>
    </w:lvl>
    <w:lvl w:ilvl="5" w:tplc="0C090005" w:tentative="1">
      <w:start w:val="1"/>
      <w:numFmt w:val="bullet"/>
      <w:lvlText w:val=""/>
      <w:lvlJc w:val="left"/>
      <w:pPr>
        <w:ind w:left="3785" w:hanging="360"/>
      </w:pPr>
      <w:rPr>
        <w:rFonts w:ascii="Wingdings" w:hAnsi="Wingdings" w:hint="default"/>
      </w:rPr>
    </w:lvl>
    <w:lvl w:ilvl="6" w:tplc="0C090001" w:tentative="1">
      <w:start w:val="1"/>
      <w:numFmt w:val="bullet"/>
      <w:lvlText w:val=""/>
      <w:lvlJc w:val="left"/>
      <w:pPr>
        <w:ind w:left="4505" w:hanging="360"/>
      </w:pPr>
      <w:rPr>
        <w:rFonts w:ascii="Symbol" w:hAnsi="Symbol" w:hint="default"/>
      </w:rPr>
    </w:lvl>
    <w:lvl w:ilvl="7" w:tplc="0C090003" w:tentative="1">
      <w:start w:val="1"/>
      <w:numFmt w:val="bullet"/>
      <w:lvlText w:val="o"/>
      <w:lvlJc w:val="left"/>
      <w:pPr>
        <w:ind w:left="5225" w:hanging="360"/>
      </w:pPr>
      <w:rPr>
        <w:rFonts w:ascii="Courier New" w:hAnsi="Courier New" w:cs="Courier New" w:hint="default"/>
      </w:rPr>
    </w:lvl>
    <w:lvl w:ilvl="8" w:tplc="0C090005" w:tentative="1">
      <w:start w:val="1"/>
      <w:numFmt w:val="bullet"/>
      <w:lvlText w:val=""/>
      <w:lvlJc w:val="left"/>
      <w:pPr>
        <w:ind w:left="5945" w:hanging="360"/>
      </w:pPr>
      <w:rPr>
        <w:rFonts w:ascii="Wingdings" w:hAnsi="Wingdings" w:hint="default"/>
      </w:rPr>
    </w:lvl>
  </w:abstractNum>
  <w:abstractNum w:abstractNumId="25" w15:restartNumberingAfterBreak="0">
    <w:nsid w:val="0D88409D"/>
    <w:multiLevelType w:val="hybridMultilevel"/>
    <w:tmpl w:val="C48247AE"/>
    <w:lvl w:ilvl="0" w:tplc="4D0E70F2">
      <w:start w:val="1"/>
      <w:numFmt w:val="bullet"/>
      <w:lvlText w:val=""/>
      <w:lvlJc w:val="left"/>
      <w:pPr>
        <w:ind w:left="661" w:hanging="361"/>
      </w:pPr>
      <w:rPr>
        <w:rFonts w:ascii="Symbol" w:hAnsi="Symbol" w:hint="default"/>
        <w:color w:val="005A77"/>
        <w:w w:val="100"/>
      </w:rPr>
    </w:lvl>
    <w:lvl w:ilvl="1" w:tplc="C8562E14">
      <w:numFmt w:val="bullet"/>
      <w:lvlText w:val=""/>
      <w:lvlJc w:val="left"/>
      <w:pPr>
        <w:ind w:left="1024" w:hanging="361"/>
      </w:pPr>
      <w:rPr>
        <w:rFonts w:ascii="Symbol" w:eastAsia="Symbol" w:hAnsi="Symbol" w:cs="Symbol" w:hint="default"/>
        <w:color w:val="14708E"/>
        <w:w w:val="100"/>
        <w:sz w:val="22"/>
        <w:szCs w:val="22"/>
      </w:rPr>
    </w:lvl>
    <w:lvl w:ilvl="2" w:tplc="2BD04494">
      <w:numFmt w:val="bullet"/>
      <w:lvlText w:val=""/>
      <w:lvlJc w:val="left"/>
      <w:pPr>
        <w:ind w:left="1387" w:hanging="358"/>
      </w:pPr>
      <w:rPr>
        <w:rFonts w:ascii="Symbol" w:eastAsia="Symbol" w:hAnsi="Symbol" w:cs="Symbol" w:hint="default"/>
        <w:color w:val="14708E"/>
        <w:w w:val="100"/>
        <w:sz w:val="22"/>
        <w:szCs w:val="22"/>
      </w:rPr>
    </w:lvl>
    <w:lvl w:ilvl="3" w:tplc="45E0F548">
      <w:numFmt w:val="bullet"/>
      <w:lvlText w:val="•"/>
      <w:lvlJc w:val="left"/>
      <w:pPr>
        <w:ind w:left="1440" w:hanging="358"/>
      </w:pPr>
      <w:rPr>
        <w:rFonts w:hint="default"/>
      </w:rPr>
    </w:lvl>
    <w:lvl w:ilvl="4" w:tplc="7A58F312">
      <w:numFmt w:val="bullet"/>
      <w:lvlText w:val="•"/>
      <w:lvlJc w:val="left"/>
      <w:pPr>
        <w:ind w:left="2568" w:hanging="358"/>
      </w:pPr>
      <w:rPr>
        <w:rFonts w:hint="default"/>
      </w:rPr>
    </w:lvl>
    <w:lvl w:ilvl="5" w:tplc="BC5EE376">
      <w:numFmt w:val="bullet"/>
      <w:lvlText w:val="•"/>
      <w:lvlJc w:val="left"/>
      <w:pPr>
        <w:ind w:left="3696" w:hanging="358"/>
      </w:pPr>
      <w:rPr>
        <w:rFonts w:hint="default"/>
      </w:rPr>
    </w:lvl>
    <w:lvl w:ilvl="6" w:tplc="CA9C42F4">
      <w:numFmt w:val="bullet"/>
      <w:lvlText w:val="•"/>
      <w:lvlJc w:val="left"/>
      <w:pPr>
        <w:ind w:left="4825" w:hanging="358"/>
      </w:pPr>
      <w:rPr>
        <w:rFonts w:hint="default"/>
      </w:rPr>
    </w:lvl>
    <w:lvl w:ilvl="7" w:tplc="0F4C5AF8">
      <w:numFmt w:val="bullet"/>
      <w:lvlText w:val="•"/>
      <w:lvlJc w:val="left"/>
      <w:pPr>
        <w:ind w:left="5953" w:hanging="358"/>
      </w:pPr>
      <w:rPr>
        <w:rFonts w:hint="default"/>
      </w:rPr>
    </w:lvl>
    <w:lvl w:ilvl="8" w:tplc="662876B8">
      <w:numFmt w:val="bullet"/>
      <w:lvlText w:val="•"/>
      <w:lvlJc w:val="left"/>
      <w:pPr>
        <w:ind w:left="7082" w:hanging="358"/>
      </w:pPr>
      <w:rPr>
        <w:rFonts w:hint="default"/>
      </w:rPr>
    </w:lvl>
  </w:abstractNum>
  <w:abstractNum w:abstractNumId="26"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05B24BE"/>
    <w:multiLevelType w:val="hybridMultilevel"/>
    <w:tmpl w:val="26F62A6E"/>
    <w:lvl w:ilvl="0" w:tplc="103E7990">
      <w:start w:val="1"/>
      <w:numFmt w:val="bullet"/>
      <w:pStyle w:val="Boxed2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11337985"/>
    <w:multiLevelType w:val="hybridMultilevel"/>
    <w:tmpl w:val="73ECA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3B2779"/>
    <w:multiLevelType w:val="hybridMultilevel"/>
    <w:tmpl w:val="11007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3960EEF"/>
    <w:multiLevelType w:val="hybridMultilevel"/>
    <w:tmpl w:val="41827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5906E0F"/>
    <w:multiLevelType w:val="multilevel"/>
    <w:tmpl w:val="0FBAB72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170A01A6"/>
    <w:multiLevelType w:val="multilevel"/>
    <w:tmpl w:val="BB4CE10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17EF6E99"/>
    <w:multiLevelType w:val="multilevel"/>
    <w:tmpl w:val="C5E44D2E"/>
    <w:numStyleLink w:val="Numbers"/>
  </w:abstractNum>
  <w:abstractNum w:abstractNumId="34" w15:restartNumberingAfterBreak="0">
    <w:nsid w:val="188676F9"/>
    <w:multiLevelType w:val="multilevel"/>
    <w:tmpl w:val="6ABABAD0"/>
    <w:lvl w:ilvl="0">
      <w:start w:val="1"/>
      <w:numFmt w:val="decimal"/>
      <w:lvlText w:val="%1"/>
      <w:lvlJc w:val="left"/>
      <w:pPr>
        <w:ind w:left="1024" w:hanging="721"/>
      </w:pPr>
      <w:rPr>
        <w:rFonts w:hint="default"/>
      </w:rPr>
    </w:lvl>
    <w:lvl w:ilvl="1">
      <w:start w:val="1"/>
      <w:numFmt w:val="decimal"/>
      <w:lvlText w:val="%1.%2"/>
      <w:lvlJc w:val="left"/>
      <w:pPr>
        <w:ind w:left="304" w:hanging="721"/>
      </w:pPr>
      <w:rPr>
        <w:rFonts w:ascii="Cambria" w:eastAsia="Cambria" w:hAnsi="Cambria" w:cs="Cambria" w:hint="default"/>
        <w:w w:val="100"/>
        <w:sz w:val="22"/>
        <w:szCs w:val="22"/>
      </w:rPr>
    </w:lvl>
    <w:lvl w:ilvl="2">
      <w:numFmt w:val="bullet"/>
      <w:lvlText w:val="•"/>
      <w:lvlJc w:val="left"/>
      <w:pPr>
        <w:ind w:left="1944" w:hanging="721"/>
      </w:pPr>
      <w:rPr>
        <w:rFonts w:hint="default"/>
      </w:rPr>
    </w:lvl>
    <w:lvl w:ilvl="3">
      <w:numFmt w:val="bullet"/>
      <w:lvlText w:val="•"/>
      <w:lvlJc w:val="left"/>
      <w:pPr>
        <w:ind w:left="2868" w:hanging="721"/>
      </w:pPr>
      <w:rPr>
        <w:rFonts w:hint="default"/>
      </w:rPr>
    </w:lvl>
    <w:lvl w:ilvl="4">
      <w:numFmt w:val="bullet"/>
      <w:lvlText w:val="•"/>
      <w:lvlJc w:val="left"/>
      <w:pPr>
        <w:ind w:left="3793" w:hanging="721"/>
      </w:pPr>
      <w:rPr>
        <w:rFonts w:hint="default"/>
      </w:rPr>
    </w:lvl>
    <w:lvl w:ilvl="5">
      <w:numFmt w:val="bullet"/>
      <w:lvlText w:val="•"/>
      <w:lvlJc w:val="left"/>
      <w:pPr>
        <w:ind w:left="4717" w:hanging="721"/>
      </w:pPr>
      <w:rPr>
        <w:rFonts w:hint="default"/>
      </w:rPr>
    </w:lvl>
    <w:lvl w:ilvl="6">
      <w:numFmt w:val="bullet"/>
      <w:lvlText w:val="•"/>
      <w:lvlJc w:val="left"/>
      <w:pPr>
        <w:ind w:left="5641" w:hanging="721"/>
      </w:pPr>
      <w:rPr>
        <w:rFonts w:hint="default"/>
      </w:rPr>
    </w:lvl>
    <w:lvl w:ilvl="7">
      <w:numFmt w:val="bullet"/>
      <w:lvlText w:val="•"/>
      <w:lvlJc w:val="left"/>
      <w:pPr>
        <w:ind w:left="6566" w:hanging="721"/>
      </w:pPr>
      <w:rPr>
        <w:rFonts w:hint="default"/>
      </w:rPr>
    </w:lvl>
    <w:lvl w:ilvl="8">
      <w:numFmt w:val="bullet"/>
      <w:lvlText w:val="•"/>
      <w:lvlJc w:val="left"/>
      <w:pPr>
        <w:ind w:left="7490" w:hanging="721"/>
      </w:pPr>
      <w:rPr>
        <w:rFonts w:hint="default"/>
      </w:rPr>
    </w:lvl>
  </w:abstractNum>
  <w:abstractNum w:abstractNumId="35" w15:restartNumberingAfterBreak="0">
    <w:nsid w:val="18CB60FA"/>
    <w:multiLevelType w:val="hybridMultilevel"/>
    <w:tmpl w:val="2872155C"/>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36" w15:restartNumberingAfterBreak="0">
    <w:nsid w:val="1AAA2B37"/>
    <w:multiLevelType w:val="hybridMultilevel"/>
    <w:tmpl w:val="25AC9DF4"/>
    <w:lvl w:ilvl="0" w:tplc="0C090001">
      <w:start w:val="1"/>
      <w:numFmt w:val="bullet"/>
      <w:lvlText w:val=""/>
      <w:lvlJc w:val="left"/>
      <w:pPr>
        <w:ind w:left="4647" w:hanging="360"/>
      </w:pPr>
      <w:rPr>
        <w:rFonts w:ascii="Symbol" w:hAnsi="Symbol" w:hint="default"/>
      </w:rPr>
    </w:lvl>
    <w:lvl w:ilvl="1" w:tplc="0C090003">
      <w:start w:val="1"/>
      <w:numFmt w:val="bullet"/>
      <w:lvlText w:val="o"/>
      <w:lvlJc w:val="left"/>
      <w:pPr>
        <w:ind w:left="5367" w:hanging="360"/>
      </w:pPr>
      <w:rPr>
        <w:rFonts w:ascii="Courier New" w:hAnsi="Courier New" w:cs="Courier New" w:hint="default"/>
      </w:rPr>
    </w:lvl>
    <w:lvl w:ilvl="2" w:tplc="0C090005" w:tentative="1">
      <w:start w:val="1"/>
      <w:numFmt w:val="bullet"/>
      <w:lvlText w:val=""/>
      <w:lvlJc w:val="left"/>
      <w:pPr>
        <w:ind w:left="6087" w:hanging="360"/>
      </w:pPr>
      <w:rPr>
        <w:rFonts w:ascii="Wingdings" w:hAnsi="Wingdings" w:hint="default"/>
      </w:rPr>
    </w:lvl>
    <w:lvl w:ilvl="3" w:tplc="0C090001" w:tentative="1">
      <w:start w:val="1"/>
      <w:numFmt w:val="bullet"/>
      <w:lvlText w:val=""/>
      <w:lvlJc w:val="left"/>
      <w:pPr>
        <w:ind w:left="6807" w:hanging="360"/>
      </w:pPr>
      <w:rPr>
        <w:rFonts w:ascii="Symbol" w:hAnsi="Symbol" w:hint="default"/>
      </w:rPr>
    </w:lvl>
    <w:lvl w:ilvl="4" w:tplc="0C090003" w:tentative="1">
      <w:start w:val="1"/>
      <w:numFmt w:val="bullet"/>
      <w:lvlText w:val="o"/>
      <w:lvlJc w:val="left"/>
      <w:pPr>
        <w:ind w:left="7527" w:hanging="360"/>
      </w:pPr>
      <w:rPr>
        <w:rFonts w:ascii="Courier New" w:hAnsi="Courier New" w:cs="Courier New" w:hint="default"/>
      </w:rPr>
    </w:lvl>
    <w:lvl w:ilvl="5" w:tplc="0C090005" w:tentative="1">
      <w:start w:val="1"/>
      <w:numFmt w:val="bullet"/>
      <w:lvlText w:val=""/>
      <w:lvlJc w:val="left"/>
      <w:pPr>
        <w:ind w:left="8247" w:hanging="360"/>
      </w:pPr>
      <w:rPr>
        <w:rFonts w:ascii="Wingdings" w:hAnsi="Wingdings" w:hint="default"/>
      </w:rPr>
    </w:lvl>
    <w:lvl w:ilvl="6" w:tplc="0C090001" w:tentative="1">
      <w:start w:val="1"/>
      <w:numFmt w:val="bullet"/>
      <w:lvlText w:val=""/>
      <w:lvlJc w:val="left"/>
      <w:pPr>
        <w:ind w:left="8967" w:hanging="360"/>
      </w:pPr>
      <w:rPr>
        <w:rFonts w:ascii="Symbol" w:hAnsi="Symbol" w:hint="default"/>
      </w:rPr>
    </w:lvl>
    <w:lvl w:ilvl="7" w:tplc="0C090003" w:tentative="1">
      <w:start w:val="1"/>
      <w:numFmt w:val="bullet"/>
      <w:lvlText w:val="o"/>
      <w:lvlJc w:val="left"/>
      <w:pPr>
        <w:ind w:left="9687" w:hanging="360"/>
      </w:pPr>
      <w:rPr>
        <w:rFonts w:ascii="Courier New" w:hAnsi="Courier New" w:cs="Courier New" w:hint="default"/>
      </w:rPr>
    </w:lvl>
    <w:lvl w:ilvl="8" w:tplc="0C090005" w:tentative="1">
      <w:start w:val="1"/>
      <w:numFmt w:val="bullet"/>
      <w:lvlText w:val=""/>
      <w:lvlJc w:val="left"/>
      <w:pPr>
        <w:ind w:left="10407" w:hanging="360"/>
      </w:pPr>
      <w:rPr>
        <w:rFonts w:ascii="Wingdings" w:hAnsi="Wingdings" w:hint="default"/>
      </w:rPr>
    </w:lvl>
  </w:abstractNum>
  <w:abstractNum w:abstractNumId="37" w15:restartNumberingAfterBreak="0">
    <w:nsid w:val="1CEC323F"/>
    <w:multiLevelType w:val="hybridMultilevel"/>
    <w:tmpl w:val="AE6C1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EC350DE"/>
    <w:multiLevelType w:val="multilevel"/>
    <w:tmpl w:val="887C7146"/>
    <w:lvl w:ilvl="0">
      <w:start w:val="1"/>
      <w:numFmt w:val="decimal"/>
      <w:pStyle w:val="OutlineNumbered1"/>
      <w:lvlText w:val="%1."/>
      <w:lvlJc w:val="left"/>
      <w:pPr>
        <w:tabs>
          <w:tab w:val="num" w:pos="425"/>
        </w:tabs>
        <w:ind w:left="425" w:hanging="425"/>
      </w:pPr>
    </w:lvl>
    <w:lvl w:ilvl="1">
      <w:start w:val="1"/>
      <w:numFmt w:val="decimal"/>
      <w:pStyle w:val="OutlineNumbered2"/>
      <w:lvlText w:val="%1.%2."/>
      <w:lvlJc w:val="left"/>
      <w:pPr>
        <w:tabs>
          <w:tab w:val="num" w:pos="850"/>
        </w:tabs>
        <w:ind w:left="850" w:hanging="425"/>
      </w:pPr>
    </w:lvl>
    <w:lvl w:ilvl="2">
      <w:start w:val="1"/>
      <w:numFmt w:val="decimal"/>
      <w:pStyle w:val="OutlineNumbered3"/>
      <w:lvlText w:val="%1.%2.%3."/>
      <w:lvlJc w:val="left"/>
      <w:pPr>
        <w:tabs>
          <w:tab w:val="num" w:pos="1275"/>
        </w:tabs>
        <w:ind w:left="1275"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205643EC"/>
    <w:multiLevelType w:val="hybridMultilevel"/>
    <w:tmpl w:val="FE06DD08"/>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4558D75E">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0" w15:restartNumberingAfterBreak="0">
    <w:nsid w:val="230812EB"/>
    <w:multiLevelType w:val="hybridMultilevel"/>
    <w:tmpl w:val="D8BEA89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1" w15:restartNumberingAfterBreak="0">
    <w:nsid w:val="237743A4"/>
    <w:multiLevelType w:val="hybridMultilevel"/>
    <w:tmpl w:val="4AE245B2"/>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3C91B62"/>
    <w:multiLevelType w:val="hybridMultilevel"/>
    <w:tmpl w:val="7B5AC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4F87310"/>
    <w:multiLevelType w:val="hybridMultilevel"/>
    <w:tmpl w:val="C20E293E"/>
    <w:lvl w:ilvl="0" w:tplc="B2D046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6776BDC"/>
    <w:multiLevelType w:val="hybridMultilevel"/>
    <w:tmpl w:val="FCF637F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7A47565"/>
    <w:multiLevelType w:val="hybridMultilevel"/>
    <w:tmpl w:val="AB0A4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94214C9"/>
    <w:multiLevelType w:val="multilevel"/>
    <w:tmpl w:val="15BC10E0"/>
    <w:styleLink w:val="Bullets"/>
    <w:lvl w:ilvl="0">
      <w:start w:val="1"/>
      <w:numFmt w:val="bullet"/>
      <w:lvlText w:val="•"/>
      <w:lvlJc w:val="left"/>
      <w:pPr>
        <w:tabs>
          <w:tab w:val="num" w:pos="284"/>
        </w:tabs>
        <w:ind w:left="284" w:hanging="284"/>
      </w:pPr>
      <w:rPr>
        <w:rFonts w:ascii="Cambria" w:hAnsi="Cambria" w:hint="default"/>
        <w:color w:val="5BC6E8"/>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2B8246E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B9B159F"/>
    <w:multiLevelType w:val="multilevel"/>
    <w:tmpl w:val="82BCD7F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529"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2DC803A7"/>
    <w:multiLevelType w:val="hybridMultilevel"/>
    <w:tmpl w:val="81284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DFE327B"/>
    <w:multiLevelType w:val="hybridMultilevel"/>
    <w:tmpl w:val="4F88A1B8"/>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E25035F"/>
    <w:multiLevelType w:val="hybridMultilevel"/>
    <w:tmpl w:val="E654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E647757"/>
    <w:multiLevelType w:val="hybridMultilevel"/>
    <w:tmpl w:val="44FC0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F406BB9"/>
    <w:multiLevelType w:val="hybridMultilevel"/>
    <w:tmpl w:val="CCAC7BAC"/>
    <w:lvl w:ilvl="0" w:tplc="D82A5460">
      <w:start w:val="1"/>
      <w:numFmt w:val="bullet"/>
      <w:pStyle w:val="Reports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F440B3C"/>
    <w:multiLevelType w:val="multilevel"/>
    <w:tmpl w:val="878C6CD0"/>
    <w:lvl w:ilvl="0">
      <w:start w:val="1"/>
      <w:numFmt w:val="decimal"/>
      <w:lvlText w:val="%1."/>
      <w:lvlJc w:val="left"/>
      <w:pPr>
        <w:ind w:left="720" w:hanging="720"/>
      </w:pPr>
      <w:rPr>
        <w:rFonts w:hint="default"/>
        <w:color w:val="005A77"/>
        <w:sz w:val="48"/>
        <w:szCs w:val="48"/>
      </w:rPr>
    </w:lvl>
    <w:lvl w:ilvl="1">
      <w:start w:val="1"/>
      <w:numFmt w:val="decimal"/>
      <w:isLgl/>
      <w:lvlText w:val="%1.%2"/>
      <w:lvlJc w:val="left"/>
      <w:pPr>
        <w:ind w:left="9226" w:hanging="720"/>
      </w:pPr>
      <w:rPr>
        <w:rFonts w:hint="default"/>
        <w:sz w:val="36"/>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56" w15:restartNumberingAfterBreak="0">
    <w:nsid w:val="2F85342A"/>
    <w:multiLevelType w:val="hybridMultilevel"/>
    <w:tmpl w:val="E6D88E10"/>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00569AE"/>
    <w:multiLevelType w:val="multilevel"/>
    <w:tmpl w:val="93D4D7E8"/>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8" w15:restartNumberingAfterBreak="0">
    <w:nsid w:val="3058571A"/>
    <w:multiLevelType w:val="hybridMultilevel"/>
    <w:tmpl w:val="7EB08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0CF259A"/>
    <w:multiLevelType w:val="hybridMultilevel"/>
    <w:tmpl w:val="88DC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1C51D87"/>
    <w:multiLevelType w:val="hybridMultilevel"/>
    <w:tmpl w:val="11A08FB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6092995"/>
    <w:multiLevelType w:val="hybridMultilevel"/>
    <w:tmpl w:val="2AC07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BCA7F5C"/>
    <w:multiLevelType w:val="multilevel"/>
    <w:tmpl w:val="80A851DA"/>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3" w15:restartNumberingAfterBreak="0">
    <w:nsid w:val="3F55604F"/>
    <w:multiLevelType w:val="multilevel"/>
    <w:tmpl w:val="D45C4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019337A"/>
    <w:multiLevelType w:val="multilevel"/>
    <w:tmpl w:val="C5E44D2E"/>
    <w:numStyleLink w:val="Numbers"/>
  </w:abstractNum>
  <w:abstractNum w:abstractNumId="65" w15:restartNumberingAfterBreak="0">
    <w:nsid w:val="40787B0F"/>
    <w:multiLevelType w:val="hybridMultilevel"/>
    <w:tmpl w:val="66F2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0E603B8"/>
    <w:multiLevelType w:val="hybridMultilevel"/>
    <w:tmpl w:val="D1A68E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2DD537E"/>
    <w:multiLevelType w:val="multilevel"/>
    <w:tmpl w:val="C5E44D2E"/>
    <w:numStyleLink w:val="Numbers"/>
  </w:abstractNum>
  <w:abstractNum w:abstractNumId="68" w15:restartNumberingAfterBreak="0">
    <w:nsid w:val="43FB49B7"/>
    <w:multiLevelType w:val="singleLevel"/>
    <w:tmpl w:val="9EDE5682"/>
    <w:name w:val="Alpha Paragraph"/>
    <w:lvl w:ilvl="0">
      <w:start w:val="1"/>
      <w:numFmt w:val="lowerLetter"/>
      <w:lvlRestart w:val="0"/>
      <w:lvlText w:val="(%1)"/>
      <w:lvlJc w:val="left"/>
      <w:pPr>
        <w:tabs>
          <w:tab w:val="num" w:pos="567"/>
        </w:tabs>
        <w:ind w:left="567" w:hanging="567"/>
      </w:pPr>
      <w:rPr>
        <w:b w:val="0"/>
        <w:i w:val="0"/>
        <w:color w:val="000000"/>
      </w:rPr>
    </w:lvl>
  </w:abstractNum>
  <w:abstractNum w:abstractNumId="69" w15:restartNumberingAfterBreak="0">
    <w:nsid w:val="44BE7FFB"/>
    <w:multiLevelType w:val="hybridMultilevel"/>
    <w:tmpl w:val="13061374"/>
    <w:lvl w:ilvl="0" w:tplc="F29022CA">
      <w:start w:val="1"/>
      <w:numFmt w:val="decimal"/>
      <w:lvlText w:val="%1."/>
      <w:lvlJc w:val="left"/>
      <w:pPr>
        <w:ind w:left="360" w:hanging="360"/>
      </w:pPr>
      <w:rPr>
        <w:rFonts w:ascii="Arial" w:hAnsi="Arial"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5121419"/>
    <w:multiLevelType w:val="hybridMultilevel"/>
    <w:tmpl w:val="7576973E"/>
    <w:lvl w:ilvl="0" w:tplc="0C090001">
      <w:start w:val="1"/>
      <w:numFmt w:val="bullet"/>
      <w:lvlText w:val=""/>
      <w:lvlJc w:val="left"/>
      <w:pPr>
        <w:ind w:left="816" w:hanging="360"/>
      </w:pPr>
      <w:rPr>
        <w:rFonts w:ascii="Symbol" w:hAnsi="Symbo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1" w15:restartNumberingAfterBreak="0">
    <w:nsid w:val="45545F34"/>
    <w:multiLevelType w:val="hybridMultilevel"/>
    <w:tmpl w:val="26CCC948"/>
    <w:lvl w:ilvl="0" w:tplc="7DF6C4AA">
      <w:start w:val="1"/>
      <w:numFmt w:val="bullet"/>
      <w:lvlText w:val="–"/>
      <w:lvlJc w:val="left"/>
      <w:pPr>
        <w:ind w:left="720" w:hanging="360"/>
      </w:pPr>
      <w:rPr>
        <w:rFonts w:ascii="Arial" w:eastAsia="Arial" w:hAnsi="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67072FB"/>
    <w:multiLevelType w:val="hybridMultilevel"/>
    <w:tmpl w:val="3BEC49B0"/>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47B36A90"/>
    <w:multiLevelType w:val="hybridMultilevel"/>
    <w:tmpl w:val="AC52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95F18D6"/>
    <w:multiLevelType w:val="hybridMultilevel"/>
    <w:tmpl w:val="EC5E7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9D52CA8"/>
    <w:multiLevelType w:val="hybridMultilevel"/>
    <w:tmpl w:val="A52C16DC"/>
    <w:lvl w:ilvl="0" w:tplc="7FAAFEE4">
      <w:start w:val="1"/>
      <w:numFmt w:val="bullet"/>
      <w:lvlText w:val="–"/>
      <w:lvlJc w:val="left"/>
      <w:pPr>
        <w:ind w:left="816" w:hanging="360"/>
      </w:pPr>
      <w:rPr>
        <w:rFonts w:ascii="Arial" w:eastAsia="Arial" w:hAnsi="Aria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6" w15:restartNumberingAfterBreak="0">
    <w:nsid w:val="4BCC1AB9"/>
    <w:multiLevelType w:val="hybridMultilevel"/>
    <w:tmpl w:val="B59A47C6"/>
    <w:lvl w:ilvl="0" w:tplc="FD0A00A8">
      <w:start w:val="3"/>
      <w:numFmt w:val="bullet"/>
      <w:lvlText w:val="-"/>
      <w:lvlJc w:val="left"/>
      <w:pPr>
        <w:ind w:left="1080" w:hanging="360"/>
      </w:pPr>
      <w:rPr>
        <w:rFonts w:ascii="Arial" w:eastAsia="Cambr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4C97124E"/>
    <w:multiLevelType w:val="hybridMultilevel"/>
    <w:tmpl w:val="AB964362"/>
    <w:lvl w:ilvl="0" w:tplc="84727AC4">
      <w:start w:val="1"/>
      <w:numFmt w:val="bullet"/>
      <w:pStyle w:val="TableText-Normal-DotPoin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78" w15:restartNumberingAfterBreak="0">
    <w:nsid w:val="4D27258B"/>
    <w:multiLevelType w:val="hybridMultilevel"/>
    <w:tmpl w:val="E6E45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DED393F"/>
    <w:multiLevelType w:val="hybridMultilevel"/>
    <w:tmpl w:val="760C43A6"/>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4F1523F7"/>
    <w:multiLevelType w:val="multilevel"/>
    <w:tmpl w:val="C5E44D2E"/>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81" w15:restartNumberingAfterBreak="0">
    <w:nsid w:val="52320A56"/>
    <w:multiLevelType w:val="hybridMultilevel"/>
    <w:tmpl w:val="4DF2B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2E60DCF"/>
    <w:multiLevelType w:val="multilevel"/>
    <w:tmpl w:val="FD5AFA9C"/>
    <w:lvl w:ilvl="0">
      <w:start w:val="1"/>
      <w:numFmt w:val="decimal"/>
      <w:lvlText w:val="%1."/>
      <w:lvlJc w:val="left"/>
      <w:pPr>
        <w:ind w:left="360" w:hanging="360"/>
      </w:pPr>
      <w:rPr>
        <w:rFonts w:hint="default"/>
        <w:color w:val="005A77"/>
        <w:sz w:val="48"/>
        <w:szCs w:val="4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3871F66"/>
    <w:multiLevelType w:val="hybridMultilevel"/>
    <w:tmpl w:val="88549D4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54BD1F72"/>
    <w:multiLevelType w:val="hybridMultilevel"/>
    <w:tmpl w:val="13E20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62105CF"/>
    <w:multiLevelType w:val="hybridMultilevel"/>
    <w:tmpl w:val="2EF273D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566A726B"/>
    <w:multiLevelType w:val="multilevel"/>
    <w:tmpl w:val="93D4D7E8"/>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7" w15:restartNumberingAfterBreak="0">
    <w:nsid w:val="56A0751B"/>
    <w:multiLevelType w:val="hybridMultilevel"/>
    <w:tmpl w:val="A574D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6BC2D5C"/>
    <w:multiLevelType w:val="hybridMultilevel"/>
    <w:tmpl w:val="C1928B5C"/>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8F87BB6"/>
    <w:multiLevelType w:val="hybridMultilevel"/>
    <w:tmpl w:val="808E2EEC"/>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1" w15:restartNumberingAfterBreak="0">
    <w:nsid w:val="59765A6B"/>
    <w:multiLevelType w:val="hybridMultilevel"/>
    <w:tmpl w:val="2E18B0B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92" w15:restartNumberingAfterBreak="0">
    <w:nsid w:val="5B29014B"/>
    <w:multiLevelType w:val="hybridMultilevel"/>
    <w:tmpl w:val="C1CADDE4"/>
    <w:lvl w:ilvl="0" w:tplc="5FBAD848">
      <w:start w:val="2"/>
      <w:numFmt w:val="upperLetter"/>
      <w:lvlText w:val="(%1)"/>
      <w:lvlJc w:val="left"/>
      <w:pPr>
        <w:ind w:left="1384" w:hanging="360"/>
      </w:pPr>
      <w:rPr>
        <w:rFonts w:hint="default"/>
      </w:rPr>
    </w:lvl>
    <w:lvl w:ilvl="1" w:tplc="0C090019" w:tentative="1">
      <w:start w:val="1"/>
      <w:numFmt w:val="lowerLetter"/>
      <w:lvlText w:val="%2."/>
      <w:lvlJc w:val="left"/>
      <w:pPr>
        <w:ind w:left="2104" w:hanging="360"/>
      </w:pPr>
    </w:lvl>
    <w:lvl w:ilvl="2" w:tplc="0C09001B" w:tentative="1">
      <w:start w:val="1"/>
      <w:numFmt w:val="lowerRoman"/>
      <w:lvlText w:val="%3."/>
      <w:lvlJc w:val="right"/>
      <w:pPr>
        <w:ind w:left="2824" w:hanging="180"/>
      </w:pPr>
    </w:lvl>
    <w:lvl w:ilvl="3" w:tplc="0C09000F" w:tentative="1">
      <w:start w:val="1"/>
      <w:numFmt w:val="decimal"/>
      <w:lvlText w:val="%4."/>
      <w:lvlJc w:val="left"/>
      <w:pPr>
        <w:ind w:left="3544" w:hanging="360"/>
      </w:pPr>
    </w:lvl>
    <w:lvl w:ilvl="4" w:tplc="0C090019" w:tentative="1">
      <w:start w:val="1"/>
      <w:numFmt w:val="lowerLetter"/>
      <w:lvlText w:val="%5."/>
      <w:lvlJc w:val="left"/>
      <w:pPr>
        <w:ind w:left="4264" w:hanging="360"/>
      </w:pPr>
    </w:lvl>
    <w:lvl w:ilvl="5" w:tplc="0C09001B" w:tentative="1">
      <w:start w:val="1"/>
      <w:numFmt w:val="lowerRoman"/>
      <w:lvlText w:val="%6."/>
      <w:lvlJc w:val="right"/>
      <w:pPr>
        <w:ind w:left="4984" w:hanging="180"/>
      </w:pPr>
    </w:lvl>
    <w:lvl w:ilvl="6" w:tplc="0C09000F" w:tentative="1">
      <w:start w:val="1"/>
      <w:numFmt w:val="decimal"/>
      <w:lvlText w:val="%7."/>
      <w:lvlJc w:val="left"/>
      <w:pPr>
        <w:ind w:left="5704" w:hanging="360"/>
      </w:pPr>
    </w:lvl>
    <w:lvl w:ilvl="7" w:tplc="0C090019" w:tentative="1">
      <w:start w:val="1"/>
      <w:numFmt w:val="lowerLetter"/>
      <w:lvlText w:val="%8."/>
      <w:lvlJc w:val="left"/>
      <w:pPr>
        <w:ind w:left="6424" w:hanging="360"/>
      </w:pPr>
    </w:lvl>
    <w:lvl w:ilvl="8" w:tplc="0C09001B" w:tentative="1">
      <w:start w:val="1"/>
      <w:numFmt w:val="lowerRoman"/>
      <w:lvlText w:val="%9."/>
      <w:lvlJc w:val="right"/>
      <w:pPr>
        <w:ind w:left="7144" w:hanging="180"/>
      </w:pPr>
    </w:lvl>
  </w:abstractNum>
  <w:abstractNum w:abstractNumId="93" w15:restartNumberingAfterBreak="0">
    <w:nsid w:val="5BA053F2"/>
    <w:multiLevelType w:val="hybridMultilevel"/>
    <w:tmpl w:val="B3B46F80"/>
    <w:lvl w:ilvl="0" w:tplc="DD50C990">
      <w:start w:val="1"/>
      <w:numFmt w:val="bullet"/>
      <w:pStyle w:val="TableTex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BF51BB2"/>
    <w:multiLevelType w:val="hybridMultilevel"/>
    <w:tmpl w:val="AA3E79FA"/>
    <w:lvl w:ilvl="0" w:tplc="A04ABCAE">
      <w:start w:val="1"/>
      <w:numFmt w:val="bullet"/>
      <w:lvlText w:val=""/>
      <w:lvlJc w:val="left"/>
      <w:pPr>
        <w:ind w:left="720" w:hanging="360"/>
      </w:pPr>
      <w:rPr>
        <w:rFonts w:ascii="Wingdings" w:hAnsi="Wingdings" w:hint="default"/>
      </w:rPr>
    </w:lvl>
    <w:lvl w:ilvl="1" w:tplc="C7B62DB4">
      <w:start w:val="1"/>
      <w:numFmt w:val="bullet"/>
      <w:pStyle w:val="Bullet3"/>
      <w:lvlText w:val="–"/>
      <w:lvlJc w:val="left"/>
      <w:pPr>
        <w:ind w:left="1440" w:hanging="360"/>
      </w:pPr>
      <w:rPr>
        <w:rFonts w:ascii="Arial" w:eastAsia="Arial" w:hAnsi="Arial" w:hint="default"/>
        <w:w w:val="100"/>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6" w15:restartNumberingAfterBreak="0">
    <w:nsid w:val="5E6874D5"/>
    <w:multiLevelType w:val="hybridMultilevel"/>
    <w:tmpl w:val="4592749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5FB97BCA"/>
    <w:multiLevelType w:val="multilevel"/>
    <w:tmpl w:val="402AEC22"/>
    <w:lvl w:ilvl="0">
      <w:start w:val="1"/>
      <w:numFmt w:val="decimal"/>
      <w:lvlText w:val="%1."/>
      <w:lvlJc w:val="left"/>
      <w:pPr>
        <w:ind w:left="284" w:hanging="284"/>
      </w:pPr>
      <w:rPr>
        <w:rFonts w:hint="default"/>
      </w:rPr>
    </w:lvl>
    <w:lvl w:ilvl="1">
      <w:start w:val="1"/>
      <w:numFmt w:val="decimal"/>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8" w15:restartNumberingAfterBreak="0">
    <w:nsid w:val="64A43A37"/>
    <w:multiLevelType w:val="hybridMultilevel"/>
    <w:tmpl w:val="FD86AB96"/>
    <w:lvl w:ilvl="0" w:tplc="7FAAFEE4">
      <w:start w:val="1"/>
      <w:numFmt w:val="bullet"/>
      <w:lvlText w:val="–"/>
      <w:lvlJc w:val="left"/>
      <w:pPr>
        <w:ind w:left="816" w:hanging="360"/>
      </w:pPr>
      <w:rPr>
        <w:rFonts w:ascii="Arial" w:eastAsia="Arial" w:hAnsi="Aria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99" w15:restartNumberingAfterBreak="0">
    <w:nsid w:val="659302CF"/>
    <w:multiLevelType w:val="multilevel"/>
    <w:tmpl w:val="C5E44D2E"/>
    <w:numStyleLink w:val="Numbers"/>
  </w:abstractNum>
  <w:abstractNum w:abstractNumId="100" w15:restartNumberingAfterBreak="0">
    <w:nsid w:val="66AE754E"/>
    <w:multiLevelType w:val="hybridMultilevel"/>
    <w:tmpl w:val="AF665F9C"/>
    <w:lvl w:ilvl="0" w:tplc="6310D1F0">
      <w:start w:val="1"/>
      <w:numFmt w:val="bullet"/>
      <w:pStyle w:val="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6C610B0"/>
    <w:multiLevelType w:val="hybridMultilevel"/>
    <w:tmpl w:val="A3684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9D4805"/>
    <w:multiLevelType w:val="hybridMultilevel"/>
    <w:tmpl w:val="44304AD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03" w15:restartNumberingAfterBreak="0">
    <w:nsid w:val="688E5B45"/>
    <w:multiLevelType w:val="hybridMultilevel"/>
    <w:tmpl w:val="C7C21240"/>
    <w:lvl w:ilvl="0" w:tplc="5A980F64">
      <w:start w:val="1"/>
      <w:numFmt w:val="lowerLetter"/>
      <w:lvlText w:val="(%1)"/>
      <w:lvlJc w:val="left"/>
      <w:pPr>
        <w:ind w:left="456" w:hanging="360"/>
      </w:pPr>
      <w:rPr>
        <w:rFonts w:hint="default"/>
      </w:rPr>
    </w:lvl>
    <w:lvl w:ilvl="1" w:tplc="0C090019" w:tentative="1">
      <w:start w:val="1"/>
      <w:numFmt w:val="lowerLetter"/>
      <w:lvlText w:val="%2."/>
      <w:lvlJc w:val="left"/>
      <w:pPr>
        <w:ind w:left="1176" w:hanging="360"/>
      </w:pPr>
    </w:lvl>
    <w:lvl w:ilvl="2" w:tplc="0C09001B" w:tentative="1">
      <w:start w:val="1"/>
      <w:numFmt w:val="lowerRoman"/>
      <w:lvlText w:val="%3."/>
      <w:lvlJc w:val="right"/>
      <w:pPr>
        <w:ind w:left="1896" w:hanging="180"/>
      </w:pPr>
    </w:lvl>
    <w:lvl w:ilvl="3" w:tplc="0C09000F" w:tentative="1">
      <w:start w:val="1"/>
      <w:numFmt w:val="decimal"/>
      <w:lvlText w:val="%4."/>
      <w:lvlJc w:val="left"/>
      <w:pPr>
        <w:ind w:left="2616" w:hanging="360"/>
      </w:pPr>
    </w:lvl>
    <w:lvl w:ilvl="4" w:tplc="0C090019" w:tentative="1">
      <w:start w:val="1"/>
      <w:numFmt w:val="lowerLetter"/>
      <w:lvlText w:val="%5."/>
      <w:lvlJc w:val="left"/>
      <w:pPr>
        <w:ind w:left="3336" w:hanging="360"/>
      </w:pPr>
    </w:lvl>
    <w:lvl w:ilvl="5" w:tplc="0C09001B" w:tentative="1">
      <w:start w:val="1"/>
      <w:numFmt w:val="lowerRoman"/>
      <w:lvlText w:val="%6."/>
      <w:lvlJc w:val="right"/>
      <w:pPr>
        <w:ind w:left="4056" w:hanging="180"/>
      </w:pPr>
    </w:lvl>
    <w:lvl w:ilvl="6" w:tplc="0C09000F" w:tentative="1">
      <w:start w:val="1"/>
      <w:numFmt w:val="decimal"/>
      <w:lvlText w:val="%7."/>
      <w:lvlJc w:val="left"/>
      <w:pPr>
        <w:ind w:left="4776" w:hanging="360"/>
      </w:pPr>
    </w:lvl>
    <w:lvl w:ilvl="7" w:tplc="0C090019" w:tentative="1">
      <w:start w:val="1"/>
      <w:numFmt w:val="lowerLetter"/>
      <w:lvlText w:val="%8."/>
      <w:lvlJc w:val="left"/>
      <w:pPr>
        <w:ind w:left="5496" w:hanging="360"/>
      </w:pPr>
    </w:lvl>
    <w:lvl w:ilvl="8" w:tplc="0C09001B" w:tentative="1">
      <w:start w:val="1"/>
      <w:numFmt w:val="lowerRoman"/>
      <w:lvlText w:val="%9."/>
      <w:lvlJc w:val="right"/>
      <w:pPr>
        <w:ind w:left="6216" w:hanging="180"/>
      </w:pPr>
    </w:lvl>
  </w:abstractNum>
  <w:abstractNum w:abstractNumId="104" w15:restartNumberingAfterBreak="0">
    <w:nsid w:val="691B6B7E"/>
    <w:multiLevelType w:val="multilevel"/>
    <w:tmpl w:val="8D8CC79E"/>
    <w:lvl w:ilvl="0">
      <w:start w:val="1"/>
      <w:numFmt w:val="decimal"/>
      <w:lvlText w:val="%1."/>
      <w:lvlJc w:val="left"/>
      <w:pPr>
        <w:ind w:left="871" w:hanging="567"/>
      </w:pPr>
      <w:rPr>
        <w:rFonts w:ascii="Arial" w:eastAsia="Arial" w:hAnsi="Arial" w:cs="Arial" w:hint="default"/>
        <w:color w:val="005A77"/>
        <w:spacing w:val="-11"/>
        <w:w w:val="100"/>
        <w:sz w:val="48"/>
        <w:szCs w:val="48"/>
      </w:rPr>
    </w:lvl>
    <w:lvl w:ilvl="1">
      <w:start w:val="1"/>
      <w:numFmt w:val="decimal"/>
      <w:lvlText w:val="%1.%2"/>
      <w:lvlJc w:val="left"/>
      <w:pPr>
        <w:ind w:left="1041" w:hanging="737"/>
      </w:pPr>
      <w:rPr>
        <w:rFonts w:hint="default"/>
        <w:b/>
        <w:bCs/>
        <w:spacing w:val="-8"/>
        <w:w w:val="99"/>
      </w:rPr>
    </w:lvl>
    <w:lvl w:ilvl="2">
      <w:numFmt w:val="bullet"/>
      <w:lvlText w:val=""/>
      <w:lvlJc w:val="left"/>
      <w:pPr>
        <w:ind w:left="1024" w:hanging="737"/>
      </w:pPr>
      <w:rPr>
        <w:rFonts w:ascii="Symbol" w:eastAsia="Symbol" w:hAnsi="Symbol" w:cs="Symbol" w:hint="default"/>
        <w:w w:val="100"/>
        <w:sz w:val="22"/>
        <w:szCs w:val="22"/>
      </w:rPr>
    </w:lvl>
    <w:lvl w:ilvl="3">
      <w:numFmt w:val="bullet"/>
      <w:lvlText w:val="•"/>
      <w:lvlJc w:val="left"/>
      <w:pPr>
        <w:ind w:left="2077" w:hanging="737"/>
      </w:pPr>
      <w:rPr>
        <w:rFonts w:hint="default"/>
      </w:rPr>
    </w:lvl>
    <w:lvl w:ilvl="4">
      <w:numFmt w:val="bullet"/>
      <w:lvlText w:val="•"/>
      <w:lvlJc w:val="left"/>
      <w:pPr>
        <w:ind w:left="3114" w:hanging="737"/>
      </w:pPr>
      <w:rPr>
        <w:rFonts w:hint="default"/>
      </w:rPr>
    </w:lvl>
    <w:lvl w:ilvl="5">
      <w:numFmt w:val="bullet"/>
      <w:lvlText w:val="•"/>
      <w:lvlJc w:val="left"/>
      <w:pPr>
        <w:ind w:left="4152" w:hanging="737"/>
      </w:pPr>
      <w:rPr>
        <w:rFonts w:hint="default"/>
      </w:rPr>
    </w:lvl>
    <w:lvl w:ilvl="6">
      <w:numFmt w:val="bullet"/>
      <w:lvlText w:val="•"/>
      <w:lvlJc w:val="left"/>
      <w:pPr>
        <w:ind w:left="5189" w:hanging="737"/>
      </w:pPr>
      <w:rPr>
        <w:rFonts w:hint="default"/>
      </w:rPr>
    </w:lvl>
    <w:lvl w:ilvl="7">
      <w:numFmt w:val="bullet"/>
      <w:lvlText w:val="•"/>
      <w:lvlJc w:val="left"/>
      <w:pPr>
        <w:ind w:left="6227" w:hanging="737"/>
      </w:pPr>
      <w:rPr>
        <w:rFonts w:hint="default"/>
      </w:rPr>
    </w:lvl>
    <w:lvl w:ilvl="8">
      <w:numFmt w:val="bullet"/>
      <w:lvlText w:val="•"/>
      <w:lvlJc w:val="left"/>
      <w:pPr>
        <w:ind w:left="7264" w:hanging="737"/>
      </w:pPr>
      <w:rPr>
        <w:rFonts w:hint="default"/>
      </w:rPr>
    </w:lvl>
  </w:abstractNum>
  <w:abstractNum w:abstractNumId="105" w15:restartNumberingAfterBreak="0">
    <w:nsid w:val="6AAA3F72"/>
    <w:multiLevelType w:val="hybridMultilevel"/>
    <w:tmpl w:val="8A4C2324"/>
    <w:lvl w:ilvl="0" w:tplc="0C090001">
      <w:start w:val="1"/>
      <w:numFmt w:val="bullet"/>
      <w:lvlText w:val=""/>
      <w:lvlJc w:val="left"/>
      <w:pPr>
        <w:ind w:left="816" w:hanging="360"/>
      </w:pPr>
      <w:rPr>
        <w:rFonts w:ascii="Symbol" w:hAnsi="Symbo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06" w15:restartNumberingAfterBreak="0">
    <w:nsid w:val="6B167D3A"/>
    <w:multiLevelType w:val="hybridMultilevel"/>
    <w:tmpl w:val="E81E54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B875DD2"/>
    <w:multiLevelType w:val="hybridMultilevel"/>
    <w:tmpl w:val="05BC657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08" w15:restartNumberingAfterBreak="0">
    <w:nsid w:val="6C6A60AC"/>
    <w:multiLevelType w:val="hybridMultilevel"/>
    <w:tmpl w:val="C4CC81F4"/>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09" w15:restartNumberingAfterBreak="0">
    <w:nsid w:val="6D1879F6"/>
    <w:multiLevelType w:val="multilevel"/>
    <w:tmpl w:val="279E3C3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1FA5281"/>
    <w:multiLevelType w:val="multilevel"/>
    <w:tmpl w:val="52FE3B94"/>
    <w:lvl w:ilvl="0">
      <w:start w:val="1"/>
      <w:numFmt w:val="decimal"/>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C6E8"/>
      </w:rPr>
    </w:lvl>
    <w:lvl w:ilvl="6">
      <w:start w:val="1"/>
      <w:numFmt w:val="bullet"/>
      <w:lvlText w:val="•"/>
      <w:lvlJc w:val="left"/>
      <w:pPr>
        <w:tabs>
          <w:tab w:val="num" w:pos="437"/>
        </w:tabs>
        <w:ind w:left="437" w:hanging="171"/>
      </w:pPr>
      <w:rPr>
        <w:rFonts w:ascii="Cambria" w:hAnsi="Cambria" w:hint="default"/>
        <w:color w:val="5BC6E8"/>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1"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2" w15:restartNumberingAfterBreak="0">
    <w:nsid w:val="74A00188"/>
    <w:multiLevelType w:val="hybridMultilevel"/>
    <w:tmpl w:val="D3806354"/>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13" w15:restartNumberingAfterBreak="0">
    <w:nsid w:val="74CB6D6B"/>
    <w:multiLevelType w:val="hybridMultilevel"/>
    <w:tmpl w:val="EA4AA212"/>
    <w:lvl w:ilvl="0" w:tplc="3176DAFC">
      <w:start w:val="1"/>
      <w:numFmt w:val="decimal"/>
      <w:pStyle w:val="Numbered"/>
      <w:lvlText w:val="%1."/>
      <w:lvlJc w:val="left"/>
      <w:pPr>
        <w:ind w:left="360" w:hanging="360"/>
      </w:pPr>
      <w:rPr>
        <w:rFonts w:ascii="Arial" w:hAnsi="Arial"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5F05A6A"/>
    <w:multiLevelType w:val="hybridMultilevel"/>
    <w:tmpl w:val="E230CE60"/>
    <w:lvl w:ilvl="0" w:tplc="C9A2D15C">
      <w:start w:val="1"/>
      <w:numFmt w:val="lowerLetter"/>
      <w:pStyle w:val="LetteredList"/>
      <w:lvlText w:val="%1."/>
      <w:lvlJc w:val="left"/>
      <w:pPr>
        <w:ind w:left="717" w:hanging="360"/>
      </w:p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5" w15:restartNumberingAfterBreak="0">
    <w:nsid w:val="766959BF"/>
    <w:multiLevelType w:val="multilevel"/>
    <w:tmpl w:val="C5D27C34"/>
    <w:lvl w:ilvl="0">
      <w:start w:val="1"/>
      <w:numFmt w:val="decimal"/>
      <w:lvlText w:val="%1."/>
      <w:lvlJc w:val="left"/>
      <w:pPr>
        <w:tabs>
          <w:tab w:val="num" w:pos="567"/>
        </w:tabs>
        <w:ind w:left="567" w:hanging="567"/>
      </w:pPr>
      <w:rPr>
        <w:rFonts w:hint="default"/>
      </w:rPr>
    </w:lvl>
    <w:lvl w:ilvl="1">
      <w:start w:val="1"/>
      <w:numFmt w:val="decimal"/>
      <w:lvlText w:val="2.%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16" w15:restartNumberingAfterBreak="0">
    <w:nsid w:val="78924434"/>
    <w:multiLevelType w:val="hybridMultilevel"/>
    <w:tmpl w:val="0C5A4D2C"/>
    <w:lvl w:ilvl="0" w:tplc="0C09000F">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78CA3E2D"/>
    <w:multiLevelType w:val="hybridMultilevel"/>
    <w:tmpl w:val="8BE45342"/>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7A81725F"/>
    <w:multiLevelType w:val="hybridMultilevel"/>
    <w:tmpl w:val="D4B6D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B0F52C0"/>
    <w:multiLevelType w:val="hybridMultilevel"/>
    <w:tmpl w:val="92B8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F0A03D7"/>
    <w:multiLevelType w:val="hybridMultilevel"/>
    <w:tmpl w:val="0F9A025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1" w15:restartNumberingAfterBreak="0">
    <w:nsid w:val="7FDE363A"/>
    <w:multiLevelType w:val="hybridMultilevel"/>
    <w:tmpl w:val="335EEAC0"/>
    <w:lvl w:ilvl="0" w:tplc="5A980F64">
      <w:start w:val="1"/>
      <w:numFmt w:val="lowerLetter"/>
      <w:lvlText w:val="(%1)"/>
      <w:lvlJc w:val="left"/>
      <w:pPr>
        <w:ind w:left="816" w:hanging="360"/>
      </w:pPr>
      <w:rPr>
        <w:rFonts w:hint="default"/>
      </w:rPr>
    </w:lvl>
    <w:lvl w:ilvl="1" w:tplc="0C090019" w:tentative="1">
      <w:start w:val="1"/>
      <w:numFmt w:val="lowerLetter"/>
      <w:lvlText w:val="%2."/>
      <w:lvlJc w:val="lef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num w:numId="1">
    <w:abstractNumId w:val="111"/>
  </w:num>
  <w:num w:numId="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90"/>
  </w:num>
  <w:num w:numId="10">
    <w:abstractNumId w:val="9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80"/>
  </w:num>
  <w:num w:numId="22">
    <w:abstractNumId w:val="47"/>
  </w:num>
  <w:num w:numId="23">
    <w:abstractNumId w:val="110"/>
  </w:num>
  <w:num w:numId="24">
    <w:abstractNumId w:val="40"/>
  </w:num>
  <w:num w:numId="25">
    <w:abstractNumId w:val="22"/>
  </w:num>
  <w:num w:numId="26">
    <w:abstractNumId w:val="42"/>
  </w:num>
  <w:num w:numId="27">
    <w:abstractNumId w:val="103"/>
  </w:num>
  <w:num w:numId="28">
    <w:abstractNumId w:val="68"/>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4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50"/>
  </w:num>
  <w:num w:numId="44">
    <w:abstractNumId w:val="21"/>
  </w:num>
  <w:num w:numId="45">
    <w:abstractNumId w:val="58"/>
  </w:num>
  <w:num w:numId="46">
    <w:abstractNumId w:val="73"/>
  </w:num>
  <w:num w:numId="47">
    <w:abstractNumId w:val="45"/>
  </w:num>
  <w:num w:numId="48">
    <w:abstractNumId w:val="12"/>
  </w:num>
  <w:num w:numId="49">
    <w:abstractNumId w:val="10"/>
  </w:num>
  <w:num w:numId="50">
    <w:abstractNumId w:val="108"/>
  </w:num>
  <w:num w:numId="51">
    <w:abstractNumId w:val="104"/>
  </w:num>
  <w:num w:numId="52">
    <w:abstractNumId w:val="34"/>
  </w:num>
  <w:num w:numId="53">
    <w:abstractNumId w:val="92"/>
  </w:num>
  <w:num w:numId="54">
    <w:abstractNumId w:val="25"/>
  </w:num>
  <w:num w:numId="55">
    <w:abstractNumId w:val="52"/>
  </w:num>
  <w:num w:numId="56">
    <w:abstractNumId w:val="15"/>
  </w:num>
  <w:num w:numId="57">
    <w:abstractNumId w:val="81"/>
  </w:num>
  <w:num w:numId="58">
    <w:abstractNumId w:val="102"/>
  </w:num>
  <w:num w:numId="59">
    <w:abstractNumId w:val="18"/>
  </w:num>
  <w:num w:numId="60">
    <w:abstractNumId w:val="61"/>
  </w:num>
  <w:num w:numId="61">
    <w:abstractNumId w:val="118"/>
  </w:num>
  <w:num w:numId="62">
    <w:abstractNumId w:val="29"/>
  </w:num>
  <w:num w:numId="63">
    <w:abstractNumId w:val="109"/>
  </w:num>
  <w:num w:numId="64">
    <w:abstractNumId w:val="31"/>
  </w:num>
  <w:num w:numId="65">
    <w:abstractNumId w:val="101"/>
  </w:num>
  <w:num w:numId="66">
    <w:abstractNumId w:val="46"/>
  </w:num>
  <w:num w:numId="67">
    <w:abstractNumId w:val="71"/>
  </w:num>
  <w:num w:numId="68">
    <w:abstractNumId w:val="64"/>
  </w:num>
  <w:num w:numId="69">
    <w:abstractNumId w:val="67"/>
  </w:num>
  <w:num w:numId="70">
    <w:abstractNumId w:val="33"/>
  </w:num>
  <w:num w:numId="71">
    <w:abstractNumId w:val="99"/>
    <w:lvlOverride w:ilvl="1">
      <w:lvl w:ilvl="1">
        <w:start w:val="1"/>
        <w:numFmt w:val="decimal"/>
        <w:lvlText w:val="%1.%2"/>
        <w:lvlJc w:val="left"/>
        <w:pPr>
          <w:tabs>
            <w:tab w:val="num" w:pos="737"/>
          </w:tabs>
          <w:ind w:left="737" w:hanging="737"/>
        </w:pPr>
        <w:rPr>
          <w:rFonts w:hint="default"/>
        </w:rPr>
      </w:lvl>
    </w:lvlOverride>
  </w:num>
  <w:num w:numId="72">
    <w:abstractNumId w:val="63"/>
  </w:num>
  <w:num w:numId="73">
    <w:abstractNumId w:val="82"/>
  </w:num>
  <w:num w:numId="74">
    <w:abstractNumId w:val="115"/>
  </w:num>
  <w:num w:numId="75">
    <w:abstractNumId w:val="75"/>
  </w:num>
  <w:num w:numId="76">
    <w:abstractNumId w:val="98"/>
  </w:num>
  <w:num w:numId="77">
    <w:abstractNumId w:val="70"/>
  </w:num>
  <w:num w:numId="78">
    <w:abstractNumId w:val="105"/>
  </w:num>
  <w:num w:numId="79">
    <w:abstractNumId w:val="76"/>
  </w:num>
  <w:num w:numId="80">
    <w:abstractNumId w:val="76"/>
  </w:num>
  <w:num w:numId="81">
    <w:abstractNumId w:val="76"/>
  </w:num>
  <w:num w:numId="82">
    <w:abstractNumId w:val="76"/>
  </w:num>
  <w:num w:numId="83">
    <w:abstractNumId w:val="76"/>
  </w:num>
  <w:num w:numId="84">
    <w:abstractNumId w:val="76"/>
  </w:num>
  <w:num w:numId="85">
    <w:abstractNumId w:val="76"/>
  </w:num>
  <w:num w:numId="86">
    <w:abstractNumId w:val="76"/>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0"/>
  </w:num>
  <w:num w:numId="89">
    <w:abstractNumId w:val="97"/>
  </w:num>
  <w:num w:numId="90">
    <w:abstractNumId w:val="94"/>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4"/>
  </w:num>
  <w:num w:numId="105">
    <w:abstractNumId w:val="121"/>
  </w:num>
  <w:num w:numId="106">
    <w:abstractNumId w:val="39"/>
  </w:num>
  <w:num w:numId="107">
    <w:abstractNumId w:val="28"/>
  </w:num>
  <w:num w:numId="108">
    <w:abstractNumId w:val="82"/>
  </w:num>
  <w:num w:numId="109">
    <w:abstractNumId w:val="82"/>
  </w:num>
  <w:num w:numId="110">
    <w:abstractNumId w:val="36"/>
  </w:num>
  <w:num w:numId="111">
    <w:abstractNumId w:val="9"/>
  </w:num>
  <w:num w:numId="112">
    <w:abstractNumId w:val="120"/>
  </w:num>
  <w:num w:numId="113">
    <w:abstractNumId w:val="65"/>
  </w:num>
  <w:num w:numId="114">
    <w:abstractNumId w:val="19"/>
  </w:num>
  <w:num w:numId="115">
    <w:abstractNumId w:val="43"/>
  </w:num>
  <w:num w:numId="116">
    <w:abstractNumId w:val="43"/>
    <w:lvlOverride w:ilvl="0">
      <w:startOverride w:val="1"/>
    </w:lvlOverride>
  </w:num>
  <w:num w:numId="117">
    <w:abstractNumId w:val="82"/>
  </w:num>
  <w:num w:numId="118">
    <w:abstractNumId w:val="82"/>
  </w:num>
  <w:num w:numId="119">
    <w:abstractNumId w:val="9"/>
  </w:num>
  <w:num w:numId="120">
    <w:abstractNumId w:val="9"/>
  </w:num>
  <w:num w:numId="1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2"/>
  </w:num>
  <w:num w:numId="123">
    <w:abstractNumId w:val="82"/>
  </w:num>
  <w:num w:numId="124">
    <w:abstractNumId w:val="84"/>
  </w:num>
  <w:num w:numId="125">
    <w:abstractNumId w:val="55"/>
  </w:num>
  <w:num w:numId="126">
    <w:abstractNumId w:val="37"/>
  </w:num>
  <w:num w:numId="127">
    <w:abstractNumId w:val="17"/>
  </w:num>
  <w:num w:numId="128">
    <w:abstractNumId w:val="53"/>
  </w:num>
  <w:num w:numId="129">
    <w:abstractNumId w:val="106"/>
  </w:num>
  <w:num w:numId="130">
    <w:abstractNumId w:val="99"/>
  </w:num>
  <w:num w:numId="131">
    <w:abstractNumId w:val="99"/>
  </w:num>
  <w:num w:numId="132">
    <w:abstractNumId w:val="99"/>
  </w:num>
  <w:num w:numId="133">
    <w:abstractNumId w:val="99"/>
  </w:num>
  <w:num w:numId="134">
    <w:abstractNumId w:val="99"/>
  </w:num>
  <w:num w:numId="135">
    <w:abstractNumId w:val="99"/>
  </w:num>
  <w:num w:numId="136">
    <w:abstractNumId w:val="99"/>
  </w:num>
  <w:num w:numId="137">
    <w:abstractNumId w:val="99"/>
  </w:num>
  <w:num w:numId="138">
    <w:abstractNumId w:val="99"/>
  </w:num>
  <w:num w:numId="139">
    <w:abstractNumId w:val="99"/>
  </w:num>
  <w:num w:numId="140">
    <w:abstractNumId w:val="99"/>
  </w:num>
  <w:num w:numId="141">
    <w:abstractNumId w:val="99"/>
  </w:num>
  <w:num w:numId="142">
    <w:abstractNumId w:val="99"/>
  </w:num>
  <w:num w:numId="143">
    <w:abstractNumId w:val="99"/>
  </w:num>
  <w:num w:numId="144">
    <w:abstractNumId w:val="99"/>
  </w:num>
  <w:num w:numId="145">
    <w:abstractNumId w:val="99"/>
  </w:num>
  <w:num w:numId="146">
    <w:abstractNumId w:val="99"/>
  </w:num>
  <w:num w:numId="147">
    <w:abstractNumId w:val="99"/>
  </w:num>
  <w:num w:numId="148">
    <w:abstractNumId w:val="99"/>
  </w:num>
  <w:num w:numId="149">
    <w:abstractNumId w:val="99"/>
  </w:num>
  <w:num w:numId="150">
    <w:abstractNumId w:val="99"/>
  </w:num>
  <w:num w:numId="151">
    <w:abstractNumId w:val="99"/>
  </w:num>
  <w:num w:numId="152">
    <w:abstractNumId w:val="99"/>
  </w:num>
  <w:num w:numId="1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0"/>
  </w:num>
  <w:num w:numId="162">
    <w:abstractNumId w:val="16"/>
  </w:num>
  <w:num w:numId="163">
    <w:abstractNumId w:val="23"/>
  </w:num>
  <w:num w:numId="164">
    <w:abstractNumId w:val="112"/>
  </w:num>
  <w:num w:numId="165">
    <w:abstractNumId w:val="77"/>
  </w:num>
  <w:num w:numId="166">
    <w:abstractNumId w:val="66"/>
  </w:num>
  <w:num w:numId="167">
    <w:abstractNumId w:val="49"/>
  </w:num>
  <w:num w:numId="168">
    <w:abstractNumId w:val="49"/>
  </w:num>
  <w:num w:numId="169">
    <w:abstractNumId w:val="49"/>
  </w:num>
  <w:num w:numId="170">
    <w:abstractNumId w:val="49"/>
  </w:num>
  <w:num w:numId="171">
    <w:abstractNumId w:val="49"/>
  </w:num>
  <w:num w:numId="172">
    <w:abstractNumId w:val="49"/>
    <w:lvlOverride w:ilvl="1">
      <w:lvl w:ilvl="1">
        <w:start w:val="1"/>
        <w:numFmt w:val="decimal"/>
        <w:pStyle w:val="Heading2Numbered"/>
        <w:lvlText w:val="%1.%2"/>
        <w:lvlJc w:val="left"/>
        <w:pPr>
          <w:ind w:left="8506" w:hanging="567"/>
        </w:pPr>
        <w:rPr>
          <w:rFonts w:hint="default"/>
          <w:i w:val="0"/>
          <w:color w:val="auto"/>
        </w:rPr>
      </w:lvl>
    </w:lvlOverride>
  </w:num>
  <w:num w:numId="173">
    <w:abstractNumId w:val="49"/>
  </w:num>
  <w:num w:numId="174">
    <w:abstractNumId w:val="27"/>
  </w:num>
  <w:num w:numId="175">
    <w:abstractNumId w:val="97"/>
  </w:num>
  <w:num w:numId="176">
    <w:abstractNumId w:val="74"/>
  </w:num>
  <w:num w:numId="177">
    <w:abstractNumId w:val="93"/>
  </w:num>
  <w:num w:numId="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7"/>
  </w:num>
  <w:num w:numId="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
  </w:num>
  <w:num w:numId="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7"/>
  </w:num>
  <w:num w:numId="195">
    <w:abstractNumId w:val="9"/>
  </w:num>
  <w:num w:numId="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2"/>
  </w:num>
  <w:num w:numId="198">
    <w:abstractNumId w:val="86"/>
  </w:num>
  <w:num w:numId="199">
    <w:abstractNumId w:val="57"/>
  </w:num>
  <w:num w:numId="200">
    <w:abstractNumId w:val="11"/>
  </w:num>
  <w:num w:numId="201">
    <w:abstractNumId w:val="20"/>
  </w:num>
  <w:num w:numId="202">
    <w:abstractNumId w:val="62"/>
  </w:num>
  <w:num w:numId="203">
    <w:abstractNumId w:val="14"/>
  </w:num>
  <w:num w:numId="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6"/>
  </w:num>
  <w:num w:numId="206">
    <w:abstractNumId w:val="116"/>
  </w:num>
  <w:num w:numId="207">
    <w:abstractNumId w:val="116"/>
    <w:lvlOverride w:ilvl="0">
      <w:startOverride w:val="1"/>
    </w:lvlOverride>
  </w:num>
  <w:num w:numId="208">
    <w:abstractNumId w:val="116"/>
  </w:num>
  <w:num w:numId="209">
    <w:abstractNumId w:val="116"/>
  </w:num>
  <w:num w:numId="210">
    <w:abstractNumId w:val="116"/>
  </w:num>
  <w:num w:numId="211">
    <w:abstractNumId w:val="116"/>
  </w:num>
  <w:num w:numId="212">
    <w:abstractNumId w:val="116"/>
  </w:num>
  <w:num w:numId="213">
    <w:abstractNumId w:val="116"/>
  </w:num>
  <w:num w:numId="214">
    <w:abstractNumId w:val="116"/>
  </w:num>
  <w:num w:numId="215">
    <w:abstractNumId w:val="116"/>
  </w:num>
  <w:num w:numId="216">
    <w:abstractNumId w:val="116"/>
  </w:num>
  <w:num w:numId="217">
    <w:abstractNumId w:val="116"/>
    <w:lvlOverride w:ilvl="0">
      <w:startOverride w:val="1"/>
    </w:lvlOverride>
  </w:num>
  <w:num w:numId="218">
    <w:abstractNumId w:val="116"/>
  </w:num>
  <w:num w:numId="219">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20">
    <w:abstractNumId w:val="116"/>
    <w:lvlOverride w:ilvl="0">
      <w:startOverride w:val="1"/>
    </w:lvlOverride>
  </w:num>
  <w:num w:numId="221">
    <w:abstractNumId w:val="59"/>
  </w:num>
  <w:num w:numId="222">
    <w:abstractNumId w:val="35"/>
  </w:num>
  <w:num w:numId="223">
    <w:abstractNumId w:val="116"/>
  </w:num>
  <w:num w:numId="224">
    <w:abstractNumId w:val="78"/>
  </w:num>
  <w:num w:numId="225">
    <w:abstractNumId w:val="116"/>
  </w:num>
  <w:num w:numId="226">
    <w:abstractNumId w:val="116"/>
  </w:num>
  <w:num w:numId="227">
    <w:abstractNumId w:val="56"/>
  </w:num>
  <w:num w:numId="228">
    <w:abstractNumId w:val="9"/>
  </w:num>
  <w:num w:numId="229">
    <w:abstractNumId w:val="89"/>
  </w:num>
  <w:num w:numId="230">
    <w:abstractNumId w:val="60"/>
  </w:num>
  <w:num w:numId="231">
    <w:abstractNumId w:val="85"/>
  </w:num>
  <w:num w:numId="232">
    <w:abstractNumId w:val="96"/>
  </w:num>
  <w:num w:numId="233">
    <w:abstractNumId w:val="88"/>
  </w:num>
  <w:num w:numId="234">
    <w:abstractNumId w:val="41"/>
  </w:num>
  <w:num w:numId="235">
    <w:abstractNumId w:val="51"/>
  </w:num>
  <w:num w:numId="236">
    <w:abstractNumId w:val="44"/>
  </w:num>
  <w:num w:numId="237">
    <w:abstractNumId w:val="72"/>
  </w:num>
  <w:num w:numId="238">
    <w:abstractNumId w:val="117"/>
  </w:num>
  <w:num w:numId="239">
    <w:abstractNumId w:val="113"/>
  </w:num>
  <w:num w:numId="240">
    <w:abstractNumId w:val="79"/>
  </w:num>
  <w:num w:numId="241">
    <w:abstractNumId w:val="91"/>
  </w:num>
  <w:num w:numId="242">
    <w:abstractNumId w:val="119"/>
  </w:num>
  <w:num w:numId="243">
    <w:abstractNumId w:val="116"/>
    <w:lvlOverride w:ilvl="0">
      <w:startOverride w:val="1"/>
    </w:lvlOverride>
  </w:num>
  <w:num w:numId="244">
    <w:abstractNumId w:val="116"/>
    <w:lvlOverride w:ilvl="0">
      <w:startOverride w:val="1"/>
    </w:lvlOverride>
  </w:num>
  <w:num w:numId="245">
    <w:abstractNumId w:val="116"/>
    <w:lvlOverride w:ilvl="0">
      <w:startOverride w:val="1"/>
    </w:lvlOverride>
  </w:num>
  <w:num w:numId="246">
    <w:abstractNumId w:val="116"/>
    <w:lvlOverride w:ilvl="0">
      <w:startOverride w:val="1"/>
    </w:lvlOverride>
  </w:num>
  <w:num w:numId="247">
    <w:abstractNumId w:val="83"/>
  </w:num>
  <w:num w:numId="248">
    <w:abstractNumId w:val="114"/>
  </w:num>
  <w:num w:numId="249">
    <w:abstractNumId w:val="114"/>
    <w:lvlOverride w:ilvl="0">
      <w:startOverride w:val="1"/>
    </w:lvlOverride>
  </w:num>
  <w:num w:numId="250">
    <w:abstractNumId w:val="114"/>
    <w:lvlOverride w:ilvl="0">
      <w:startOverride w:val="1"/>
    </w:lvlOverride>
  </w:num>
  <w:num w:numId="251">
    <w:abstractNumId w:val="69"/>
  </w:num>
  <w:num w:numId="252">
    <w:abstractNumId w:val="113"/>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E09"/>
    <w:rsid w:val="00001EE6"/>
    <w:rsid w:val="000027EC"/>
    <w:rsid w:val="000041E1"/>
    <w:rsid w:val="000069A6"/>
    <w:rsid w:val="00007C7E"/>
    <w:rsid w:val="000103CA"/>
    <w:rsid w:val="00010501"/>
    <w:rsid w:val="000128B4"/>
    <w:rsid w:val="00014DCE"/>
    <w:rsid w:val="00015144"/>
    <w:rsid w:val="00015F15"/>
    <w:rsid w:val="00016E16"/>
    <w:rsid w:val="00020498"/>
    <w:rsid w:val="000213E3"/>
    <w:rsid w:val="0002365E"/>
    <w:rsid w:val="00024B8C"/>
    <w:rsid w:val="00025F88"/>
    <w:rsid w:val="00026044"/>
    <w:rsid w:val="00026975"/>
    <w:rsid w:val="0002782F"/>
    <w:rsid w:val="000305A5"/>
    <w:rsid w:val="00032260"/>
    <w:rsid w:val="0003349E"/>
    <w:rsid w:val="00033997"/>
    <w:rsid w:val="00033A88"/>
    <w:rsid w:val="00035D04"/>
    <w:rsid w:val="00040893"/>
    <w:rsid w:val="00040D3D"/>
    <w:rsid w:val="00042418"/>
    <w:rsid w:val="00044180"/>
    <w:rsid w:val="000444D2"/>
    <w:rsid w:val="000457F9"/>
    <w:rsid w:val="0004756E"/>
    <w:rsid w:val="00047731"/>
    <w:rsid w:val="00047DED"/>
    <w:rsid w:val="00052ECD"/>
    <w:rsid w:val="000544A6"/>
    <w:rsid w:val="000549E2"/>
    <w:rsid w:val="00054E4D"/>
    <w:rsid w:val="00055A39"/>
    <w:rsid w:val="00056CAE"/>
    <w:rsid w:val="00060073"/>
    <w:rsid w:val="000603C7"/>
    <w:rsid w:val="00063C83"/>
    <w:rsid w:val="000642A9"/>
    <w:rsid w:val="0006469E"/>
    <w:rsid w:val="00065820"/>
    <w:rsid w:val="000662C5"/>
    <w:rsid w:val="000675C0"/>
    <w:rsid w:val="000711B1"/>
    <w:rsid w:val="00071B5B"/>
    <w:rsid w:val="00071D4D"/>
    <w:rsid w:val="00071DD0"/>
    <w:rsid w:val="00072CE9"/>
    <w:rsid w:val="00073FB6"/>
    <w:rsid w:val="00074C68"/>
    <w:rsid w:val="0007756E"/>
    <w:rsid w:val="00077D03"/>
    <w:rsid w:val="000813D3"/>
    <w:rsid w:val="000829F4"/>
    <w:rsid w:val="00082DA2"/>
    <w:rsid w:val="00083627"/>
    <w:rsid w:val="000836CB"/>
    <w:rsid w:val="00083B3C"/>
    <w:rsid w:val="00084E2F"/>
    <w:rsid w:val="00085230"/>
    <w:rsid w:val="0008587A"/>
    <w:rsid w:val="00087771"/>
    <w:rsid w:val="00087818"/>
    <w:rsid w:val="00087A25"/>
    <w:rsid w:val="00087EE7"/>
    <w:rsid w:val="00094ED2"/>
    <w:rsid w:val="00095958"/>
    <w:rsid w:val="00095B8A"/>
    <w:rsid w:val="00097A05"/>
    <w:rsid w:val="000A0A1E"/>
    <w:rsid w:val="000A1BC8"/>
    <w:rsid w:val="000A2F6E"/>
    <w:rsid w:val="000A4B30"/>
    <w:rsid w:val="000A6A8B"/>
    <w:rsid w:val="000A72A5"/>
    <w:rsid w:val="000A77B9"/>
    <w:rsid w:val="000A7DEC"/>
    <w:rsid w:val="000B16FC"/>
    <w:rsid w:val="000B1B52"/>
    <w:rsid w:val="000B4CED"/>
    <w:rsid w:val="000B5B88"/>
    <w:rsid w:val="000B7C09"/>
    <w:rsid w:val="000C2A48"/>
    <w:rsid w:val="000C302A"/>
    <w:rsid w:val="000C33B6"/>
    <w:rsid w:val="000C3D1F"/>
    <w:rsid w:val="000C3D7C"/>
    <w:rsid w:val="000C42A6"/>
    <w:rsid w:val="000C5235"/>
    <w:rsid w:val="000C53A8"/>
    <w:rsid w:val="000C5F75"/>
    <w:rsid w:val="000C7A01"/>
    <w:rsid w:val="000D2A59"/>
    <w:rsid w:val="000D5628"/>
    <w:rsid w:val="000D5E51"/>
    <w:rsid w:val="000D60B1"/>
    <w:rsid w:val="000D7CBF"/>
    <w:rsid w:val="000E0572"/>
    <w:rsid w:val="000E3774"/>
    <w:rsid w:val="000E3A4B"/>
    <w:rsid w:val="000E692C"/>
    <w:rsid w:val="000E69EB"/>
    <w:rsid w:val="000E6D69"/>
    <w:rsid w:val="000E7D46"/>
    <w:rsid w:val="000F041B"/>
    <w:rsid w:val="000F0482"/>
    <w:rsid w:val="000F1A93"/>
    <w:rsid w:val="000F4DA7"/>
    <w:rsid w:val="000F58A2"/>
    <w:rsid w:val="000F5F46"/>
    <w:rsid w:val="000F626C"/>
    <w:rsid w:val="00102F5B"/>
    <w:rsid w:val="0010338E"/>
    <w:rsid w:val="00103C5C"/>
    <w:rsid w:val="00103DC7"/>
    <w:rsid w:val="00104E63"/>
    <w:rsid w:val="00105E8A"/>
    <w:rsid w:val="001106C6"/>
    <w:rsid w:val="001123F1"/>
    <w:rsid w:val="0011247C"/>
    <w:rsid w:val="00112EEE"/>
    <w:rsid w:val="00114108"/>
    <w:rsid w:val="001150D4"/>
    <w:rsid w:val="001160A7"/>
    <w:rsid w:val="00117EF6"/>
    <w:rsid w:val="0012169B"/>
    <w:rsid w:val="0012172E"/>
    <w:rsid w:val="0012362E"/>
    <w:rsid w:val="001236C7"/>
    <w:rsid w:val="001236FB"/>
    <w:rsid w:val="00130E2A"/>
    <w:rsid w:val="0013119E"/>
    <w:rsid w:val="001311DF"/>
    <w:rsid w:val="00132014"/>
    <w:rsid w:val="001321B8"/>
    <w:rsid w:val="00134D34"/>
    <w:rsid w:val="00136530"/>
    <w:rsid w:val="00136682"/>
    <w:rsid w:val="001377F0"/>
    <w:rsid w:val="00137BC2"/>
    <w:rsid w:val="001400C6"/>
    <w:rsid w:val="0014140F"/>
    <w:rsid w:val="00141972"/>
    <w:rsid w:val="00141D0F"/>
    <w:rsid w:val="00142276"/>
    <w:rsid w:val="001433B2"/>
    <w:rsid w:val="00145659"/>
    <w:rsid w:val="00145E47"/>
    <w:rsid w:val="00146531"/>
    <w:rsid w:val="0014717F"/>
    <w:rsid w:val="0014765A"/>
    <w:rsid w:val="00147C25"/>
    <w:rsid w:val="00150473"/>
    <w:rsid w:val="00151003"/>
    <w:rsid w:val="00151BE2"/>
    <w:rsid w:val="00153BB3"/>
    <w:rsid w:val="001541EA"/>
    <w:rsid w:val="001542D2"/>
    <w:rsid w:val="00154BA2"/>
    <w:rsid w:val="00154CB1"/>
    <w:rsid w:val="00155B83"/>
    <w:rsid w:val="00156C1B"/>
    <w:rsid w:val="00156F55"/>
    <w:rsid w:val="00157D1C"/>
    <w:rsid w:val="001607C5"/>
    <w:rsid w:val="00160815"/>
    <w:rsid w:val="00160EE4"/>
    <w:rsid w:val="001612A4"/>
    <w:rsid w:val="001614E3"/>
    <w:rsid w:val="001624AD"/>
    <w:rsid w:val="0016286B"/>
    <w:rsid w:val="00163095"/>
    <w:rsid w:val="001676A8"/>
    <w:rsid w:val="00171829"/>
    <w:rsid w:val="00171AAB"/>
    <w:rsid w:val="001728FF"/>
    <w:rsid w:val="0017331E"/>
    <w:rsid w:val="0017521A"/>
    <w:rsid w:val="001754FC"/>
    <w:rsid w:val="00175B01"/>
    <w:rsid w:val="00177909"/>
    <w:rsid w:val="0018067E"/>
    <w:rsid w:val="001807A9"/>
    <w:rsid w:val="00181598"/>
    <w:rsid w:val="001851B2"/>
    <w:rsid w:val="001923C9"/>
    <w:rsid w:val="001938CA"/>
    <w:rsid w:val="001943BB"/>
    <w:rsid w:val="00197B62"/>
    <w:rsid w:val="00197D34"/>
    <w:rsid w:val="001A163D"/>
    <w:rsid w:val="001A40A4"/>
    <w:rsid w:val="001A5C7F"/>
    <w:rsid w:val="001A6168"/>
    <w:rsid w:val="001A720C"/>
    <w:rsid w:val="001A73DB"/>
    <w:rsid w:val="001A7AC4"/>
    <w:rsid w:val="001B1408"/>
    <w:rsid w:val="001B22F4"/>
    <w:rsid w:val="001B2B8B"/>
    <w:rsid w:val="001C0165"/>
    <w:rsid w:val="001C095F"/>
    <w:rsid w:val="001C2FA8"/>
    <w:rsid w:val="001C3BD9"/>
    <w:rsid w:val="001C4CC8"/>
    <w:rsid w:val="001C70F1"/>
    <w:rsid w:val="001D4C61"/>
    <w:rsid w:val="001D5761"/>
    <w:rsid w:val="001D6AB0"/>
    <w:rsid w:val="001D738F"/>
    <w:rsid w:val="001D7B93"/>
    <w:rsid w:val="001D7EB4"/>
    <w:rsid w:val="001E00E8"/>
    <w:rsid w:val="001E1DC0"/>
    <w:rsid w:val="001E27E0"/>
    <w:rsid w:val="001E43CA"/>
    <w:rsid w:val="001E7187"/>
    <w:rsid w:val="001F0970"/>
    <w:rsid w:val="001F233D"/>
    <w:rsid w:val="001F2D02"/>
    <w:rsid w:val="001F2F2B"/>
    <w:rsid w:val="001F391D"/>
    <w:rsid w:val="001F494D"/>
    <w:rsid w:val="001F4D72"/>
    <w:rsid w:val="001F5996"/>
    <w:rsid w:val="002009CF"/>
    <w:rsid w:val="00200D7B"/>
    <w:rsid w:val="0020122A"/>
    <w:rsid w:val="00201EE4"/>
    <w:rsid w:val="00202406"/>
    <w:rsid w:val="00204269"/>
    <w:rsid w:val="00204768"/>
    <w:rsid w:val="002078B6"/>
    <w:rsid w:val="00211343"/>
    <w:rsid w:val="00214A17"/>
    <w:rsid w:val="00214B5F"/>
    <w:rsid w:val="002150D3"/>
    <w:rsid w:val="002177AC"/>
    <w:rsid w:val="002227A6"/>
    <w:rsid w:val="00222B0D"/>
    <w:rsid w:val="002231E7"/>
    <w:rsid w:val="00223229"/>
    <w:rsid w:val="00223B9A"/>
    <w:rsid w:val="00225D11"/>
    <w:rsid w:val="00226FCC"/>
    <w:rsid w:val="00230790"/>
    <w:rsid w:val="002311C5"/>
    <w:rsid w:val="00233EB4"/>
    <w:rsid w:val="00234EDC"/>
    <w:rsid w:val="00236189"/>
    <w:rsid w:val="002376FB"/>
    <w:rsid w:val="002406F9"/>
    <w:rsid w:val="002431FC"/>
    <w:rsid w:val="00243657"/>
    <w:rsid w:val="00250658"/>
    <w:rsid w:val="00250821"/>
    <w:rsid w:val="00251F2F"/>
    <w:rsid w:val="002528D0"/>
    <w:rsid w:val="00253410"/>
    <w:rsid w:val="0025530C"/>
    <w:rsid w:val="0025566E"/>
    <w:rsid w:val="00256B10"/>
    <w:rsid w:val="00256EFC"/>
    <w:rsid w:val="00261938"/>
    <w:rsid w:val="00261AB2"/>
    <w:rsid w:val="002659CC"/>
    <w:rsid w:val="002661D6"/>
    <w:rsid w:val="00270823"/>
    <w:rsid w:val="00271B87"/>
    <w:rsid w:val="00274252"/>
    <w:rsid w:val="002746C6"/>
    <w:rsid w:val="002754DF"/>
    <w:rsid w:val="00277260"/>
    <w:rsid w:val="002808B0"/>
    <w:rsid w:val="002810AF"/>
    <w:rsid w:val="00281E87"/>
    <w:rsid w:val="0028218C"/>
    <w:rsid w:val="00282468"/>
    <w:rsid w:val="00282DC6"/>
    <w:rsid w:val="00284C08"/>
    <w:rsid w:val="0028602A"/>
    <w:rsid w:val="002867F0"/>
    <w:rsid w:val="002872C3"/>
    <w:rsid w:val="00287835"/>
    <w:rsid w:val="0029449C"/>
    <w:rsid w:val="00295C79"/>
    <w:rsid w:val="002A130F"/>
    <w:rsid w:val="002A3BC2"/>
    <w:rsid w:val="002B152A"/>
    <w:rsid w:val="002B2DCA"/>
    <w:rsid w:val="002B4B9D"/>
    <w:rsid w:val="002B56EF"/>
    <w:rsid w:val="002C13A6"/>
    <w:rsid w:val="002C1779"/>
    <w:rsid w:val="002C1BC1"/>
    <w:rsid w:val="002C1E1B"/>
    <w:rsid w:val="002C1FEB"/>
    <w:rsid w:val="002C218A"/>
    <w:rsid w:val="002D0848"/>
    <w:rsid w:val="002D28C9"/>
    <w:rsid w:val="002D3120"/>
    <w:rsid w:val="002D6E6F"/>
    <w:rsid w:val="002D7CF6"/>
    <w:rsid w:val="002E1181"/>
    <w:rsid w:val="002E150F"/>
    <w:rsid w:val="002E3B59"/>
    <w:rsid w:val="002E5B5D"/>
    <w:rsid w:val="002E66B1"/>
    <w:rsid w:val="002E6799"/>
    <w:rsid w:val="002F060E"/>
    <w:rsid w:val="002F0879"/>
    <w:rsid w:val="002F0AF2"/>
    <w:rsid w:val="002F0DFA"/>
    <w:rsid w:val="002F164F"/>
    <w:rsid w:val="002F18F2"/>
    <w:rsid w:val="002F3094"/>
    <w:rsid w:val="002F5017"/>
    <w:rsid w:val="002F5F27"/>
    <w:rsid w:val="002F7BE9"/>
    <w:rsid w:val="00301144"/>
    <w:rsid w:val="00301442"/>
    <w:rsid w:val="0030235B"/>
    <w:rsid w:val="00302920"/>
    <w:rsid w:val="0030599E"/>
    <w:rsid w:val="003107BE"/>
    <w:rsid w:val="00311A41"/>
    <w:rsid w:val="00311B30"/>
    <w:rsid w:val="00311BE7"/>
    <w:rsid w:val="003148B7"/>
    <w:rsid w:val="00314AE9"/>
    <w:rsid w:val="003158C3"/>
    <w:rsid w:val="00320953"/>
    <w:rsid w:val="00320B05"/>
    <w:rsid w:val="00322115"/>
    <w:rsid w:val="00322224"/>
    <w:rsid w:val="00323D64"/>
    <w:rsid w:val="00323F53"/>
    <w:rsid w:val="003274CD"/>
    <w:rsid w:val="003276FB"/>
    <w:rsid w:val="00330E0D"/>
    <w:rsid w:val="003315E9"/>
    <w:rsid w:val="00334C6F"/>
    <w:rsid w:val="003367A8"/>
    <w:rsid w:val="003377DA"/>
    <w:rsid w:val="00337D61"/>
    <w:rsid w:val="00337E01"/>
    <w:rsid w:val="003416C7"/>
    <w:rsid w:val="00347499"/>
    <w:rsid w:val="00347B58"/>
    <w:rsid w:val="0035119D"/>
    <w:rsid w:val="00351B52"/>
    <w:rsid w:val="0035283E"/>
    <w:rsid w:val="00352DF4"/>
    <w:rsid w:val="00356C62"/>
    <w:rsid w:val="0035776D"/>
    <w:rsid w:val="00357E60"/>
    <w:rsid w:val="00357E6A"/>
    <w:rsid w:val="003606E0"/>
    <w:rsid w:val="00360968"/>
    <w:rsid w:val="003639AC"/>
    <w:rsid w:val="00365EEE"/>
    <w:rsid w:val="003666ED"/>
    <w:rsid w:val="00366A75"/>
    <w:rsid w:val="00371A04"/>
    <w:rsid w:val="003722B5"/>
    <w:rsid w:val="00374870"/>
    <w:rsid w:val="00374898"/>
    <w:rsid w:val="00375D68"/>
    <w:rsid w:val="00375DE7"/>
    <w:rsid w:val="003766B2"/>
    <w:rsid w:val="003779B0"/>
    <w:rsid w:val="00382E8F"/>
    <w:rsid w:val="003908FF"/>
    <w:rsid w:val="003911FC"/>
    <w:rsid w:val="00391B0E"/>
    <w:rsid w:val="00392344"/>
    <w:rsid w:val="00392DAF"/>
    <w:rsid w:val="0039310C"/>
    <w:rsid w:val="00393D6A"/>
    <w:rsid w:val="00396F99"/>
    <w:rsid w:val="003A289D"/>
    <w:rsid w:val="003A517F"/>
    <w:rsid w:val="003A7058"/>
    <w:rsid w:val="003A71C5"/>
    <w:rsid w:val="003B3079"/>
    <w:rsid w:val="003B3DEC"/>
    <w:rsid w:val="003B402B"/>
    <w:rsid w:val="003B4F12"/>
    <w:rsid w:val="003B779D"/>
    <w:rsid w:val="003B7D2A"/>
    <w:rsid w:val="003B7F30"/>
    <w:rsid w:val="003C0B9E"/>
    <w:rsid w:val="003C0E5E"/>
    <w:rsid w:val="003C1A4C"/>
    <w:rsid w:val="003C2572"/>
    <w:rsid w:val="003C2C71"/>
    <w:rsid w:val="003C2DB0"/>
    <w:rsid w:val="003C5A90"/>
    <w:rsid w:val="003C60DA"/>
    <w:rsid w:val="003C7591"/>
    <w:rsid w:val="003D070A"/>
    <w:rsid w:val="003D0E98"/>
    <w:rsid w:val="003D1B46"/>
    <w:rsid w:val="003D2E67"/>
    <w:rsid w:val="003D30D7"/>
    <w:rsid w:val="003D3E80"/>
    <w:rsid w:val="003D418D"/>
    <w:rsid w:val="003D5356"/>
    <w:rsid w:val="003D66F9"/>
    <w:rsid w:val="003D68EB"/>
    <w:rsid w:val="003D6BD8"/>
    <w:rsid w:val="003D755D"/>
    <w:rsid w:val="003E05CE"/>
    <w:rsid w:val="003E26AD"/>
    <w:rsid w:val="003E3C9D"/>
    <w:rsid w:val="003E3E2E"/>
    <w:rsid w:val="003E79EE"/>
    <w:rsid w:val="003F3356"/>
    <w:rsid w:val="003F48C3"/>
    <w:rsid w:val="003F5F22"/>
    <w:rsid w:val="003F7499"/>
    <w:rsid w:val="0040306D"/>
    <w:rsid w:val="00403A22"/>
    <w:rsid w:val="00403D7E"/>
    <w:rsid w:val="00404233"/>
    <w:rsid w:val="004052AF"/>
    <w:rsid w:val="004061B1"/>
    <w:rsid w:val="00406ADB"/>
    <w:rsid w:val="00407169"/>
    <w:rsid w:val="0042010D"/>
    <w:rsid w:val="0042016D"/>
    <w:rsid w:val="004215DD"/>
    <w:rsid w:val="00423F31"/>
    <w:rsid w:val="00425289"/>
    <w:rsid w:val="00426296"/>
    <w:rsid w:val="00426BA4"/>
    <w:rsid w:val="00427A89"/>
    <w:rsid w:val="00427E88"/>
    <w:rsid w:val="00430CF6"/>
    <w:rsid w:val="00431899"/>
    <w:rsid w:val="00433124"/>
    <w:rsid w:val="004405BD"/>
    <w:rsid w:val="00442152"/>
    <w:rsid w:val="0044337D"/>
    <w:rsid w:val="00443964"/>
    <w:rsid w:val="00444045"/>
    <w:rsid w:val="00444E8C"/>
    <w:rsid w:val="00446ACF"/>
    <w:rsid w:val="004471B8"/>
    <w:rsid w:val="00450725"/>
    <w:rsid w:val="00451474"/>
    <w:rsid w:val="0045486A"/>
    <w:rsid w:val="0045500F"/>
    <w:rsid w:val="0045663B"/>
    <w:rsid w:val="00460BBF"/>
    <w:rsid w:val="00461527"/>
    <w:rsid w:val="00466C28"/>
    <w:rsid w:val="004673FC"/>
    <w:rsid w:val="004712A9"/>
    <w:rsid w:val="0047193A"/>
    <w:rsid w:val="00472232"/>
    <w:rsid w:val="004742A0"/>
    <w:rsid w:val="00474FF6"/>
    <w:rsid w:val="00476156"/>
    <w:rsid w:val="004777A3"/>
    <w:rsid w:val="004778EA"/>
    <w:rsid w:val="004815F3"/>
    <w:rsid w:val="00483DBF"/>
    <w:rsid w:val="0048460A"/>
    <w:rsid w:val="00484694"/>
    <w:rsid w:val="00486804"/>
    <w:rsid w:val="00490069"/>
    <w:rsid w:val="0049098A"/>
    <w:rsid w:val="00491638"/>
    <w:rsid w:val="00492034"/>
    <w:rsid w:val="004932F4"/>
    <w:rsid w:val="00493460"/>
    <w:rsid w:val="00493D63"/>
    <w:rsid w:val="00493ED2"/>
    <w:rsid w:val="004944B2"/>
    <w:rsid w:val="00494D4E"/>
    <w:rsid w:val="0049533A"/>
    <w:rsid w:val="0049781E"/>
    <w:rsid w:val="004978B4"/>
    <w:rsid w:val="00497E40"/>
    <w:rsid w:val="004A024B"/>
    <w:rsid w:val="004A0734"/>
    <w:rsid w:val="004A170B"/>
    <w:rsid w:val="004A1BA0"/>
    <w:rsid w:val="004A42EE"/>
    <w:rsid w:val="004A5BAA"/>
    <w:rsid w:val="004B2C47"/>
    <w:rsid w:val="004B345F"/>
    <w:rsid w:val="004B3775"/>
    <w:rsid w:val="004B394C"/>
    <w:rsid w:val="004B3AF6"/>
    <w:rsid w:val="004B4224"/>
    <w:rsid w:val="004B5136"/>
    <w:rsid w:val="004B57AF"/>
    <w:rsid w:val="004B5F4F"/>
    <w:rsid w:val="004B7612"/>
    <w:rsid w:val="004B76F7"/>
    <w:rsid w:val="004B7A1B"/>
    <w:rsid w:val="004C0DE8"/>
    <w:rsid w:val="004C1925"/>
    <w:rsid w:val="004C1C21"/>
    <w:rsid w:val="004C1DA7"/>
    <w:rsid w:val="004C2A06"/>
    <w:rsid w:val="004C31B9"/>
    <w:rsid w:val="004C51BD"/>
    <w:rsid w:val="004C5851"/>
    <w:rsid w:val="004C5A64"/>
    <w:rsid w:val="004C77E7"/>
    <w:rsid w:val="004D0115"/>
    <w:rsid w:val="004D0F69"/>
    <w:rsid w:val="004D1A3B"/>
    <w:rsid w:val="004D3574"/>
    <w:rsid w:val="004D479A"/>
    <w:rsid w:val="004D4C93"/>
    <w:rsid w:val="004D64A6"/>
    <w:rsid w:val="004D682E"/>
    <w:rsid w:val="004D761E"/>
    <w:rsid w:val="004D77BD"/>
    <w:rsid w:val="004D7856"/>
    <w:rsid w:val="004D7EA2"/>
    <w:rsid w:val="004E058F"/>
    <w:rsid w:val="004E0AFF"/>
    <w:rsid w:val="004E0FFA"/>
    <w:rsid w:val="004E2865"/>
    <w:rsid w:val="004E29B4"/>
    <w:rsid w:val="004E3B87"/>
    <w:rsid w:val="004E3C6F"/>
    <w:rsid w:val="004E58F5"/>
    <w:rsid w:val="004E780E"/>
    <w:rsid w:val="004F3C32"/>
    <w:rsid w:val="0050273A"/>
    <w:rsid w:val="00507230"/>
    <w:rsid w:val="00510921"/>
    <w:rsid w:val="00510AD3"/>
    <w:rsid w:val="00511313"/>
    <w:rsid w:val="00511DF0"/>
    <w:rsid w:val="00512B1D"/>
    <w:rsid w:val="00513348"/>
    <w:rsid w:val="00515380"/>
    <w:rsid w:val="00515FA2"/>
    <w:rsid w:val="00522E47"/>
    <w:rsid w:val="0052694E"/>
    <w:rsid w:val="00527B86"/>
    <w:rsid w:val="00530060"/>
    <w:rsid w:val="00530565"/>
    <w:rsid w:val="00531849"/>
    <w:rsid w:val="00532C1F"/>
    <w:rsid w:val="00533B5D"/>
    <w:rsid w:val="00533BE8"/>
    <w:rsid w:val="005363D1"/>
    <w:rsid w:val="00537F2E"/>
    <w:rsid w:val="00540DCB"/>
    <w:rsid w:val="005411B7"/>
    <w:rsid w:val="00543B85"/>
    <w:rsid w:val="00545E5E"/>
    <w:rsid w:val="00546A92"/>
    <w:rsid w:val="00547503"/>
    <w:rsid w:val="0055235A"/>
    <w:rsid w:val="00552FA3"/>
    <w:rsid w:val="00553B02"/>
    <w:rsid w:val="00554601"/>
    <w:rsid w:val="0055527D"/>
    <w:rsid w:val="005554A4"/>
    <w:rsid w:val="00555C2A"/>
    <w:rsid w:val="0055671F"/>
    <w:rsid w:val="005570E8"/>
    <w:rsid w:val="00561307"/>
    <w:rsid w:val="00563146"/>
    <w:rsid w:val="00563621"/>
    <w:rsid w:val="0056640D"/>
    <w:rsid w:val="00566C02"/>
    <w:rsid w:val="00567D63"/>
    <w:rsid w:val="0057047B"/>
    <w:rsid w:val="00571333"/>
    <w:rsid w:val="00574BAF"/>
    <w:rsid w:val="00576566"/>
    <w:rsid w:val="00577C1F"/>
    <w:rsid w:val="00577D9C"/>
    <w:rsid w:val="00577EB6"/>
    <w:rsid w:val="0058087A"/>
    <w:rsid w:val="00580DAE"/>
    <w:rsid w:val="005815B0"/>
    <w:rsid w:val="005819F3"/>
    <w:rsid w:val="00582DF0"/>
    <w:rsid w:val="00583302"/>
    <w:rsid w:val="005836EB"/>
    <w:rsid w:val="0058705C"/>
    <w:rsid w:val="00587772"/>
    <w:rsid w:val="005904D2"/>
    <w:rsid w:val="00591FAF"/>
    <w:rsid w:val="00592E14"/>
    <w:rsid w:val="00593723"/>
    <w:rsid w:val="00593C5B"/>
    <w:rsid w:val="005942C9"/>
    <w:rsid w:val="0059544C"/>
    <w:rsid w:val="00595D6E"/>
    <w:rsid w:val="00595DB3"/>
    <w:rsid w:val="00596D2E"/>
    <w:rsid w:val="005970EA"/>
    <w:rsid w:val="005A0C9C"/>
    <w:rsid w:val="005A4099"/>
    <w:rsid w:val="005A4BDA"/>
    <w:rsid w:val="005A5513"/>
    <w:rsid w:val="005A6613"/>
    <w:rsid w:val="005B2724"/>
    <w:rsid w:val="005B2ECC"/>
    <w:rsid w:val="005B357F"/>
    <w:rsid w:val="005B4269"/>
    <w:rsid w:val="005B451C"/>
    <w:rsid w:val="005B7708"/>
    <w:rsid w:val="005C0A22"/>
    <w:rsid w:val="005C19B7"/>
    <w:rsid w:val="005C278D"/>
    <w:rsid w:val="005C37F0"/>
    <w:rsid w:val="005C3ABA"/>
    <w:rsid w:val="005C4A47"/>
    <w:rsid w:val="005C5D07"/>
    <w:rsid w:val="005C63D7"/>
    <w:rsid w:val="005C661E"/>
    <w:rsid w:val="005D28DC"/>
    <w:rsid w:val="005D2D36"/>
    <w:rsid w:val="005D2DD1"/>
    <w:rsid w:val="005D2FEF"/>
    <w:rsid w:val="005D362B"/>
    <w:rsid w:val="005D3E0C"/>
    <w:rsid w:val="005D464E"/>
    <w:rsid w:val="005D722E"/>
    <w:rsid w:val="005E1760"/>
    <w:rsid w:val="005E333F"/>
    <w:rsid w:val="005F01DF"/>
    <w:rsid w:val="005F1DA7"/>
    <w:rsid w:val="005F37B8"/>
    <w:rsid w:val="005F39A5"/>
    <w:rsid w:val="005F4D5C"/>
    <w:rsid w:val="005F517A"/>
    <w:rsid w:val="005F590D"/>
    <w:rsid w:val="005F5F11"/>
    <w:rsid w:val="005F6857"/>
    <w:rsid w:val="005F68B3"/>
    <w:rsid w:val="005F71A9"/>
    <w:rsid w:val="006037D8"/>
    <w:rsid w:val="00611E25"/>
    <w:rsid w:val="0061337C"/>
    <w:rsid w:val="006145BB"/>
    <w:rsid w:val="0061463D"/>
    <w:rsid w:val="00614F25"/>
    <w:rsid w:val="00616039"/>
    <w:rsid w:val="006203B3"/>
    <w:rsid w:val="0062189E"/>
    <w:rsid w:val="00622586"/>
    <w:rsid w:val="00622AE9"/>
    <w:rsid w:val="00622BEA"/>
    <w:rsid w:val="00623BA1"/>
    <w:rsid w:val="006246D4"/>
    <w:rsid w:val="00624CEB"/>
    <w:rsid w:val="00630312"/>
    <w:rsid w:val="00630976"/>
    <w:rsid w:val="00630B0C"/>
    <w:rsid w:val="006314AE"/>
    <w:rsid w:val="0063372C"/>
    <w:rsid w:val="006345B9"/>
    <w:rsid w:val="006346BC"/>
    <w:rsid w:val="00636475"/>
    <w:rsid w:val="00640374"/>
    <w:rsid w:val="00641438"/>
    <w:rsid w:val="00642D16"/>
    <w:rsid w:val="0064398E"/>
    <w:rsid w:val="006444C8"/>
    <w:rsid w:val="00646EC4"/>
    <w:rsid w:val="006518CB"/>
    <w:rsid w:val="0065254A"/>
    <w:rsid w:val="00653EF5"/>
    <w:rsid w:val="006541D7"/>
    <w:rsid w:val="00654D2B"/>
    <w:rsid w:val="00655600"/>
    <w:rsid w:val="00655A35"/>
    <w:rsid w:val="00656019"/>
    <w:rsid w:val="00656F68"/>
    <w:rsid w:val="00661C14"/>
    <w:rsid w:val="00662AFC"/>
    <w:rsid w:val="00662DDF"/>
    <w:rsid w:val="00663540"/>
    <w:rsid w:val="00663952"/>
    <w:rsid w:val="00663E18"/>
    <w:rsid w:val="006653B5"/>
    <w:rsid w:val="00665EAD"/>
    <w:rsid w:val="00666291"/>
    <w:rsid w:val="0066652A"/>
    <w:rsid w:val="006669B1"/>
    <w:rsid w:val="006700D4"/>
    <w:rsid w:val="006701CC"/>
    <w:rsid w:val="00670A50"/>
    <w:rsid w:val="006731DC"/>
    <w:rsid w:val="0067332D"/>
    <w:rsid w:val="00673397"/>
    <w:rsid w:val="0067390E"/>
    <w:rsid w:val="00673E2D"/>
    <w:rsid w:val="00674692"/>
    <w:rsid w:val="00674D12"/>
    <w:rsid w:val="00676137"/>
    <w:rsid w:val="006779D0"/>
    <w:rsid w:val="006807E7"/>
    <w:rsid w:val="00682167"/>
    <w:rsid w:val="00684C96"/>
    <w:rsid w:val="00692A3D"/>
    <w:rsid w:val="0069386D"/>
    <w:rsid w:val="00693DF4"/>
    <w:rsid w:val="00695332"/>
    <w:rsid w:val="0069646A"/>
    <w:rsid w:val="006A0E89"/>
    <w:rsid w:val="006A0F01"/>
    <w:rsid w:val="006A0F11"/>
    <w:rsid w:val="006A6D2C"/>
    <w:rsid w:val="006A7318"/>
    <w:rsid w:val="006B0628"/>
    <w:rsid w:val="006C0AD8"/>
    <w:rsid w:val="006C0AF2"/>
    <w:rsid w:val="006C2022"/>
    <w:rsid w:val="006C230C"/>
    <w:rsid w:val="006C2849"/>
    <w:rsid w:val="006C2F6D"/>
    <w:rsid w:val="006C381B"/>
    <w:rsid w:val="006C42AF"/>
    <w:rsid w:val="006C4DD1"/>
    <w:rsid w:val="006C6F91"/>
    <w:rsid w:val="006C7C60"/>
    <w:rsid w:val="006D021E"/>
    <w:rsid w:val="006D03F9"/>
    <w:rsid w:val="006D1908"/>
    <w:rsid w:val="006D328A"/>
    <w:rsid w:val="006D5B40"/>
    <w:rsid w:val="006E10D6"/>
    <w:rsid w:val="006E5A47"/>
    <w:rsid w:val="006E5DBC"/>
    <w:rsid w:val="006E7F29"/>
    <w:rsid w:val="006F1726"/>
    <w:rsid w:val="006F2C96"/>
    <w:rsid w:val="00700F9D"/>
    <w:rsid w:val="00701EA2"/>
    <w:rsid w:val="0070542A"/>
    <w:rsid w:val="00710BF8"/>
    <w:rsid w:val="00711D8E"/>
    <w:rsid w:val="00712672"/>
    <w:rsid w:val="00712BED"/>
    <w:rsid w:val="0071376E"/>
    <w:rsid w:val="00716285"/>
    <w:rsid w:val="007173BD"/>
    <w:rsid w:val="0072052F"/>
    <w:rsid w:val="00725104"/>
    <w:rsid w:val="0073176B"/>
    <w:rsid w:val="007322F2"/>
    <w:rsid w:val="007323D0"/>
    <w:rsid w:val="007346BE"/>
    <w:rsid w:val="00734E3F"/>
    <w:rsid w:val="00735F2B"/>
    <w:rsid w:val="00735FED"/>
    <w:rsid w:val="007361CC"/>
    <w:rsid w:val="00736985"/>
    <w:rsid w:val="00737100"/>
    <w:rsid w:val="00737A13"/>
    <w:rsid w:val="00737E0E"/>
    <w:rsid w:val="00740055"/>
    <w:rsid w:val="00740CBC"/>
    <w:rsid w:val="00741548"/>
    <w:rsid w:val="00743D79"/>
    <w:rsid w:val="0074521F"/>
    <w:rsid w:val="00745DB2"/>
    <w:rsid w:val="00746528"/>
    <w:rsid w:val="0074781B"/>
    <w:rsid w:val="0075140A"/>
    <w:rsid w:val="00752E10"/>
    <w:rsid w:val="00753D9B"/>
    <w:rsid w:val="00754464"/>
    <w:rsid w:val="00755929"/>
    <w:rsid w:val="00756077"/>
    <w:rsid w:val="00760733"/>
    <w:rsid w:val="00761FCC"/>
    <w:rsid w:val="00762555"/>
    <w:rsid w:val="00763D1C"/>
    <w:rsid w:val="007659E2"/>
    <w:rsid w:val="00766BCC"/>
    <w:rsid w:val="0076760E"/>
    <w:rsid w:val="00767AB3"/>
    <w:rsid w:val="00771356"/>
    <w:rsid w:val="0077177D"/>
    <w:rsid w:val="00771CD6"/>
    <w:rsid w:val="007720F6"/>
    <w:rsid w:val="0077213E"/>
    <w:rsid w:val="00774286"/>
    <w:rsid w:val="00775024"/>
    <w:rsid w:val="00775E9B"/>
    <w:rsid w:val="007760AA"/>
    <w:rsid w:val="00777EBD"/>
    <w:rsid w:val="00781345"/>
    <w:rsid w:val="00781BE3"/>
    <w:rsid w:val="00782273"/>
    <w:rsid w:val="00783F5B"/>
    <w:rsid w:val="00785DC4"/>
    <w:rsid w:val="00786186"/>
    <w:rsid w:val="007868A4"/>
    <w:rsid w:val="007904CF"/>
    <w:rsid w:val="00790698"/>
    <w:rsid w:val="00790A3A"/>
    <w:rsid w:val="0079164B"/>
    <w:rsid w:val="00792F21"/>
    <w:rsid w:val="00794E5E"/>
    <w:rsid w:val="00795B04"/>
    <w:rsid w:val="00795D3C"/>
    <w:rsid w:val="0079648C"/>
    <w:rsid w:val="0079651B"/>
    <w:rsid w:val="007A0E16"/>
    <w:rsid w:val="007A129A"/>
    <w:rsid w:val="007A3739"/>
    <w:rsid w:val="007A3CCD"/>
    <w:rsid w:val="007A4247"/>
    <w:rsid w:val="007A434B"/>
    <w:rsid w:val="007A6C51"/>
    <w:rsid w:val="007B068F"/>
    <w:rsid w:val="007B06AD"/>
    <w:rsid w:val="007B47FE"/>
    <w:rsid w:val="007B5115"/>
    <w:rsid w:val="007B5237"/>
    <w:rsid w:val="007B5CC5"/>
    <w:rsid w:val="007B5D59"/>
    <w:rsid w:val="007B5FC0"/>
    <w:rsid w:val="007B6200"/>
    <w:rsid w:val="007B6913"/>
    <w:rsid w:val="007B741E"/>
    <w:rsid w:val="007C010C"/>
    <w:rsid w:val="007C20B6"/>
    <w:rsid w:val="007C20EE"/>
    <w:rsid w:val="007C4ED3"/>
    <w:rsid w:val="007C61E8"/>
    <w:rsid w:val="007D004A"/>
    <w:rsid w:val="007D05E4"/>
    <w:rsid w:val="007D3E5D"/>
    <w:rsid w:val="007D50E1"/>
    <w:rsid w:val="007E6DB9"/>
    <w:rsid w:val="007E76AF"/>
    <w:rsid w:val="007F1248"/>
    <w:rsid w:val="007F1BC8"/>
    <w:rsid w:val="007F1DF5"/>
    <w:rsid w:val="007F2B5C"/>
    <w:rsid w:val="007F5204"/>
    <w:rsid w:val="00801B9F"/>
    <w:rsid w:val="00801CE1"/>
    <w:rsid w:val="00802A0B"/>
    <w:rsid w:val="00803275"/>
    <w:rsid w:val="008045E1"/>
    <w:rsid w:val="00804DDD"/>
    <w:rsid w:val="00805CFA"/>
    <w:rsid w:val="00811956"/>
    <w:rsid w:val="00811FCA"/>
    <w:rsid w:val="008121BB"/>
    <w:rsid w:val="00813E38"/>
    <w:rsid w:val="008169D6"/>
    <w:rsid w:val="00817D06"/>
    <w:rsid w:val="008208BA"/>
    <w:rsid w:val="0082115C"/>
    <w:rsid w:val="008216A3"/>
    <w:rsid w:val="00821C9C"/>
    <w:rsid w:val="0082221B"/>
    <w:rsid w:val="00822564"/>
    <w:rsid w:val="00823B27"/>
    <w:rsid w:val="0082509B"/>
    <w:rsid w:val="008263E3"/>
    <w:rsid w:val="00831618"/>
    <w:rsid w:val="008332C7"/>
    <w:rsid w:val="0083363A"/>
    <w:rsid w:val="00834A1A"/>
    <w:rsid w:val="00834A87"/>
    <w:rsid w:val="00834A9D"/>
    <w:rsid w:val="008368F2"/>
    <w:rsid w:val="008438C3"/>
    <w:rsid w:val="00843E61"/>
    <w:rsid w:val="00845790"/>
    <w:rsid w:val="00846B1F"/>
    <w:rsid w:val="00851548"/>
    <w:rsid w:val="0085208D"/>
    <w:rsid w:val="00854156"/>
    <w:rsid w:val="0085419F"/>
    <w:rsid w:val="008555BE"/>
    <w:rsid w:val="00857279"/>
    <w:rsid w:val="008579E7"/>
    <w:rsid w:val="0086054C"/>
    <w:rsid w:val="00862D17"/>
    <w:rsid w:val="00867A6D"/>
    <w:rsid w:val="00871510"/>
    <w:rsid w:val="008718A1"/>
    <w:rsid w:val="00872CB5"/>
    <w:rsid w:val="008731CA"/>
    <w:rsid w:val="00873FDC"/>
    <w:rsid w:val="00874F0F"/>
    <w:rsid w:val="00875911"/>
    <w:rsid w:val="00877B45"/>
    <w:rsid w:val="00880B3F"/>
    <w:rsid w:val="00881C1D"/>
    <w:rsid w:val="008833A2"/>
    <w:rsid w:val="00883E63"/>
    <w:rsid w:val="00884D97"/>
    <w:rsid w:val="00886B74"/>
    <w:rsid w:val="00886E58"/>
    <w:rsid w:val="00887163"/>
    <w:rsid w:val="00887A39"/>
    <w:rsid w:val="00890911"/>
    <w:rsid w:val="00890B06"/>
    <w:rsid w:val="00891079"/>
    <w:rsid w:val="008914EC"/>
    <w:rsid w:val="00891E65"/>
    <w:rsid w:val="008953C8"/>
    <w:rsid w:val="00895608"/>
    <w:rsid w:val="00895F99"/>
    <w:rsid w:val="00895FC3"/>
    <w:rsid w:val="00896E91"/>
    <w:rsid w:val="0089770B"/>
    <w:rsid w:val="008A3568"/>
    <w:rsid w:val="008A3667"/>
    <w:rsid w:val="008A41EF"/>
    <w:rsid w:val="008B029A"/>
    <w:rsid w:val="008B1699"/>
    <w:rsid w:val="008B35B8"/>
    <w:rsid w:val="008B4541"/>
    <w:rsid w:val="008B4F64"/>
    <w:rsid w:val="008B5A18"/>
    <w:rsid w:val="008B62C7"/>
    <w:rsid w:val="008B6420"/>
    <w:rsid w:val="008B7D5D"/>
    <w:rsid w:val="008C0022"/>
    <w:rsid w:val="008C1E50"/>
    <w:rsid w:val="008C3275"/>
    <w:rsid w:val="008C43E1"/>
    <w:rsid w:val="008C5565"/>
    <w:rsid w:val="008C5A23"/>
    <w:rsid w:val="008D0D17"/>
    <w:rsid w:val="008D0F6F"/>
    <w:rsid w:val="008D1BFA"/>
    <w:rsid w:val="008D4630"/>
    <w:rsid w:val="008D4A99"/>
    <w:rsid w:val="008D5596"/>
    <w:rsid w:val="008D5F47"/>
    <w:rsid w:val="008D7A22"/>
    <w:rsid w:val="008E4508"/>
    <w:rsid w:val="008E4D2C"/>
    <w:rsid w:val="008E58F2"/>
    <w:rsid w:val="008F24BD"/>
    <w:rsid w:val="008F2656"/>
    <w:rsid w:val="008F2BD5"/>
    <w:rsid w:val="008F2F7F"/>
    <w:rsid w:val="008F47C2"/>
    <w:rsid w:val="008F5359"/>
    <w:rsid w:val="008F5BD1"/>
    <w:rsid w:val="008F619E"/>
    <w:rsid w:val="008F700C"/>
    <w:rsid w:val="008F72CD"/>
    <w:rsid w:val="009018BA"/>
    <w:rsid w:val="0090309A"/>
    <w:rsid w:val="00905618"/>
    <w:rsid w:val="00905CB6"/>
    <w:rsid w:val="00905D4E"/>
    <w:rsid w:val="009064EE"/>
    <w:rsid w:val="0091039E"/>
    <w:rsid w:val="00911A11"/>
    <w:rsid w:val="0091496B"/>
    <w:rsid w:val="00914AD6"/>
    <w:rsid w:val="009161E7"/>
    <w:rsid w:val="00916499"/>
    <w:rsid w:val="00921A09"/>
    <w:rsid w:val="009231D1"/>
    <w:rsid w:val="00926782"/>
    <w:rsid w:val="00926CBF"/>
    <w:rsid w:val="009273B0"/>
    <w:rsid w:val="00927D41"/>
    <w:rsid w:val="00931F6A"/>
    <w:rsid w:val="0093476D"/>
    <w:rsid w:val="00934BCE"/>
    <w:rsid w:val="00935A98"/>
    <w:rsid w:val="0093683D"/>
    <w:rsid w:val="009379A4"/>
    <w:rsid w:val="009401F9"/>
    <w:rsid w:val="0094053F"/>
    <w:rsid w:val="009405D9"/>
    <w:rsid w:val="009421CE"/>
    <w:rsid w:val="009449F3"/>
    <w:rsid w:val="00945BF5"/>
    <w:rsid w:val="009526CA"/>
    <w:rsid w:val="00955700"/>
    <w:rsid w:val="00956EB6"/>
    <w:rsid w:val="00957051"/>
    <w:rsid w:val="00960812"/>
    <w:rsid w:val="009644B5"/>
    <w:rsid w:val="0096572D"/>
    <w:rsid w:val="00966796"/>
    <w:rsid w:val="00970608"/>
    <w:rsid w:val="00970E33"/>
    <w:rsid w:val="00975593"/>
    <w:rsid w:val="0098225D"/>
    <w:rsid w:val="00984C77"/>
    <w:rsid w:val="009861E5"/>
    <w:rsid w:val="00987052"/>
    <w:rsid w:val="00987CCA"/>
    <w:rsid w:val="00990255"/>
    <w:rsid w:val="0099049E"/>
    <w:rsid w:val="00991E6B"/>
    <w:rsid w:val="00991ECE"/>
    <w:rsid w:val="00993CA2"/>
    <w:rsid w:val="0099565E"/>
    <w:rsid w:val="00995AA1"/>
    <w:rsid w:val="009A0465"/>
    <w:rsid w:val="009A1DD2"/>
    <w:rsid w:val="009A2DA7"/>
    <w:rsid w:val="009A3603"/>
    <w:rsid w:val="009A62C4"/>
    <w:rsid w:val="009A6E92"/>
    <w:rsid w:val="009B02AB"/>
    <w:rsid w:val="009B0701"/>
    <w:rsid w:val="009B1F44"/>
    <w:rsid w:val="009B2AFD"/>
    <w:rsid w:val="009B2FA8"/>
    <w:rsid w:val="009B490C"/>
    <w:rsid w:val="009B4D3B"/>
    <w:rsid w:val="009B64EB"/>
    <w:rsid w:val="009C64F5"/>
    <w:rsid w:val="009C768D"/>
    <w:rsid w:val="009D01E8"/>
    <w:rsid w:val="009D132B"/>
    <w:rsid w:val="009D1835"/>
    <w:rsid w:val="009D1DC3"/>
    <w:rsid w:val="009D2D17"/>
    <w:rsid w:val="009D37D3"/>
    <w:rsid w:val="009D3DB3"/>
    <w:rsid w:val="009D4EB9"/>
    <w:rsid w:val="009D7407"/>
    <w:rsid w:val="009D779A"/>
    <w:rsid w:val="009E0866"/>
    <w:rsid w:val="009E1A07"/>
    <w:rsid w:val="009E379C"/>
    <w:rsid w:val="009E4002"/>
    <w:rsid w:val="009E6174"/>
    <w:rsid w:val="009F3C94"/>
    <w:rsid w:val="009F40CE"/>
    <w:rsid w:val="009F5489"/>
    <w:rsid w:val="009F7495"/>
    <w:rsid w:val="00A00C68"/>
    <w:rsid w:val="00A01305"/>
    <w:rsid w:val="00A01D1B"/>
    <w:rsid w:val="00A02164"/>
    <w:rsid w:val="00A024A8"/>
    <w:rsid w:val="00A02FF0"/>
    <w:rsid w:val="00A0360B"/>
    <w:rsid w:val="00A03D06"/>
    <w:rsid w:val="00A061A4"/>
    <w:rsid w:val="00A10310"/>
    <w:rsid w:val="00A1067A"/>
    <w:rsid w:val="00A15857"/>
    <w:rsid w:val="00A2043F"/>
    <w:rsid w:val="00A207C9"/>
    <w:rsid w:val="00A20E8E"/>
    <w:rsid w:val="00A224CD"/>
    <w:rsid w:val="00A226AB"/>
    <w:rsid w:val="00A24398"/>
    <w:rsid w:val="00A24A62"/>
    <w:rsid w:val="00A250B5"/>
    <w:rsid w:val="00A2522A"/>
    <w:rsid w:val="00A26783"/>
    <w:rsid w:val="00A27AC7"/>
    <w:rsid w:val="00A27EA7"/>
    <w:rsid w:val="00A300E5"/>
    <w:rsid w:val="00A30D01"/>
    <w:rsid w:val="00A31C9F"/>
    <w:rsid w:val="00A32A8F"/>
    <w:rsid w:val="00A33C81"/>
    <w:rsid w:val="00A343B2"/>
    <w:rsid w:val="00A34E57"/>
    <w:rsid w:val="00A35F06"/>
    <w:rsid w:val="00A35F39"/>
    <w:rsid w:val="00A368E7"/>
    <w:rsid w:val="00A403D6"/>
    <w:rsid w:val="00A434A3"/>
    <w:rsid w:val="00A50C16"/>
    <w:rsid w:val="00A50C8A"/>
    <w:rsid w:val="00A530D1"/>
    <w:rsid w:val="00A57306"/>
    <w:rsid w:val="00A624B2"/>
    <w:rsid w:val="00A6251F"/>
    <w:rsid w:val="00A626DB"/>
    <w:rsid w:val="00A629D2"/>
    <w:rsid w:val="00A62F1C"/>
    <w:rsid w:val="00A63685"/>
    <w:rsid w:val="00A648C7"/>
    <w:rsid w:val="00A65AFC"/>
    <w:rsid w:val="00A667A6"/>
    <w:rsid w:val="00A671CE"/>
    <w:rsid w:val="00A671DA"/>
    <w:rsid w:val="00A67B33"/>
    <w:rsid w:val="00A700FE"/>
    <w:rsid w:val="00A71DC6"/>
    <w:rsid w:val="00A731AE"/>
    <w:rsid w:val="00A732B6"/>
    <w:rsid w:val="00A73D38"/>
    <w:rsid w:val="00A753A3"/>
    <w:rsid w:val="00A768A5"/>
    <w:rsid w:val="00A81B39"/>
    <w:rsid w:val="00A81E9A"/>
    <w:rsid w:val="00A839B3"/>
    <w:rsid w:val="00A84927"/>
    <w:rsid w:val="00A84F6D"/>
    <w:rsid w:val="00A85DDB"/>
    <w:rsid w:val="00A86DDD"/>
    <w:rsid w:val="00A87227"/>
    <w:rsid w:val="00A87BD4"/>
    <w:rsid w:val="00A90C82"/>
    <w:rsid w:val="00A933EA"/>
    <w:rsid w:val="00AA1D73"/>
    <w:rsid w:val="00AA2440"/>
    <w:rsid w:val="00AA2CB3"/>
    <w:rsid w:val="00AA37F7"/>
    <w:rsid w:val="00AA5957"/>
    <w:rsid w:val="00AA5A5E"/>
    <w:rsid w:val="00AA5DDA"/>
    <w:rsid w:val="00AA6B35"/>
    <w:rsid w:val="00AA7167"/>
    <w:rsid w:val="00AA76CD"/>
    <w:rsid w:val="00AA7855"/>
    <w:rsid w:val="00AA7AEF"/>
    <w:rsid w:val="00AA7C48"/>
    <w:rsid w:val="00AB1905"/>
    <w:rsid w:val="00AB19CF"/>
    <w:rsid w:val="00AB2003"/>
    <w:rsid w:val="00AB2D63"/>
    <w:rsid w:val="00AB30BF"/>
    <w:rsid w:val="00AB4C55"/>
    <w:rsid w:val="00AC05E4"/>
    <w:rsid w:val="00AC0C8A"/>
    <w:rsid w:val="00AC164A"/>
    <w:rsid w:val="00AC4B52"/>
    <w:rsid w:val="00AC5F3C"/>
    <w:rsid w:val="00AC6E0F"/>
    <w:rsid w:val="00AC7A7E"/>
    <w:rsid w:val="00AD28A0"/>
    <w:rsid w:val="00AD3532"/>
    <w:rsid w:val="00AD3B1A"/>
    <w:rsid w:val="00AD4B07"/>
    <w:rsid w:val="00AD6C9A"/>
    <w:rsid w:val="00AE025F"/>
    <w:rsid w:val="00AE0872"/>
    <w:rsid w:val="00AE3636"/>
    <w:rsid w:val="00AE63CA"/>
    <w:rsid w:val="00AE6A69"/>
    <w:rsid w:val="00AE6EBC"/>
    <w:rsid w:val="00AF0727"/>
    <w:rsid w:val="00AF1A18"/>
    <w:rsid w:val="00AF1A4F"/>
    <w:rsid w:val="00AF2050"/>
    <w:rsid w:val="00AF3133"/>
    <w:rsid w:val="00AF6AC4"/>
    <w:rsid w:val="00AF6BAB"/>
    <w:rsid w:val="00AF7284"/>
    <w:rsid w:val="00AF7AB1"/>
    <w:rsid w:val="00B06390"/>
    <w:rsid w:val="00B066EC"/>
    <w:rsid w:val="00B06B0D"/>
    <w:rsid w:val="00B109CF"/>
    <w:rsid w:val="00B10AA9"/>
    <w:rsid w:val="00B13934"/>
    <w:rsid w:val="00B15A59"/>
    <w:rsid w:val="00B15F4F"/>
    <w:rsid w:val="00B1636A"/>
    <w:rsid w:val="00B16668"/>
    <w:rsid w:val="00B16BE6"/>
    <w:rsid w:val="00B16E91"/>
    <w:rsid w:val="00B17EB6"/>
    <w:rsid w:val="00B200D2"/>
    <w:rsid w:val="00B205E8"/>
    <w:rsid w:val="00B207A1"/>
    <w:rsid w:val="00B20801"/>
    <w:rsid w:val="00B20E78"/>
    <w:rsid w:val="00B22EC3"/>
    <w:rsid w:val="00B2380C"/>
    <w:rsid w:val="00B24C3D"/>
    <w:rsid w:val="00B250D3"/>
    <w:rsid w:val="00B31078"/>
    <w:rsid w:val="00B31167"/>
    <w:rsid w:val="00B319C8"/>
    <w:rsid w:val="00B335BF"/>
    <w:rsid w:val="00B33BB2"/>
    <w:rsid w:val="00B35386"/>
    <w:rsid w:val="00B37817"/>
    <w:rsid w:val="00B408D8"/>
    <w:rsid w:val="00B42725"/>
    <w:rsid w:val="00B43030"/>
    <w:rsid w:val="00B4424B"/>
    <w:rsid w:val="00B45DD3"/>
    <w:rsid w:val="00B45FBA"/>
    <w:rsid w:val="00B5083E"/>
    <w:rsid w:val="00B50DD7"/>
    <w:rsid w:val="00B51040"/>
    <w:rsid w:val="00B51C43"/>
    <w:rsid w:val="00B51CD3"/>
    <w:rsid w:val="00B53160"/>
    <w:rsid w:val="00B536DF"/>
    <w:rsid w:val="00B54712"/>
    <w:rsid w:val="00B551F4"/>
    <w:rsid w:val="00B5535A"/>
    <w:rsid w:val="00B56367"/>
    <w:rsid w:val="00B5756A"/>
    <w:rsid w:val="00B57CBB"/>
    <w:rsid w:val="00B60352"/>
    <w:rsid w:val="00B60A22"/>
    <w:rsid w:val="00B6148C"/>
    <w:rsid w:val="00B625B7"/>
    <w:rsid w:val="00B6312C"/>
    <w:rsid w:val="00B64C25"/>
    <w:rsid w:val="00B64D20"/>
    <w:rsid w:val="00B652BC"/>
    <w:rsid w:val="00B66E73"/>
    <w:rsid w:val="00B674D7"/>
    <w:rsid w:val="00B70B7F"/>
    <w:rsid w:val="00B71309"/>
    <w:rsid w:val="00B72FB3"/>
    <w:rsid w:val="00B74837"/>
    <w:rsid w:val="00B751D1"/>
    <w:rsid w:val="00B76189"/>
    <w:rsid w:val="00B777B8"/>
    <w:rsid w:val="00B8090B"/>
    <w:rsid w:val="00B822AD"/>
    <w:rsid w:val="00B82C70"/>
    <w:rsid w:val="00B84896"/>
    <w:rsid w:val="00B84E62"/>
    <w:rsid w:val="00B862D7"/>
    <w:rsid w:val="00B907EC"/>
    <w:rsid w:val="00B9122D"/>
    <w:rsid w:val="00B932FB"/>
    <w:rsid w:val="00B95147"/>
    <w:rsid w:val="00B9628A"/>
    <w:rsid w:val="00B97391"/>
    <w:rsid w:val="00B9777D"/>
    <w:rsid w:val="00B97D40"/>
    <w:rsid w:val="00BA0046"/>
    <w:rsid w:val="00BA3D28"/>
    <w:rsid w:val="00BA44E5"/>
    <w:rsid w:val="00BA54CF"/>
    <w:rsid w:val="00BA57A1"/>
    <w:rsid w:val="00BA6DFB"/>
    <w:rsid w:val="00BA6F4E"/>
    <w:rsid w:val="00BA7EF7"/>
    <w:rsid w:val="00BB0042"/>
    <w:rsid w:val="00BB26C5"/>
    <w:rsid w:val="00BB3E5E"/>
    <w:rsid w:val="00BB3F08"/>
    <w:rsid w:val="00BB5857"/>
    <w:rsid w:val="00BB5B78"/>
    <w:rsid w:val="00BC0625"/>
    <w:rsid w:val="00BC0731"/>
    <w:rsid w:val="00BC09E0"/>
    <w:rsid w:val="00BC18D2"/>
    <w:rsid w:val="00BC3BC8"/>
    <w:rsid w:val="00BC527A"/>
    <w:rsid w:val="00BC6A80"/>
    <w:rsid w:val="00BC76CC"/>
    <w:rsid w:val="00BD02A1"/>
    <w:rsid w:val="00BD10E0"/>
    <w:rsid w:val="00BD355E"/>
    <w:rsid w:val="00BD4B4C"/>
    <w:rsid w:val="00BD4CCE"/>
    <w:rsid w:val="00BD51B0"/>
    <w:rsid w:val="00BD57F1"/>
    <w:rsid w:val="00BD618C"/>
    <w:rsid w:val="00BD6313"/>
    <w:rsid w:val="00BE096B"/>
    <w:rsid w:val="00BE27D0"/>
    <w:rsid w:val="00BE29A1"/>
    <w:rsid w:val="00BE329A"/>
    <w:rsid w:val="00BE4298"/>
    <w:rsid w:val="00BE4E59"/>
    <w:rsid w:val="00BE67BA"/>
    <w:rsid w:val="00BF03F3"/>
    <w:rsid w:val="00BF228C"/>
    <w:rsid w:val="00BF4554"/>
    <w:rsid w:val="00BF4A20"/>
    <w:rsid w:val="00BF4DE6"/>
    <w:rsid w:val="00C02B4E"/>
    <w:rsid w:val="00C03287"/>
    <w:rsid w:val="00C035DB"/>
    <w:rsid w:val="00C048FF"/>
    <w:rsid w:val="00C05BD0"/>
    <w:rsid w:val="00C126E5"/>
    <w:rsid w:val="00C1336E"/>
    <w:rsid w:val="00C15CE9"/>
    <w:rsid w:val="00C1760E"/>
    <w:rsid w:val="00C17AF7"/>
    <w:rsid w:val="00C20907"/>
    <w:rsid w:val="00C22660"/>
    <w:rsid w:val="00C24420"/>
    <w:rsid w:val="00C24ECF"/>
    <w:rsid w:val="00C25B7D"/>
    <w:rsid w:val="00C25CF4"/>
    <w:rsid w:val="00C263A7"/>
    <w:rsid w:val="00C2649B"/>
    <w:rsid w:val="00C27A7B"/>
    <w:rsid w:val="00C27C04"/>
    <w:rsid w:val="00C30359"/>
    <w:rsid w:val="00C34C44"/>
    <w:rsid w:val="00C35991"/>
    <w:rsid w:val="00C35ADE"/>
    <w:rsid w:val="00C36FA2"/>
    <w:rsid w:val="00C37129"/>
    <w:rsid w:val="00C42321"/>
    <w:rsid w:val="00C42CDE"/>
    <w:rsid w:val="00C44BC3"/>
    <w:rsid w:val="00C454D7"/>
    <w:rsid w:val="00C4658D"/>
    <w:rsid w:val="00C46AA3"/>
    <w:rsid w:val="00C47E1C"/>
    <w:rsid w:val="00C5070F"/>
    <w:rsid w:val="00C5084B"/>
    <w:rsid w:val="00C50BA6"/>
    <w:rsid w:val="00C50DBC"/>
    <w:rsid w:val="00C51BA2"/>
    <w:rsid w:val="00C52819"/>
    <w:rsid w:val="00C53942"/>
    <w:rsid w:val="00C55787"/>
    <w:rsid w:val="00C57487"/>
    <w:rsid w:val="00C57BDD"/>
    <w:rsid w:val="00C60FA7"/>
    <w:rsid w:val="00C611D7"/>
    <w:rsid w:val="00C649B5"/>
    <w:rsid w:val="00C665EF"/>
    <w:rsid w:val="00C67E2A"/>
    <w:rsid w:val="00C71CFD"/>
    <w:rsid w:val="00C72A5A"/>
    <w:rsid w:val="00C73B4C"/>
    <w:rsid w:val="00C7511D"/>
    <w:rsid w:val="00C75597"/>
    <w:rsid w:val="00C80192"/>
    <w:rsid w:val="00C83660"/>
    <w:rsid w:val="00C83A20"/>
    <w:rsid w:val="00C861A0"/>
    <w:rsid w:val="00C867B0"/>
    <w:rsid w:val="00C870EF"/>
    <w:rsid w:val="00C87A78"/>
    <w:rsid w:val="00C9030F"/>
    <w:rsid w:val="00C913FA"/>
    <w:rsid w:val="00C93FC2"/>
    <w:rsid w:val="00C94A85"/>
    <w:rsid w:val="00C975E7"/>
    <w:rsid w:val="00C97A1D"/>
    <w:rsid w:val="00CA0B04"/>
    <w:rsid w:val="00CA110A"/>
    <w:rsid w:val="00CA19B9"/>
    <w:rsid w:val="00CA28EA"/>
    <w:rsid w:val="00CA3404"/>
    <w:rsid w:val="00CA3725"/>
    <w:rsid w:val="00CA37B1"/>
    <w:rsid w:val="00CA398C"/>
    <w:rsid w:val="00CA3CAF"/>
    <w:rsid w:val="00CA6389"/>
    <w:rsid w:val="00CA731A"/>
    <w:rsid w:val="00CB0EE0"/>
    <w:rsid w:val="00CB1959"/>
    <w:rsid w:val="00CB20AF"/>
    <w:rsid w:val="00CB2B04"/>
    <w:rsid w:val="00CB2C06"/>
    <w:rsid w:val="00CB2E1E"/>
    <w:rsid w:val="00CB308C"/>
    <w:rsid w:val="00CB6D35"/>
    <w:rsid w:val="00CC0203"/>
    <w:rsid w:val="00CC0EF1"/>
    <w:rsid w:val="00CC2326"/>
    <w:rsid w:val="00CC3256"/>
    <w:rsid w:val="00CC5564"/>
    <w:rsid w:val="00CC5AB1"/>
    <w:rsid w:val="00CC61A0"/>
    <w:rsid w:val="00CC6BB0"/>
    <w:rsid w:val="00CC6C68"/>
    <w:rsid w:val="00CD0900"/>
    <w:rsid w:val="00CD1DD1"/>
    <w:rsid w:val="00CD38E1"/>
    <w:rsid w:val="00CD3E53"/>
    <w:rsid w:val="00CD5348"/>
    <w:rsid w:val="00CD7C8E"/>
    <w:rsid w:val="00CE03E6"/>
    <w:rsid w:val="00CE04ED"/>
    <w:rsid w:val="00CE172A"/>
    <w:rsid w:val="00CE456E"/>
    <w:rsid w:val="00CE4E65"/>
    <w:rsid w:val="00CF1553"/>
    <w:rsid w:val="00CF269C"/>
    <w:rsid w:val="00CF2D10"/>
    <w:rsid w:val="00CF3858"/>
    <w:rsid w:val="00CF3D84"/>
    <w:rsid w:val="00CF41D9"/>
    <w:rsid w:val="00CF4547"/>
    <w:rsid w:val="00CF50AD"/>
    <w:rsid w:val="00CF6C7A"/>
    <w:rsid w:val="00CF6DF3"/>
    <w:rsid w:val="00D00240"/>
    <w:rsid w:val="00D006E9"/>
    <w:rsid w:val="00D018F5"/>
    <w:rsid w:val="00D0296C"/>
    <w:rsid w:val="00D07CC2"/>
    <w:rsid w:val="00D102ED"/>
    <w:rsid w:val="00D10AAF"/>
    <w:rsid w:val="00D116C6"/>
    <w:rsid w:val="00D11F64"/>
    <w:rsid w:val="00D132E4"/>
    <w:rsid w:val="00D1423C"/>
    <w:rsid w:val="00D14656"/>
    <w:rsid w:val="00D14E1A"/>
    <w:rsid w:val="00D15319"/>
    <w:rsid w:val="00D157AC"/>
    <w:rsid w:val="00D16CA8"/>
    <w:rsid w:val="00D1731B"/>
    <w:rsid w:val="00D17652"/>
    <w:rsid w:val="00D176CF"/>
    <w:rsid w:val="00D17B92"/>
    <w:rsid w:val="00D17DE7"/>
    <w:rsid w:val="00D20692"/>
    <w:rsid w:val="00D22869"/>
    <w:rsid w:val="00D2417F"/>
    <w:rsid w:val="00D27054"/>
    <w:rsid w:val="00D2735C"/>
    <w:rsid w:val="00D30B40"/>
    <w:rsid w:val="00D35D60"/>
    <w:rsid w:val="00D35F67"/>
    <w:rsid w:val="00D36E42"/>
    <w:rsid w:val="00D40745"/>
    <w:rsid w:val="00D4245E"/>
    <w:rsid w:val="00D44DBC"/>
    <w:rsid w:val="00D4524C"/>
    <w:rsid w:val="00D45389"/>
    <w:rsid w:val="00D45B38"/>
    <w:rsid w:val="00D46D82"/>
    <w:rsid w:val="00D53304"/>
    <w:rsid w:val="00D568F4"/>
    <w:rsid w:val="00D5739D"/>
    <w:rsid w:val="00D573EB"/>
    <w:rsid w:val="00D65C76"/>
    <w:rsid w:val="00D65C98"/>
    <w:rsid w:val="00D678E9"/>
    <w:rsid w:val="00D70D14"/>
    <w:rsid w:val="00D7275E"/>
    <w:rsid w:val="00D75D60"/>
    <w:rsid w:val="00D77E92"/>
    <w:rsid w:val="00D815CA"/>
    <w:rsid w:val="00D81AFF"/>
    <w:rsid w:val="00D81DBD"/>
    <w:rsid w:val="00D8202F"/>
    <w:rsid w:val="00D84F59"/>
    <w:rsid w:val="00D85993"/>
    <w:rsid w:val="00D86CE7"/>
    <w:rsid w:val="00D870F6"/>
    <w:rsid w:val="00D903D8"/>
    <w:rsid w:val="00D95AD1"/>
    <w:rsid w:val="00D95C0E"/>
    <w:rsid w:val="00D976AA"/>
    <w:rsid w:val="00D978EA"/>
    <w:rsid w:val="00DA160E"/>
    <w:rsid w:val="00DA25E5"/>
    <w:rsid w:val="00DA2C51"/>
    <w:rsid w:val="00DA329B"/>
    <w:rsid w:val="00DA485B"/>
    <w:rsid w:val="00DA502E"/>
    <w:rsid w:val="00DA7E54"/>
    <w:rsid w:val="00DB0943"/>
    <w:rsid w:val="00DB1048"/>
    <w:rsid w:val="00DB1AC6"/>
    <w:rsid w:val="00DB312F"/>
    <w:rsid w:val="00DB5090"/>
    <w:rsid w:val="00DB5436"/>
    <w:rsid w:val="00DB5935"/>
    <w:rsid w:val="00DB6424"/>
    <w:rsid w:val="00DB6D69"/>
    <w:rsid w:val="00DB6DDE"/>
    <w:rsid w:val="00DB70C4"/>
    <w:rsid w:val="00DC0CD9"/>
    <w:rsid w:val="00DC2750"/>
    <w:rsid w:val="00DC2C3C"/>
    <w:rsid w:val="00DC430B"/>
    <w:rsid w:val="00DC4618"/>
    <w:rsid w:val="00DC508D"/>
    <w:rsid w:val="00DC6534"/>
    <w:rsid w:val="00DC66B8"/>
    <w:rsid w:val="00DC7A19"/>
    <w:rsid w:val="00DC7DE0"/>
    <w:rsid w:val="00DD132C"/>
    <w:rsid w:val="00DD3020"/>
    <w:rsid w:val="00DD311E"/>
    <w:rsid w:val="00DD32D0"/>
    <w:rsid w:val="00DD6BAF"/>
    <w:rsid w:val="00DD72ED"/>
    <w:rsid w:val="00DD768A"/>
    <w:rsid w:val="00DD7AAE"/>
    <w:rsid w:val="00DD7EC4"/>
    <w:rsid w:val="00DE0EBB"/>
    <w:rsid w:val="00DE35EF"/>
    <w:rsid w:val="00DE5C35"/>
    <w:rsid w:val="00DE63E7"/>
    <w:rsid w:val="00DE6B05"/>
    <w:rsid w:val="00DE7F5E"/>
    <w:rsid w:val="00DF1385"/>
    <w:rsid w:val="00DF1828"/>
    <w:rsid w:val="00DF25F7"/>
    <w:rsid w:val="00DF293F"/>
    <w:rsid w:val="00DF32A1"/>
    <w:rsid w:val="00DF463D"/>
    <w:rsid w:val="00DF51F2"/>
    <w:rsid w:val="00DF675F"/>
    <w:rsid w:val="00DF7559"/>
    <w:rsid w:val="00DF7D78"/>
    <w:rsid w:val="00E00844"/>
    <w:rsid w:val="00E02420"/>
    <w:rsid w:val="00E02C97"/>
    <w:rsid w:val="00E032D2"/>
    <w:rsid w:val="00E041BD"/>
    <w:rsid w:val="00E0607E"/>
    <w:rsid w:val="00E0687F"/>
    <w:rsid w:val="00E10524"/>
    <w:rsid w:val="00E10C89"/>
    <w:rsid w:val="00E15D15"/>
    <w:rsid w:val="00E16DF7"/>
    <w:rsid w:val="00E1734F"/>
    <w:rsid w:val="00E17F75"/>
    <w:rsid w:val="00E21D42"/>
    <w:rsid w:val="00E23D4B"/>
    <w:rsid w:val="00E24B91"/>
    <w:rsid w:val="00E30C08"/>
    <w:rsid w:val="00E31683"/>
    <w:rsid w:val="00E32121"/>
    <w:rsid w:val="00E33EAE"/>
    <w:rsid w:val="00E357B7"/>
    <w:rsid w:val="00E3581B"/>
    <w:rsid w:val="00E35B7E"/>
    <w:rsid w:val="00E37A38"/>
    <w:rsid w:val="00E424CA"/>
    <w:rsid w:val="00E43670"/>
    <w:rsid w:val="00E44D53"/>
    <w:rsid w:val="00E46158"/>
    <w:rsid w:val="00E479CD"/>
    <w:rsid w:val="00E47F62"/>
    <w:rsid w:val="00E515BF"/>
    <w:rsid w:val="00E51938"/>
    <w:rsid w:val="00E52E5A"/>
    <w:rsid w:val="00E53800"/>
    <w:rsid w:val="00E54E71"/>
    <w:rsid w:val="00E55D4F"/>
    <w:rsid w:val="00E55E35"/>
    <w:rsid w:val="00E56918"/>
    <w:rsid w:val="00E57C3A"/>
    <w:rsid w:val="00E6081F"/>
    <w:rsid w:val="00E62524"/>
    <w:rsid w:val="00E638FF"/>
    <w:rsid w:val="00E63D61"/>
    <w:rsid w:val="00E645C9"/>
    <w:rsid w:val="00E654A7"/>
    <w:rsid w:val="00E66432"/>
    <w:rsid w:val="00E67D07"/>
    <w:rsid w:val="00E70395"/>
    <w:rsid w:val="00E70B24"/>
    <w:rsid w:val="00E73D1C"/>
    <w:rsid w:val="00E76D4F"/>
    <w:rsid w:val="00E7710D"/>
    <w:rsid w:val="00E771E6"/>
    <w:rsid w:val="00E777E2"/>
    <w:rsid w:val="00E820ED"/>
    <w:rsid w:val="00E843FF"/>
    <w:rsid w:val="00E84538"/>
    <w:rsid w:val="00E86D01"/>
    <w:rsid w:val="00E86EC8"/>
    <w:rsid w:val="00E9446C"/>
    <w:rsid w:val="00E94ADE"/>
    <w:rsid w:val="00E9616B"/>
    <w:rsid w:val="00E96E44"/>
    <w:rsid w:val="00E97117"/>
    <w:rsid w:val="00E972BB"/>
    <w:rsid w:val="00EA04B2"/>
    <w:rsid w:val="00EA0885"/>
    <w:rsid w:val="00EA0F0C"/>
    <w:rsid w:val="00EA1831"/>
    <w:rsid w:val="00EA20F3"/>
    <w:rsid w:val="00EA2C25"/>
    <w:rsid w:val="00EA3A64"/>
    <w:rsid w:val="00EA442C"/>
    <w:rsid w:val="00EA5028"/>
    <w:rsid w:val="00EA6B3E"/>
    <w:rsid w:val="00EA77CE"/>
    <w:rsid w:val="00EA7B74"/>
    <w:rsid w:val="00EB0526"/>
    <w:rsid w:val="00EB0BFE"/>
    <w:rsid w:val="00EB1DD4"/>
    <w:rsid w:val="00EB2E04"/>
    <w:rsid w:val="00EB356C"/>
    <w:rsid w:val="00EB4B69"/>
    <w:rsid w:val="00EB4FDA"/>
    <w:rsid w:val="00EB72DA"/>
    <w:rsid w:val="00EB7A03"/>
    <w:rsid w:val="00EB7C6F"/>
    <w:rsid w:val="00EC0829"/>
    <w:rsid w:val="00EC0BF8"/>
    <w:rsid w:val="00EC2567"/>
    <w:rsid w:val="00EC5CCC"/>
    <w:rsid w:val="00EC6C73"/>
    <w:rsid w:val="00EC71D5"/>
    <w:rsid w:val="00ED0B88"/>
    <w:rsid w:val="00ED3520"/>
    <w:rsid w:val="00ED3AC8"/>
    <w:rsid w:val="00ED43D1"/>
    <w:rsid w:val="00ED49C1"/>
    <w:rsid w:val="00ED53B0"/>
    <w:rsid w:val="00ED57F3"/>
    <w:rsid w:val="00ED598B"/>
    <w:rsid w:val="00EE1A76"/>
    <w:rsid w:val="00EE3171"/>
    <w:rsid w:val="00EE33B1"/>
    <w:rsid w:val="00EE4AE2"/>
    <w:rsid w:val="00EE4EE1"/>
    <w:rsid w:val="00EE503C"/>
    <w:rsid w:val="00EE5A17"/>
    <w:rsid w:val="00EE5A28"/>
    <w:rsid w:val="00EF0707"/>
    <w:rsid w:val="00EF30BE"/>
    <w:rsid w:val="00EF30DB"/>
    <w:rsid w:val="00EF4574"/>
    <w:rsid w:val="00EF55AE"/>
    <w:rsid w:val="00EF5629"/>
    <w:rsid w:val="00EF5B10"/>
    <w:rsid w:val="00EF5C9D"/>
    <w:rsid w:val="00EF6ACB"/>
    <w:rsid w:val="00F01345"/>
    <w:rsid w:val="00F0165C"/>
    <w:rsid w:val="00F03039"/>
    <w:rsid w:val="00F045F2"/>
    <w:rsid w:val="00F04DED"/>
    <w:rsid w:val="00F10C66"/>
    <w:rsid w:val="00F1136F"/>
    <w:rsid w:val="00F11F79"/>
    <w:rsid w:val="00F14A6E"/>
    <w:rsid w:val="00F14BCB"/>
    <w:rsid w:val="00F155E4"/>
    <w:rsid w:val="00F1623A"/>
    <w:rsid w:val="00F17049"/>
    <w:rsid w:val="00F17FA6"/>
    <w:rsid w:val="00F20741"/>
    <w:rsid w:val="00F21522"/>
    <w:rsid w:val="00F23020"/>
    <w:rsid w:val="00F23BD6"/>
    <w:rsid w:val="00F2647E"/>
    <w:rsid w:val="00F2684E"/>
    <w:rsid w:val="00F26877"/>
    <w:rsid w:val="00F27CAB"/>
    <w:rsid w:val="00F31489"/>
    <w:rsid w:val="00F31AB0"/>
    <w:rsid w:val="00F32859"/>
    <w:rsid w:val="00F328AB"/>
    <w:rsid w:val="00F32DF9"/>
    <w:rsid w:val="00F415C5"/>
    <w:rsid w:val="00F42A2E"/>
    <w:rsid w:val="00F43137"/>
    <w:rsid w:val="00F43A27"/>
    <w:rsid w:val="00F43A9A"/>
    <w:rsid w:val="00F43B1E"/>
    <w:rsid w:val="00F4480A"/>
    <w:rsid w:val="00F466B8"/>
    <w:rsid w:val="00F46EAD"/>
    <w:rsid w:val="00F4782A"/>
    <w:rsid w:val="00F51195"/>
    <w:rsid w:val="00F53B86"/>
    <w:rsid w:val="00F55069"/>
    <w:rsid w:val="00F564E6"/>
    <w:rsid w:val="00F6147C"/>
    <w:rsid w:val="00F61D99"/>
    <w:rsid w:val="00F62D77"/>
    <w:rsid w:val="00F636FE"/>
    <w:rsid w:val="00F63F82"/>
    <w:rsid w:val="00F70346"/>
    <w:rsid w:val="00F70951"/>
    <w:rsid w:val="00F7257B"/>
    <w:rsid w:val="00F729EF"/>
    <w:rsid w:val="00F72C01"/>
    <w:rsid w:val="00F73210"/>
    <w:rsid w:val="00F74FAD"/>
    <w:rsid w:val="00F76CD9"/>
    <w:rsid w:val="00F77CAE"/>
    <w:rsid w:val="00F811F5"/>
    <w:rsid w:val="00F81990"/>
    <w:rsid w:val="00F822F3"/>
    <w:rsid w:val="00F83095"/>
    <w:rsid w:val="00F85507"/>
    <w:rsid w:val="00F96BB9"/>
    <w:rsid w:val="00F970CF"/>
    <w:rsid w:val="00F979EA"/>
    <w:rsid w:val="00FA0945"/>
    <w:rsid w:val="00FA512B"/>
    <w:rsid w:val="00FA515F"/>
    <w:rsid w:val="00FA7DCB"/>
    <w:rsid w:val="00FA7F4D"/>
    <w:rsid w:val="00FB0F26"/>
    <w:rsid w:val="00FB1558"/>
    <w:rsid w:val="00FB16C1"/>
    <w:rsid w:val="00FB1AD6"/>
    <w:rsid w:val="00FB392E"/>
    <w:rsid w:val="00FB44AA"/>
    <w:rsid w:val="00FB71B6"/>
    <w:rsid w:val="00FC042C"/>
    <w:rsid w:val="00FC0A36"/>
    <w:rsid w:val="00FC0AF4"/>
    <w:rsid w:val="00FC1DDF"/>
    <w:rsid w:val="00FC2999"/>
    <w:rsid w:val="00FC320D"/>
    <w:rsid w:val="00FC3A97"/>
    <w:rsid w:val="00FC4C9C"/>
    <w:rsid w:val="00FC5A74"/>
    <w:rsid w:val="00FC5FF9"/>
    <w:rsid w:val="00FC7334"/>
    <w:rsid w:val="00FD0A7F"/>
    <w:rsid w:val="00FD2427"/>
    <w:rsid w:val="00FD2D5B"/>
    <w:rsid w:val="00FD4BA3"/>
    <w:rsid w:val="00FD629C"/>
    <w:rsid w:val="00FE0CEB"/>
    <w:rsid w:val="00FE12C4"/>
    <w:rsid w:val="00FE1A4F"/>
    <w:rsid w:val="00FE2128"/>
    <w:rsid w:val="00FE3983"/>
    <w:rsid w:val="00FE42E2"/>
    <w:rsid w:val="00FE449B"/>
    <w:rsid w:val="00FE5CCB"/>
    <w:rsid w:val="00FE5D3A"/>
    <w:rsid w:val="00FE67B4"/>
    <w:rsid w:val="00FE6D51"/>
    <w:rsid w:val="00FE7293"/>
    <w:rsid w:val="00FE797A"/>
    <w:rsid w:val="00FF0D42"/>
    <w:rsid w:val="00FF5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A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6D"/>
    <w:pPr>
      <w:suppressAutoHyphens/>
      <w:spacing w:before="140" w:after="60" w:line="280" w:lineRule="atLeast"/>
    </w:pPr>
    <w:rPr>
      <w:szCs w:val="28"/>
    </w:rPr>
  </w:style>
  <w:style w:type="paragraph" w:styleId="Heading1">
    <w:name w:val="heading 1"/>
    <w:basedOn w:val="Normal"/>
    <w:next w:val="Normal"/>
    <w:link w:val="Heading1Char"/>
    <w:uiPriority w:val="9"/>
    <w:qFormat/>
    <w:rsid w:val="00BC18D2"/>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rPr>
  </w:style>
  <w:style w:type="paragraph" w:styleId="Heading2">
    <w:name w:val="heading 2"/>
    <w:basedOn w:val="Heading1"/>
    <w:next w:val="Normal"/>
    <w:link w:val="Heading2Char"/>
    <w:uiPriority w:val="9"/>
    <w:unhideWhenUsed/>
    <w:rsid w:val="00BC18D2"/>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BC18D2"/>
    <w:pPr>
      <w:spacing w:line="340" w:lineRule="atLeast"/>
      <w:outlineLvl w:val="2"/>
    </w:pPr>
    <w:rPr>
      <w:bCs/>
      <w:sz w:val="30"/>
    </w:rPr>
  </w:style>
  <w:style w:type="paragraph" w:styleId="Heading4">
    <w:name w:val="heading 4"/>
    <w:basedOn w:val="Heading3"/>
    <w:next w:val="Normal"/>
    <w:link w:val="Heading4Char"/>
    <w:uiPriority w:val="9"/>
    <w:unhideWhenUsed/>
    <w:rsid w:val="00BC18D2"/>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BC18D2"/>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BC18D2"/>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BC18D2"/>
    <w:pPr>
      <w:outlineLvl w:val="6"/>
    </w:pPr>
    <w:rPr>
      <w:i w:val="0"/>
      <w:iCs w:val="0"/>
    </w:rPr>
  </w:style>
  <w:style w:type="paragraph" w:styleId="Heading8">
    <w:name w:val="heading 8"/>
    <w:basedOn w:val="Heading7"/>
    <w:next w:val="Normal"/>
    <w:link w:val="Heading8Char"/>
    <w:uiPriority w:val="9"/>
    <w:semiHidden/>
    <w:unhideWhenUsed/>
    <w:qFormat/>
    <w:rsid w:val="00BC18D2"/>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C18D2"/>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8D2"/>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BC18D2"/>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BC18D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ListBullet"/>
    <w:qFormat/>
    <w:rsid w:val="003E26AD"/>
    <w:pPr>
      <w:numPr>
        <w:numId w:val="11"/>
      </w:numPr>
      <w:spacing w:before="100" w:after="100" w:line="264" w:lineRule="auto"/>
      <w:contextualSpacing w:val="0"/>
    </w:pPr>
  </w:style>
  <w:style w:type="paragraph" w:customStyle="1" w:styleId="Bullet4">
    <w:name w:val="Bullet 4"/>
    <w:basedOn w:val="BodyText"/>
    <w:qFormat/>
    <w:rsid w:val="00D2417F"/>
    <w:pPr>
      <w:numPr>
        <w:ilvl w:val="2"/>
        <w:numId w:val="162"/>
      </w:numPr>
      <w:ind w:left="1701" w:right="0" w:hanging="425"/>
    </w:pPr>
  </w:style>
  <w:style w:type="paragraph" w:customStyle="1" w:styleId="Bullet2">
    <w:name w:val="Bullet 2"/>
    <w:basedOn w:val="ListBullet"/>
    <w:qFormat/>
    <w:rsid w:val="003E26AD"/>
    <w:pPr>
      <w:numPr>
        <w:numId w:val="88"/>
      </w:numPr>
      <w:spacing w:before="80" w:after="80"/>
      <w:ind w:left="850" w:right="272" w:hanging="425"/>
      <w:contextualSpacing w:val="0"/>
    </w:pPr>
  </w:style>
  <w:style w:type="paragraph" w:customStyle="1" w:styleId="NumberedList1">
    <w:name w:val="Numbered List 1"/>
    <w:basedOn w:val="Normal"/>
    <w:autoRedefine/>
    <w:qFormat/>
    <w:rsid w:val="00FE449B"/>
    <w:pPr>
      <w:widowControl w:val="0"/>
      <w:spacing w:before="80" w:after="80" w:line="240" w:lineRule="auto"/>
    </w:pPr>
    <w:rPr>
      <w:color w:val="FF0000"/>
      <w:u w:val="single"/>
    </w:rPr>
  </w:style>
  <w:style w:type="paragraph" w:customStyle="1" w:styleId="NumberedList2">
    <w:name w:val="Numbered List 2"/>
    <w:basedOn w:val="NumberedList1"/>
    <w:qFormat/>
    <w:rsid w:val="00A87BD4"/>
    <w:pPr>
      <w:numPr>
        <w:ilvl w:val="1"/>
        <w:numId w:val="89"/>
      </w:numPr>
      <w:ind w:left="284"/>
    </w:pPr>
  </w:style>
  <w:style w:type="paragraph" w:customStyle="1" w:styleId="NumberedList3">
    <w:name w:val="Numbered List 3"/>
    <w:basedOn w:val="NumberedList2"/>
    <w:qFormat/>
    <w:rsid w:val="00576566"/>
    <w:pPr>
      <w:numPr>
        <w:ilvl w:val="2"/>
      </w:numPr>
      <w:ind w:left="964" w:hanging="397"/>
    </w:pPr>
  </w:style>
  <w:style w:type="character" w:customStyle="1" w:styleId="UnresolvedMention">
    <w:name w:val="Unresolved Mention"/>
    <w:basedOn w:val="DefaultParagraphFont"/>
    <w:uiPriority w:val="99"/>
    <w:semiHidden/>
    <w:unhideWhenUsed/>
    <w:rsid w:val="00BE4298"/>
    <w:rPr>
      <w:color w:val="605E5C"/>
      <w:shd w:val="clear" w:color="auto" w:fill="E1DFDD"/>
    </w:rPr>
  </w:style>
  <w:style w:type="paragraph" w:customStyle="1" w:styleId="Heading2Numbered">
    <w:name w:val="Heading 2 Numbered"/>
    <w:basedOn w:val="Heading2"/>
    <w:next w:val="Normal"/>
    <w:qFormat/>
    <w:rsid w:val="00A87BD4"/>
    <w:pPr>
      <w:numPr>
        <w:ilvl w:val="1"/>
        <w:numId w:val="172"/>
      </w:numPr>
      <w:ind w:left="851" w:hanging="851"/>
    </w:pPr>
    <w:rPr>
      <w:bCs/>
    </w:rPr>
  </w:style>
  <w:style w:type="paragraph" w:customStyle="1" w:styleId="Bullet3">
    <w:name w:val="Bullet 3"/>
    <w:basedOn w:val="Bullet2"/>
    <w:qFormat/>
    <w:rsid w:val="00D2417F"/>
    <w:pPr>
      <w:numPr>
        <w:ilvl w:val="1"/>
        <w:numId w:val="90"/>
      </w:numPr>
      <w:ind w:left="1276" w:right="0" w:hanging="425"/>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outlineLvl w:val="9"/>
    </w:pPr>
    <w:rPr>
      <w:bCs w:val="0"/>
      <w:szCs w:val="32"/>
      <w:lang w:val="en-US"/>
    </w:rPr>
  </w:style>
  <w:style w:type="character" w:customStyle="1" w:styleId="Heading4Char">
    <w:name w:val="Heading 4 Char"/>
    <w:basedOn w:val="DefaultParagraphFont"/>
    <w:link w:val="Heading4"/>
    <w:uiPriority w:val="9"/>
    <w:rsid w:val="00BC18D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qFormat/>
    <w:rsid w:val="00A87BD4"/>
    <w:pPr>
      <w:tabs>
        <w:tab w:val="left" w:pos="567"/>
        <w:tab w:val="right" w:pos="9072"/>
      </w:tabs>
      <w:spacing w:after="180" w:line="230" w:lineRule="atLeast"/>
      <w:ind w:right="-434"/>
    </w:pPr>
    <w:rPr>
      <w:b/>
      <w:noProof/>
      <w:sz w:val="24"/>
    </w:rPr>
  </w:style>
  <w:style w:type="paragraph" w:styleId="TOC2">
    <w:name w:val="toc 2"/>
    <w:basedOn w:val="Normal"/>
    <w:next w:val="Normal"/>
    <w:autoRedefine/>
    <w:uiPriority w:val="39"/>
    <w:unhideWhenUsed/>
    <w:qFormat/>
    <w:rsid w:val="0014765A"/>
    <w:pPr>
      <w:tabs>
        <w:tab w:val="right" w:pos="9072"/>
      </w:tabs>
      <w:spacing w:before="100" w:after="140" w:line="230" w:lineRule="atLeast"/>
      <w:ind w:left="567" w:right="-6" w:hanging="567"/>
    </w:pPr>
    <w:rPr>
      <w:noProof/>
    </w:rPr>
  </w:style>
  <w:style w:type="paragraph" w:styleId="TOC3">
    <w:name w:val="toc 3"/>
    <w:basedOn w:val="Normal"/>
    <w:next w:val="Normal"/>
    <w:autoRedefine/>
    <w:uiPriority w:val="39"/>
    <w:unhideWhenUsed/>
    <w:qFormat/>
    <w:rsid w:val="0014765A"/>
    <w:pPr>
      <w:tabs>
        <w:tab w:val="left" w:pos="851"/>
        <w:tab w:val="right" w:pos="9072"/>
      </w:tabs>
      <w:spacing w:before="60" w:after="80"/>
      <w:ind w:left="850" w:right="-6" w:hanging="680"/>
    </w:pPr>
    <w:rPr>
      <w:noProof/>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Reports1">
    <w:name w:val="Reports 1"/>
    <w:basedOn w:val="BodyText"/>
    <w:qFormat/>
    <w:rsid w:val="00F979EA"/>
    <w:rPr>
      <w:i/>
      <w:color w:val="0070C0"/>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D018F5"/>
    <w:rPr>
      <w:rFonts w:ascii="Arial" w:hAnsi="Arial" w:cs="MuseoSans-500"/>
      <w:color w:val="0070C0"/>
      <w:sz w:val="22"/>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C18D2"/>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BC18D2"/>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BC18D2"/>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BC18D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BC18D2"/>
    <w:rPr>
      <w:rFonts w:asciiTheme="majorHAnsi" w:eastAsiaTheme="majorEastAsia" w:hAnsiTheme="majorHAnsi" w:cstheme="majorBidi"/>
      <w:bCs/>
      <w:i/>
      <w:iCs/>
      <w:color w:val="272727" w:themeColor="text1" w:themeTint="D8"/>
      <w:sz w:val="21"/>
      <w:szCs w:val="21"/>
    </w:rPr>
  </w:style>
  <w:style w:type="paragraph" w:customStyle="1" w:styleId="Reports2">
    <w:name w:val="Reports 2"/>
    <w:basedOn w:val="Bullet1"/>
    <w:qFormat/>
    <w:rsid w:val="00F979EA"/>
    <w:rPr>
      <w:i/>
      <w:color w:val="0070C0"/>
    </w:rPr>
  </w:style>
  <w:style w:type="paragraph" w:customStyle="1" w:styleId="Reports3">
    <w:name w:val="Reports 3"/>
    <w:basedOn w:val="Reports2"/>
    <w:qFormat/>
    <w:rsid w:val="00905CB6"/>
    <w:pPr>
      <w:numPr>
        <w:numId w:val="104"/>
      </w:numPr>
      <w:ind w:left="851"/>
    </w:pPr>
  </w:style>
  <w:style w:type="paragraph" w:customStyle="1" w:styleId="IndentBlueText">
    <w:name w:val="Indent Blue Text"/>
    <w:basedOn w:val="ListBullet"/>
    <w:qFormat/>
    <w:rsid w:val="00117EF6"/>
    <w:pPr>
      <w:spacing w:after="120" w:line="280" w:lineRule="exact"/>
      <w:ind w:left="851" w:right="142" w:firstLine="0"/>
    </w:pPr>
    <w:rPr>
      <w:color w:val="0070C0"/>
    </w:rPr>
  </w:style>
  <w:style w:type="paragraph" w:customStyle="1" w:styleId="MeasuresExampleText">
    <w:name w:val="Measures Example Text"/>
    <w:basedOn w:val="Normal"/>
    <w:qFormat/>
    <w:rsid w:val="000C302A"/>
    <w:pPr>
      <w:spacing w:before="0" w:after="0" w:line="240" w:lineRule="auto"/>
    </w:pPr>
    <w:rPr>
      <w:rFonts w:ascii="Arial" w:eastAsia="Times New Roman" w:hAnsi="Arial" w:cs="Arial"/>
      <w:b/>
      <w:bCs/>
      <w:sz w:val="16"/>
      <w:szCs w:val="16"/>
      <w:lang w:eastAsia="en-AU"/>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PortfolioNumberingText">
    <w:name w:val="Portfolio Numbering Text"/>
    <w:basedOn w:val="Normal"/>
    <w:qFormat/>
    <w:rsid w:val="003D1B46"/>
    <w:pPr>
      <w:ind w:left="1167" w:hanging="850"/>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BodyText1">
    <w:name w:val="Body Text1"/>
    <w:link w:val="BodyText1Char"/>
    <w:semiHidden/>
    <w:rsid w:val="00FA0945"/>
    <w:pPr>
      <w:spacing w:after="113" w:line="260" w:lineRule="atLeast"/>
    </w:pPr>
    <w:rPr>
      <w:rFonts w:ascii="Cambria" w:eastAsia="Times New Roman" w:hAnsi="Cambria" w:cs="Times New Roman"/>
      <w:szCs w:val="24"/>
    </w:rPr>
  </w:style>
  <w:style w:type="numbering" w:customStyle="1" w:styleId="Bullets">
    <w:name w:val="Bullets"/>
    <w:basedOn w:val="NoList"/>
    <w:uiPriority w:val="99"/>
    <w:rsid w:val="00FA0945"/>
    <w:pPr>
      <w:numPr>
        <w:numId w:val="22"/>
      </w:numPr>
    </w:pPr>
  </w:style>
  <w:style w:type="paragraph" w:customStyle="1" w:styleId="Footertext">
    <w:name w:val="Footer text"/>
    <w:semiHidden/>
    <w:rsid w:val="00FA0945"/>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FA0945"/>
    <w:pPr>
      <w:spacing w:before="85" w:after="85" w:line="240" w:lineRule="auto"/>
    </w:pPr>
    <w:rPr>
      <w:rFonts w:ascii="Arial" w:eastAsia="Times New Roman" w:hAnsi="Arial" w:cs="Arial"/>
      <w:i/>
      <w:sz w:val="12"/>
      <w:szCs w:val="12"/>
    </w:rPr>
  </w:style>
  <w:style w:type="numbering" w:customStyle="1" w:styleId="Numbers">
    <w:name w:val="Numbers"/>
    <w:basedOn w:val="NoList"/>
    <w:rsid w:val="00FA0945"/>
    <w:pPr>
      <w:numPr>
        <w:numId w:val="21"/>
      </w:numPr>
    </w:pPr>
  </w:style>
  <w:style w:type="paragraph" w:customStyle="1" w:styleId="Tablebodytext">
    <w:name w:val="Table body text"/>
    <w:qFormat/>
    <w:rsid w:val="00FA0945"/>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FA0945"/>
    <w:pPr>
      <w:numPr>
        <w:ilvl w:val="6"/>
        <w:numId w:val="22"/>
      </w:numPr>
    </w:pPr>
  </w:style>
  <w:style w:type="paragraph" w:customStyle="1" w:styleId="Tablebullets1stindent">
    <w:name w:val="Table bullets (1st indent)"/>
    <w:basedOn w:val="Tablebodytext"/>
    <w:qFormat/>
    <w:rsid w:val="00FA0945"/>
    <w:pPr>
      <w:numPr>
        <w:ilvl w:val="5"/>
        <w:numId w:val="22"/>
      </w:numPr>
    </w:pPr>
  </w:style>
  <w:style w:type="paragraph" w:customStyle="1" w:styleId="Tablecolumnheading">
    <w:name w:val="Table column heading"/>
    <w:basedOn w:val="Tablebodytext"/>
    <w:qFormat/>
    <w:rsid w:val="00FA0945"/>
    <w:pPr>
      <w:keepNext/>
    </w:pPr>
    <w:rPr>
      <w:b/>
      <w:szCs w:val="18"/>
    </w:rPr>
  </w:style>
  <w:style w:type="paragraph" w:customStyle="1" w:styleId="Tabletitle">
    <w:name w:val="Table title"/>
    <w:next w:val="BodyText1"/>
    <w:qFormat/>
    <w:rsid w:val="00FA0945"/>
    <w:pPr>
      <w:keepNext/>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FA0945"/>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FA0945"/>
    <w:pPr>
      <w:suppressAutoHyphens w:val="0"/>
      <w:spacing w:before="0" w:after="20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FA0945"/>
    <w:rPr>
      <w:rFonts w:ascii="Tahoma" w:eastAsia="Cambria" w:hAnsi="Tahoma" w:cs="Tahoma"/>
      <w:sz w:val="16"/>
      <w:szCs w:val="16"/>
    </w:rPr>
  </w:style>
  <w:style w:type="paragraph" w:customStyle="1" w:styleId="Subtitle2">
    <w:name w:val="Subtitle 2"/>
    <w:uiPriority w:val="2"/>
    <w:semiHidden/>
    <w:rsid w:val="00FA0945"/>
    <w:pPr>
      <w:spacing w:before="200" w:after="0" w:line="240" w:lineRule="auto"/>
      <w:contextualSpacing/>
    </w:pPr>
    <w:rPr>
      <w:rFonts w:ascii="Arial" w:eastAsia="Times New Roman" w:hAnsi="Arial" w:cs="Times New Roman"/>
      <w:caps/>
      <w:color w:val="1C2735"/>
      <w:kern w:val="28"/>
      <w:szCs w:val="32"/>
    </w:rPr>
  </w:style>
  <w:style w:type="paragraph" w:styleId="Quote">
    <w:name w:val="Quote"/>
    <w:link w:val="QuoteChar"/>
    <w:qFormat/>
    <w:rsid w:val="00FA0945"/>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FA0945"/>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FA0945"/>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uiPriority w:val="1"/>
    <w:semiHidden/>
    <w:qFormat/>
    <w:rsid w:val="00FA0945"/>
    <w:rPr>
      <w:rFonts w:ascii="Arial Black" w:hAnsi="Arial Black"/>
      <w:color w:val="005A77"/>
    </w:rPr>
  </w:style>
  <w:style w:type="paragraph" w:customStyle="1" w:styleId="Notetitle">
    <w:name w:val="Note title"/>
    <w:qFormat/>
    <w:rsid w:val="00FA0945"/>
    <w:pPr>
      <w:keepNext/>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uiPriority w:val="1"/>
    <w:semiHidden/>
    <w:qFormat/>
    <w:rsid w:val="00FA0945"/>
    <w:rPr>
      <w:color w:val="1C2735"/>
      <w:lang w:val="en-AU"/>
    </w:rPr>
  </w:style>
  <w:style w:type="paragraph" w:customStyle="1" w:styleId="Boxed2Text-Bullet1">
    <w:name w:val="Boxed 2 Text - Bullet 1"/>
    <w:basedOn w:val="Boxed2Text"/>
    <w:qFormat/>
    <w:rsid w:val="00C1760E"/>
    <w:pPr>
      <w:numPr>
        <w:numId w:val="174"/>
      </w:numPr>
      <w:spacing w:before="0"/>
      <w:ind w:left="709" w:hanging="425"/>
    </w:pPr>
  </w:style>
  <w:style w:type="paragraph" w:customStyle="1" w:styleId="Heading4nonumbers">
    <w:name w:val="Heading 4 (no numbers)"/>
    <w:basedOn w:val="Heading4"/>
    <w:next w:val="BodyText1"/>
    <w:link w:val="Heading4nonumbersChar"/>
    <w:qFormat/>
    <w:rsid w:val="00E35B7E"/>
    <w:pPr>
      <w:spacing w:before="260" w:line="240" w:lineRule="auto"/>
    </w:pPr>
    <w:rPr>
      <w:rFonts w:eastAsia="MS Gothic"/>
      <w:color w:val="005A77"/>
      <w:sz w:val="28"/>
      <w:szCs w:val="24"/>
    </w:rPr>
  </w:style>
  <w:style w:type="character" w:customStyle="1" w:styleId="Heading4nonumbersChar">
    <w:name w:val="Heading 4 (no numbers) Char"/>
    <w:basedOn w:val="Heading4Char"/>
    <w:link w:val="Heading4nonumbers"/>
    <w:rsid w:val="00E35B7E"/>
    <w:rPr>
      <w:rFonts w:asciiTheme="majorHAnsi" w:eastAsia="MS Gothic" w:hAnsiTheme="majorHAnsi" w:cstheme="majorBidi"/>
      <w:bCs/>
      <w:iCs/>
      <w:color w:val="005A77"/>
      <w:sz w:val="28"/>
      <w:szCs w:val="24"/>
    </w:rPr>
  </w:style>
  <w:style w:type="paragraph" w:customStyle="1" w:styleId="Boxtitle">
    <w:name w:val="Box title"/>
    <w:basedOn w:val="Normal"/>
    <w:uiPriority w:val="1"/>
    <w:unhideWhenUsed/>
    <w:rsid w:val="00846B1F"/>
    <w:pPr>
      <w:suppressAutoHyphens w:val="0"/>
      <w:spacing w:before="113" w:after="113" w:line="240" w:lineRule="atLeast"/>
    </w:pPr>
    <w:rPr>
      <w:rFonts w:ascii="Arial" w:eastAsia="Times New Roman" w:hAnsi="Arial" w:cs="Times New Roman"/>
      <w:b/>
      <w:color w:val="005A77"/>
      <w:szCs w:val="24"/>
    </w:rPr>
  </w:style>
  <w:style w:type="table" w:customStyle="1" w:styleId="DOFDplain">
    <w:name w:val="DOFD plain"/>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DDF3FA"/>
      </w:tcPr>
    </w:tblStylePr>
  </w:style>
  <w:style w:type="paragraph" w:styleId="BodyText">
    <w:name w:val="Body Text"/>
    <w:basedOn w:val="Normal"/>
    <w:link w:val="BodyTextChar"/>
    <w:uiPriority w:val="1"/>
    <w:qFormat/>
    <w:rsid w:val="0055235A"/>
    <w:pPr>
      <w:suppressAutoHyphens w:val="0"/>
      <w:spacing w:before="120" w:after="120" w:line="264" w:lineRule="auto"/>
      <w:ind w:right="272"/>
    </w:pPr>
    <w:rPr>
      <w:rFonts w:eastAsia="Cambria" w:cs="Times New Roman"/>
    </w:rPr>
  </w:style>
  <w:style w:type="character" w:customStyle="1" w:styleId="BodyTextChar">
    <w:name w:val="Body Text Char"/>
    <w:basedOn w:val="DefaultParagraphFont"/>
    <w:link w:val="BodyText"/>
    <w:uiPriority w:val="1"/>
    <w:rsid w:val="0055235A"/>
    <w:rPr>
      <w:rFonts w:eastAsia="Cambria" w:cs="Times New Roman"/>
    </w:rPr>
  </w:style>
  <w:style w:type="character" w:customStyle="1" w:styleId="BodyText1Char">
    <w:name w:val="Body Text1 Char"/>
    <w:link w:val="BodyText1"/>
    <w:semiHidden/>
    <w:rsid w:val="00FA0945"/>
    <w:rPr>
      <w:rFonts w:ascii="Cambria" w:eastAsia="Times New Roman" w:hAnsi="Cambria" w:cs="Times New Roman"/>
      <w:szCs w:val="24"/>
    </w:rPr>
  </w:style>
  <w:style w:type="character" w:styleId="CommentReference">
    <w:name w:val="annotation reference"/>
    <w:uiPriority w:val="99"/>
    <w:semiHidden/>
    <w:rsid w:val="00FA0945"/>
    <w:rPr>
      <w:sz w:val="16"/>
      <w:szCs w:val="16"/>
    </w:rPr>
  </w:style>
  <w:style w:type="paragraph" w:styleId="CommentText">
    <w:name w:val="annotation text"/>
    <w:basedOn w:val="Normal"/>
    <w:link w:val="CommentTextChar"/>
    <w:uiPriority w:val="99"/>
    <w:qFormat/>
    <w:rsid w:val="007B5237"/>
    <w:pPr>
      <w:suppressAutoHyphens w:val="0"/>
      <w:spacing w:before="0" w:after="200" w:line="240" w:lineRule="auto"/>
    </w:pPr>
    <w:rPr>
      <w:rFonts w:ascii="Calibri" w:eastAsia="Cambria" w:hAnsi="Calibri" w:cs="Times New Roman"/>
      <w:sz w:val="14"/>
      <w:szCs w:val="20"/>
    </w:rPr>
  </w:style>
  <w:style w:type="character" w:customStyle="1" w:styleId="CommentTextChar">
    <w:name w:val="Comment Text Char"/>
    <w:basedOn w:val="DefaultParagraphFont"/>
    <w:link w:val="CommentText"/>
    <w:uiPriority w:val="99"/>
    <w:rsid w:val="007B5237"/>
    <w:rPr>
      <w:rFonts w:ascii="Calibri" w:eastAsia="Cambria" w:hAnsi="Calibri" w:cs="Times New Roman"/>
      <w:sz w:val="14"/>
      <w:szCs w:val="20"/>
    </w:rPr>
  </w:style>
  <w:style w:type="paragraph" w:styleId="ListNumber">
    <w:name w:val="List Number"/>
    <w:basedOn w:val="Normal"/>
    <w:qFormat/>
    <w:rsid w:val="00FA0945"/>
    <w:pPr>
      <w:tabs>
        <w:tab w:val="num" w:pos="360"/>
      </w:tabs>
      <w:suppressAutoHyphens w:val="0"/>
      <w:spacing w:before="0" w:after="240" w:line="240" w:lineRule="auto"/>
      <w:ind w:left="360" w:hanging="360"/>
      <w:contextualSpacing/>
    </w:pPr>
    <w:rPr>
      <w:rFonts w:ascii="Cambria" w:eastAsia="Cambria" w:hAnsi="Cambria" w:cs="Times New Roman"/>
    </w:rPr>
  </w:style>
  <w:style w:type="paragraph" w:styleId="ListNumber2">
    <w:name w:val="List Number 2"/>
    <w:basedOn w:val="Normal"/>
    <w:uiPriority w:val="99"/>
    <w:rsid w:val="00FA0945"/>
    <w:pPr>
      <w:tabs>
        <w:tab w:val="num" w:pos="643"/>
      </w:tabs>
      <w:suppressAutoHyphens w:val="0"/>
      <w:spacing w:before="0" w:after="200" w:line="240" w:lineRule="auto"/>
      <w:ind w:left="643" w:hanging="360"/>
      <w:contextualSpacing/>
    </w:pPr>
    <w:rPr>
      <w:rFonts w:ascii="Cambria" w:eastAsia="Cambria" w:hAnsi="Cambria" w:cs="Times New Roman"/>
    </w:rPr>
  </w:style>
  <w:style w:type="paragraph" w:styleId="ListBullet">
    <w:name w:val="List Bullet"/>
    <w:basedOn w:val="Normal"/>
    <w:qFormat/>
    <w:rsid w:val="00E86EC8"/>
    <w:pPr>
      <w:suppressAutoHyphens w:val="0"/>
      <w:spacing w:before="0" w:after="240" w:line="240" w:lineRule="auto"/>
      <w:ind w:left="360" w:hanging="360"/>
      <w:contextualSpacing/>
    </w:pPr>
    <w:rPr>
      <w:rFonts w:ascii="Arial" w:eastAsia="Cambria" w:hAnsi="Arial" w:cs="Times New Roman"/>
    </w:rPr>
  </w:style>
  <w:style w:type="table" w:customStyle="1" w:styleId="DOFDtexttable">
    <w:name w:val="DOFD_text table"/>
    <w:basedOn w:val="TableNormal"/>
    <w:uiPriority w:val="99"/>
    <w:qFormat/>
    <w:rsid w:val="00FA0945"/>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72CE9B"/>
        <w:tcMar>
          <w:top w:w="113" w:type="dxa"/>
          <w:left w:w="0" w:type="nil"/>
          <w:bottom w:w="113" w:type="dxa"/>
          <w:right w:w="0" w:type="nil"/>
        </w:tcMar>
      </w:tcPr>
    </w:tblStylePr>
  </w:style>
  <w:style w:type="paragraph" w:styleId="EndnoteText">
    <w:name w:val="endnote text"/>
    <w:basedOn w:val="Normal"/>
    <w:link w:val="EndnoteTextChar"/>
    <w:uiPriority w:val="99"/>
    <w:semiHidden/>
    <w:rsid w:val="00FA0945"/>
    <w:pPr>
      <w:suppressAutoHyphens w:val="0"/>
      <w:spacing w:before="0" w:after="200" w:line="240" w:lineRule="auto"/>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FA0945"/>
    <w:rPr>
      <w:rFonts w:ascii="Cambria" w:eastAsia="Cambria" w:hAnsi="Cambria" w:cs="Times New Roman"/>
      <w:szCs w:val="20"/>
    </w:rPr>
  </w:style>
  <w:style w:type="character" w:styleId="EndnoteReference">
    <w:name w:val="endnote reference"/>
    <w:uiPriority w:val="99"/>
    <w:semiHidden/>
    <w:rsid w:val="00FA0945"/>
    <w:rPr>
      <w:vertAlign w:val="superscript"/>
    </w:rPr>
  </w:style>
  <w:style w:type="paragraph" w:styleId="List3">
    <w:name w:val="List 3"/>
    <w:basedOn w:val="Normal"/>
    <w:qFormat/>
    <w:rsid w:val="00846B1F"/>
    <w:pPr>
      <w:numPr>
        <w:ilvl w:val="5"/>
      </w:numPr>
      <w:suppressAutoHyphens w:val="0"/>
      <w:spacing w:before="0" w:after="0" w:line="240" w:lineRule="auto"/>
      <w:ind w:left="1135" w:hanging="284"/>
    </w:pPr>
    <w:rPr>
      <w:rFonts w:ascii="Cambria" w:eastAsia="Times New Roman" w:hAnsi="Cambria" w:cs="Times New Roman"/>
      <w:szCs w:val="24"/>
    </w:rPr>
  </w:style>
  <w:style w:type="character" w:styleId="FollowedHyperlink">
    <w:name w:val="FollowedHyperlink"/>
    <w:uiPriority w:val="99"/>
    <w:semiHidden/>
    <w:rsid w:val="00FA0945"/>
    <w:rPr>
      <w:color w:val="800080"/>
      <w:u w:val="single"/>
    </w:rPr>
  </w:style>
  <w:style w:type="paragraph" w:styleId="Revision">
    <w:name w:val="Revision"/>
    <w:hidden/>
    <w:uiPriority w:val="99"/>
    <w:semiHidden/>
    <w:rsid w:val="00FA0945"/>
    <w:pPr>
      <w:spacing w:after="0" w:line="240" w:lineRule="auto"/>
    </w:pPr>
    <w:rPr>
      <w:rFonts w:ascii="Cambria" w:eastAsia="Cambria" w:hAnsi="Cambria" w:cs="Times New Roman"/>
    </w:rPr>
  </w:style>
  <w:style w:type="numbering" w:styleId="111111">
    <w:name w:val="Outline List 2"/>
    <w:basedOn w:val="NoList"/>
    <w:semiHidden/>
    <w:unhideWhenUsed/>
    <w:rsid w:val="00FA0945"/>
    <w:pPr>
      <w:numPr>
        <w:numId w:val="33"/>
      </w:numPr>
    </w:pPr>
  </w:style>
  <w:style w:type="paragraph" w:customStyle="1" w:styleId="OutlineNumbered1">
    <w:name w:val="Outline Numbered 1"/>
    <w:basedOn w:val="Normal"/>
    <w:rsid w:val="00FA0945"/>
    <w:pPr>
      <w:numPr>
        <w:numId w:val="34"/>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2">
    <w:name w:val="Outline Numbered 2"/>
    <w:basedOn w:val="Normal"/>
    <w:rsid w:val="00FA0945"/>
    <w:pPr>
      <w:numPr>
        <w:ilvl w:val="1"/>
        <w:numId w:val="34"/>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3">
    <w:name w:val="Outline Numbered 3"/>
    <w:basedOn w:val="Normal"/>
    <w:rsid w:val="00FA0945"/>
    <w:pPr>
      <w:numPr>
        <w:ilvl w:val="2"/>
        <w:numId w:val="34"/>
      </w:numPr>
      <w:suppressAutoHyphens w:val="0"/>
      <w:spacing w:before="80" w:after="0" w:line="240" w:lineRule="auto"/>
    </w:pPr>
    <w:rPr>
      <w:rFonts w:ascii="Arial" w:eastAsia="Times New Roman" w:hAnsi="Arial" w:cs="Times New Roman"/>
      <w:sz w:val="18"/>
      <w:szCs w:val="20"/>
      <w:lang w:eastAsia="en-AU"/>
    </w:rPr>
  </w:style>
  <w:style w:type="paragraph" w:styleId="CommentSubject">
    <w:name w:val="annotation subject"/>
    <w:basedOn w:val="CommentText"/>
    <w:next w:val="CommentText"/>
    <w:link w:val="CommentSubjectChar"/>
    <w:uiPriority w:val="99"/>
    <w:semiHidden/>
    <w:rsid w:val="00FA0945"/>
    <w:rPr>
      <w:b/>
      <w:bCs/>
      <w:sz w:val="20"/>
    </w:rPr>
  </w:style>
  <w:style w:type="character" w:customStyle="1" w:styleId="CommentSubjectChar">
    <w:name w:val="Comment Subject Char"/>
    <w:basedOn w:val="CommentTextChar"/>
    <w:link w:val="CommentSubject"/>
    <w:uiPriority w:val="99"/>
    <w:semiHidden/>
    <w:rsid w:val="00FA0945"/>
    <w:rPr>
      <w:rFonts w:ascii="Cambria" w:eastAsia="Cambria" w:hAnsi="Cambria" w:cs="Times New Roman"/>
      <w:b/>
      <w:bCs/>
      <w:sz w:val="20"/>
      <w:szCs w:val="20"/>
    </w:rPr>
  </w:style>
  <w:style w:type="paragraph" w:customStyle="1" w:styleId="Exampletext">
    <w:name w:val="Example text"/>
    <w:basedOn w:val="Normal"/>
    <w:link w:val="ExampletextCharChar"/>
    <w:rsid w:val="00FA0945"/>
    <w:pPr>
      <w:suppressAutoHyphens w:val="0"/>
      <w:spacing w:before="0" w:after="240" w:line="260" w:lineRule="exact"/>
      <w:jc w:val="both"/>
    </w:pPr>
    <w:rPr>
      <w:rFonts w:ascii="Book Antiqua" w:eastAsia="Times New Roman" w:hAnsi="Book Antiqua" w:cs="Times New Roman"/>
      <w:i/>
      <w:color w:val="FF0000"/>
      <w:szCs w:val="20"/>
      <w:lang w:val="x-none" w:eastAsia="x-none"/>
    </w:rPr>
  </w:style>
  <w:style w:type="character" w:customStyle="1" w:styleId="ExampletextCharChar">
    <w:name w:val="Example text Char Char"/>
    <w:link w:val="Exampletext"/>
    <w:rsid w:val="00FA0945"/>
    <w:rPr>
      <w:rFonts w:ascii="Book Antiqua" w:eastAsia="Times New Roman" w:hAnsi="Book Antiqua" w:cs="Times New Roman"/>
      <w:i/>
      <w:color w:val="FF0000"/>
      <w:sz w:val="20"/>
      <w:szCs w:val="20"/>
      <w:lang w:val="x-none" w:eastAsia="x-none"/>
    </w:rPr>
  </w:style>
  <w:style w:type="paragraph" w:customStyle="1" w:styleId="ChartandTableFootnote">
    <w:name w:val="Chart and Table Footnote"/>
    <w:basedOn w:val="Normal"/>
    <w:next w:val="Normal"/>
    <w:link w:val="ChartandTableFootnoteChar"/>
    <w:rsid w:val="00FA0945"/>
    <w:pPr>
      <w:keepNext/>
      <w:tabs>
        <w:tab w:val="left" w:pos="284"/>
      </w:tabs>
      <w:suppressAutoHyphens w:val="0"/>
      <w:spacing w:before="0" w:after="0" w:line="240" w:lineRule="auto"/>
      <w:ind w:left="284" w:hanging="284"/>
      <w:jc w:val="both"/>
    </w:pPr>
    <w:rPr>
      <w:rFonts w:ascii="Arial" w:eastAsia="Times New Roman" w:hAnsi="Arial" w:cs="Times New Roman"/>
      <w:sz w:val="16"/>
      <w:szCs w:val="20"/>
      <w:lang w:val="x-none" w:eastAsia="x-none"/>
    </w:rPr>
  </w:style>
  <w:style w:type="character" w:customStyle="1" w:styleId="ChartandTableFootnoteChar">
    <w:name w:val="Chart and Table Footnote Char"/>
    <w:link w:val="ChartandTableFootnote"/>
    <w:rsid w:val="00FA0945"/>
    <w:rPr>
      <w:rFonts w:ascii="Arial" w:eastAsia="Times New Roman" w:hAnsi="Arial" w:cs="Times New Roman"/>
      <w:sz w:val="16"/>
      <w:szCs w:val="20"/>
      <w:lang w:val="x-none" w:eastAsia="x-none"/>
    </w:rPr>
  </w:style>
  <w:style w:type="paragraph" w:styleId="ListParagraph">
    <w:name w:val="List Paragraph"/>
    <w:basedOn w:val="Normal"/>
    <w:link w:val="ListParagraphChar"/>
    <w:uiPriority w:val="34"/>
    <w:qFormat/>
    <w:rsid w:val="00B751D1"/>
    <w:pPr>
      <w:widowControl w:val="0"/>
      <w:suppressAutoHyphens w:val="0"/>
      <w:autoSpaceDE w:val="0"/>
      <w:autoSpaceDN w:val="0"/>
      <w:spacing w:before="118" w:after="0" w:line="240" w:lineRule="auto"/>
      <w:ind w:left="664" w:hanging="360"/>
    </w:pPr>
    <w:rPr>
      <w:rFonts w:ascii="Cambria" w:eastAsia="Cambria" w:hAnsi="Cambria" w:cs="Cambria"/>
      <w:lang w:val="en-US"/>
    </w:rPr>
  </w:style>
  <w:style w:type="paragraph" w:customStyle="1" w:styleId="TableParagraph">
    <w:name w:val="Table Paragraph"/>
    <w:basedOn w:val="Normal"/>
    <w:uiPriority w:val="1"/>
    <w:qFormat/>
    <w:rsid w:val="00A27EA7"/>
    <w:pPr>
      <w:widowControl w:val="0"/>
      <w:suppressAutoHyphens w:val="0"/>
      <w:autoSpaceDE w:val="0"/>
      <w:autoSpaceDN w:val="0"/>
      <w:spacing w:before="0" w:after="0" w:line="240" w:lineRule="auto"/>
    </w:pPr>
    <w:rPr>
      <w:rFonts w:ascii="Cambria" w:eastAsia="Cambria" w:hAnsi="Cambria" w:cs="Cambria"/>
      <w:lang w:val="en-US"/>
    </w:rPr>
  </w:style>
  <w:style w:type="table" w:styleId="PlainTable4">
    <w:name w:val="Plain Table 4"/>
    <w:basedOn w:val="TableNormal"/>
    <w:uiPriority w:val="44"/>
    <w:rsid w:val="00334C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BSCoverText">
    <w:name w:val="PBS Cover Text"/>
    <w:basedOn w:val="Title"/>
    <w:qFormat/>
    <w:rsid w:val="00D018F5"/>
  </w:style>
  <w:style w:type="paragraph" w:customStyle="1" w:styleId="CoverPage">
    <w:name w:val="Cover Page"/>
    <w:basedOn w:val="Normal"/>
    <w:qFormat/>
    <w:rsid w:val="00A10310"/>
    <w:pPr>
      <w:jc w:val="center"/>
    </w:pPr>
    <w:rPr>
      <w:sz w:val="44"/>
      <w:szCs w:val="40"/>
    </w:rPr>
  </w:style>
  <w:style w:type="paragraph" w:customStyle="1" w:styleId="TableText-Normal">
    <w:name w:val="Table Text - Normal"/>
    <w:basedOn w:val="BodyText"/>
    <w:qFormat/>
    <w:rsid w:val="004D0115"/>
    <w:pPr>
      <w:spacing w:before="40" w:after="40" w:line="220" w:lineRule="atLeast"/>
      <w:ind w:left="130" w:right="96"/>
    </w:pPr>
  </w:style>
  <w:style w:type="paragraph" w:customStyle="1" w:styleId="TableText-NormalIndented">
    <w:name w:val="Table Text - Normal Indented"/>
    <w:basedOn w:val="TableText-Normal"/>
    <w:qFormat/>
    <w:rsid w:val="00BD02A1"/>
    <w:pPr>
      <w:spacing w:after="60"/>
      <w:ind w:left="720"/>
    </w:pPr>
    <w:rPr>
      <w:szCs w:val="20"/>
    </w:rPr>
  </w:style>
  <w:style w:type="paragraph" w:customStyle="1" w:styleId="NormalTextRed">
    <w:name w:val="Normal Text Red"/>
    <w:basedOn w:val="Normal"/>
    <w:qFormat/>
    <w:rsid w:val="00DB6DDE"/>
    <w:rPr>
      <w:color w:val="FF0000"/>
    </w:rPr>
  </w:style>
  <w:style w:type="paragraph" w:customStyle="1" w:styleId="IndentRedText">
    <w:name w:val="Indent Red Text"/>
    <w:basedOn w:val="IndentBlueText"/>
    <w:qFormat/>
    <w:rsid w:val="00117EF6"/>
    <w:rPr>
      <w:color w:val="FF0000"/>
    </w:rPr>
  </w:style>
  <w:style w:type="paragraph" w:styleId="ListBullet2">
    <w:name w:val="List Bullet 2"/>
    <w:basedOn w:val="Normal"/>
    <w:uiPriority w:val="99"/>
    <w:unhideWhenUsed/>
    <w:rsid w:val="00052ECD"/>
    <w:pPr>
      <w:numPr>
        <w:numId w:val="12"/>
      </w:numPr>
      <w:contextualSpacing/>
    </w:pPr>
  </w:style>
  <w:style w:type="paragraph" w:customStyle="1" w:styleId="CBMSReportPath">
    <w:name w:val="CBMS Report Path"/>
    <w:basedOn w:val="Normal"/>
    <w:uiPriority w:val="1"/>
    <w:qFormat/>
    <w:rsid w:val="00052ECD"/>
    <w:pPr>
      <w:spacing w:before="240" w:after="240"/>
    </w:pPr>
    <w:rPr>
      <w:i/>
      <w:color w:val="0070C0"/>
    </w:rPr>
  </w:style>
  <w:style w:type="paragraph" w:customStyle="1" w:styleId="TableText-Small">
    <w:name w:val="Table Text - Small"/>
    <w:basedOn w:val="TableText-Normal"/>
    <w:qFormat/>
    <w:rsid w:val="00B56367"/>
    <w:rPr>
      <w:sz w:val="18"/>
      <w:szCs w:val="18"/>
    </w:rPr>
  </w:style>
  <w:style w:type="paragraph" w:customStyle="1" w:styleId="LeasingProgTableText">
    <w:name w:val="Leasing Prog Table Text"/>
    <w:basedOn w:val="Normal"/>
    <w:qFormat/>
    <w:rsid w:val="001C70F1"/>
    <w:pPr>
      <w:spacing w:before="0" w:after="0"/>
    </w:pPr>
    <w:rPr>
      <w:sz w:val="19"/>
      <w:lang w:eastAsia="en-AU"/>
    </w:rPr>
  </w:style>
  <w:style w:type="paragraph" w:customStyle="1" w:styleId="TableText-SuperSmallBold">
    <w:name w:val="Table Text - Super Small Bold"/>
    <w:basedOn w:val="TableText-Small"/>
    <w:qFormat/>
    <w:rsid w:val="00B45DD3"/>
    <w:rPr>
      <w:b/>
      <w:sz w:val="16"/>
      <w:szCs w:val="16"/>
    </w:rPr>
  </w:style>
  <w:style w:type="paragraph" w:customStyle="1" w:styleId="Bullet5">
    <w:name w:val="Bullet 5"/>
    <w:basedOn w:val="BodyText"/>
    <w:qFormat/>
    <w:rsid w:val="00D2417F"/>
    <w:pPr>
      <w:numPr>
        <w:ilvl w:val="3"/>
        <w:numId w:val="163"/>
      </w:numPr>
      <w:ind w:left="2126" w:right="0" w:hanging="425"/>
    </w:pPr>
  </w:style>
  <w:style w:type="paragraph" w:customStyle="1" w:styleId="TableText-NormalRed">
    <w:name w:val="Table Text - Normal Red"/>
    <w:basedOn w:val="NormalTextRed"/>
    <w:qFormat/>
    <w:rsid w:val="00314AE9"/>
  </w:style>
  <w:style w:type="paragraph" w:customStyle="1" w:styleId="TableText-Normal-DotPoint">
    <w:name w:val="Table Text - Normal - Dot Point"/>
    <w:basedOn w:val="TableText-Normal"/>
    <w:qFormat/>
    <w:rsid w:val="0065254A"/>
    <w:pPr>
      <w:numPr>
        <w:numId w:val="165"/>
      </w:numPr>
    </w:pPr>
  </w:style>
  <w:style w:type="paragraph" w:customStyle="1" w:styleId="IndentText1">
    <w:name w:val="Indent Text 1"/>
    <w:basedOn w:val="Bullet1"/>
    <w:qFormat/>
    <w:rsid w:val="00B200D2"/>
    <w:pPr>
      <w:numPr>
        <w:numId w:val="0"/>
      </w:numPr>
      <w:ind w:left="425"/>
    </w:pPr>
  </w:style>
  <w:style w:type="paragraph" w:customStyle="1" w:styleId="Boxed1Text">
    <w:name w:val="Boxed 1 Text"/>
    <w:basedOn w:val="Normal"/>
    <w:qFormat/>
    <w:rsid w:val="00BC18D2"/>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spacing w:before="180"/>
      <w:ind w:left="284" w:right="284"/>
    </w:pPr>
    <w:rPr>
      <w:szCs w:val="22"/>
    </w:rPr>
  </w:style>
  <w:style w:type="paragraph" w:customStyle="1" w:styleId="Boxed1Heading">
    <w:name w:val="Boxed 1 Heading"/>
    <w:basedOn w:val="Boxed1Text"/>
    <w:qFormat/>
    <w:rsid w:val="00BC18D2"/>
    <w:rPr>
      <w:b/>
      <w:sz w:val="24"/>
    </w:rPr>
  </w:style>
  <w:style w:type="paragraph" w:customStyle="1" w:styleId="Boxed2Text">
    <w:name w:val="Boxed 2 Text"/>
    <w:basedOn w:val="Boxed1Text"/>
    <w:qFormat/>
    <w:rsid w:val="00BC18D2"/>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BC18D2"/>
    <w:rPr>
      <w:b/>
      <w:sz w:val="24"/>
    </w:rPr>
  </w:style>
  <w:style w:type="paragraph" w:customStyle="1" w:styleId="Heading1Numbered">
    <w:name w:val="Heading 1 Numbered"/>
    <w:basedOn w:val="Heading1"/>
    <w:next w:val="Normal"/>
    <w:qFormat/>
    <w:rsid w:val="002227A6"/>
    <w:pPr>
      <w:numPr>
        <w:numId w:val="172"/>
      </w:numPr>
    </w:pPr>
  </w:style>
  <w:style w:type="paragraph" w:customStyle="1" w:styleId="Heading3Numbered">
    <w:name w:val="Heading 3 Numbered"/>
    <w:basedOn w:val="Heading3"/>
    <w:next w:val="Normal"/>
    <w:qFormat/>
    <w:rsid w:val="00A87BD4"/>
    <w:pPr>
      <w:numPr>
        <w:ilvl w:val="2"/>
        <w:numId w:val="172"/>
      </w:numPr>
      <w:ind w:left="993" w:hanging="993"/>
    </w:pPr>
    <w:rPr>
      <w:szCs w:val="22"/>
    </w:rPr>
  </w:style>
  <w:style w:type="paragraph" w:customStyle="1" w:styleId="TableText-Bullets">
    <w:name w:val="Table Text - Bullets"/>
    <w:basedOn w:val="TableText"/>
    <w:rsid w:val="008A3568"/>
    <w:pPr>
      <w:numPr>
        <w:numId w:val="177"/>
      </w:numPr>
    </w:pPr>
  </w:style>
  <w:style w:type="paragraph" w:styleId="ListNumber3">
    <w:name w:val="List Number 3"/>
    <w:basedOn w:val="Normal"/>
    <w:uiPriority w:val="99"/>
    <w:unhideWhenUsed/>
    <w:rsid w:val="0074521F"/>
    <w:pPr>
      <w:numPr>
        <w:numId w:val="18"/>
      </w:numPr>
      <w:contextualSpacing/>
    </w:pPr>
  </w:style>
  <w:style w:type="paragraph" w:customStyle="1" w:styleId="TableText-Bullets-Compact">
    <w:name w:val="Table Text - Bullets - Compact"/>
    <w:basedOn w:val="TableText-Normal-DotPoint"/>
    <w:rsid w:val="00A250B5"/>
    <w:rPr>
      <w:sz w:val="18"/>
      <w:szCs w:val="18"/>
    </w:rPr>
  </w:style>
  <w:style w:type="paragraph" w:customStyle="1" w:styleId="CrossReference">
    <w:name w:val="Cross Reference"/>
    <w:basedOn w:val="NumberedList2"/>
    <w:qFormat/>
    <w:rsid w:val="00C611D7"/>
    <w:pPr>
      <w:numPr>
        <w:ilvl w:val="0"/>
        <w:numId w:val="0"/>
      </w:numPr>
    </w:pPr>
    <w:rPr>
      <w:i/>
      <w:color w:val="0070C0"/>
    </w:rPr>
  </w:style>
  <w:style w:type="paragraph" w:customStyle="1" w:styleId="Bullets1stindent">
    <w:name w:val="Bullets (1st indent)"/>
    <w:basedOn w:val="Normal"/>
    <w:qFormat/>
    <w:rsid w:val="000457F9"/>
    <w:pPr>
      <w:suppressAutoHyphens w:val="0"/>
      <w:spacing w:before="0" w:after="120" w:line="276" w:lineRule="auto"/>
      <w:ind w:left="360" w:hanging="360"/>
    </w:pPr>
    <w:rPr>
      <w:szCs w:val="22"/>
    </w:rPr>
  </w:style>
  <w:style w:type="paragraph" w:customStyle="1" w:styleId="Bullets2ndindent">
    <w:name w:val="Bullets (2nd indent)"/>
    <w:basedOn w:val="Normal"/>
    <w:qFormat/>
    <w:rsid w:val="000457F9"/>
    <w:pPr>
      <w:tabs>
        <w:tab w:val="num" w:pos="567"/>
      </w:tabs>
      <w:suppressAutoHyphens w:val="0"/>
      <w:spacing w:before="0" w:after="120" w:line="276" w:lineRule="auto"/>
      <w:ind w:left="567" w:hanging="283"/>
    </w:pPr>
    <w:rPr>
      <w:szCs w:val="22"/>
    </w:rPr>
  </w:style>
  <w:style w:type="paragraph" w:customStyle="1" w:styleId="Bulletslast1stindent">
    <w:name w:val="Bullets last (1st indent)"/>
    <w:basedOn w:val="Normal"/>
    <w:rsid w:val="000457F9"/>
    <w:pPr>
      <w:tabs>
        <w:tab w:val="num" w:pos="284"/>
      </w:tabs>
      <w:suppressAutoHyphens w:val="0"/>
      <w:spacing w:before="0" w:after="200" w:line="276" w:lineRule="auto"/>
      <w:ind w:left="284" w:hanging="284"/>
    </w:pPr>
    <w:rPr>
      <w:szCs w:val="22"/>
    </w:rPr>
  </w:style>
  <w:style w:type="paragraph" w:customStyle="1" w:styleId="Bulletslast2ndindent">
    <w:name w:val="Bullets last (2nd indent)"/>
    <w:basedOn w:val="Normal"/>
    <w:rsid w:val="000457F9"/>
    <w:pPr>
      <w:tabs>
        <w:tab w:val="num" w:pos="567"/>
      </w:tabs>
      <w:suppressAutoHyphens w:val="0"/>
      <w:spacing w:before="0" w:after="57" w:line="276" w:lineRule="auto"/>
      <w:ind w:left="567" w:hanging="283"/>
    </w:pPr>
    <w:rPr>
      <w:szCs w:val="22"/>
    </w:rPr>
  </w:style>
  <w:style w:type="paragraph" w:customStyle="1" w:styleId="BulletsTable1">
    <w:name w:val="Bullets Table 1"/>
    <w:basedOn w:val="Bullets1stindent"/>
    <w:qFormat/>
    <w:rsid w:val="000457F9"/>
    <w:pPr>
      <w:spacing w:after="60"/>
      <w:ind w:left="357" w:hanging="357"/>
      <w:contextualSpacing/>
    </w:pPr>
  </w:style>
  <w:style w:type="paragraph" w:customStyle="1" w:styleId="TableText-Medium">
    <w:name w:val="Table Text - Medium"/>
    <w:basedOn w:val="TableText-Normal"/>
    <w:qFormat/>
    <w:rsid w:val="0057047B"/>
    <w:pPr>
      <w:spacing w:before="60" w:after="60"/>
    </w:pPr>
    <w:rPr>
      <w:sz w:val="20"/>
      <w:szCs w:val="20"/>
    </w:rPr>
  </w:style>
  <w:style w:type="paragraph" w:customStyle="1" w:styleId="TableText-Medium-DotPoints">
    <w:name w:val="Table Text - Medium - Dot Points"/>
    <w:basedOn w:val="TableText-Normal-DotPoint"/>
    <w:qFormat/>
    <w:rsid w:val="0057047B"/>
    <w:rPr>
      <w:sz w:val="20"/>
      <w:szCs w:val="20"/>
    </w:rPr>
  </w:style>
  <w:style w:type="paragraph" w:customStyle="1" w:styleId="Default">
    <w:name w:val="Default"/>
    <w:rsid w:val="00DD311E"/>
    <w:pPr>
      <w:autoSpaceDE w:val="0"/>
      <w:autoSpaceDN w:val="0"/>
      <w:adjustRightInd w:val="0"/>
      <w:spacing w:after="0" w:line="240" w:lineRule="auto"/>
    </w:pPr>
    <w:rPr>
      <w:rFonts w:ascii="Cambria" w:hAnsi="Cambria" w:cs="Cambria"/>
      <w:color w:val="000000"/>
      <w:sz w:val="24"/>
      <w:szCs w:val="24"/>
    </w:rPr>
  </w:style>
  <w:style w:type="paragraph" w:customStyle="1" w:styleId="Numbered">
    <w:name w:val="Numbered"/>
    <w:basedOn w:val="ListParagraph"/>
    <w:qFormat/>
    <w:rsid w:val="00AD6C9A"/>
    <w:pPr>
      <w:numPr>
        <w:numId w:val="239"/>
      </w:numPr>
      <w:spacing w:before="160"/>
    </w:pPr>
    <w:rPr>
      <w:rFonts w:asciiTheme="minorHAnsi" w:hAnsiTheme="minorHAnsi" w:cstheme="minorHAnsi"/>
      <w:lang w:val="en-AU"/>
    </w:rPr>
  </w:style>
  <w:style w:type="character" w:customStyle="1" w:styleId="ListParagraphChar">
    <w:name w:val="List Paragraph Char"/>
    <w:basedOn w:val="DefaultParagraphFont"/>
    <w:link w:val="ListParagraph"/>
    <w:uiPriority w:val="34"/>
    <w:locked/>
    <w:rsid w:val="007A0E16"/>
    <w:rPr>
      <w:rFonts w:ascii="Cambria" w:eastAsia="Cambria" w:hAnsi="Cambria" w:cs="Cambria"/>
      <w:szCs w:val="28"/>
      <w:lang w:val="en-US"/>
    </w:rPr>
  </w:style>
  <w:style w:type="paragraph" w:customStyle="1" w:styleId="ListParagraph2">
    <w:name w:val="List Paragraph 2"/>
    <w:basedOn w:val="ListParagraph"/>
    <w:qFormat/>
    <w:rsid w:val="007A0E16"/>
    <w:pPr>
      <w:widowControl/>
      <w:tabs>
        <w:tab w:val="num" w:pos="360"/>
      </w:tabs>
      <w:autoSpaceDE/>
      <w:autoSpaceDN/>
      <w:spacing w:before="0" w:after="120" w:line="22" w:lineRule="atLeast"/>
      <w:ind w:left="1111" w:hanging="357"/>
      <w:contextualSpacing/>
    </w:pPr>
    <w:rPr>
      <w:rFonts w:asciiTheme="minorHAnsi" w:eastAsiaTheme="minorHAnsi" w:hAnsiTheme="minorHAnsi" w:cstheme="minorBidi"/>
      <w:sz w:val="24"/>
      <w:szCs w:val="24"/>
      <w:lang w:val="en-AU"/>
    </w:rPr>
  </w:style>
  <w:style w:type="paragraph" w:customStyle="1" w:styleId="LetteredList">
    <w:name w:val="Lettered List"/>
    <w:basedOn w:val="ListParagraph2"/>
    <w:qFormat/>
    <w:rsid w:val="0089770B"/>
    <w:pPr>
      <w:numPr>
        <w:numId w:val="248"/>
      </w:numPr>
      <w:spacing w:before="120"/>
      <w:ind w:left="709"/>
      <w:contextualSpacing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2203">
      <w:bodyDiv w:val="1"/>
      <w:marLeft w:val="0"/>
      <w:marRight w:val="0"/>
      <w:marTop w:val="0"/>
      <w:marBottom w:val="0"/>
      <w:divBdr>
        <w:top w:val="none" w:sz="0" w:space="0" w:color="auto"/>
        <w:left w:val="none" w:sz="0" w:space="0" w:color="auto"/>
        <w:bottom w:val="none" w:sz="0" w:space="0" w:color="auto"/>
        <w:right w:val="none" w:sz="0" w:space="0" w:color="auto"/>
      </w:divBdr>
    </w:div>
    <w:div w:id="238708576">
      <w:bodyDiv w:val="1"/>
      <w:marLeft w:val="0"/>
      <w:marRight w:val="0"/>
      <w:marTop w:val="0"/>
      <w:marBottom w:val="0"/>
      <w:divBdr>
        <w:top w:val="none" w:sz="0" w:space="0" w:color="auto"/>
        <w:left w:val="none" w:sz="0" w:space="0" w:color="auto"/>
        <w:bottom w:val="none" w:sz="0" w:space="0" w:color="auto"/>
        <w:right w:val="none" w:sz="0" w:space="0" w:color="auto"/>
      </w:divBdr>
    </w:div>
    <w:div w:id="795175638">
      <w:bodyDiv w:val="1"/>
      <w:marLeft w:val="0"/>
      <w:marRight w:val="0"/>
      <w:marTop w:val="0"/>
      <w:marBottom w:val="0"/>
      <w:divBdr>
        <w:top w:val="none" w:sz="0" w:space="0" w:color="auto"/>
        <w:left w:val="none" w:sz="0" w:space="0" w:color="auto"/>
        <w:bottom w:val="none" w:sz="0" w:space="0" w:color="auto"/>
        <w:right w:val="none" w:sz="0" w:space="0" w:color="auto"/>
      </w:divBdr>
    </w:div>
    <w:div w:id="1012756431">
      <w:bodyDiv w:val="1"/>
      <w:marLeft w:val="0"/>
      <w:marRight w:val="0"/>
      <w:marTop w:val="0"/>
      <w:marBottom w:val="0"/>
      <w:divBdr>
        <w:top w:val="none" w:sz="0" w:space="0" w:color="auto"/>
        <w:left w:val="none" w:sz="0" w:space="0" w:color="auto"/>
        <w:bottom w:val="none" w:sz="0" w:space="0" w:color="auto"/>
        <w:right w:val="none" w:sz="0" w:space="0" w:color="auto"/>
      </w:divBdr>
    </w:div>
    <w:div w:id="1450200152">
      <w:bodyDiv w:val="1"/>
      <w:marLeft w:val="0"/>
      <w:marRight w:val="0"/>
      <w:marTop w:val="0"/>
      <w:marBottom w:val="0"/>
      <w:divBdr>
        <w:top w:val="none" w:sz="0" w:space="0" w:color="auto"/>
        <w:left w:val="none" w:sz="0" w:space="0" w:color="auto"/>
        <w:bottom w:val="none" w:sz="0" w:space="0" w:color="auto"/>
        <w:right w:val="none" w:sz="0" w:space="0" w:color="auto"/>
      </w:divBdr>
    </w:div>
    <w:div w:id="19670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data.gov.au" TargetMode="External"/><Relationship Id="rId26" Type="http://schemas.openxmlformats.org/officeDocument/2006/relationships/hyperlink" Target="mailto:eec.sen@aph.gov.au" TargetMode="External"/><Relationship Id="rId39" Type="http://schemas.openxmlformats.org/officeDocument/2006/relationships/hyperlink" Target="mailto:budget-website@treasury.gov.au" TargetMode="External"/><Relationship Id="rId21" Type="http://schemas.openxmlformats.org/officeDocument/2006/relationships/hyperlink" Target="http://www.protectivesecurity.gov.au/" TargetMode="External"/><Relationship Id="rId34" Type="http://schemas.openxmlformats.org/officeDocument/2006/relationships/hyperlink" Target="http://govlink.sge.net/home.aspx" TargetMode="External"/><Relationship Id="rId42" Type="http://schemas.openxmlformats.org/officeDocument/2006/relationships/hyperlink" Target="mailto:data@digital.gov.au" TargetMode="Externa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hyperlink" Target="https://www.finance.gov.au/publications/resource-management-guides-rmgs/commonwealth-entities-financial-statements-guide-rmg-125" TargetMode="External"/><Relationship Id="rId63" Type="http://schemas.openxmlformats.org/officeDocument/2006/relationships/hyperlink" Target="https://www.finance.gov.au/government/financial-reporting-accounting-policy/financial-reporting-commonwealth-entities" TargetMode="External"/><Relationship Id="rId68" Type="http://schemas.openxmlformats.org/officeDocument/2006/relationships/image" Target="media/image3.png"/><Relationship Id="rId76" Type="http://schemas.openxmlformats.org/officeDocument/2006/relationships/hyperlink" Target="http://www.data.gov.au" TargetMode="External"/><Relationship Id="rId84" Type="http://schemas.openxmlformats.org/officeDocument/2006/relationships/hyperlink" Target="https://www.finance.gov.au/government/managing-commonwealth-resources/structure-australian-government-public-sector/australian-government-organisations-register"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fadt.sen@aph.gov.au" TargetMode="External"/><Relationship Id="rId11" Type="http://schemas.openxmlformats.org/officeDocument/2006/relationships/footer" Target="footer2.xml"/><Relationship Id="rId24" Type="http://schemas.openxmlformats.org/officeDocument/2006/relationships/hyperlink" Target="mailto:community.affairs.sen@aph.gov.au" TargetMode="External"/><Relationship Id="rId32" Type="http://schemas.openxmlformats.org/officeDocument/2006/relationships/hyperlink" Target="mailto:info@dta.gov.au" TargetMode="External"/><Relationship Id="rId37" Type="http://schemas.openxmlformats.org/officeDocument/2006/relationships/hyperlink" Target="http://www.budget.gov.au" TargetMode="External"/><Relationship Id="rId40" Type="http://schemas.openxmlformats.org/officeDocument/2006/relationships/hyperlink" Target="http://www.aph.gov.au/Parliamentary_Business/Dynamic_Red" TargetMode="External"/><Relationship Id="rId45" Type="http://schemas.openxmlformats.org/officeDocument/2006/relationships/hyperlink" Target="mailto:Budget_Framework@finance.gov.au" TargetMode="External"/><Relationship Id="rId53" Type="http://schemas.openxmlformats.org/officeDocument/2006/relationships/hyperlink" Target="https://www.finance.gov.au/government/governance/australian-government-organisations-register/australian-government-organisations-register-types-bodies" TargetMode="External"/><Relationship Id="rId58" Type="http://schemas.openxmlformats.org/officeDocument/2006/relationships/hyperlink" Target="https://www.finance.gov.au/sites/default/files/2019-11/outcome-statements-policy-and-approval-process_1.pdf" TargetMode="External"/><Relationship Id="rId66" Type="http://schemas.openxmlformats.org/officeDocument/2006/relationships/hyperlink" Target="http://www.apsc.gov.au/publications-and-media/current-publications/machinery-of-government" TargetMode="External"/><Relationship Id="rId74" Type="http://schemas.openxmlformats.org/officeDocument/2006/relationships/hyperlink" Target="https://guides.service.gov.au/content-guide/accessibility-inclusivity/" TargetMode="External"/><Relationship Id="rId79" Type="http://schemas.openxmlformats.org/officeDocument/2006/relationships/hyperlink" Target="mailto:G&amp;TAnnualAppropriations@finance.gov.au" TargetMode="External"/><Relationship Id="rId87" Type="http://schemas.openxmlformats.org/officeDocument/2006/relationships/hyperlink" Target="https://www.finance.gov.au/publications/resource-management-guides" TargetMode="External"/><Relationship Id="rId5" Type="http://schemas.openxmlformats.org/officeDocument/2006/relationships/webSettings" Target="webSettings.xml"/><Relationship Id="rId61" Type="http://schemas.openxmlformats.org/officeDocument/2006/relationships/hyperlink" Target="https://www.finance.gov.au/publications/resource-management-guides" TargetMode="External"/><Relationship Id="rId82" Type="http://schemas.openxmlformats.org/officeDocument/2006/relationships/hyperlink" Target="mailto:budget-website@treasury.gov.au" TargetMode="External"/><Relationship Id="rId19" Type="http://schemas.openxmlformats.org/officeDocument/2006/relationships/hyperlink" Target="file:///\\mercury.network\dfs\groups\FMG\FRACM\Reporting%20and%20Resourcing\BRF\Reporting\BdgPap\1.%20PBS\1.16%20PBS%202020-21\aa_Revised%20EM\Budget_Framework@finance.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file:///C:\Users\stedon\AppData\Local\Microsoft\Windows\INetCache\Content.Outlook\50O03WZB\Budget_Framework@finance.gov.au" TargetMode="External"/><Relationship Id="rId27" Type="http://schemas.openxmlformats.org/officeDocument/2006/relationships/hyperlink" Target="mailto:ec.sen@aph.gov.au" TargetMode="External"/><Relationship Id="rId30" Type="http://schemas.openxmlformats.org/officeDocument/2006/relationships/hyperlink" Target="mailto:legcon.sen@aph.gov.au" TargetMode="External"/><Relationship Id="rId35" Type="http://schemas.openxmlformats.org/officeDocument/2006/relationships/hyperlink" Target="mailto:Budget_Framework@finance.gov.au" TargetMode="External"/><Relationship Id="rId43" Type="http://schemas.openxmlformats.org/officeDocument/2006/relationships/hyperlink" Target="https://www.pmc.gov.au/resource-centre/government/tabling-guidelines" TargetMode="External"/><Relationship Id="rId48" Type="http://schemas.openxmlformats.org/officeDocument/2006/relationships/header" Target="header8.xml"/><Relationship Id="rId56" Type="http://schemas.openxmlformats.org/officeDocument/2006/relationships/hyperlink" Target="mailto:PGPA@finance.gov.au" TargetMode="External"/><Relationship Id="rId64" Type="http://schemas.openxmlformats.org/officeDocument/2006/relationships/hyperlink" Target="mailto:accountingpolicy@finance.gov.au" TargetMode="External"/><Relationship Id="rId69" Type="http://schemas.openxmlformats.org/officeDocument/2006/relationships/image" Target="media/image4.png"/><Relationship Id="rId77" Type="http://schemas.openxmlformats.org/officeDocument/2006/relationships/hyperlink" Target="mailto:Budget_Framework@finance.gov.au" TargetMode="External"/><Relationship Id="rId8" Type="http://schemas.openxmlformats.org/officeDocument/2006/relationships/header" Target="header1.xml"/><Relationship Id="rId51" Type="http://schemas.openxmlformats.org/officeDocument/2006/relationships/hyperlink" Target="https://www.finance.gov.au/government/managing-commonwealth-resources/structure-australian-government-public-sector" TargetMode="External"/><Relationship Id="rId72" Type="http://schemas.openxmlformats.org/officeDocument/2006/relationships/image" Target="media/image7.png"/><Relationship Id="rId80" Type="http://schemas.openxmlformats.org/officeDocument/2006/relationships/hyperlink" Target="mailto:budgetcommunications@treasury.gov.au" TargetMode="External"/><Relationship Id="rId85" Type="http://schemas.openxmlformats.org/officeDocument/2006/relationships/hyperlink" Target="https://www.finance.gov.au/government/managing-commonwealth-resources/structure-australian-government-public-sector/pgpa-act-flipchart-list"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mailto:economics.sen@aph.gov.au" TargetMode="External"/><Relationship Id="rId33" Type="http://schemas.openxmlformats.org/officeDocument/2006/relationships/hyperlink" Target="https://www.dta.gov.au/help-and-advice/guides-and-tools/commonwealth-library-deposit-and-free-issue-schemes" TargetMode="External"/><Relationship Id="rId38" Type="http://schemas.openxmlformats.org/officeDocument/2006/relationships/hyperlink" Target="https://guides.service.gov.au/content-guide/accessibility-inclusivity/" TargetMode="External"/><Relationship Id="rId46" Type="http://schemas.openxmlformats.org/officeDocument/2006/relationships/hyperlink" Target="mailto:Budget_Framework@finance.gov.au" TargetMode="External"/><Relationship Id="rId59" Type="http://schemas.openxmlformats.org/officeDocument/2006/relationships/hyperlink" Target="https://www.finance.gov.au/sites/default/files/2019-11/commonwealth-programmes-policy-and-approval-process.pdf" TargetMode="External"/><Relationship Id="rId67" Type="http://schemas.openxmlformats.org/officeDocument/2006/relationships/hyperlink" Target="https://www.finance.gov.au/publications/resource-management-guides/commonwealth-entities-financial-statements-guide-rmg-125" TargetMode="External"/><Relationship Id="rId20" Type="http://schemas.openxmlformats.org/officeDocument/2006/relationships/hyperlink" Target="https://www.pmc.gov.au/resource-centre/government/ministry-list" TargetMode="External"/><Relationship Id="rId41" Type="http://schemas.openxmlformats.org/officeDocument/2006/relationships/hyperlink" Target="mailto:Budget_Framework@finance.gov.au" TargetMode="External"/><Relationship Id="rId54" Type="http://schemas.openxmlformats.org/officeDocument/2006/relationships/hyperlink" Target="http://www.federalfinancialrelations.gov.au/content/npa/education.aspx" TargetMode="External"/><Relationship Id="rId62" Type="http://schemas.openxmlformats.org/officeDocument/2006/relationships/hyperlink" Target="https://www.finance.gov.au/publications/resource-management-guides" TargetMode="External"/><Relationship Id="rId70" Type="http://schemas.openxmlformats.org/officeDocument/2006/relationships/image" Target="media/image5.emf"/><Relationship Id="rId75" Type="http://schemas.openxmlformats.org/officeDocument/2006/relationships/image" Target="media/image9.emf"/><Relationship Id="rId83" Type="http://schemas.openxmlformats.org/officeDocument/2006/relationships/hyperlink" Target="https://www.directory.gov.au/reports/australian-government-organisations-register"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Budget_Framework@finance.gov.au" TargetMode="External"/><Relationship Id="rId28" Type="http://schemas.openxmlformats.org/officeDocument/2006/relationships/hyperlink" Target="mailto:fpa.sen@aph.gov.au" TargetMode="External"/><Relationship Id="rId36" Type="http://schemas.openxmlformats.org/officeDocument/2006/relationships/hyperlink" Target="mailto:Budget_Framework@finance.gov.au" TargetMode="External"/><Relationship Id="rId49" Type="http://schemas.openxmlformats.org/officeDocument/2006/relationships/footer" Target="footer5.xml"/><Relationship Id="rId57" Type="http://schemas.openxmlformats.org/officeDocument/2006/relationships/hyperlink" Target="https://www.finance.gov.au/government/managing-commonwealth-resources/managing-money-property/managing-money/annual-appropriations/portfolio-budget-statements" TargetMode="External"/><Relationship Id="rId10" Type="http://schemas.openxmlformats.org/officeDocument/2006/relationships/footer" Target="footer1.xml"/><Relationship Id="rId31" Type="http://schemas.openxmlformats.org/officeDocument/2006/relationships/hyperlink" Target="mailto:rrat.sen@aph.gov.au" TargetMode="External"/><Relationship Id="rId44" Type="http://schemas.openxmlformats.org/officeDocument/2006/relationships/hyperlink" Target="mailto:tabling@pmc.gov.au" TargetMode="External"/><Relationship Id="rId52" Type="http://schemas.openxmlformats.org/officeDocument/2006/relationships/hyperlink" Target="http://www.finance.gov.au/government/managing-commonwealth-resources/structure-australian-government-public-sector/pgpa-act-flipchart-list" TargetMode="External"/><Relationship Id="rId60" Type="http://schemas.openxmlformats.org/officeDocument/2006/relationships/hyperlink" Target="https://www.finance.gov.au/publications/resource-management-guides" TargetMode="External"/><Relationship Id="rId65" Type="http://schemas.openxmlformats.org/officeDocument/2006/relationships/hyperlink" Target="https://www.finance.gov.au/publications/resource-management-guides" TargetMode="External"/><Relationship Id="rId73" Type="http://schemas.openxmlformats.org/officeDocument/2006/relationships/image" Target="media/image8.png"/><Relationship Id="rId78" Type="http://schemas.openxmlformats.org/officeDocument/2006/relationships/hyperlink" Target="mailto:PGPA@finance.gov.au" TargetMode="External"/><Relationship Id="rId81" Type="http://schemas.openxmlformats.org/officeDocument/2006/relationships/hyperlink" Target="mailto:budget.publishing@treasury.gov.au" TargetMode="External"/><Relationship Id="rId86" Type="http://schemas.openxmlformats.org/officeDocument/2006/relationships/hyperlink" Target="http://www.legislat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7F4F2-834B-4AC5-A92F-41FB8939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26322</Words>
  <Characters>150039</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preparing the 2020-21 Portfolio Budget Statement</dc:title>
  <dc:subject/>
  <dc:creator/>
  <cp:keywords/>
  <dc:description/>
  <cp:lastModifiedBy/>
  <cp:revision>1</cp:revision>
  <dcterms:created xsi:type="dcterms:W3CDTF">2020-10-13T23:44:00Z</dcterms:created>
  <dcterms:modified xsi:type="dcterms:W3CDTF">2020-10-14T00:04:00Z</dcterms:modified>
  <cp:contentStatus/>
</cp:coreProperties>
</file>