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4542" w:rsidRDefault="00C84542" w:rsidP="00AD648A">
      <w:pPr>
        <w:pStyle w:val="Title"/>
        <w:rPr>
          <w:rFonts w:ascii="Arial" w:hAnsi="Arial" w:cs="Arial"/>
        </w:rPr>
      </w:pPr>
    </w:p>
    <w:p w:rsidR="00C803DB" w:rsidRPr="000439C3" w:rsidRDefault="00A17F9F" w:rsidP="00C84542">
      <w:pPr>
        <w:pStyle w:val="Title"/>
        <w:jc w:val="center"/>
        <w:rPr>
          <w:rFonts w:ascii="Arial" w:hAnsi="Arial" w:cs="Arial"/>
        </w:rPr>
      </w:pPr>
      <w:r w:rsidRPr="000439C3">
        <w:rPr>
          <w:rFonts w:ascii="Arial" w:hAnsi="Arial" w:cs="Arial"/>
        </w:rPr>
        <w:t>Risk appetite and tolerance - supporting effective decision making in times of crisis</w:t>
      </w:r>
    </w:p>
    <w:p w:rsidR="00C803DB" w:rsidRPr="000439C3" w:rsidRDefault="00C803DB" w:rsidP="00AB68FF">
      <w:pPr>
        <w:pStyle w:val="BodyText"/>
        <w:spacing w:line="276" w:lineRule="auto"/>
        <w:ind w:left="0"/>
        <w:rPr>
          <w:rFonts w:ascii="Arial" w:hAnsi="Arial" w:cs="Arial"/>
          <w:b/>
        </w:rPr>
      </w:pPr>
    </w:p>
    <w:p w:rsidR="00C803DB" w:rsidRPr="000439C3" w:rsidRDefault="00C803DB" w:rsidP="00AB68FF">
      <w:pPr>
        <w:pStyle w:val="BodyText"/>
        <w:spacing w:before="9" w:line="276" w:lineRule="auto"/>
        <w:ind w:left="0"/>
        <w:rPr>
          <w:rFonts w:ascii="Arial" w:hAnsi="Arial" w:cs="Arial"/>
          <w:b/>
          <w:sz w:val="14"/>
        </w:rPr>
      </w:pPr>
    </w:p>
    <w:p w:rsidR="00C803DB" w:rsidRPr="00AB68FF" w:rsidRDefault="00A17F9F" w:rsidP="00AB68FF">
      <w:pPr>
        <w:pStyle w:val="BodyText"/>
        <w:spacing w:before="59" w:line="276" w:lineRule="auto"/>
        <w:ind w:right="119"/>
        <w:jc w:val="both"/>
        <w:rPr>
          <w:rFonts w:ascii="Arial" w:hAnsi="Arial" w:cs="Arial"/>
          <w:sz w:val="22"/>
          <w:szCs w:val="22"/>
        </w:rPr>
      </w:pPr>
      <w:r w:rsidRPr="00AB68FF">
        <w:rPr>
          <w:rFonts w:ascii="Arial" w:hAnsi="Arial" w:cs="Arial"/>
          <w:sz w:val="22"/>
          <w:szCs w:val="22"/>
        </w:rPr>
        <w:t>In times of crisis we are often focussed on the crisis itself and can sometimes overlook how it may impact your future operations, and the risks your entity was managing prior to the crisis. It is important to take a step back and think about:</w:t>
      </w:r>
      <w:bookmarkStart w:id="0" w:name="_GoBack"/>
      <w:bookmarkEnd w:id="0"/>
    </w:p>
    <w:p w:rsidR="00AB68FF" w:rsidRDefault="00A17F9F" w:rsidP="00AB68FF">
      <w:pPr>
        <w:pStyle w:val="ListParagraph"/>
        <w:numPr>
          <w:ilvl w:val="0"/>
          <w:numId w:val="1"/>
        </w:numPr>
        <w:tabs>
          <w:tab w:val="left" w:pos="384"/>
        </w:tabs>
        <w:spacing w:before="121" w:line="276" w:lineRule="auto"/>
        <w:rPr>
          <w:rFonts w:ascii="Arial" w:hAnsi="Arial" w:cs="Arial"/>
        </w:rPr>
      </w:pPr>
      <w:r w:rsidRPr="00AB68FF">
        <w:rPr>
          <w:rFonts w:ascii="Arial" w:hAnsi="Arial" w:cs="Arial"/>
        </w:rPr>
        <w:t>How is the crisis going to affect your entity’s ability to achieve its strategic</w:t>
      </w:r>
      <w:r w:rsidRPr="00AB68FF">
        <w:rPr>
          <w:rFonts w:ascii="Arial" w:hAnsi="Arial" w:cs="Arial"/>
          <w:spacing w:val="-19"/>
        </w:rPr>
        <w:t xml:space="preserve"> </w:t>
      </w:r>
      <w:r w:rsidRPr="00AB68FF">
        <w:rPr>
          <w:rFonts w:ascii="Arial" w:hAnsi="Arial" w:cs="Arial"/>
        </w:rPr>
        <w:t>objectives?</w:t>
      </w:r>
    </w:p>
    <w:p w:rsidR="00C803DB" w:rsidRPr="00AB68FF" w:rsidRDefault="00A17F9F" w:rsidP="00AB68FF">
      <w:pPr>
        <w:pStyle w:val="ListParagraph"/>
        <w:numPr>
          <w:ilvl w:val="0"/>
          <w:numId w:val="1"/>
        </w:numPr>
        <w:tabs>
          <w:tab w:val="left" w:pos="384"/>
        </w:tabs>
        <w:spacing w:before="121" w:line="276" w:lineRule="auto"/>
        <w:rPr>
          <w:rFonts w:ascii="Arial" w:hAnsi="Arial" w:cs="Arial"/>
        </w:rPr>
      </w:pPr>
      <w:r w:rsidRPr="00AB68FF">
        <w:rPr>
          <w:rFonts w:ascii="Arial" w:hAnsi="Arial" w:cs="Arial"/>
        </w:rPr>
        <w:t>Has the crisis changed any of your entity’s current risks? Is your Executive comfortable with retaining those risks as is, or do they want to do something about</w:t>
      </w:r>
      <w:r w:rsidRPr="00AB68FF">
        <w:rPr>
          <w:rFonts w:ascii="Arial" w:hAnsi="Arial" w:cs="Arial"/>
          <w:spacing w:val="-3"/>
        </w:rPr>
        <w:t xml:space="preserve"> </w:t>
      </w:r>
      <w:r w:rsidRPr="00AB68FF">
        <w:rPr>
          <w:rFonts w:ascii="Arial" w:hAnsi="Arial" w:cs="Arial"/>
        </w:rPr>
        <w:t>them?</w:t>
      </w:r>
    </w:p>
    <w:p w:rsidR="00C803DB" w:rsidRPr="00AB68FF" w:rsidRDefault="00A17F9F" w:rsidP="00AB68FF">
      <w:pPr>
        <w:pStyle w:val="BodyText"/>
        <w:spacing w:before="117" w:line="276" w:lineRule="auto"/>
        <w:rPr>
          <w:rFonts w:ascii="Arial" w:hAnsi="Arial" w:cs="Arial"/>
          <w:sz w:val="22"/>
          <w:szCs w:val="22"/>
        </w:rPr>
      </w:pPr>
      <w:r w:rsidRPr="00AB68FF">
        <w:rPr>
          <w:rFonts w:ascii="Arial" w:hAnsi="Arial" w:cs="Arial"/>
          <w:sz w:val="22"/>
          <w:szCs w:val="22"/>
        </w:rPr>
        <w:t>Risk appetite and tolerances can be useful in addressing these concerns.</w:t>
      </w:r>
    </w:p>
    <w:p w:rsidR="00C803DB" w:rsidRPr="00AB68FF" w:rsidRDefault="00C803DB" w:rsidP="00AB68FF">
      <w:pPr>
        <w:pStyle w:val="BodyText"/>
        <w:spacing w:before="1" w:line="276" w:lineRule="auto"/>
        <w:ind w:left="0"/>
        <w:rPr>
          <w:rFonts w:ascii="Arial" w:hAnsi="Arial" w:cs="Arial"/>
          <w:sz w:val="22"/>
          <w:szCs w:val="22"/>
        </w:rPr>
      </w:pPr>
    </w:p>
    <w:p w:rsidR="00C803DB" w:rsidRPr="00AB68FF" w:rsidRDefault="00A17F9F" w:rsidP="00AB68FF">
      <w:pPr>
        <w:pStyle w:val="BodyText"/>
        <w:spacing w:line="276" w:lineRule="auto"/>
        <w:ind w:right="101"/>
        <w:rPr>
          <w:rFonts w:ascii="Arial" w:hAnsi="Arial" w:cs="Arial"/>
          <w:sz w:val="22"/>
          <w:szCs w:val="22"/>
        </w:rPr>
      </w:pPr>
      <w:r w:rsidRPr="00AB68FF">
        <w:rPr>
          <w:rFonts w:ascii="Arial" w:hAnsi="Arial" w:cs="Arial"/>
          <w:sz w:val="22"/>
          <w:szCs w:val="22"/>
        </w:rPr>
        <w:t>Both risk appetite and risk tolerance set boundaries to define how much risk an entity is prepared to take. Risk appetite describes the amount of risk that an entity is willing to accept or retain in order to achieve its objectives, while risk tolerance uses risk appetite on a more micro level to set the acceptable levels of risk taking for a specific risk or category of risk.</w:t>
      </w:r>
    </w:p>
    <w:p w:rsidR="00C803DB" w:rsidRPr="00AB68FF" w:rsidRDefault="00A17F9F" w:rsidP="00AB68FF">
      <w:pPr>
        <w:pStyle w:val="Heading1"/>
        <w:spacing w:line="276" w:lineRule="auto"/>
        <w:rPr>
          <w:rFonts w:ascii="Arial" w:hAnsi="Arial" w:cs="Arial"/>
          <w:color w:val="auto"/>
          <w:szCs w:val="22"/>
        </w:rPr>
      </w:pPr>
      <w:r w:rsidRPr="00AB68FF">
        <w:rPr>
          <w:rFonts w:ascii="Arial" w:hAnsi="Arial" w:cs="Arial"/>
          <w:color w:val="auto"/>
          <w:szCs w:val="22"/>
        </w:rPr>
        <w:t>Planning ahead</w:t>
      </w:r>
    </w:p>
    <w:p w:rsidR="00C803DB" w:rsidRPr="00AB68FF" w:rsidRDefault="00A17F9F" w:rsidP="00AB68FF">
      <w:pPr>
        <w:pStyle w:val="BodyText"/>
        <w:spacing w:before="118" w:line="276" w:lineRule="auto"/>
        <w:ind w:right="164"/>
        <w:rPr>
          <w:rFonts w:ascii="Arial" w:hAnsi="Arial" w:cs="Arial"/>
          <w:sz w:val="22"/>
          <w:szCs w:val="22"/>
        </w:rPr>
      </w:pPr>
      <w:r w:rsidRPr="00AB68FF">
        <w:rPr>
          <w:rFonts w:ascii="Arial" w:hAnsi="Arial" w:cs="Arial"/>
          <w:sz w:val="22"/>
          <w:szCs w:val="22"/>
        </w:rPr>
        <w:t>From a strategic perspective, it is important to consider how your response to a crisis will impact your entity’s operations and the risks it may now be exposed to. Understanding this impact, and the constraints on your</w:t>
      </w:r>
    </w:p>
    <w:p w:rsidR="00C803DB" w:rsidRPr="00AB68FF" w:rsidRDefault="00A17F9F" w:rsidP="00AB68FF">
      <w:pPr>
        <w:pStyle w:val="BodyText"/>
        <w:spacing w:before="2" w:line="276" w:lineRule="auto"/>
        <w:rPr>
          <w:rFonts w:ascii="Arial" w:hAnsi="Arial" w:cs="Arial"/>
          <w:sz w:val="22"/>
          <w:szCs w:val="22"/>
        </w:rPr>
      </w:pPr>
      <w:r w:rsidRPr="00AB68FF">
        <w:rPr>
          <w:rFonts w:ascii="Arial" w:hAnsi="Arial" w:cs="Arial"/>
          <w:sz w:val="22"/>
          <w:szCs w:val="22"/>
        </w:rPr>
        <w:t>organisation, will assist in designing the best approach to deliver on your organisation’s objectives.</w:t>
      </w:r>
    </w:p>
    <w:p w:rsidR="00C803DB" w:rsidRPr="00AB68FF" w:rsidRDefault="00A17F9F" w:rsidP="00AB68FF">
      <w:pPr>
        <w:pStyle w:val="BodyText"/>
        <w:spacing w:before="120" w:line="276" w:lineRule="auto"/>
        <w:ind w:right="147" w:firstLine="45"/>
        <w:rPr>
          <w:rFonts w:ascii="Arial" w:hAnsi="Arial" w:cs="Arial"/>
          <w:sz w:val="22"/>
          <w:szCs w:val="22"/>
        </w:rPr>
      </w:pPr>
      <w:r w:rsidRPr="00AB68FF">
        <w:rPr>
          <w:rFonts w:ascii="Arial" w:hAnsi="Arial" w:cs="Arial"/>
          <w:sz w:val="22"/>
          <w:szCs w:val="22"/>
        </w:rPr>
        <w:t>As part of this design process, consider your entity's risk appetite to ensure that any proposed approach does not expose your entity to risks outside its appetite. This can be particularly useful when:</w:t>
      </w:r>
    </w:p>
    <w:p w:rsidR="00AB68FF" w:rsidRDefault="00A17F9F" w:rsidP="00AB68FF">
      <w:pPr>
        <w:pStyle w:val="ListParagraph"/>
        <w:numPr>
          <w:ilvl w:val="0"/>
          <w:numId w:val="1"/>
        </w:numPr>
        <w:tabs>
          <w:tab w:val="left" w:pos="384"/>
        </w:tabs>
        <w:spacing w:before="121" w:line="276" w:lineRule="auto"/>
        <w:rPr>
          <w:rFonts w:ascii="Arial" w:hAnsi="Arial" w:cs="Arial"/>
        </w:rPr>
      </w:pPr>
      <w:r w:rsidRPr="00AB68FF">
        <w:rPr>
          <w:rFonts w:ascii="Arial" w:hAnsi="Arial" w:cs="Arial"/>
        </w:rPr>
        <w:t>developing new legislation, regulations or</w:t>
      </w:r>
      <w:r w:rsidRPr="00AB68FF">
        <w:rPr>
          <w:rFonts w:ascii="Arial" w:hAnsi="Arial" w:cs="Arial"/>
          <w:spacing w:val="-3"/>
        </w:rPr>
        <w:t xml:space="preserve"> </w:t>
      </w:r>
      <w:r w:rsidRPr="00AB68FF">
        <w:rPr>
          <w:rFonts w:ascii="Arial" w:hAnsi="Arial" w:cs="Arial"/>
        </w:rPr>
        <w:t>policies,</w:t>
      </w:r>
    </w:p>
    <w:p w:rsidR="00AB68FF" w:rsidRDefault="00A17F9F" w:rsidP="00AB68FF">
      <w:pPr>
        <w:pStyle w:val="ListParagraph"/>
        <w:numPr>
          <w:ilvl w:val="0"/>
          <w:numId w:val="1"/>
        </w:numPr>
        <w:tabs>
          <w:tab w:val="left" w:pos="384"/>
        </w:tabs>
        <w:spacing w:before="121" w:line="276" w:lineRule="auto"/>
        <w:rPr>
          <w:rFonts w:ascii="Arial" w:hAnsi="Arial" w:cs="Arial"/>
        </w:rPr>
      </w:pPr>
      <w:r w:rsidRPr="00AB68FF">
        <w:rPr>
          <w:rFonts w:ascii="Arial" w:hAnsi="Arial" w:cs="Arial"/>
        </w:rPr>
        <w:t>delivering new programs or services, or</w:t>
      </w:r>
      <w:r w:rsidRPr="00AB68FF">
        <w:rPr>
          <w:rFonts w:ascii="Arial" w:hAnsi="Arial" w:cs="Arial"/>
          <w:spacing w:val="-1"/>
        </w:rPr>
        <w:t xml:space="preserve"> </w:t>
      </w:r>
      <w:r w:rsidRPr="00AB68FF">
        <w:rPr>
          <w:rFonts w:ascii="Arial" w:hAnsi="Arial" w:cs="Arial"/>
        </w:rPr>
        <w:t>even</w:t>
      </w:r>
    </w:p>
    <w:p w:rsidR="00AB68FF" w:rsidRDefault="00A17F9F" w:rsidP="00AB68FF">
      <w:pPr>
        <w:pStyle w:val="ListParagraph"/>
        <w:numPr>
          <w:ilvl w:val="0"/>
          <w:numId w:val="1"/>
        </w:numPr>
        <w:tabs>
          <w:tab w:val="left" w:pos="384"/>
        </w:tabs>
        <w:spacing w:before="121" w:line="276" w:lineRule="auto"/>
        <w:rPr>
          <w:rFonts w:ascii="Arial" w:hAnsi="Arial" w:cs="Arial"/>
        </w:rPr>
      </w:pPr>
      <w:r w:rsidRPr="00AB68FF">
        <w:rPr>
          <w:rFonts w:ascii="Arial" w:hAnsi="Arial" w:cs="Arial"/>
        </w:rPr>
        <w:t>implementing internal organisational</w:t>
      </w:r>
      <w:r w:rsidR="00AB68FF" w:rsidRPr="00AB68FF">
        <w:rPr>
          <w:rFonts w:ascii="Arial" w:hAnsi="Arial" w:cs="Arial"/>
          <w:spacing w:val="-15"/>
        </w:rPr>
        <w:t xml:space="preserve"> </w:t>
      </w:r>
      <w:r w:rsidRPr="00AB68FF">
        <w:rPr>
          <w:rFonts w:ascii="Arial" w:hAnsi="Arial" w:cs="Arial"/>
        </w:rPr>
        <w:t>restructures.</w:t>
      </w:r>
    </w:p>
    <w:p w:rsidR="00A17F9F" w:rsidRPr="00AB68FF" w:rsidRDefault="00A17F9F" w:rsidP="00A17F9F">
      <w:pPr>
        <w:pStyle w:val="ListParagraph"/>
        <w:tabs>
          <w:tab w:val="left" w:pos="384"/>
        </w:tabs>
        <w:spacing w:before="121" w:line="276" w:lineRule="auto"/>
        <w:ind w:firstLine="0"/>
        <w:rPr>
          <w:rFonts w:ascii="Arial" w:hAnsi="Arial" w:cs="Arial"/>
        </w:rPr>
      </w:pPr>
    </w:p>
    <w:p w:rsidR="00C803DB" w:rsidRPr="00AB68FF" w:rsidRDefault="00A17F9F" w:rsidP="00AB68FF">
      <w:pPr>
        <w:pStyle w:val="ListParagraph"/>
        <w:tabs>
          <w:tab w:val="left" w:pos="384"/>
        </w:tabs>
        <w:spacing w:line="276" w:lineRule="auto"/>
        <w:ind w:left="100" w:right="4704" w:firstLine="0"/>
        <w:rPr>
          <w:rFonts w:ascii="Arial" w:hAnsi="Arial" w:cs="Arial"/>
          <w:sz w:val="32"/>
        </w:rPr>
      </w:pPr>
      <w:r w:rsidRPr="00AB68FF">
        <w:rPr>
          <w:rStyle w:val="Heading1Char"/>
          <w:rFonts w:ascii="Arial" w:hAnsi="Arial" w:cs="Arial"/>
          <w:color w:val="auto"/>
          <w:szCs w:val="22"/>
        </w:rPr>
        <w:t>Managing the now</w:t>
      </w:r>
    </w:p>
    <w:p w:rsidR="00C803DB" w:rsidRPr="00AB68FF" w:rsidRDefault="00A17F9F" w:rsidP="00AB68FF">
      <w:pPr>
        <w:pStyle w:val="BodyText"/>
        <w:spacing w:before="9" w:line="276" w:lineRule="auto"/>
        <w:ind w:right="347"/>
        <w:rPr>
          <w:rFonts w:ascii="Arial" w:hAnsi="Arial" w:cs="Arial"/>
          <w:sz w:val="22"/>
          <w:szCs w:val="22"/>
        </w:rPr>
      </w:pPr>
      <w:r w:rsidRPr="00AB68FF">
        <w:rPr>
          <w:rFonts w:ascii="Arial" w:hAnsi="Arial" w:cs="Arial"/>
          <w:sz w:val="22"/>
          <w:szCs w:val="22"/>
        </w:rPr>
        <w:t>From a program or project level perspective, in addition to reflecting on risk appetite, it is also important to consider your entity’s risk tolerance. Your risks could have increased as a result of the crisis.</w:t>
      </w:r>
    </w:p>
    <w:p w:rsidR="00C803DB" w:rsidRPr="00AB68FF" w:rsidRDefault="00A17F9F" w:rsidP="00AB68FF">
      <w:pPr>
        <w:pStyle w:val="BodyText"/>
        <w:spacing w:before="121" w:line="276" w:lineRule="auto"/>
        <w:ind w:right="366"/>
        <w:rPr>
          <w:rFonts w:ascii="Arial" w:hAnsi="Arial" w:cs="Arial"/>
          <w:sz w:val="22"/>
          <w:szCs w:val="22"/>
        </w:rPr>
      </w:pPr>
      <w:r w:rsidRPr="00AB68FF">
        <w:rPr>
          <w:rFonts w:ascii="Arial" w:hAnsi="Arial" w:cs="Arial"/>
          <w:sz w:val="22"/>
          <w:szCs w:val="22"/>
        </w:rPr>
        <w:t>Comparing your risk tolerance levels with potentially changed risk ratings can assist in deciding how best to manage the risks. For example, it can help with:</w:t>
      </w:r>
    </w:p>
    <w:p w:rsidR="00C803DB" w:rsidRPr="00AB68FF" w:rsidRDefault="00A17F9F" w:rsidP="00AB68FF">
      <w:pPr>
        <w:pStyle w:val="ListParagraph"/>
        <w:numPr>
          <w:ilvl w:val="0"/>
          <w:numId w:val="1"/>
        </w:numPr>
        <w:tabs>
          <w:tab w:val="left" w:pos="384"/>
        </w:tabs>
        <w:spacing w:before="120" w:line="276" w:lineRule="auto"/>
        <w:rPr>
          <w:rFonts w:ascii="Arial" w:hAnsi="Arial" w:cs="Arial"/>
        </w:rPr>
      </w:pPr>
      <w:r w:rsidRPr="00AB68FF">
        <w:rPr>
          <w:rFonts w:ascii="Arial" w:hAnsi="Arial" w:cs="Arial"/>
        </w:rPr>
        <w:t>reprioritising your</w:t>
      </w:r>
      <w:r w:rsidRPr="00AB68FF">
        <w:rPr>
          <w:rFonts w:ascii="Arial" w:hAnsi="Arial" w:cs="Arial"/>
          <w:spacing w:val="-2"/>
        </w:rPr>
        <w:t xml:space="preserve"> </w:t>
      </w:r>
      <w:r w:rsidRPr="00AB68FF">
        <w:rPr>
          <w:rFonts w:ascii="Arial" w:hAnsi="Arial" w:cs="Arial"/>
        </w:rPr>
        <w:t>risks,</w:t>
      </w:r>
    </w:p>
    <w:p w:rsidR="00C803DB" w:rsidRPr="00AB68FF" w:rsidRDefault="00A17F9F" w:rsidP="00AB68FF">
      <w:pPr>
        <w:pStyle w:val="ListParagraph"/>
        <w:numPr>
          <w:ilvl w:val="0"/>
          <w:numId w:val="1"/>
        </w:numPr>
        <w:tabs>
          <w:tab w:val="left" w:pos="384"/>
        </w:tabs>
        <w:spacing w:line="276" w:lineRule="auto"/>
        <w:rPr>
          <w:rFonts w:ascii="Arial" w:hAnsi="Arial" w:cs="Arial"/>
        </w:rPr>
      </w:pPr>
      <w:r w:rsidRPr="00AB68FF">
        <w:rPr>
          <w:rFonts w:ascii="Arial" w:hAnsi="Arial" w:cs="Arial"/>
        </w:rPr>
        <w:lastRenderedPageBreak/>
        <w:t>working out how best to rebalance your resources to manage your risks,</w:t>
      </w:r>
      <w:r w:rsidRPr="00AB68FF">
        <w:rPr>
          <w:rFonts w:ascii="Arial" w:hAnsi="Arial" w:cs="Arial"/>
          <w:spacing w:val="-11"/>
        </w:rPr>
        <w:t xml:space="preserve"> </w:t>
      </w:r>
      <w:r w:rsidRPr="00AB68FF">
        <w:rPr>
          <w:rFonts w:ascii="Arial" w:hAnsi="Arial" w:cs="Arial"/>
        </w:rPr>
        <w:t>and</w:t>
      </w:r>
    </w:p>
    <w:p w:rsidR="00C803DB" w:rsidRPr="00AB68FF" w:rsidRDefault="00A17F9F" w:rsidP="00AB68FF">
      <w:pPr>
        <w:pStyle w:val="ListParagraph"/>
        <w:numPr>
          <w:ilvl w:val="0"/>
          <w:numId w:val="1"/>
        </w:numPr>
        <w:tabs>
          <w:tab w:val="left" w:pos="384"/>
        </w:tabs>
        <w:spacing w:before="2" w:line="276" w:lineRule="auto"/>
        <w:rPr>
          <w:rFonts w:ascii="Arial" w:hAnsi="Arial" w:cs="Arial"/>
        </w:rPr>
      </w:pPr>
      <w:r w:rsidRPr="00AB68FF">
        <w:rPr>
          <w:rFonts w:ascii="Arial" w:hAnsi="Arial" w:cs="Arial"/>
        </w:rPr>
        <w:t>identifying which risks need to be escalated to key decision makers or communicated to</w:t>
      </w:r>
      <w:r w:rsidRPr="00AB68FF">
        <w:rPr>
          <w:rFonts w:ascii="Arial" w:hAnsi="Arial" w:cs="Arial"/>
          <w:spacing w:val="-15"/>
        </w:rPr>
        <w:t xml:space="preserve"> </w:t>
      </w:r>
      <w:r w:rsidRPr="00AB68FF">
        <w:rPr>
          <w:rFonts w:ascii="Arial" w:hAnsi="Arial" w:cs="Arial"/>
        </w:rPr>
        <w:t>stakeholders.</w:t>
      </w:r>
    </w:p>
    <w:p w:rsidR="00C803DB" w:rsidRPr="00AB68FF" w:rsidRDefault="00A17F9F" w:rsidP="00AB68FF">
      <w:pPr>
        <w:pStyle w:val="BodyText"/>
        <w:spacing w:before="119" w:line="276" w:lineRule="auto"/>
        <w:ind w:right="189"/>
        <w:rPr>
          <w:rFonts w:ascii="Arial" w:hAnsi="Arial" w:cs="Arial"/>
          <w:sz w:val="22"/>
          <w:szCs w:val="22"/>
        </w:rPr>
      </w:pPr>
      <w:r w:rsidRPr="00AB68FF">
        <w:rPr>
          <w:rFonts w:ascii="Arial" w:hAnsi="Arial" w:cs="Arial"/>
          <w:sz w:val="22"/>
          <w:szCs w:val="22"/>
        </w:rPr>
        <w:t>During a crisis it is vital to report the risks that have exceeded risk tolerance to the relevant key decision makers within your entity. In addition to the risks themselves, it is best to provide as much information about the risks as possible to assist with decision making. This could include:</w:t>
      </w:r>
    </w:p>
    <w:p w:rsidR="00AB68FF" w:rsidRDefault="00A17F9F" w:rsidP="00AB68FF">
      <w:pPr>
        <w:pStyle w:val="ListParagraph"/>
        <w:numPr>
          <w:ilvl w:val="0"/>
          <w:numId w:val="1"/>
        </w:numPr>
        <w:tabs>
          <w:tab w:val="left" w:pos="384"/>
        </w:tabs>
        <w:spacing w:before="120" w:line="276" w:lineRule="auto"/>
        <w:rPr>
          <w:rFonts w:ascii="Arial" w:hAnsi="Arial" w:cs="Arial"/>
        </w:rPr>
      </w:pPr>
      <w:r w:rsidRPr="00AB68FF">
        <w:rPr>
          <w:rFonts w:ascii="Arial" w:hAnsi="Arial" w:cs="Arial"/>
        </w:rPr>
        <w:t>why the crisis has changed the risk, for example by increasing its likelihood or</w:t>
      </w:r>
      <w:r w:rsidRPr="00AB68FF">
        <w:rPr>
          <w:rFonts w:ascii="Arial" w:hAnsi="Arial" w:cs="Arial"/>
          <w:spacing w:val="-13"/>
        </w:rPr>
        <w:t xml:space="preserve"> </w:t>
      </w:r>
      <w:r w:rsidRPr="00AB68FF">
        <w:rPr>
          <w:rFonts w:ascii="Arial" w:hAnsi="Arial" w:cs="Arial"/>
        </w:rPr>
        <w:t>consequence,</w:t>
      </w:r>
    </w:p>
    <w:p w:rsidR="00AB68FF" w:rsidRDefault="00A17F9F" w:rsidP="00AB68FF">
      <w:pPr>
        <w:pStyle w:val="ListParagraph"/>
        <w:numPr>
          <w:ilvl w:val="0"/>
          <w:numId w:val="1"/>
        </w:numPr>
        <w:tabs>
          <w:tab w:val="left" w:pos="384"/>
        </w:tabs>
        <w:spacing w:before="120" w:line="276" w:lineRule="auto"/>
        <w:rPr>
          <w:rFonts w:ascii="Arial" w:hAnsi="Arial" w:cs="Arial"/>
        </w:rPr>
      </w:pPr>
      <w:r w:rsidRPr="00AB68FF">
        <w:rPr>
          <w:rFonts w:ascii="Arial" w:hAnsi="Arial" w:cs="Arial"/>
        </w:rPr>
        <w:t>what current controls are in place to manage the risks and their effectiveness,</w:t>
      </w:r>
      <w:r w:rsidRPr="00AB68FF">
        <w:rPr>
          <w:rFonts w:ascii="Arial" w:hAnsi="Arial" w:cs="Arial"/>
          <w:spacing w:val="-11"/>
        </w:rPr>
        <w:t xml:space="preserve"> </w:t>
      </w:r>
      <w:r w:rsidRPr="00AB68FF">
        <w:rPr>
          <w:rFonts w:ascii="Arial" w:hAnsi="Arial" w:cs="Arial"/>
        </w:rPr>
        <w:t>and</w:t>
      </w:r>
    </w:p>
    <w:p w:rsidR="00C803DB" w:rsidRPr="00AB68FF" w:rsidRDefault="00A17F9F" w:rsidP="00AB68FF">
      <w:pPr>
        <w:pStyle w:val="ListParagraph"/>
        <w:numPr>
          <w:ilvl w:val="0"/>
          <w:numId w:val="1"/>
        </w:numPr>
        <w:tabs>
          <w:tab w:val="left" w:pos="384"/>
        </w:tabs>
        <w:spacing w:before="120" w:line="276" w:lineRule="auto"/>
        <w:rPr>
          <w:rFonts w:ascii="Arial" w:hAnsi="Arial" w:cs="Arial"/>
        </w:rPr>
      </w:pPr>
      <w:r w:rsidRPr="00AB68FF">
        <w:rPr>
          <w:rFonts w:ascii="Arial" w:hAnsi="Arial" w:cs="Arial"/>
        </w:rPr>
        <w:t>potential new treatments to manage the risks and required resources to implement</w:t>
      </w:r>
      <w:r w:rsidRPr="00AB68FF">
        <w:rPr>
          <w:rFonts w:ascii="Arial" w:hAnsi="Arial" w:cs="Arial"/>
          <w:spacing w:val="-6"/>
        </w:rPr>
        <w:t xml:space="preserve"> </w:t>
      </w:r>
      <w:r w:rsidRPr="00AB68FF">
        <w:rPr>
          <w:rFonts w:ascii="Arial" w:hAnsi="Arial" w:cs="Arial"/>
        </w:rPr>
        <w:t>them.</w:t>
      </w:r>
    </w:p>
    <w:p w:rsidR="00C803DB" w:rsidRPr="00AB68FF" w:rsidRDefault="00A17F9F" w:rsidP="00AB68FF">
      <w:pPr>
        <w:pStyle w:val="BodyText"/>
        <w:spacing w:before="118" w:line="276" w:lineRule="auto"/>
        <w:ind w:right="148"/>
        <w:rPr>
          <w:rFonts w:ascii="Arial" w:hAnsi="Arial" w:cs="Arial"/>
          <w:sz w:val="22"/>
          <w:szCs w:val="22"/>
        </w:rPr>
      </w:pPr>
      <w:r w:rsidRPr="00AB68FF">
        <w:rPr>
          <w:rFonts w:ascii="Arial" w:hAnsi="Arial" w:cs="Arial"/>
          <w:sz w:val="22"/>
          <w:szCs w:val="22"/>
        </w:rPr>
        <w:t>It is also important to remember that there may be instances where you need to temporarily operate outside of your entity’s risk tolerance in times of a crisis. While this is sometimes appropriate, it is important to continue monitoring and reporting on those risks to relevant Senior Executives. However, if you find that your entity is operating outside its tolerance for a large number of risks, it may mean that your entity needs to re- calibrate its risk appetite and tolerance to better suit its operating environment. This, of course, would be at the discretion of your Executive.</w:t>
      </w:r>
    </w:p>
    <w:p w:rsidR="00C803DB" w:rsidRPr="00AB68FF" w:rsidRDefault="00A17F9F" w:rsidP="00AB68FF">
      <w:pPr>
        <w:pStyle w:val="Heading1"/>
        <w:spacing w:line="276" w:lineRule="auto"/>
        <w:rPr>
          <w:rFonts w:ascii="Arial" w:hAnsi="Arial" w:cs="Arial"/>
          <w:color w:val="auto"/>
          <w:szCs w:val="22"/>
        </w:rPr>
      </w:pPr>
      <w:r w:rsidRPr="00AB68FF">
        <w:rPr>
          <w:rFonts w:ascii="Arial" w:hAnsi="Arial" w:cs="Arial"/>
          <w:color w:val="auto"/>
          <w:szCs w:val="22"/>
        </w:rPr>
        <w:t>Conclusion</w:t>
      </w:r>
    </w:p>
    <w:p w:rsidR="00C803DB" w:rsidRPr="00AB68FF" w:rsidRDefault="00A17F9F" w:rsidP="00AB68FF">
      <w:pPr>
        <w:pStyle w:val="BodyText"/>
        <w:spacing w:before="119" w:line="276" w:lineRule="auto"/>
        <w:ind w:right="563"/>
        <w:rPr>
          <w:rFonts w:ascii="Arial" w:hAnsi="Arial" w:cs="Arial"/>
          <w:sz w:val="22"/>
          <w:szCs w:val="22"/>
        </w:rPr>
      </w:pPr>
      <w:r w:rsidRPr="00AB68FF">
        <w:rPr>
          <w:rFonts w:ascii="Arial" w:hAnsi="Arial" w:cs="Arial"/>
          <w:sz w:val="22"/>
          <w:szCs w:val="22"/>
        </w:rPr>
        <w:t>In closing, it is important to remember that a crisis will likely cause a significant change to your operating environment, and with this change will come potential changes to your risk environment.</w:t>
      </w:r>
    </w:p>
    <w:p w:rsidR="00C803DB" w:rsidRPr="00AB68FF" w:rsidRDefault="00A17F9F" w:rsidP="00AB68FF">
      <w:pPr>
        <w:pStyle w:val="BodyText"/>
        <w:spacing w:before="121" w:line="276" w:lineRule="auto"/>
        <w:ind w:right="212"/>
        <w:rPr>
          <w:rFonts w:ascii="Arial" w:hAnsi="Arial" w:cs="Arial"/>
          <w:sz w:val="22"/>
          <w:szCs w:val="22"/>
        </w:rPr>
      </w:pPr>
      <w:r w:rsidRPr="00AB68FF">
        <w:rPr>
          <w:rFonts w:ascii="Arial" w:hAnsi="Arial" w:cs="Arial"/>
          <w:sz w:val="22"/>
          <w:szCs w:val="22"/>
        </w:rPr>
        <w:t>These changes may require you to do things differently, which could present opportunities to do things more efficiently or effectively or engage with risk in ways you weren’t able to before.</w:t>
      </w:r>
    </w:p>
    <w:p w:rsidR="00C803DB" w:rsidRPr="00AB68FF" w:rsidRDefault="00A17F9F" w:rsidP="00AB68FF">
      <w:pPr>
        <w:pStyle w:val="BodyText"/>
        <w:spacing w:before="119" w:line="276" w:lineRule="auto"/>
        <w:ind w:right="139"/>
        <w:rPr>
          <w:rFonts w:ascii="Arial" w:hAnsi="Arial" w:cs="Arial"/>
          <w:sz w:val="22"/>
          <w:szCs w:val="22"/>
        </w:rPr>
      </w:pPr>
      <w:r w:rsidRPr="00AB68FF">
        <w:rPr>
          <w:rFonts w:ascii="Arial" w:hAnsi="Arial" w:cs="Arial"/>
          <w:sz w:val="22"/>
          <w:szCs w:val="22"/>
        </w:rPr>
        <w:t>Don’t get blindsided by change. Understand what it means to your entity’s ability to deliver on its strategic objectives. Be proactive by using your entity’s risk appetite and tolerance to assist your Executive to both plan ahead and manage the present in a changed environment.</w:t>
      </w:r>
    </w:p>
    <w:sectPr w:rsidR="00C803DB" w:rsidRPr="00AB68FF">
      <w:headerReference w:type="default" r:id="rId7"/>
      <w:footerReference w:type="default" r:id="rId8"/>
      <w:type w:val="continuous"/>
      <w:pgSz w:w="11910" w:h="16840"/>
      <w:pgMar w:top="940" w:right="138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648A" w:rsidRDefault="00AD648A" w:rsidP="00AD648A">
      <w:r>
        <w:separator/>
      </w:r>
    </w:p>
  </w:endnote>
  <w:endnote w:type="continuationSeparator" w:id="0">
    <w:p w:rsidR="00AD648A" w:rsidRDefault="00AD648A" w:rsidP="00AD6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4177120"/>
      <w:docPartObj>
        <w:docPartGallery w:val="Page Numbers (Bottom of Page)"/>
        <w:docPartUnique/>
      </w:docPartObj>
    </w:sdtPr>
    <w:sdtEndPr/>
    <w:sdtContent>
      <w:sdt>
        <w:sdtPr>
          <w:id w:val="1728636285"/>
          <w:docPartObj>
            <w:docPartGallery w:val="Page Numbers (Top of Page)"/>
            <w:docPartUnique/>
          </w:docPartObj>
        </w:sdtPr>
        <w:sdtEndPr/>
        <w:sdtContent>
          <w:p w:rsidR="00AD648A" w:rsidRDefault="00AD648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C84542">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84542">
              <w:rPr>
                <w:b/>
                <w:bCs/>
                <w:noProof/>
              </w:rPr>
              <w:t>2</w:t>
            </w:r>
            <w:r>
              <w:rPr>
                <w:b/>
                <w:bCs/>
                <w:sz w:val="24"/>
                <w:szCs w:val="24"/>
              </w:rPr>
              <w:fldChar w:fldCharType="end"/>
            </w:r>
          </w:p>
        </w:sdtContent>
      </w:sdt>
    </w:sdtContent>
  </w:sdt>
  <w:p w:rsidR="00AD648A" w:rsidRDefault="00AD64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648A" w:rsidRDefault="00AD648A" w:rsidP="00AD648A">
      <w:r>
        <w:separator/>
      </w:r>
    </w:p>
  </w:footnote>
  <w:footnote w:type="continuationSeparator" w:id="0">
    <w:p w:rsidR="00AD648A" w:rsidRDefault="00AD648A" w:rsidP="00AD64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4542" w:rsidRDefault="00C84542">
    <w:pPr>
      <w:pStyle w:val="Header"/>
    </w:pPr>
    <w:r>
      <w:rPr>
        <w:noProof/>
        <w:lang w:bidi="ar-SA"/>
      </w:rPr>
      <w:drawing>
        <wp:anchor distT="0" distB="0" distL="114300" distR="114300" simplePos="0" relativeHeight="251659264" behindDoc="1" locked="0" layoutInCell="1" allowOverlap="1" wp14:anchorId="4D3C111C" wp14:editId="14692B60">
          <wp:simplePos x="0" y="0"/>
          <wp:positionH relativeFrom="column">
            <wp:posOffset>1619250</wp:posOffset>
          </wp:positionH>
          <wp:positionV relativeFrom="paragraph">
            <wp:posOffset>-323850</wp:posOffset>
          </wp:positionV>
          <wp:extent cx="2619375" cy="659130"/>
          <wp:effectExtent l="0" t="0" r="0" b="0"/>
          <wp:wrapTopAndBottom/>
          <wp:docPr id="1" name="Picture 1" descr="C:\Users\johbro\AppData\Local\Microsoft\Windows\INetCache\Content.Word\Comcover_in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hbro\AppData\Local\Microsoft\Windows\INetCache\Content.Word\Comcover_inline.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2895" t="12502" r="3880" b="11397"/>
                  <a:stretch/>
                </pic:blipFill>
                <pic:spPr bwMode="auto">
                  <a:xfrm>
                    <a:off x="0" y="0"/>
                    <a:ext cx="2619375" cy="659130"/>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1E6848"/>
    <w:multiLevelType w:val="hybridMultilevel"/>
    <w:tmpl w:val="A5C624F2"/>
    <w:lvl w:ilvl="0" w:tplc="A68255B4">
      <w:numFmt w:val="bullet"/>
      <w:lvlText w:val=""/>
      <w:lvlJc w:val="left"/>
      <w:pPr>
        <w:ind w:left="383" w:hanging="284"/>
      </w:pPr>
      <w:rPr>
        <w:rFonts w:ascii="Symbol" w:eastAsia="Symbol" w:hAnsi="Symbol" w:cs="Symbol" w:hint="default"/>
        <w:w w:val="99"/>
        <w:sz w:val="20"/>
        <w:szCs w:val="20"/>
        <w:lang w:val="en-AU" w:eastAsia="en-AU" w:bidi="en-AU"/>
      </w:rPr>
    </w:lvl>
    <w:lvl w:ilvl="1" w:tplc="5768C9B6">
      <w:numFmt w:val="bullet"/>
      <w:lvlText w:val="•"/>
      <w:lvlJc w:val="left"/>
      <w:pPr>
        <w:ind w:left="1260" w:hanging="284"/>
      </w:pPr>
      <w:rPr>
        <w:rFonts w:hint="default"/>
        <w:lang w:val="en-AU" w:eastAsia="en-AU" w:bidi="en-AU"/>
      </w:rPr>
    </w:lvl>
    <w:lvl w:ilvl="2" w:tplc="F698E214">
      <w:numFmt w:val="bullet"/>
      <w:lvlText w:val="•"/>
      <w:lvlJc w:val="left"/>
      <w:pPr>
        <w:ind w:left="2141" w:hanging="284"/>
      </w:pPr>
      <w:rPr>
        <w:rFonts w:hint="default"/>
        <w:lang w:val="en-AU" w:eastAsia="en-AU" w:bidi="en-AU"/>
      </w:rPr>
    </w:lvl>
    <w:lvl w:ilvl="3" w:tplc="9A60B990">
      <w:numFmt w:val="bullet"/>
      <w:lvlText w:val="•"/>
      <w:lvlJc w:val="left"/>
      <w:pPr>
        <w:ind w:left="3021" w:hanging="284"/>
      </w:pPr>
      <w:rPr>
        <w:rFonts w:hint="default"/>
        <w:lang w:val="en-AU" w:eastAsia="en-AU" w:bidi="en-AU"/>
      </w:rPr>
    </w:lvl>
    <w:lvl w:ilvl="4" w:tplc="3B90919C">
      <w:numFmt w:val="bullet"/>
      <w:lvlText w:val="•"/>
      <w:lvlJc w:val="left"/>
      <w:pPr>
        <w:ind w:left="3902" w:hanging="284"/>
      </w:pPr>
      <w:rPr>
        <w:rFonts w:hint="default"/>
        <w:lang w:val="en-AU" w:eastAsia="en-AU" w:bidi="en-AU"/>
      </w:rPr>
    </w:lvl>
    <w:lvl w:ilvl="5" w:tplc="825C951A">
      <w:numFmt w:val="bullet"/>
      <w:lvlText w:val="•"/>
      <w:lvlJc w:val="left"/>
      <w:pPr>
        <w:ind w:left="4783" w:hanging="284"/>
      </w:pPr>
      <w:rPr>
        <w:rFonts w:hint="default"/>
        <w:lang w:val="en-AU" w:eastAsia="en-AU" w:bidi="en-AU"/>
      </w:rPr>
    </w:lvl>
    <w:lvl w:ilvl="6" w:tplc="87AA1F0A">
      <w:numFmt w:val="bullet"/>
      <w:lvlText w:val="•"/>
      <w:lvlJc w:val="left"/>
      <w:pPr>
        <w:ind w:left="5663" w:hanging="284"/>
      </w:pPr>
      <w:rPr>
        <w:rFonts w:hint="default"/>
        <w:lang w:val="en-AU" w:eastAsia="en-AU" w:bidi="en-AU"/>
      </w:rPr>
    </w:lvl>
    <w:lvl w:ilvl="7" w:tplc="48763D68">
      <w:numFmt w:val="bullet"/>
      <w:lvlText w:val="•"/>
      <w:lvlJc w:val="left"/>
      <w:pPr>
        <w:ind w:left="6544" w:hanging="284"/>
      </w:pPr>
      <w:rPr>
        <w:rFonts w:hint="default"/>
        <w:lang w:val="en-AU" w:eastAsia="en-AU" w:bidi="en-AU"/>
      </w:rPr>
    </w:lvl>
    <w:lvl w:ilvl="8" w:tplc="2424CC3C">
      <w:numFmt w:val="bullet"/>
      <w:lvlText w:val="•"/>
      <w:lvlJc w:val="left"/>
      <w:pPr>
        <w:ind w:left="7425" w:hanging="284"/>
      </w:pPr>
      <w:rPr>
        <w:rFonts w:hint="default"/>
        <w:lang w:val="en-AU" w:eastAsia="en-AU" w:bidi="en-AU"/>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2"/>
  </w:compat>
  <w:rsids>
    <w:rsidRoot w:val="00C803DB"/>
    <w:rsid w:val="000439C3"/>
    <w:rsid w:val="00A17F9F"/>
    <w:rsid w:val="00AB68FF"/>
    <w:rsid w:val="00AD648A"/>
    <w:rsid w:val="00C803DB"/>
    <w:rsid w:val="00C8454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AC578"/>
  <w15:docId w15:val="{170B429C-EB42-4A8E-BE9A-9B0ABB5E3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en-AU" w:eastAsia="en-AU" w:bidi="en-AU"/>
    </w:rPr>
  </w:style>
  <w:style w:type="paragraph" w:styleId="Heading1">
    <w:name w:val="heading 1"/>
    <w:basedOn w:val="Normal"/>
    <w:next w:val="Normal"/>
    <w:link w:val="Heading1Char"/>
    <w:uiPriority w:val="9"/>
    <w:qFormat/>
    <w:rsid w:val="00AD648A"/>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0"/>
      <w:szCs w:val="20"/>
    </w:rPr>
  </w:style>
  <w:style w:type="paragraph" w:styleId="ListParagraph">
    <w:name w:val="List Paragraph"/>
    <w:basedOn w:val="Normal"/>
    <w:uiPriority w:val="1"/>
    <w:qFormat/>
    <w:pPr>
      <w:ind w:left="383" w:hanging="284"/>
    </w:pPr>
  </w:style>
  <w:style w:type="paragraph" w:customStyle="1" w:styleId="TableParagraph">
    <w:name w:val="Table Paragraph"/>
    <w:basedOn w:val="Normal"/>
    <w:uiPriority w:val="1"/>
    <w:qFormat/>
  </w:style>
  <w:style w:type="paragraph" w:styleId="Title">
    <w:name w:val="Title"/>
    <w:basedOn w:val="Normal"/>
    <w:next w:val="Normal"/>
    <w:link w:val="TitleChar"/>
    <w:uiPriority w:val="10"/>
    <w:qFormat/>
    <w:rsid w:val="00AD648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648A"/>
    <w:rPr>
      <w:rFonts w:asciiTheme="majorHAnsi" w:eastAsiaTheme="majorEastAsia" w:hAnsiTheme="majorHAnsi" w:cstheme="majorBidi"/>
      <w:spacing w:val="-10"/>
      <w:kern w:val="28"/>
      <w:sz w:val="56"/>
      <w:szCs w:val="56"/>
      <w:lang w:val="en-AU" w:eastAsia="en-AU" w:bidi="en-AU"/>
    </w:rPr>
  </w:style>
  <w:style w:type="character" w:customStyle="1" w:styleId="Heading1Char">
    <w:name w:val="Heading 1 Char"/>
    <w:basedOn w:val="DefaultParagraphFont"/>
    <w:link w:val="Heading1"/>
    <w:uiPriority w:val="9"/>
    <w:rsid w:val="00AD648A"/>
    <w:rPr>
      <w:rFonts w:asciiTheme="majorHAnsi" w:eastAsiaTheme="majorEastAsia" w:hAnsiTheme="majorHAnsi" w:cstheme="majorBidi"/>
      <w:color w:val="365F91" w:themeColor="accent1" w:themeShade="BF"/>
      <w:sz w:val="32"/>
      <w:szCs w:val="32"/>
      <w:lang w:val="en-AU" w:eastAsia="en-AU" w:bidi="en-AU"/>
    </w:rPr>
  </w:style>
  <w:style w:type="paragraph" w:styleId="Header">
    <w:name w:val="header"/>
    <w:basedOn w:val="Normal"/>
    <w:link w:val="HeaderChar"/>
    <w:uiPriority w:val="99"/>
    <w:unhideWhenUsed/>
    <w:rsid w:val="00AD648A"/>
    <w:pPr>
      <w:tabs>
        <w:tab w:val="center" w:pos="4513"/>
        <w:tab w:val="right" w:pos="9026"/>
      </w:tabs>
    </w:pPr>
  </w:style>
  <w:style w:type="character" w:customStyle="1" w:styleId="HeaderChar">
    <w:name w:val="Header Char"/>
    <w:basedOn w:val="DefaultParagraphFont"/>
    <w:link w:val="Header"/>
    <w:uiPriority w:val="99"/>
    <w:rsid w:val="00AD648A"/>
    <w:rPr>
      <w:rFonts w:ascii="Calibri" w:eastAsia="Calibri" w:hAnsi="Calibri" w:cs="Calibri"/>
      <w:lang w:val="en-AU" w:eastAsia="en-AU" w:bidi="en-AU"/>
    </w:rPr>
  </w:style>
  <w:style w:type="paragraph" w:styleId="Footer">
    <w:name w:val="footer"/>
    <w:basedOn w:val="Normal"/>
    <w:link w:val="FooterChar"/>
    <w:uiPriority w:val="99"/>
    <w:unhideWhenUsed/>
    <w:rsid w:val="00AD648A"/>
    <w:pPr>
      <w:tabs>
        <w:tab w:val="center" w:pos="4513"/>
        <w:tab w:val="right" w:pos="9026"/>
      </w:tabs>
    </w:pPr>
  </w:style>
  <w:style w:type="character" w:customStyle="1" w:styleId="FooterChar">
    <w:name w:val="Footer Char"/>
    <w:basedOn w:val="DefaultParagraphFont"/>
    <w:link w:val="Footer"/>
    <w:uiPriority w:val="99"/>
    <w:rsid w:val="00AD648A"/>
    <w:rPr>
      <w:rFonts w:ascii="Calibri" w:eastAsia="Calibri" w:hAnsi="Calibri" w:cs="Calibri"/>
      <w:lang w:val="en-AU" w:eastAsia="en-AU" w:bidi="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620</Words>
  <Characters>3538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Department of Finance</Company>
  <LinksUpToDate>false</LinksUpToDate>
  <CharactersWithSpaces>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Kalirajan, Sankar</dc:creator>
  <cp:lastModifiedBy>Johnson, Bronte</cp:lastModifiedBy>
  <cp:revision>4</cp:revision>
  <dcterms:created xsi:type="dcterms:W3CDTF">2020-07-27T01:17:00Z</dcterms:created>
  <dcterms:modified xsi:type="dcterms:W3CDTF">2020-07-27T06:34:00Z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2020-05-14T00:00:00Z</vt:filetime>
  </property>
  <property fmtid="{D5CDD505-2E9C-101B-9397-08002B2CF9AE}" pid="3" name="Creator">
    <vt:lpwstr>Microsoft® Word 2010</vt:lpwstr>
  </property>
  <property fmtid="{D5CDD505-2E9C-101B-9397-08002B2CF9AE}" pid="4" name="LastSaved">
    <vt:filetime>2020-07-27T00:00:00Z</vt:filetime>
  </property>
</Properties>
</file>