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8640D" w14:textId="77777777" w:rsidR="004B4224" w:rsidRDefault="004B4224" w:rsidP="00790698">
      <w:pPr>
        <w:pStyle w:val="CoverPage"/>
      </w:pPr>
    </w:p>
    <w:p w14:paraId="70731B8A" w14:textId="77777777" w:rsidR="004B4224" w:rsidRDefault="004B4224" w:rsidP="00A10310">
      <w:pPr>
        <w:pStyle w:val="CoverPage"/>
      </w:pPr>
    </w:p>
    <w:p w14:paraId="0AF46EA7" w14:textId="77777777" w:rsidR="00E972BB" w:rsidRDefault="00E972BB" w:rsidP="00A10310">
      <w:pPr>
        <w:pStyle w:val="CoverPage"/>
      </w:pPr>
    </w:p>
    <w:p w14:paraId="5E45B756" w14:textId="77777777" w:rsidR="004B4224" w:rsidRDefault="004B4224" w:rsidP="00A10310">
      <w:pPr>
        <w:pStyle w:val="CoverPage"/>
      </w:pPr>
    </w:p>
    <w:p w14:paraId="339740B3" w14:textId="77777777" w:rsidR="004B4224" w:rsidRDefault="004B4224" w:rsidP="00A10310">
      <w:pPr>
        <w:pStyle w:val="CoverPage"/>
      </w:pPr>
    </w:p>
    <w:p w14:paraId="4C99E06E" w14:textId="77777777" w:rsidR="004B4224" w:rsidRDefault="004B4224" w:rsidP="00A10310">
      <w:pPr>
        <w:pStyle w:val="CoverPage"/>
      </w:pPr>
    </w:p>
    <w:p w14:paraId="4643A7CA" w14:textId="77777777" w:rsidR="004B4224" w:rsidRDefault="004B4224" w:rsidP="00A10310">
      <w:pPr>
        <w:pStyle w:val="CoverPage"/>
      </w:pPr>
    </w:p>
    <w:p w14:paraId="2C88C354" w14:textId="77777777" w:rsidR="004B4224" w:rsidRDefault="004B4224" w:rsidP="00A10310">
      <w:pPr>
        <w:pStyle w:val="CoverPage"/>
      </w:pPr>
    </w:p>
    <w:p w14:paraId="15BA4A48" w14:textId="77777777" w:rsidR="004B4224" w:rsidRDefault="004B4224" w:rsidP="00A10310">
      <w:pPr>
        <w:pStyle w:val="CoverPage"/>
      </w:pPr>
    </w:p>
    <w:p w14:paraId="26C05AB0" w14:textId="77777777" w:rsidR="004B4224" w:rsidRDefault="004B4224" w:rsidP="00A10310">
      <w:pPr>
        <w:pStyle w:val="CoverPage"/>
      </w:pPr>
    </w:p>
    <w:p w14:paraId="3C63E40F" w14:textId="77777777" w:rsidR="004B4224" w:rsidRDefault="004B4224" w:rsidP="00A10310">
      <w:pPr>
        <w:pStyle w:val="CoverPage"/>
      </w:pPr>
    </w:p>
    <w:p w14:paraId="5F30F049" w14:textId="77777777" w:rsidR="004B4224" w:rsidRDefault="004B4224" w:rsidP="00A10310">
      <w:pPr>
        <w:pStyle w:val="CoverPage"/>
      </w:pPr>
    </w:p>
    <w:p w14:paraId="737EFC61" w14:textId="77777777" w:rsidR="004B4224" w:rsidRDefault="004B4224" w:rsidP="00A10310">
      <w:pPr>
        <w:pStyle w:val="CoverPage"/>
      </w:pPr>
    </w:p>
    <w:p w14:paraId="69A5099A" w14:textId="77777777" w:rsidR="000E6D69" w:rsidRDefault="000E6D69" w:rsidP="00A10310">
      <w:pPr>
        <w:pStyle w:val="CoverPage"/>
      </w:pPr>
    </w:p>
    <w:p w14:paraId="7B6E363A" w14:textId="77777777" w:rsidR="006C4DD1" w:rsidRPr="000C5235" w:rsidRDefault="0003349E" w:rsidP="00DD1634">
      <w:pPr>
        <w:pStyle w:val="CoverPage"/>
        <w:jc w:val="right"/>
        <w:rPr>
          <w:sz w:val="40"/>
        </w:rPr>
      </w:pPr>
      <w:r w:rsidRPr="000C5235">
        <w:rPr>
          <w:sz w:val="40"/>
        </w:rPr>
        <w:t xml:space="preserve">Guide to preparing the </w:t>
      </w:r>
      <w:r w:rsidR="00795B04" w:rsidRPr="000C5235">
        <w:rPr>
          <w:sz w:val="40"/>
        </w:rPr>
        <w:t>2020</w:t>
      </w:r>
      <w:r w:rsidR="00A667A6" w:rsidRPr="000C5235">
        <w:rPr>
          <w:sz w:val="40"/>
        </w:rPr>
        <w:noBreakHyphen/>
      </w:r>
      <w:r w:rsidR="00795B04" w:rsidRPr="000C5235">
        <w:rPr>
          <w:sz w:val="40"/>
        </w:rPr>
        <w:t>21</w:t>
      </w:r>
      <w:r w:rsidR="004B4224" w:rsidRPr="000C5235">
        <w:rPr>
          <w:sz w:val="40"/>
        </w:rPr>
        <w:t> </w:t>
      </w:r>
      <w:r w:rsidR="00FA0945" w:rsidRPr="000C5235">
        <w:rPr>
          <w:sz w:val="40"/>
        </w:rPr>
        <w:t>Portfolio</w:t>
      </w:r>
      <w:r w:rsidR="004B4224" w:rsidRPr="000C5235">
        <w:rPr>
          <w:sz w:val="40"/>
        </w:rPr>
        <w:t> </w:t>
      </w:r>
      <w:r w:rsidR="00FA0945" w:rsidRPr="000C5235">
        <w:rPr>
          <w:sz w:val="40"/>
        </w:rPr>
        <w:t>Budget</w:t>
      </w:r>
      <w:r w:rsidR="004B4224" w:rsidRPr="000C5235">
        <w:rPr>
          <w:sz w:val="40"/>
        </w:rPr>
        <w:t> </w:t>
      </w:r>
      <w:r w:rsidR="00FA0945" w:rsidRPr="000C5235">
        <w:rPr>
          <w:sz w:val="40"/>
        </w:rPr>
        <w:t>Statements</w:t>
      </w:r>
    </w:p>
    <w:p w14:paraId="2F94950A" w14:textId="4141B0E6" w:rsidR="00DD1634" w:rsidRPr="000C5235" w:rsidRDefault="00DD1634"/>
    <w:p w14:paraId="3C76D8A9" w14:textId="77777777" w:rsidR="004B4224" w:rsidRPr="000C5235" w:rsidRDefault="004B4224"/>
    <w:p w14:paraId="3662AADB" w14:textId="77777777" w:rsidR="008579E7" w:rsidRPr="000C5235" w:rsidRDefault="00063C83" w:rsidP="000A7DEC">
      <w:r w:rsidRPr="000C5235">
        <w:t>August</w:t>
      </w:r>
      <w:r w:rsidR="00B74837" w:rsidRPr="000C5235">
        <w:t xml:space="preserve"> </w:t>
      </w:r>
      <w:r w:rsidR="00795B04" w:rsidRPr="000C5235">
        <w:t>2020</w:t>
      </w:r>
    </w:p>
    <w:p w14:paraId="024156C6" w14:textId="77777777" w:rsidR="00D157AC" w:rsidRPr="000C5235" w:rsidRDefault="00D157AC"/>
    <w:p w14:paraId="1FAA9AC9" w14:textId="77777777" w:rsidR="00D157AC" w:rsidRPr="000C5235" w:rsidRDefault="00D157AC">
      <w:pPr>
        <w:sectPr w:rsidR="00D157AC" w:rsidRPr="000C5235" w:rsidSect="005D3E0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418" w:bottom="1418" w:left="1418" w:header="567" w:footer="624" w:gutter="0"/>
          <w:cols w:space="708"/>
          <w:docGrid w:linePitch="360"/>
        </w:sectPr>
      </w:pPr>
    </w:p>
    <w:sdt>
      <w:sdtPr>
        <w:rPr>
          <w:rFonts w:asciiTheme="minorHAnsi" w:eastAsiaTheme="minorHAnsi" w:hAnsiTheme="minorHAnsi" w:cstheme="minorBidi"/>
          <w:bCs/>
          <w:noProof/>
          <w:color w:val="auto"/>
          <w:sz w:val="22"/>
          <w:szCs w:val="22"/>
          <w:lang w:val="en-AU"/>
        </w:rPr>
        <w:id w:val="-488476922"/>
        <w:docPartObj>
          <w:docPartGallery w:val="Table of Contents"/>
          <w:docPartUnique/>
        </w:docPartObj>
      </w:sdtPr>
      <w:sdtEndPr>
        <w:rPr>
          <w:bCs w:val="0"/>
          <w:szCs w:val="28"/>
        </w:rPr>
      </w:sdtEndPr>
      <w:sdtContent>
        <w:p w14:paraId="6F00D4FB" w14:textId="77777777" w:rsidR="00BE4298" w:rsidRPr="000C5235" w:rsidRDefault="00BE4298">
          <w:pPr>
            <w:pStyle w:val="TOCHeading"/>
            <w:rPr>
              <w:lang w:val="en-AU"/>
            </w:rPr>
          </w:pPr>
          <w:r w:rsidRPr="000C5235">
            <w:rPr>
              <w:lang w:val="en-AU"/>
            </w:rPr>
            <w:t>Table of Contents</w:t>
          </w:r>
        </w:p>
        <w:p w14:paraId="15AF3505" w14:textId="53E790D3" w:rsidR="00774286" w:rsidRPr="000C5235" w:rsidRDefault="00BE4298">
          <w:pPr>
            <w:pStyle w:val="TOC1"/>
            <w:rPr>
              <w:rFonts w:eastAsiaTheme="minorEastAsia"/>
              <w:b w:val="0"/>
              <w:sz w:val="22"/>
              <w:szCs w:val="22"/>
              <w:lang w:eastAsia="en-AU"/>
            </w:rPr>
          </w:pPr>
          <w:r w:rsidRPr="000C5235">
            <w:rPr>
              <w:bCs/>
            </w:rPr>
            <w:fldChar w:fldCharType="begin"/>
          </w:r>
          <w:r w:rsidRPr="000C5235">
            <w:rPr>
              <w:bCs/>
            </w:rPr>
            <w:instrText xml:space="preserve"> TOC \o "1-3" \h \z \u </w:instrText>
          </w:r>
          <w:r w:rsidRPr="000C5235">
            <w:rPr>
              <w:bCs/>
            </w:rPr>
            <w:fldChar w:fldCharType="separate"/>
          </w:r>
          <w:hyperlink w:anchor="_Toc47951190" w:history="1">
            <w:r w:rsidR="00774286" w:rsidRPr="000C5235">
              <w:rPr>
                <w:rStyle w:val="Hyperlink"/>
              </w:rPr>
              <w:t>1.</w:t>
            </w:r>
            <w:r w:rsidR="00774286" w:rsidRPr="000C5235">
              <w:rPr>
                <w:rFonts w:eastAsiaTheme="minorEastAsia"/>
                <w:b w:val="0"/>
                <w:sz w:val="22"/>
                <w:szCs w:val="22"/>
                <w:lang w:eastAsia="en-AU"/>
              </w:rPr>
              <w:tab/>
            </w:r>
            <w:r w:rsidR="00774286" w:rsidRPr="000C5235">
              <w:rPr>
                <w:rStyle w:val="Hyperlink"/>
              </w:rPr>
              <w:t>Key Information</w:t>
            </w:r>
            <w:r w:rsidR="00774286" w:rsidRPr="000C5235">
              <w:rPr>
                <w:webHidden/>
              </w:rPr>
              <w:tab/>
            </w:r>
            <w:r w:rsidR="00774286" w:rsidRPr="000C5235">
              <w:rPr>
                <w:webHidden/>
              </w:rPr>
              <w:fldChar w:fldCharType="begin"/>
            </w:r>
            <w:r w:rsidR="00774286" w:rsidRPr="000C5235">
              <w:rPr>
                <w:webHidden/>
              </w:rPr>
              <w:instrText xml:space="preserve"> PAGEREF _Toc47951190 \h </w:instrText>
            </w:r>
            <w:r w:rsidR="00774286" w:rsidRPr="000C5235">
              <w:rPr>
                <w:webHidden/>
              </w:rPr>
            </w:r>
            <w:r w:rsidR="00774286" w:rsidRPr="000C5235">
              <w:rPr>
                <w:webHidden/>
              </w:rPr>
              <w:fldChar w:fldCharType="separate"/>
            </w:r>
            <w:r w:rsidR="00774286" w:rsidRPr="000C5235">
              <w:rPr>
                <w:webHidden/>
              </w:rPr>
              <w:t>6</w:t>
            </w:r>
            <w:r w:rsidR="00774286" w:rsidRPr="000C5235">
              <w:rPr>
                <w:webHidden/>
              </w:rPr>
              <w:fldChar w:fldCharType="end"/>
            </w:r>
          </w:hyperlink>
        </w:p>
        <w:p w14:paraId="7D91B9C2" w14:textId="12EA0CFF" w:rsidR="00774286" w:rsidRPr="000C5235" w:rsidRDefault="00A774B1">
          <w:pPr>
            <w:pStyle w:val="TOC1"/>
            <w:rPr>
              <w:rFonts w:eastAsiaTheme="minorEastAsia"/>
              <w:b w:val="0"/>
              <w:sz w:val="22"/>
              <w:szCs w:val="22"/>
              <w:lang w:eastAsia="en-AU"/>
            </w:rPr>
          </w:pPr>
          <w:hyperlink w:anchor="_Toc47951191" w:history="1">
            <w:r w:rsidR="00774286" w:rsidRPr="000C5235">
              <w:rPr>
                <w:rStyle w:val="Hyperlink"/>
              </w:rPr>
              <w:t>2.</w:t>
            </w:r>
            <w:r w:rsidR="00774286" w:rsidRPr="000C5235">
              <w:rPr>
                <w:rFonts w:eastAsiaTheme="minorEastAsia"/>
                <w:b w:val="0"/>
                <w:sz w:val="22"/>
                <w:szCs w:val="22"/>
                <w:lang w:eastAsia="en-AU"/>
              </w:rPr>
              <w:tab/>
            </w:r>
            <w:r w:rsidR="00774286" w:rsidRPr="000C5235">
              <w:rPr>
                <w:rStyle w:val="Hyperlink"/>
              </w:rPr>
              <w:t>Changes in 2020-21 PB Statements</w:t>
            </w:r>
            <w:r w:rsidR="00774286" w:rsidRPr="000C5235">
              <w:rPr>
                <w:webHidden/>
              </w:rPr>
              <w:tab/>
            </w:r>
            <w:r w:rsidR="00774286" w:rsidRPr="000C5235">
              <w:rPr>
                <w:webHidden/>
              </w:rPr>
              <w:fldChar w:fldCharType="begin"/>
            </w:r>
            <w:r w:rsidR="00774286" w:rsidRPr="000C5235">
              <w:rPr>
                <w:webHidden/>
              </w:rPr>
              <w:instrText xml:space="preserve"> PAGEREF _Toc47951191 \h </w:instrText>
            </w:r>
            <w:r w:rsidR="00774286" w:rsidRPr="000C5235">
              <w:rPr>
                <w:webHidden/>
              </w:rPr>
            </w:r>
            <w:r w:rsidR="00774286" w:rsidRPr="000C5235">
              <w:rPr>
                <w:webHidden/>
              </w:rPr>
              <w:fldChar w:fldCharType="separate"/>
            </w:r>
            <w:r w:rsidR="00774286" w:rsidRPr="000C5235">
              <w:rPr>
                <w:webHidden/>
              </w:rPr>
              <w:t>8</w:t>
            </w:r>
            <w:r w:rsidR="00774286" w:rsidRPr="000C5235">
              <w:rPr>
                <w:webHidden/>
              </w:rPr>
              <w:fldChar w:fldCharType="end"/>
            </w:r>
          </w:hyperlink>
        </w:p>
        <w:p w14:paraId="5A90497A" w14:textId="4CC59A65" w:rsidR="00774286" w:rsidRPr="000C5235" w:rsidRDefault="00A774B1">
          <w:pPr>
            <w:pStyle w:val="TOC2"/>
            <w:rPr>
              <w:rFonts w:eastAsiaTheme="minorEastAsia"/>
              <w:szCs w:val="22"/>
              <w:lang w:eastAsia="en-AU"/>
            </w:rPr>
          </w:pPr>
          <w:hyperlink w:anchor="_Toc47951192" w:history="1">
            <w:r w:rsidR="00774286" w:rsidRPr="000C5235">
              <w:rPr>
                <w:rStyle w:val="Hyperlink"/>
              </w:rPr>
              <w:t>2.1</w:t>
            </w:r>
            <w:r w:rsidR="00774286" w:rsidRPr="000C5235">
              <w:rPr>
                <w:rFonts w:eastAsiaTheme="minorEastAsia"/>
                <w:szCs w:val="22"/>
                <w:lang w:eastAsia="en-AU"/>
              </w:rPr>
              <w:tab/>
            </w:r>
            <w:r w:rsidR="00774286" w:rsidRPr="000C5235">
              <w:rPr>
                <w:rStyle w:val="Hyperlink"/>
              </w:rPr>
              <w:t>AASB 16 Leases</w:t>
            </w:r>
            <w:r w:rsidR="00774286" w:rsidRPr="000C5235">
              <w:rPr>
                <w:webHidden/>
              </w:rPr>
              <w:tab/>
            </w:r>
            <w:r w:rsidR="00774286" w:rsidRPr="000C5235">
              <w:rPr>
                <w:webHidden/>
              </w:rPr>
              <w:fldChar w:fldCharType="begin"/>
            </w:r>
            <w:r w:rsidR="00774286" w:rsidRPr="000C5235">
              <w:rPr>
                <w:webHidden/>
              </w:rPr>
              <w:instrText xml:space="preserve"> PAGEREF _Toc47951192 \h </w:instrText>
            </w:r>
            <w:r w:rsidR="00774286" w:rsidRPr="000C5235">
              <w:rPr>
                <w:webHidden/>
              </w:rPr>
            </w:r>
            <w:r w:rsidR="00774286" w:rsidRPr="000C5235">
              <w:rPr>
                <w:webHidden/>
              </w:rPr>
              <w:fldChar w:fldCharType="separate"/>
            </w:r>
            <w:r w:rsidR="00774286" w:rsidRPr="000C5235">
              <w:rPr>
                <w:webHidden/>
              </w:rPr>
              <w:t>8</w:t>
            </w:r>
            <w:r w:rsidR="00774286" w:rsidRPr="000C5235">
              <w:rPr>
                <w:webHidden/>
              </w:rPr>
              <w:fldChar w:fldCharType="end"/>
            </w:r>
          </w:hyperlink>
        </w:p>
        <w:p w14:paraId="6C5FACDA" w14:textId="776EFC63" w:rsidR="00774286" w:rsidRPr="000C5235" w:rsidRDefault="00A774B1">
          <w:pPr>
            <w:pStyle w:val="TOC2"/>
            <w:rPr>
              <w:rFonts w:eastAsiaTheme="minorEastAsia"/>
              <w:szCs w:val="22"/>
              <w:lang w:eastAsia="en-AU"/>
            </w:rPr>
          </w:pPr>
          <w:hyperlink w:anchor="_Toc47951193" w:history="1">
            <w:r w:rsidR="00774286" w:rsidRPr="000C5235">
              <w:rPr>
                <w:rStyle w:val="Hyperlink"/>
              </w:rPr>
              <w:t>2.2</w:t>
            </w:r>
            <w:r w:rsidR="00774286" w:rsidRPr="000C5235">
              <w:rPr>
                <w:rFonts w:eastAsiaTheme="minorEastAsia"/>
                <w:szCs w:val="22"/>
                <w:lang w:eastAsia="en-AU"/>
              </w:rPr>
              <w:tab/>
            </w:r>
            <w:r w:rsidR="00774286" w:rsidRPr="000C5235">
              <w:rPr>
                <w:rStyle w:val="Hyperlink"/>
              </w:rPr>
              <w:t>The Reporting of Measures</w:t>
            </w:r>
            <w:r w:rsidR="00774286" w:rsidRPr="000C5235">
              <w:rPr>
                <w:webHidden/>
              </w:rPr>
              <w:tab/>
            </w:r>
            <w:r w:rsidR="00774286" w:rsidRPr="000C5235">
              <w:rPr>
                <w:webHidden/>
              </w:rPr>
              <w:fldChar w:fldCharType="begin"/>
            </w:r>
            <w:r w:rsidR="00774286" w:rsidRPr="000C5235">
              <w:rPr>
                <w:webHidden/>
              </w:rPr>
              <w:instrText xml:space="preserve"> PAGEREF _Toc47951193 \h </w:instrText>
            </w:r>
            <w:r w:rsidR="00774286" w:rsidRPr="000C5235">
              <w:rPr>
                <w:webHidden/>
              </w:rPr>
            </w:r>
            <w:r w:rsidR="00774286" w:rsidRPr="000C5235">
              <w:rPr>
                <w:webHidden/>
              </w:rPr>
              <w:fldChar w:fldCharType="separate"/>
            </w:r>
            <w:r w:rsidR="00774286" w:rsidRPr="000C5235">
              <w:rPr>
                <w:webHidden/>
              </w:rPr>
              <w:t>8</w:t>
            </w:r>
            <w:r w:rsidR="00774286" w:rsidRPr="000C5235">
              <w:rPr>
                <w:webHidden/>
              </w:rPr>
              <w:fldChar w:fldCharType="end"/>
            </w:r>
          </w:hyperlink>
        </w:p>
        <w:p w14:paraId="2D7717BD" w14:textId="02F459AF" w:rsidR="00774286" w:rsidRPr="000C5235" w:rsidRDefault="00A774B1">
          <w:pPr>
            <w:pStyle w:val="TOC2"/>
            <w:rPr>
              <w:rFonts w:eastAsiaTheme="minorEastAsia"/>
              <w:szCs w:val="22"/>
              <w:lang w:eastAsia="en-AU"/>
            </w:rPr>
          </w:pPr>
          <w:hyperlink w:anchor="_Toc47951194" w:history="1">
            <w:r w:rsidR="00774286" w:rsidRPr="000C5235">
              <w:rPr>
                <w:rStyle w:val="Hyperlink"/>
              </w:rPr>
              <w:t>2.3</w:t>
            </w:r>
            <w:r w:rsidR="00774286" w:rsidRPr="000C5235">
              <w:rPr>
                <w:rFonts w:eastAsiaTheme="minorEastAsia"/>
                <w:szCs w:val="22"/>
                <w:lang w:eastAsia="en-AU"/>
              </w:rPr>
              <w:tab/>
            </w:r>
            <w:r w:rsidR="00774286" w:rsidRPr="000C5235">
              <w:rPr>
                <w:rStyle w:val="Hyperlink"/>
              </w:rPr>
              <w:t>Changes to the PB Statement tables</w:t>
            </w:r>
            <w:r w:rsidR="00774286" w:rsidRPr="000C5235">
              <w:rPr>
                <w:webHidden/>
              </w:rPr>
              <w:tab/>
            </w:r>
            <w:r w:rsidR="00774286" w:rsidRPr="000C5235">
              <w:rPr>
                <w:webHidden/>
              </w:rPr>
              <w:fldChar w:fldCharType="begin"/>
            </w:r>
            <w:r w:rsidR="00774286" w:rsidRPr="000C5235">
              <w:rPr>
                <w:webHidden/>
              </w:rPr>
              <w:instrText xml:space="preserve"> PAGEREF _Toc47951194 \h </w:instrText>
            </w:r>
            <w:r w:rsidR="00774286" w:rsidRPr="000C5235">
              <w:rPr>
                <w:webHidden/>
              </w:rPr>
            </w:r>
            <w:r w:rsidR="00774286" w:rsidRPr="000C5235">
              <w:rPr>
                <w:webHidden/>
              </w:rPr>
              <w:fldChar w:fldCharType="separate"/>
            </w:r>
            <w:r w:rsidR="00774286" w:rsidRPr="000C5235">
              <w:rPr>
                <w:webHidden/>
              </w:rPr>
              <w:t>9</w:t>
            </w:r>
            <w:r w:rsidR="00774286" w:rsidRPr="000C5235">
              <w:rPr>
                <w:webHidden/>
              </w:rPr>
              <w:fldChar w:fldCharType="end"/>
            </w:r>
          </w:hyperlink>
        </w:p>
        <w:p w14:paraId="4CD680E8" w14:textId="480DEFE3" w:rsidR="00774286" w:rsidRPr="000C5235" w:rsidRDefault="00A774B1">
          <w:pPr>
            <w:pStyle w:val="TOC1"/>
            <w:rPr>
              <w:rFonts w:eastAsiaTheme="minorEastAsia"/>
              <w:b w:val="0"/>
              <w:sz w:val="22"/>
              <w:szCs w:val="22"/>
              <w:lang w:eastAsia="en-AU"/>
            </w:rPr>
          </w:pPr>
          <w:hyperlink w:anchor="_Toc47951195" w:history="1">
            <w:r w:rsidR="00774286" w:rsidRPr="000C5235">
              <w:rPr>
                <w:rStyle w:val="Hyperlink"/>
              </w:rPr>
              <w:t>3.</w:t>
            </w:r>
            <w:r w:rsidR="00774286" w:rsidRPr="000C5235">
              <w:rPr>
                <w:rFonts w:eastAsiaTheme="minorEastAsia"/>
                <w:b w:val="0"/>
                <w:sz w:val="22"/>
                <w:szCs w:val="22"/>
                <w:lang w:eastAsia="en-AU"/>
              </w:rPr>
              <w:tab/>
            </w:r>
            <w:r w:rsidR="00774286" w:rsidRPr="000C5235">
              <w:rPr>
                <w:rStyle w:val="Hyperlink"/>
              </w:rPr>
              <w:t>Purpose</w:t>
            </w:r>
            <w:r w:rsidR="00774286" w:rsidRPr="000C5235">
              <w:rPr>
                <w:webHidden/>
              </w:rPr>
              <w:tab/>
            </w:r>
            <w:r w:rsidR="00774286" w:rsidRPr="000C5235">
              <w:rPr>
                <w:webHidden/>
              </w:rPr>
              <w:fldChar w:fldCharType="begin"/>
            </w:r>
            <w:r w:rsidR="00774286" w:rsidRPr="000C5235">
              <w:rPr>
                <w:webHidden/>
              </w:rPr>
              <w:instrText xml:space="preserve"> PAGEREF _Toc47951195 \h </w:instrText>
            </w:r>
            <w:r w:rsidR="00774286" w:rsidRPr="000C5235">
              <w:rPr>
                <w:webHidden/>
              </w:rPr>
            </w:r>
            <w:r w:rsidR="00774286" w:rsidRPr="000C5235">
              <w:rPr>
                <w:webHidden/>
              </w:rPr>
              <w:fldChar w:fldCharType="separate"/>
            </w:r>
            <w:r w:rsidR="00774286" w:rsidRPr="000C5235">
              <w:rPr>
                <w:webHidden/>
              </w:rPr>
              <w:t>11</w:t>
            </w:r>
            <w:r w:rsidR="00774286" w:rsidRPr="000C5235">
              <w:rPr>
                <w:webHidden/>
              </w:rPr>
              <w:fldChar w:fldCharType="end"/>
            </w:r>
          </w:hyperlink>
        </w:p>
        <w:p w14:paraId="5C1C168D" w14:textId="5F85241A" w:rsidR="00774286" w:rsidRPr="000C5235" w:rsidRDefault="00A774B1">
          <w:pPr>
            <w:pStyle w:val="TOC1"/>
            <w:rPr>
              <w:rFonts w:eastAsiaTheme="minorEastAsia"/>
              <w:b w:val="0"/>
              <w:sz w:val="22"/>
              <w:szCs w:val="22"/>
              <w:lang w:eastAsia="en-AU"/>
            </w:rPr>
          </w:pPr>
          <w:hyperlink w:anchor="_Toc47951196" w:history="1">
            <w:r w:rsidR="00774286" w:rsidRPr="000C5235">
              <w:rPr>
                <w:rStyle w:val="Hyperlink"/>
              </w:rPr>
              <w:t>4.</w:t>
            </w:r>
            <w:r w:rsidR="00774286" w:rsidRPr="000C5235">
              <w:rPr>
                <w:rFonts w:eastAsiaTheme="minorEastAsia"/>
                <w:b w:val="0"/>
                <w:sz w:val="22"/>
                <w:szCs w:val="22"/>
                <w:lang w:eastAsia="en-AU"/>
              </w:rPr>
              <w:tab/>
            </w:r>
            <w:r w:rsidR="00774286" w:rsidRPr="000C5235">
              <w:rPr>
                <w:rStyle w:val="Hyperlink"/>
              </w:rPr>
              <w:t>Who should prepare PB Statements?</w:t>
            </w:r>
            <w:r w:rsidR="00774286" w:rsidRPr="000C5235">
              <w:rPr>
                <w:webHidden/>
              </w:rPr>
              <w:tab/>
            </w:r>
            <w:r w:rsidR="00774286" w:rsidRPr="000C5235">
              <w:rPr>
                <w:webHidden/>
              </w:rPr>
              <w:fldChar w:fldCharType="begin"/>
            </w:r>
            <w:r w:rsidR="00774286" w:rsidRPr="000C5235">
              <w:rPr>
                <w:webHidden/>
              </w:rPr>
              <w:instrText xml:space="preserve"> PAGEREF _Toc47951196 \h </w:instrText>
            </w:r>
            <w:r w:rsidR="00774286" w:rsidRPr="000C5235">
              <w:rPr>
                <w:webHidden/>
              </w:rPr>
            </w:r>
            <w:r w:rsidR="00774286" w:rsidRPr="000C5235">
              <w:rPr>
                <w:webHidden/>
              </w:rPr>
              <w:fldChar w:fldCharType="separate"/>
            </w:r>
            <w:r w:rsidR="00774286" w:rsidRPr="000C5235">
              <w:rPr>
                <w:webHidden/>
              </w:rPr>
              <w:t>11</w:t>
            </w:r>
            <w:r w:rsidR="00774286" w:rsidRPr="000C5235">
              <w:rPr>
                <w:webHidden/>
              </w:rPr>
              <w:fldChar w:fldCharType="end"/>
            </w:r>
          </w:hyperlink>
        </w:p>
        <w:p w14:paraId="3C9A09FF" w14:textId="4916526B" w:rsidR="00774286" w:rsidRPr="000C5235" w:rsidRDefault="00A774B1">
          <w:pPr>
            <w:pStyle w:val="TOC1"/>
            <w:rPr>
              <w:rFonts w:eastAsiaTheme="minorEastAsia"/>
              <w:b w:val="0"/>
              <w:sz w:val="22"/>
              <w:szCs w:val="22"/>
              <w:lang w:eastAsia="en-AU"/>
            </w:rPr>
          </w:pPr>
          <w:hyperlink w:anchor="_Toc47951197" w:history="1">
            <w:r w:rsidR="00774286" w:rsidRPr="000C5235">
              <w:rPr>
                <w:rStyle w:val="Hyperlink"/>
              </w:rPr>
              <w:t>5.</w:t>
            </w:r>
            <w:r w:rsidR="00774286" w:rsidRPr="000C5235">
              <w:rPr>
                <w:rFonts w:eastAsiaTheme="minorEastAsia"/>
                <w:b w:val="0"/>
                <w:sz w:val="22"/>
                <w:szCs w:val="22"/>
                <w:lang w:eastAsia="en-AU"/>
              </w:rPr>
              <w:tab/>
            </w:r>
            <w:r w:rsidR="00774286" w:rsidRPr="000C5235">
              <w:rPr>
                <w:rStyle w:val="Hyperlink"/>
              </w:rPr>
              <w:t>Structure</w:t>
            </w:r>
            <w:r w:rsidR="00774286" w:rsidRPr="000C5235">
              <w:rPr>
                <w:webHidden/>
              </w:rPr>
              <w:tab/>
            </w:r>
            <w:r w:rsidR="00774286" w:rsidRPr="000C5235">
              <w:rPr>
                <w:webHidden/>
              </w:rPr>
              <w:fldChar w:fldCharType="begin"/>
            </w:r>
            <w:r w:rsidR="00774286" w:rsidRPr="000C5235">
              <w:rPr>
                <w:webHidden/>
              </w:rPr>
              <w:instrText xml:space="preserve"> PAGEREF _Toc47951197 \h </w:instrText>
            </w:r>
            <w:r w:rsidR="00774286" w:rsidRPr="000C5235">
              <w:rPr>
                <w:webHidden/>
              </w:rPr>
            </w:r>
            <w:r w:rsidR="00774286" w:rsidRPr="000C5235">
              <w:rPr>
                <w:webHidden/>
              </w:rPr>
              <w:fldChar w:fldCharType="separate"/>
            </w:r>
            <w:r w:rsidR="00774286" w:rsidRPr="000C5235">
              <w:rPr>
                <w:webHidden/>
              </w:rPr>
              <w:t>13</w:t>
            </w:r>
            <w:r w:rsidR="00774286" w:rsidRPr="000C5235">
              <w:rPr>
                <w:webHidden/>
              </w:rPr>
              <w:fldChar w:fldCharType="end"/>
            </w:r>
          </w:hyperlink>
        </w:p>
        <w:p w14:paraId="7C7E4F41" w14:textId="1BD08D7A" w:rsidR="00774286" w:rsidRPr="000C5235" w:rsidRDefault="00A774B1">
          <w:pPr>
            <w:pStyle w:val="TOC2"/>
            <w:rPr>
              <w:rFonts w:eastAsiaTheme="minorEastAsia"/>
              <w:szCs w:val="22"/>
              <w:lang w:eastAsia="en-AU"/>
            </w:rPr>
          </w:pPr>
          <w:hyperlink w:anchor="_Toc47951198" w:history="1">
            <w:r w:rsidR="00774286" w:rsidRPr="000C5235">
              <w:rPr>
                <w:rStyle w:val="Hyperlink"/>
              </w:rPr>
              <w:t>5.1</w:t>
            </w:r>
            <w:r w:rsidR="00774286" w:rsidRPr="000C5235">
              <w:rPr>
                <w:rFonts w:eastAsiaTheme="minorEastAsia"/>
                <w:szCs w:val="22"/>
                <w:lang w:eastAsia="en-AU"/>
              </w:rPr>
              <w:tab/>
            </w:r>
            <w:r w:rsidR="00774286" w:rsidRPr="000C5235">
              <w:rPr>
                <w:rStyle w:val="Hyperlink"/>
              </w:rPr>
              <w:t>Commonwealth performance framework diagram located in the PB Statement's 'User Guide' chapter</w:t>
            </w:r>
            <w:r w:rsidR="00774286" w:rsidRPr="000C5235">
              <w:rPr>
                <w:webHidden/>
              </w:rPr>
              <w:tab/>
            </w:r>
            <w:r w:rsidR="00774286" w:rsidRPr="000C5235">
              <w:rPr>
                <w:webHidden/>
              </w:rPr>
              <w:fldChar w:fldCharType="begin"/>
            </w:r>
            <w:r w:rsidR="00774286" w:rsidRPr="000C5235">
              <w:rPr>
                <w:webHidden/>
              </w:rPr>
              <w:instrText xml:space="preserve"> PAGEREF _Toc47951198 \h </w:instrText>
            </w:r>
            <w:r w:rsidR="00774286" w:rsidRPr="000C5235">
              <w:rPr>
                <w:webHidden/>
              </w:rPr>
            </w:r>
            <w:r w:rsidR="00774286" w:rsidRPr="000C5235">
              <w:rPr>
                <w:webHidden/>
              </w:rPr>
              <w:fldChar w:fldCharType="separate"/>
            </w:r>
            <w:r w:rsidR="00774286" w:rsidRPr="000C5235">
              <w:rPr>
                <w:webHidden/>
              </w:rPr>
              <w:t>14</w:t>
            </w:r>
            <w:r w:rsidR="00774286" w:rsidRPr="000C5235">
              <w:rPr>
                <w:webHidden/>
              </w:rPr>
              <w:fldChar w:fldCharType="end"/>
            </w:r>
          </w:hyperlink>
        </w:p>
        <w:p w14:paraId="14B365BB" w14:textId="734E3CAD" w:rsidR="00774286" w:rsidRPr="000C5235" w:rsidRDefault="00A774B1">
          <w:pPr>
            <w:pStyle w:val="TOC2"/>
            <w:rPr>
              <w:rFonts w:eastAsiaTheme="minorEastAsia"/>
              <w:szCs w:val="22"/>
              <w:lang w:eastAsia="en-AU"/>
            </w:rPr>
          </w:pPr>
          <w:hyperlink w:anchor="_Toc47951199" w:history="1">
            <w:r w:rsidR="00774286" w:rsidRPr="000C5235">
              <w:rPr>
                <w:rStyle w:val="Hyperlink"/>
              </w:rPr>
              <w:t>5.2</w:t>
            </w:r>
            <w:r w:rsidR="00774286" w:rsidRPr="000C5235">
              <w:rPr>
                <w:rFonts w:eastAsiaTheme="minorEastAsia"/>
                <w:szCs w:val="22"/>
                <w:lang w:eastAsia="en-AU"/>
              </w:rPr>
              <w:tab/>
            </w:r>
            <w:r w:rsidR="00774286" w:rsidRPr="000C5235">
              <w:rPr>
                <w:rStyle w:val="Hyperlink"/>
              </w:rPr>
              <w:t>Consistency of reporting – the “clear read” principle</w:t>
            </w:r>
            <w:r w:rsidR="00774286" w:rsidRPr="000C5235">
              <w:rPr>
                <w:webHidden/>
              </w:rPr>
              <w:tab/>
            </w:r>
            <w:r w:rsidR="00774286" w:rsidRPr="000C5235">
              <w:rPr>
                <w:webHidden/>
              </w:rPr>
              <w:fldChar w:fldCharType="begin"/>
            </w:r>
            <w:r w:rsidR="00774286" w:rsidRPr="000C5235">
              <w:rPr>
                <w:webHidden/>
              </w:rPr>
              <w:instrText xml:space="preserve"> PAGEREF _Toc47951199 \h </w:instrText>
            </w:r>
            <w:r w:rsidR="00774286" w:rsidRPr="000C5235">
              <w:rPr>
                <w:webHidden/>
              </w:rPr>
            </w:r>
            <w:r w:rsidR="00774286" w:rsidRPr="000C5235">
              <w:rPr>
                <w:webHidden/>
              </w:rPr>
              <w:fldChar w:fldCharType="separate"/>
            </w:r>
            <w:r w:rsidR="00774286" w:rsidRPr="000C5235">
              <w:rPr>
                <w:webHidden/>
              </w:rPr>
              <w:t>14</w:t>
            </w:r>
            <w:r w:rsidR="00774286" w:rsidRPr="000C5235">
              <w:rPr>
                <w:webHidden/>
              </w:rPr>
              <w:fldChar w:fldCharType="end"/>
            </w:r>
          </w:hyperlink>
        </w:p>
        <w:p w14:paraId="415266D0" w14:textId="1DEE672A" w:rsidR="00774286" w:rsidRPr="000C5235" w:rsidRDefault="00A774B1">
          <w:pPr>
            <w:pStyle w:val="TOC3"/>
            <w:rPr>
              <w:rFonts w:eastAsiaTheme="minorEastAsia"/>
              <w:szCs w:val="22"/>
              <w:lang w:eastAsia="en-AU"/>
            </w:rPr>
          </w:pPr>
          <w:hyperlink w:anchor="_Toc47951200" w:history="1">
            <w:r w:rsidR="00774286" w:rsidRPr="000C5235">
              <w:rPr>
                <w:rStyle w:val="Hyperlink"/>
              </w:rPr>
              <w:t>5.2.1</w:t>
            </w:r>
            <w:r w:rsidR="00774286" w:rsidRPr="000C5235">
              <w:rPr>
                <w:rFonts w:eastAsiaTheme="minorEastAsia"/>
                <w:szCs w:val="22"/>
                <w:lang w:eastAsia="en-AU"/>
              </w:rPr>
              <w:tab/>
            </w:r>
            <w:r w:rsidR="00774286" w:rsidRPr="000C5235">
              <w:rPr>
                <w:rStyle w:val="Hyperlink"/>
              </w:rPr>
              <w:t>‘Clear read’ linkages</w:t>
            </w:r>
            <w:r w:rsidR="00774286" w:rsidRPr="000C5235">
              <w:rPr>
                <w:webHidden/>
              </w:rPr>
              <w:tab/>
            </w:r>
            <w:r w:rsidR="00774286" w:rsidRPr="000C5235">
              <w:rPr>
                <w:webHidden/>
              </w:rPr>
              <w:fldChar w:fldCharType="begin"/>
            </w:r>
            <w:r w:rsidR="00774286" w:rsidRPr="000C5235">
              <w:rPr>
                <w:webHidden/>
              </w:rPr>
              <w:instrText xml:space="preserve"> PAGEREF _Toc47951200 \h </w:instrText>
            </w:r>
            <w:r w:rsidR="00774286" w:rsidRPr="000C5235">
              <w:rPr>
                <w:webHidden/>
              </w:rPr>
            </w:r>
            <w:r w:rsidR="00774286" w:rsidRPr="000C5235">
              <w:rPr>
                <w:webHidden/>
              </w:rPr>
              <w:fldChar w:fldCharType="separate"/>
            </w:r>
            <w:r w:rsidR="00774286" w:rsidRPr="000C5235">
              <w:rPr>
                <w:webHidden/>
              </w:rPr>
              <w:t>14</w:t>
            </w:r>
            <w:r w:rsidR="00774286" w:rsidRPr="000C5235">
              <w:rPr>
                <w:webHidden/>
              </w:rPr>
              <w:fldChar w:fldCharType="end"/>
            </w:r>
          </w:hyperlink>
        </w:p>
        <w:p w14:paraId="113F1607" w14:textId="002D4530" w:rsidR="00774286" w:rsidRPr="000C5235" w:rsidRDefault="00A774B1">
          <w:pPr>
            <w:pStyle w:val="TOC2"/>
            <w:rPr>
              <w:rFonts w:eastAsiaTheme="minorEastAsia"/>
              <w:szCs w:val="22"/>
              <w:lang w:eastAsia="en-AU"/>
            </w:rPr>
          </w:pPr>
          <w:hyperlink w:anchor="_Toc47951201" w:history="1">
            <w:r w:rsidR="00774286" w:rsidRPr="000C5235">
              <w:rPr>
                <w:rStyle w:val="Hyperlink"/>
              </w:rPr>
              <w:t>5.3</w:t>
            </w:r>
            <w:r w:rsidR="00774286" w:rsidRPr="000C5235">
              <w:rPr>
                <w:rFonts w:eastAsiaTheme="minorEastAsia"/>
                <w:szCs w:val="22"/>
                <w:lang w:eastAsia="en-AU"/>
              </w:rPr>
              <w:tab/>
            </w:r>
            <w:r w:rsidR="00774286" w:rsidRPr="000C5235">
              <w:rPr>
                <w:rStyle w:val="Hyperlink"/>
              </w:rPr>
              <w:t>Clearance processes</w:t>
            </w:r>
            <w:r w:rsidR="00774286" w:rsidRPr="000C5235">
              <w:rPr>
                <w:webHidden/>
              </w:rPr>
              <w:tab/>
            </w:r>
            <w:r w:rsidR="00774286" w:rsidRPr="000C5235">
              <w:rPr>
                <w:webHidden/>
              </w:rPr>
              <w:fldChar w:fldCharType="begin"/>
            </w:r>
            <w:r w:rsidR="00774286" w:rsidRPr="000C5235">
              <w:rPr>
                <w:webHidden/>
              </w:rPr>
              <w:instrText xml:space="preserve"> PAGEREF _Toc47951201 \h </w:instrText>
            </w:r>
            <w:r w:rsidR="00774286" w:rsidRPr="000C5235">
              <w:rPr>
                <w:webHidden/>
              </w:rPr>
            </w:r>
            <w:r w:rsidR="00774286" w:rsidRPr="000C5235">
              <w:rPr>
                <w:webHidden/>
              </w:rPr>
              <w:fldChar w:fldCharType="separate"/>
            </w:r>
            <w:r w:rsidR="00774286" w:rsidRPr="000C5235">
              <w:rPr>
                <w:webHidden/>
              </w:rPr>
              <w:t>15</w:t>
            </w:r>
            <w:r w:rsidR="00774286" w:rsidRPr="000C5235">
              <w:rPr>
                <w:webHidden/>
              </w:rPr>
              <w:fldChar w:fldCharType="end"/>
            </w:r>
          </w:hyperlink>
        </w:p>
        <w:p w14:paraId="3C3CC390" w14:textId="7815007A" w:rsidR="00774286" w:rsidRPr="000C5235" w:rsidRDefault="00A774B1">
          <w:pPr>
            <w:pStyle w:val="TOC1"/>
            <w:rPr>
              <w:rFonts w:eastAsiaTheme="minorEastAsia"/>
              <w:b w:val="0"/>
              <w:sz w:val="22"/>
              <w:szCs w:val="22"/>
              <w:lang w:eastAsia="en-AU"/>
            </w:rPr>
          </w:pPr>
          <w:hyperlink w:anchor="_Toc47951202" w:history="1">
            <w:r w:rsidR="00774286" w:rsidRPr="000C5235">
              <w:rPr>
                <w:rStyle w:val="Hyperlink"/>
              </w:rPr>
              <w:t>6.</w:t>
            </w:r>
            <w:r w:rsidR="00774286" w:rsidRPr="000C5235">
              <w:rPr>
                <w:rFonts w:eastAsiaTheme="minorEastAsia"/>
                <w:b w:val="0"/>
                <w:sz w:val="22"/>
                <w:szCs w:val="22"/>
                <w:lang w:eastAsia="en-AU"/>
              </w:rPr>
              <w:tab/>
            </w:r>
            <w:r w:rsidR="00774286" w:rsidRPr="000C5235">
              <w:rPr>
                <w:rStyle w:val="Hyperlink"/>
              </w:rPr>
              <w:t>Publication requirements</w:t>
            </w:r>
            <w:r w:rsidR="00774286" w:rsidRPr="000C5235">
              <w:rPr>
                <w:webHidden/>
              </w:rPr>
              <w:tab/>
            </w:r>
            <w:r w:rsidR="00774286" w:rsidRPr="000C5235">
              <w:rPr>
                <w:webHidden/>
              </w:rPr>
              <w:fldChar w:fldCharType="begin"/>
            </w:r>
            <w:r w:rsidR="00774286" w:rsidRPr="000C5235">
              <w:rPr>
                <w:webHidden/>
              </w:rPr>
              <w:instrText xml:space="preserve"> PAGEREF _Toc47951202 \h </w:instrText>
            </w:r>
            <w:r w:rsidR="00774286" w:rsidRPr="000C5235">
              <w:rPr>
                <w:webHidden/>
              </w:rPr>
            </w:r>
            <w:r w:rsidR="00774286" w:rsidRPr="000C5235">
              <w:rPr>
                <w:webHidden/>
              </w:rPr>
              <w:fldChar w:fldCharType="separate"/>
            </w:r>
            <w:r w:rsidR="00774286" w:rsidRPr="000C5235">
              <w:rPr>
                <w:webHidden/>
              </w:rPr>
              <w:t>16</w:t>
            </w:r>
            <w:r w:rsidR="00774286" w:rsidRPr="000C5235">
              <w:rPr>
                <w:webHidden/>
              </w:rPr>
              <w:fldChar w:fldCharType="end"/>
            </w:r>
          </w:hyperlink>
        </w:p>
        <w:p w14:paraId="02274DEC" w14:textId="3E95957F" w:rsidR="00774286" w:rsidRPr="000C5235" w:rsidRDefault="00A774B1">
          <w:pPr>
            <w:pStyle w:val="TOC2"/>
            <w:rPr>
              <w:rFonts w:eastAsiaTheme="minorEastAsia"/>
              <w:szCs w:val="22"/>
              <w:lang w:eastAsia="en-AU"/>
            </w:rPr>
          </w:pPr>
          <w:hyperlink w:anchor="_Toc47951203" w:history="1">
            <w:r w:rsidR="00774286" w:rsidRPr="000C5235">
              <w:rPr>
                <w:rStyle w:val="Hyperlink"/>
              </w:rPr>
              <w:t>6.1</w:t>
            </w:r>
            <w:r w:rsidR="00774286" w:rsidRPr="000C5235">
              <w:rPr>
                <w:rFonts w:eastAsiaTheme="minorEastAsia"/>
                <w:szCs w:val="22"/>
                <w:lang w:eastAsia="en-AU"/>
              </w:rPr>
              <w:tab/>
            </w:r>
            <w:r w:rsidR="00774286" w:rsidRPr="000C5235">
              <w:rPr>
                <w:rStyle w:val="Hyperlink"/>
              </w:rPr>
              <w:t>Security requirements</w:t>
            </w:r>
            <w:r w:rsidR="00774286" w:rsidRPr="000C5235">
              <w:rPr>
                <w:webHidden/>
              </w:rPr>
              <w:tab/>
            </w:r>
            <w:r w:rsidR="00774286" w:rsidRPr="000C5235">
              <w:rPr>
                <w:webHidden/>
              </w:rPr>
              <w:fldChar w:fldCharType="begin"/>
            </w:r>
            <w:r w:rsidR="00774286" w:rsidRPr="000C5235">
              <w:rPr>
                <w:webHidden/>
              </w:rPr>
              <w:instrText xml:space="preserve"> PAGEREF _Toc47951203 \h </w:instrText>
            </w:r>
            <w:r w:rsidR="00774286" w:rsidRPr="000C5235">
              <w:rPr>
                <w:webHidden/>
              </w:rPr>
            </w:r>
            <w:r w:rsidR="00774286" w:rsidRPr="000C5235">
              <w:rPr>
                <w:webHidden/>
              </w:rPr>
              <w:fldChar w:fldCharType="separate"/>
            </w:r>
            <w:r w:rsidR="00774286" w:rsidRPr="000C5235">
              <w:rPr>
                <w:webHidden/>
              </w:rPr>
              <w:t>16</w:t>
            </w:r>
            <w:r w:rsidR="00774286" w:rsidRPr="000C5235">
              <w:rPr>
                <w:webHidden/>
              </w:rPr>
              <w:fldChar w:fldCharType="end"/>
            </w:r>
          </w:hyperlink>
        </w:p>
        <w:p w14:paraId="38E50BB6" w14:textId="3F7EA8A6" w:rsidR="00774286" w:rsidRPr="000C5235" w:rsidRDefault="00A774B1">
          <w:pPr>
            <w:pStyle w:val="TOC2"/>
            <w:rPr>
              <w:rFonts w:eastAsiaTheme="minorEastAsia"/>
              <w:szCs w:val="22"/>
              <w:lang w:eastAsia="en-AU"/>
            </w:rPr>
          </w:pPr>
          <w:hyperlink w:anchor="_Toc47951204" w:history="1">
            <w:r w:rsidR="00774286" w:rsidRPr="000C5235">
              <w:rPr>
                <w:rStyle w:val="Hyperlink"/>
              </w:rPr>
              <w:t>6.2</w:t>
            </w:r>
            <w:r w:rsidR="00774286" w:rsidRPr="000C5235">
              <w:rPr>
                <w:rFonts w:eastAsiaTheme="minorEastAsia"/>
                <w:szCs w:val="22"/>
                <w:lang w:eastAsia="en-AU"/>
              </w:rPr>
              <w:tab/>
            </w:r>
            <w:r w:rsidR="00774286" w:rsidRPr="000C5235">
              <w:rPr>
                <w:rStyle w:val="Hyperlink"/>
              </w:rPr>
              <w:t>Which printer to use and printing specifications</w:t>
            </w:r>
            <w:r w:rsidR="00774286" w:rsidRPr="000C5235">
              <w:rPr>
                <w:webHidden/>
              </w:rPr>
              <w:tab/>
            </w:r>
            <w:r w:rsidR="00774286" w:rsidRPr="000C5235">
              <w:rPr>
                <w:webHidden/>
              </w:rPr>
              <w:fldChar w:fldCharType="begin"/>
            </w:r>
            <w:r w:rsidR="00774286" w:rsidRPr="000C5235">
              <w:rPr>
                <w:webHidden/>
              </w:rPr>
              <w:instrText xml:space="preserve"> PAGEREF _Toc47951204 \h </w:instrText>
            </w:r>
            <w:r w:rsidR="00774286" w:rsidRPr="000C5235">
              <w:rPr>
                <w:webHidden/>
              </w:rPr>
            </w:r>
            <w:r w:rsidR="00774286" w:rsidRPr="000C5235">
              <w:rPr>
                <w:webHidden/>
              </w:rPr>
              <w:fldChar w:fldCharType="separate"/>
            </w:r>
            <w:r w:rsidR="00774286" w:rsidRPr="000C5235">
              <w:rPr>
                <w:webHidden/>
              </w:rPr>
              <w:t>16</w:t>
            </w:r>
            <w:r w:rsidR="00774286" w:rsidRPr="000C5235">
              <w:rPr>
                <w:webHidden/>
              </w:rPr>
              <w:fldChar w:fldCharType="end"/>
            </w:r>
          </w:hyperlink>
        </w:p>
        <w:p w14:paraId="45FF08B4" w14:textId="45616D4E" w:rsidR="00774286" w:rsidRPr="000C5235" w:rsidRDefault="00A774B1">
          <w:pPr>
            <w:pStyle w:val="TOC3"/>
            <w:rPr>
              <w:rFonts w:eastAsiaTheme="minorEastAsia"/>
              <w:szCs w:val="22"/>
              <w:lang w:eastAsia="en-AU"/>
            </w:rPr>
          </w:pPr>
          <w:hyperlink w:anchor="_Toc47951205" w:history="1">
            <w:r w:rsidR="00774286" w:rsidRPr="000C5235">
              <w:rPr>
                <w:rStyle w:val="Hyperlink"/>
              </w:rPr>
              <w:t>6.2.1</w:t>
            </w:r>
            <w:r w:rsidR="00774286" w:rsidRPr="000C5235">
              <w:rPr>
                <w:rFonts w:eastAsiaTheme="minorEastAsia"/>
                <w:szCs w:val="22"/>
                <w:lang w:eastAsia="en-AU"/>
              </w:rPr>
              <w:tab/>
            </w:r>
            <w:r w:rsidR="00774286" w:rsidRPr="000C5235">
              <w:rPr>
                <w:rStyle w:val="Hyperlink"/>
              </w:rPr>
              <w:t>Paper specifications</w:t>
            </w:r>
            <w:r w:rsidR="00774286" w:rsidRPr="000C5235">
              <w:rPr>
                <w:webHidden/>
              </w:rPr>
              <w:tab/>
            </w:r>
            <w:r w:rsidR="00774286" w:rsidRPr="000C5235">
              <w:rPr>
                <w:webHidden/>
              </w:rPr>
              <w:fldChar w:fldCharType="begin"/>
            </w:r>
            <w:r w:rsidR="00774286" w:rsidRPr="000C5235">
              <w:rPr>
                <w:webHidden/>
              </w:rPr>
              <w:instrText xml:space="preserve"> PAGEREF _Toc47951205 \h </w:instrText>
            </w:r>
            <w:r w:rsidR="00774286" w:rsidRPr="000C5235">
              <w:rPr>
                <w:webHidden/>
              </w:rPr>
            </w:r>
            <w:r w:rsidR="00774286" w:rsidRPr="000C5235">
              <w:rPr>
                <w:webHidden/>
              </w:rPr>
              <w:fldChar w:fldCharType="separate"/>
            </w:r>
            <w:r w:rsidR="00774286" w:rsidRPr="000C5235">
              <w:rPr>
                <w:webHidden/>
              </w:rPr>
              <w:t>16</w:t>
            </w:r>
            <w:r w:rsidR="00774286" w:rsidRPr="000C5235">
              <w:rPr>
                <w:webHidden/>
              </w:rPr>
              <w:fldChar w:fldCharType="end"/>
            </w:r>
          </w:hyperlink>
        </w:p>
        <w:p w14:paraId="63FDCC16" w14:textId="09417EAB" w:rsidR="00774286" w:rsidRPr="000C5235" w:rsidRDefault="00A774B1">
          <w:pPr>
            <w:pStyle w:val="TOC3"/>
            <w:rPr>
              <w:rFonts w:eastAsiaTheme="minorEastAsia"/>
              <w:szCs w:val="22"/>
              <w:lang w:eastAsia="en-AU"/>
            </w:rPr>
          </w:pPr>
          <w:hyperlink w:anchor="_Toc47951206" w:history="1">
            <w:r w:rsidR="00774286" w:rsidRPr="000C5235">
              <w:rPr>
                <w:rStyle w:val="Hyperlink"/>
              </w:rPr>
              <w:t>6.2.2</w:t>
            </w:r>
            <w:r w:rsidR="00774286" w:rsidRPr="000C5235">
              <w:rPr>
                <w:rFonts w:eastAsiaTheme="minorEastAsia"/>
                <w:szCs w:val="22"/>
                <w:lang w:eastAsia="en-AU"/>
              </w:rPr>
              <w:tab/>
            </w:r>
            <w:r w:rsidR="00774286" w:rsidRPr="000C5235">
              <w:rPr>
                <w:rStyle w:val="Hyperlink"/>
              </w:rPr>
              <w:t>Printer</w:t>
            </w:r>
            <w:r w:rsidR="00774286" w:rsidRPr="000C5235">
              <w:rPr>
                <w:webHidden/>
              </w:rPr>
              <w:tab/>
            </w:r>
            <w:r w:rsidR="00774286" w:rsidRPr="000C5235">
              <w:rPr>
                <w:webHidden/>
              </w:rPr>
              <w:fldChar w:fldCharType="begin"/>
            </w:r>
            <w:r w:rsidR="00774286" w:rsidRPr="000C5235">
              <w:rPr>
                <w:webHidden/>
              </w:rPr>
              <w:instrText xml:space="preserve"> PAGEREF _Toc47951206 \h </w:instrText>
            </w:r>
            <w:r w:rsidR="00774286" w:rsidRPr="000C5235">
              <w:rPr>
                <w:webHidden/>
              </w:rPr>
            </w:r>
            <w:r w:rsidR="00774286" w:rsidRPr="000C5235">
              <w:rPr>
                <w:webHidden/>
              </w:rPr>
              <w:fldChar w:fldCharType="separate"/>
            </w:r>
            <w:r w:rsidR="00774286" w:rsidRPr="000C5235">
              <w:rPr>
                <w:webHidden/>
              </w:rPr>
              <w:t>17</w:t>
            </w:r>
            <w:r w:rsidR="00774286" w:rsidRPr="000C5235">
              <w:rPr>
                <w:webHidden/>
              </w:rPr>
              <w:fldChar w:fldCharType="end"/>
            </w:r>
          </w:hyperlink>
        </w:p>
        <w:p w14:paraId="1A8B5B02" w14:textId="75981999" w:rsidR="00774286" w:rsidRPr="000C5235" w:rsidRDefault="00A774B1">
          <w:pPr>
            <w:pStyle w:val="TOC2"/>
            <w:rPr>
              <w:rFonts w:eastAsiaTheme="minorEastAsia"/>
              <w:szCs w:val="22"/>
              <w:lang w:eastAsia="en-AU"/>
            </w:rPr>
          </w:pPr>
          <w:hyperlink w:anchor="_Toc47951207" w:history="1">
            <w:r w:rsidR="00774286" w:rsidRPr="000C5235">
              <w:rPr>
                <w:rStyle w:val="Hyperlink"/>
              </w:rPr>
              <w:t>6.3</w:t>
            </w:r>
            <w:r w:rsidR="00774286" w:rsidRPr="000C5235">
              <w:rPr>
                <w:rFonts w:eastAsiaTheme="minorEastAsia"/>
                <w:szCs w:val="22"/>
                <w:lang w:eastAsia="en-AU"/>
              </w:rPr>
              <w:tab/>
            </w:r>
            <w:r w:rsidR="00774286" w:rsidRPr="000C5235">
              <w:rPr>
                <w:rStyle w:val="Hyperlink"/>
              </w:rPr>
              <w:t>Classification</w:t>
            </w:r>
            <w:r w:rsidR="00774286" w:rsidRPr="000C5235">
              <w:rPr>
                <w:webHidden/>
              </w:rPr>
              <w:tab/>
            </w:r>
            <w:r w:rsidR="00774286" w:rsidRPr="000C5235">
              <w:rPr>
                <w:webHidden/>
              </w:rPr>
              <w:fldChar w:fldCharType="begin"/>
            </w:r>
            <w:r w:rsidR="00774286" w:rsidRPr="000C5235">
              <w:rPr>
                <w:webHidden/>
              </w:rPr>
              <w:instrText xml:space="preserve"> PAGEREF _Toc47951207 \h </w:instrText>
            </w:r>
            <w:r w:rsidR="00774286" w:rsidRPr="000C5235">
              <w:rPr>
                <w:webHidden/>
              </w:rPr>
            </w:r>
            <w:r w:rsidR="00774286" w:rsidRPr="000C5235">
              <w:rPr>
                <w:webHidden/>
              </w:rPr>
              <w:fldChar w:fldCharType="separate"/>
            </w:r>
            <w:r w:rsidR="00774286" w:rsidRPr="000C5235">
              <w:rPr>
                <w:webHidden/>
              </w:rPr>
              <w:t>17</w:t>
            </w:r>
            <w:r w:rsidR="00774286" w:rsidRPr="000C5235">
              <w:rPr>
                <w:webHidden/>
              </w:rPr>
              <w:fldChar w:fldCharType="end"/>
            </w:r>
          </w:hyperlink>
        </w:p>
        <w:p w14:paraId="6F2F2E98" w14:textId="62187CA8" w:rsidR="00774286" w:rsidRPr="000C5235" w:rsidRDefault="00A774B1">
          <w:pPr>
            <w:pStyle w:val="TOC2"/>
            <w:rPr>
              <w:rFonts w:eastAsiaTheme="minorEastAsia"/>
              <w:szCs w:val="22"/>
              <w:lang w:eastAsia="en-AU"/>
            </w:rPr>
          </w:pPr>
          <w:hyperlink w:anchor="_Toc47951208" w:history="1">
            <w:r w:rsidR="00774286" w:rsidRPr="000C5235">
              <w:rPr>
                <w:rStyle w:val="Hyperlink"/>
              </w:rPr>
              <w:t>6.4</w:t>
            </w:r>
            <w:r w:rsidR="00774286" w:rsidRPr="000C5235">
              <w:rPr>
                <w:rFonts w:eastAsiaTheme="minorEastAsia"/>
                <w:szCs w:val="22"/>
                <w:lang w:eastAsia="en-AU"/>
              </w:rPr>
              <w:tab/>
            </w:r>
            <w:r w:rsidR="00774286" w:rsidRPr="000C5235">
              <w:rPr>
                <w:rStyle w:val="Hyperlink"/>
              </w:rPr>
              <w:t>Obtaining templates and covers</w:t>
            </w:r>
            <w:r w:rsidR="00774286" w:rsidRPr="000C5235">
              <w:rPr>
                <w:webHidden/>
              </w:rPr>
              <w:tab/>
            </w:r>
            <w:r w:rsidR="00774286" w:rsidRPr="000C5235">
              <w:rPr>
                <w:webHidden/>
              </w:rPr>
              <w:fldChar w:fldCharType="begin"/>
            </w:r>
            <w:r w:rsidR="00774286" w:rsidRPr="000C5235">
              <w:rPr>
                <w:webHidden/>
              </w:rPr>
              <w:instrText xml:space="preserve"> PAGEREF _Toc47951208 \h </w:instrText>
            </w:r>
            <w:r w:rsidR="00774286" w:rsidRPr="000C5235">
              <w:rPr>
                <w:webHidden/>
              </w:rPr>
            </w:r>
            <w:r w:rsidR="00774286" w:rsidRPr="000C5235">
              <w:rPr>
                <w:webHidden/>
              </w:rPr>
              <w:fldChar w:fldCharType="separate"/>
            </w:r>
            <w:r w:rsidR="00774286" w:rsidRPr="000C5235">
              <w:rPr>
                <w:webHidden/>
              </w:rPr>
              <w:t>17</w:t>
            </w:r>
            <w:r w:rsidR="00774286" w:rsidRPr="000C5235">
              <w:rPr>
                <w:webHidden/>
              </w:rPr>
              <w:fldChar w:fldCharType="end"/>
            </w:r>
          </w:hyperlink>
        </w:p>
        <w:p w14:paraId="001B7961" w14:textId="7E34376A" w:rsidR="00774286" w:rsidRPr="000C5235" w:rsidRDefault="00A774B1">
          <w:pPr>
            <w:pStyle w:val="TOC3"/>
            <w:rPr>
              <w:rFonts w:eastAsiaTheme="minorEastAsia"/>
              <w:szCs w:val="22"/>
              <w:lang w:eastAsia="en-AU"/>
            </w:rPr>
          </w:pPr>
          <w:hyperlink w:anchor="_Toc47951209" w:history="1">
            <w:r w:rsidR="00774286" w:rsidRPr="000C5235">
              <w:rPr>
                <w:rStyle w:val="Hyperlink"/>
              </w:rPr>
              <w:t>6.4.1</w:t>
            </w:r>
            <w:r w:rsidR="00774286" w:rsidRPr="000C5235">
              <w:rPr>
                <w:rFonts w:eastAsiaTheme="minorEastAsia"/>
                <w:szCs w:val="22"/>
                <w:lang w:eastAsia="en-AU"/>
              </w:rPr>
              <w:tab/>
            </w:r>
            <w:r w:rsidR="00774286" w:rsidRPr="000C5235">
              <w:rPr>
                <w:rStyle w:val="Hyperlink"/>
              </w:rPr>
              <w:t>Obtaining Attachment B and C - Excel and Word templates</w:t>
            </w:r>
            <w:r w:rsidR="00774286" w:rsidRPr="000C5235">
              <w:rPr>
                <w:webHidden/>
              </w:rPr>
              <w:tab/>
            </w:r>
            <w:r w:rsidR="00774286" w:rsidRPr="000C5235">
              <w:rPr>
                <w:webHidden/>
              </w:rPr>
              <w:fldChar w:fldCharType="begin"/>
            </w:r>
            <w:r w:rsidR="00774286" w:rsidRPr="000C5235">
              <w:rPr>
                <w:webHidden/>
              </w:rPr>
              <w:instrText xml:space="preserve"> PAGEREF _Toc47951209 \h </w:instrText>
            </w:r>
            <w:r w:rsidR="00774286" w:rsidRPr="000C5235">
              <w:rPr>
                <w:webHidden/>
              </w:rPr>
            </w:r>
            <w:r w:rsidR="00774286" w:rsidRPr="000C5235">
              <w:rPr>
                <w:webHidden/>
              </w:rPr>
              <w:fldChar w:fldCharType="separate"/>
            </w:r>
            <w:r w:rsidR="00774286" w:rsidRPr="000C5235">
              <w:rPr>
                <w:webHidden/>
              </w:rPr>
              <w:t>17</w:t>
            </w:r>
            <w:r w:rsidR="00774286" w:rsidRPr="000C5235">
              <w:rPr>
                <w:webHidden/>
              </w:rPr>
              <w:fldChar w:fldCharType="end"/>
            </w:r>
          </w:hyperlink>
        </w:p>
        <w:p w14:paraId="390C30F7" w14:textId="5D78EDB1" w:rsidR="00774286" w:rsidRPr="000C5235" w:rsidRDefault="00A774B1">
          <w:pPr>
            <w:pStyle w:val="TOC3"/>
            <w:rPr>
              <w:rFonts w:eastAsiaTheme="minorEastAsia"/>
              <w:szCs w:val="22"/>
              <w:lang w:eastAsia="en-AU"/>
            </w:rPr>
          </w:pPr>
          <w:hyperlink w:anchor="_Toc47951210" w:history="1">
            <w:r w:rsidR="00774286" w:rsidRPr="000C5235">
              <w:rPr>
                <w:rStyle w:val="Hyperlink"/>
              </w:rPr>
              <w:t>6.4.2</w:t>
            </w:r>
            <w:r w:rsidR="00774286" w:rsidRPr="000C5235">
              <w:rPr>
                <w:rFonts w:eastAsiaTheme="minorEastAsia"/>
                <w:szCs w:val="22"/>
                <w:lang w:eastAsia="en-AU"/>
              </w:rPr>
              <w:tab/>
            </w:r>
            <w:r w:rsidR="00774286" w:rsidRPr="000C5235">
              <w:rPr>
                <w:rStyle w:val="Hyperlink"/>
              </w:rPr>
              <w:t>Obtaining Attachment D - Covers for the 2020-21 PB Statements</w:t>
            </w:r>
            <w:r w:rsidR="00774286" w:rsidRPr="000C5235">
              <w:rPr>
                <w:webHidden/>
              </w:rPr>
              <w:tab/>
            </w:r>
            <w:r w:rsidR="00774286" w:rsidRPr="000C5235">
              <w:rPr>
                <w:webHidden/>
              </w:rPr>
              <w:fldChar w:fldCharType="begin"/>
            </w:r>
            <w:r w:rsidR="00774286" w:rsidRPr="000C5235">
              <w:rPr>
                <w:webHidden/>
              </w:rPr>
              <w:instrText xml:space="preserve"> PAGEREF _Toc47951210 \h </w:instrText>
            </w:r>
            <w:r w:rsidR="00774286" w:rsidRPr="000C5235">
              <w:rPr>
                <w:webHidden/>
              </w:rPr>
            </w:r>
            <w:r w:rsidR="00774286" w:rsidRPr="000C5235">
              <w:rPr>
                <w:webHidden/>
              </w:rPr>
              <w:fldChar w:fldCharType="separate"/>
            </w:r>
            <w:r w:rsidR="00774286" w:rsidRPr="000C5235">
              <w:rPr>
                <w:webHidden/>
              </w:rPr>
              <w:t>18</w:t>
            </w:r>
            <w:r w:rsidR="00774286" w:rsidRPr="000C5235">
              <w:rPr>
                <w:webHidden/>
              </w:rPr>
              <w:fldChar w:fldCharType="end"/>
            </w:r>
          </w:hyperlink>
        </w:p>
        <w:p w14:paraId="23BF4C73" w14:textId="22435BDF" w:rsidR="00774286" w:rsidRPr="000C5235" w:rsidRDefault="00A774B1">
          <w:pPr>
            <w:pStyle w:val="TOC2"/>
            <w:rPr>
              <w:rFonts w:eastAsiaTheme="minorEastAsia"/>
              <w:szCs w:val="22"/>
              <w:lang w:eastAsia="en-AU"/>
            </w:rPr>
          </w:pPr>
          <w:hyperlink w:anchor="_Toc47951211" w:history="1">
            <w:r w:rsidR="00774286" w:rsidRPr="000C5235">
              <w:rPr>
                <w:rStyle w:val="Hyperlink"/>
              </w:rPr>
              <w:t>6.5</w:t>
            </w:r>
            <w:r w:rsidR="00774286" w:rsidRPr="000C5235">
              <w:rPr>
                <w:rFonts w:eastAsiaTheme="minorEastAsia"/>
                <w:szCs w:val="22"/>
                <w:lang w:eastAsia="en-AU"/>
              </w:rPr>
              <w:tab/>
            </w:r>
            <w:r w:rsidR="00774286" w:rsidRPr="000C5235">
              <w:rPr>
                <w:rStyle w:val="Hyperlink"/>
              </w:rPr>
              <w:t>Delivery to Parliament House and Finance</w:t>
            </w:r>
            <w:r w:rsidR="00774286" w:rsidRPr="000C5235">
              <w:rPr>
                <w:webHidden/>
              </w:rPr>
              <w:tab/>
            </w:r>
            <w:r w:rsidR="00774286" w:rsidRPr="000C5235">
              <w:rPr>
                <w:webHidden/>
              </w:rPr>
              <w:fldChar w:fldCharType="begin"/>
            </w:r>
            <w:r w:rsidR="00774286" w:rsidRPr="000C5235">
              <w:rPr>
                <w:webHidden/>
              </w:rPr>
              <w:instrText xml:space="preserve"> PAGEREF _Toc47951211 \h </w:instrText>
            </w:r>
            <w:r w:rsidR="00774286" w:rsidRPr="000C5235">
              <w:rPr>
                <w:webHidden/>
              </w:rPr>
            </w:r>
            <w:r w:rsidR="00774286" w:rsidRPr="000C5235">
              <w:rPr>
                <w:webHidden/>
              </w:rPr>
              <w:fldChar w:fldCharType="separate"/>
            </w:r>
            <w:r w:rsidR="00774286" w:rsidRPr="000C5235">
              <w:rPr>
                <w:webHidden/>
              </w:rPr>
              <w:t>18</w:t>
            </w:r>
            <w:r w:rsidR="00774286" w:rsidRPr="000C5235">
              <w:rPr>
                <w:webHidden/>
              </w:rPr>
              <w:fldChar w:fldCharType="end"/>
            </w:r>
          </w:hyperlink>
        </w:p>
        <w:p w14:paraId="7CE49C09" w14:textId="6B3BDAE4" w:rsidR="00774286" w:rsidRPr="000C5235" w:rsidRDefault="00A774B1">
          <w:pPr>
            <w:pStyle w:val="TOC2"/>
            <w:rPr>
              <w:rFonts w:eastAsiaTheme="minorEastAsia"/>
              <w:szCs w:val="22"/>
              <w:lang w:eastAsia="en-AU"/>
            </w:rPr>
          </w:pPr>
          <w:hyperlink w:anchor="_Toc47951212" w:history="1">
            <w:r w:rsidR="00774286" w:rsidRPr="000C5235">
              <w:rPr>
                <w:rStyle w:val="Hyperlink"/>
              </w:rPr>
              <w:t>6.6</w:t>
            </w:r>
            <w:r w:rsidR="00774286" w:rsidRPr="000C5235">
              <w:rPr>
                <w:rFonts w:eastAsiaTheme="minorEastAsia"/>
                <w:szCs w:val="22"/>
                <w:lang w:eastAsia="en-AU"/>
              </w:rPr>
              <w:tab/>
            </w:r>
            <w:r w:rsidR="00774286" w:rsidRPr="000C5235">
              <w:rPr>
                <w:rStyle w:val="Hyperlink"/>
              </w:rPr>
              <w:t>Number of books</w:t>
            </w:r>
            <w:r w:rsidR="00774286" w:rsidRPr="000C5235">
              <w:rPr>
                <w:webHidden/>
              </w:rPr>
              <w:tab/>
            </w:r>
            <w:r w:rsidR="00774286" w:rsidRPr="000C5235">
              <w:rPr>
                <w:webHidden/>
              </w:rPr>
              <w:fldChar w:fldCharType="begin"/>
            </w:r>
            <w:r w:rsidR="00774286" w:rsidRPr="000C5235">
              <w:rPr>
                <w:webHidden/>
              </w:rPr>
              <w:instrText xml:space="preserve"> PAGEREF _Toc47951212 \h </w:instrText>
            </w:r>
            <w:r w:rsidR="00774286" w:rsidRPr="000C5235">
              <w:rPr>
                <w:webHidden/>
              </w:rPr>
            </w:r>
            <w:r w:rsidR="00774286" w:rsidRPr="000C5235">
              <w:rPr>
                <w:webHidden/>
              </w:rPr>
              <w:fldChar w:fldCharType="separate"/>
            </w:r>
            <w:r w:rsidR="00774286" w:rsidRPr="000C5235">
              <w:rPr>
                <w:webHidden/>
              </w:rPr>
              <w:t>19</w:t>
            </w:r>
            <w:r w:rsidR="00774286" w:rsidRPr="000C5235">
              <w:rPr>
                <w:webHidden/>
              </w:rPr>
              <w:fldChar w:fldCharType="end"/>
            </w:r>
          </w:hyperlink>
        </w:p>
        <w:p w14:paraId="6942F150" w14:textId="1FB205F8" w:rsidR="00774286" w:rsidRPr="000C5235" w:rsidRDefault="00A774B1">
          <w:pPr>
            <w:pStyle w:val="TOC2"/>
            <w:rPr>
              <w:rFonts w:eastAsiaTheme="minorEastAsia"/>
              <w:szCs w:val="22"/>
              <w:lang w:eastAsia="en-AU"/>
            </w:rPr>
          </w:pPr>
          <w:hyperlink w:anchor="_Toc47951213" w:history="1">
            <w:r w:rsidR="00774286" w:rsidRPr="000C5235">
              <w:rPr>
                <w:rStyle w:val="Hyperlink"/>
              </w:rPr>
              <w:t>6.7</w:t>
            </w:r>
            <w:r w:rsidR="00774286" w:rsidRPr="000C5235">
              <w:rPr>
                <w:rFonts w:eastAsiaTheme="minorEastAsia"/>
                <w:szCs w:val="22"/>
                <w:lang w:eastAsia="en-AU"/>
              </w:rPr>
              <w:tab/>
            </w:r>
            <w:r w:rsidR="00774286" w:rsidRPr="000C5235">
              <w:rPr>
                <w:rStyle w:val="Hyperlink"/>
              </w:rPr>
              <w:t>Protected-rated email / CabNet requirements</w:t>
            </w:r>
            <w:r w:rsidR="00774286" w:rsidRPr="000C5235">
              <w:rPr>
                <w:webHidden/>
              </w:rPr>
              <w:tab/>
            </w:r>
            <w:r w:rsidR="00774286" w:rsidRPr="000C5235">
              <w:rPr>
                <w:webHidden/>
              </w:rPr>
              <w:fldChar w:fldCharType="begin"/>
            </w:r>
            <w:r w:rsidR="00774286" w:rsidRPr="000C5235">
              <w:rPr>
                <w:webHidden/>
              </w:rPr>
              <w:instrText xml:space="preserve"> PAGEREF _Toc47951213 \h </w:instrText>
            </w:r>
            <w:r w:rsidR="00774286" w:rsidRPr="000C5235">
              <w:rPr>
                <w:webHidden/>
              </w:rPr>
            </w:r>
            <w:r w:rsidR="00774286" w:rsidRPr="000C5235">
              <w:rPr>
                <w:webHidden/>
              </w:rPr>
              <w:fldChar w:fldCharType="separate"/>
            </w:r>
            <w:r w:rsidR="00774286" w:rsidRPr="000C5235">
              <w:rPr>
                <w:webHidden/>
              </w:rPr>
              <w:t>21</w:t>
            </w:r>
            <w:r w:rsidR="00774286" w:rsidRPr="000C5235">
              <w:rPr>
                <w:webHidden/>
              </w:rPr>
              <w:fldChar w:fldCharType="end"/>
            </w:r>
          </w:hyperlink>
        </w:p>
        <w:p w14:paraId="48308791" w14:textId="6ABAD7B6" w:rsidR="00774286" w:rsidRPr="000C5235" w:rsidRDefault="00A774B1">
          <w:pPr>
            <w:pStyle w:val="TOC2"/>
            <w:rPr>
              <w:rFonts w:eastAsiaTheme="minorEastAsia"/>
              <w:szCs w:val="22"/>
              <w:lang w:eastAsia="en-AU"/>
            </w:rPr>
          </w:pPr>
          <w:hyperlink w:anchor="_Toc47951214" w:history="1">
            <w:r w:rsidR="00774286" w:rsidRPr="000C5235">
              <w:rPr>
                <w:rStyle w:val="Hyperlink"/>
              </w:rPr>
              <w:t>6.8</w:t>
            </w:r>
            <w:r w:rsidR="00774286" w:rsidRPr="000C5235">
              <w:rPr>
                <w:rFonts w:eastAsiaTheme="minorEastAsia"/>
                <w:szCs w:val="22"/>
                <w:lang w:eastAsia="en-AU"/>
              </w:rPr>
              <w:tab/>
            </w:r>
            <w:r w:rsidR="00774286" w:rsidRPr="000C5235">
              <w:rPr>
                <w:rStyle w:val="Hyperlink"/>
              </w:rPr>
              <w:t>Budget media lockup hard copy and Adobe PDF requirements</w:t>
            </w:r>
            <w:r w:rsidR="00774286" w:rsidRPr="000C5235">
              <w:rPr>
                <w:webHidden/>
              </w:rPr>
              <w:tab/>
            </w:r>
            <w:r w:rsidR="00774286" w:rsidRPr="000C5235">
              <w:rPr>
                <w:webHidden/>
              </w:rPr>
              <w:fldChar w:fldCharType="begin"/>
            </w:r>
            <w:r w:rsidR="00774286" w:rsidRPr="000C5235">
              <w:rPr>
                <w:webHidden/>
              </w:rPr>
              <w:instrText xml:space="preserve"> PAGEREF _Toc47951214 \h </w:instrText>
            </w:r>
            <w:r w:rsidR="00774286" w:rsidRPr="000C5235">
              <w:rPr>
                <w:webHidden/>
              </w:rPr>
            </w:r>
            <w:r w:rsidR="00774286" w:rsidRPr="000C5235">
              <w:rPr>
                <w:webHidden/>
              </w:rPr>
              <w:fldChar w:fldCharType="separate"/>
            </w:r>
            <w:r w:rsidR="00774286" w:rsidRPr="000C5235">
              <w:rPr>
                <w:webHidden/>
              </w:rPr>
              <w:t>21</w:t>
            </w:r>
            <w:r w:rsidR="00774286" w:rsidRPr="000C5235">
              <w:rPr>
                <w:webHidden/>
              </w:rPr>
              <w:fldChar w:fldCharType="end"/>
            </w:r>
          </w:hyperlink>
        </w:p>
        <w:p w14:paraId="08CDA909" w14:textId="16A17DDC" w:rsidR="00774286" w:rsidRPr="000C5235" w:rsidRDefault="00A774B1">
          <w:pPr>
            <w:pStyle w:val="TOC2"/>
            <w:rPr>
              <w:rFonts w:eastAsiaTheme="minorEastAsia"/>
              <w:szCs w:val="22"/>
              <w:lang w:eastAsia="en-AU"/>
            </w:rPr>
          </w:pPr>
          <w:hyperlink w:anchor="_Toc47951215" w:history="1">
            <w:r w:rsidR="00774286" w:rsidRPr="000C5235">
              <w:rPr>
                <w:rStyle w:val="Hyperlink"/>
              </w:rPr>
              <w:t>6.9</w:t>
            </w:r>
            <w:r w:rsidR="00774286" w:rsidRPr="000C5235">
              <w:rPr>
                <w:rFonts w:eastAsiaTheme="minorEastAsia"/>
                <w:szCs w:val="22"/>
                <w:lang w:eastAsia="en-AU"/>
              </w:rPr>
              <w:tab/>
            </w:r>
            <w:r w:rsidR="00774286" w:rsidRPr="000C5235">
              <w:rPr>
                <w:rStyle w:val="Hyperlink"/>
              </w:rPr>
              <w:t>Online publication</w:t>
            </w:r>
            <w:r w:rsidR="00774286" w:rsidRPr="000C5235">
              <w:rPr>
                <w:webHidden/>
              </w:rPr>
              <w:tab/>
            </w:r>
            <w:r w:rsidR="00774286" w:rsidRPr="000C5235">
              <w:rPr>
                <w:webHidden/>
              </w:rPr>
              <w:fldChar w:fldCharType="begin"/>
            </w:r>
            <w:r w:rsidR="00774286" w:rsidRPr="000C5235">
              <w:rPr>
                <w:webHidden/>
              </w:rPr>
              <w:instrText xml:space="preserve"> PAGEREF _Toc47951215 \h </w:instrText>
            </w:r>
            <w:r w:rsidR="00774286" w:rsidRPr="000C5235">
              <w:rPr>
                <w:webHidden/>
              </w:rPr>
            </w:r>
            <w:r w:rsidR="00774286" w:rsidRPr="000C5235">
              <w:rPr>
                <w:webHidden/>
              </w:rPr>
              <w:fldChar w:fldCharType="separate"/>
            </w:r>
            <w:r w:rsidR="00774286" w:rsidRPr="000C5235">
              <w:rPr>
                <w:webHidden/>
              </w:rPr>
              <w:t>21</w:t>
            </w:r>
            <w:r w:rsidR="00774286" w:rsidRPr="000C5235">
              <w:rPr>
                <w:webHidden/>
              </w:rPr>
              <w:fldChar w:fldCharType="end"/>
            </w:r>
          </w:hyperlink>
        </w:p>
        <w:p w14:paraId="54DA6C33" w14:textId="5ED25A32" w:rsidR="00774286" w:rsidRPr="000C5235" w:rsidRDefault="00A774B1">
          <w:pPr>
            <w:pStyle w:val="TOC3"/>
            <w:rPr>
              <w:rFonts w:eastAsiaTheme="minorEastAsia"/>
              <w:szCs w:val="22"/>
              <w:lang w:eastAsia="en-AU"/>
            </w:rPr>
          </w:pPr>
          <w:hyperlink w:anchor="_Toc47951216" w:history="1">
            <w:r w:rsidR="00774286" w:rsidRPr="000C5235">
              <w:rPr>
                <w:rStyle w:val="Hyperlink"/>
              </w:rPr>
              <w:t>6.9.1</w:t>
            </w:r>
            <w:r w:rsidR="00774286" w:rsidRPr="000C5235">
              <w:rPr>
                <w:rFonts w:eastAsiaTheme="minorEastAsia"/>
                <w:szCs w:val="22"/>
                <w:lang w:eastAsia="en-AU"/>
              </w:rPr>
              <w:tab/>
            </w:r>
            <w:r w:rsidR="00774286" w:rsidRPr="000C5235">
              <w:rPr>
                <w:rStyle w:val="Hyperlink"/>
              </w:rPr>
              <w:t>Publishing the PB Statements on the internet</w:t>
            </w:r>
            <w:r w:rsidR="00774286" w:rsidRPr="000C5235">
              <w:rPr>
                <w:webHidden/>
              </w:rPr>
              <w:tab/>
            </w:r>
            <w:r w:rsidR="00774286" w:rsidRPr="000C5235">
              <w:rPr>
                <w:webHidden/>
              </w:rPr>
              <w:fldChar w:fldCharType="begin"/>
            </w:r>
            <w:r w:rsidR="00774286" w:rsidRPr="000C5235">
              <w:rPr>
                <w:webHidden/>
              </w:rPr>
              <w:instrText xml:space="preserve"> PAGEREF _Toc47951216 \h </w:instrText>
            </w:r>
            <w:r w:rsidR="00774286" w:rsidRPr="000C5235">
              <w:rPr>
                <w:webHidden/>
              </w:rPr>
            </w:r>
            <w:r w:rsidR="00774286" w:rsidRPr="000C5235">
              <w:rPr>
                <w:webHidden/>
              </w:rPr>
              <w:fldChar w:fldCharType="separate"/>
            </w:r>
            <w:r w:rsidR="00774286" w:rsidRPr="000C5235">
              <w:rPr>
                <w:webHidden/>
              </w:rPr>
              <w:t>21</w:t>
            </w:r>
            <w:r w:rsidR="00774286" w:rsidRPr="000C5235">
              <w:rPr>
                <w:webHidden/>
              </w:rPr>
              <w:fldChar w:fldCharType="end"/>
            </w:r>
          </w:hyperlink>
        </w:p>
        <w:p w14:paraId="5A75C7A1" w14:textId="2CFA2F45" w:rsidR="00774286" w:rsidRPr="000C5235" w:rsidRDefault="00A774B1">
          <w:pPr>
            <w:pStyle w:val="TOC3"/>
            <w:rPr>
              <w:rFonts w:eastAsiaTheme="minorEastAsia"/>
              <w:szCs w:val="22"/>
              <w:lang w:eastAsia="en-AU"/>
            </w:rPr>
          </w:pPr>
          <w:hyperlink w:anchor="_Toc47951217" w:history="1">
            <w:r w:rsidR="00774286" w:rsidRPr="000C5235">
              <w:rPr>
                <w:rStyle w:val="Hyperlink"/>
              </w:rPr>
              <w:t>6.9.2</w:t>
            </w:r>
            <w:r w:rsidR="00774286" w:rsidRPr="000C5235">
              <w:rPr>
                <w:rFonts w:eastAsiaTheme="minorEastAsia"/>
                <w:szCs w:val="22"/>
                <w:lang w:eastAsia="en-AU"/>
              </w:rPr>
              <w:tab/>
            </w:r>
            <w:r w:rsidR="00774286" w:rsidRPr="000C5235">
              <w:rPr>
                <w:rStyle w:val="Hyperlink"/>
              </w:rPr>
              <w:t>Open government initiative publication on data.gov.au</w:t>
            </w:r>
            <w:r w:rsidR="00774286" w:rsidRPr="000C5235">
              <w:rPr>
                <w:webHidden/>
              </w:rPr>
              <w:tab/>
            </w:r>
            <w:r w:rsidR="00774286" w:rsidRPr="000C5235">
              <w:rPr>
                <w:webHidden/>
              </w:rPr>
              <w:fldChar w:fldCharType="begin"/>
            </w:r>
            <w:r w:rsidR="00774286" w:rsidRPr="000C5235">
              <w:rPr>
                <w:webHidden/>
              </w:rPr>
              <w:instrText xml:space="preserve"> PAGEREF _Toc47951217 \h </w:instrText>
            </w:r>
            <w:r w:rsidR="00774286" w:rsidRPr="000C5235">
              <w:rPr>
                <w:webHidden/>
              </w:rPr>
            </w:r>
            <w:r w:rsidR="00774286" w:rsidRPr="000C5235">
              <w:rPr>
                <w:webHidden/>
              </w:rPr>
              <w:fldChar w:fldCharType="separate"/>
            </w:r>
            <w:r w:rsidR="00774286" w:rsidRPr="000C5235">
              <w:rPr>
                <w:webHidden/>
              </w:rPr>
              <w:t>22</w:t>
            </w:r>
            <w:r w:rsidR="00774286" w:rsidRPr="000C5235">
              <w:rPr>
                <w:webHidden/>
              </w:rPr>
              <w:fldChar w:fldCharType="end"/>
            </w:r>
          </w:hyperlink>
        </w:p>
        <w:p w14:paraId="737842ED" w14:textId="50F52ED2" w:rsidR="00774286" w:rsidRPr="000C5235" w:rsidRDefault="00A774B1">
          <w:pPr>
            <w:pStyle w:val="TOC3"/>
            <w:rPr>
              <w:rFonts w:eastAsiaTheme="minorEastAsia"/>
              <w:szCs w:val="22"/>
              <w:lang w:eastAsia="en-AU"/>
            </w:rPr>
          </w:pPr>
          <w:hyperlink w:anchor="_Toc47951218" w:history="1">
            <w:r w:rsidR="00774286" w:rsidRPr="000C5235">
              <w:rPr>
                <w:rStyle w:val="Hyperlink"/>
              </w:rPr>
              <w:t>6.9.3</w:t>
            </w:r>
            <w:r w:rsidR="00774286" w:rsidRPr="000C5235">
              <w:rPr>
                <w:rFonts w:eastAsiaTheme="minorEastAsia"/>
                <w:szCs w:val="22"/>
                <w:lang w:eastAsia="en-AU"/>
              </w:rPr>
              <w:tab/>
            </w:r>
            <w:r w:rsidR="00774286" w:rsidRPr="000C5235">
              <w:rPr>
                <w:rStyle w:val="Hyperlink"/>
              </w:rPr>
              <w:t>Checklist for preparing files for online publication on data.gov.au</w:t>
            </w:r>
            <w:r w:rsidR="00774286" w:rsidRPr="000C5235">
              <w:rPr>
                <w:webHidden/>
              </w:rPr>
              <w:tab/>
            </w:r>
            <w:r w:rsidR="00774286" w:rsidRPr="000C5235">
              <w:rPr>
                <w:webHidden/>
              </w:rPr>
              <w:fldChar w:fldCharType="begin"/>
            </w:r>
            <w:r w:rsidR="00774286" w:rsidRPr="000C5235">
              <w:rPr>
                <w:webHidden/>
              </w:rPr>
              <w:instrText xml:space="preserve"> PAGEREF _Toc47951218 \h </w:instrText>
            </w:r>
            <w:r w:rsidR="00774286" w:rsidRPr="000C5235">
              <w:rPr>
                <w:webHidden/>
              </w:rPr>
            </w:r>
            <w:r w:rsidR="00774286" w:rsidRPr="000C5235">
              <w:rPr>
                <w:webHidden/>
              </w:rPr>
              <w:fldChar w:fldCharType="separate"/>
            </w:r>
            <w:r w:rsidR="00774286" w:rsidRPr="000C5235">
              <w:rPr>
                <w:webHidden/>
              </w:rPr>
              <w:t>24</w:t>
            </w:r>
            <w:r w:rsidR="00774286" w:rsidRPr="000C5235">
              <w:rPr>
                <w:webHidden/>
              </w:rPr>
              <w:fldChar w:fldCharType="end"/>
            </w:r>
          </w:hyperlink>
        </w:p>
        <w:p w14:paraId="67AC7D53" w14:textId="38A41556" w:rsidR="00774286" w:rsidRPr="000C5235" w:rsidRDefault="00A774B1">
          <w:pPr>
            <w:pStyle w:val="TOC2"/>
            <w:rPr>
              <w:rFonts w:eastAsiaTheme="minorEastAsia"/>
              <w:szCs w:val="22"/>
              <w:lang w:eastAsia="en-AU"/>
            </w:rPr>
          </w:pPr>
          <w:hyperlink w:anchor="_Toc47951219" w:history="1">
            <w:r w:rsidR="00774286" w:rsidRPr="000C5235">
              <w:rPr>
                <w:rStyle w:val="Hyperlink"/>
              </w:rPr>
              <w:t>6.10</w:t>
            </w:r>
            <w:r w:rsidR="00774286" w:rsidRPr="000C5235">
              <w:rPr>
                <w:rFonts w:eastAsiaTheme="minorEastAsia"/>
                <w:szCs w:val="22"/>
                <w:lang w:eastAsia="en-AU"/>
              </w:rPr>
              <w:tab/>
            </w:r>
            <w:r w:rsidR="00774286" w:rsidRPr="000C5235">
              <w:rPr>
                <w:rStyle w:val="Hyperlink"/>
              </w:rPr>
              <w:t>Use of ISBN/ISSN number</w:t>
            </w:r>
            <w:r w:rsidR="00774286" w:rsidRPr="000C5235">
              <w:rPr>
                <w:webHidden/>
              </w:rPr>
              <w:tab/>
            </w:r>
            <w:r w:rsidR="00774286" w:rsidRPr="000C5235">
              <w:rPr>
                <w:webHidden/>
              </w:rPr>
              <w:fldChar w:fldCharType="begin"/>
            </w:r>
            <w:r w:rsidR="00774286" w:rsidRPr="000C5235">
              <w:rPr>
                <w:webHidden/>
              </w:rPr>
              <w:instrText xml:space="preserve"> PAGEREF _Toc47951219 \h </w:instrText>
            </w:r>
            <w:r w:rsidR="00774286" w:rsidRPr="000C5235">
              <w:rPr>
                <w:webHidden/>
              </w:rPr>
            </w:r>
            <w:r w:rsidR="00774286" w:rsidRPr="000C5235">
              <w:rPr>
                <w:webHidden/>
              </w:rPr>
              <w:fldChar w:fldCharType="separate"/>
            </w:r>
            <w:r w:rsidR="00774286" w:rsidRPr="000C5235">
              <w:rPr>
                <w:webHidden/>
              </w:rPr>
              <w:t>25</w:t>
            </w:r>
            <w:r w:rsidR="00774286" w:rsidRPr="000C5235">
              <w:rPr>
                <w:webHidden/>
              </w:rPr>
              <w:fldChar w:fldCharType="end"/>
            </w:r>
          </w:hyperlink>
        </w:p>
        <w:p w14:paraId="5F50C379" w14:textId="61FC0ABC" w:rsidR="00774286" w:rsidRPr="000C5235" w:rsidRDefault="00A774B1">
          <w:pPr>
            <w:pStyle w:val="TOC2"/>
            <w:rPr>
              <w:rFonts w:eastAsiaTheme="minorEastAsia"/>
              <w:szCs w:val="22"/>
              <w:lang w:eastAsia="en-AU"/>
            </w:rPr>
          </w:pPr>
          <w:hyperlink w:anchor="_Toc47951220" w:history="1">
            <w:r w:rsidR="00774286" w:rsidRPr="000C5235">
              <w:rPr>
                <w:rStyle w:val="Hyperlink"/>
                <w:spacing w:val="-6"/>
              </w:rPr>
              <w:t>6.11</w:t>
            </w:r>
            <w:r w:rsidR="00774286" w:rsidRPr="000C5235">
              <w:rPr>
                <w:rFonts w:eastAsiaTheme="minorEastAsia"/>
                <w:szCs w:val="22"/>
                <w:lang w:eastAsia="en-AU"/>
              </w:rPr>
              <w:tab/>
            </w:r>
            <w:r w:rsidR="00774286" w:rsidRPr="000C5235">
              <w:rPr>
                <w:rStyle w:val="Hyperlink"/>
              </w:rPr>
              <w:t>Issuing a corrigendum / addendum</w:t>
            </w:r>
            <w:r w:rsidR="00774286" w:rsidRPr="000C5235">
              <w:rPr>
                <w:webHidden/>
              </w:rPr>
              <w:tab/>
            </w:r>
            <w:r w:rsidR="00774286" w:rsidRPr="000C5235">
              <w:rPr>
                <w:webHidden/>
              </w:rPr>
              <w:fldChar w:fldCharType="begin"/>
            </w:r>
            <w:r w:rsidR="00774286" w:rsidRPr="000C5235">
              <w:rPr>
                <w:webHidden/>
              </w:rPr>
              <w:instrText xml:space="preserve"> PAGEREF _Toc47951220 \h </w:instrText>
            </w:r>
            <w:r w:rsidR="00774286" w:rsidRPr="000C5235">
              <w:rPr>
                <w:webHidden/>
              </w:rPr>
            </w:r>
            <w:r w:rsidR="00774286" w:rsidRPr="000C5235">
              <w:rPr>
                <w:webHidden/>
              </w:rPr>
              <w:fldChar w:fldCharType="separate"/>
            </w:r>
            <w:r w:rsidR="00774286" w:rsidRPr="000C5235">
              <w:rPr>
                <w:webHidden/>
              </w:rPr>
              <w:t>25</w:t>
            </w:r>
            <w:r w:rsidR="00774286" w:rsidRPr="000C5235">
              <w:rPr>
                <w:webHidden/>
              </w:rPr>
              <w:fldChar w:fldCharType="end"/>
            </w:r>
          </w:hyperlink>
        </w:p>
        <w:p w14:paraId="3867EF7F" w14:textId="56435781" w:rsidR="00774286" w:rsidRPr="000C5235" w:rsidRDefault="00A774B1">
          <w:pPr>
            <w:pStyle w:val="TOC1"/>
            <w:rPr>
              <w:rFonts w:eastAsiaTheme="minorEastAsia"/>
              <w:b w:val="0"/>
              <w:sz w:val="22"/>
              <w:szCs w:val="22"/>
              <w:lang w:eastAsia="en-AU"/>
            </w:rPr>
          </w:pPr>
          <w:hyperlink w:anchor="_Toc47951221" w:history="1">
            <w:r w:rsidR="00774286" w:rsidRPr="000C5235">
              <w:rPr>
                <w:rStyle w:val="Hyperlink"/>
              </w:rPr>
              <w:t>7.</w:t>
            </w:r>
            <w:r w:rsidR="00774286" w:rsidRPr="000C5235">
              <w:rPr>
                <w:rFonts w:eastAsiaTheme="minorEastAsia"/>
                <w:b w:val="0"/>
                <w:sz w:val="22"/>
                <w:szCs w:val="22"/>
                <w:lang w:eastAsia="en-AU"/>
              </w:rPr>
              <w:tab/>
            </w:r>
            <w:r w:rsidR="00774286" w:rsidRPr="000C5235">
              <w:rPr>
                <w:rStyle w:val="Hyperlink"/>
              </w:rPr>
              <w:t>Portfolio overview section</w:t>
            </w:r>
            <w:r w:rsidR="00774286" w:rsidRPr="000C5235">
              <w:rPr>
                <w:webHidden/>
              </w:rPr>
              <w:tab/>
            </w:r>
            <w:r w:rsidR="00774286" w:rsidRPr="000C5235">
              <w:rPr>
                <w:webHidden/>
              </w:rPr>
              <w:fldChar w:fldCharType="begin"/>
            </w:r>
            <w:r w:rsidR="00774286" w:rsidRPr="000C5235">
              <w:rPr>
                <w:webHidden/>
              </w:rPr>
              <w:instrText xml:space="preserve"> PAGEREF _Toc47951221 \h </w:instrText>
            </w:r>
            <w:r w:rsidR="00774286" w:rsidRPr="000C5235">
              <w:rPr>
                <w:webHidden/>
              </w:rPr>
            </w:r>
            <w:r w:rsidR="00774286" w:rsidRPr="000C5235">
              <w:rPr>
                <w:webHidden/>
              </w:rPr>
              <w:fldChar w:fldCharType="separate"/>
            </w:r>
            <w:r w:rsidR="00774286" w:rsidRPr="000C5235">
              <w:rPr>
                <w:webHidden/>
              </w:rPr>
              <w:t>28</w:t>
            </w:r>
            <w:r w:rsidR="00774286" w:rsidRPr="000C5235">
              <w:rPr>
                <w:webHidden/>
              </w:rPr>
              <w:fldChar w:fldCharType="end"/>
            </w:r>
          </w:hyperlink>
        </w:p>
        <w:p w14:paraId="065B9C41" w14:textId="2F96DC83" w:rsidR="00774286" w:rsidRPr="000C5235" w:rsidRDefault="00A774B1">
          <w:pPr>
            <w:pStyle w:val="TOC2"/>
            <w:rPr>
              <w:rFonts w:eastAsiaTheme="minorEastAsia"/>
              <w:szCs w:val="22"/>
              <w:lang w:eastAsia="en-AU"/>
            </w:rPr>
          </w:pPr>
          <w:hyperlink w:anchor="_Toc47951222" w:history="1">
            <w:r w:rsidR="00774286" w:rsidRPr="000C5235">
              <w:rPr>
                <w:rStyle w:val="Hyperlink"/>
                <w:rFonts w:eastAsia="Times New Roman"/>
                <w:spacing w:val="-6"/>
              </w:rPr>
              <w:t>7.1</w:t>
            </w:r>
            <w:r w:rsidR="00774286" w:rsidRPr="000C5235">
              <w:rPr>
                <w:rFonts w:eastAsiaTheme="minorEastAsia"/>
                <w:szCs w:val="22"/>
                <w:lang w:eastAsia="en-AU"/>
              </w:rPr>
              <w:tab/>
            </w:r>
            <w:r w:rsidR="00774286" w:rsidRPr="000C5235">
              <w:rPr>
                <w:rStyle w:val="Hyperlink"/>
                <w:rFonts w:eastAsia="Times New Roman"/>
              </w:rPr>
              <w:t>Minister(s) and portfolio responsibilities</w:t>
            </w:r>
            <w:r w:rsidR="00774286" w:rsidRPr="000C5235">
              <w:rPr>
                <w:webHidden/>
              </w:rPr>
              <w:tab/>
            </w:r>
            <w:r w:rsidR="00774286" w:rsidRPr="000C5235">
              <w:rPr>
                <w:webHidden/>
              </w:rPr>
              <w:fldChar w:fldCharType="begin"/>
            </w:r>
            <w:r w:rsidR="00774286" w:rsidRPr="000C5235">
              <w:rPr>
                <w:webHidden/>
              </w:rPr>
              <w:instrText xml:space="preserve"> PAGEREF _Toc47951222 \h </w:instrText>
            </w:r>
            <w:r w:rsidR="00774286" w:rsidRPr="000C5235">
              <w:rPr>
                <w:webHidden/>
              </w:rPr>
            </w:r>
            <w:r w:rsidR="00774286" w:rsidRPr="000C5235">
              <w:rPr>
                <w:webHidden/>
              </w:rPr>
              <w:fldChar w:fldCharType="separate"/>
            </w:r>
            <w:r w:rsidR="00774286" w:rsidRPr="000C5235">
              <w:rPr>
                <w:webHidden/>
              </w:rPr>
              <w:t>28</w:t>
            </w:r>
            <w:r w:rsidR="00774286" w:rsidRPr="000C5235">
              <w:rPr>
                <w:webHidden/>
              </w:rPr>
              <w:fldChar w:fldCharType="end"/>
            </w:r>
          </w:hyperlink>
        </w:p>
        <w:p w14:paraId="0386172C" w14:textId="699ED764" w:rsidR="00774286" w:rsidRPr="000C5235" w:rsidRDefault="00A774B1">
          <w:pPr>
            <w:pStyle w:val="TOC2"/>
            <w:rPr>
              <w:rFonts w:eastAsiaTheme="minorEastAsia"/>
              <w:szCs w:val="22"/>
              <w:lang w:eastAsia="en-AU"/>
            </w:rPr>
          </w:pPr>
          <w:hyperlink w:anchor="_Toc47951223" w:history="1">
            <w:r w:rsidR="00774286" w:rsidRPr="000C5235">
              <w:rPr>
                <w:rStyle w:val="Hyperlink"/>
                <w:rFonts w:eastAsia="Times New Roman"/>
                <w:spacing w:val="-6"/>
              </w:rPr>
              <w:t>7.2</w:t>
            </w:r>
            <w:r w:rsidR="00774286" w:rsidRPr="000C5235">
              <w:rPr>
                <w:rFonts w:eastAsiaTheme="minorEastAsia"/>
                <w:szCs w:val="22"/>
                <w:lang w:eastAsia="en-AU"/>
              </w:rPr>
              <w:tab/>
            </w:r>
            <w:r w:rsidR="00774286" w:rsidRPr="000C5235">
              <w:rPr>
                <w:rStyle w:val="Hyperlink"/>
                <w:rFonts w:eastAsia="Times New Roman"/>
              </w:rPr>
              <w:t>Portfolio structure and outcomes</w:t>
            </w:r>
            <w:r w:rsidR="00774286" w:rsidRPr="000C5235">
              <w:rPr>
                <w:webHidden/>
              </w:rPr>
              <w:tab/>
            </w:r>
            <w:r w:rsidR="00774286" w:rsidRPr="000C5235">
              <w:rPr>
                <w:webHidden/>
              </w:rPr>
              <w:fldChar w:fldCharType="begin"/>
            </w:r>
            <w:r w:rsidR="00774286" w:rsidRPr="000C5235">
              <w:rPr>
                <w:webHidden/>
              </w:rPr>
              <w:instrText xml:space="preserve"> PAGEREF _Toc47951223 \h </w:instrText>
            </w:r>
            <w:r w:rsidR="00774286" w:rsidRPr="000C5235">
              <w:rPr>
                <w:webHidden/>
              </w:rPr>
            </w:r>
            <w:r w:rsidR="00774286" w:rsidRPr="000C5235">
              <w:rPr>
                <w:webHidden/>
              </w:rPr>
              <w:fldChar w:fldCharType="separate"/>
            </w:r>
            <w:r w:rsidR="00774286" w:rsidRPr="000C5235">
              <w:rPr>
                <w:webHidden/>
              </w:rPr>
              <w:t>28</w:t>
            </w:r>
            <w:r w:rsidR="00774286" w:rsidRPr="000C5235">
              <w:rPr>
                <w:webHidden/>
              </w:rPr>
              <w:fldChar w:fldCharType="end"/>
            </w:r>
          </w:hyperlink>
        </w:p>
        <w:p w14:paraId="4A33B73E" w14:textId="1D820629" w:rsidR="00774286" w:rsidRPr="000C5235" w:rsidRDefault="00A774B1">
          <w:pPr>
            <w:pStyle w:val="TOC1"/>
            <w:rPr>
              <w:rFonts w:eastAsiaTheme="minorEastAsia"/>
              <w:b w:val="0"/>
              <w:sz w:val="22"/>
              <w:szCs w:val="22"/>
              <w:lang w:eastAsia="en-AU"/>
            </w:rPr>
          </w:pPr>
          <w:hyperlink w:anchor="_Toc47951224" w:history="1">
            <w:r w:rsidR="00774286" w:rsidRPr="000C5235">
              <w:rPr>
                <w:rStyle w:val="Hyperlink"/>
              </w:rPr>
              <w:t>8.</w:t>
            </w:r>
            <w:r w:rsidR="00774286" w:rsidRPr="000C5235">
              <w:rPr>
                <w:rFonts w:eastAsiaTheme="minorEastAsia"/>
                <w:b w:val="0"/>
                <w:sz w:val="22"/>
                <w:szCs w:val="22"/>
                <w:lang w:eastAsia="en-AU"/>
              </w:rPr>
              <w:tab/>
            </w:r>
            <w:r w:rsidR="00774286" w:rsidRPr="000C5235">
              <w:rPr>
                <w:rStyle w:val="Hyperlink"/>
                <w:rFonts w:eastAsia="Times New Roman"/>
              </w:rPr>
              <w:t>Entity overview and resources section</w:t>
            </w:r>
            <w:r w:rsidR="00774286" w:rsidRPr="000C5235">
              <w:rPr>
                <w:webHidden/>
              </w:rPr>
              <w:tab/>
            </w:r>
            <w:r w:rsidR="00774286" w:rsidRPr="000C5235">
              <w:rPr>
                <w:webHidden/>
              </w:rPr>
              <w:fldChar w:fldCharType="begin"/>
            </w:r>
            <w:r w:rsidR="00774286" w:rsidRPr="000C5235">
              <w:rPr>
                <w:webHidden/>
              </w:rPr>
              <w:instrText xml:space="preserve"> PAGEREF _Toc47951224 \h </w:instrText>
            </w:r>
            <w:r w:rsidR="00774286" w:rsidRPr="000C5235">
              <w:rPr>
                <w:webHidden/>
              </w:rPr>
            </w:r>
            <w:r w:rsidR="00774286" w:rsidRPr="000C5235">
              <w:rPr>
                <w:webHidden/>
              </w:rPr>
              <w:fldChar w:fldCharType="separate"/>
            </w:r>
            <w:r w:rsidR="00774286" w:rsidRPr="000C5235">
              <w:rPr>
                <w:webHidden/>
              </w:rPr>
              <w:t>29</w:t>
            </w:r>
            <w:r w:rsidR="00774286" w:rsidRPr="000C5235">
              <w:rPr>
                <w:webHidden/>
              </w:rPr>
              <w:fldChar w:fldCharType="end"/>
            </w:r>
          </w:hyperlink>
        </w:p>
        <w:p w14:paraId="3D09B192" w14:textId="57DE560C" w:rsidR="00774286" w:rsidRPr="000C5235" w:rsidRDefault="00A774B1">
          <w:pPr>
            <w:pStyle w:val="TOC2"/>
            <w:rPr>
              <w:rFonts w:eastAsiaTheme="minorEastAsia"/>
              <w:szCs w:val="22"/>
              <w:lang w:eastAsia="en-AU"/>
            </w:rPr>
          </w:pPr>
          <w:hyperlink w:anchor="_Toc47951225" w:history="1">
            <w:r w:rsidR="00774286" w:rsidRPr="000C5235">
              <w:rPr>
                <w:rStyle w:val="Hyperlink"/>
                <w:rFonts w:eastAsia="Times New Roman"/>
                <w:spacing w:val="-6"/>
              </w:rPr>
              <w:t>8.1</w:t>
            </w:r>
            <w:r w:rsidR="00774286" w:rsidRPr="000C5235">
              <w:rPr>
                <w:rFonts w:eastAsiaTheme="minorEastAsia"/>
                <w:szCs w:val="22"/>
                <w:lang w:eastAsia="en-AU"/>
              </w:rPr>
              <w:tab/>
            </w:r>
            <w:r w:rsidR="00774286" w:rsidRPr="000C5235">
              <w:rPr>
                <w:rStyle w:val="Hyperlink"/>
                <w:rFonts w:eastAsia="Times New Roman"/>
              </w:rPr>
              <w:t>Strategic direction statement</w:t>
            </w:r>
            <w:r w:rsidR="00774286" w:rsidRPr="000C5235">
              <w:rPr>
                <w:webHidden/>
              </w:rPr>
              <w:tab/>
            </w:r>
            <w:r w:rsidR="00774286" w:rsidRPr="000C5235">
              <w:rPr>
                <w:webHidden/>
              </w:rPr>
              <w:fldChar w:fldCharType="begin"/>
            </w:r>
            <w:r w:rsidR="00774286" w:rsidRPr="000C5235">
              <w:rPr>
                <w:webHidden/>
              </w:rPr>
              <w:instrText xml:space="preserve"> PAGEREF _Toc47951225 \h </w:instrText>
            </w:r>
            <w:r w:rsidR="00774286" w:rsidRPr="000C5235">
              <w:rPr>
                <w:webHidden/>
              </w:rPr>
            </w:r>
            <w:r w:rsidR="00774286" w:rsidRPr="000C5235">
              <w:rPr>
                <w:webHidden/>
              </w:rPr>
              <w:fldChar w:fldCharType="separate"/>
            </w:r>
            <w:r w:rsidR="00774286" w:rsidRPr="000C5235">
              <w:rPr>
                <w:webHidden/>
              </w:rPr>
              <w:t>29</w:t>
            </w:r>
            <w:r w:rsidR="00774286" w:rsidRPr="000C5235">
              <w:rPr>
                <w:webHidden/>
              </w:rPr>
              <w:fldChar w:fldCharType="end"/>
            </w:r>
          </w:hyperlink>
        </w:p>
        <w:p w14:paraId="37EE0508" w14:textId="7D71330B" w:rsidR="00774286" w:rsidRPr="000C5235" w:rsidRDefault="00A774B1">
          <w:pPr>
            <w:pStyle w:val="TOC2"/>
            <w:rPr>
              <w:rFonts w:eastAsiaTheme="minorEastAsia"/>
              <w:szCs w:val="22"/>
              <w:lang w:eastAsia="en-AU"/>
            </w:rPr>
          </w:pPr>
          <w:hyperlink w:anchor="_Toc47951226" w:history="1">
            <w:r w:rsidR="00774286" w:rsidRPr="000C5235">
              <w:rPr>
                <w:rStyle w:val="Hyperlink"/>
                <w:rFonts w:eastAsia="Times New Roman"/>
                <w:spacing w:val="-6"/>
              </w:rPr>
              <w:t>8.2</w:t>
            </w:r>
            <w:r w:rsidR="00774286" w:rsidRPr="000C5235">
              <w:rPr>
                <w:rFonts w:eastAsiaTheme="minorEastAsia"/>
                <w:szCs w:val="22"/>
                <w:lang w:eastAsia="en-AU"/>
              </w:rPr>
              <w:tab/>
            </w:r>
            <w:r w:rsidR="00774286" w:rsidRPr="000C5235">
              <w:rPr>
                <w:rStyle w:val="Hyperlink"/>
                <w:rFonts w:eastAsia="Times New Roman"/>
              </w:rPr>
              <w:t>Entity resource statement</w:t>
            </w:r>
            <w:r w:rsidR="00774286" w:rsidRPr="000C5235">
              <w:rPr>
                <w:webHidden/>
              </w:rPr>
              <w:tab/>
            </w:r>
            <w:r w:rsidR="00774286" w:rsidRPr="000C5235">
              <w:rPr>
                <w:webHidden/>
              </w:rPr>
              <w:fldChar w:fldCharType="begin"/>
            </w:r>
            <w:r w:rsidR="00774286" w:rsidRPr="000C5235">
              <w:rPr>
                <w:webHidden/>
              </w:rPr>
              <w:instrText xml:space="preserve"> PAGEREF _Toc47951226 \h </w:instrText>
            </w:r>
            <w:r w:rsidR="00774286" w:rsidRPr="000C5235">
              <w:rPr>
                <w:webHidden/>
              </w:rPr>
            </w:r>
            <w:r w:rsidR="00774286" w:rsidRPr="000C5235">
              <w:rPr>
                <w:webHidden/>
              </w:rPr>
              <w:fldChar w:fldCharType="separate"/>
            </w:r>
            <w:r w:rsidR="00774286" w:rsidRPr="000C5235">
              <w:rPr>
                <w:webHidden/>
              </w:rPr>
              <w:t>30</w:t>
            </w:r>
            <w:r w:rsidR="00774286" w:rsidRPr="000C5235">
              <w:rPr>
                <w:webHidden/>
              </w:rPr>
              <w:fldChar w:fldCharType="end"/>
            </w:r>
          </w:hyperlink>
        </w:p>
        <w:p w14:paraId="4143D953" w14:textId="77D7F709" w:rsidR="00774286" w:rsidRPr="000C5235" w:rsidRDefault="00A774B1">
          <w:pPr>
            <w:pStyle w:val="TOC3"/>
            <w:rPr>
              <w:rFonts w:eastAsiaTheme="minorEastAsia"/>
              <w:szCs w:val="22"/>
              <w:lang w:eastAsia="en-AU"/>
            </w:rPr>
          </w:pPr>
          <w:hyperlink w:anchor="_Toc47951227" w:history="1">
            <w:r w:rsidR="00774286" w:rsidRPr="000C5235">
              <w:rPr>
                <w:rStyle w:val="Hyperlink"/>
              </w:rPr>
              <w:t>8.2.1</w:t>
            </w:r>
            <w:r w:rsidR="00774286" w:rsidRPr="000C5235">
              <w:rPr>
                <w:rFonts w:eastAsiaTheme="minorEastAsia"/>
                <w:szCs w:val="22"/>
                <w:lang w:eastAsia="en-AU"/>
              </w:rPr>
              <w:tab/>
            </w:r>
            <w:r w:rsidR="00774286" w:rsidRPr="000C5235">
              <w:rPr>
                <w:rStyle w:val="Hyperlink"/>
              </w:rPr>
              <w:t>2019-20 Appropriation (Coronavirus Economic Response Package) Bills 1 &amp; 2 and the 2019-20 Appropriation Bills 5 &amp; 6</w:t>
            </w:r>
            <w:r w:rsidR="00774286" w:rsidRPr="000C5235">
              <w:rPr>
                <w:webHidden/>
              </w:rPr>
              <w:tab/>
            </w:r>
            <w:r w:rsidR="00774286" w:rsidRPr="000C5235">
              <w:rPr>
                <w:webHidden/>
              </w:rPr>
              <w:fldChar w:fldCharType="begin"/>
            </w:r>
            <w:r w:rsidR="00774286" w:rsidRPr="000C5235">
              <w:rPr>
                <w:webHidden/>
              </w:rPr>
              <w:instrText xml:space="preserve"> PAGEREF _Toc47951227 \h </w:instrText>
            </w:r>
            <w:r w:rsidR="00774286" w:rsidRPr="000C5235">
              <w:rPr>
                <w:webHidden/>
              </w:rPr>
            </w:r>
            <w:r w:rsidR="00774286" w:rsidRPr="000C5235">
              <w:rPr>
                <w:webHidden/>
              </w:rPr>
              <w:fldChar w:fldCharType="separate"/>
            </w:r>
            <w:r w:rsidR="00774286" w:rsidRPr="000C5235">
              <w:rPr>
                <w:webHidden/>
              </w:rPr>
              <w:t>30</w:t>
            </w:r>
            <w:r w:rsidR="00774286" w:rsidRPr="000C5235">
              <w:rPr>
                <w:webHidden/>
              </w:rPr>
              <w:fldChar w:fldCharType="end"/>
            </w:r>
          </w:hyperlink>
        </w:p>
        <w:p w14:paraId="62F521B0" w14:textId="09BA77AA" w:rsidR="00774286" w:rsidRPr="000C5235" w:rsidRDefault="00A774B1">
          <w:pPr>
            <w:pStyle w:val="TOC3"/>
            <w:rPr>
              <w:rFonts w:eastAsiaTheme="minorEastAsia"/>
              <w:szCs w:val="22"/>
              <w:lang w:eastAsia="en-AU"/>
            </w:rPr>
          </w:pPr>
          <w:hyperlink w:anchor="_Toc47951228" w:history="1">
            <w:r w:rsidR="00774286" w:rsidRPr="000C5235">
              <w:rPr>
                <w:rStyle w:val="Hyperlink"/>
              </w:rPr>
              <w:t>8.2.2</w:t>
            </w:r>
            <w:r w:rsidR="00774286" w:rsidRPr="000C5235">
              <w:rPr>
                <w:rFonts w:eastAsiaTheme="minorEastAsia"/>
                <w:szCs w:val="22"/>
                <w:lang w:eastAsia="en-AU"/>
              </w:rPr>
              <w:tab/>
            </w:r>
            <w:r w:rsidR="00774286" w:rsidRPr="000C5235">
              <w:rPr>
                <w:rStyle w:val="Hyperlink"/>
              </w:rPr>
              <w:t>Payments to the states</w:t>
            </w:r>
            <w:r w:rsidR="00774286" w:rsidRPr="000C5235">
              <w:rPr>
                <w:webHidden/>
              </w:rPr>
              <w:tab/>
            </w:r>
            <w:r w:rsidR="00774286" w:rsidRPr="000C5235">
              <w:rPr>
                <w:webHidden/>
              </w:rPr>
              <w:fldChar w:fldCharType="begin"/>
            </w:r>
            <w:r w:rsidR="00774286" w:rsidRPr="000C5235">
              <w:rPr>
                <w:webHidden/>
              </w:rPr>
              <w:instrText xml:space="preserve"> PAGEREF _Toc47951228 \h </w:instrText>
            </w:r>
            <w:r w:rsidR="00774286" w:rsidRPr="000C5235">
              <w:rPr>
                <w:webHidden/>
              </w:rPr>
            </w:r>
            <w:r w:rsidR="00774286" w:rsidRPr="000C5235">
              <w:rPr>
                <w:webHidden/>
              </w:rPr>
              <w:fldChar w:fldCharType="separate"/>
            </w:r>
            <w:r w:rsidR="00774286" w:rsidRPr="000C5235">
              <w:rPr>
                <w:webHidden/>
              </w:rPr>
              <w:t>31</w:t>
            </w:r>
            <w:r w:rsidR="00774286" w:rsidRPr="000C5235">
              <w:rPr>
                <w:webHidden/>
              </w:rPr>
              <w:fldChar w:fldCharType="end"/>
            </w:r>
          </w:hyperlink>
        </w:p>
        <w:p w14:paraId="711A4349" w14:textId="3B918772" w:rsidR="00774286" w:rsidRPr="000C5235" w:rsidRDefault="00A774B1">
          <w:pPr>
            <w:pStyle w:val="TOC3"/>
            <w:rPr>
              <w:rFonts w:eastAsiaTheme="minorEastAsia"/>
              <w:szCs w:val="22"/>
              <w:lang w:eastAsia="en-AU"/>
            </w:rPr>
          </w:pPr>
          <w:hyperlink w:anchor="_Toc47951229" w:history="1">
            <w:r w:rsidR="00774286" w:rsidRPr="000C5235">
              <w:rPr>
                <w:rStyle w:val="Hyperlink"/>
              </w:rPr>
              <w:t>8.2.3</w:t>
            </w:r>
            <w:r w:rsidR="00774286" w:rsidRPr="000C5235">
              <w:rPr>
                <w:rFonts w:eastAsiaTheme="minorEastAsia"/>
                <w:szCs w:val="22"/>
                <w:lang w:eastAsia="en-AU"/>
              </w:rPr>
              <w:tab/>
            </w:r>
            <w:r w:rsidR="00774286" w:rsidRPr="000C5235">
              <w:rPr>
                <w:rStyle w:val="Hyperlink"/>
              </w:rPr>
              <w:t>Additional guidance on cash management reports and appropriation bills</w:t>
            </w:r>
            <w:r w:rsidR="00774286" w:rsidRPr="000C5235">
              <w:rPr>
                <w:webHidden/>
              </w:rPr>
              <w:tab/>
            </w:r>
            <w:r w:rsidR="00774286" w:rsidRPr="000C5235">
              <w:rPr>
                <w:webHidden/>
              </w:rPr>
              <w:fldChar w:fldCharType="begin"/>
            </w:r>
            <w:r w:rsidR="00774286" w:rsidRPr="000C5235">
              <w:rPr>
                <w:webHidden/>
              </w:rPr>
              <w:instrText xml:space="preserve"> PAGEREF _Toc47951229 \h </w:instrText>
            </w:r>
            <w:r w:rsidR="00774286" w:rsidRPr="000C5235">
              <w:rPr>
                <w:webHidden/>
              </w:rPr>
            </w:r>
            <w:r w:rsidR="00774286" w:rsidRPr="000C5235">
              <w:rPr>
                <w:webHidden/>
              </w:rPr>
              <w:fldChar w:fldCharType="separate"/>
            </w:r>
            <w:r w:rsidR="00774286" w:rsidRPr="000C5235">
              <w:rPr>
                <w:webHidden/>
              </w:rPr>
              <w:t>31</w:t>
            </w:r>
            <w:r w:rsidR="00774286" w:rsidRPr="000C5235">
              <w:rPr>
                <w:webHidden/>
              </w:rPr>
              <w:fldChar w:fldCharType="end"/>
            </w:r>
          </w:hyperlink>
        </w:p>
        <w:p w14:paraId="17944C5F" w14:textId="4FDAB50E" w:rsidR="00774286" w:rsidRPr="000C5235" w:rsidRDefault="00A774B1">
          <w:pPr>
            <w:pStyle w:val="TOC2"/>
            <w:rPr>
              <w:rFonts w:eastAsiaTheme="minorEastAsia"/>
              <w:szCs w:val="22"/>
              <w:lang w:eastAsia="en-AU"/>
            </w:rPr>
          </w:pPr>
          <w:hyperlink w:anchor="_Toc47951230" w:history="1">
            <w:r w:rsidR="00774286" w:rsidRPr="000C5235">
              <w:rPr>
                <w:rStyle w:val="Hyperlink"/>
                <w:rFonts w:eastAsia="Times New Roman"/>
                <w:spacing w:val="-6"/>
              </w:rPr>
              <w:t>8.3</w:t>
            </w:r>
            <w:r w:rsidR="00774286" w:rsidRPr="000C5235">
              <w:rPr>
                <w:rFonts w:eastAsiaTheme="minorEastAsia"/>
                <w:szCs w:val="22"/>
                <w:lang w:eastAsia="en-AU"/>
              </w:rPr>
              <w:tab/>
            </w:r>
            <w:r w:rsidR="00774286" w:rsidRPr="000C5235">
              <w:rPr>
                <w:rStyle w:val="Hyperlink"/>
                <w:rFonts w:eastAsia="Times New Roman"/>
              </w:rPr>
              <w:t>Resource statement sections</w:t>
            </w:r>
            <w:r w:rsidR="00774286" w:rsidRPr="000C5235">
              <w:rPr>
                <w:webHidden/>
              </w:rPr>
              <w:tab/>
            </w:r>
            <w:r w:rsidR="00774286" w:rsidRPr="000C5235">
              <w:rPr>
                <w:webHidden/>
              </w:rPr>
              <w:fldChar w:fldCharType="begin"/>
            </w:r>
            <w:r w:rsidR="00774286" w:rsidRPr="000C5235">
              <w:rPr>
                <w:webHidden/>
              </w:rPr>
              <w:instrText xml:space="preserve"> PAGEREF _Toc47951230 \h </w:instrText>
            </w:r>
            <w:r w:rsidR="00774286" w:rsidRPr="000C5235">
              <w:rPr>
                <w:webHidden/>
              </w:rPr>
            </w:r>
            <w:r w:rsidR="00774286" w:rsidRPr="000C5235">
              <w:rPr>
                <w:webHidden/>
              </w:rPr>
              <w:fldChar w:fldCharType="separate"/>
            </w:r>
            <w:r w:rsidR="00774286" w:rsidRPr="000C5235">
              <w:rPr>
                <w:webHidden/>
              </w:rPr>
              <w:t>32</w:t>
            </w:r>
            <w:r w:rsidR="00774286" w:rsidRPr="000C5235">
              <w:rPr>
                <w:webHidden/>
              </w:rPr>
              <w:fldChar w:fldCharType="end"/>
            </w:r>
          </w:hyperlink>
        </w:p>
        <w:p w14:paraId="2F428DF0" w14:textId="0BA3DBF5" w:rsidR="00774286" w:rsidRPr="000C5235" w:rsidRDefault="00A774B1">
          <w:pPr>
            <w:pStyle w:val="TOC1"/>
            <w:rPr>
              <w:rFonts w:eastAsiaTheme="minorEastAsia"/>
              <w:b w:val="0"/>
              <w:sz w:val="22"/>
              <w:szCs w:val="22"/>
              <w:lang w:eastAsia="en-AU"/>
            </w:rPr>
          </w:pPr>
          <w:hyperlink w:anchor="_Toc47951231" w:history="1">
            <w:r w:rsidR="00774286" w:rsidRPr="000C5235">
              <w:rPr>
                <w:rStyle w:val="Hyperlink"/>
                <w:rFonts w:eastAsia="Times New Roman"/>
                <w:spacing w:val="-6"/>
              </w:rPr>
              <w:t>9.</w:t>
            </w:r>
            <w:r w:rsidR="00774286" w:rsidRPr="000C5235">
              <w:rPr>
                <w:rFonts w:eastAsiaTheme="minorEastAsia"/>
                <w:b w:val="0"/>
                <w:sz w:val="22"/>
                <w:szCs w:val="22"/>
                <w:lang w:eastAsia="en-AU"/>
              </w:rPr>
              <w:tab/>
            </w:r>
            <w:r w:rsidR="00774286" w:rsidRPr="000C5235">
              <w:rPr>
                <w:rStyle w:val="Hyperlink"/>
                <w:rFonts w:eastAsia="Times New Roman"/>
              </w:rPr>
              <w:t>Budget measures</w:t>
            </w:r>
            <w:r w:rsidR="00774286" w:rsidRPr="000C5235">
              <w:rPr>
                <w:webHidden/>
              </w:rPr>
              <w:tab/>
            </w:r>
            <w:r w:rsidR="00774286" w:rsidRPr="000C5235">
              <w:rPr>
                <w:webHidden/>
              </w:rPr>
              <w:fldChar w:fldCharType="begin"/>
            </w:r>
            <w:r w:rsidR="00774286" w:rsidRPr="000C5235">
              <w:rPr>
                <w:webHidden/>
              </w:rPr>
              <w:instrText xml:space="preserve"> PAGEREF _Toc47951231 \h </w:instrText>
            </w:r>
            <w:r w:rsidR="00774286" w:rsidRPr="000C5235">
              <w:rPr>
                <w:webHidden/>
              </w:rPr>
            </w:r>
            <w:r w:rsidR="00774286" w:rsidRPr="000C5235">
              <w:rPr>
                <w:webHidden/>
              </w:rPr>
              <w:fldChar w:fldCharType="separate"/>
            </w:r>
            <w:r w:rsidR="00774286" w:rsidRPr="000C5235">
              <w:rPr>
                <w:webHidden/>
              </w:rPr>
              <w:t>38</w:t>
            </w:r>
            <w:r w:rsidR="00774286" w:rsidRPr="000C5235">
              <w:rPr>
                <w:webHidden/>
              </w:rPr>
              <w:fldChar w:fldCharType="end"/>
            </w:r>
          </w:hyperlink>
        </w:p>
        <w:p w14:paraId="274BF739" w14:textId="05E11F63" w:rsidR="00774286" w:rsidRPr="000C5235" w:rsidRDefault="00A774B1">
          <w:pPr>
            <w:pStyle w:val="TOC2"/>
            <w:rPr>
              <w:rFonts w:eastAsiaTheme="minorEastAsia"/>
              <w:szCs w:val="22"/>
              <w:lang w:eastAsia="en-AU"/>
            </w:rPr>
          </w:pPr>
          <w:hyperlink w:anchor="_Toc47951232" w:history="1">
            <w:r w:rsidR="00774286" w:rsidRPr="000C5235">
              <w:rPr>
                <w:rStyle w:val="Hyperlink"/>
                <w:rFonts w:eastAsia="MS Gothic" w:cs="Times New Roman"/>
              </w:rPr>
              <w:t>9.1</w:t>
            </w:r>
            <w:r w:rsidR="00774286" w:rsidRPr="000C5235">
              <w:rPr>
                <w:rFonts w:eastAsiaTheme="minorEastAsia"/>
                <w:szCs w:val="22"/>
                <w:lang w:eastAsia="en-AU"/>
              </w:rPr>
              <w:tab/>
            </w:r>
            <w:r w:rsidR="00774286" w:rsidRPr="000C5235">
              <w:rPr>
                <w:rStyle w:val="Hyperlink"/>
                <w:rFonts w:eastAsia="MS Gothic" w:cs="Times New Roman"/>
              </w:rPr>
              <w:t>Measure reversals</w:t>
            </w:r>
            <w:r w:rsidR="00774286" w:rsidRPr="000C5235">
              <w:rPr>
                <w:webHidden/>
              </w:rPr>
              <w:tab/>
            </w:r>
            <w:r w:rsidR="00774286" w:rsidRPr="000C5235">
              <w:rPr>
                <w:webHidden/>
              </w:rPr>
              <w:fldChar w:fldCharType="begin"/>
            </w:r>
            <w:r w:rsidR="00774286" w:rsidRPr="000C5235">
              <w:rPr>
                <w:webHidden/>
              </w:rPr>
              <w:instrText xml:space="preserve"> PAGEREF _Toc47951232 \h </w:instrText>
            </w:r>
            <w:r w:rsidR="00774286" w:rsidRPr="000C5235">
              <w:rPr>
                <w:webHidden/>
              </w:rPr>
            </w:r>
            <w:r w:rsidR="00774286" w:rsidRPr="000C5235">
              <w:rPr>
                <w:webHidden/>
              </w:rPr>
              <w:fldChar w:fldCharType="separate"/>
            </w:r>
            <w:r w:rsidR="00774286" w:rsidRPr="000C5235">
              <w:rPr>
                <w:webHidden/>
              </w:rPr>
              <w:t>39</w:t>
            </w:r>
            <w:r w:rsidR="00774286" w:rsidRPr="000C5235">
              <w:rPr>
                <w:webHidden/>
              </w:rPr>
              <w:fldChar w:fldCharType="end"/>
            </w:r>
          </w:hyperlink>
        </w:p>
        <w:p w14:paraId="285800AD" w14:textId="6A463C97" w:rsidR="00774286" w:rsidRPr="000C5235" w:rsidRDefault="00A774B1">
          <w:pPr>
            <w:pStyle w:val="TOC2"/>
            <w:rPr>
              <w:rFonts w:eastAsiaTheme="minorEastAsia"/>
              <w:szCs w:val="22"/>
              <w:lang w:eastAsia="en-AU"/>
            </w:rPr>
          </w:pPr>
          <w:hyperlink w:anchor="_Toc47951233" w:history="1">
            <w:r w:rsidR="00774286" w:rsidRPr="000C5235">
              <w:rPr>
                <w:rStyle w:val="Hyperlink"/>
              </w:rPr>
              <w:t>9.2</w:t>
            </w:r>
            <w:r w:rsidR="00774286" w:rsidRPr="000C5235">
              <w:rPr>
                <w:rFonts w:eastAsiaTheme="minorEastAsia"/>
                <w:szCs w:val="22"/>
                <w:lang w:eastAsia="en-AU"/>
              </w:rPr>
              <w:tab/>
            </w:r>
            <w:r w:rsidR="00774286" w:rsidRPr="000C5235">
              <w:rPr>
                <w:rStyle w:val="Hyperlink"/>
              </w:rPr>
              <w:t>Decisions taken but not yet announced</w:t>
            </w:r>
            <w:r w:rsidR="00774286" w:rsidRPr="000C5235">
              <w:rPr>
                <w:webHidden/>
              </w:rPr>
              <w:tab/>
            </w:r>
            <w:r w:rsidR="00774286" w:rsidRPr="000C5235">
              <w:rPr>
                <w:webHidden/>
              </w:rPr>
              <w:fldChar w:fldCharType="begin"/>
            </w:r>
            <w:r w:rsidR="00774286" w:rsidRPr="000C5235">
              <w:rPr>
                <w:webHidden/>
              </w:rPr>
              <w:instrText xml:space="preserve"> PAGEREF _Toc47951233 \h </w:instrText>
            </w:r>
            <w:r w:rsidR="00774286" w:rsidRPr="000C5235">
              <w:rPr>
                <w:webHidden/>
              </w:rPr>
            </w:r>
            <w:r w:rsidR="00774286" w:rsidRPr="000C5235">
              <w:rPr>
                <w:webHidden/>
              </w:rPr>
              <w:fldChar w:fldCharType="separate"/>
            </w:r>
            <w:r w:rsidR="00774286" w:rsidRPr="000C5235">
              <w:rPr>
                <w:webHidden/>
              </w:rPr>
              <w:t>40</w:t>
            </w:r>
            <w:r w:rsidR="00774286" w:rsidRPr="000C5235">
              <w:rPr>
                <w:webHidden/>
              </w:rPr>
              <w:fldChar w:fldCharType="end"/>
            </w:r>
          </w:hyperlink>
        </w:p>
        <w:p w14:paraId="531EC4D0" w14:textId="320042CD" w:rsidR="00774286" w:rsidRPr="000C5235" w:rsidRDefault="00A774B1">
          <w:pPr>
            <w:pStyle w:val="TOC2"/>
            <w:rPr>
              <w:rFonts w:eastAsiaTheme="minorEastAsia"/>
              <w:szCs w:val="22"/>
              <w:lang w:eastAsia="en-AU"/>
            </w:rPr>
          </w:pPr>
          <w:hyperlink w:anchor="_Toc47951234" w:history="1">
            <w:r w:rsidR="00774286" w:rsidRPr="000C5235">
              <w:rPr>
                <w:rStyle w:val="Hyperlink"/>
              </w:rPr>
              <w:t>9.3</w:t>
            </w:r>
            <w:r w:rsidR="00774286" w:rsidRPr="000C5235">
              <w:rPr>
                <w:rFonts w:eastAsiaTheme="minorEastAsia"/>
                <w:szCs w:val="22"/>
                <w:lang w:eastAsia="en-AU"/>
              </w:rPr>
              <w:tab/>
            </w:r>
            <w:r w:rsidR="00774286" w:rsidRPr="000C5235">
              <w:rPr>
                <w:rStyle w:val="Hyperlink"/>
              </w:rPr>
              <w:t>Measures with indicative costs</w:t>
            </w:r>
            <w:r w:rsidR="00774286" w:rsidRPr="000C5235">
              <w:rPr>
                <w:webHidden/>
              </w:rPr>
              <w:tab/>
            </w:r>
            <w:r w:rsidR="00774286" w:rsidRPr="000C5235">
              <w:rPr>
                <w:webHidden/>
              </w:rPr>
              <w:fldChar w:fldCharType="begin"/>
            </w:r>
            <w:r w:rsidR="00774286" w:rsidRPr="000C5235">
              <w:rPr>
                <w:webHidden/>
              </w:rPr>
              <w:instrText xml:space="preserve"> PAGEREF _Toc47951234 \h </w:instrText>
            </w:r>
            <w:r w:rsidR="00774286" w:rsidRPr="000C5235">
              <w:rPr>
                <w:webHidden/>
              </w:rPr>
            </w:r>
            <w:r w:rsidR="00774286" w:rsidRPr="000C5235">
              <w:rPr>
                <w:webHidden/>
              </w:rPr>
              <w:fldChar w:fldCharType="separate"/>
            </w:r>
            <w:r w:rsidR="00774286" w:rsidRPr="000C5235">
              <w:rPr>
                <w:webHidden/>
              </w:rPr>
              <w:t>40</w:t>
            </w:r>
            <w:r w:rsidR="00774286" w:rsidRPr="000C5235">
              <w:rPr>
                <w:webHidden/>
              </w:rPr>
              <w:fldChar w:fldCharType="end"/>
            </w:r>
          </w:hyperlink>
        </w:p>
        <w:p w14:paraId="5E7142D7" w14:textId="3B2BD6AC" w:rsidR="00774286" w:rsidRPr="000C5235" w:rsidRDefault="00A774B1">
          <w:pPr>
            <w:pStyle w:val="TOC2"/>
            <w:rPr>
              <w:rFonts w:eastAsiaTheme="minorEastAsia"/>
              <w:szCs w:val="22"/>
              <w:lang w:eastAsia="en-AU"/>
            </w:rPr>
          </w:pPr>
          <w:hyperlink w:anchor="_Toc47951235" w:history="1">
            <w:r w:rsidR="00774286" w:rsidRPr="000C5235">
              <w:rPr>
                <w:rStyle w:val="Hyperlink"/>
              </w:rPr>
              <w:t>9.4</w:t>
            </w:r>
            <w:r w:rsidR="00774286" w:rsidRPr="000C5235">
              <w:rPr>
                <w:rFonts w:eastAsiaTheme="minorEastAsia"/>
                <w:szCs w:val="22"/>
                <w:lang w:eastAsia="en-AU"/>
              </w:rPr>
              <w:tab/>
            </w:r>
            <w:r w:rsidR="00774286" w:rsidRPr="000C5235">
              <w:rPr>
                <w:rStyle w:val="Hyperlink"/>
              </w:rPr>
              <w:t>Machinery of government changes</w:t>
            </w:r>
            <w:r w:rsidR="00774286" w:rsidRPr="000C5235">
              <w:rPr>
                <w:webHidden/>
              </w:rPr>
              <w:tab/>
            </w:r>
            <w:r w:rsidR="00774286" w:rsidRPr="000C5235">
              <w:rPr>
                <w:webHidden/>
              </w:rPr>
              <w:fldChar w:fldCharType="begin"/>
            </w:r>
            <w:r w:rsidR="00774286" w:rsidRPr="000C5235">
              <w:rPr>
                <w:webHidden/>
              </w:rPr>
              <w:instrText xml:space="preserve"> PAGEREF _Toc47951235 \h </w:instrText>
            </w:r>
            <w:r w:rsidR="00774286" w:rsidRPr="000C5235">
              <w:rPr>
                <w:webHidden/>
              </w:rPr>
            </w:r>
            <w:r w:rsidR="00774286" w:rsidRPr="000C5235">
              <w:rPr>
                <w:webHidden/>
              </w:rPr>
              <w:fldChar w:fldCharType="separate"/>
            </w:r>
            <w:r w:rsidR="00774286" w:rsidRPr="000C5235">
              <w:rPr>
                <w:webHidden/>
              </w:rPr>
              <w:t>41</w:t>
            </w:r>
            <w:r w:rsidR="00774286" w:rsidRPr="000C5235">
              <w:rPr>
                <w:webHidden/>
              </w:rPr>
              <w:fldChar w:fldCharType="end"/>
            </w:r>
          </w:hyperlink>
        </w:p>
        <w:p w14:paraId="3A1E25CC" w14:textId="3DFBB576" w:rsidR="00774286" w:rsidRPr="000C5235" w:rsidRDefault="00A774B1">
          <w:pPr>
            <w:pStyle w:val="TOC1"/>
            <w:rPr>
              <w:rFonts w:eastAsiaTheme="minorEastAsia"/>
              <w:b w:val="0"/>
              <w:sz w:val="22"/>
              <w:szCs w:val="22"/>
              <w:lang w:eastAsia="en-AU"/>
            </w:rPr>
          </w:pPr>
          <w:hyperlink w:anchor="_Toc47951236" w:history="1">
            <w:r w:rsidR="00774286" w:rsidRPr="000C5235">
              <w:rPr>
                <w:rStyle w:val="Hyperlink"/>
              </w:rPr>
              <w:t>10.</w:t>
            </w:r>
            <w:r w:rsidR="00774286" w:rsidRPr="000C5235">
              <w:rPr>
                <w:rFonts w:eastAsiaTheme="minorEastAsia"/>
                <w:b w:val="0"/>
                <w:sz w:val="22"/>
                <w:szCs w:val="22"/>
                <w:lang w:eastAsia="en-AU"/>
              </w:rPr>
              <w:tab/>
            </w:r>
            <w:r w:rsidR="00774286" w:rsidRPr="000C5235">
              <w:rPr>
                <w:rStyle w:val="Hyperlink"/>
              </w:rPr>
              <w:t>Outcomes and planned performance</w:t>
            </w:r>
            <w:r w:rsidR="00774286" w:rsidRPr="000C5235">
              <w:rPr>
                <w:webHidden/>
              </w:rPr>
              <w:tab/>
            </w:r>
            <w:r w:rsidR="00774286" w:rsidRPr="000C5235">
              <w:rPr>
                <w:webHidden/>
              </w:rPr>
              <w:fldChar w:fldCharType="begin"/>
            </w:r>
            <w:r w:rsidR="00774286" w:rsidRPr="000C5235">
              <w:rPr>
                <w:webHidden/>
              </w:rPr>
              <w:instrText xml:space="preserve"> PAGEREF _Toc47951236 \h </w:instrText>
            </w:r>
            <w:r w:rsidR="00774286" w:rsidRPr="000C5235">
              <w:rPr>
                <w:webHidden/>
              </w:rPr>
            </w:r>
            <w:r w:rsidR="00774286" w:rsidRPr="000C5235">
              <w:rPr>
                <w:webHidden/>
              </w:rPr>
              <w:fldChar w:fldCharType="separate"/>
            </w:r>
            <w:r w:rsidR="00774286" w:rsidRPr="000C5235">
              <w:rPr>
                <w:webHidden/>
              </w:rPr>
              <w:t>42</w:t>
            </w:r>
            <w:r w:rsidR="00774286" w:rsidRPr="000C5235">
              <w:rPr>
                <w:webHidden/>
              </w:rPr>
              <w:fldChar w:fldCharType="end"/>
            </w:r>
          </w:hyperlink>
        </w:p>
        <w:p w14:paraId="319CC7F8" w14:textId="5B601518" w:rsidR="00774286" w:rsidRPr="000C5235" w:rsidRDefault="00A774B1">
          <w:pPr>
            <w:pStyle w:val="TOC2"/>
            <w:rPr>
              <w:rFonts w:eastAsiaTheme="minorEastAsia"/>
              <w:szCs w:val="22"/>
              <w:lang w:eastAsia="en-AU"/>
            </w:rPr>
          </w:pPr>
          <w:hyperlink w:anchor="_Toc47951237" w:history="1">
            <w:r w:rsidR="00774286" w:rsidRPr="000C5235">
              <w:rPr>
                <w:rStyle w:val="Hyperlink"/>
                <w:rFonts w:eastAsia="Cambria" w:cs="Times New Roman"/>
              </w:rPr>
              <w:t>10.1</w:t>
            </w:r>
            <w:r w:rsidR="00774286" w:rsidRPr="000C5235">
              <w:rPr>
                <w:rFonts w:eastAsiaTheme="minorEastAsia"/>
                <w:szCs w:val="22"/>
                <w:lang w:eastAsia="en-AU"/>
              </w:rPr>
              <w:tab/>
            </w:r>
            <w:r w:rsidR="00774286" w:rsidRPr="000C5235">
              <w:rPr>
                <w:rStyle w:val="Hyperlink"/>
                <w:rFonts w:eastAsia="Cambria" w:cs="Times New Roman"/>
              </w:rPr>
              <w:t>Finance Secretary Direction</w:t>
            </w:r>
            <w:r w:rsidR="00774286" w:rsidRPr="000C5235">
              <w:rPr>
                <w:webHidden/>
              </w:rPr>
              <w:tab/>
            </w:r>
            <w:r w:rsidR="00774286" w:rsidRPr="000C5235">
              <w:rPr>
                <w:webHidden/>
              </w:rPr>
              <w:fldChar w:fldCharType="begin"/>
            </w:r>
            <w:r w:rsidR="00774286" w:rsidRPr="000C5235">
              <w:rPr>
                <w:webHidden/>
              </w:rPr>
              <w:instrText xml:space="preserve"> PAGEREF _Toc47951237 \h </w:instrText>
            </w:r>
            <w:r w:rsidR="00774286" w:rsidRPr="000C5235">
              <w:rPr>
                <w:webHidden/>
              </w:rPr>
            </w:r>
            <w:r w:rsidR="00774286" w:rsidRPr="000C5235">
              <w:rPr>
                <w:webHidden/>
              </w:rPr>
              <w:fldChar w:fldCharType="separate"/>
            </w:r>
            <w:r w:rsidR="00774286" w:rsidRPr="000C5235">
              <w:rPr>
                <w:webHidden/>
              </w:rPr>
              <w:t>42</w:t>
            </w:r>
            <w:r w:rsidR="00774286" w:rsidRPr="000C5235">
              <w:rPr>
                <w:webHidden/>
              </w:rPr>
              <w:fldChar w:fldCharType="end"/>
            </w:r>
          </w:hyperlink>
        </w:p>
        <w:p w14:paraId="66B04C29" w14:textId="7A9F8A65" w:rsidR="00774286" w:rsidRPr="000C5235" w:rsidRDefault="00A774B1">
          <w:pPr>
            <w:pStyle w:val="TOC2"/>
            <w:rPr>
              <w:rFonts w:eastAsiaTheme="minorEastAsia"/>
              <w:szCs w:val="22"/>
              <w:lang w:eastAsia="en-AU"/>
            </w:rPr>
          </w:pPr>
          <w:hyperlink w:anchor="_Toc47951238" w:history="1">
            <w:r w:rsidR="00774286" w:rsidRPr="000C5235">
              <w:rPr>
                <w:rStyle w:val="Hyperlink"/>
                <w:rFonts w:eastAsia="Times New Roman"/>
                <w:spacing w:val="-6"/>
              </w:rPr>
              <w:t>10.2</w:t>
            </w:r>
            <w:r w:rsidR="00774286" w:rsidRPr="000C5235">
              <w:rPr>
                <w:rFonts w:eastAsiaTheme="minorEastAsia"/>
                <w:szCs w:val="22"/>
                <w:lang w:eastAsia="en-AU"/>
              </w:rPr>
              <w:tab/>
            </w:r>
            <w:r w:rsidR="00774286" w:rsidRPr="000C5235">
              <w:rPr>
                <w:rStyle w:val="Hyperlink"/>
                <w:rFonts w:eastAsia="Times New Roman"/>
              </w:rPr>
              <w:t>Structure of section 2</w:t>
            </w:r>
            <w:r w:rsidR="00774286" w:rsidRPr="000C5235">
              <w:rPr>
                <w:webHidden/>
              </w:rPr>
              <w:tab/>
            </w:r>
            <w:r w:rsidR="00774286" w:rsidRPr="000C5235">
              <w:rPr>
                <w:webHidden/>
              </w:rPr>
              <w:fldChar w:fldCharType="begin"/>
            </w:r>
            <w:r w:rsidR="00774286" w:rsidRPr="000C5235">
              <w:rPr>
                <w:webHidden/>
              </w:rPr>
              <w:instrText xml:space="preserve"> PAGEREF _Toc47951238 \h </w:instrText>
            </w:r>
            <w:r w:rsidR="00774286" w:rsidRPr="000C5235">
              <w:rPr>
                <w:webHidden/>
              </w:rPr>
            </w:r>
            <w:r w:rsidR="00774286" w:rsidRPr="000C5235">
              <w:rPr>
                <w:webHidden/>
              </w:rPr>
              <w:fldChar w:fldCharType="separate"/>
            </w:r>
            <w:r w:rsidR="00774286" w:rsidRPr="000C5235">
              <w:rPr>
                <w:webHidden/>
              </w:rPr>
              <w:t>43</w:t>
            </w:r>
            <w:r w:rsidR="00774286" w:rsidRPr="000C5235">
              <w:rPr>
                <w:webHidden/>
              </w:rPr>
              <w:fldChar w:fldCharType="end"/>
            </w:r>
          </w:hyperlink>
        </w:p>
        <w:p w14:paraId="14669D49" w14:textId="235ECDB7" w:rsidR="00774286" w:rsidRPr="000C5235" w:rsidRDefault="00A774B1">
          <w:pPr>
            <w:pStyle w:val="TOC2"/>
            <w:rPr>
              <w:rFonts w:eastAsiaTheme="minorEastAsia"/>
              <w:szCs w:val="22"/>
              <w:lang w:eastAsia="en-AU"/>
            </w:rPr>
          </w:pPr>
          <w:hyperlink w:anchor="_Toc47951239" w:history="1">
            <w:r w:rsidR="00774286" w:rsidRPr="000C5235">
              <w:rPr>
                <w:rStyle w:val="Hyperlink"/>
                <w:rFonts w:eastAsia="Times New Roman"/>
                <w:spacing w:val="-6"/>
              </w:rPr>
              <w:t>10.3</w:t>
            </w:r>
            <w:r w:rsidR="00774286" w:rsidRPr="000C5235">
              <w:rPr>
                <w:rFonts w:eastAsiaTheme="minorEastAsia"/>
                <w:szCs w:val="22"/>
                <w:lang w:eastAsia="en-AU"/>
              </w:rPr>
              <w:tab/>
            </w:r>
            <w:r w:rsidR="00774286" w:rsidRPr="000C5235">
              <w:rPr>
                <w:rStyle w:val="Hyperlink"/>
                <w:rFonts w:eastAsia="Times New Roman"/>
              </w:rPr>
              <w:t>Outcome statements</w:t>
            </w:r>
            <w:r w:rsidR="00774286" w:rsidRPr="000C5235">
              <w:rPr>
                <w:webHidden/>
              </w:rPr>
              <w:tab/>
            </w:r>
            <w:r w:rsidR="00774286" w:rsidRPr="000C5235">
              <w:rPr>
                <w:webHidden/>
              </w:rPr>
              <w:fldChar w:fldCharType="begin"/>
            </w:r>
            <w:r w:rsidR="00774286" w:rsidRPr="000C5235">
              <w:rPr>
                <w:webHidden/>
              </w:rPr>
              <w:instrText xml:space="preserve"> PAGEREF _Toc47951239 \h </w:instrText>
            </w:r>
            <w:r w:rsidR="00774286" w:rsidRPr="000C5235">
              <w:rPr>
                <w:webHidden/>
              </w:rPr>
            </w:r>
            <w:r w:rsidR="00774286" w:rsidRPr="000C5235">
              <w:rPr>
                <w:webHidden/>
              </w:rPr>
              <w:fldChar w:fldCharType="separate"/>
            </w:r>
            <w:r w:rsidR="00774286" w:rsidRPr="000C5235">
              <w:rPr>
                <w:webHidden/>
              </w:rPr>
              <w:t>44</w:t>
            </w:r>
            <w:r w:rsidR="00774286" w:rsidRPr="000C5235">
              <w:rPr>
                <w:webHidden/>
              </w:rPr>
              <w:fldChar w:fldCharType="end"/>
            </w:r>
          </w:hyperlink>
        </w:p>
        <w:p w14:paraId="3FACAB92" w14:textId="62DBD63B" w:rsidR="00774286" w:rsidRPr="000C5235" w:rsidRDefault="00A774B1">
          <w:pPr>
            <w:pStyle w:val="TOC2"/>
            <w:rPr>
              <w:rFonts w:eastAsiaTheme="minorEastAsia"/>
              <w:szCs w:val="22"/>
              <w:lang w:eastAsia="en-AU"/>
            </w:rPr>
          </w:pPr>
          <w:hyperlink w:anchor="_Toc47951240" w:history="1">
            <w:r w:rsidR="00774286" w:rsidRPr="000C5235">
              <w:rPr>
                <w:rStyle w:val="Hyperlink"/>
                <w:rFonts w:eastAsia="Times New Roman"/>
                <w:spacing w:val="-6"/>
              </w:rPr>
              <w:t>10.4</w:t>
            </w:r>
            <w:r w:rsidR="00774286" w:rsidRPr="000C5235">
              <w:rPr>
                <w:rFonts w:eastAsiaTheme="minorEastAsia"/>
                <w:szCs w:val="22"/>
                <w:lang w:eastAsia="en-AU"/>
              </w:rPr>
              <w:tab/>
            </w:r>
            <w:r w:rsidR="00774286" w:rsidRPr="000C5235">
              <w:rPr>
                <w:rStyle w:val="Hyperlink"/>
                <w:rFonts w:eastAsia="Times New Roman"/>
              </w:rPr>
              <w:t>Linked programs box</w:t>
            </w:r>
            <w:r w:rsidR="00774286" w:rsidRPr="000C5235">
              <w:rPr>
                <w:webHidden/>
              </w:rPr>
              <w:tab/>
            </w:r>
            <w:r w:rsidR="00774286" w:rsidRPr="000C5235">
              <w:rPr>
                <w:webHidden/>
              </w:rPr>
              <w:fldChar w:fldCharType="begin"/>
            </w:r>
            <w:r w:rsidR="00774286" w:rsidRPr="000C5235">
              <w:rPr>
                <w:webHidden/>
              </w:rPr>
              <w:instrText xml:space="preserve"> PAGEREF _Toc47951240 \h </w:instrText>
            </w:r>
            <w:r w:rsidR="00774286" w:rsidRPr="000C5235">
              <w:rPr>
                <w:webHidden/>
              </w:rPr>
            </w:r>
            <w:r w:rsidR="00774286" w:rsidRPr="000C5235">
              <w:rPr>
                <w:webHidden/>
              </w:rPr>
              <w:fldChar w:fldCharType="separate"/>
            </w:r>
            <w:r w:rsidR="00774286" w:rsidRPr="000C5235">
              <w:rPr>
                <w:webHidden/>
              </w:rPr>
              <w:t>44</w:t>
            </w:r>
            <w:r w:rsidR="00774286" w:rsidRPr="000C5235">
              <w:rPr>
                <w:webHidden/>
              </w:rPr>
              <w:fldChar w:fldCharType="end"/>
            </w:r>
          </w:hyperlink>
        </w:p>
        <w:p w14:paraId="5E3EE6C4" w14:textId="7E7381F2" w:rsidR="00774286" w:rsidRPr="000C5235" w:rsidRDefault="00A774B1">
          <w:pPr>
            <w:pStyle w:val="TOC2"/>
            <w:rPr>
              <w:rFonts w:eastAsiaTheme="minorEastAsia"/>
              <w:szCs w:val="22"/>
              <w:lang w:eastAsia="en-AU"/>
            </w:rPr>
          </w:pPr>
          <w:hyperlink w:anchor="_Toc47951241" w:history="1">
            <w:r w:rsidR="00774286" w:rsidRPr="000C5235">
              <w:rPr>
                <w:rStyle w:val="Hyperlink"/>
                <w:rFonts w:eastAsia="Times New Roman"/>
                <w:spacing w:val="-6"/>
              </w:rPr>
              <w:t>10.5</w:t>
            </w:r>
            <w:r w:rsidR="00774286" w:rsidRPr="000C5235">
              <w:rPr>
                <w:rFonts w:eastAsiaTheme="minorEastAsia"/>
                <w:szCs w:val="22"/>
                <w:lang w:eastAsia="en-AU"/>
              </w:rPr>
              <w:tab/>
            </w:r>
            <w:r w:rsidR="00774286" w:rsidRPr="000C5235">
              <w:rPr>
                <w:rStyle w:val="Hyperlink"/>
                <w:rFonts w:eastAsia="Times New Roman"/>
              </w:rPr>
              <w:t>Budgeted expenses by outcome table</w:t>
            </w:r>
            <w:r w:rsidR="00774286" w:rsidRPr="000C5235">
              <w:rPr>
                <w:webHidden/>
              </w:rPr>
              <w:tab/>
            </w:r>
            <w:r w:rsidR="00774286" w:rsidRPr="000C5235">
              <w:rPr>
                <w:webHidden/>
              </w:rPr>
              <w:fldChar w:fldCharType="begin"/>
            </w:r>
            <w:r w:rsidR="00774286" w:rsidRPr="000C5235">
              <w:rPr>
                <w:webHidden/>
              </w:rPr>
              <w:instrText xml:space="preserve"> PAGEREF _Toc47951241 \h </w:instrText>
            </w:r>
            <w:r w:rsidR="00774286" w:rsidRPr="000C5235">
              <w:rPr>
                <w:webHidden/>
              </w:rPr>
            </w:r>
            <w:r w:rsidR="00774286" w:rsidRPr="000C5235">
              <w:rPr>
                <w:webHidden/>
              </w:rPr>
              <w:fldChar w:fldCharType="separate"/>
            </w:r>
            <w:r w:rsidR="00774286" w:rsidRPr="000C5235">
              <w:rPr>
                <w:webHidden/>
              </w:rPr>
              <w:t>47</w:t>
            </w:r>
            <w:r w:rsidR="00774286" w:rsidRPr="000C5235">
              <w:rPr>
                <w:webHidden/>
              </w:rPr>
              <w:fldChar w:fldCharType="end"/>
            </w:r>
          </w:hyperlink>
        </w:p>
        <w:p w14:paraId="2E27C82B" w14:textId="6CC5076B" w:rsidR="00774286" w:rsidRPr="000C5235" w:rsidRDefault="00A774B1">
          <w:pPr>
            <w:pStyle w:val="TOC3"/>
            <w:rPr>
              <w:rFonts w:eastAsiaTheme="minorEastAsia"/>
              <w:szCs w:val="22"/>
              <w:lang w:eastAsia="en-AU"/>
            </w:rPr>
          </w:pPr>
          <w:hyperlink w:anchor="_Toc47951242" w:history="1">
            <w:r w:rsidR="00774286" w:rsidRPr="000C5235">
              <w:rPr>
                <w:rStyle w:val="Hyperlink"/>
              </w:rPr>
              <w:t>10.5.1</w:t>
            </w:r>
            <w:r w:rsidR="00774286" w:rsidRPr="000C5235">
              <w:rPr>
                <w:rFonts w:eastAsiaTheme="minorEastAsia"/>
                <w:szCs w:val="22"/>
                <w:lang w:eastAsia="en-AU"/>
              </w:rPr>
              <w:tab/>
            </w:r>
            <w:r w:rsidR="00774286" w:rsidRPr="000C5235">
              <w:rPr>
                <w:rStyle w:val="Hyperlink"/>
              </w:rPr>
              <w:t>Minimum reporting requirements</w:t>
            </w:r>
            <w:r w:rsidR="00774286" w:rsidRPr="000C5235">
              <w:rPr>
                <w:webHidden/>
              </w:rPr>
              <w:tab/>
            </w:r>
            <w:r w:rsidR="00774286" w:rsidRPr="000C5235">
              <w:rPr>
                <w:webHidden/>
              </w:rPr>
              <w:fldChar w:fldCharType="begin"/>
            </w:r>
            <w:r w:rsidR="00774286" w:rsidRPr="000C5235">
              <w:rPr>
                <w:webHidden/>
              </w:rPr>
              <w:instrText xml:space="preserve"> PAGEREF _Toc47951242 \h </w:instrText>
            </w:r>
            <w:r w:rsidR="00774286" w:rsidRPr="000C5235">
              <w:rPr>
                <w:webHidden/>
              </w:rPr>
            </w:r>
            <w:r w:rsidR="00774286" w:rsidRPr="000C5235">
              <w:rPr>
                <w:webHidden/>
              </w:rPr>
              <w:fldChar w:fldCharType="separate"/>
            </w:r>
            <w:r w:rsidR="00774286" w:rsidRPr="000C5235">
              <w:rPr>
                <w:webHidden/>
              </w:rPr>
              <w:t>47</w:t>
            </w:r>
            <w:r w:rsidR="00774286" w:rsidRPr="000C5235">
              <w:rPr>
                <w:webHidden/>
              </w:rPr>
              <w:fldChar w:fldCharType="end"/>
            </w:r>
          </w:hyperlink>
        </w:p>
        <w:p w14:paraId="4736E0BA" w14:textId="2A65C888" w:rsidR="00774286" w:rsidRPr="000C5235" w:rsidRDefault="00A774B1">
          <w:pPr>
            <w:pStyle w:val="TOC3"/>
            <w:rPr>
              <w:rFonts w:eastAsiaTheme="minorEastAsia"/>
              <w:szCs w:val="22"/>
              <w:lang w:eastAsia="en-AU"/>
            </w:rPr>
          </w:pPr>
          <w:hyperlink w:anchor="_Toc47951243" w:history="1">
            <w:r w:rsidR="00774286" w:rsidRPr="000C5235">
              <w:rPr>
                <w:rStyle w:val="Hyperlink"/>
                <w:rFonts w:eastAsia="MS Gothic" w:cs="Times New Roman"/>
              </w:rPr>
              <w:t>10.5.2</w:t>
            </w:r>
            <w:r w:rsidR="00774286" w:rsidRPr="000C5235">
              <w:rPr>
                <w:rFonts w:eastAsiaTheme="minorEastAsia"/>
                <w:szCs w:val="22"/>
                <w:lang w:eastAsia="en-AU"/>
              </w:rPr>
              <w:tab/>
            </w:r>
            <w:r w:rsidR="00774286" w:rsidRPr="000C5235">
              <w:rPr>
                <w:rStyle w:val="Hyperlink"/>
                <w:rFonts w:eastAsia="MS Gothic" w:cs="Times New Roman"/>
              </w:rPr>
              <w:t>Interest and depreciation of Right-of-Use assets reported as part of departmental appropriation expenses</w:t>
            </w:r>
            <w:r w:rsidR="00774286" w:rsidRPr="000C5235">
              <w:rPr>
                <w:webHidden/>
              </w:rPr>
              <w:tab/>
            </w:r>
            <w:r w:rsidR="00774286" w:rsidRPr="000C5235">
              <w:rPr>
                <w:webHidden/>
              </w:rPr>
              <w:fldChar w:fldCharType="begin"/>
            </w:r>
            <w:r w:rsidR="00774286" w:rsidRPr="000C5235">
              <w:rPr>
                <w:webHidden/>
              </w:rPr>
              <w:instrText xml:space="preserve"> PAGEREF _Toc47951243 \h </w:instrText>
            </w:r>
            <w:r w:rsidR="00774286" w:rsidRPr="000C5235">
              <w:rPr>
                <w:webHidden/>
              </w:rPr>
            </w:r>
            <w:r w:rsidR="00774286" w:rsidRPr="000C5235">
              <w:rPr>
                <w:webHidden/>
              </w:rPr>
              <w:fldChar w:fldCharType="separate"/>
            </w:r>
            <w:r w:rsidR="00774286" w:rsidRPr="000C5235">
              <w:rPr>
                <w:webHidden/>
              </w:rPr>
              <w:t>49</w:t>
            </w:r>
            <w:r w:rsidR="00774286" w:rsidRPr="000C5235">
              <w:rPr>
                <w:webHidden/>
              </w:rPr>
              <w:fldChar w:fldCharType="end"/>
            </w:r>
          </w:hyperlink>
        </w:p>
        <w:p w14:paraId="1F5827DF" w14:textId="3EFCF50D" w:rsidR="00774286" w:rsidRPr="000C5235" w:rsidRDefault="00A774B1">
          <w:pPr>
            <w:pStyle w:val="TOC2"/>
            <w:rPr>
              <w:rFonts w:eastAsiaTheme="minorEastAsia"/>
              <w:szCs w:val="22"/>
              <w:lang w:eastAsia="en-AU"/>
            </w:rPr>
          </w:pPr>
          <w:hyperlink w:anchor="_Toc47951244" w:history="1">
            <w:r w:rsidR="00774286" w:rsidRPr="000C5235">
              <w:rPr>
                <w:rStyle w:val="Hyperlink"/>
                <w:rFonts w:eastAsia="Times New Roman"/>
                <w:spacing w:val="-6"/>
              </w:rPr>
              <w:t>10.6</w:t>
            </w:r>
            <w:r w:rsidR="00774286" w:rsidRPr="000C5235">
              <w:rPr>
                <w:rFonts w:eastAsiaTheme="minorEastAsia"/>
                <w:szCs w:val="22"/>
                <w:lang w:eastAsia="en-AU"/>
              </w:rPr>
              <w:tab/>
            </w:r>
            <w:r w:rsidR="00774286" w:rsidRPr="000C5235">
              <w:rPr>
                <w:rStyle w:val="Hyperlink"/>
                <w:rFonts w:eastAsia="Times New Roman"/>
              </w:rPr>
              <w:t>Program components</w:t>
            </w:r>
            <w:r w:rsidR="00774286" w:rsidRPr="000C5235">
              <w:rPr>
                <w:webHidden/>
              </w:rPr>
              <w:tab/>
            </w:r>
            <w:r w:rsidR="00774286" w:rsidRPr="000C5235">
              <w:rPr>
                <w:webHidden/>
              </w:rPr>
              <w:fldChar w:fldCharType="begin"/>
            </w:r>
            <w:r w:rsidR="00774286" w:rsidRPr="000C5235">
              <w:rPr>
                <w:webHidden/>
              </w:rPr>
              <w:instrText xml:space="preserve"> PAGEREF _Toc47951244 \h </w:instrText>
            </w:r>
            <w:r w:rsidR="00774286" w:rsidRPr="000C5235">
              <w:rPr>
                <w:webHidden/>
              </w:rPr>
            </w:r>
            <w:r w:rsidR="00774286" w:rsidRPr="000C5235">
              <w:rPr>
                <w:webHidden/>
              </w:rPr>
              <w:fldChar w:fldCharType="separate"/>
            </w:r>
            <w:r w:rsidR="00774286" w:rsidRPr="000C5235">
              <w:rPr>
                <w:webHidden/>
              </w:rPr>
              <w:t>51</w:t>
            </w:r>
            <w:r w:rsidR="00774286" w:rsidRPr="000C5235">
              <w:rPr>
                <w:webHidden/>
              </w:rPr>
              <w:fldChar w:fldCharType="end"/>
            </w:r>
          </w:hyperlink>
        </w:p>
        <w:p w14:paraId="13FE69DC" w14:textId="0DFF8F25" w:rsidR="00774286" w:rsidRPr="000C5235" w:rsidRDefault="00A774B1">
          <w:pPr>
            <w:pStyle w:val="TOC2"/>
            <w:rPr>
              <w:rFonts w:eastAsiaTheme="minorEastAsia"/>
              <w:szCs w:val="22"/>
              <w:lang w:eastAsia="en-AU"/>
            </w:rPr>
          </w:pPr>
          <w:hyperlink w:anchor="_Toc47951245" w:history="1">
            <w:r w:rsidR="00774286" w:rsidRPr="000C5235">
              <w:rPr>
                <w:rStyle w:val="Hyperlink"/>
                <w:rFonts w:eastAsia="Times New Roman"/>
                <w:spacing w:val="-6"/>
              </w:rPr>
              <w:t>10.7</w:t>
            </w:r>
            <w:r w:rsidR="00774286" w:rsidRPr="000C5235">
              <w:rPr>
                <w:rFonts w:eastAsiaTheme="minorEastAsia"/>
                <w:szCs w:val="22"/>
                <w:lang w:eastAsia="en-AU"/>
              </w:rPr>
              <w:tab/>
            </w:r>
            <w:r w:rsidR="00774286" w:rsidRPr="000C5235">
              <w:rPr>
                <w:rStyle w:val="Hyperlink"/>
                <w:rFonts w:eastAsia="Times New Roman"/>
              </w:rPr>
              <w:t>Overview of table 2.X.3 – performance information</w:t>
            </w:r>
            <w:r w:rsidR="00774286" w:rsidRPr="000C5235">
              <w:rPr>
                <w:webHidden/>
              </w:rPr>
              <w:tab/>
            </w:r>
            <w:r w:rsidR="00774286" w:rsidRPr="000C5235">
              <w:rPr>
                <w:webHidden/>
              </w:rPr>
              <w:fldChar w:fldCharType="begin"/>
            </w:r>
            <w:r w:rsidR="00774286" w:rsidRPr="000C5235">
              <w:rPr>
                <w:webHidden/>
              </w:rPr>
              <w:instrText xml:space="preserve"> PAGEREF _Toc47951245 \h </w:instrText>
            </w:r>
            <w:r w:rsidR="00774286" w:rsidRPr="000C5235">
              <w:rPr>
                <w:webHidden/>
              </w:rPr>
            </w:r>
            <w:r w:rsidR="00774286" w:rsidRPr="000C5235">
              <w:rPr>
                <w:webHidden/>
              </w:rPr>
              <w:fldChar w:fldCharType="separate"/>
            </w:r>
            <w:r w:rsidR="00774286" w:rsidRPr="000C5235">
              <w:rPr>
                <w:webHidden/>
              </w:rPr>
              <w:t>52</w:t>
            </w:r>
            <w:r w:rsidR="00774286" w:rsidRPr="000C5235">
              <w:rPr>
                <w:webHidden/>
              </w:rPr>
              <w:fldChar w:fldCharType="end"/>
            </w:r>
          </w:hyperlink>
        </w:p>
        <w:p w14:paraId="222FDA37" w14:textId="4969A187" w:rsidR="00774286" w:rsidRPr="000C5235" w:rsidRDefault="00A774B1">
          <w:pPr>
            <w:pStyle w:val="TOC3"/>
            <w:rPr>
              <w:rFonts w:eastAsiaTheme="minorEastAsia"/>
              <w:szCs w:val="22"/>
              <w:lang w:eastAsia="en-AU"/>
            </w:rPr>
          </w:pPr>
          <w:hyperlink w:anchor="_Toc47951246" w:history="1">
            <w:r w:rsidR="00774286" w:rsidRPr="000C5235">
              <w:rPr>
                <w:rStyle w:val="Hyperlink"/>
              </w:rPr>
              <w:t>10.7.1</w:t>
            </w:r>
            <w:r w:rsidR="00774286" w:rsidRPr="000C5235">
              <w:rPr>
                <w:rFonts w:eastAsiaTheme="minorEastAsia"/>
                <w:szCs w:val="22"/>
                <w:lang w:eastAsia="en-AU"/>
              </w:rPr>
              <w:tab/>
            </w:r>
            <w:r w:rsidR="00774286" w:rsidRPr="000C5235">
              <w:rPr>
                <w:rStyle w:val="Hyperlink"/>
              </w:rPr>
              <w:t>Program title and brief description</w:t>
            </w:r>
            <w:r w:rsidR="00774286" w:rsidRPr="000C5235">
              <w:rPr>
                <w:webHidden/>
              </w:rPr>
              <w:tab/>
            </w:r>
            <w:r w:rsidR="00774286" w:rsidRPr="000C5235">
              <w:rPr>
                <w:webHidden/>
              </w:rPr>
              <w:fldChar w:fldCharType="begin"/>
            </w:r>
            <w:r w:rsidR="00774286" w:rsidRPr="000C5235">
              <w:rPr>
                <w:webHidden/>
              </w:rPr>
              <w:instrText xml:space="preserve"> PAGEREF _Toc47951246 \h </w:instrText>
            </w:r>
            <w:r w:rsidR="00774286" w:rsidRPr="000C5235">
              <w:rPr>
                <w:webHidden/>
              </w:rPr>
            </w:r>
            <w:r w:rsidR="00774286" w:rsidRPr="000C5235">
              <w:rPr>
                <w:webHidden/>
              </w:rPr>
              <w:fldChar w:fldCharType="separate"/>
            </w:r>
            <w:r w:rsidR="00774286" w:rsidRPr="000C5235">
              <w:rPr>
                <w:webHidden/>
              </w:rPr>
              <w:t>53</w:t>
            </w:r>
            <w:r w:rsidR="00774286" w:rsidRPr="000C5235">
              <w:rPr>
                <w:webHidden/>
              </w:rPr>
              <w:fldChar w:fldCharType="end"/>
            </w:r>
          </w:hyperlink>
        </w:p>
        <w:p w14:paraId="20D339C9" w14:textId="2CE42AFA" w:rsidR="00774286" w:rsidRPr="000C5235" w:rsidRDefault="00A774B1">
          <w:pPr>
            <w:pStyle w:val="TOC3"/>
            <w:rPr>
              <w:rFonts w:eastAsiaTheme="minorEastAsia"/>
              <w:szCs w:val="22"/>
              <w:lang w:eastAsia="en-AU"/>
            </w:rPr>
          </w:pPr>
          <w:hyperlink w:anchor="_Toc47951247" w:history="1">
            <w:r w:rsidR="00774286" w:rsidRPr="000C5235">
              <w:rPr>
                <w:rStyle w:val="Hyperlink"/>
              </w:rPr>
              <w:t>10.7.2</w:t>
            </w:r>
            <w:r w:rsidR="00774286" w:rsidRPr="000C5235">
              <w:rPr>
                <w:rFonts w:eastAsiaTheme="minorEastAsia"/>
                <w:szCs w:val="22"/>
                <w:lang w:eastAsia="en-AU"/>
              </w:rPr>
              <w:tab/>
            </w:r>
            <w:r w:rsidR="00774286" w:rsidRPr="000C5235">
              <w:rPr>
                <w:rStyle w:val="Hyperlink"/>
              </w:rPr>
              <w:t>Delivery</w:t>
            </w:r>
            <w:r w:rsidR="00774286" w:rsidRPr="000C5235">
              <w:rPr>
                <w:webHidden/>
              </w:rPr>
              <w:tab/>
            </w:r>
            <w:r w:rsidR="00774286" w:rsidRPr="000C5235">
              <w:rPr>
                <w:webHidden/>
              </w:rPr>
              <w:fldChar w:fldCharType="begin"/>
            </w:r>
            <w:r w:rsidR="00774286" w:rsidRPr="000C5235">
              <w:rPr>
                <w:webHidden/>
              </w:rPr>
              <w:instrText xml:space="preserve"> PAGEREF _Toc47951247 \h </w:instrText>
            </w:r>
            <w:r w:rsidR="00774286" w:rsidRPr="000C5235">
              <w:rPr>
                <w:webHidden/>
              </w:rPr>
            </w:r>
            <w:r w:rsidR="00774286" w:rsidRPr="000C5235">
              <w:rPr>
                <w:webHidden/>
              </w:rPr>
              <w:fldChar w:fldCharType="separate"/>
            </w:r>
            <w:r w:rsidR="00774286" w:rsidRPr="000C5235">
              <w:rPr>
                <w:webHidden/>
              </w:rPr>
              <w:t>54</w:t>
            </w:r>
            <w:r w:rsidR="00774286" w:rsidRPr="000C5235">
              <w:rPr>
                <w:webHidden/>
              </w:rPr>
              <w:fldChar w:fldCharType="end"/>
            </w:r>
          </w:hyperlink>
        </w:p>
        <w:p w14:paraId="625CAAA3" w14:textId="4D8A216B" w:rsidR="00774286" w:rsidRPr="000C5235" w:rsidRDefault="00A774B1">
          <w:pPr>
            <w:pStyle w:val="TOC3"/>
            <w:rPr>
              <w:rFonts w:eastAsiaTheme="minorEastAsia"/>
              <w:szCs w:val="22"/>
              <w:lang w:eastAsia="en-AU"/>
            </w:rPr>
          </w:pPr>
          <w:hyperlink w:anchor="_Toc47951248" w:history="1">
            <w:r w:rsidR="00774286" w:rsidRPr="000C5235">
              <w:rPr>
                <w:rStyle w:val="Hyperlink"/>
              </w:rPr>
              <w:t>10.7.3</w:t>
            </w:r>
            <w:r w:rsidR="00774286" w:rsidRPr="000C5235">
              <w:rPr>
                <w:rFonts w:eastAsiaTheme="minorEastAsia"/>
                <w:szCs w:val="22"/>
                <w:lang w:eastAsia="en-AU"/>
              </w:rPr>
              <w:tab/>
            </w:r>
            <w:r w:rsidR="00774286" w:rsidRPr="000C5235">
              <w:rPr>
                <w:rStyle w:val="Hyperlink"/>
              </w:rPr>
              <w:t>Performance criteria</w:t>
            </w:r>
            <w:r w:rsidR="00774286" w:rsidRPr="000C5235">
              <w:rPr>
                <w:webHidden/>
              </w:rPr>
              <w:tab/>
            </w:r>
            <w:r w:rsidR="00774286" w:rsidRPr="000C5235">
              <w:rPr>
                <w:webHidden/>
              </w:rPr>
              <w:fldChar w:fldCharType="begin"/>
            </w:r>
            <w:r w:rsidR="00774286" w:rsidRPr="000C5235">
              <w:rPr>
                <w:webHidden/>
              </w:rPr>
              <w:instrText xml:space="preserve"> PAGEREF _Toc47951248 \h </w:instrText>
            </w:r>
            <w:r w:rsidR="00774286" w:rsidRPr="000C5235">
              <w:rPr>
                <w:webHidden/>
              </w:rPr>
            </w:r>
            <w:r w:rsidR="00774286" w:rsidRPr="000C5235">
              <w:rPr>
                <w:webHidden/>
              </w:rPr>
              <w:fldChar w:fldCharType="separate"/>
            </w:r>
            <w:r w:rsidR="00774286" w:rsidRPr="000C5235">
              <w:rPr>
                <w:webHidden/>
              </w:rPr>
              <w:t>56</w:t>
            </w:r>
            <w:r w:rsidR="00774286" w:rsidRPr="000C5235">
              <w:rPr>
                <w:webHidden/>
              </w:rPr>
              <w:fldChar w:fldCharType="end"/>
            </w:r>
          </w:hyperlink>
        </w:p>
        <w:p w14:paraId="180B0828" w14:textId="16673CBD" w:rsidR="00774286" w:rsidRPr="000C5235" w:rsidRDefault="00A774B1">
          <w:pPr>
            <w:pStyle w:val="TOC3"/>
            <w:rPr>
              <w:rFonts w:eastAsiaTheme="minorEastAsia"/>
              <w:szCs w:val="22"/>
              <w:lang w:eastAsia="en-AU"/>
            </w:rPr>
          </w:pPr>
          <w:hyperlink w:anchor="_Toc47951249" w:history="1">
            <w:r w:rsidR="00774286" w:rsidRPr="000C5235">
              <w:rPr>
                <w:rStyle w:val="Hyperlink"/>
              </w:rPr>
              <w:t>10.7.4</w:t>
            </w:r>
            <w:r w:rsidR="00774286" w:rsidRPr="000C5235">
              <w:rPr>
                <w:rFonts w:eastAsiaTheme="minorEastAsia"/>
                <w:szCs w:val="22"/>
                <w:lang w:eastAsia="en-AU"/>
              </w:rPr>
              <w:tab/>
            </w:r>
            <w:r w:rsidR="00774286" w:rsidRPr="000C5235">
              <w:rPr>
                <w:rStyle w:val="Hyperlink"/>
              </w:rPr>
              <w:t>Presentation of new or modified performance criteria</w:t>
            </w:r>
            <w:r w:rsidR="00774286" w:rsidRPr="000C5235">
              <w:rPr>
                <w:webHidden/>
              </w:rPr>
              <w:tab/>
            </w:r>
            <w:r w:rsidR="00774286" w:rsidRPr="000C5235">
              <w:rPr>
                <w:webHidden/>
              </w:rPr>
              <w:fldChar w:fldCharType="begin"/>
            </w:r>
            <w:r w:rsidR="00774286" w:rsidRPr="000C5235">
              <w:rPr>
                <w:webHidden/>
              </w:rPr>
              <w:instrText xml:space="preserve"> PAGEREF _Toc47951249 \h </w:instrText>
            </w:r>
            <w:r w:rsidR="00774286" w:rsidRPr="000C5235">
              <w:rPr>
                <w:webHidden/>
              </w:rPr>
            </w:r>
            <w:r w:rsidR="00774286" w:rsidRPr="000C5235">
              <w:rPr>
                <w:webHidden/>
              </w:rPr>
              <w:fldChar w:fldCharType="separate"/>
            </w:r>
            <w:r w:rsidR="00774286" w:rsidRPr="000C5235">
              <w:rPr>
                <w:webHidden/>
              </w:rPr>
              <w:t>57</w:t>
            </w:r>
            <w:r w:rsidR="00774286" w:rsidRPr="000C5235">
              <w:rPr>
                <w:webHidden/>
              </w:rPr>
              <w:fldChar w:fldCharType="end"/>
            </w:r>
          </w:hyperlink>
        </w:p>
        <w:p w14:paraId="7A44B14E" w14:textId="68B067AE" w:rsidR="00774286" w:rsidRPr="000C5235" w:rsidRDefault="00A774B1">
          <w:pPr>
            <w:pStyle w:val="TOC3"/>
            <w:rPr>
              <w:rFonts w:eastAsiaTheme="minorEastAsia"/>
              <w:szCs w:val="22"/>
              <w:lang w:eastAsia="en-AU"/>
            </w:rPr>
          </w:pPr>
          <w:hyperlink w:anchor="_Toc47951250" w:history="1">
            <w:r w:rsidR="00774286" w:rsidRPr="000C5235">
              <w:rPr>
                <w:rStyle w:val="Hyperlink"/>
              </w:rPr>
              <w:t>10.7.5</w:t>
            </w:r>
            <w:r w:rsidR="00774286" w:rsidRPr="000C5235">
              <w:rPr>
                <w:rFonts w:eastAsiaTheme="minorEastAsia"/>
                <w:szCs w:val="22"/>
                <w:lang w:eastAsia="en-AU"/>
              </w:rPr>
              <w:tab/>
            </w:r>
            <w:r w:rsidR="00774286" w:rsidRPr="000C5235">
              <w:rPr>
                <w:rStyle w:val="Hyperlink"/>
              </w:rPr>
              <w:t>Purposes</w:t>
            </w:r>
            <w:r w:rsidR="00774286" w:rsidRPr="000C5235">
              <w:rPr>
                <w:webHidden/>
              </w:rPr>
              <w:tab/>
            </w:r>
            <w:r w:rsidR="00774286" w:rsidRPr="000C5235">
              <w:rPr>
                <w:webHidden/>
              </w:rPr>
              <w:fldChar w:fldCharType="begin"/>
            </w:r>
            <w:r w:rsidR="00774286" w:rsidRPr="000C5235">
              <w:rPr>
                <w:webHidden/>
              </w:rPr>
              <w:instrText xml:space="preserve"> PAGEREF _Toc47951250 \h </w:instrText>
            </w:r>
            <w:r w:rsidR="00774286" w:rsidRPr="000C5235">
              <w:rPr>
                <w:webHidden/>
              </w:rPr>
            </w:r>
            <w:r w:rsidR="00774286" w:rsidRPr="000C5235">
              <w:rPr>
                <w:webHidden/>
              </w:rPr>
              <w:fldChar w:fldCharType="separate"/>
            </w:r>
            <w:r w:rsidR="00774286" w:rsidRPr="000C5235">
              <w:rPr>
                <w:webHidden/>
              </w:rPr>
              <w:t>57</w:t>
            </w:r>
            <w:r w:rsidR="00774286" w:rsidRPr="000C5235">
              <w:rPr>
                <w:webHidden/>
              </w:rPr>
              <w:fldChar w:fldCharType="end"/>
            </w:r>
          </w:hyperlink>
        </w:p>
        <w:p w14:paraId="3853082E" w14:textId="5B65DB78" w:rsidR="00774286" w:rsidRPr="000C5235" w:rsidRDefault="00A774B1">
          <w:pPr>
            <w:pStyle w:val="TOC1"/>
            <w:rPr>
              <w:rFonts w:eastAsiaTheme="minorEastAsia"/>
              <w:b w:val="0"/>
              <w:sz w:val="22"/>
              <w:szCs w:val="22"/>
              <w:lang w:eastAsia="en-AU"/>
            </w:rPr>
          </w:pPr>
          <w:hyperlink w:anchor="_Toc47951251" w:history="1">
            <w:r w:rsidR="00774286" w:rsidRPr="000C5235">
              <w:rPr>
                <w:rStyle w:val="Hyperlink"/>
                <w:rFonts w:eastAsia="Times New Roman"/>
                <w:spacing w:val="-6"/>
              </w:rPr>
              <w:t>11.</w:t>
            </w:r>
            <w:r w:rsidR="00774286" w:rsidRPr="000C5235">
              <w:rPr>
                <w:rFonts w:eastAsiaTheme="minorEastAsia"/>
                <w:b w:val="0"/>
                <w:sz w:val="22"/>
                <w:szCs w:val="22"/>
                <w:lang w:eastAsia="en-AU"/>
              </w:rPr>
              <w:tab/>
            </w:r>
            <w:r w:rsidR="00774286" w:rsidRPr="000C5235">
              <w:rPr>
                <w:rStyle w:val="Hyperlink"/>
                <w:rFonts w:eastAsia="Times New Roman"/>
              </w:rPr>
              <w:t>Budgeted financial statements</w:t>
            </w:r>
            <w:r w:rsidR="00774286" w:rsidRPr="000C5235">
              <w:rPr>
                <w:webHidden/>
              </w:rPr>
              <w:tab/>
            </w:r>
            <w:r w:rsidR="00774286" w:rsidRPr="000C5235">
              <w:rPr>
                <w:webHidden/>
              </w:rPr>
              <w:fldChar w:fldCharType="begin"/>
            </w:r>
            <w:r w:rsidR="00774286" w:rsidRPr="000C5235">
              <w:rPr>
                <w:webHidden/>
              </w:rPr>
              <w:instrText xml:space="preserve"> PAGEREF _Toc47951251 \h </w:instrText>
            </w:r>
            <w:r w:rsidR="00774286" w:rsidRPr="000C5235">
              <w:rPr>
                <w:webHidden/>
              </w:rPr>
            </w:r>
            <w:r w:rsidR="00774286" w:rsidRPr="000C5235">
              <w:rPr>
                <w:webHidden/>
              </w:rPr>
              <w:fldChar w:fldCharType="separate"/>
            </w:r>
            <w:r w:rsidR="00774286" w:rsidRPr="000C5235">
              <w:rPr>
                <w:webHidden/>
              </w:rPr>
              <w:t>59</w:t>
            </w:r>
            <w:r w:rsidR="00774286" w:rsidRPr="000C5235">
              <w:rPr>
                <w:webHidden/>
              </w:rPr>
              <w:fldChar w:fldCharType="end"/>
            </w:r>
          </w:hyperlink>
        </w:p>
        <w:p w14:paraId="646D9683" w14:textId="01AC9A3C" w:rsidR="00774286" w:rsidRPr="000C5235" w:rsidRDefault="00A774B1">
          <w:pPr>
            <w:pStyle w:val="TOC2"/>
            <w:rPr>
              <w:rFonts w:eastAsiaTheme="minorEastAsia"/>
              <w:szCs w:val="22"/>
              <w:lang w:eastAsia="en-AU"/>
            </w:rPr>
          </w:pPr>
          <w:hyperlink w:anchor="_Toc47951252" w:history="1">
            <w:r w:rsidR="00774286" w:rsidRPr="000C5235">
              <w:rPr>
                <w:rStyle w:val="Hyperlink"/>
              </w:rPr>
              <w:t>11.1</w:t>
            </w:r>
            <w:r w:rsidR="00774286" w:rsidRPr="000C5235">
              <w:rPr>
                <w:rFonts w:eastAsiaTheme="minorEastAsia"/>
                <w:szCs w:val="22"/>
                <w:lang w:eastAsia="en-AU"/>
              </w:rPr>
              <w:tab/>
            </w:r>
            <w:r w:rsidR="00774286" w:rsidRPr="000C5235">
              <w:rPr>
                <w:rStyle w:val="Hyperlink"/>
              </w:rPr>
              <w:t>Tables constituting the budgeted financial Statements</w:t>
            </w:r>
            <w:r w:rsidR="00774286" w:rsidRPr="000C5235">
              <w:rPr>
                <w:webHidden/>
              </w:rPr>
              <w:tab/>
            </w:r>
            <w:r w:rsidR="00774286" w:rsidRPr="000C5235">
              <w:rPr>
                <w:webHidden/>
              </w:rPr>
              <w:fldChar w:fldCharType="begin"/>
            </w:r>
            <w:r w:rsidR="00774286" w:rsidRPr="000C5235">
              <w:rPr>
                <w:webHidden/>
              </w:rPr>
              <w:instrText xml:space="preserve"> PAGEREF _Toc47951252 \h </w:instrText>
            </w:r>
            <w:r w:rsidR="00774286" w:rsidRPr="000C5235">
              <w:rPr>
                <w:webHidden/>
              </w:rPr>
            </w:r>
            <w:r w:rsidR="00774286" w:rsidRPr="000C5235">
              <w:rPr>
                <w:webHidden/>
              </w:rPr>
              <w:fldChar w:fldCharType="separate"/>
            </w:r>
            <w:r w:rsidR="00774286" w:rsidRPr="000C5235">
              <w:rPr>
                <w:webHidden/>
              </w:rPr>
              <w:t>60</w:t>
            </w:r>
            <w:r w:rsidR="00774286" w:rsidRPr="000C5235">
              <w:rPr>
                <w:webHidden/>
              </w:rPr>
              <w:fldChar w:fldCharType="end"/>
            </w:r>
          </w:hyperlink>
        </w:p>
        <w:p w14:paraId="5B341C92" w14:textId="2F8690FE" w:rsidR="00774286" w:rsidRPr="000C5235" w:rsidRDefault="00A774B1">
          <w:pPr>
            <w:pStyle w:val="TOC2"/>
            <w:rPr>
              <w:rFonts w:eastAsiaTheme="minorEastAsia"/>
              <w:szCs w:val="22"/>
              <w:lang w:eastAsia="en-AU"/>
            </w:rPr>
          </w:pPr>
          <w:hyperlink w:anchor="_Toc47951253" w:history="1">
            <w:r w:rsidR="00774286" w:rsidRPr="000C5235">
              <w:rPr>
                <w:rStyle w:val="Hyperlink"/>
              </w:rPr>
              <w:t>11.2</w:t>
            </w:r>
            <w:r w:rsidR="00774286" w:rsidRPr="000C5235">
              <w:rPr>
                <w:rFonts w:eastAsiaTheme="minorEastAsia"/>
                <w:szCs w:val="22"/>
                <w:lang w:eastAsia="en-AU"/>
              </w:rPr>
              <w:tab/>
            </w:r>
            <w:r w:rsidR="00774286" w:rsidRPr="000C5235">
              <w:rPr>
                <w:rStyle w:val="Hyperlink"/>
              </w:rPr>
              <w:t>AASB 1055 link to budgetary reporting</w:t>
            </w:r>
            <w:r w:rsidR="00774286" w:rsidRPr="000C5235">
              <w:rPr>
                <w:webHidden/>
              </w:rPr>
              <w:tab/>
            </w:r>
            <w:r w:rsidR="00774286" w:rsidRPr="000C5235">
              <w:rPr>
                <w:webHidden/>
              </w:rPr>
              <w:fldChar w:fldCharType="begin"/>
            </w:r>
            <w:r w:rsidR="00774286" w:rsidRPr="000C5235">
              <w:rPr>
                <w:webHidden/>
              </w:rPr>
              <w:instrText xml:space="preserve"> PAGEREF _Toc47951253 \h </w:instrText>
            </w:r>
            <w:r w:rsidR="00774286" w:rsidRPr="000C5235">
              <w:rPr>
                <w:webHidden/>
              </w:rPr>
            </w:r>
            <w:r w:rsidR="00774286" w:rsidRPr="000C5235">
              <w:rPr>
                <w:webHidden/>
              </w:rPr>
              <w:fldChar w:fldCharType="separate"/>
            </w:r>
            <w:r w:rsidR="00774286" w:rsidRPr="000C5235">
              <w:rPr>
                <w:webHidden/>
              </w:rPr>
              <w:t>60</w:t>
            </w:r>
            <w:r w:rsidR="00774286" w:rsidRPr="000C5235">
              <w:rPr>
                <w:webHidden/>
              </w:rPr>
              <w:fldChar w:fldCharType="end"/>
            </w:r>
          </w:hyperlink>
        </w:p>
        <w:p w14:paraId="7938E5FA" w14:textId="7D38B8A5" w:rsidR="00774286" w:rsidRPr="000C5235" w:rsidRDefault="00A774B1">
          <w:pPr>
            <w:pStyle w:val="TOC2"/>
            <w:rPr>
              <w:rFonts w:eastAsiaTheme="minorEastAsia"/>
              <w:szCs w:val="22"/>
              <w:lang w:eastAsia="en-AU"/>
            </w:rPr>
          </w:pPr>
          <w:hyperlink w:anchor="_Toc47951254" w:history="1">
            <w:r w:rsidR="00774286" w:rsidRPr="000C5235">
              <w:rPr>
                <w:rStyle w:val="Hyperlink"/>
              </w:rPr>
              <w:t>11.3</w:t>
            </w:r>
            <w:r w:rsidR="00774286" w:rsidRPr="000C5235">
              <w:rPr>
                <w:rFonts w:eastAsiaTheme="minorEastAsia"/>
                <w:szCs w:val="22"/>
                <w:lang w:eastAsia="en-AU"/>
              </w:rPr>
              <w:tab/>
            </w:r>
            <w:r w:rsidR="00774286" w:rsidRPr="000C5235">
              <w:rPr>
                <w:rStyle w:val="Hyperlink"/>
              </w:rPr>
              <w:t>Departmental comprehensive income statement (showing net cost of services)</w:t>
            </w:r>
            <w:r w:rsidR="00774286" w:rsidRPr="000C5235">
              <w:rPr>
                <w:webHidden/>
              </w:rPr>
              <w:tab/>
            </w:r>
            <w:r w:rsidR="00774286" w:rsidRPr="000C5235">
              <w:rPr>
                <w:webHidden/>
              </w:rPr>
              <w:fldChar w:fldCharType="begin"/>
            </w:r>
            <w:r w:rsidR="00774286" w:rsidRPr="000C5235">
              <w:rPr>
                <w:webHidden/>
              </w:rPr>
              <w:instrText xml:space="preserve"> PAGEREF _Toc47951254 \h </w:instrText>
            </w:r>
            <w:r w:rsidR="00774286" w:rsidRPr="000C5235">
              <w:rPr>
                <w:webHidden/>
              </w:rPr>
            </w:r>
            <w:r w:rsidR="00774286" w:rsidRPr="000C5235">
              <w:rPr>
                <w:webHidden/>
              </w:rPr>
              <w:fldChar w:fldCharType="separate"/>
            </w:r>
            <w:r w:rsidR="00774286" w:rsidRPr="000C5235">
              <w:rPr>
                <w:webHidden/>
              </w:rPr>
              <w:t>61</w:t>
            </w:r>
            <w:r w:rsidR="00774286" w:rsidRPr="000C5235">
              <w:rPr>
                <w:webHidden/>
              </w:rPr>
              <w:fldChar w:fldCharType="end"/>
            </w:r>
          </w:hyperlink>
        </w:p>
        <w:p w14:paraId="16DB98F7" w14:textId="68C0D132" w:rsidR="00774286" w:rsidRPr="000C5235" w:rsidRDefault="00A774B1">
          <w:pPr>
            <w:pStyle w:val="TOC2"/>
            <w:rPr>
              <w:rFonts w:eastAsiaTheme="minorEastAsia"/>
              <w:szCs w:val="22"/>
              <w:lang w:eastAsia="en-AU"/>
            </w:rPr>
          </w:pPr>
          <w:hyperlink w:anchor="_Toc47951255" w:history="1">
            <w:r w:rsidR="00774286" w:rsidRPr="000C5235">
              <w:rPr>
                <w:rStyle w:val="Hyperlink"/>
                <w:rFonts w:eastAsia="Times New Roman"/>
                <w:spacing w:val="-6"/>
              </w:rPr>
              <w:t>11.4</w:t>
            </w:r>
            <w:r w:rsidR="00774286" w:rsidRPr="000C5235">
              <w:rPr>
                <w:rFonts w:eastAsiaTheme="minorEastAsia"/>
                <w:szCs w:val="22"/>
                <w:lang w:eastAsia="en-AU"/>
              </w:rPr>
              <w:tab/>
            </w:r>
            <w:r w:rsidR="00774286" w:rsidRPr="000C5235">
              <w:rPr>
                <w:rStyle w:val="Hyperlink"/>
                <w:rFonts w:eastAsia="Times New Roman"/>
              </w:rPr>
              <w:t>Budgeted departmental balance sheet</w:t>
            </w:r>
            <w:r w:rsidR="00774286" w:rsidRPr="000C5235">
              <w:rPr>
                <w:webHidden/>
              </w:rPr>
              <w:tab/>
            </w:r>
            <w:r w:rsidR="00774286" w:rsidRPr="000C5235">
              <w:rPr>
                <w:webHidden/>
              </w:rPr>
              <w:fldChar w:fldCharType="begin"/>
            </w:r>
            <w:r w:rsidR="00774286" w:rsidRPr="000C5235">
              <w:rPr>
                <w:webHidden/>
              </w:rPr>
              <w:instrText xml:space="preserve"> PAGEREF _Toc47951255 \h </w:instrText>
            </w:r>
            <w:r w:rsidR="00774286" w:rsidRPr="000C5235">
              <w:rPr>
                <w:webHidden/>
              </w:rPr>
            </w:r>
            <w:r w:rsidR="00774286" w:rsidRPr="000C5235">
              <w:rPr>
                <w:webHidden/>
              </w:rPr>
              <w:fldChar w:fldCharType="separate"/>
            </w:r>
            <w:r w:rsidR="00774286" w:rsidRPr="000C5235">
              <w:rPr>
                <w:webHidden/>
              </w:rPr>
              <w:t>62</w:t>
            </w:r>
            <w:r w:rsidR="00774286" w:rsidRPr="000C5235">
              <w:rPr>
                <w:webHidden/>
              </w:rPr>
              <w:fldChar w:fldCharType="end"/>
            </w:r>
          </w:hyperlink>
        </w:p>
        <w:p w14:paraId="0187FA00" w14:textId="35BE4963" w:rsidR="00774286" w:rsidRPr="000C5235" w:rsidRDefault="00A774B1">
          <w:pPr>
            <w:pStyle w:val="TOC2"/>
            <w:rPr>
              <w:rFonts w:eastAsiaTheme="minorEastAsia"/>
              <w:szCs w:val="22"/>
              <w:lang w:eastAsia="en-AU"/>
            </w:rPr>
          </w:pPr>
          <w:hyperlink w:anchor="_Toc47951256" w:history="1">
            <w:r w:rsidR="00774286" w:rsidRPr="000C5235">
              <w:rPr>
                <w:rStyle w:val="Hyperlink"/>
              </w:rPr>
              <w:t>11.5</w:t>
            </w:r>
            <w:r w:rsidR="00774286" w:rsidRPr="000C5235">
              <w:rPr>
                <w:rFonts w:eastAsiaTheme="minorEastAsia"/>
                <w:szCs w:val="22"/>
                <w:lang w:eastAsia="en-AU"/>
              </w:rPr>
              <w:tab/>
            </w:r>
            <w:r w:rsidR="00774286" w:rsidRPr="000C5235">
              <w:rPr>
                <w:rStyle w:val="Hyperlink"/>
              </w:rPr>
              <w:t>Departmental statement of changes in equity</w:t>
            </w:r>
            <w:r w:rsidR="00774286" w:rsidRPr="000C5235">
              <w:rPr>
                <w:webHidden/>
              </w:rPr>
              <w:tab/>
            </w:r>
            <w:r w:rsidR="00774286" w:rsidRPr="000C5235">
              <w:rPr>
                <w:webHidden/>
              </w:rPr>
              <w:fldChar w:fldCharType="begin"/>
            </w:r>
            <w:r w:rsidR="00774286" w:rsidRPr="000C5235">
              <w:rPr>
                <w:webHidden/>
              </w:rPr>
              <w:instrText xml:space="preserve"> PAGEREF _Toc47951256 \h </w:instrText>
            </w:r>
            <w:r w:rsidR="00774286" w:rsidRPr="000C5235">
              <w:rPr>
                <w:webHidden/>
              </w:rPr>
            </w:r>
            <w:r w:rsidR="00774286" w:rsidRPr="000C5235">
              <w:rPr>
                <w:webHidden/>
              </w:rPr>
              <w:fldChar w:fldCharType="separate"/>
            </w:r>
            <w:r w:rsidR="00774286" w:rsidRPr="000C5235">
              <w:rPr>
                <w:webHidden/>
              </w:rPr>
              <w:t>62</w:t>
            </w:r>
            <w:r w:rsidR="00774286" w:rsidRPr="000C5235">
              <w:rPr>
                <w:webHidden/>
              </w:rPr>
              <w:fldChar w:fldCharType="end"/>
            </w:r>
          </w:hyperlink>
        </w:p>
        <w:p w14:paraId="588E834D" w14:textId="46EEDDF7" w:rsidR="00774286" w:rsidRPr="000C5235" w:rsidRDefault="00A774B1">
          <w:pPr>
            <w:pStyle w:val="TOC2"/>
            <w:rPr>
              <w:rFonts w:eastAsiaTheme="minorEastAsia"/>
              <w:szCs w:val="22"/>
              <w:lang w:eastAsia="en-AU"/>
            </w:rPr>
          </w:pPr>
          <w:hyperlink w:anchor="_Toc47951257" w:history="1">
            <w:r w:rsidR="00774286" w:rsidRPr="000C5235">
              <w:rPr>
                <w:rStyle w:val="Hyperlink"/>
                <w:rFonts w:eastAsia="Times New Roman"/>
                <w:spacing w:val="-6"/>
              </w:rPr>
              <w:t>11.6</w:t>
            </w:r>
            <w:r w:rsidR="00774286" w:rsidRPr="000C5235">
              <w:rPr>
                <w:rFonts w:eastAsiaTheme="minorEastAsia"/>
                <w:szCs w:val="22"/>
                <w:lang w:eastAsia="en-AU"/>
              </w:rPr>
              <w:tab/>
            </w:r>
            <w:r w:rsidR="00774286" w:rsidRPr="000C5235">
              <w:rPr>
                <w:rStyle w:val="Hyperlink"/>
                <w:rFonts w:eastAsia="Times New Roman"/>
              </w:rPr>
              <w:t>Budgeted departmental statement of cash flows</w:t>
            </w:r>
            <w:r w:rsidR="00774286" w:rsidRPr="000C5235">
              <w:rPr>
                <w:webHidden/>
              </w:rPr>
              <w:tab/>
            </w:r>
            <w:r w:rsidR="00774286" w:rsidRPr="000C5235">
              <w:rPr>
                <w:webHidden/>
              </w:rPr>
              <w:fldChar w:fldCharType="begin"/>
            </w:r>
            <w:r w:rsidR="00774286" w:rsidRPr="000C5235">
              <w:rPr>
                <w:webHidden/>
              </w:rPr>
              <w:instrText xml:space="preserve"> PAGEREF _Toc47951257 \h </w:instrText>
            </w:r>
            <w:r w:rsidR="00774286" w:rsidRPr="000C5235">
              <w:rPr>
                <w:webHidden/>
              </w:rPr>
            </w:r>
            <w:r w:rsidR="00774286" w:rsidRPr="000C5235">
              <w:rPr>
                <w:webHidden/>
              </w:rPr>
              <w:fldChar w:fldCharType="separate"/>
            </w:r>
            <w:r w:rsidR="00774286" w:rsidRPr="000C5235">
              <w:rPr>
                <w:webHidden/>
              </w:rPr>
              <w:t>62</w:t>
            </w:r>
            <w:r w:rsidR="00774286" w:rsidRPr="000C5235">
              <w:rPr>
                <w:webHidden/>
              </w:rPr>
              <w:fldChar w:fldCharType="end"/>
            </w:r>
          </w:hyperlink>
        </w:p>
        <w:p w14:paraId="6E500EBE" w14:textId="46FC03C9" w:rsidR="00774286" w:rsidRPr="000C5235" w:rsidRDefault="00A774B1">
          <w:pPr>
            <w:pStyle w:val="TOC2"/>
            <w:rPr>
              <w:rFonts w:eastAsiaTheme="minorEastAsia"/>
              <w:szCs w:val="22"/>
              <w:lang w:eastAsia="en-AU"/>
            </w:rPr>
          </w:pPr>
          <w:hyperlink w:anchor="_Toc47951258" w:history="1">
            <w:r w:rsidR="00774286" w:rsidRPr="000C5235">
              <w:rPr>
                <w:rStyle w:val="Hyperlink"/>
                <w:spacing w:val="-6"/>
              </w:rPr>
              <w:t>11.7</w:t>
            </w:r>
            <w:r w:rsidR="00774286" w:rsidRPr="000C5235">
              <w:rPr>
                <w:rFonts w:eastAsiaTheme="minorEastAsia"/>
                <w:szCs w:val="22"/>
                <w:lang w:eastAsia="en-AU"/>
              </w:rPr>
              <w:tab/>
            </w:r>
            <w:r w:rsidR="00774286" w:rsidRPr="000C5235">
              <w:rPr>
                <w:rStyle w:val="Hyperlink"/>
                <w:rFonts w:eastAsia="Times New Roman"/>
              </w:rPr>
              <w:t>Departmental capital budget statement</w:t>
            </w:r>
            <w:r w:rsidR="00774286" w:rsidRPr="000C5235">
              <w:rPr>
                <w:webHidden/>
              </w:rPr>
              <w:tab/>
            </w:r>
            <w:r w:rsidR="00774286" w:rsidRPr="000C5235">
              <w:rPr>
                <w:webHidden/>
              </w:rPr>
              <w:fldChar w:fldCharType="begin"/>
            </w:r>
            <w:r w:rsidR="00774286" w:rsidRPr="000C5235">
              <w:rPr>
                <w:webHidden/>
              </w:rPr>
              <w:instrText xml:space="preserve"> PAGEREF _Toc47951258 \h </w:instrText>
            </w:r>
            <w:r w:rsidR="00774286" w:rsidRPr="000C5235">
              <w:rPr>
                <w:webHidden/>
              </w:rPr>
            </w:r>
            <w:r w:rsidR="00774286" w:rsidRPr="000C5235">
              <w:rPr>
                <w:webHidden/>
              </w:rPr>
              <w:fldChar w:fldCharType="separate"/>
            </w:r>
            <w:r w:rsidR="00774286" w:rsidRPr="000C5235">
              <w:rPr>
                <w:webHidden/>
              </w:rPr>
              <w:t>63</w:t>
            </w:r>
            <w:r w:rsidR="00774286" w:rsidRPr="000C5235">
              <w:rPr>
                <w:webHidden/>
              </w:rPr>
              <w:fldChar w:fldCharType="end"/>
            </w:r>
          </w:hyperlink>
        </w:p>
        <w:p w14:paraId="1052784D" w14:textId="65F87489" w:rsidR="00774286" w:rsidRPr="000C5235" w:rsidRDefault="00A774B1">
          <w:pPr>
            <w:pStyle w:val="TOC2"/>
            <w:rPr>
              <w:rFonts w:eastAsiaTheme="minorEastAsia"/>
              <w:szCs w:val="22"/>
              <w:lang w:eastAsia="en-AU"/>
            </w:rPr>
          </w:pPr>
          <w:hyperlink w:anchor="_Toc47951259" w:history="1">
            <w:r w:rsidR="00774286" w:rsidRPr="000C5235">
              <w:rPr>
                <w:rStyle w:val="Hyperlink"/>
                <w:spacing w:val="-6"/>
              </w:rPr>
              <w:t>11.8</w:t>
            </w:r>
            <w:r w:rsidR="00774286" w:rsidRPr="000C5235">
              <w:rPr>
                <w:rFonts w:eastAsiaTheme="minorEastAsia"/>
                <w:szCs w:val="22"/>
                <w:lang w:eastAsia="en-AU"/>
              </w:rPr>
              <w:tab/>
            </w:r>
            <w:r w:rsidR="00774286" w:rsidRPr="000C5235">
              <w:rPr>
                <w:rStyle w:val="Hyperlink"/>
                <w:rFonts w:eastAsia="Times New Roman"/>
              </w:rPr>
              <w:t>Departmental statement of asset movements</w:t>
            </w:r>
            <w:r w:rsidR="00774286" w:rsidRPr="000C5235">
              <w:rPr>
                <w:webHidden/>
              </w:rPr>
              <w:tab/>
            </w:r>
            <w:r w:rsidR="00774286" w:rsidRPr="000C5235">
              <w:rPr>
                <w:webHidden/>
              </w:rPr>
              <w:fldChar w:fldCharType="begin"/>
            </w:r>
            <w:r w:rsidR="00774286" w:rsidRPr="000C5235">
              <w:rPr>
                <w:webHidden/>
              </w:rPr>
              <w:instrText xml:space="preserve"> PAGEREF _Toc47951259 \h </w:instrText>
            </w:r>
            <w:r w:rsidR="00774286" w:rsidRPr="000C5235">
              <w:rPr>
                <w:webHidden/>
              </w:rPr>
            </w:r>
            <w:r w:rsidR="00774286" w:rsidRPr="000C5235">
              <w:rPr>
                <w:webHidden/>
              </w:rPr>
              <w:fldChar w:fldCharType="separate"/>
            </w:r>
            <w:r w:rsidR="00774286" w:rsidRPr="000C5235">
              <w:rPr>
                <w:webHidden/>
              </w:rPr>
              <w:t>63</w:t>
            </w:r>
            <w:r w:rsidR="00774286" w:rsidRPr="000C5235">
              <w:rPr>
                <w:webHidden/>
              </w:rPr>
              <w:fldChar w:fldCharType="end"/>
            </w:r>
          </w:hyperlink>
        </w:p>
        <w:p w14:paraId="46DDDD64" w14:textId="526CEFF3" w:rsidR="00774286" w:rsidRPr="000C5235" w:rsidRDefault="00A774B1">
          <w:pPr>
            <w:pStyle w:val="TOC2"/>
            <w:rPr>
              <w:rFonts w:eastAsiaTheme="minorEastAsia"/>
              <w:szCs w:val="22"/>
              <w:lang w:eastAsia="en-AU"/>
            </w:rPr>
          </w:pPr>
          <w:hyperlink w:anchor="_Toc47951260" w:history="1">
            <w:r w:rsidR="00774286" w:rsidRPr="000C5235">
              <w:rPr>
                <w:rStyle w:val="Hyperlink"/>
                <w:spacing w:val="-6"/>
              </w:rPr>
              <w:t>11.9</w:t>
            </w:r>
            <w:r w:rsidR="00774286" w:rsidRPr="000C5235">
              <w:rPr>
                <w:rFonts w:eastAsiaTheme="minorEastAsia"/>
                <w:szCs w:val="22"/>
                <w:lang w:eastAsia="en-AU"/>
              </w:rPr>
              <w:tab/>
            </w:r>
            <w:r w:rsidR="00774286" w:rsidRPr="000C5235">
              <w:rPr>
                <w:rStyle w:val="Hyperlink"/>
                <w:rFonts w:eastAsia="Times New Roman"/>
              </w:rPr>
              <w:t>Administered financial statements (Tables 3.7 to 3.11)</w:t>
            </w:r>
            <w:r w:rsidR="00774286" w:rsidRPr="000C5235">
              <w:rPr>
                <w:webHidden/>
              </w:rPr>
              <w:tab/>
            </w:r>
            <w:r w:rsidR="00774286" w:rsidRPr="000C5235">
              <w:rPr>
                <w:webHidden/>
              </w:rPr>
              <w:fldChar w:fldCharType="begin"/>
            </w:r>
            <w:r w:rsidR="00774286" w:rsidRPr="000C5235">
              <w:rPr>
                <w:webHidden/>
              </w:rPr>
              <w:instrText xml:space="preserve"> PAGEREF _Toc47951260 \h </w:instrText>
            </w:r>
            <w:r w:rsidR="00774286" w:rsidRPr="000C5235">
              <w:rPr>
                <w:webHidden/>
              </w:rPr>
            </w:r>
            <w:r w:rsidR="00774286" w:rsidRPr="000C5235">
              <w:rPr>
                <w:webHidden/>
              </w:rPr>
              <w:fldChar w:fldCharType="separate"/>
            </w:r>
            <w:r w:rsidR="00774286" w:rsidRPr="000C5235">
              <w:rPr>
                <w:webHidden/>
              </w:rPr>
              <w:t>64</w:t>
            </w:r>
            <w:r w:rsidR="00774286" w:rsidRPr="000C5235">
              <w:rPr>
                <w:webHidden/>
              </w:rPr>
              <w:fldChar w:fldCharType="end"/>
            </w:r>
          </w:hyperlink>
        </w:p>
        <w:p w14:paraId="488320BE" w14:textId="26BF9E29" w:rsidR="00774286" w:rsidRPr="000C5235" w:rsidRDefault="00A774B1">
          <w:pPr>
            <w:pStyle w:val="TOC1"/>
            <w:rPr>
              <w:rFonts w:eastAsiaTheme="minorEastAsia"/>
              <w:b w:val="0"/>
              <w:sz w:val="22"/>
              <w:szCs w:val="22"/>
              <w:lang w:eastAsia="en-AU"/>
            </w:rPr>
          </w:pPr>
          <w:hyperlink w:anchor="_Toc47951261" w:history="1">
            <w:r w:rsidR="00774286" w:rsidRPr="000C5235">
              <w:rPr>
                <w:rStyle w:val="Hyperlink"/>
              </w:rPr>
              <w:t>12.</w:t>
            </w:r>
            <w:r w:rsidR="00774286" w:rsidRPr="000C5235">
              <w:rPr>
                <w:rFonts w:eastAsiaTheme="minorEastAsia"/>
                <w:b w:val="0"/>
                <w:sz w:val="22"/>
                <w:szCs w:val="22"/>
                <w:lang w:eastAsia="en-AU"/>
              </w:rPr>
              <w:tab/>
            </w:r>
            <w:r w:rsidR="00774286" w:rsidRPr="000C5235">
              <w:rPr>
                <w:rStyle w:val="Hyperlink"/>
                <w:rFonts w:eastAsia="Times New Roman"/>
              </w:rPr>
              <w:t>Related issues</w:t>
            </w:r>
            <w:r w:rsidR="00774286" w:rsidRPr="000C5235">
              <w:rPr>
                <w:webHidden/>
              </w:rPr>
              <w:tab/>
            </w:r>
            <w:r w:rsidR="00774286" w:rsidRPr="000C5235">
              <w:rPr>
                <w:webHidden/>
              </w:rPr>
              <w:fldChar w:fldCharType="begin"/>
            </w:r>
            <w:r w:rsidR="00774286" w:rsidRPr="000C5235">
              <w:rPr>
                <w:webHidden/>
              </w:rPr>
              <w:instrText xml:space="preserve"> PAGEREF _Toc47951261 \h </w:instrText>
            </w:r>
            <w:r w:rsidR="00774286" w:rsidRPr="000C5235">
              <w:rPr>
                <w:webHidden/>
              </w:rPr>
            </w:r>
            <w:r w:rsidR="00774286" w:rsidRPr="000C5235">
              <w:rPr>
                <w:webHidden/>
              </w:rPr>
              <w:fldChar w:fldCharType="separate"/>
            </w:r>
            <w:r w:rsidR="00774286" w:rsidRPr="000C5235">
              <w:rPr>
                <w:webHidden/>
              </w:rPr>
              <w:t>65</w:t>
            </w:r>
            <w:r w:rsidR="00774286" w:rsidRPr="000C5235">
              <w:rPr>
                <w:webHidden/>
              </w:rPr>
              <w:fldChar w:fldCharType="end"/>
            </w:r>
          </w:hyperlink>
        </w:p>
        <w:p w14:paraId="698BE393" w14:textId="3A914421" w:rsidR="00774286" w:rsidRPr="000C5235" w:rsidRDefault="00A774B1">
          <w:pPr>
            <w:pStyle w:val="TOC2"/>
            <w:rPr>
              <w:rFonts w:eastAsiaTheme="minorEastAsia"/>
              <w:szCs w:val="22"/>
              <w:lang w:eastAsia="en-AU"/>
            </w:rPr>
          </w:pPr>
          <w:hyperlink w:anchor="_Toc47951262" w:history="1">
            <w:r w:rsidR="00774286" w:rsidRPr="000C5235">
              <w:rPr>
                <w:rStyle w:val="Hyperlink"/>
              </w:rPr>
              <w:t>12.1</w:t>
            </w:r>
            <w:r w:rsidR="00774286" w:rsidRPr="000C5235">
              <w:rPr>
                <w:rFonts w:eastAsiaTheme="minorEastAsia"/>
                <w:szCs w:val="22"/>
                <w:lang w:eastAsia="en-AU"/>
              </w:rPr>
              <w:tab/>
            </w:r>
            <w:r w:rsidR="00774286" w:rsidRPr="000C5235">
              <w:rPr>
                <w:rStyle w:val="Hyperlink"/>
              </w:rPr>
              <w:t>Machinery of Government changes</w:t>
            </w:r>
            <w:r w:rsidR="00774286" w:rsidRPr="000C5235">
              <w:rPr>
                <w:webHidden/>
              </w:rPr>
              <w:tab/>
            </w:r>
            <w:r w:rsidR="00774286" w:rsidRPr="000C5235">
              <w:rPr>
                <w:webHidden/>
              </w:rPr>
              <w:fldChar w:fldCharType="begin"/>
            </w:r>
            <w:r w:rsidR="00774286" w:rsidRPr="000C5235">
              <w:rPr>
                <w:webHidden/>
              </w:rPr>
              <w:instrText xml:space="preserve"> PAGEREF _Toc47951262 \h </w:instrText>
            </w:r>
            <w:r w:rsidR="00774286" w:rsidRPr="000C5235">
              <w:rPr>
                <w:webHidden/>
              </w:rPr>
            </w:r>
            <w:r w:rsidR="00774286" w:rsidRPr="000C5235">
              <w:rPr>
                <w:webHidden/>
              </w:rPr>
              <w:fldChar w:fldCharType="separate"/>
            </w:r>
            <w:r w:rsidR="00774286" w:rsidRPr="000C5235">
              <w:rPr>
                <w:webHidden/>
              </w:rPr>
              <w:t>65</w:t>
            </w:r>
            <w:r w:rsidR="00774286" w:rsidRPr="000C5235">
              <w:rPr>
                <w:webHidden/>
              </w:rPr>
              <w:fldChar w:fldCharType="end"/>
            </w:r>
          </w:hyperlink>
        </w:p>
        <w:p w14:paraId="36A67457" w14:textId="2E461717" w:rsidR="00774286" w:rsidRPr="000C5235" w:rsidRDefault="00A774B1">
          <w:pPr>
            <w:pStyle w:val="TOC3"/>
            <w:rPr>
              <w:rFonts w:eastAsiaTheme="minorEastAsia"/>
              <w:szCs w:val="22"/>
              <w:lang w:eastAsia="en-AU"/>
            </w:rPr>
          </w:pPr>
          <w:hyperlink w:anchor="_Toc47951263" w:history="1">
            <w:r w:rsidR="00774286" w:rsidRPr="000C5235">
              <w:rPr>
                <w:rStyle w:val="Hyperlink"/>
              </w:rPr>
              <w:t>12.1.1</w:t>
            </w:r>
            <w:r w:rsidR="00774286" w:rsidRPr="000C5235">
              <w:rPr>
                <w:rFonts w:eastAsiaTheme="minorEastAsia"/>
                <w:szCs w:val="22"/>
                <w:lang w:eastAsia="en-AU"/>
              </w:rPr>
              <w:tab/>
            </w:r>
            <w:r w:rsidR="00774286" w:rsidRPr="000C5235">
              <w:rPr>
                <w:rStyle w:val="Hyperlink"/>
              </w:rPr>
              <w:t>Entity resource statement (Table 1.1)</w:t>
            </w:r>
            <w:r w:rsidR="00774286" w:rsidRPr="000C5235">
              <w:rPr>
                <w:webHidden/>
              </w:rPr>
              <w:tab/>
            </w:r>
            <w:r w:rsidR="00774286" w:rsidRPr="000C5235">
              <w:rPr>
                <w:webHidden/>
              </w:rPr>
              <w:fldChar w:fldCharType="begin"/>
            </w:r>
            <w:r w:rsidR="00774286" w:rsidRPr="000C5235">
              <w:rPr>
                <w:webHidden/>
              </w:rPr>
              <w:instrText xml:space="preserve"> PAGEREF _Toc47951263 \h </w:instrText>
            </w:r>
            <w:r w:rsidR="00774286" w:rsidRPr="000C5235">
              <w:rPr>
                <w:webHidden/>
              </w:rPr>
            </w:r>
            <w:r w:rsidR="00774286" w:rsidRPr="000C5235">
              <w:rPr>
                <w:webHidden/>
              </w:rPr>
              <w:fldChar w:fldCharType="separate"/>
            </w:r>
            <w:r w:rsidR="00774286" w:rsidRPr="000C5235">
              <w:rPr>
                <w:webHidden/>
              </w:rPr>
              <w:t>65</w:t>
            </w:r>
            <w:r w:rsidR="00774286" w:rsidRPr="000C5235">
              <w:rPr>
                <w:webHidden/>
              </w:rPr>
              <w:fldChar w:fldCharType="end"/>
            </w:r>
          </w:hyperlink>
        </w:p>
        <w:p w14:paraId="2ACA03B3" w14:textId="13839745" w:rsidR="00774286" w:rsidRPr="000C5235" w:rsidRDefault="00A774B1">
          <w:pPr>
            <w:pStyle w:val="TOC3"/>
            <w:rPr>
              <w:rFonts w:eastAsiaTheme="minorEastAsia"/>
              <w:szCs w:val="22"/>
              <w:lang w:eastAsia="en-AU"/>
            </w:rPr>
          </w:pPr>
          <w:hyperlink w:anchor="_Toc47951264" w:history="1">
            <w:r w:rsidR="00774286" w:rsidRPr="000C5235">
              <w:rPr>
                <w:rStyle w:val="Hyperlink"/>
              </w:rPr>
              <w:t>12.1.2</w:t>
            </w:r>
            <w:r w:rsidR="00774286" w:rsidRPr="000C5235">
              <w:rPr>
                <w:rFonts w:eastAsiaTheme="minorEastAsia"/>
                <w:szCs w:val="22"/>
                <w:lang w:eastAsia="en-AU"/>
              </w:rPr>
              <w:tab/>
            </w:r>
            <w:r w:rsidR="00774286" w:rsidRPr="000C5235">
              <w:rPr>
                <w:rStyle w:val="Hyperlink"/>
              </w:rPr>
              <w:t>Outcome information</w:t>
            </w:r>
            <w:r w:rsidR="00774286" w:rsidRPr="000C5235">
              <w:rPr>
                <w:webHidden/>
              </w:rPr>
              <w:tab/>
            </w:r>
            <w:r w:rsidR="00774286" w:rsidRPr="000C5235">
              <w:rPr>
                <w:webHidden/>
              </w:rPr>
              <w:fldChar w:fldCharType="begin"/>
            </w:r>
            <w:r w:rsidR="00774286" w:rsidRPr="000C5235">
              <w:rPr>
                <w:webHidden/>
              </w:rPr>
              <w:instrText xml:space="preserve"> PAGEREF _Toc47951264 \h </w:instrText>
            </w:r>
            <w:r w:rsidR="00774286" w:rsidRPr="000C5235">
              <w:rPr>
                <w:webHidden/>
              </w:rPr>
            </w:r>
            <w:r w:rsidR="00774286" w:rsidRPr="000C5235">
              <w:rPr>
                <w:webHidden/>
              </w:rPr>
              <w:fldChar w:fldCharType="separate"/>
            </w:r>
            <w:r w:rsidR="00774286" w:rsidRPr="000C5235">
              <w:rPr>
                <w:webHidden/>
              </w:rPr>
              <w:t>66</w:t>
            </w:r>
            <w:r w:rsidR="00774286" w:rsidRPr="000C5235">
              <w:rPr>
                <w:webHidden/>
              </w:rPr>
              <w:fldChar w:fldCharType="end"/>
            </w:r>
          </w:hyperlink>
        </w:p>
        <w:p w14:paraId="22FCB88E" w14:textId="3B938514" w:rsidR="00774286" w:rsidRPr="000C5235" w:rsidRDefault="00A774B1">
          <w:pPr>
            <w:pStyle w:val="TOC3"/>
            <w:rPr>
              <w:rFonts w:eastAsiaTheme="minorEastAsia"/>
              <w:szCs w:val="22"/>
              <w:lang w:eastAsia="en-AU"/>
            </w:rPr>
          </w:pPr>
          <w:hyperlink w:anchor="_Toc47951265" w:history="1">
            <w:r w:rsidR="00774286" w:rsidRPr="000C5235">
              <w:rPr>
                <w:rStyle w:val="Hyperlink"/>
              </w:rPr>
              <w:t>12.1.3</w:t>
            </w:r>
            <w:r w:rsidR="00774286" w:rsidRPr="000C5235">
              <w:rPr>
                <w:rFonts w:eastAsiaTheme="minorEastAsia"/>
                <w:szCs w:val="22"/>
                <w:lang w:eastAsia="en-AU"/>
              </w:rPr>
              <w:tab/>
            </w:r>
            <w:r w:rsidR="00774286" w:rsidRPr="000C5235">
              <w:rPr>
                <w:rStyle w:val="Hyperlink"/>
              </w:rPr>
              <w:t>Budgeted financial statements</w:t>
            </w:r>
            <w:r w:rsidR="00774286" w:rsidRPr="000C5235">
              <w:rPr>
                <w:webHidden/>
              </w:rPr>
              <w:tab/>
            </w:r>
            <w:r w:rsidR="00774286" w:rsidRPr="000C5235">
              <w:rPr>
                <w:webHidden/>
              </w:rPr>
              <w:fldChar w:fldCharType="begin"/>
            </w:r>
            <w:r w:rsidR="00774286" w:rsidRPr="000C5235">
              <w:rPr>
                <w:webHidden/>
              </w:rPr>
              <w:instrText xml:space="preserve"> PAGEREF _Toc47951265 \h </w:instrText>
            </w:r>
            <w:r w:rsidR="00774286" w:rsidRPr="000C5235">
              <w:rPr>
                <w:webHidden/>
              </w:rPr>
            </w:r>
            <w:r w:rsidR="00774286" w:rsidRPr="000C5235">
              <w:rPr>
                <w:webHidden/>
              </w:rPr>
              <w:fldChar w:fldCharType="separate"/>
            </w:r>
            <w:r w:rsidR="00774286" w:rsidRPr="000C5235">
              <w:rPr>
                <w:webHidden/>
              </w:rPr>
              <w:t>66</w:t>
            </w:r>
            <w:r w:rsidR="00774286" w:rsidRPr="000C5235">
              <w:rPr>
                <w:webHidden/>
              </w:rPr>
              <w:fldChar w:fldCharType="end"/>
            </w:r>
          </w:hyperlink>
        </w:p>
        <w:p w14:paraId="5440E0D9" w14:textId="0FC52574" w:rsidR="00774286" w:rsidRPr="000C5235" w:rsidRDefault="00A774B1">
          <w:pPr>
            <w:pStyle w:val="TOC3"/>
            <w:rPr>
              <w:rFonts w:eastAsiaTheme="minorEastAsia"/>
              <w:szCs w:val="22"/>
              <w:lang w:eastAsia="en-AU"/>
            </w:rPr>
          </w:pPr>
          <w:hyperlink w:anchor="_Toc47951266" w:history="1">
            <w:r w:rsidR="00774286" w:rsidRPr="000C5235">
              <w:rPr>
                <w:rStyle w:val="Hyperlink"/>
              </w:rPr>
              <w:t>12.1.4</w:t>
            </w:r>
            <w:r w:rsidR="00774286" w:rsidRPr="000C5235">
              <w:rPr>
                <w:rFonts w:eastAsiaTheme="minorEastAsia"/>
                <w:szCs w:val="22"/>
                <w:lang w:eastAsia="en-AU"/>
              </w:rPr>
              <w:tab/>
            </w:r>
            <w:r w:rsidR="00774286" w:rsidRPr="000C5235">
              <w:rPr>
                <w:rStyle w:val="Hyperlink"/>
              </w:rPr>
              <w:t>Other important information</w:t>
            </w:r>
            <w:r w:rsidR="00774286" w:rsidRPr="000C5235">
              <w:rPr>
                <w:webHidden/>
              </w:rPr>
              <w:tab/>
            </w:r>
            <w:r w:rsidR="00774286" w:rsidRPr="000C5235">
              <w:rPr>
                <w:webHidden/>
              </w:rPr>
              <w:fldChar w:fldCharType="begin"/>
            </w:r>
            <w:r w:rsidR="00774286" w:rsidRPr="000C5235">
              <w:rPr>
                <w:webHidden/>
              </w:rPr>
              <w:instrText xml:space="preserve"> PAGEREF _Toc47951266 \h </w:instrText>
            </w:r>
            <w:r w:rsidR="00774286" w:rsidRPr="000C5235">
              <w:rPr>
                <w:webHidden/>
              </w:rPr>
            </w:r>
            <w:r w:rsidR="00774286" w:rsidRPr="000C5235">
              <w:rPr>
                <w:webHidden/>
              </w:rPr>
              <w:fldChar w:fldCharType="separate"/>
            </w:r>
            <w:r w:rsidR="00774286" w:rsidRPr="000C5235">
              <w:rPr>
                <w:webHidden/>
              </w:rPr>
              <w:t>66</w:t>
            </w:r>
            <w:r w:rsidR="00774286" w:rsidRPr="000C5235">
              <w:rPr>
                <w:webHidden/>
              </w:rPr>
              <w:fldChar w:fldCharType="end"/>
            </w:r>
          </w:hyperlink>
        </w:p>
        <w:p w14:paraId="57FEC6B0" w14:textId="6F8D5208" w:rsidR="00774286" w:rsidRPr="000C5235" w:rsidRDefault="00A774B1">
          <w:pPr>
            <w:pStyle w:val="TOC1"/>
            <w:rPr>
              <w:rFonts w:eastAsiaTheme="minorEastAsia"/>
              <w:b w:val="0"/>
              <w:sz w:val="22"/>
              <w:szCs w:val="22"/>
              <w:lang w:eastAsia="en-AU"/>
            </w:rPr>
          </w:pPr>
          <w:hyperlink w:anchor="_Toc47951267" w:history="1">
            <w:r w:rsidR="00774286" w:rsidRPr="000C5235">
              <w:rPr>
                <w:rStyle w:val="Hyperlink"/>
              </w:rPr>
              <w:t>13.</w:t>
            </w:r>
            <w:r w:rsidR="00774286" w:rsidRPr="000C5235">
              <w:rPr>
                <w:rFonts w:eastAsiaTheme="minorEastAsia"/>
                <w:b w:val="0"/>
                <w:sz w:val="22"/>
                <w:szCs w:val="22"/>
                <w:lang w:eastAsia="en-AU"/>
              </w:rPr>
              <w:tab/>
            </w:r>
            <w:r w:rsidR="00774286" w:rsidRPr="000C5235">
              <w:rPr>
                <w:rStyle w:val="Hyperlink"/>
              </w:rPr>
              <w:t>Working with the templates</w:t>
            </w:r>
            <w:r w:rsidR="00774286" w:rsidRPr="000C5235">
              <w:rPr>
                <w:webHidden/>
              </w:rPr>
              <w:tab/>
            </w:r>
            <w:r w:rsidR="00774286" w:rsidRPr="000C5235">
              <w:rPr>
                <w:webHidden/>
              </w:rPr>
              <w:fldChar w:fldCharType="begin"/>
            </w:r>
            <w:r w:rsidR="00774286" w:rsidRPr="000C5235">
              <w:rPr>
                <w:webHidden/>
              </w:rPr>
              <w:instrText xml:space="preserve"> PAGEREF _Toc47951267 \h </w:instrText>
            </w:r>
            <w:r w:rsidR="00774286" w:rsidRPr="000C5235">
              <w:rPr>
                <w:webHidden/>
              </w:rPr>
            </w:r>
            <w:r w:rsidR="00774286" w:rsidRPr="000C5235">
              <w:rPr>
                <w:webHidden/>
              </w:rPr>
              <w:fldChar w:fldCharType="separate"/>
            </w:r>
            <w:r w:rsidR="00774286" w:rsidRPr="000C5235">
              <w:rPr>
                <w:webHidden/>
              </w:rPr>
              <w:t>67</w:t>
            </w:r>
            <w:r w:rsidR="00774286" w:rsidRPr="000C5235">
              <w:rPr>
                <w:webHidden/>
              </w:rPr>
              <w:fldChar w:fldCharType="end"/>
            </w:r>
          </w:hyperlink>
        </w:p>
        <w:p w14:paraId="64193051" w14:textId="4590BA5F" w:rsidR="00774286" w:rsidRPr="000C5235" w:rsidRDefault="00A774B1">
          <w:pPr>
            <w:pStyle w:val="TOC2"/>
            <w:rPr>
              <w:rFonts w:eastAsiaTheme="minorEastAsia"/>
              <w:szCs w:val="22"/>
              <w:lang w:eastAsia="en-AU"/>
            </w:rPr>
          </w:pPr>
          <w:hyperlink w:anchor="_Toc47951268" w:history="1">
            <w:r w:rsidR="00774286" w:rsidRPr="000C5235">
              <w:rPr>
                <w:rStyle w:val="Hyperlink"/>
              </w:rPr>
              <w:t>13.1</w:t>
            </w:r>
            <w:r w:rsidR="00774286" w:rsidRPr="000C5235">
              <w:rPr>
                <w:rFonts w:eastAsiaTheme="minorEastAsia"/>
                <w:szCs w:val="22"/>
                <w:lang w:eastAsia="en-AU"/>
              </w:rPr>
              <w:tab/>
            </w:r>
            <w:r w:rsidR="00774286" w:rsidRPr="000C5235">
              <w:rPr>
                <w:rStyle w:val="Hyperlink"/>
              </w:rPr>
              <w:t>Saving the files</w:t>
            </w:r>
            <w:r w:rsidR="00774286" w:rsidRPr="000C5235">
              <w:rPr>
                <w:webHidden/>
              </w:rPr>
              <w:tab/>
            </w:r>
            <w:r w:rsidR="00774286" w:rsidRPr="000C5235">
              <w:rPr>
                <w:webHidden/>
              </w:rPr>
              <w:fldChar w:fldCharType="begin"/>
            </w:r>
            <w:r w:rsidR="00774286" w:rsidRPr="000C5235">
              <w:rPr>
                <w:webHidden/>
              </w:rPr>
              <w:instrText xml:space="preserve"> PAGEREF _Toc47951268 \h </w:instrText>
            </w:r>
            <w:r w:rsidR="00774286" w:rsidRPr="000C5235">
              <w:rPr>
                <w:webHidden/>
              </w:rPr>
            </w:r>
            <w:r w:rsidR="00774286" w:rsidRPr="000C5235">
              <w:rPr>
                <w:webHidden/>
              </w:rPr>
              <w:fldChar w:fldCharType="separate"/>
            </w:r>
            <w:r w:rsidR="00774286" w:rsidRPr="000C5235">
              <w:rPr>
                <w:webHidden/>
              </w:rPr>
              <w:t>67</w:t>
            </w:r>
            <w:r w:rsidR="00774286" w:rsidRPr="000C5235">
              <w:rPr>
                <w:webHidden/>
              </w:rPr>
              <w:fldChar w:fldCharType="end"/>
            </w:r>
          </w:hyperlink>
        </w:p>
        <w:p w14:paraId="355F8039" w14:textId="5799D5EB" w:rsidR="00774286" w:rsidRPr="000C5235" w:rsidRDefault="00A774B1">
          <w:pPr>
            <w:pStyle w:val="TOC2"/>
            <w:rPr>
              <w:rFonts w:eastAsiaTheme="minorEastAsia"/>
              <w:szCs w:val="22"/>
              <w:lang w:eastAsia="en-AU"/>
            </w:rPr>
          </w:pPr>
          <w:hyperlink w:anchor="_Toc47951269" w:history="1">
            <w:r w:rsidR="00774286" w:rsidRPr="000C5235">
              <w:rPr>
                <w:rStyle w:val="Hyperlink"/>
              </w:rPr>
              <w:t>13.2</w:t>
            </w:r>
            <w:r w:rsidR="00774286" w:rsidRPr="000C5235">
              <w:rPr>
                <w:rFonts w:eastAsiaTheme="minorEastAsia"/>
                <w:szCs w:val="22"/>
                <w:lang w:eastAsia="en-AU"/>
              </w:rPr>
              <w:tab/>
            </w:r>
            <w:r w:rsidR="00774286" w:rsidRPr="000C5235">
              <w:rPr>
                <w:rStyle w:val="Hyperlink"/>
              </w:rPr>
              <w:t>Excel table specifications</w:t>
            </w:r>
            <w:r w:rsidR="00774286" w:rsidRPr="000C5235">
              <w:rPr>
                <w:webHidden/>
              </w:rPr>
              <w:tab/>
            </w:r>
            <w:r w:rsidR="00774286" w:rsidRPr="000C5235">
              <w:rPr>
                <w:webHidden/>
              </w:rPr>
              <w:fldChar w:fldCharType="begin"/>
            </w:r>
            <w:r w:rsidR="00774286" w:rsidRPr="000C5235">
              <w:rPr>
                <w:webHidden/>
              </w:rPr>
              <w:instrText xml:space="preserve"> PAGEREF _Toc47951269 \h </w:instrText>
            </w:r>
            <w:r w:rsidR="00774286" w:rsidRPr="000C5235">
              <w:rPr>
                <w:webHidden/>
              </w:rPr>
            </w:r>
            <w:r w:rsidR="00774286" w:rsidRPr="000C5235">
              <w:rPr>
                <w:webHidden/>
              </w:rPr>
              <w:fldChar w:fldCharType="separate"/>
            </w:r>
            <w:r w:rsidR="00774286" w:rsidRPr="000C5235">
              <w:rPr>
                <w:webHidden/>
              </w:rPr>
              <w:t>67</w:t>
            </w:r>
            <w:r w:rsidR="00774286" w:rsidRPr="000C5235">
              <w:rPr>
                <w:webHidden/>
              </w:rPr>
              <w:fldChar w:fldCharType="end"/>
            </w:r>
          </w:hyperlink>
        </w:p>
        <w:p w14:paraId="2BC6DAA8" w14:textId="510542CB" w:rsidR="00774286" w:rsidRPr="000C5235" w:rsidRDefault="00A774B1">
          <w:pPr>
            <w:pStyle w:val="TOC3"/>
            <w:rPr>
              <w:rFonts w:eastAsiaTheme="minorEastAsia"/>
              <w:szCs w:val="22"/>
              <w:lang w:eastAsia="en-AU"/>
            </w:rPr>
          </w:pPr>
          <w:hyperlink w:anchor="_Toc47951270" w:history="1">
            <w:r w:rsidR="00774286" w:rsidRPr="000C5235">
              <w:rPr>
                <w:rStyle w:val="Hyperlink"/>
              </w:rPr>
              <w:t>13.2.1</w:t>
            </w:r>
            <w:r w:rsidR="00774286" w:rsidRPr="000C5235">
              <w:rPr>
                <w:rFonts w:eastAsiaTheme="minorEastAsia"/>
                <w:szCs w:val="22"/>
                <w:lang w:eastAsia="en-AU"/>
              </w:rPr>
              <w:tab/>
            </w:r>
            <w:r w:rsidR="00774286" w:rsidRPr="000C5235">
              <w:rPr>
                <w:rStyle w:val="Hyperlink"/>
              </w:rPr>
              <w:t>Formatting an existing table to budget standards</w:t>
            </w:r>
            <w:r w:rsidR="00774286" w:rsidRPr="000C5235">
              <w:rPr>
                <w:webHidden/>
              </w:rPr>
              <w:tab/>
            </w:r>
            <w:r w:rsidR="00774286" w:rsidRPr="000C5235">
              <w:rPr>
                <w:webHidden/>
              </w:rPr>
              <w:fldChar w:fldCharType="begin"/>
            </w:r>
            <w:r w:rsidR="00774286" w:rsidRPr="000C5235">
              <w:rPr>
                <w:webHidden/>
              </w:rPr>
              <w:instrText xml:space="preserve"> PAGEREF _Toc47951270 \h </w:instrText>
            </w:r>
            <w:r w:rsidR="00774286" w:rsidRPr="000C5235">
              <w:rPr>
                <w:webHidden/>
              </w:rPr>
            </w:r>
            <w:r w:rsidR="00774286" w:rsidRPr="000C5235">
              <w:rPr>
                <w:webHidden/>
              </w:rPr>
              <w:fldChar w:fldCharType="separate"/>
            </w:r>
            <w:r w:rsidR="00774286" w:rsidRPr="000C5235">
              <w:rPr>
                <w:webHidden/>
              </w:rPr>
              <w:t>68</w:t>
            </w:r>
            <w:r w:rsidR="00774286" w:rsidRPr="000C5235">
              <w:rPr>
                <w:webHidden/>
              </w:rPr>
              <w:fldChar w:fldCharType="end"/>
            </w:r>
          </w:hyperlink>
        </w:p>
        <w:p w14:paraId="06BF319B" w14:textId="4C7A04D0" w:rsidR="00774286" w:rsidRPr="000C5235" w:rsidRDefault="00A774B1">
          <w:pPr>
            <w:pStyle w:val="TOC3"/>
            <w:rPr>
              <w:rFonts w:eastAsiaTheme="minorEastAsia"/>
              <w:szCs w:val="22"/>
              <w:lang w:eastAsia="en-AU"/>
            </w:rPr>
          </w:pPr>
          <w:hyperlink w:anchor="_Toc47951271" w:history="1">
            <w:r w:rsidR="00774286" w:rsidRPr="000C5235">
              <w:rPr>
                <w:rStyle w:val="Hyperlink"/>
              </w:rPr>
              <w:t>13.2.2</w:t>
            </w:r>
            <w:r w:rsidR="00774286" w:rsidRPr="000C5235">
              <w:rPr>
                <w:rFonts w:eastAsiaTheme="minorEastAsia"/>
                <w:szCs w:val="22"/>
                <w:lang w:eastAsia="en-AU"/>
              </w:rPr>
              <w:tab/>
            </w:r>
            <w:r w:rsidR="00774286" w:rsidRPr="000C5235">
              <w:rPr>
                <w:rStyle w:val="Hyperlink"/>
              </w:rPr>
              <w:t>Setting font and text alignment</w:t>
            </w:r>
            <w:r w:rsidR="00774286" w:rsidRPr="000C5235">
              <w:rPr>
                <w:webHidden/>
              </w:rPr>
              <w:tab/>
            </w:r>
            <w:r w:rsidR="00774286" w:rsidRPr="000C5235">
              <w:rPr>
                <w:webHidden/>
              </w:rPr>
              <w:fldChar w:fldCharType="begin"/>
            </w:r>
            <w:r w:rsidR="00774286" w:rsidRPr="000C5235">
              <w:rPr>
                <w:webHidden/>
              </w:rPr>
              <w:instrText xml:space="preserve"> PAGEREF _Toc47951271 \h </w:instrText>
            </w:r>
            <w:r w:rsidR="00774286" w:rsidRPr="000C5235">
              <w:rPr>
                <w:webHidden/>
              </w:rPr>
            </w:r>
            <w:r w:rsidR="00774286" w:rsidRPr="000C5235">
              <w:rPr>
                <w:webHidden/>
              </w:rPr>
              <w:fldChar w:fldCharType="separate"/>
            </w:r>
            <w:r w:rsidR="00774286" w:rsidRPr="000C5235">
              <w:rPr>
                <w:webHidden/>
              </w:rPr>
              <w:t>68</w:t>
            </w:r>
            <w:r w:rsidR="00774286" w:rsidRPr="000C5235">
              <w:rPr>
                <w:webHidden/>
              </w:rPr>
              <w:fldChar w:fldCharType="end"/>
            </w:r>
          </w:hyperlink>
        </w:p>
        <w:p w14:paraId="6FDEC13A" w14:textId="094F5B3F" w:rsidR="00774286" w:rsidRPr="000C5235" w:rsidRDefault="00A774B1">
          <w:pPr>
            <w:pStyle w:val="TOC3"/>
            <w:rPr>
              <w:rFonts w:eastAsiaTheme="minorEastAsia"/>
              <w:szCs w:val="22"/>
              <w:lang w:eastAsia="en-AU"/>
            </w:rPr>
          </w:pPr>
          <w:hyperlink w:anchor="_Toc47951272" w:history="1">
            <w:r w:rsidR="00774286" w:rsidRPr="000C5235">
              <w:rPr>
                <w:rStyle w:val="Hyperlink"/>
              </w:rPr>
              <w:t>13.2.3</w:t>
            </w:r>
            <w:r w:rsidR="00774286" w:rsidRPr="000C5235">
              <w:rPr>
                <w:rFonts w:eastAsiaTheme="minorEastAsia"/>
                <w:szCs w:val="22"/>
                <w:lang w:eastAsia="en-AU"/>
              </w:rPr>
              <w:tab/>
            </w:r>
            <w:r w:rsidR="00774286" w:rsidRPr="000C5235">
              <w:rPr>
                <w:rStyle w:val="Hyperlink"/>
              </w:rPr>
              <w:t>Row height</w:t>
            </w:r>
            <w:r w:rsidR="00774286" w:rsidRPr="000C5235">
              <w:rPr>
                <w:webHidden/>
              </w:rPr>
              <w:tab/>
            </w:r>
            <w:r w:rsidR="00774286" w:rsidRPr="000C5235">
              <w:rPr>
                <w:webHidden/>
              </w:rPr>
              <w:fldChar w:fldCharType="begin"/>
            </w:r>
            <w:r w:rsidR="00774286" w:rsidRPr="000C5235">
              <w:rPr>
                <w:webHidden/>
              </w:rPr>
              <w:instrText xml:space="preserve"> PAGEREF _Toc47951272 \h </w:instrText>
            </w:r>
            <w:r w:rsidR="00774286" w:rsidRPr="000C5235">
              <w:rPr>
                <w:webHidden/>
              </w:rPr>
            </w:r>
            <w:r w:rsidR="00774286" w:rsidRPr="000C5235">
              <w:rPr>
                <w:webHidden/>
              </w:rPr>
              <w:fldChar w:fldCharType="separate"/>
            </w:r>
            <w:r w:rsidR="00774286" w:rsidRPr="000C5235">
              <w:rPr>
                <w:webHidden/>
              </w:rPr>
              <w:t>69</w:t>
            </w:r>
            <w:r w:rsidR="00774286" w:rsidRPr="000C5235">
              <w:rPr>
                <w:webHidden/>
              </w:rPr>
              <w:fldChar w:fldCharType="end"/>
            </w:r>
          </w:hyperlink>
        </w:p>
        <w:p w14:paraId="4FA7B792" w14:textId="66558FF2" w:rsidR="00774286" w:rsidRPr="000C5235" w:rsidRDefault="00A774B1">
          <w:pPr>
            <w:pStyle w:val="TOC3"/>
            <w:rPr>
              <w:rFonts w:eastAsiaTheme="minorEastAsia"/>
              <w:szCs w:val="22"/>
              <w:lang w:eastAsia="en-AU"/>
            </w:rPr>
          </w:pPr>
          <w:hyperlink w:anchor="_Toc47951273" w:history="1">
            <w:r w:rsidR="00774286" w:rsidRPr="000C5235">
              <w:rPr>
                <w:rStyle w:val="Hyperlink"/>
              </w:rPr>
              <w:t>13.2.4</w:t>
            </w:r>
            <w:r w:rsidR="00774286" w:rsidRPr="000C5235">
              <w:rPr>
                <w:rFonts w:eastAsiaTheme="minorEastAsia"/>
                <w:szCs w:val="22"/>
                <w:lang w:eastAsia="en-AU"/>
              </w:rPr>
              <w:tab/>
            </w:r>
            <w:r w:rsidR="00774286" w:rsidRPr="000C5235">
              <w:rPr>
                <w:rStyle w:val="Hyperlink"/>
              </w:rPr>
              <w:t>Table borders</w:t>
            </w:r>
            <w:r w:rsidR="00774286" w:rsidRPr="000C5235">
              <w:rPr>
                <w:webHidden/>
              </w:rPr>
              <w:tab/>
            </w:r>
            <w:r w:rsidR="00774286" w:rsidRPr="000C5235">
              <w:rPr>
                <w:webHidden/>
              </w:rPr>
              <w:fldChar w:fldCharType="begin"/>
            </w:r>
            <w:r w:rsidR="00774286" w:rsidRPr="000C5235">
              <w:rPr>
                <w:webHidden/>
              </w:rPr>
              <w:instrText xml:space="preserve"> PAGEREF _Toc47951273 \h </w:instrText>
            </w:r>
            <w:r w:rsidR="00774286" w:rsidRPr="000C5235">
              <w:rPr>
                <w:webHidden/>
              </w:rPr>
            </w:r>
            <w:r w:rsidR="00774286" w:rsidRPr="000C5235">
              <w:rPr>
                <w:webHidden/>
              </w:rPr>
              <w:fldChar w:fldCharType="separate"/>
            </w:r>
            <w:r w:rsidR="00774286" w:rsidRPr="000C5235">
              <w:rPr>
                <w:webHidden/>
              </w:rPr>
              <w:t>69</w:t>
            </w:r>
            <w:r w:rsidR="00774286" w:rsidRPr="000C5235">
              <w:rPr>
                <w:webHidden/>
              </w:rPr>
              <w:fldChar w:fldCharType="end"/>
            </w:r>
          </w:hyperlink>
        </w:p>
        <w:p w14:paraId="703A2C49" w14:textId="20599B9A" w:rsidR="00774286" w:rsidRPr="000C5235" w:rsidRDefault="00A774B1">
          <w:pPr>
            <w:pStyle w:val="TOC3"/>
            <w:rPr>
              <w:rFonts w:eastAsiaTheme="minorEastAsia"/>
              <w:szCs w:val="22"/>
              <w:lang w:eastAsia="en-AU"/>
            </w:rPr>
          </w:pPr>
          <w:hyperlink w:anchor="_Toc47951274" w:history="1">
            <w:r w:rsidR="00774286" w:rsidRPr="000C5235">
              <w:rPr>
                <w:rStyle w:val="Hyperlink"/>
              </w:rPr>
              <w:t>13.2.5</w:t>
            </w:r>
            <w:r w:rsidR="00774286" w:rsidRPr="000C5235">
              <w:rPr>
                <w:rFonts w:eastAsiaTheme="minorEastAsia"/>
                <w:szCs w:val="22"/>
                <w:lang w:eastAsia="en-AU"/>
              </w:rPr>
              <w:tab/>
            </w:r>
            <w:r w:rsidR="00774286" w:rsidRPr="000C5235">
              <w:rPr>
                <w:rStyle w:val="Hyperlink"/>
              </w:rPr>
              <w:t>Shading</w:t>
            </w:r>
            <w:r w:rsidR="00774286" w:rsidRPr="000C5235">
              <w:rPr>
                <w:webHidden/>
              </w:rPr>
              <w:tab/>
            </w:r>
            <w:r w:rsidR="00774286" w:rsidRPr="000C5235">
              <w:rPr>
                <w:webHidden/>
              </w:rPr>
              <w:fldChar w:fldCharType="begin"/>
            </w:r>
            <w:r w:rsidR="00774286" w:rsidRPr="000C5235">
              <w:rPr>
                <w:webHidden/>
              </w:rPr>
              <w:instrText xml:space="preserve"> PAGEREF _Toc47951274 \h </w:instrText>
            </w:r>
            <w:r w:rsidR="00774286" w:rsidRPr="000C5235">
              <w:rPr>
                <w:webHidden/>
              </w:rPr>
            </w:r>
            <w:r w:rsidR="00774286" w:rsidRPr="000C5235">
              <w:rPr>
                <w:webHidden/>
              </w:rPr>
              <w:fldChar w:fldCharType="separate"/>
            </w:r>
            <w:r w:rsidR="00774286" w:rsidRPr="000C5235">
              <w:rPr>
                <w:webHidden/>
              </w:rPr>
              <w:t>70</w:t>
            </w:r>
            <w:r w:rsidR="00774286" w:rsidRPr="000C5235">
              <w:rPr>
                <w:webHidden/>
              </w:rPr>
              <w:fldChar w:fldCharType="end"/>
            </w:r>
          </w:hyperlink>
        </w:p>
        <w:p w14:paraId="02C1DAF8" w14:textId="47BC62EF" w:rsidR="00774286" w:rsidRPr="000C5235" w:rsidRDefault="00A774B1">
          <w:pPr>
            <w:pStyle w:val="TOC3"/>
            <w:rPr>
              <w:rFonts w:eastAsiaTheme="minorEastAsia"/>
              <w:szCs w:val="22"/>
              <w:lang w:eastAsia="en-AU"/>
            </w:rPr>
          </w:pPr>
          <w:hyperlink w:anchor="_Toc47951275" w:history="1">
            <w:r w:rsidR="00774286" w:rsidRPr="000C5235">
              <w:rPr>
                <w:rStyle w:val="Hyperlink"/>
              </w:rPr>
              <w:t>13.2.6</w:t>
            </w:r>
            <w:r w:rsidR="00774286" w:rsidRPr="000C5235">
              <w:rPr>
                <w:rFonts w:eastAsiaTheme="minorEastAsia"/>
                <w:szCs w:val="22"/>
                <w:lang w:eastAsia="en-AU"/>
              </w:rPr>
              <w:tab/>
            </w:r>
            <w:r w:rsidR="00774286" w:rsidRPr="000C5235">
              <w:rPr>
                <w:rStyle w:val="Hyperlink"/>
              </w:rPr>
              <w:t>Indenting text</w:t>
            </w:r>
            <w:r w:rsidR="00774286" w:rsidRPr="000C5235">
              <w:rPr>
                <w:webHidden/>
              </w:rPr>
              <w:tab/>
            </w:r>
            <w:r w:rsidR="00774286" w:rsidRPr="000C5235">
              <w:rPr>
                <w:webHidden/>
              </w:rPr>
              <w:fldChar w:fldCharType="begin"/>
            </w:r>
            <w:r w:rsidR="00774286" w:rsidRPr="000C5235">
              <w:rPr>
                <w:webHidden/>
              </w:rPr>
              <w:instrText xml:space="preserve"> PAGEREF _Toc47951275 \h </w:instrText>
            </w:r>
            <w:r w:rsidR="00774286" w:rsidRPr="000C5235">
              <w:rPr>
                <w:webHidden/>
              </w:rPr>
            </w:r>
            <w:r w:rsidR="00774286" w:rsidRPr="000C5235">
              <w:rPr>
                <w:webHidden/>
              </w:rPr>
              <w:fldChar w:fldCharType="separate"/>
            </w:r>
            <w:r w:rsidR="00774286" w:rsidRPr="000C5235">
              <w:rPr>
                <w:webHidden/>
              </w:rPr>
              <w:t>70</w:t>
            </w:r>
            <w:r w:rsidR="00774286" w:rsidRPr="000C5235">
              <w:rPr>
                <w:webHidden/>
              </w:rPr>
              <w:fldChar w:fldCharType="end"/>
            </w:r>
          </w:hyperlink>
        </w:p>
        <w:p w14:paraId="61FA05AD" w14:textId="6F6817FF" w:rsidR="00774286" w:rsidRPr="000C5235" w:rsidRDefault="00A774B1">
          <w:pPr>
            <w:pStyle w:val="TOC3"/>
            <w:rPr>
              <w:rFonts w:eastAsiaTheme="minorEastAsia"/>
              <w:szCs w:val="22"/>
              <w:lang w:eastAsia="en-AU"/>
            </w:rPr>
          </w:pPr>
          <w:hyperlink w:anchor="_Toc47951276" w:history="1">
            <w:r w:rsidR="00774286" w:rsidRPr="000C5235">
              <w:rPr>
                <w:rStyle w:val="Hyperlink"/>
              </w:rPr>
              <w:t>13.2.7</w:t>
            </w:r>
            <w:r w:rsidR="00774286" w:rsidRPr="000C5235">
              <w:rPr>
                <w:rFonts w:eastAsiaTheme="minorEastAsia"/>
                <w:szCs w:val="22"/>
                <w:lang w:eastAsia="en-AU"/>
              </w:rPr>
              <w:tab/>
            </w:r>
            <w:r w:rsidR="00774286" w:rsidRPr="000C5235">
              <w:rPr>
                <w:rStyle w:val="Hyperlink"/>
              </w:rPr>
              <w:t>Inserting linked excel tables into the word template</w:t>
            </w:r>
            <w:r w:rsidR="00774286" w:rsidRPr="000C5235">
              <w:rPr>
                <w:webHidden/>
              </w:rPr>
              <w:tab/>
            </w:r>
            <w:r w:rsidR="00774286" w:rsidRPr="000C5235">
              <w:rPr>
                <w:webHidden/>
              </w:rPr>
              <w:fldChar w:fldCharType="begin"/>
            </w:r>
            <w:r w:rsidR="00774286" w:rsidRPr="000C5235">
              <w:rPr>
                <w:webHidden/>
              </w:rPr>
              <w:instrText xml:space="preserve"> PAGEREF _Toc47951276 \h </w:instrText>
            </w:r>
            <w:r w:rsidR="00774286" w:rsidRPr="000C5235">
              <w:rPr>
                <w:webHidden/>
              </w:rPr>
            </w:r>
            <w:r w:rsidR="00774286" w:rsidRPr="000C5235">
              <w:rPr>
                <w:webHidden/>
              </w:rPr>
              <w:fldChar w:fldCharType="separate"/>
            </w:r>
            <w:r w:rsidR="00774286" w:rsidRPr="000C5235">
              <w:rPr>
                <w:webHidden/>
              </w:rPr>
              <w:t>70</w:t>
            </w:r>
            <w:r w:rsidR="00774286" w:rsidRPr="000C5235">
              <w:rPr>
                <w:webHidden/>
              </w:rPr>
              <w:fldChar w:fldCharType="end"/>
            </w:r>
          </w:hyperlink>
        </w:p>
        <w:p w14:paraId="4FB8B6C9" w14:textId="15EE376C" w:rsidR="00774286" w:rsidRPr="000C5235" w:rsidRDefault="00A774B1">
          <w:pPr>
            <w:pStyle w:val="TOC2"/>
            <w:rPr>
              <w:rFonts w:eastAsiaTheme="minorEastAsia"/>
              <w:szCs w:val="22"/>
              <w:lang w:eastAsia="en-AU"/>
            </w:rPr>
          </w:pPr>
          <w:hyperlink w:anchor="_Toc47951277" w:history="1">
            <w:r w:rsidR="00774286" w:rsidRPr="000C5235">
              <w:rPr>
                <w:rStyle w:val="Hyperlink"/>
              </w:rPr>
              <w:t>13.3</w:t>
            </w:r>
            <w:r w:rsidR="00774286" w:rsidRPr="000C5235">
              <w:rPr>
                <w:rFonts w:eastAsiaTheme="minorEastAsia"/>
                <w:szCs w:val="22"/>
                <w:lang w:eastAsia="en-AU"/>
              </w:rPr>
              <w:tab/>
            </w:r>
            <w:r w:rsidR="00774286" w:rsidRPr="000C5235">
              <w:rPr>
                <w:rStyle w:val="Hyperlink"/>
              </w:rPr>
              <w:t>Preparing the word template for printing</w:t>
            </w:r>
            <w:r w:rsidR="00774286" w:rsidRPr="000C5235">
              <w:rPr>
                <w:webHidden/>
              </w:rPr>
              <w:tab/>
            </w:r>
            <w:r w:rsidR="00774286" w:rsidRPr="000C5235">
              <w:rPr>
                <w:webHidden/>
              </w:rPr>
              <w:fldChar w:fldCharType="begin"/>
            </w:r>
            <w:r w:rsidR="00774286" w:rsidRPr="000C5235">
              <w:rPr>
                <w:webHidden/>
              </w:rPr>
              <w:instrText xml:space="preserve"> PAGEREF _Toc47951277 \h </w:instrText>
            </w:r>
            <w:r w:rsidR="00774286" w:rsidRPr="000C5235">
              <w:rPr>
                <w:webHidden/>
              </w:rPr>
            </w:r>
            <w:r w:rsidR="00774286" w:rsidRPr="000C5235">
              <w:rPr>
                <w:webHidden/>
              </w:rPr>
              <w:fldChar w:fldCharType="separate"/>
            </w:r>
            <w:r w:rsidR="00774286" w:rsidRPr="000C5235">
              <w:rPr>
                <w:webHidden/>
              </w:rPr>
              <w:t>71</w:t>
            </w:r>
            <w:r w:rsidR="00774286" w:rsidRPr="000C5235">
              <w:rPr>
                <w:webHidden/>
              </w:rPr>
              <w:fldChar w:fldCharType="end"/>
            </w:r>
          </w:hyperlink>
        </w:p>
        <w:p w14:paraId="7C490DF0" w14:textId="5B127695" w:rsidR="00774286" w:rsidRPr="000C5235" w:rsidRDefault="00A774B1">
          <w:pPr>
            <w:pStyle w:val="TOC2"/>
            <w:rPr>
              <w:rFonts w:eastAsiaTheme="minorEastAsia"/>
              <w:szCs w:val="22"/>
              <w:lang w:eastAsia="en-AU"/>
            </w:rPr>
          </w:pPr>
          <w:hyperlink w:anchor="_Toc47951278" w:history="1">
            <w:r w:rsidR="00774286" w:rsidRPr="000C5235">
              <w:rPr>
                <w:rStyle w:val="Hyperlink"/>
              </w:rPr>
              <w:t>13.4</w:t>
            </w:r>
            <w:r w:rsidR="00774286" w:rsidRPr="000C5235">
              <w:rPr>
                <w:rFonts w:eastAsiaTheme="minorEastAsia"/>
                <w:szCs w:val="22"/>
                <w:lang w:eastAsia="en-AU"/>
              </w:rPr>
              <w:tab/>
            </w:r>
            <w:r w:rsidR="00774286" w:rsidRPr="000C5235">
              <w:rPr>
                <w:rStyle w:val="Hyperlink"/>
              </w:rPr>
              <w:t>Preparing the word template for online publication</w:t>
            </w:r>
            <w:r w:rsidR="00774286" w:rsidRPr="000C5235">
              <w:rPr>
                <w:webHidden/>
              </w:rPr>
              <w:tab/>
            </w:r>
            <w:r w:rsidR="00774286" w:rsidRPr="000C5235">
              <w:rPr>
                <w:webHidden/>
              </w:rPr>
              <w:fldChar w:fldCharType="begin"/>
            </w:r>
            <w:r w:rsidR="00774286" w:rsidRPr="000C5235">
              <w:rPr>
                <w:webHidden/>
              </w:rPr>
              <w:instrText xml:space="preserve"> PAGEREF _Toc47951278 \h </w:instrText>
            </w:r>
            <w:r w:rsidR="00774286" w:rsidRPr="000C5235">
              <w:rPr>
                <w:webHidden/>
              </w:rPr>
            </w:r>
            <w:r w:rsidR="00774286" w:rsidRPr="000C5235">
              <w:rPr>
                <w:webHidden/>
              </w:rPr>
              <w:fldChar w:fldCharType="separate"/>
            </w:r>
            <w:r w:rsidR="00774286" w:rsidRPr="000C5235">
              <w:rPr>
                <w:webHidden/>
              </w:rPr>
              <w:t>71</w:t>
            </w:r>
            <w:r w:rsidR="00774286" w:rsidRPr="000C5235">
              <w:rPr>
                <w:webHidden/>
              </w:rPr>
              <w:fldChar w:fldCharType="end"/>
            </w:r>
          </w:hyperlink>
        </w:p>
        <w:p w14:paraId="19A8B6FC" w14:textId="4B59B107" w:rsidR="00774286" w:rsidRPr="000C5235" w:rsidRDefault="00A774B1">
          <w:pPr>
            <w:pStyle w:val="TOC2"/>
            <w:rPr>
              <w:rFonts w:eastAsiaTheme="minorEastAsia"/>
              <w:szCs w:val="22"/>
              <w:lang w:eastAsia="en-AU"/>
            </w:rPr>
          </w:pPr>
          <w:hyperlink w:anchor="_Toc47951279" w:history="1">
            <w:r w:rsidR="00774286" w:rsidRPr="000C5235">
              <w:rPr>
                <w:rStyle w:val="Hyperlink"/>
              </w:rPr>
              <w:t>13.5</w:t>
            </w:r>
            <w:r w:rsidR="00774286" w:rsidRPr="000C5235">
              <w:rPr>
                <w:rFonts w:eastAsiaTheme="minorEastAsia"/>
                <w:szCs w:val="22"/>
                <w:lang w:eastAsia="en-AU"/>
              </w:rPr>
              <w:tab/>
            </w:r>
            <w:r w:rsidR="00774286" w:rsidRPr="000C5235">
              <w:rPr>
                <w:rStyle w:val="Hyperlink"/>
              </w:rPr>
              <w:t>Web accessibility requirements</w:t>
            </w:r>
            <w:r w:rsidR="00774286" w:rsidRPr="000C5235">
              <w:rPr>
                <w:webHidden/>
              </w:rPr>
              <w:tab/>
            </w:r>
            <w:r w:rsidR="00774286" w:rsidRPr="000C5235">
              <w:rPr>
                <w:webHidden/>
              </w:rPr>
              <w:fldChar w:fldCharType="begin"/>
            </w:r>
            <w:r w:rsidR="00774286" w:rsidRPr="000C5235">
              <w:rPr>
                <w:webHidden/>
              </w:rPr>
              <w:instrText xml:space="preserve"> PAGEREF _Toc47951279 \h </w:instrText>
            </w:r>
            <w:r w:rsidR="00774286" w:rsidRPr="000C5235">
              <w:rPr>
                <w:webHidden/>
              </w:rPr>
            </w:r>
            <w:r w:rsidR="00774286" w:rsidRPr="000C5235">
              <w:rPr>
                <w:webHidden/>
              </w:rPr>
              <w:fldChar w:fldCharType="separate"/>
            </w:r>
            <w:r w:rsidR="00774286" w:rsidRPr="000C5235">
              <w:rPr>
                <w:webHidden/>
              </w:rPr>
              <w:t>72</w:t>
            </w:r>
            <w:r w:rsidR="00774286" w:rsidRPr="000C5235">
              <w:rPr>
                <w:webHidden/>
              </w:rPr>
              <w:fldChar w:fldCharType="end"/>
            </w:r>
          </w:hyperlink>
        </w:p>
        <w:p w14:paraId="7880B2B1" w14:textId="2D9111BA" w:rsidR="00774286" w:rsidRPr="000C5235" w:rsidRDefault="00A774B1">
          <w:pPr>
            <w:pStyle w:val="TOC3"/>
            <w:rPr>
              <w:rFonts w:eastAsiaTheme="minorEastAsia"/>
              <w:szCs w:val="22"/>
              <w:lang w:eastAsia="en-AU"/>
            </w:rPr>
          </w:pPr>
          <w:hyperlink w:anchor="_Toc47951280" w:history="1">
            <w:r w:rsidR="00774286" w:rsidRPr="000C5235">
              <w:rPr>
                <w:rStyle w:val="Hyperlink"/>
              </w:rPr>
              <w:t>13.5.1</w:t>
            </w:r>
            <w:r w:rsidR="00774286" w:rsidRPr="000C5235">
              <w:rPr>
                <w:rFonts w:eastAsiaTheme="minorEastAsia"/>
                <w:szCs w:val="22"/>
                <w:lang w:eastAsia="en-AU"/>
              </w:rPr>
              <w:tab/>
            </w:r>
            <w:r w:rsidR="00774286" w:rsidRPr="000C5235">
              <w:rPr>
                <w:rStyle w:val="Hyperlink"/>
              </w:rPr>
              <w:t>Guide to making accessible soft copy documents</w:t>
            </w:r>
            <w:r w:rsidR="00774286" w:rsidRPr="000C5235">
              <w:rPr>
                <w:webHidden/>
              </w:rPr>
              <w:tab/>
            </w:r>
            <w:r w:rsidR="00774286" w:rsidRPr="000C5235">
              <w:rPr>
                <w:webHidden/>
              </w:rPr>
              <w:fldChar w:fldCharType="begin"/>
            </w:r>
            <w:r w:rsidR="00774286" w:rsidRPr="000C5235">
              <w:rPr>
                <w:webHidden/>
              </w:rPr>
              <w:instrText xml:space="preserve"> PAGEREF _Toc47951280 \h </w:instrText>
            </w:r>
            <w:r w:rsidR="00774286" w:rsidRPr="000C5235">
              <w:rPr>
                <w:webHidden/>
              </w:rPr>
            </w:r>
            <w:r w:rsidR="00774286" w:rsidRPr="000C5235">
              <w:rPr>
                <w:webHidden/>
              </w:rPr>
              <w:fldChar w:fldCharType="separate"/>
            </w:r>
            <w:r w:rsidR="00774286" w:rsidRPr="000C5235">
              <w:rPr>
                <w:webHidden/>
              </w:rPr>
              <w:t>72</w:t>
            </w:r>
            <w:r w:rsidR="00774286" w:rsidRPr="000C5235">
              <w:rPr>
                <w:webHidden/>
              </w:rPr>
              <w:fldChar w:fldCharType="end"/>
            </w:r>
          </w:hyperlink>
        </w:p>
        <w:p w14:paraId="7C5425A3" w14:textId="5CD797FB" w:rsidR="00774286" w:rsidRPr="000C5235" w:rsidRDefault="00A774B1">
          <w:pPr>
            <w:pStyle w:val="TOC1"/>
            <w:rPr>
              <w:rFonts w:eastAsiaTheme="minorEastAsia"/>
              <w:b w:val="0"/>
              <w:sz w:val="22"/>
              <w:szCs w:val="22"/>
              <w:lang w:eastAsia="en-AU"/>
            </w:rPr>
          </w:pPr>
          <w:hyperlink w:anchor="_Toc47951281" w:history="1">
            <w:r w:rsidR="00774286" w:rsidRPr="000C5235">
              <w:rPr>
                <w:rStyle w:val="Hyperlink"/>
              </w:rPr>
              <w:t>14.</w:t>
            </w:r>
            <w:r w:rsidR="00774286" w:rsidRPr="000C5235">
              <w:rPr>
                <w:rFonts w:eastAsiaTheme="minorEastAsia"/>
                <w:b w:val="0"/>
                <w:sz w:val="22"/>
                <w:szCs w:val="22"/>
                <w:lang w:eastAsia="en-AU"/>
              </w:rPr>
              <w:tab/>
            </w:r>
            <w:r w:rsidR="00774286" w:rsidRPr="000C5235">
              <w:rPr>
                <w:rStyle w:val="Hyperlink"/>
              </w:rPr>
              <w:t>Conta</w:t>
            </w:r>
            <w:r w:rsidR="00774286" w:rsidRPr="000C5235">
              <w:rPr>
                <w:rStyle w:val="Hyperlink"/>
              </w:rPr>
              <w:t>c</w:t>
            </w:r>
            <w:r w:rsidR="00774286" w:rsidRPr="000C5235">
              <w:rPr>
                <w:rStyle w:val="Hyperlink"/>
              </w:rPr>
              <w:t>ts</w:t>
            </w:r>
            <w:r w:rsidR="00774286" w:rsidRPr="000C5235">
              <w:rPr>
                <w:webHidden/>
              </w:rPr>
              <w:tab/>
            </w:r>
            <w:r w:rsidR="00774286" w:rsidRPr="000C5235">
              <w:rPr>
                <w:webHidden/>
              </w:rPr>
              <w:fldChar w:fldCharType="begin"/>
            </w:r>
            <w:r w:rsidR="00774286" w:rsidRPr="000C5235">
              <w:rPr>
                <w:webHidden/>
              </w:rPr>
              <w:instrText xml:space="preserve"> PAGEREF _Toc47951281 \h </w:instrText>
            </w:r>
            <w:r w:rsidR="00774286" w:rsidRPr="000C5235">
              <w:rPr>
                <w:webHidden/>
              </w:rPr>
            </w:r>
            <w:r w:rsidR="00774286" w:rsidRPr="000C5235">
              <w:rPr>
                <w:webHidden/>
              </w:rPr>
              <w:fldChar w:fldCharType="separate"/>
            </w:r>
            <w:r w:rsidR="00774286" w:rsidRPr="000C5235">
              <w:rPr>
                <w:webHidden/>
              </w:rPr>
              <w:t>74</w:t>
            </w:r>
            <w:r w:rsidR="00774286" w:rsidRPr="000C5235">
              <w:rPr>
                <w:webHidden/>
              </w:rPr>
              <w:fldChar w:fldCharType="end"/>
            </w:r>
          </w:hyperlink>
        </w:p>
        <w:p w14:paraId="4334C970" w14:textId="34B1F65F" w:rsidR="00774286" w:rsidRPr="000C5235" w:rsidRDefault="00A774B1">
          <w:pPr>
            <w:pStyle w:val="TOC2"/>
            <w:rPr>
              <w:rFonts w:eastAsiaTheme="minorEastAsia"/>
              <w:szCs w:val="22"/>
              <w:lang w:eastAsia="en-AU"/>
            </w:rPr>
          </w:pPr>
          <w:hyperlink w:anchor="_Toc47951282" w:history="1">
            <w:r w:rsidR="00774286" w:rsidRPr="000C5235">
              <w:rPr>
                <w:rStyle w:val="Hyperlink"/>
              </w:rPr>
              <w:t>14.1</w:t>
            </w:r>
            <w:r w:rsidR="00774286" w:rsidRPr="000C5235">
              <w:rPr>
                <w:rFonts w:eastAsiaTheme="minorEastAsia"/>
                <w:szCs w:val="22"/>
                <w:lang w:eastAsia="en-AU"/>
              </w:rPr>
              <w:tab/>
            </w:r>
            <w:r w:rsidR="00774286" w:rsidRPr="000C5235">
              <w:rPr>
                <w:rStyle w:val="Hyperlink"/>
              </w:rPr>
              <w:t>Department of Finance</w:t>
            </w:r>
            <w:r w:rsidR="00774286" w:rsidRPr="000C5235">
              <w:rPr>
                <w:webHidden/>
              </w:rPr>
              <w:tab/>
            </w:r>
            <w:r w:rsidR="00774286" w:rsidRPr="000C5235">
              <w:rPr>
                <w:webHidden/>
              </w:rPr>
              <w:fldChar w:fldCharType="begin"/>
            </w:r>
            <w:r w:rsidR="00774286" w:rsidRPr="000C5235">
              <w:rPr>
                <w:webHidden/>
              </w:rPr>
              <w:instrText xml:space="preserve"> PAGEREF _Toc47951282 \h </w:instrText>
            </w:r>
            <w:r w:rsidR="00774286" w:rsidRPr="000C5235">
              <w:rPr>
                <w:webHidden/>
              </w:rPr>
            </w:r>
            <w:r w:rsidR="00774286" w:rsidRPr="000C5235">
              <w:rPr>
                <w:webHidden/>
              </w:rPr>
              <w:fldChar w:fldCharType="separate"/>
            </w:r>
            <w:r w:rsidR="00774286" w:rsidRPr="000C5235">
              <w:rPr>
                <w:webHidden/>
              </w:rPr>
              <w:t>74</w:t>
            </w:r>
            <w:r w:rsidR="00774286" w:rsidRPr="000C5235">
              <w:rPr>
                <w:webHidden/>
              </w:rPr>
              <w:fldChar w:fldCharType="end"/>
            </w:r>
          </w:hyperlink>
        </w:p>
        <w:p w14:paraId="5B20A4D4" w14:textId="2BB6CB76" w:rsidR="00774286" w:rsidRPr="000C5235" w:rsidRDefault="00A774B1">
          <w:pPr>
            <w:pStyle w:val="TOC2"/>
            <w:rPr>
              <w:rFonts w:eastAsiaTheme="minorEastAsia"/>
              <w:szCs w:val="22"/>
              <w:lang w:eastAsia="en-AU"/>
            </w:rPr>
          </w:pPr>
          <w:hyperlink w:anchor="_Toc47951283" w:history="1">
            <w:r w:rsidR="00774286" w:rsidRPr="000C5235">
              <w:rPr>
                <w:rStyle w:val="Hyperlink"/>
              </w:rPr>
              <w:t>14.2</w:t>
            </w:r>
            <w:r w:rsidR="00774286" w:rsidRPr="000C5235">
              <w:rPr>
                <w:rFonts w:eastAsiaTheme="minorEastAsia"/>
                <w:szCs w:val="22"/>
                <w:lang w:eastAsia="en-AU"/>
              </w:rPr>
              <w:tab/>
            </w:r>
            <w:r w:rsidR="00774286" w:rsidRPr="000C5235">
              <w:rPr>
                <w:rStyle w:val="Hyperlink"/>
              </w:rPr>
              <w:t>Treasury</w:t>
            </w:r>
            <w:r w:rsidR="00774286" w:rsidRPr="000C5235">
              <w:rPr>
                <w:webHidden/>
              </w:rPr>
              <w:tab/>
            </w:r>
            <w:r w:rsidR="00774286" w:rsidRPr="000C5235">
              <w:rPr>
                <w:webHidden/>
              </w:rPr>
              <w:fldChar w:fldCharType="begin"/>
            </w:r>
            <w:r w:rsidR="00774286" w:rsidRPr="000C5235">
              <w:rPr>
                <w:webHidden/>
              </w:rPr>
              <w:instrText xml:space="preserve"> PAGEREF _Toc47951283 \h </w:instrText>
            </w:r>
            <w:r w:rsidR="00774286" w:rsidRPr="000C5235">
              <w:rPr>
                <w:webHidden/>
              </w:rPr>
            </w:r>
            <w:r w:rsidR="00774286" w:rsidRPr="000C5235">
              <w:rPr>
                <w:webHidden/>
              </w:rPr>
              <w:fldChar w:fldCharType="separate"/>
            </w:r>
            <w:r w:rsidR="00774286" w:rsidRPr="000C5235">
              <w:rPr>
                <w:webHidden/>
              </w:rPr>
              <w:t>75</w:t>
            </w:r>
            <w:r w:rsidR="00774286" w:rsidRPr="000C5235">
              <w:rPr>
                <w:webHidden/>
              </w:rPr>
              <w:fldChar w:fldCharType="end"/>
            </w:r>
          </w:hyperlink>
        </w:p>
        <w:p w14:paraId="0E603C60" w14:textId="21A66CE6" w:rsidR="00774286" w:rsidRPr="000C5235" w:rsidRDefault="00A774B1">
          <w:pPr>
            <w:pStyle w:val="TOC2"/>
            <w:rPr>
              <w:rFonts w:eastAsiaTheme="minorEastAsia"/>
              <w:szCs w:val="22"/>
              <w:lang w:eastAsia="en-AU"/>
            </w:rPr>
          </w:pPr>
          <w:hyperlink w:anchor="_Toc47951284" w:history="1">
            <w:r w:rsidR="00774286" w:rsidRPr="000C5235">
              <w:rPr>
                <w:rStyle w:val="Hyperlink"/>
              </w:rPr>
              <w:t>14.3</w:t>
            </w:r>
            <w:r w:rsidR="00774286" w:rsidRPr="000C5235">
              <w:rPr>
                <w:rFonts w:eastAsiaTheme="minorEastAsia"/>
                <w:szCs w:val="22"/>
                <w:lang w:eastAsia="en-AU"/>
              </w:rPr>
              <w:tab/>
            </w:r>
            <w:r w:rsidR="00774286" w:rsidRPr="000C5235">
              <w:rPr>
                <w:rStyle w:val="Hyperlink"/>
              </w:rPr>
              <w:t>CanPrint</w:t>
            </w:r>
            <w:r w:rsidR="00774286" w:rsidRPr="000C5235">
              <w:rPr>
                <w:webHidden/>
              </w:rPr>
              <w:tab/>
            </w:r>
            <w:r w:rsidR="00774286" w:rsidRPr="000C5235">
              <w:rPr>
                <w:webHidden/>
              </w:rPr>
              <w:fldChar w:fldCharType="begin"/>
            </w:r>
            <w:r w:rsidR="00774286" w:rsidRPr="000C5235">
              <w:rPr>
                <w:webHidden/>
              </w:rPr>
              <w:instrText xml:space="preserve"> PAGEREF _Toc47951284 \h </w:instrText>
            </w:r>
            <w:r w:rsidR="00774286" w:rsidRPr="000C5235">
              <w:rPr>
                <w:webHidden/>
              </w:rPr>
            </w:r>
            <w:r w:rsidR="00774286" w:rsidRPr="000C5235">
              <w:rPr>
                <w:webHidden/>
              </w:rPr>
              <w:fldChar w:fldCharType="separate"/>
            </w:r>
            <w:r w:rsidR="00774286" w:rsidRPr="000C5235">
              <w:rPr>
                <w:webHidden/>
              </w:rPr>
              <w:t>75</w:t>
            </w:r>
            <w:r w:rsidR="00774286" w:rsidRPr="000C5235">
              <w:rPr>
                <w:webHidden/>
              </w:rPr>
              <w:fldChar w:fldCharType="end"/>
            </w:r>
          </w:hyperlink>
        </w:p>
        <w:p w14:paraId="1CF8DCCF" w14:textId="78C695C0" w:rsidR="00774286" w:rsidRPr="000C5235" w:rsidRDefault="00A774B1">
          <w:pPr>
            <w:pStyle w:val="TOC2"/>
            <w:rPr>
              <w:rFonts w:eastAsiaTheme="minorEastAsia"/>
              <w:szCs w:val="22"/>
              <w:lang w:eastAsia="en-AU"/>
            </w:rPr>
          </w:pPr>
          <w:hyperlink w:anchor="_Toc47951285" w:history="1">
            <w:r w:rsidR="00774286" w:rsidRPr="000C5235">
              <w:rPr>
                <w:rStyle w:val="Hyperlink"/>
              </w:rPr>
              <w:t>14.4</w:t>
            </w:r>
            <w:r w:rsidR="00774286" w:rsidRPr="000C5235">
              <w:rPr>
                <w:rFonts w:eastAsiaTheme="minorEastAsia"/>
                <w:szCs w:val="22"/>
                <w:lang w:eastAsia="en-AU"/>
              </w:rPr>
              <w:tab/>
            </w:r>
            <w:r w:rsidR="00774286" w:rsidRPr="000C5235">
              <w:rPr>
                <w:rStyle w:val="Hyperlink"/>
              </w:rPr>
              <w:t>Senate Table Office</w:t>
            </w:r>
            <w:r w:rsidR="00774286" w:rsidRPr="000C5235">
              <w:rPr>
                <w:webHidden/>
              </w:rPr>
              <w:tab/>
            </w:r>
            <w:r w:rsidR="00774286" w:rsidRPr="000C5235">
              <w:rPr>
                <w:webHidden/>
              </w:rPr>
              <w:fldChar w:fldCharType="begin"/>
            </w:r>
            <w:r w:rsidR="00774286" w:rsidRPr="000C5235">
              <w:rPr>
                <w:webHidden/>
              </w:rPr>
              <w:instrText xml:space="preserve"> PAGEREF _Toc47951285 \h </w:instrText>
            </w:r>
            <w:r w:rsidR="00774286" w:rsidRPr="000C5235">
              <w:rPr>
                <w:webHidden/>
              </w:rPr>
            </w:r>
            <w:r w:rsidR="00774286" w:rsidRPr="000C5235">
              <w:rPr>
                <w:webHidden/>
              </w:rPr>
              <w:fldChar w:fldCharType="separate"/>
            </w:r>
            <w:r w:rsidR="00774286" w:rsidRPr="000C5235">
              <w:rPr>
                <w:webHidden/>
              </w:rPr>
              <w:t>75</w:t>
            </w:r>
            <w:r w:rsidR="00774286" w:rsidRPr="000C5235">
              <w:rPr>
                <w:webHidden/>
              </w:rPr>
              <w:fldChar w:fldCharType="end"/>
            </w:r>
          </w:hyperlink>
        </w:p>
        <w:p w14:paraId="123BB1F1" w14:textId="48E46D4F" w:rsidR="00774286" w:rsidRPr="000C5235" w:rsidRDefault="00A774B1">
          <w:pPr>
            <w:pStyle w:val="TOC1"/>
            <w:rPr>
              <w:rFonts w:eastAsiaTheme="minorEastAsia"/>
              <w:b w:val="0"/>
              <w:sz w:val="22"/>
              <w:szCs w:val="22"/>
              <w:lang w:eastAsia="en-AU"/>
            </w:rPr>
          </w:pPr>
          <w:hyperlink w:anchor="_Toc47951286" w:history="1">
            <w:r w:rsidR="00774286" w:rsidRPr="000C5235">
              <w:rPr>
                <w:rStyle w:val="Hyperlink"/>
              </w:rPr>
              <w:t>15.</w:t>
            </w:r>
            <w:r w:rsidR="00774286" w:rsidRPr="000C5235">
              <w:rPr>
                <w:rFonts w:eastAsiaTheme="minorEastAsia"/>
                <w:b w:val="0"/>
                <w:sz w:val="22"/>
                <w:szCs w:val="22"/>
                <w:lang w:eastAsia="en-AU"/>
              </w:rPr>
              <w:tab/>
            </w:r>
            <w:r w:rsidR="00774286" w:rsidRPr="000C5235">
              <w:rPr>
                <w:rStyle w:val="Hyperlink"/>
              </w:rPr>
              <w:t>Glossary of terms</w:t>
            </w:r>
            <w:r w:rsidR="00774286" w:rsidRPr="000C5235">
              <w:rPr>
                <w:webHidden/>
              </w:rPr>
              <w:tab/>
            </w:r>
            <w:r w:rsidR="00774286" w:rsidRPr="000C5235">
              <w:rPr>
                <w:webHidden/>
              </w:rPr>
              <w:fldChar w:fldCharType="begin"/>
            </w:r>
            <w:r w:rsidR="00774286" w:rsidRPr="000C5235">
              <w:rPr>
                <w:webHidden/>
              </w:rPr>
              <w:instrText xml:space="preserve"> PAGEREF _Toc47951286 \h </w:instrText>
            </w:r>
            <w:r w:rsidR="00774286" w:rsidRPr="000C5235">
              <w:rPr>
                <w:webHidden/>
              </w:rPr>
            </w:r>
            <w:r w:rsidR="00774286" w:rsidRPr="000C5235">
              <w:rPr>
                <w:webHidden/>
              </w:rPr>
              <w:fldChar w:fldCharType="separate"/>
            </w:r>
            <w:r w:rsidR="00774286" w:rsidRPr="000C5235">
              <w:rPr>
                <w:webHidden/>
              </w:rPr>
              <w:t>76</w:t>
            </w:r>
            <w:r w:rsidR="00774286" w:rsidRPr="000C5235">
              <w:rPr>
                <w:webHidden/>
              </w:rPr>
              <w:fldChar w:fldCharType="end"/>
            </w:r>
          </w:hyperlink>
        </w:p>
        <w:p w14:paraId="1564A008" w14:textId="55C42EE1" w:rsidR="00BE4298" w:rsidRPr="000C5235" w:rsidRDefault="00BE4298" w:rsidP="00DB312F">
          <w:pPr>
            <w:pStyle w:val="TOC2"/>
          </w:pPr>
          <w:r w:rsidRPr="000C5235">
            <w:fldChar w:fldCharType="end"/>
          </w:r>
        </w:p>
      </w:sdtContent>
    </w:sdt>
    <w:p w14:paraId="505C1A50" w14:textId="77777777" w:rsidR="002A130F" w:rsidRPr="000C5235" w:rsidRDefault="00FA0945" w:rsidP="00A10310">
      <w:pPr>
        <w:pStyle w:val="CoverPage"/>
      </w:pPr>
      <w:bookmarkStart w:id="0" w:name="_Toc411852660"/>
      <w:bookmarkStart w:id="1" w:name="_Toc323051289"/>
      <w:bookmarkStart w:id="2" w:name="_Toc323302545"/>
      <w:bookmarkStart w:id="3" w:name="_Toc326738549"/>
      <w:bookmarkStart w:id="4" w:name="_Toc326741619"/>
      <w:bookmarkStart w:id="5" w:name="_Toc323302560"/>
      <w:r w:rsidRPr="000C5235">
        <w:t>Overvie</w:t>
      </w:r>
      <w:r w:rsidR="00701EA2" w:rsidRPr="000C5235">
        <w:t>w</w:t>
      </w:r>
    </w:p>
    <w:p w14:paraId="786A4CDF" w14:textId="77777777" w:rsidR="00E47F62" w:rsidRPr="000C5235" w:rsidRDefault="00E47F62" w:rsidP="000A7DEC">
      <w:pPr>
        <w:rPr>
          <w:sz w:val="44"/>
          <w:szCs w:val="44"/>
        </w:rPr>
        <w:sectPr w:rsidR="00E47F62" w:rsidRPr="000C5235" w:rsidSect="000A7DEC">
          <w:headerReference w:type="even" r:id="rId14"/>
          <w:headerReference w:type="default" r:id="rId15"/>
          <w:footerReference w:type="default" r:id="rId16"/>
          <w:headerReference w:type="first" r:id="rId17"/>
          <w:pgSz w:w="11900" w:h="16840" w:code="9"/>
          <w:pgMar w:top="1418" w:right="1418" w:bottom="1701" w:left="1418" w:header="510" w:footer="510" w:gutter="0"/>
          <w:cols w:space="708"/>
          <w:vAlign w:val="center"/>
          <w:docGrid w:linePitch="360"/>
        </w:sectPr>
      </w:pPr>
    </w:p>
    <w:p w14:paraId="2113F0BD" w14:textId="77777777" w:rsidR="00A10310" w:rsidRPr="000C5235" w:rsidRDefault="00A10310" w:rsidP="000A7DEC">
      <w:pPr>
        <w:pStyle w:val="Heading1Numbered"/>
      </w:pPr>
      <w:bookmarkStart w:id="6" w:name="_Toc534389757"/>
      <w:bookmarkStart w:id="7" w:name="_Toc534389898"/>
      <w:bookmarkStart w:id="8" w:name="_Toc534406194"/>
      <w:bookmarkStart w:id="9" w:name="_Toc534441471"/>
      <w:bookmarkStart w:id="10" w:name="_Toc534442812"/>
      <w:bookmarkStart w:id="11" w:name="_Toc534442953"/>
      <w:bookmarkStart w:id="12" w:name="_Toc534443094"/>
      <w:bookmarkStart w:id="13" w:name="_Toc534458849"/>
      <w:bookmarkStart w:id="14" w:name="_Toc534459638"/>
      <w:bookmarkStart w:id="15" w:name="_Toc534519133"/>
      <w:bookmarkStart w:id="16" w:name="_Toc534520043"/>
      <w:bookmarkStart w:id="17" w:name="_Toc534520313"/>
      <w:bookmarkStart w:id="18" w:name="_Toc534527525"/>
      <w:bookmarkStart w:id="19" w:name="_Toc534528255"/>
      <w:bookmarkStart w:id="20" w:name="_Toc534803473"/>
      <w:bookmarkStart w:id="21" w:name="_Toc534814164"/>
      <w:bookmarkStart w:id="22" w:name="_Toc536108534"/>
      <w:bookmarkStart w:id="23" w:name="_Toc536802085"/>
      <w:bookmarkStart w:id="24" w:name="Purpose"/>
      <w:bookmarkStart w:id="25" w:name="_Toc47951190"/>
      <w:bookmarkStart w:id="26" w:name="_Ref32914694"/>
      <w:bookmarkEnd w:id="0"/>
      <w:bookmarkEnd w:id="1"/>
      <w:bookmarkEnd w:id="2"/>
      <w:bookmarkEnd w:id="3"/>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0C5235">
        <w:t>Key Information</w:t>
      </w:r>
      <w:bookmarkEnd w:id="25"/>
    </w:p>
    <w:p w14:paraId="15074187" w14:textId="77777777" w:rsidR="005E1760" w:rsidRPr="000C5235" w:rsidRDefault="007A0E16">
      <w:pPr>
        <w:pStyle w:val="Numbered"/>
      </w:pPr>
      <w:r w:rsidRPr="000C5235">
        <w:t xml:space="preserve">Entities must use the templates at </w:t>
      </w:r>
      <w:r w:rsidRPr="000C5235">
        <w:rPr>
          <w:u w:val="single"/>
        </w:rPr>
        <w:t>Attachments B</w:t>
      </w:r>
      <w:r w:rsidRPr="000C5235">
        <w:t xml:space="preserve">, </w:t>
      </w:r>
      <w:r w:rsidRPr="000C5235">
        <w:rPr>
          <w:u w:val="single"/>
        </w:rPr>
        <w:t>C</w:t>
      </w:r>
      <w:r w:rsidRPr="000C5235">
        <w:t xml:space="preserve"> and </w:t>
      </w:r>
      <w:r w:rsidRPr="000C5235">
        <w:rPr>
          <w:u w:val="single"/>
        </w:rPr>
        <w:t>D</w:t>
      </w:r>
      <w:r w:rsidR="00DB0943" w:rsidRPr="000C5235">
        <w:t xml:space="preserve"> to prepare their PB </w:t>
      </w:r>
      <w:r w:rsidR="004B5F4F" w:rsidRPr="000C5235">
        <w:t>Statements, which</w:t>
      </w:r>
      <w:r w:rsidRPr="000C5235">
        <w:t xml:space="preserve"> are consistent with the presentation of the Budget </w:t>
      </w:r>
      <w:r w:rsidR="00A671CE" w:rsidRPr="000C5235">
        <w:t>P</w:t>
      </w:r>
      <w:r w:rsidRPr="000C5235">
        <w:t>apers</w:t>
      </w:r>
      <w:r w:rsidR="00A671CE" w:rsidRPr="000C5235">
        <w:t xml:space="preserve"> (BP)</w:t>
      </w:r>
      <w:r w:rsidRPr="000C5235">
        <w:t>.</w:t>
      </w:r>
    </w:p>
    <w:p w14:paraId="52699ABA" w14:textId="4B9D6989" w:rsidR="0048460A" w:rsidRPr="000C5235" w:rsidRDefault="00425289" w:rsidP="00425289">
      <w:pPr>
        <w:pStyle w:val="Numbered"/>
        <w:numPr>
          <w:ilvl w:val="0"/>
          <w:numId w:val="0"/>
        </w:numPr>
        <w:ind w:left="357"/>
      </w:pPr>
      <w:r>
        <w:t>Finance will provide s</w:t>
      </w:r>
      <w:r w:rsidR="004815F3">
        <w:t xml:space="preserve">eparate advice </w:t>
      </w:r>
      <w:r>
        <w:t xml:space="preserve">through your AAUs </w:t>
      </w:r>
      <w:r w:rsidR="005E1760" w:rsidRPr="000C5235">
        <w:t xml:space="preserve">to supplement advice provided under </w:t>
      </w:r>
      <w:r w:rsidR="005E1760" w:rsidRPr="0042010D">
        <w:t>section</w:t>
      </w:r>
      <w:r w:rsidR="005E1760" w:rsidRPr="000C5235">
        <w:rPr>
          <w:i/>
        </w:rPr>
        <w:t xml:space="preserve"> </w:t>
      </w:r>
      <w:r w:rsidR="005E1760" w:rsidRPr="000C5235">
        <w:rPr>
          <w:bCs/>
          <w:i/>
        </w:rPr>
        <w:t>6.5 Delivery to Parliament House and Finance</w:t>
      </w:r>
      <w:r w:rsidR="005E1760" w:rsidRPr="000C5235">
        <w:rPr>
          <w:bCs/>
        </w:rPr>
        <w:t xml:space="preserve"> within this guide.</w:t>
      </w:r>
    </w:p>
    <w:p w14:paraId="3DD0DB38" w14:textId="59C09E12" w:rsidR="00B777B8" w:rsidRPr="000C5235" w:rsidRDefault="005E1760">
      <w:pPr>
        <w:pStyle w:val="Numbered"/>
      </w:pPr>
      <w:r w:rsidRPr="000C5235">
        <w:t xml:space="preserve">The </w:t>
      </w:r>
      <w:r w:rsidR="00425289">
        <w:t xml:space="preserve">separate advice </w:t>
      </w:r>
      <w:r w:rsidRPr="000C5235">
        <w:t>will confirm</w:t>
      </w:r>
      <w:r w:rsidR="00B777B8" w:rsidRPr="000C5235">
        <w:t>:</w:t>
      </w:r>
    </w:p>
    <w:p w14:paraId="36E0D68E" w14:textId="0B2B0B9B" w:rsidR="00B777B8" w:rsidRPr="000C5235" w:rsidRDefault="00B777B8" w:rsidP="000C42A6">
      <w:pPr>
        <w:pStyle w:val="LetteredList"/>
      </w:pPr>
      <w:r w:rsidRPr="000C5235">
        <w:t>W</w:t>
      </w:r>
      <w:r w:rsidR="00692A3D" w:rsidRPr="000C5235">
        <w:t xml:space="preserve">hen </w:t>
      </w:r>
      <w:r w:rsidR="002231E7" w:rsidRPr="000C5235">
        <w:t>Portfolio Budget Statements (</w:t>
      </w:r>
      <w:r w:rsidR="005E1760" w:rsidRPr="000C5235">
        <w:t>PB Statements</w:t>
      </w:r>
      <w:r w:rsidR="002231E7" w:rsidRPr="000C5235">
        <w:t>)</w:t>
      </w:r>
      <w:r w:rsidR="005E1760" w:rsidRPr="000C5235">
        <w:t xml:space="preserve"> </w:t>
      </w:r>
      <w:r w:rsidR="00692A3D" w:rsidRPr="000C5235">
        <w:t>must be delivered to</w:t>
      </w:r>
      <w:r w:rsidR="005E1760" w:rsidRPr="000C5235">
        <w:t xml:space="preserve"> the Senate Tabling Office, House of Representatives, the Treasury media lockup and Stakeholder lockup, the Parliamentary Library and for the Department of Finance</w:t>
      </w:r>
      <w:r w:rsidR="00A671CE" w:rsidRPr="000C5235">
        <w:t xml:space="preserve"> (Finance)</w:t>
      </w:r>
      <w:r w:rsidR="005E1760" w:rsidRPr="000C5235">
        <w:t>.</w:t>
      </w:r>
    </w:p>
    <w:p w14:paraId="19C5411B" w14:textId="0D68DDF4" w:rsidR="002231E7" w:rsidRPr="000C5235" w:rsidRDefault="00B777B8" w:rsidP="000C42A6">
      <w:pPr>
        <w:pStyle w:val="LetteredList"/>
      </w:pPr>
      <w:r w:rsidRPr="000C5235">
        <w:t>T</w:t>
      </w:r>
      <w:r w:rsidR="005E1760" w:rsidRPr="000C5235">
        <w:t>he number of books required for the Treasury media lockup and the Treasury stakeholder lockup as the Budget lockup arrangement are still under consideration</w:t>
      </w:r>
      <w:r w:rsidR="008C0022" w:rsidRPr="000C5235">
        <w:t xml:space="preserve"> due to COVID restrictions</w:t>
      </w:r>
      <w:r w:rsidR="005E1760" w:rsidRPr="000C5235">
        <w:t>.</w:t>
      </w:r>
    </w:p>
    <w:p w14:paraId="679CA10D" w14:textId="3EF04B81" w:rsidR="00B777B8" w:rsidRPr="000C5235" w:rsidRDefault="00B777B8" w:rsidP="000C42A6">
      <w:pPr>
        <w:pStyle w:val="LetteredList"/>
      </w:pPr>
      <w:r w:rsidRPr="000C5235">
        <w:t xml:space="preserve">The basis in which measures will be reported in </w:t>
      </w:r>
      <w:r w:rsidRPr="000C5235">
        <w:rPr>
          <w:i/>
        </w:rPr>
        <w:t>Table 1.2 Entity 2020-21 Budget measures</w:t>
      </w:r>
      <w:r w:rsidRPr="000C5235">
        <w:t xml:space="preserve"> as a decision is being sought to make a change to an underlying cash balance basis.</w:t>
      </w:r>
    </w:p>
    <w:p w14:paraId="3F5F765C" w14:textId="77777777" w:rsidR="007A0E16" w:rsidRPr="000C5235" w:rsidRDefault="007A0E16">
      <w:pPr>
        <w:pStyle w:val="Numbered"/>
      </w:pPr>
      <w:r w:rsidRPr="000C5235">
        <w:t>The primary purpose of the PB Statements is to perform a legal function as 'relevant documents' under the Acts Interpretation Act 1901 to aid the interpretation of Appropriation Bills (No. 1 and 2) 2020-21 and the Appropriation (Parliamentary Departments) Bill (No. 1) 2020-21.</w:t>
      </w:r>
    </w:p>
    <w:p w14:paraId="4C4C812F" w14:textId="77777777" w:rsidR="007A0E16" w:rsidRPr="000C5235" w:rsidRDefault="007A0E16" w:rsidP="008C5A23">
      <w:pPr>
        <w:pStyle w:val="Numbered"/>
        <w:numPr>
          <w:ilvl w:val="0"/>
          <w:numId w:val="0"/>
        </w:numPr>
        <w:ind w:left="357"/>
      </w:pPr>
      <w:r w:rsidRPr="000C5235">
        <w:t>PB Statements are an important means by which the Executive Government (through Portfolio Ministers) are accountable to the Parliament. PB Statements inform Senators and Members of Parliament of changes in the proposed allocation of resources to entities within each portfolio.</w:t>
      </w:r>
    </w:p>
    <w:p w14:paraId="2E04D924" w14:textId="77777777" w:rsidR="007A0E16" w:rsidRPr="000C5235" w:rsidRDefault="007A0E16">
      <w:pPr>
        <w:pStyle w:val="Numbered"/>
      </w:pPr>
      <w:r w:rsidRPr="000C5235">
        <w:t>All Commonwealth entities in the General Government Sector that receive annual appropriation funding (whether directly or through their portfolio department) must have a separate chapter in their portfolio's PB Statements.</w:t>
      </w:r>
    </w:p>
    <w:p w14:paraId="0B0B1798" w14:textId="77777777" w:rsidR="007A0E16" w:rsidRPr="000C5235" w:rsidRDefault="007A0E16">
      <w:pPr>
        <w:pStyle w:val="Numbered"/>
      </w:pPr>
      <w:r w:rsidRPr="000C5235">
        <w:t>Guidance on the preparation of, and the templates for, the 2020</w:t>
      </w:r>
      <w:r w:rsidR="00DB0943" w:rsidRPr="000C5235">
        <w:t>-</w:t>
      </w:r>
      <w:r w:rsidRPr="000C5235">
        <w:t xml:space="preserve">21 PB Statements are provided in </w:t>
      </w:r>
      <w:r w:rsidRPr="000C5235">
        <w:rPr>
          <w:u w:val="single"/>
        </w:rPr>
        <w:t>Attachments A</w:t>
      </w:r>
      <w:r w:rsidRPr="000C5235">
        <w:t xml:space="preserve"> to </w:t>
      </w:r>
      <w:r w:rsidRPr="000C5235">
        <w:rPr>
          <w:u w:val="single"/>
        </w:rPr>
        <w:t>D</w:t>
      </w:r>
      <w:r w:rsidRPr="000C5235">
        <w:t xml:space="preserve">. In particular, </w:t>
      </w:r>
      <w:r w:rsidRPr="000C5235">
        <w:rPr>
          <w:u w:val="single"/>
        </w:rPr>
        <w:t>Attachment A</w:t>
      </w:r>
      <w:r w:rsidRPr="000C5235">
        <w:t xml:space="preserve"> </w:t>
      </w:r>
      <w:r w:rsidR="00DC7A19" w:rsidRPr="000C5235">
        <w:t xml:space="preserve">(this guide) </w:t>
      </w:r>
      <w:r w:rsidRPr="000C5235">
        <w:t>provides information on the printing and online publication requirements, sourcing and presentation of information and key contacts.</w:t>
      </w:r>
    </w:p>
    <w:p w14:paraId="4394C9B5" w14:textId="77777777" w:rsidR="00577EB6" w:rsidRPr="000C5235" w:rsidRDefault="00F045F2">
      <w:pPr>
        <w:pStyle w:val="Numbered"/>
      </w:pPr>
      <w:r w:rsidRPr="000C5235">
        <w:rPr>
          <w:u w:val="single"/>
        </w:rPr>
        <w:t>Attachments A</w:t>
      </w:r>
      <w:r w:rsidRPr="000C5235">
        <w:t xml:space="preserve"> </w:t>
      </w:r>
      <w:r w:rsidR="00763D1C" w:rsidRPr="000C5235">
        <w:t xml:space="preserve">to </w:t>
      </w:r>
      <w:r w:rsidR="00821C9C" w:rsidRPr="000C5235">
        <w:rPr>
          <w:u w:val="single"/>
        </w:rPr>
        <w:t>C</w:t>
      </w:r>
      <w:r w:rsidRPr="000C5235">
        <w:t xml:space="preserve"> the </w:t>
      </w:r>
      <w:r w:rsidR="00DB0943" w:rsidRPr="000C5235">
        <w:t xml:space="preserve">guide, </w:t>
      </w:r>
      <w:r w:rsidRPr="000C5235">
        <w:t xml:space="preserve">Excel and Word templates are available through </w:t>
      </w:r>
      <w:r w:rsidR="00676137" w:rsidRPr="000C5235">
        <w:t>the Central Budget Management System (</w:t>
      </w:r>
      <w:r w:rsidRPr="000C5235">
        <w:t>CBMS</w:t>
      </w:r>
      <w:r w:rsidR="00676137" w:rsidRPr="000C5235">
        <w:t>)</w:t>
      </w:r>
      <w:r w:rsidRPr="000C5235">
        <w:t xml:space="preserve">. For </w:t>
      </w:r>
      <w:r w:rsidRPr="000C5235">
        <w:rPr>
          <w:u w:val="single"/>
        </w:rPr>
        <w:t>Attachment D</w:t>
      </w:r>
      <w:r w:rsidRPr="000C5235">
        <w:t xml:space="preserve"> Covers for the 2020-21 PBS, </w:t>
      </w:r>
      <w:r w:rsidR="004B5F4F" w:rsidRPr="000C5235">
        <w:t>you will</w:t>
      </w:r>
      <w:r w:rsidRPr="000C5235">
        <w:t xml:space="preserve"> need to email the Agency Accounting and Budget Framework Team to acquire them. Refer to section </w:t>
      </w:r>
      <w:r w:rsidR="00821C9C" w:rsidRPr="000C5235">
        <w:rPr>
          <w:i/>
        </w:rPr>
        <w:fldChar w:fldCharType="begin"/>
      </w:r>
      <w:r w:rsidR="00821C9C" w:rsidRPr="000C5235">
        <w:rPr>
          <w:i/>
        </w:rPr>
        <w:instrText xml:space="preserve"> REF _Ref46251134 \r \h  \* MERGEFORMAT </w:instrText>
      </w:r>
      <w:r w:rsidR="00821C9C" w:rsidRPr="000C5235">
        <w:rPr>
          <w:i/>
        </w:rPr>
      </w:r>
      <w:r w:rsidR="00821C9C" w:rsidRPr="000C5235">
        <w:rPr>
          <w:i/>
        </w:rPr>
        <w:fldChar w:fldCharType="separate"/>
      </w:r>
      <w:r w:rsidR="00577EB6" w:rsidRPr="000C5235">
        <w:rPr>
          <w:i/>
        </w:rPr>
        <w:t>6.4</w:t>
      </w:r>
      <w:r w:rsidR="00821C9C" w:rsidRPr="000C5235">
        <w:rPr>
          <w:i/>
        </w:rPr>
        <w:fldChar w:fldCharType="end"/>
      </w:r>
      <w:r w:rsidR="00821C9C" w:rsidRPr="000C5235">
        <w:rPr>
          <w:i/>
        </w:rPr>
        <w:t xml:space="preserve"> </w:t>
      </w:r>
      <w:r w:rsidR="00A224CD" w:rsidRPr="000C5235">
        <w:rPr>
          <w:i/>
        </w:rPr>
        <w:fldChar w:fldCharType="begin"/>
      </w:r>
      <w:r w:rsidR="00A224CD" w:rsidRPr="000C5235">
        <w:rPr>
          <w:i/>
        </w:rPr>
        <w:instrText xml:space="preserve"> REF _Ref46311770 \h  \* MERGEFORMAT </w:instrText>
      </w:r>
      <w:r w:rsidR="00A224CD" w:rsidRPr="000C5235">
        <w:rPr>
          <w:i/>
        </w:rPr>
      </w:r>
      <w:r w:rsidR="00A224CD" w:rsidRPr="000C5235">
        <w:rPr>
          <w:i/>
        </w:rPr>
        <w:fldChar w:fldCharType="separate"/>
      </w:r>
      <w:r w:rsidR="00A224CD" w:rsidRPr="000C5235">
        <w:rPr>
          <w:i/>
        </w:rPr>
        <w:t>Obtaining templates and covers</w:t>
      </w:r>
      <w:r w:rsidR="00A224CD" w:rsidRPr="000C5235">
        <w:rPr>
          <w:i/>
        </w:rPr>
        <w:fldChar w:fldCharType="end"/>
      </w:r>
      <w:r w:rsidR="00A224CD" w:rsidRPr="000C5235">
        <w:rPr>
          <w:i/>
        </w:rPr>
        <w:t xml:space="preserve"> </w:t>
      </w:r>
      <w:r w:rsidR="00821C9C" w:rsidRPr="000C5235">
        <w:t>of this guide</w:t>
      </w:r>
      <w:r w:rsidRPr="000C5235">
        <w:t xml:space="preserve"> on how to access these templates.</w:t>
      </w:r>
    </w:p>
    <w:p w14:paraId="3E0AF407" w14:textId="77777777" w:rsidR="007868A4" w:rsidRPr="000C5235" w:rsidRDefault="007868A4">
      <w:pPr>
        <w:pStyle w:val="Numbered"/>
      </w:pPr>
      <w:r w:rsidRPr="000C5235">
        <w:t>Portfolio entities are responsible for ensuring the consistency, accuracy and completeness of information presented in the PB Statements. Figures published must match those reported in CBMS, as CBMS information is used to prepare the Appropriation Bills and B</w:t>
      </w:r>
      <w:r w:rsidR="00A671CE" w:rsidRPr="000C5235">
        <w:t>P</w:t>
      </w:r>
      <w:r w:rsidRPr="000C5235">
        <w:t>.</w:t>
      </w:r>
    </w:p>
    <w:p w14:paraId="45409120" w14:textId="77777777" w:rsidR="00692A3D" w:rsidRPr="000C5235" w:rsidRDefault="007868A4">
      <w:pPr>
        <w:pStyle w:val="Numbered"/>
      </w:pPr>
      <w:r w:rsidRPr="000C5235">
        <w:t xml:space="preserve">PB Statement financial tables will be published on </w:t>
      </w:r>
      <w:hyperlink r:id="rId18" w:history="1">
        <w:r w:rsidRPr="000C5235">
          <w:rPr>
            <w:rStyle w:val="Hyperlink"/>
          </w:rPr>
          <w:t>data.gov.au</w:t>
        </w:r>
      </w:hyperlink>
      <w:r w:rsidRPr="000C5235">
        <w:t xml:space="preserve"> on Budget night Tuesday, 6 October 2020. Portfolios are to provide versions of these tables with all extraneous material removed (such as comments, links to other spreadsheets and formulas) in Excel format to the Agency Accounting and Budget Framework Team (</w:t>
      </w:r>
      <w:hyperlink r:id="rId19" w:history="1">
        <w:r w:rsidRPr="000C5235">
          <w:rPr>
            <w:rStyle w:val="Hyperlink"/>
          </w:rPr>
          <w:t>Budget_Framework@finance.gov.au</w:t>
        </w:r>
      </w:hyperlink>
      <w:r w:rsidRPr="000C5235">
        <w:t>), who will coordinate the publication of these files on data.gov.au</w:t>
      </w:r>
    </w:p>
    <w:p w14:paraId="590C57A2" w14:textId="77777777" w:rsidR="007868A4" w:rsidRPr="000C5235" w:rsidRDefault="007868A4" w:rsidP="008C5A23">
      <w:pPr>
        <w:pStyle w:val="Numbered"/>
        <w:widowControl/>
        <w:numPr>
          <w:ilvl w:val="0"/>
          <w:numId w:val="0"/>
        </w:numPr>
        <w:ind w:left="357"/>
      </w:pPr>
      <w:r w:rsidRPr="000C5235">
        <w:t xml:space="preserve">When preparing files for online publication refer to section </w:t>
      </w:r>
      <w:r w:rsidR="0013119E" w:rsidRPr="000C5235">
        <w:rPr>
          <w:i/>
        </w:rPr>
        <w:fldChar w:fldCharType="begin"/>
      </w:r>
      <w:r w:rsidR="0013119E" w:rsidRPr="000C5235">
        <w:rPr>
          <w:i/>
        </w:rPr>
        <w:instrText xml:space="preserve"> REF _Ref46251412 \r \h  \* MERGEFORMAT </w:instrText>
      </w:r>
      <w:r w:rsidR="0013119E" w:rsidRPr="000C5235">
        <w:rPr>
          <w:i/>
        </w:rPr>
      </w:r>
      <w:r w:rsidR="0013119E" w:rsidRPr="000C5235">
        <w:rPr>
          <w:i/>
        </w:rPr>
        <w:fldChar w:fldCharType="separate"/>
      </w:r>
      <w:r w:rsidR="00AB1905" w:rsidRPr="000C5235">
        <w:rPr>
          <w:i/>
        </w:rPr>
        <w:t>6.9</w:t>
      </w:r>
      <w:r w:rsidR="0013119E" w:rsidRPr="000C5235">
        <w:rPr>
          <w:i/>
        </w:rPr>
        <w:fldChar w:fldCharType="end"/>
      </w:r>
      <w:r w:rsidR="0013119E" w:rsidRPr="000C5235">
        <w:rPr>
          <w:i/>
        </w:rPr>
        <w:t xml:space="preserve"> </w:t>
      </w:r>
      <w:r w:rsidR="0013119E" w:rsidRPr="000C5235">
        <w:rPr>
          <w:i/>
        </w:rPr>
        <w:fldChar w:fldCharType="begin"/>
      </w:r>
      <w:r w:rsidR="0013119E" w:rsidRPr="000C5235">
        <w:rPr>
          <w:i/>
        </w:rPr>
        <w:instrText xml:space="preserve"> REF _Ref46251417 \h  \* MERGEFORMAT </w:instrText>
      </w:r>
      <w:r w:rsidR="0013119E" w:rsidRPr="000C5235">
        <w:rPr>
          <w:i/>
        </w:rPr>
      </w:r>
      <w:r w:rsidR="0013119E" w:rsidRPr="000C5235">
        <w:rPr>
          <w:i/>
        </w:rPr>
        <w:fldChar w:fldCharType="separate"/>
      </w:r>
      <w:r w:rsidR="00AB1905" w:rsidRPr="000C5235">
        <w:rPr>
          <w:i/>
        </w:rPr>
        <w:t>Online publication</w:t>
      </w:r>
      <w:r w:rsidR="0013119E" w:rsidRPr="000C5235">
        <w:rPr>
          <w:i/>
        </w:rPr>
        <w:fldChar w:fldCharType="end"/>
      </w:r>
      <w:r w:rsidRPr="000C5235">
        <w:t xml:space="preserve"> and use the </w:t>
      </w:r>
      <w:r w:rsidR="004B5F4F" w:rsidRPr="000C5235">
        <w:t>checklist</w:t>
      </w:r>
      <w:r w:rsidRPr="000C5235">
        <w:t xml:space="preserve"> in </w:t>
      </w:r>
      <w:r w:rsidR="00024B8C" w:rsidRPr="000C5235">
        <w:t xml:space="preserve">section </w:t>
      </w:r>
      <w:r w:rsidR="00821C9C" w:rsidRPr="000C5235">
        <w:rPr>
          <w:i/>
        </w:rPr>
        <w:fldChar w:fldCharType="begin"/>
      </w:r>
      <w:r w:rsidR="00821C9C" w:rsidRPr="000C5235">
        <w:rPr>
          <w:i/>
        </w:rPr>
        <w:instrText xml:space="preserve"> REF _Ref46250929 \r \h  \* MERGEFORMAT </w:instrText>
      </w:r>
      <w:r w:rsidR="00821C9C" w:rsidRPr="000C5235">
        <w:rPr>
          <w:i/>
        </w:rPr>
      </w:r>
      <w:r w:rsidR="00821C9C" w:rsidRPr="000C5235">
        <w:rPr>
          <w:i/>
        </w:rPr>
        <w:fldChar w:fldCharType="separate"/>
      </w:r>
      <w:r w:rsidR="00821C9C" w:rsidRPr="000C5235">
        <w:rPr>
          <w:i/>
        </w:rPr>
        <w:t>6.10.3</w:t>
      </w:r>
      <w:r w:rsidR="00821C9C" w:rsidRPr="000C5235">
        <w:rPr>
          <w:i/>
        </w:rPr>
        <w:fldChar w:fldCharType="end"/>
      </w:r>
      <w:r w:rsidR="00821C9C" w:rsidRPr="000C5235">
        <w:rPr>
          <w:i/>
        </w:rPr>
        <w:t xml:space="preserve"> </w:t>
      </w:r>
      <w:r w:rsidR="00821C9C" w:rsidRPr="000C5235">
        <w:rPr>
          <w:i/>
        </w:rPr>
        <w:fldChar w:fldCharType="begin"/>
      </w:r>
      <w:r w:rsidR="00821C9C" w:rsidRPr="000C5235">
        <w:rPr>
          <w:i/>
        </w:rPr>
        <w:instrText xml:space="preserve"> REF _Ref46250933 \h  \* MERGEFORMAT </w:instrText>
      </w:r>
      <w:r w:rsidR="00821C9C" w:rsidRPr="000C5235">
        <w:rPr>
          <w:i/>
        </w:rPr>
      </w:r>
      <w:r w:rsidR="00821C9C" w:rsidRPr="000C5235">
        <w:rPr>
          <w:i/>
        </w:rPr>
        <w:fldChar w:fldCharType="separate"/>
      </w:r>
      <w:r w:rsidR="00821C9C" w:rsidRPr="000C5235">
        <w:rPr>
          <w:i/>
        </w:rPr>
        <w:t>Checklist for preparing files for online publication on data.gov.au</w:t>
      </w:r>
      <w:r w:rsidR="00821C9C" w:rsidRPr="000C5235">
        <w:rPr>
          <w:i/>
        </w:rPr>
        <w:fldChar w:fldCharType="end"/>
      </w:r>
      <w:r w:rsidRPr="000C5235">
        <w:t xml:space="preserve"> of </w:t>
      </w:r>
      <w:r w:rsidR="00AC0C8A" w:rsidRPr="000C5235">
        <w:t>this guide</w:t>
      </w:r>
      <w:r w:rsidRPr="000C5235">
        <w:t>.</w:t>
      </w:r>
    </w:p>
    <w:p w14:paraId="498AC7FB" w14:textId="77777777" w:rsidR="00B84E62" w:rsidRPr="000C5235" w:rsidRDefault="00B84E62">
      <w:pPr>
        <w:pStyle w:val="Numbered"/>
      </w:pPr>
      <w:r w:rsidRPr="000C5235">
        <w:t>Entities will need to use their internal financial information systems to prepare tables for Section 2.</w:t>
      </w:r>
    </w:p>
    <w:p w14:paraId="6C26B1C3" w14:textId="77777777" w:rsidR="0042016D" w:rsidRPr="000C5235" w:rsidRDefault="0042016D">
      <w:pPr>
        <w:pStyle w:val="Numbered"/>
      </w:pPr>
      <w:r w:rsidRPr="000C5235">
        <w:t>CBMS functionality exists that allows the system to pre-populate some of the information contained in the PBS tables for Section 2 and 3 tables (i.e. resourcing and the financial statements). The tables will be numbered in CBMS as they appear in th</w:t>
      </w:r>
      <w:r w:rsidR="00104E63" w:rsidRPr="000C5235">
        <w:t xml:space="preserve">is guide and </w:t>
      </w:r>
      <w:r w:rsidRPr="000C5235">
        <w:t xml:space="preserve">further information </w:t>
      </w:r>
      <w:r w:rsidR="00104E63" w:rsidRPr="000C5235">
        <w:t xml:space="preserve">can be found </w:t>
      </w:r>
      <w:r w:rsidRPr="000C5235">
        <w:t>on:</w:t>
      </w:r>
    </w:p>
    <w:p w14:paraId="78E435EC" w14:textId="47363AF1" w:rsidR="00B51CD3" w:rsidRPr="000C5235" w:rsidRDefault="0042016D" w:rsidP="00C75597">
      <w:pPr>
        <w:pStyle w:val="LetteredList"/>
      </w:pPr>
      <w:r w:rsidRPr="000C5235">
        <w:t xml:space="preserve">The chart of account mappings </w:t>
      </w:r>
      <w:r w:rsidR="00104E63" w:rsidRPr="000C5235">
        <w:t xml:space="preserve">which </w:t>
      </w:r>
      <w:r w:rsidRPr="000C5235">
        <w:t>explain how the tables are derived.  The document is available from</w:t>
      </w:r>
      <w:r w:rsidR="00B51CD3" w:rsidRPr="000C5235">
        <w:t>:</w:t>
      </w:r>
    </w:p>
    <w:p w14:paraId="237E6DEB" w14:textId="0B17864D" w:rsidR="0042016D" w:rsidRPr="000C5235" w:rsidRDefault="0042016D" w:rsidP="000C42A6">
      <w:pPr>
        <w:pStyle w:val="Bullet3"/>
        <w:rPr>
          <w:i/>
          <w:color w:val="0070C0"/>
        </w:rPr>
      </w:pPr>
      <w:r w:rsidRPr="000C5235">
        <w:rPr>
          <w:i/>
          <w:color w:val="0070C0"/>
        </w:rPr>
        <w:t xml:space="preserve">CBMS User Reference Material </w:t>
      </w:r>
      <w:r w:rsidRPr="000C5235">
        <w:rPr>
          <w:i/>
          <w:color w:val="0070C0"/>
        </w:rPr>
        <w:sym w:font="Wingdings" w:char="F0E0"/>
      </w:r>
      <w:r w:rsidRPr="000C5235">
        <w:rPr>
          <w:i/>
          <w:color w:val="0070C0"/>
        </w:rPr>
        <w:t xml:space="preserve"> 09. Reference Material </w:t>
      </w:r>
      <w:r w:rsidRPr="000C5235">
        <w:rPr>
          <w:i/>
          <w:color w:val="0070C0"/>
        </w:rPr>
        <w:sym w:font="Wingdings" w:char="F0E0"/>
      </w:r>
      <w:r w:rsidRPr="000C5235">
        <w:rPr>
          <w:i/>
          <w:color w:val="0070C0"/>
        </w:rPr>
        <w:t xml:space="preserve"> CBMS </w:t>
      </w:r>
      <w:r w:rsidRPr="000C5235">
        <w:rPr>
          <w:i/>
          <w:color w:val="0070C0"/>
        </w:rPr>
        <w:sym w:font="Wingdings" w:char="F0E0"/>
      </w:r>
      <w:r w:rsidRPr="000C5235">
        <w:rPr>
          <w:i/>
          <w:color w:val="0070C0"/>
        </w:rPr>
        <w:t xml:space="preserve"> Annual Estimates </w:t>
      </w:r>
      <w:r w:rsidRPr="000C5235">
        <w:rPr>
          <w:i/>
          <w:color w:val="0070C0"/>
        </w:rPr>
        <w:sym w:font="Wingdings" w:char="F0E0"/>
      </w:r>
      <w:r w:rsidRPr="000C5235">
        <w:rPr>
          <w:i/>
          <w:color w:val="0070C0"/>
        </w:rPr>
        <w:t xml:space="preserve"> PBS, PAES &amp; PSAES Mappings.</w:t>
      </w:r>
    </w:p>
    <w:p w14:paraId="444B8F63" w14:textId="77777777" w:rsidR="007868A4" w:rsidRPr="000C5235" w:rsidRDefault="00104E63" w:rsidP="00C75597">
      <w:pPr>
        <w:pStyle w:val="LetteredList"/>
      </w:pPr>
      <w:r w:rsidRPr="000C5235">
        <w:t xml:space="preserve">The reports to run / the </w:t>
      </w:r>
      <w:r w:rsidR="0042016D" w:rsidRPr="000C5235">
        <w:t xml:space="preserve">CBMS file paths for </w:t>
      </w:r>
      <w:r w:rsidRPr="000C5235">
        <w:t xml:space="preserve">the </w:t>
      </w:r>
      <w:r w:rsidR="0042016D" w:rsidRPr="000C5235">
        <w:t>source</w:t>
      </w:r>
      <w:r w:rsidR="00895FC3" w:rsidRPr="000C5235">
        <w:t>s</w:t>
      </w:r>
      <w:r w:rsidR="0042016D" w:rsidRPr="000C5235">
        <w:t xml:space="preserve"> </w:t>
      </w:r>
      <w:r w:rsidR="00895FC3" w:rsidRPr="000C5235">
        <w:t xml:space="preserve">of </w:t>
      </w:r>
      <w:r w:rsidR="0042016D" w:rsidRPr="000C5235">
        <w:t>information</w:t>
      </w:r>
      <w:r w:rsidRPr="000C5235">
        <w:t xml:space="preserve"> are explained in </w:t>
      </w:r>
      <w:r w:rsidR="00895FC3" w:rsidRPr="000C5235">
        <w:t xml:space="preserve">the relevant parts of this guide </w:t>
      </w:r>
      <w:r w:rsidR="00BD618C" w:rsidRPr="000C5235">
        <w:t>below</w:t>
      </w:r>
      <w:r w:rsidR="0042016D" w:rsidRPr="000C5235">
        <w:t>.</w:t>
      </w:r>
    </w:p>
    <w:p w14:paraId="21C89997" w14:textId="77777777" w:rsidR="007322F2" w:rsidRPr="000C5235" w:rsidRDefault="007322F2">
      <w:pPr>
        <w:pStyle w:val="Numbered"/>
      </w:pPr>
      <w:r w:rsidRPr="000C5235">
        <w:t>When preparing the PB Statements, entities should use data from the Budget Estimates update round in CBMS labelled "2021.04 - 2020/21 Budget".</w:t>
      </w:r>
    </w:p>
    <w:p w14:paraId="27B8FA6B" w14:textId="77777777" w:rsidR="007322F2" w:rsidRPr="000C5235" w:rsidRDefault="007322F2">
      <w:pPr>
        <w:pStyle w:val="Numbered"/>
      </w:pPr>
      <w:r w:rsidRPr="000C5235">
        <w:t>The PB Statement reports available from the CBMS have not yet been updated to align with the new leasing account codes created. This means entities will have to:</w:t>
      </w:r>
    </w:p>
    <w:p w14:paraId="7E6B9610" w14:textId="77777777" w:rsidR="007322F2" w:rsidRPr="000C5235" w:rsidRDefault="007322F2" w:rsidP="00C75597">
      <w:pPr>
        <w:pStyle w:val="LetteredList"/>
        <w:numPr>
          <w:ilvl w:val="0"/>
          <w:numId w:val="249"/>
        </w:numPr>
      </w:pPr>
      <w:r w:rsidRPr="000C5235">
        <w:t>For the Budgeted expenses by outcome table, report the Interest on R</w:t>
      </w:r>
      <w:r w:rsidR="00673397" w:rsidRPr="000C5235">
        <w:t>o</w:t>
      </w:r>
      <w:r w:rsidRPr="000C5235">
        <w:t>U</w:t>
      </w:r>
      <w:r w:rsidR="00673397" w:rsidRPr="000C5235">
        <w:t xml:space="preserve"> </w:t>
      </w:r>
      <w:r w:rsidRPr="000C5235">
        <w:t>and Depreciation of R</w:t>
      </w:r>
      <w:r w:rsidR="00673397" w:rsidRPr="000C5235">
        <w:t>o</w:t>
      </w:r>
      <w:r w:rsidRPr="000C5235">
        <w:t>U assets as part of Departmental Appropriation Expenses.</w:t>
      </w:r>
    </w:p>
    <w:p w14:paraId="0068D0B0" w14:textId="77777777" w:rsidR="007322F2" w:rsidRPr="000C5235" w:rsidRDefault="007322F2" w:rsidP="00C75597">
      <w:pPr>
        <w:pStyle w:val="LetteredList"/>
      </w:pPr>
      <w:r w:rsidRPr="000C5235">
        <w:t>Manually derive the leasing components in their Part 3 Budgeted Financial Statements.</w:t>
      </w:r>
    </w:p>
    <w:p w14:paraId="501AA091" w14:textId="77777777" w:rsidR="007322F2" w:rsidRPr="000C5235" w:rsidRDefault="007322F2">
      <w:pPr>
        <w:pStyle w:val="Numbered"/>
      </w:pPr>
      <w:r w:rsidRPr="000C5235">
        <w:t>To source the data for the new leasing accounts, entities may use the following CBMS reports:</w:t>
      </w:r>
    </w:p>
    <w:p w14:paraId="288EB019" w14:textId="77777777" w:rsidR="007322F2" w:rsidRPr="000C5235" w:rsidRDefault="007322F2" w:rsidP="00C75597">
      <w:pPr>
        <w:pStyle w:val="LetteredList"/>
        <w:numPr>
          <w:ilvl w:val="0"/>
          <w:numId w:val="250"/>
        </w:numPr>
      </w:pPr>
      <w:r w:rsidRPr="000C5235">
        <w:t>AE.OR.01 Annual Estimates Financial Statements</w:t>
      </w:r>
    </w:p>
    <w:p w14:paraId="050673A5" w14:textId="77777777" w:rsidR="007868A4" w:rsidRPr="000C5235" w:rsidRDefault="007322F2" w:rsidP="00C75597">
      <w:pPr>
        <w:pStyle w:val="LetteredList"/>
      </w:pPr>
      <w:r w:rsidRPr="000C5235">
        <w:t>AE.OR.13 Annual Estimates Detail Listing AEIFRS Report</w:t>
      </w:r>
      <w:r w:rsidR="00B64D20" w:rsidRPr="000C5235">
        <w:br/>
      </w:r>
    </w:p>
    <w:p w14:paraId="638F3C22" w14:textId="77777777" w:rsidR="00895FC3" w:rsidRPr="000C5235" w:rsidRDefault="00DB0943">
      <w:pPr>
        <w:pStyle w:val="Numbered"/>
      </w:pPr>
      <w:r w:rsidRPr="000C5235">
        <w:t xml:space="preserve">2019-20 </w:t>
      </w:r>
      <w:r w:rsidR="002231E7" w:rsidRPr="000C5235">
        <w:t xml:space="preserve">financial </w:t>
      </w:r>
      <w:r w:rsidRPr="000C5235">
        <w:t>outcomes will be available prior to the publication of the 2020</w:t>
      </w:r>
      <w:r w:rsidR="002231E7" w:rsidRPr="000C5235">
        <w:noBreakHyphen/>
        <w:t>21 </w:t>
      </w:r>
      <w:r w:rsidRPr="000C5235">
        <w:t xml:space="preserve">Budget. Finance will copy 2019-20 </w:t>
      </w:r>
      <w:r w:rsidR="002231E7" w:rsidRPr="000C5235">
        <w:t xml:space="preserve">actual </w:t>
      </w:r>
      <w:r w:rsidRPr="000C5235">
        <w:t xml:space="preserve">account balances (including income statement, balance sheet and cash flow accounts) from the Annual Actuals module into the Annual Estimates module </w:t>
      </w:r>
      <w:r w:rsidR="0082115C" w:rsidRPr="000C5235">
        <w:t xml:space="preserve">in early </w:t>
      </w:r>
      <w:r w:rsidRPr="000C5235">
        <w:t>September, following the submission of 2019</w:t>
      </w:r>
      <w:r w:rsidR="002231E7" w:rsidRPr="000C5235">
        <w:noBreakHyphen/>
        <w:t>20 </w:t>
      </w:r>
      <w:r w:rsidRPr="000C5235">
        <w:t xml:space="preserve">financial statements in CBMS. This means </w:t>
      </w:r>
      <w:r w:rsidR="008C0022" w:rsidRPr="000C5235">
        <w:t xml:space="preserve">nearly all </w:t>
      </w:r>
      <w:r w:rsidRPr="000C5235">
        <w:t>entities will automatically report 2019-20 Actuals in their PBS tables as part of their '2019-20 Estimated Actual' figures.</w:t>
      </w:r>
    </w:p>
    <w:p w14:paraId="0902D13A" w14:textId="77777777" w:rsidR="00DB0943" w:rsidRPr="000C5235" w:rsidRDefault="00DB0943" w:rsidP="008C5A23">
      <w:pPr>
        <w:pStyle w:val="Numbered"/>
        <w:numPr>
          <w:ilvl w:val="0"/>
          <w:numId w:val="0"/>
        </w:numPr>
        <w:ind w:left="357"/>
      </w:pPr>
      <w:r w:rsidRPr="000C5235">
        <w:t xml:space="preserve">Entities </w:t>
      </w:r>
      <w:r w:rsidRPr="000C5235">
        <w:rPr>
          <w:u w:val="single"/>
        </w:rPr>
        <w:t xml:space="preserve">must not </w:t>
      </w:r>
      <w:r w:rsidRPr="000C5235">
        <w:t>change the PBS table's column labelling from</w:t>
      </w:r>
      <w:r w:rsidR="00895FC3" w:rsidRPr="000C5235">
        <w:t xml:space="preserve"> </w:t>
      </w:r>
      <w:r w:rsidRPr="000C5235">
        <w:t>'2019</w:t>
      </w:r>
      <w:r w:rsidR="00895FC3" w:rsidRPr="000C5235">
        <w:t>-</w:t>
      </w:r>
      <w:r w:rsidRPr="000C5235">
        <w:t>20</w:t>
      </w:r>
      <w:r w:rsidR="00895FC3" w:rsidRPr="000C5235">
        <w:t xml:space="preserve"> </w:t>
      </w:r>
      <w:r w:rsidRPr="000C5235">
        <w:t>Estimated</w:t>
      </w:r>
      <w:r w:rsidR="00895FC3" w:rsidRPr="000C5235">
        <w:t xml:space="preserve"> </w:t>
      </w:r>
      <w:r w:rsidRPr="000C5235">
        <w:t>Actual</w:t>
      </w:r>
      <w:r w:rsidR="002231E7" w:rsidRPr="000C5235">
        <w:t>s</w:t>
      </w:r>
      <w:r w:rsidRPr="000C5235">
        <w:t>'</w:t>
      </w:r>
      <w:r w:rsidR="00895FC3" w:rsidRPr="000C5235">
        <w:t>.</w:t>
      </w:r>
    </w:p>
    <w:p w14:paraId="4C214EA0" w14:textId="77777777" w:rsidR="00DB0943" w:rsidRPr="000C5235" w:rsidRDefault="00DB0943" w:rsidP="008C5A23">
      <w:pPr>
        <w:pStyle w:val="Numbered"/>
        <w:numPr>
          <w:ilvl w:val="0"/>
          <w:numId w:val="0"/>
        </w:numPr>
        <w:ind w:left="357"/>
      </w:pPr>
      <w:r w:rsidRPr="000C5235">
        <w:t xml:space="preserve">The basis for continuing to report 2019-20 using the 'Estimated Actuals' label will </w:t>
      </w:r>
      <w:r w:rsidR="00636475" w:rsidRPr="000C5235">
        <w:t>provide leeway for any late changes to an entity’s financial statements that may not be fully reflected in an entity’s final statements</w:t>
      </w:r>
      <w:r w:rsidR="002661D6" w:rsidRPr="000C5235">
        <w:t xml:space="preserve">. This will </w:t>
      </w:r>
      <w:r w:rsidR="008C0022" w:rsidRPr="000C5235">
        <w:t xml:space="preserve">allow </w:t>
      </w:r>
      <w:r w:rsidRPr="000C5235">
        <w:t>the 2020-21 PB Statements</w:t>
      </w:r>
      <w:r w:rsidR="00955700" w:rsidRPr="000C5235">
        <w:t xml:space="preserve"> to</w:t>
      </w:r>
      <w:r w:rsidRPr="000C5235">
        <w:t xml:space="preserve"> be tabled on 6 October 2020 before entities are required to provide their Minister with their 2019-20 Annual Report on the 15</w:t>
      </w:r>
      <w:r w:rsidR="00955700" w:rsidRPr="000C5235">
        <w:t>th</w:t>
      </w:r>
      <w:r w:rsidRPr="000C5235">
        <w:t xml:space="preserve"> October 2020 for presentation to Parliament (as required by s46 of the </w:t>
      </w:r>
      <w:r w:rsidR="00761FCC" w:rsidRPr="000C5235">
        <w:rPr>
          <w:rStyle w:val="BodyTextChar"/>
          <w:i/>
        </w:rPr>
        <w:t xml:space="preserve">Public Governance, Performance and Accountability </w:t>
      </w:r>
      <w:r w:rsidRPr="000C5235">
        <w:rPr>
          <w:i/>
        </w:rPr>
        <w:t>Act 2013</w:t>
      </w:r>
      <w:r w:rsidR="00761FCC" w:rsidRPr="000C5235">
        <w:t xml:space="preserve"> (PGPA Act</w:t>
      </w:r>
      <w:r w:rsidRPr="000C5235">
        <w:t xml:space="preserve">).  </w:t>
      </w:r>
    </w:p>
    <w:p w14:paraId="34D21E93" w14:textId="77777777" w:rsidR="00C71CFD" w:rsidRPr="000C5235" w:rsidRDefault="00DB0943" w:rsidP="008C5A23">
      <w:pPr>
        <w:pStyle w:val="Numbered"/>
        <w:numPr>
          <w:ilvl w:val="0"/>
          <w:numId w:val="0"/>
        </w:numPr>
        <w:ind w:left="357"/>
      </w:pPr>
      <w:r w:rsidRPr="000C5235">
        <w:t>This approach prevents entities actively pre-empting the announcement of their actual results to be reported in their Annual Report.</w:t>
      </w:r>
    </w:p>
    <w:p w14:paraId="7BEBCE0E" w14:textId="77777777" w:rsidR="00B751D1" w:rsidRPr="000C5235" w:rsidRDefault="002376FB" w:rsidP="000A7DEC">
      <w:pPr>
        <w:pStyle w:val="Heading1Numbered"/>
      </w:pPr>
      <w:bookmarkStart w:id="27" w:name="_Toc47951191"/>
      <w:r w:rsidRPr="000C5235">
        <w:t>Changes in 2020-21 PB Statements</w:t>
      </w:r>
      <w:bookmarkEnd w:id="26"/>
      <w:bookmarkEnd w:id="27"/>
    </w:p>
    <w:p w14:paraId="204CFB6E" w14:textId="77777777" w:rsidR="0071376E" w:rsidRPr="000C5235" w:rsidRDefault="0071376E" w:rsidP="000A7DEC">
      <w:pPr>
        <w:pStyle w:val="Heading2Numbered"/>
      </w:pPr>
      <w:bookmarkStart w:id="28" w:name="1.2_Who_should_prepare_PB_Statements"/>
      <w:bookmarkStart w:id="29" w:name="_Toc29980636"/>
      <w:bookmarkStart w:id="30" w:name="_Toc30405511"/>
      <w:bookmarkStart w:id="31" w:name="_Toc30581252"/>
      <w:bookmarkStart w:id="32" w:name="_Toc32829914"/>
      <w:bookmarkStart w:id="33" w:name="_Toc32917416"/>
      <w:bookmarkStart w:id="34" w:name="_Toc32918222"/>
      <w:bookmarkStart w:id="35" w:name="_Toc32999605"/>
      <w:bookmarkStart w:id="36" w:name="_Toc33099324"/>
      <w:bookmarkStart w:id="37" w:name="_Toc33195954"/>
      <w:bookmarkStart w:id="38" w:name="_Toc33196256"/>
      <w:bookmarkStart w:id="39" w:name="_Toc29394517"/>
      <w:bookmarkStart w:id="40" w:name="_Toc29394815"/>
      <w:bookmarkStart w:id="41" w:name="_Toc29394946"/>
      <w:bookmarkStart w:id="42" w:name="_Toc29395342"/>
      <w:bookmarkStart w:id="43" w:name="_Toc29395428"/>
      <w:bookmarkStart w:id="44" w:name="_Toc29396859"/>
      <w:bookmarkStart w:id="45" w:name="_Toc29478096"/>
      <w:bookmarkStart w:id="46" w:name="_Toc29481833"/>
      <w:bookmarkStart w:id="47" w:name="_Toc29544135"/>
      <w:bookmarkStart w:id="48" w:name="_Toc29544722"/>
      <w:bookmarkStart w:id="49" w:name="_Toc29544797"/>
      <w:bookmarkStart w:id="50" w:name="_Toc29546661"/>
      <w:bookmarkStart w:id="51" w:name="_Toc29980637"/>
      <w:bookmarkStart w:id="52" w:name="_Toc30405512"/>
      <w:bookmarkStart w:id="53" w:name="_Toc30581253"/>
      <w:bookmarkStart w:id="54" w:name="_Toc32829915"/>
      <w:bookmarkStart w:id="55" w:name="_Toc32917417"/>
      <w:bookmarkStart w:id="56" w:name="_Toc32918223"/>
      <w:bookmarkStart w:id="57" w:name="_Toc32999606"/>
      <w:bookmarkStart w:id="58" w:name="_Toc33099325"/>
      <w:bookmarkStart w:id="59" w:name="_Toc33195955"/>
      <w:bookmarkStart w:id="60" w:name="_Toc33196257"/>
      <w:bookmarkStart w:id="61" w:name="_Toc29980638"/>
      <w:bookmarkStart w:id="62" w:name="_Toc30405513"/>
      <w:bookmarkStart w:id="63" w:name="_Toc30581254"/>
      <w:bookmarkStart w:id="64" w:name="_Toc32829916"/>
      <w:bookmarkStart w:id="65" w:name="_Toc32917418"/>
      <w:bookmarkStart w:id="66" w:name="_Toc32918224"/>
      <w:bookmarkStart w:id="67" w:name="_Toc32999607"/>
      <w:bookmarkStart w:id="68" w:name="_Toc33099326"/>
      <w:bookmarkStart w:id="69" w:name="_Toc33195956"/>
      <w:bookmarkStart w:id="70" w:name="_Toc33196258"/>
      <w:bookmarkStart w:id="71" w:name="_Toc47951192"/>
      <w:bookmarkStart w:id="72" w:name="_Toc50446880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0C5235">
        <w:t>AASB 16 Leases</w:t>
      </w:r>
      <w:bookmarkEnd w:id="71"/>
    </w:p>
    <w:p w14:paraId="445666AE" w14:textId="77777777" w:rsidR="00DC6534" w:rsidRPr="000C5235" w:rsidRDefault="00052ECD" w:rsidP="000A7DEC">
      <w:r w:rsidRPr="000C5235">
        <w:t xml:space="preserve">The 2020-21 PB Statements need to reflect the changes as a consequence of AASB </w:t>
      </w:r>
      <w:r w:rsidR="00692A3D" w:rsidRPr="000C5235">
        <w:t>16 </w:t>
      </w:r>
      <w:r w:rsidRPr="000C5235">
        <w:rPr>
          <w:i/>
        </w:rPr>
        <w:t>Leases</w:t>
      </w:r>
      <w:r w:rsidRPr="000C5235">
        <w:t>. The Excel templat</w:t>
      </w:r>
      <w:r w:rsidR="00DC6534" w:rsidRPr="000C5235">
        <w:t>e</w:t>
      </w:r>
      <w:r w:rsidRPr="000C5235">
        <w:t xml:space="preserve"> in </w:t>
      </w:r>
      <w:r w:rsidRPr="000C5235">
        <w:rPr>
          <w:u w:val="single"/>
        </w:rPr>
        <w:t xml:space="preserve">Attachment </w:t>
      </w:r>
      <w:r w:rsidR="000457F9" w:rsidRPr="000C5235">
        <w:rPr>
          <w:u w:val="single"/>
        </w:rPr>
        <w:t>B</w:t>
      </w:r>
      <w:r w:rsidR="000457F9" w:rsidRPr="000C5235">
        <w:t xml:space="preserve"> </w:t>
      </w:r>
      <w:r w:rsidR="00DC6534" w:rsidRPr="000C5235">
        <w:t>includes</w:t>
      </w:r>
      <w:r w:rsidRPr="000C5235">
        <w:t xml:space="preserve"> the new line-items</w:t>
      </w:r>
      <w:r w:rsidR="00444E8C" w:rsidRPr="000C5235">
        <w:t xml:space="preserve"> </w:t>
      </w:r>
      <w:r w:rsidRPr="000C5235">
        <w:t xml:space="preserve">which entities are to include in their tables. </w:t>
      </w:r>
      <w:r w:rsidR="00DC6534" w:rsidRPr="000C5235">
        <w:t xml:space="preserve">A </w:t>
      </w:r>
      <w:r w:rsidR="00EE5A28" w:rsidRPr="000C5235">
        <w:t xml:space="preserve">user </w:t>
      </w:r>
      <w:r w:rsidR="00DC6534" w:rsidRPr="000C5235">
        <w:t>document also exists that provides suggested mappings to derive tables. This is available from:</w:t>
      </w:r>
    </w:p>
    <w:p w14:paraId="41ADF222" w14:textId="77777777" w:rsidR="00DC6534" w:rsidRPr="000C5235" w:rsidRDefault="00DC6534" w:rsidP="00493ED2">
      <w:pPr>
        <w:pStyle w:val="CBMSReportPath"/>
      </w:pPr>
      <w:r w:rsidRPr="000C5235">
        <w:t xml:space="preserve">CBMS User Reference Material </w:t>
      </w:r>
      <w:r w:rsidRPr="000C5235">
        <w:sym w:font="Wingdings" w:char="F0E0"/>
      </w:r>
      <w:r w:rsidRPr="000C5235">
        <w:t xml:space="preserve"> 09. Reference Material </w:t>
      </w:r>
      <w:r w:rsidRPr="000C5235">
        <w:sym w:font="Wingdings" w:char="F0E0"/>
      </w:r>
      <w:r w:rsidRPr="000C5235">
        <w:t xml:space="preserve"> CBMS </w:t>
      </w:r>
      <w:r w:rsidRPr="000C5235">
        <w:sym w:font="Wingdings" w:char="F0E0"/>
      </w:r>
      <w:r w:rsidRPr="000C5235">
        <w:t xml:space="preserve"> Annual Estimates </w:t>
      </w:r>
      <w:r w:rsidRPr="000C5235">
        <w:sym w:font="Wingdings" w:char="F0E0"/>
      </w:r>
      <w:r w:rsidRPr="000C5235">
        <w:t xml:space="preserve"> PBS, PAES &amp; PSAES Mappings</w:t>
      </w:r>
    </w:p>
    <w:p w14:paraId="492EE2C9" w14:textId="77777777" w:rsidR="008953C8" w:rsidRPr="000C5235" w:rsidRDefault="00052ECD" w:rsidP="000A7DEC">
      <w:r w:rsidRPr="000C5235">
        <w:t>The PB Statement reports available from the CBMS have not yet been updated to align with the new leasing account codes created.</w:t>
      </w:r>
    </w:p>
    <w:p w14:paraId="26BF0A18" w14:textId="77777777" w:rsidR="00052ECD" w:rsidRPr="000C5235" w:rsidRDefault="00052ECD" w:rsidP="000A7DEC">
      <w:r w:rsidRPr="000C5235">
        <w:t>This means entities will have to:</w:t>
      </w:r>
    </w:p>
    <w:p w14:paraId="09F302BA" w14:textId="77777777" w:rsidR="008953C8" w:rsidRPr="000C5235" w:rsidRDefault="00052ECD" w:rsidP="000A7DEC">
      <w:pPr>
        <w:pStyle w:val="Bullet1"/>
      </w:pPr>
      <w:r w:rsidRPr="000C5235">
        <w:t>For the Budgeted expenses by outcome table</w:t>
      </w:r>
      <w:r w:rsidR="008953C8" w:rsidRPr="000C5235">
        <w:t>,</w:t>
      </w:r>
      <w:r w:rsidRPr="000C5235">
        <w:t xml:space="preserve"> reflect the Interest on </w:t>
      </w:r>
      <w:r w:rsidR="009F3C94" w:rsidRPr="000C5235">
        <w:t>R</w:t>
      </w:r>
      <w:r w:rsidR="00DC6534" w:rsidRPr="000C5235">
        <w:t>ight-of</w:t>
      </w:r>
      <w:r w:rsidR="009F3C94" w:rsidRPr="000C5235">
        <w:t>-U</w:t>
      </w:r>
      <w:r w:rsidR="00DC6534" w:rsidRPr="000C5235">
        <w:t xml:space="preserve">se </w:t>
      </w:r>
      <w:r w:rsidR="00071DD0" w:rsidRPr="000C5235">
        <w:t>(</w:t>
      </w:r>
      <w:r w:rsidR="009F3C94" w:rsidRPr="000C5235">
        <w:t>RoU</w:t>
      </w:r>
      <w:r w:rsidR="00071DD0" w:rsidRPr="000C5235">
        <w:t>)</w:t>
      </w:r>
      <w:r w:rsidRPr="000C5235">
        <w:t xml:space="preserve"> </w:t>
      </w:r>
      <w:r w:rsidR="008A3568" w:rsidRPr="000C5235">
        <w:t xml:space="preserve">Assets </w:t>
      </w:r>
      <w:r w:rsidRPr="000C5235">
        <w:t xml:space="preserve">and Depreciation of </w:t>
      </w:r>
      <w:r w:rsidR="009F3C94" w:rsidRPr="000C5235">
        <w:t>RoU</w:t>
      </w:r>
      <w:r w:rsidRPr="000C5235">
        <w:t xml:space="preserve"> </w:t>
      </w:r>
      <w:r w:rsidR="008A3568" w:rsidRPr="000C5235">
        <w:t xml:space="preserve">Assets </w:t>
      </w:r>
      <w:r w:rsidRPr="000C5235">
        <w:t>to be reported as part of Departmental Appropriation Expenses.</w:t>
      </w:r>
    </w:p>
    <w:p w14:paraId="4ABC6266" w14:textId="77777777" w:rsidR="00D17B92" w:rsidRPr="000C5235" w:rsidRDefault="00095958" w:rsidP="00AC0C8A">
      <w:pPr>
        <w:pStyle w:val="Bullet1"/>
        <w:spacing w:before="0" w:after="120" w:line="440" w:lineRule="atLeast"/>
      </w:pPr>
      <w:r w:rsidRPr="000C5235">
        <w:t>Manually derive the leasing components in their Part 3 Budgeted Financial Statements.</w:t>
      </w:r>
    </w:p>
    <w:p w14:paraId="3817D22D" w14:textId="77777777" w:rsidR="00095958" w:rsidRPr="000C5235" w:rsidRDefault="00095958" w:rsidP="000A7DEC">
      <w:r w:rsidRPr="000C5235">
        <w:t>To source the data for the new leasing accounts, entities may use the following CBMS reports:</w:t>
      </w:r>
    </w:p>
    <w:p w14:paraId="04E6CA23" w14:textId="77777777" w:rsidR="00D5739D" w:rsidRPr="000C5235" w:rsidRDefault="00095958" w:rsidP="000A7DEC">
      <w:pPr>
        <w:pStyle w:val="Bullet1"/>
      </w:pPr>
      <w:r w:rsidRPr="000C5235">
        <w:t>AE.OR.01 Annual Estimates Financial Statements</w:t>
      </w:r>
    </w:p>
    <w:p w14:paraId="24E566A0" w14:textId="77777777" w:rsidR="00052ECD" w:rsidRPr="000C5235" w:rsidRDefault="00052ECD" w:rsidP="000A7DEC">
      <w:pPr>
        <w:pStyle w:val="Bullet1"/>
      </w:pPr>
      <w:r w:rsidRPr="000C5235">
        <w:t>AE.OR.13 Annual Estimates Detail Listing AEIFRS Report</w:t>
      </w:r>
      <w:r w:rsidR="00692A3D" w:rsidRPr="000C5235">
        <w:t>.</w:t>
      </w:r>
    </w:p>
    <w:p w14:paraId="0F9ECDA9" w14:textId="77777777" w:rsidR="00A403D6" w:rsidRPr="000C5235" w:rsidRDefault="00C83A20">
      <w:pPr>
        <w:pStyle w:val="Heading2Numbered"/>
      </w:pPr>
      <w:bookmarkStart w:id="73" w:name="_Toc47951193"/>
      <w:bookmarkStart w:id="74" w:name="_Toc26963537"/>
      <w:r w:rsidRPr="000C5235">
        <w:t xml:space="preserve">The Reporting of </w:t>
      </w:r>
      <w:r w:rsidR="00284C08" w:rsidRPr="000C5235">
        <w:t>Measures</w:t>
      </w:r>
      <w:bookmarkEnd w:id="73"/>
    </w:p>
    <w:p w14:paraId="5A449573" w14:textId="4073F550" w:rsidR="00284C08" w:rsidRPr="000C5235" w:rsidRDefault="00C83A20" w:rsidP="00DB312F">
      <w:r w:rsidRPr="000C5235">
        <w:t xml:space="preserve">Entities will only be required to report </w:t>
      </w:r>
      <w:r w:rsidR="00F14BCB" w:rsidRPr="000C5235">
        <w:t xml:space="preserve">measures announced </w:t>
      </w:r>
      <w:r w:rsidR="00026975" w:rsidRPr="000C5235">
        <w:rPr>
          <w:u w:val="single"/>
        </w:rPr>
        <w:t>after</w:t>
      </w:r>
      <w:r w:rsidR="00F14BCB" w:rsidRPr="000C5235">
        <w:t xml:space="preserve"> the </w:t>
      </w:r>
      <w:r w:rsidR="00DB6424" w:rsidRPr="000C5235">
        <w:rPr>
          <w:i/>
        </w:rPr>
        <w:t>Economic and Fiscal Update July 2020</w:t>
      </w:r>
      <w:r w:rsidR="00692A3D" w:rsidRPr="000C5235">
        <w:rPr>
          <w:i/>
        </w:rPr>
        <w:t xml:space="preserve"> </w:t>
      </w:r>
      <w:r w:rsidR="001321B8" w:rsidRPr="000C5235">
        <w:t xml:space="preserve">in </w:t>
      </w:r>
      <w:r w:rsidR="001321B8" w:rsidRPr="000C5235">
        <w:rPr>
          <w:i/>
        </w:rPr>
        <w:t>Table 1.2 Entity 2020-21 Budget measures</w:t>
      </w:r>
      <w:r w:rsidR="001321B8" w:rsidRPr="000C5235">
        <w:t>.</w:t>
      </w:r>
    </w:p>
    <w:p w14:paraId="3B96E444" w14:textId="277AD5EB" w:rsidR="00D573EB" w:rsidRPr="000C5235" w:rsidRDefault="00D573EB" w:rsidP="000C42A6">
      <w:pPr>
        <w:pStyle w:val="Boxed2Text"/>
      </w:pPr>
      <w:r w:rsidRPr="000C5235">
        <w:t xml:space="preserve">Finance will issue another EM in September confirming the basis in which measures will be reported in </w:t>
      </w:r>
      <w:r w:rsidRPr="000C5235">
        <w:rPr>
          <w:i/>
        </w:rPr>
        <w:t>Table 1.2 Entity 2020-21 Budget measures</w:t>
      </w:r>
      <w:r w:rsidRPr="000C5235">
        <w:t xml:space="preserve"> as a decision is being sought to make the change to an underlying cash balance basis.</w:t>
      </w:r>
    </w:p>
    <w:p w14:paraId="14263A71" w14:textId="77777777" w:rsidR="008D5596" w:rsidRPr="000C5235" w:rsidRDefault="00A403D6" w:rsidP="00957051">
      <w:r w:rsidRPr="000C5235">
        <w:t>For further information, please refer to section</w:t>
      </w:r>
      <w:r w:rsidR="00F14BCB" w:rsidRPr="000C5235">
        <w:t xml:space="preserve"> </w:t>
      </w:r>
      <w:r w:rsidR="00F14BCB" w:rsidRPr="000C5235">
        <w:rPr>
          <w:i/>
        </w:rPr>
        <w:fldChar w:fldCharType="begin"/>
      </w:r>
      <w:r w:rsidR="00F14BCB" w:rsidRPr="000C5235">
        <w:rPr>
          <w:i/>
        </w:rPr>
        <w:instrText xml:space="preserve"> REF _Ref47004664 \r \h </w:instrText>
      </w:r>
      <w:r w:rsidR="00FC3A97" w:rsidRPr="000C5235">
        <w:rPr>
          <w:i/>
        </w:rPr>
        <w:instrText xml:space="preserve"> \* MERGEFORMAT </w:instrText>
      </w:r>
      <w:r w:rsidR="00F14BCB" w:rsidRPr="000C5235">
        <w:rPr>
          <w:i/>
        </w:rPr>
      </w:r>
      <w:r w:rsidR="00F14BCB" w:rsidRPr="000C5235">
        <w:rPr>
          <w:i/>
        </w:rPr>
        <w:fldChar w:fldCharType="separate"/>
      </w:r>
      <w:r w:rsidR="00F14BCB" w:rsidRPr="000C5235">
        <w:rPr>
          <w:i/>
        </w:rPr>
        <w:t>9</w:t>
      </w:r>
      <w:r w:rsidR="00F14BCB" w:rsidRPr="000C5235">
        <w:rPr>
          <w:i/>
        </w:rPr>
        <w:fldChar w:fldCharType="end"/>
      </w:r>
      <w:r w:rsidR="00F14BCB" w:rsidRPr="000C5235">
        <w:rPr>
          <w:i/>
        </w:rPr>
        <w:t xml:space="preserve"> </w:t>
      </w:r>
      <w:r w:rsidR="00F14BCB" w:rsidRPr="000C5235">
        <w:rPr>
          <w:i/>
        </w:rPr>
        <w:fldChar w:fldCharType="begin"/>
      </w:r>
      <w:r w:rsidR="00F14BCB" w:rsidRPr="000C5235">
        <w:rPr>
          <w:i/>
        </w:rPr>
        <w:instrText xml:space="preserve"> REF _Ref47004670 \h </w:instrText>
      </w:r>
      <w:r w:rsidR="00FC3A97" w:rsidRPr="000C5235">
        <w:rPr>
          <w:i/>
        </w:rPr>
        <w:instrText xml:space="preserve"> \* MERGEFORMAT </w:instrText>
      </w:r>
      <w:r w:rsidR="00F14BCB" w:rsidRPr="000C5235">
        <w:rPr>
          <w:i/>
        </w:rPr>
      </w:r>
      <w:r w:rsidR="00F14BCB" w:rsidRPr="000C5235">
        <w:rPr>
          <w:i/>
        </w:rPr>
        <w:fldChar w:fldCharType="separate"/>
      </w:r>
      <w:r w:rsidR="00F14BCB" w:rsidRPr="000C5235">
        <w:rPr>
          <w:rFonts w:eastAsia="Times New Roman"/>
          <w:i/>
        </w:rPr>
        <w:t>Budget measures</w:t>
      </w:r>
      <w:r w:rsidR="00F14BCB" w:rsidRPr="000C5235">
        <w:rPr>
          <w:i/>
        </w:rPr>
        <w:fldChar w:fldCharType="end"/>
      </w:r>
      <w:r w:rsidR="00624CEB" w:rsidRPr="000C5235">
        <w:t xml:space="preserve"> below.</w:t>
      </w:r>
    </w:p>
    <w:p w14:paraId="199CB67A" w14:textId="77777777" w:rsidR="008D5596" w:rsidRPr="000C5235" w:rsidRDefault="008D5596">
      <w:pPr>
        <w:suppressAutoHyphens w:val="0"/>
        <w:spacing w:before="0" w:after="120" w:line="440" w:lineRule="atLeast"/>
      </w:pPr>
      <w:r w:rsidRPr="000C5235">
        <w:br w:type="page"/>
      </w:r>
    </w:p>
    <w:p w14:paraId="2C112D5B" w14:textId="77777777" w:rsidR="000457F9" w:rsidRPr="000C5235" w:rsidRDefault="000457F9">
      <w:pPr>
        <w:pStyle w:val="Heading2Numbered"/>
      </w:pPr>
      <w:bookmarkStart w:id="75" w:name="_Toc46327301"/>
      <w:bookmarkStart w:id="76" w:name="_Toc46327302"/>
      <w:bookmarkStart w:id="77" w:name="_Toc46327303"/>
      <w:bookmarkStart w:id="78" w:name="_Toc46327304"/>
      <w:bookmarkStart w:id="79" w:name="_Toc45801376"/>
      <w:bookmarkStart w:id="80" w:name="_Toc46241737"/>
      <w:bookmarkStart w:id="81" w:name="_Toc46248940"/>
      <w:bookmarkStart w:id="82" w:name="_Toc46249048"/>
      <w:bookmarkStart w:id="83" w:name="_Toc46250829"/>
      <w:bookmarkStart w:id="84" w:name="_Toc46311364"/>
      <w:bookmarkStart w:id="85" w:name="_Toc46311556"/>
      <w:bookmarkStart w:id="86" w:name="_Toc46311667"/>
      <w:bookmarkStart w:id="87" w:name="_Toc46327305"/>
      <w:bookmarkStart w:id="88" w:name="_Toc46929149"/>
      <w:bookmarkStart w:id="89" w:name="_Toc46327306"/>
      <w:bookmarkStart w:id="90" w:name="_Toc45801378"/>
      <w:bookmarkStart w:id="91" w:name="_Toc46241739"/>
      <w:bookmarkStart w:id="92" w:name="_Toc46248942"/>
      <w:bookmarkStart w:id="93" w:name="_Toc46249050"/>
      <w:bookmarkStart w:id="94" w:name="_Toc46250831"/>
      <w:bookmarkStart w:id="95" w:name="_Toc46311366"/>
      <w:bookmarkStart w:id="96" w:name="_Toc46311558"/>
      <w:bookmarkStart w:id="97" w:name="_Toc46311669"/>
      <w:bookmarkStart w:id="98" w:name="_Toc46327307"/>
      <w:bookmarkStart w:id="99" w:name="_Toc46929151"/>
      <w:bookmarkStart w:id="100" w:name="_Toc45801379"/>
      <w:bookmarkStart w:id="101" w:name="_Toc46241740"/>
      <w:bookmarkStart w:id="102" w:name="_Toc46248943"/>
      <w:bookmarkStart w:id="103" w:name="_Toc46249051"/>
      <w:bookmarkStart w:id="104" w:name="_Toc46250832"/>
      <w:bookmarkStart w:id="105" w:name="_Toc46311367"/>
      <w:bookmarkStart w:id="106" w:name="_Toc46311559"/>
      <w:bookmarkStart w:id="107" w:name="_Toc46311670"/>
      <w:bookmarkStart w:id="108" w:name="_Toc46327308"/>
      <w:bookmarkStart w:id="109" w:name="_Toc46929152"/>
      <w:bookmarkStart w:id="110" w:name="_Toc45801380"/>
      <w:bookmarkStart w:id="111" w:name="_Toc46241741"/>
      <w:bookmarkStart w:id="112" w:name="_Toc46248944"/>
      <w:bookmarkStart w:id="113" w:name="_Toc46249052"/>
      <w:bookmarkStart w:id="114" w:name="_Toc46250833"/>
      <w:bookmarkStart w:id="115" w:name="_Toc46311368"/>
      <w:bookmarkStart w:id="116" w:name="_Toc46311560"/>
      <w:bookmarkStart w:id="117" w:name="_Toc46311671"/>
      <w:bookmarkStart w:id="118" w:name="_Toc46327309"/>
      <w:bookmarkStart w:id="119" w:name="_Toc46929153"/>
      <w:bookmarkStart w:id="120" w:name="_Toc47951194"/>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C5235">
        <w:t>Changes to the PB Statement tables</w:t>
      </w:r>
      <w:bookmarkEnd w:id="120"/>
    </w:p>
    <w:p w14:paraId="2A05B707" w14:textId="77777777" w:rsidR="00B822AD" w:rsidRPr="000C5235" w:rsidRDefault="000457F9" w:rsidP="00A1067A">
      <w:r w:rsidRPr="000C5235">
        <w:t>Below is the list of changes to the PB Statement tables</w:t>
      </w:r>
      <w:r w:rsidR="00B822AD" w:rsidRPr="000C5235">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662"/>
      </w:tblGrid>
      <w:tr w:rsidR="000457F9" w:rsidRPr="000C5235" w14:paraId="7D27058D" w14:textId="77777777" w:rsidTr="00145E47">
        <w:trPr>
          <w:trHeight w:val="300"/>
        </w:trPr>
        <w:tc>
          <w:tcPr>
            <w:tcW w:w="2972" w:type="dxa"/>
            <w:shd w:val="clear" w:color="000000" w:fill="D9D9D9"/>
            <w:noWrap/>
            <w:hideMark/>
          </w:tcPr>
          <w:p w14:paraId="384B5F82" w14:textId="77777777" w:rsidR="000457F9" w:rsidRPr="000C5235" w:rsidRDefault="000457F9" w:rsidP="00145E47">
            <w:pPr>
              <w:rPr>
                <w:rFonts w:ascii="Calibri" w:hAnsi="Calibri" w:cs="Calibri"/>
                <w:b/>
                <w:color w:val="000000"/>
              </w:rPr>
            </w:pPr>
            <w:r w:rsidRPr="000C5235">
              <w:rPr>
                <w:rFonts w:ascii="Calibri" w:hAnsi="Calibri" w:cs="Calibri"/>
                <w:b/>
                <w:color w:val="000000"/>
              </w:rPr>
              <w:t>PB Statement Report</w:t>
            </w:r>
          </w:p>
        </w:tc>
        <w:tc>
          <w:tcPr>
            <w:tcW w:w="6662" w:type="dxa"/>
            <w:shd w:val="clear" w:color="000000" w:fill="D9D9D9"/>
            <w:hideMark/>
          </w:tcPr>
          <w:p w14:paraId="3E9BE182" w14:textId="77777777" w:rsidR="000457F9" w:rsidRPr="000C5235" w:rsidRDefault="000457F9" w:rsidP="00145E47">
            <w:pPr>
              <w:rPr>
                <w:rFonts w:ascii="Calibri" w:hAnsi="Calibri" w:cs="Calibri"/>
                <w:b/>
                <w:color w:val="000000"/>
              </w:rPr>
            </w:pPr>
            <w:r w:rsidRPr="000C5235">
              <w:rPr>
                <w:rFonts w:ascii="Calibri" w:hAnsi="Calibri" w:cs="Calibri"/>
                <w:b/>
                <w:color w:val="000000"/>
              </w:rPr>
              <w:t>Changes</w:t>
            </w:r>
          </w:p>
        </w:tc>
      </w:tr>
      <w:tr w:rsidR="004A0734" w:rsidRPr="000C5235" w14:paraId="4CF0D592" w14:textId="77777777" w:rsidTr="00145E47">
        <w:trPr>
          <w:trHeight w:val="300"/>
        </w:trPr>
        <w:tc>
          <w:tcPr>
            <w:tcW w:w="2972" w:type="dxa"/>
            <w:shd w:val="clear" w:color="auto" w:fill="FFFFFF" w:themeFill="background1"/>
            <w:noWrap/>
          </w:tcPr>
          <w:p w14:paraId="5D0CDD72" w14:textId="77777777" w:rsidR="004A0734" w:rsidRPr="000C5235" w:rsidRDefault="004A0734">
            <w:pPr>
              <w:pStyle w:val="TableText-Medium"/>
              <w:rPr>
                <w:rFonts w:cstheme="minorHAnsi"/>
              </w:rPr>
            </w:pPr>
            <w:r w:rsidRPr="000C5235">
              <w:rPr>
                <w:rFonts w:cstheme="minorHAnsi"/>
              </w:rPr>
              <w:t>PBS T1.1 Entity Resource Statement</w:t>
            </w:r>
          </w:p>
        </w:tc>
        <w:tc>
          <w:tcPr>
            <w:tcW w:w="6662" w:type="dxa"/>
            <w:shd w:val="clear" w:color="auto" w:fill="FFFFFF" w:themeFill="background1"/>
          </w:tcPr>
          <w:p w14:paraId="5198358E" w14:textId="2087F557" w:rsidR="00C263A7" w:rsidRPr="000C5235" w:rsidRDefault="004A0734" w:rsidP="00B70B7F">
            <w:pPr>
              <w:pStyle w:val="TableText-Medium"/>
              <w:rPr>
                <w:rFonts w:cstheme="minorHAnsi"/>
              </w:rPr>
            </w:pPr>
            <w:r w:rsidRPr="000C5235">
              <w:rPr>
                <w:rFonts w:cstheme="minorHAnsi"/>
              </w:rPr>
              <w:t xml:space="preserve">Entities who received an appropriation under the </w:t>
            </w:r>
            <w:r w:rsidRPr="000C5235">
              <w:rPr>
                <w:rFonts w:cstheme="minorHAnsi"/>
                <w:i/>
              </w:rPr>
              <w:t>2019-20 Appropriation (Coronavirus Economic Response Package) Bills 1 &amp; 2</w:t>
            </w:r>
            <w:r w:rsidRPr="000C5235">
              <w:rPr>
                <w:rFonts w:cstheme="minorHAnsi"/>
              </w:rPr>
              <w:t xml:space="preserve"> and / or the </w:t>
            </w:r>
            <w:r w:rsidRPr="000C5235">
              <w:rPr>
                <w:rFonts w:cstheme="minorHAnsi"/>
                <w:i/>
              </w:rPr>
              <w:t xml:space="preserve">2019-20 </w:t>
            </w:r>
            <w:r w:rsidR="00B51CD3" w:rsidRPr="000C5235">
              <w:rPr>
                <w:rFonts w:cstheme="minorHAnsi"/>
                <w:i/>
              </w:rPr>
              <w:t xml:space="preserve">Appropriation </w:t>
            </w:r>
            <w:r w:rsidRPr="000C5235">
              <w:rPr>
                <w:rFonts w:cstheme="minorHAnsi"/>
                <w:i/>
              </w:rPr>
              <w:t>Bills 5 &amp; 6</w:t>
            </w:r>
            <w:r w:rsidRPr="000C5235">
              <w:rPr>
                <w:rFonts w:cstheme="minorHAnsi"/>
              </w:rPr>
              <w:t xml:space="preserve"> will be required to reflect the appropriations in T1.1 Entity resource statement.</w:t>
            </w:r>
            <w:r w:rsidR="00C263A7" w:rsidRPr="000C5235">
              <w:rPr>
                <w:rFonts w:cstheme="minorHAnsi"/>
              </w:rPr>
              <w:br/>
            </w:r>
            <w:r w:rsidR="00C263A7" w:rsidRPr="000C5235">
              <w:rPr>
                <w:rFonts w:cstheme="minorHAnsi"/>
              </w:rPr>
              <w:br/>
              <w:t xml:space="preserve">This is required because the above Bills received </w:t>
            </w:r>
            <w:r w:rsidR="00C263A7" w:rsidRPr="000C5235">
              <w:rPr>
                <w:rFonts w:cstheme="minorHAnsi"/>
                <w:i/>
              </w:rPr>
              <w:t>Royal Assent</w:t>
            </w:r>
            <w:r w:rsidR="00C263A7" w:rsidRPr="000C5235">
              <w:rPr>
                <w:rFonts w:cstheme="minorHAnsi"/>
              </w:rPr>
              <w:t xml:space="preserve"> </w:t>
            </w:r>
            <w:r w:rsidR="0096572D" w:rsidRPr="000C5235">
              <w:rPr>
                <w:rFonts w:cstheme="minorHAnsi"/>
              </w:rPr>
              <w:t>before the preparation of the 2020-21 PB Statement.  For</w:t>
            </w:r>
            <w:r w:rsidR="00C263A7" w:rsidRPr="000C5235">
              <w:rPr>
                <w:rFonts w:cstheme="minorHAnsi"/>
              </w:rPr>
              <w:t xml:space="preserve"> the:</w:t>
            </w:r>
          </w:p>
          <w:p w14:paraId="574B6BF1" w14:textId="77777777" w:rsidR="00C263A7" w:rsidRPr="000C5235" w:rsidRDefault="00C263A7" w:rsidP="005D722E">
            <w:pPr>
              <w:pStyle w:val="TableText-Medium"/>
              <w:numPr>
                <w:ilvl w:val="0"/>
                <w:numId w:val="241"/>
              </w:numPr>
              <w:rPr>
                <w:rFonts w:cstheme="minorHAnsi"/>
              </w:rPr>
            </w:pPr>
            <w:r w:rsidRPr="000C5235">
              <w:rPr>
                <w:rFonts w:cstheme="minorHAnsi"/>
              </w:rPr>
              <w:t xml:space="preserve">2019-20 Appropriation (Coronavirus Economic Response Package) Bills 1 &amp; 2 </w:t>
            </w:r>
            <w:r w:rsidR="0096572D" w:rsidRPr="000C5235">
              <w:rPr>
                <w:rFonts w:cstheme="minorHAnsi"/>
              </w:rPr>
              <w:t xml:space="preserve">assent was received </w:t>
            </w:r>
            <w:r w:rsidRPr="000C5235">
              <w:rPr>
                <w:rFonts w:cstheme="minorHAnsi"/>
              </w:rPr>
              <w:t>on the 24</w:t>
            </w:r>
            <w:r w:rsidR="008C5A23" w:rsidRPr="000C5235">
              <w:rPr>
                <w:rFonts w:cstheme="minorHAnsi"/>
              </w:rPr>
              <w:t>th</w:t>
            </w:r>
            <w:r w:rsidRPr="000C5235">
              <w:rPr>
                <w:rFonts w:cstheme="minorHAnsi"/>
              </w:rPr>
              <w:t xml:space="preserve"> Mar 2020.</w:t>
            </w:r>
          </w:p>
          <w:p w14:paraId="0378D0D9" w14:textId="1ADBDB61" w:rsidR="00C263A7" w:rsidRPr="000C5235" w:rsidRDefault="00B51CD3" w:rsidP="005D722E">
            <w:pPr>
              <w:pStyle w:val="TableText-Medium"/>
              <w:numPr>
                <w:ilvl w:val="0"/>
                <w:numId w:val="241"/>
              </w:numPr>
              <w:rPr>
                <w:rFonts w:cstheme="minorHAnsi"/>
              </w:rPr>
            </w:pPr>
            <w:r w:rsidRPr="000C5235">
              <w:rPr>
                <w:rFonts w:cstheme="minorHAnsi"/>
              </w:rPr>
              <w:t xml:space="preserve">Appropriation </w:t>
            </w:r>
            <w:r w:rsidR="00C263A7" w:rsidRPr="000C5235">
              <w:rPr>
                <w:rFonts w:cstheme="minorHAnsi"/>
              </w:rPr>
              <w:t>Bills 5 &amp; 6</w:t>
            </w:r>
            <w:r w:rsidR="0096572D" w:rsidRPr="000C5235">
              <w:rPr>
                <w:rFonts w:cstheme="minorHAnsi"/>
              </w:rPr>
              <w:t xml:space="preserve"> assent was received</w:t>
            </w:r>
            <w:r w:rsidR="00C263A7" w:rsidRPr="000C5235">
              <w:rPr>
                <w:rFonts w:cstheme="minorHAnsi"/>
              </w:rPr>
              <w:t xml:space="preserve"> on the 9</w:t>
            </w:r>
            <w:r w:rsidR="008C5A23" w:rsidRPr="000C5235">
              <w:rPr>
                <w:rFonts w:cstheme="minorHAnsi"/>
              </w:rPr>
              <w:t>th</w:t>
            </w:r>
            <w:r w:rsidR="00C263A7" w:rsidRPr="000C5235">
              <w:rPr>
                <w:rFonts w:cstheme="minorHAnsi"/>
              </w:rPr>
              <w:t xml:space="preserve"> April</w:t>
            </w:r>
            <w:r w:rsidR="00E17F75" w:rsidRPr="000C5235">
              <w:rPr>
                <w:rFonts w:cstheme="minorHAnsi"/>
              </w:rPr>
              <w:t>.</w:t>
            </w:r>
          </w:p>
        </w:tc>
      </w:tr>
      <w:tr w:rsidR="000457F9" w:rsidRPr="000C5235" w14:paraId="2EC5AC95" w14:textId="77777777" w:rsidTr="00145E47">
        <w:trPr>
          <w:trHeight w:val="300"/>
        </w:trPr>
        <w:tc>
          <w:tcPr>
            <w:tcW w:w="2972" w:type="dxa"/>
            <w:shd w:val="clear" w:color="auto" w:fill="FFFFFF" w:themeFill="background1"/>
            <w:noWrap/>
          </w:tcPr>
          <w:p w14:paraId="4E3E197B" w14:textId="77777777" w:rsidR="000457F9" w:rsidRPr="000C5235" w:rsidRDefault="000457F9" w:rsidP="00055A39">
            <w:pPr>
              <w:pStyle w:val="TableText-Medium"/>
              <w:rPr>
                <w:rFonts w:cstheme="minorHAnsi"/>
              </w:rPr>
            </w:pPr>
            <w:r w:rsidRPr="000C5235">
              <w:rPr>
                <w:rFonts w:cstheme="minorHAnsi"/>
              </w:rPr>
              <w:t>PBS.T1.2 Entity 2019-20 measures since Budget</w:t>
            </w:r>
          </w:p>
        </w:tc>
        <w:tc>
          <w:tcPr>
            <w:tcW w:w="6662" w:type="dxa"/>
            <w:shd w:val="clear" w:color="auto" w:fill="FFFFFF" w:themeFill="background1"/>
          </w:tcPr>
          <w:p w14:paraId="3F645C8D" w14:textId="77777777" w:rsidR="00B70B7F" w:rsidRPr="000C5235" w:rsidRDefault="00B70B7F" w:rsidP="00B70B7F">
            <w:pPr>
              <w:pStyle w:val="TableText-Medium"/>
              <w:rPr>
                <w:rFonts w:cstheme="minorHAnsi"/>
              </w:rPr>
            </w:pPr>
            <w:r w:rsidRPr="000C5235">
              <w:rPr>
                <w:rFonts w:cstheme="minorHAnsi"/>
              </w:rPr>
              <w:t>Table has been modified comprising of the following changes:</w:t>
            </w:r>
          </w:p>
          <w:p w14:paraId="083F5109" w14:textId="77777777" w:rsidR="00624CEB" w:rsidRPr="000C5235" w:rsidRDefault="00624CEB" w:rsidP="00DB312F">
            <w:pPr>
              <w:pStyle w:val="TableText-Medium"/>
              <w:numPr>
                <w:ilvl w:val="0"/>
                <w:numId w:val="222"/>
              </w:numPr>
              <w:rPr>
                <w:rFonts w:cstheme="minorHAnsi"/>
              </w:rPr>
            </w:pPr>
            <w:r w:rsidRPr="000C5235">
              <w:rPr>
                <w:rFonts w:cstheme="minorHAnsi"/>
              </w:rPr>
              <w:t xml:space="preserve">Removing the 2019-20 </w:t>
            </w:r>
            <w:r w:rsidR="00382E8F" w:rsidRPr="000C5235">
              <w:rPr>
                <w:rFonts w:cstheme="minorHAnsi"/>
              </w:rPr>
              <w:t>financial</w:t>
            </w:r>
            <w:r w:rsidRPr="000C5235">
              <w:rPr>
                <w:rFonts w:cstheme="minorHAnsi"/>
              </w:rPr>
              <w:t xml:space="preserve"> year column.</w:t>
            </w:r>
          </w:p>
          <w:p w14:paraId="42A3836C" w14:textId="77777777" w:rsidR="00B42725" w:rsidRPr="000C5235" w:rsidRDefault="00C2649B" w:rsidP="00DB312F">
            <w:pPr>
              <w:pStyle w:val="TableText-Medium"/>
              <w:numPr>
                <w:ilvl w:val="0"/>
                <w:numId w:val="222"/>
              </w:numPr>
              <w:rPr>
                <w:rFonts w:cstheme="minorHAnsi"/>
              </w:rPr>
            </w:pPr>
            <w:r w:rsidRPr="000C5235">
              <w:rPr>
                <w:rFonts w:cstheme="minorHAnsi"/>
              </w:rPr>
              <w:t>Removing the Part 2 sub-table to only report m</w:t>
            </w:r>
            <w:r w:rsidR="001321B8" w:rsidRPr="000C5235">
              <w:rPr>
                <w:rFonts w:cstheme="minorHAnsi"/>
              </w:rPr>
              <w:t xml:space="preserve">easures announced after </w:t>
            </w:r>
            <w:r w:rsidR="00803275" w:rsidRPr="000C5235">
              <w:rPr>
                <w:i/>
              </w:rPr>
              <w:t>Economic and Fiscal Update July 2020</w:t>
            </w:r>
            <w:r w:rsidR="001321B8" w:rsidRPr="000C5235">
              <w:rPr>
                <w:rFonts w:cstheme="minorHAnsi"/>
              </w:rPr>
              <w:t xml:space="preserve"> </w:t>
            </w:r>
            <w:r w:rsidRPr="000C5235">
              <w:rPr>
                <w:rFonts w:cstheme="minorHAnsi"/>
              </w:rPr>
              <w:t>ie only those reported in BP No.2</w:t>
            </w:r>
            <w:r w:rsidR="001321B8" w:rsidRPr="000C5235">
              <w:rPr>
                <w:rFonts w:cstheme="minorHAnsi"/>
              </w:rPr>
              <w:t>.</w:t>
            </w:r>
          </w:p>
          <w:p w14:paraId="00148883" w14:textId="33A6E095" w:rsidR="00D573EB" w:rsidRPr="000C5235" w:rsidRDefault="00D573EB" w:rsidP="000C42A6">
            <w:pPr>
              <w:pStyle w:val="TableText-Medium"/>
              <w:numPr>
                <w:ilvl w:val="0"/>
                <w:numId w:val="222"/>
              </w:numPr>
              <w:rPr>
                <w:rFonts w:cstheme="minorHAnsi"/>
              </w:rPr>
            </w:pPr>
            <w:r w:rsidRPr="000C5235">
              <w:rPr>
                <w:rFonts w:cstheme="minorHAnsi"/>
              </w:rPr>
              <w:t xml:space="preserve">Removed the reference </w:t>
            </w:r>
            <w:r w:rsidRPr="000C5235">
              <w:rPr>
                <w:rFonts w:cstheme="minorHAnsi"/>
                <w:i/>
              </w:rPr>
              <w:t>‘Prepared on a Government Finance Statistics (fiscal) basis’</w:t>
            </w:r>
            <w:r w:rsidRPr="000C5235">
              <w:rPr>
                <w:rFonts w:cstheme="minorHAnsi"/>
              </w:rPr>
              <w:t>.</w:t>
            </w:r>
          </w:p>
        </w:tc>
      </w:tr>
      <w:tr w:rsidR="00026975" w:rsidRPr="000C5235" w14:paraId="554E935E" w14:textId="77777777" w:rsidTr="00145E47">
        <w:trPr>
          <w:trHeight w:val="300"/>
        </w:trPr>
        <w:tc>
          <w:tcPr>
            <w:tcW w:w="2972" w:type="dxa"/>
            <w:shd w:val="clear" w:color="auto" w:fill="auto"/>
            <w:noWrap/>
          </w:tcPr>
          <w:p w14:paraId="707AA34C" w14:textId="77777777" w:rsidR="00026975" w:rsidRPr="000C5235" w:rsidRDefault="00A24398" w:rsidP="00A1067A">
            <w:pPr>
              <w:pStyle w:val="TableText-Medium"/>
              <w:rPr>
                <w:rFonts w:cstheme="minorHAnsi"/>
              </w:rPr>
            </w:pPr>
            <w:r w:rsidRPr="000C5235">
              <w:rPr>
                <w:rFonts w:cstheme="minorHAnsi"/>
              </w:rPr>
              <w:t>PBS T</w:t>
            </w:r>
            <w:r w:rsidR="00712BED" w:rsidRPr="000C5235">
              <w:rPr>
                <w:rFonts w:cstheme="minorHAnsi"/>
              </w:rPr>
              <w:t>2.X.3 Performance criteria for Outcome x</w:t>
            </w:r>
          </w:p>
        </w:tc>
        <w:tc>
          <w:tcPr>
            <w:tcW w:w="6662" w:type="dxa"/>
            <w:shd w:val="clear" w:color="auto" w:fill="auto"/>
          </w:tcPr>
          <w:p w14:paraId="2BD799EA" w14:textId="77777777" w:rsidR="00026975" w:rsidRPr="000C5235" w:rsidRDefault="00712BED" w:rsidP="00692A3D">
            <w:pPr>
              <w:pStyle w:val="TableText-Medium"/>
              <w:rPr>
                <w:rFonts w:cstheme="minorHAnsi"/>
              </w:rPr>
            </w:pPr>
            <w:r w:rsidRPr="000C5235">
              <w:rPr>
                <w:rFonts w:cstheme="minorHAnsi"/>
              </w:rPr>
              <w:t>2019-20 Year the targets to be described have been amended from ‘</w:t>
            </w:r>
            <w:r w:rsidRPr="000C5235">
              <w:rPr>
                <w:rFonts w:cstheme="minorHAnsi"/>
                <w:i/>
              </w:rPr>
              <w:t>Forecast against the targets for 2019-20 described in the 2019</w:t>
            </w:r>
            <w:r w:rsidR="00692A3D" w:rsidRPr="000C5235">
              <w:rPr>
                <w:rFonts w:cstheme="minorHAnsi"/>
                <w:i/>
              </w:rPr>
              <w:noBreakHyphen/>
              <w:t>20 </w:t>
            </w:r>
            <w:r w:rsidRPr="000C5235">
              <w:rPr>
                <w:rFonts w:cstheme="minorHAnsi"/>
                <w:i/>
              </w:rPr>
              <w:t>Portfolio Budget Statements’</w:t>
            </w:r>
            <w:r w:rsidRPr="000C5235">
              <w:rPr>
                <w:rFonts w:cstheme="minorHAnsi"/>
              </w:rPr>
              <w:t xml:space="preserve"> to </w:t>
            </w:r>
            <w:r w:rsidRPr="000C5235">
              <w:rPr>
                <w:rFonts w:cstheme="minorHAnsi"/>
                <w:i/>
              </w:rPr>
              <w:t>‘Actual performance against targets for 2019-20 Portfolio Budget Statements’</w:t>
            </w:r>
            <w:r w:rsidRPr="000C5235">
              <w:rPr>
                <w:rFonts w:cstheme="minorHAnsi"/>
              </w:rPr>
              <w:t>.</w:t>
            </w:r>
          </w:p>
          <w:p w14:paraId="093870DD" w14:textId="77777777" w:rsidR="009D01E8" w:rsidRPr="000C5235" w:rsidRDefault="009D01E8" w:rsidP="00692A3D">
            <w:pPr>
              <w:pStyle w:val="TableText-Medium"/>
              <w:rPr>
                <w:rFonts w:cstheme="minorHAnsi"/>
              </w:rPr>
            </w:pPr>
            <w:r w:rsidRPr="000C5235">
              <w:rPr>
                <w:rFonts w:cstheme="minorHAnsi"/>
              </w:rPr>
              <w:t xml:space="preserve">This is required because the Corporate Plans are due by the </w:t>
            </w:r>
            <w:r w:rsidR="008C5A23" w:rsidRPr="000C5235">
              <w:rPr>
                <w:rFonts w:cstheme="minorHAnsi"/>
              </w:rPr>
              <w:br/>
            </w:r>
            <w:r w:rsidRPr="000C5235">
              <w:rPr>
                <w:rFonts w:cstheme="minorHAnsi"/>
              </w:rPr>
              <w:t>31</w:t>
            </w:r>
            <w:r w:rsidR="008C5A23" w:rsidRPr="000C5235">
              <w:rPr>
                <w:rFonts w:cstheme="minorHAnsi"/>
              </w:rPr>
              <w:t>st</w:t>
            </w:r>
            <w:r w:rsidRPr="000C5235">
              <w:rPr>
                <w:rFonts w:cstheme="minorHAnsi"/>
              </w:rPr>
              <w:t xml:space="preserve"> August and will have reported actual performance so reporting needs to be consistent.</w:t>
            </w:r>
          </w:p>
        </w:tc>
      </w:tr>
      <w:tr w:rsidR="000457F9" w:rsidRPr="000C5235" w14:paraId="607FA345" w14:textId="77777777" w:rsidTr="00145E47">
        <w:trPr>
          <w:trHeight w:val="300"/>
        </w:trPr>
        <w:tc>
          <w:tcPr>
            <w:tcW w:w="2972" w:type="dxa"/>
            <w:shd w:val="clear" w:color="auto" w:fill="auto"/>
            <w:noWrap/>
            <w:hideMark/>
          </w:tcPr>
          <w:p w14:paraId="4278691F" w14:textId="77777777" w:rsidR="000457F9" w:rsidRPr="000C5235" w:rsidRDefault="000457F9" w:rsidP="00A1067A">
            <w:pPr>
              <w:pStyle w:val="TableText-Medium"/>
              <w:rPr>
                <w:rFonts w:cstheme="minorHAnsi"/>
              </w:rPr>
            </w:pPr>
            <w:r w:rsidRPr="000C5235">
              <w:rPr>
                <w:rFonts w:cstheme="minorHAnsi"/>
              </w:rPr>
              <w:t>PBS.T3.01 Comprehensive Income Statement</w:t>
            </w:r>
          </w:p>
        </w:tc>
        <w:tc>
          <w:tcPr>
            <w:tcW w:w="6662" w:type="dxa"/>
            <w:shd w:val="clear" w:color="auto" w:fill="auto"/>
            <w:hideMark/>
          </w:tcPr>
          <w:p w14:paraId="20659A4A" w14:textId="77777777" w:rsidR="000457F9" w:rsidRPr="000C5235" w:rsidRDefault="000457F9" w:rsidP="00A1067A">
            <w:pPr>
              <w:pStyle w:val="TableText-Medium"/>
              <w:rPr>
                <w:rFonts w:cstheme="minorHAnsi"/>
              </w:rPr>
            </w:pPr>
            <w:r w:rsidRPr="000C5235">
              <w:rPr>
                <w:rFonts w:cstheme="minorHAnsi"/>
              </w:rPr>
              <w:t>New line-items added:</w:t>
            </w:r>
          </w:p>
          <w:p w14:paraId="74DCBC0E" w14:textId="77777777" w:rsidR="000457F9" w:rsidRPr="000C5235" w:rsidRDefault="000457F9" w:rsidP="00A1067A">
            <w:pPr>
              <w:pStyle w:val="TableText-Medium-DotPoints"/>
              <w:rPr>
                <w:rFonts w:cstheme="minorHAnsi"/>
              </w:rPr>
            </w:pPr>
            <w:r w:rsidRPr="000C5235">
              <w:rPr>
                <w:rFonts w:cstheme="minorHAnsi"/>
              </w:rPr>
              <w:t>Sublease income</w:t>
            </w:r>
          </w:p>
          <w:p w14:paraId="5327679C" w14:textId="77777777" w:rsidR="000457F9" w:rsidRPr="000C5235" w:rsidRDefault="000457F9" w:rsidP="00A1067A">
            <w:pPr>
              <w:pStyle w:val="TableText-Medium-DotPoints"/>
              <w:rPr>
                <w:rFonts w:cstheme="minorHAnsi"/>
              </w:rPr>
            </w:pPr>
            <w:r w:rsidRPr="000C5235">
              <w:rPr>
                <w:rFonts w:cstheme="minorHAnsi"/>
              </w:rPr>
              <w:t>Sublease interest income</w:t>
            </w:r>
          </w:p>
          <w:p w14:paraId="29BEB5B2" w14:textId="77777777" w:rsidR="000457F9" w:rsidRPr="000C5235" w:rsidRDefault="000457F9" w:rsidP="00A1067A">
            <w:pPr>
              <w:pStyle w:val="TableText-Medium-DotPoints"/>
              <w:rPr>
                <w:rFonts w:cstheme="minorHAnsi"/>
              </w:rPr>
            </w:pPr>
            <w:r w:rsidRPr="000C5235">
              <w:rPr>
                <w:rFonts w:cstheme="minorHAnsi"/>
              </w:rPr>
              <w:t>Gain on lease disposal</w:t>
            </w:r>
          </w:p>
          <w:p w14:paraId="144D4855" w14:textId="77777777" w:rsidR="000457F9" w:rsidRPr="000C5235" w:rsidRDefault="000457F9" w:rsidP="00A1067A">
            <w:pPr>
              <w:pStyle w:val="TableText-Medium-DotPoints"/>
              <w:rPr>
                <w:rFonts w:cstheme="minorHAnsi"/>
              </w:rPr>
            </w:pPr>
            <w:r w:rsidRPr="000C5235">
              <w:rPr>
                <w:rFonts w:cstheme="minorHAnsi"/>
              </w:rPr>
              <w:t>Gain on finance sublease</w:t>
            </w:r>
          </w:p>
          <w:p w14:paraId="73DC901C" w14:textId="77777777" w:rsidR="000457F9" w:rsidRPr="000C5235" w:rsidRDefault="000457F9" w:rsidP="00A1067A">
            <w:pPr>
              <w:pStyle w:val="TableText-Medium"/>
              <w:rPr>
                <w:rFonts w:cstheme="minorHAnsi"/>
              </w:rPr>
            </w:pPr>
            <w:r w:rsidRPr="000C5235">
              <w:rPr>
                <w:rFonts w:cstheme="minorHAnsi"/>
              </w:rPr>
              <w:t xml:space="preserve">The reconciliation table note </w:t>
            </w:r>
            <w:r w:rsidRPr="000C5235">
              <w:rPr>
                <w:rFonts w:cstheme="minorHAnsi"/>
                <w:i/>
              </w:rPr>
              <w:t>impact of net cash appropriations</w:t>
            </w:r>
            <w:r w:rsidRPr="000C5235">
              <w:rPr>
                <w:rFonts w:cstheme="minorHAnsi"/>
              </w:rPr>
              <w:t xml:space="preserve"> will also have to be prepared by </w:t>
            </w:r>
            <w:r w:rsidRPr="000C5235">
              <w:rPr>
                <w:rFonts w:cstheme="minorHAnsi"/>
                <w:u w:val="single"/>
              </w:rPr>
              <w:t>all entities including Corporate Commonwealth Entities</w:t>
            </w:r>
            <w:r w:rsidRPr="000C5235">
              <w:rPr>
                <w:rFonts w:cstheme="minorHAnsi"/>
              </w:rPr>
              <w:t xml:space="preserve"> who report leased ROU Assets.  Changes to the reconciliation table note were made to include the following line-items:</w:t>
            </w:r>
          </w:p>
          <w:p w14:paraId="6F917AF4" w14:textId="77777777" w:rsidR="000457F9" w:rsidRPr="000C5235" w:rsidRDefault="000457F9" w:rsidP="00A1067A">
            <w:pPr>
              <w:pStyle w:val="TableText-Medium-DotPoints"/>
              <w:rPr>
                <w:rFonts w:cstheme="minorHAnsi"/>
              </w:rPr>
            </w:pPr>
            <w:r w:rsidRPr="000C5235">
              <w:rPr>
                <w:rFonts w:cstheme="minorHAnsi"/>
              </w:rPr>
              <w:t>Less: Depreciation/amortisation expenses for ROU assets</w:t>
            </w:r>
          </w:p>
          <w:p w14:paraId="3B26DB5A" w14:textId="77777777" w:rsidR="000457F9" w:rsidRPr="000C5235" w:rsidRDefault="000457F9" w:rsidP="00A1067A">
            <w:pPr>
              <w:pStyle w:val="TableText-Medium-DotPoints"/>
              <w:rPr>
                <w:rFonts w:cstheme="minorHAnsi"/>
              </w:rPr>
            </w:pPr>
            <w:r w:rsidRPr="000C5235">
              <w:rPr>
                <w:rFonts w:cstheme="minorHAnsi"/>
              </w:rPr>
              <w:t>Add: Principal repayments on leased assets</w:t>
            </w:r>
          </w:p>
          <w:p w14:paraId="5CB9D726" w14:textId="77777777" w:rsidR="000457F9" w:rsidRPr="000C5235" w:rsidRDefault="000457F9" w:rsidP="00A1067A">
            <w:pPr>
              <w:pStyle w:val="TableText-Medium"/>
              <w:rPr>
                <w:rFonts w:cstheme="minorHAnsi"/>
              </w:rPr>
            </w:pPr>
            <w:r w:rsidRPr="000C5235">
              <w:rPr>
                <w:rFonts w:cstheme="minorHAnsi"/>
              </w:rPr>
              <w:t xml:space="preserve">A new footnote for AASB 16 </w:t>
            </w:r>
            <w:r w:rsidRPr="000C5235">
              <w:rPr>
                <w:rFonts w:cstheme="minorHAnsi"/>
                <w:i/>
              </w:rPr>
              <w:t>Leases</w:t>
            </w:r>
            <w:r w:rsidRPr="000C5235">
              <w:rPr>
                <w:rFonts w:cstheme="minorHAnsi"/>
              </w:rPr>
              <w:t xml:space="preserve"> was added.</w:t>
            </w:r>
          </w:p>
        </w:tc>
      </w:tr>
      <w:tr w:rsidR="000457F9" w:rsidRPr="000C5235" w14:paraId="6116A51E" w14:textId="77777777" w:rsidTr="00145E47">
        <w:trPr>
          <w:trHeight w:val="300"/>
        </w:trPr>
        <w:tc>
          <w:tcPr>
            <w:tcW w:w="2972" w:type="dxa"/>
            <w:shd w:val="clear" w:color="auto" w:fill="auto"/>
            <w:noWrap/>
          </w:tcPr>
          <w:p w14:paraId="1BA77F6F" w14:textId="77777777" w:rsidR="000457F9" w:rsidRPr="000C5235" w:rsidRDefault="000457F9" w:rsidP="00A1067A">
            <w:pPr>
              <w:pStyle w:val="TableText-Medium"/>
              <w:rPr>
                <w:rFonts w:cstheme="minorHAnsi"/>
              </w:rPr>
            </w:pPr>
            <w:r w:rsidRPr="000C5235">
              <w:rPr>
                <w:rFonts w:cstheme="minorHAnsi"/>
              </w:rPr>
              <w:t>PBS.T3.04 Budgeted departmental statement of cash flows (for the period ended 30 June)</w:t>
            </w:r>
          </w:p>
        </w:tc>
        <w:tc>
          <w:tcPr>
            <w:tcW w:w="6662" w:type="dxa"/>
            <w:shd w:val="clear" w:color="auto" w:fill="auto"/>
          </w:tcPr>
          <w:p w14:paraId="03D09859" w14:textId="77777777" w:rsidR="000457F9" w:rsidRPr="000C5235" w:rsidRDefault="000457F9" w:rsidP="00A1067A">
            <w:pPr>
              <w:pStyle w:val="TableText-Normal"/>
              <w:rPr>
                <w:rFonts w:cstheme="minorHAnsi"/>
                <w:sz w:val="20"/>
                <w:szCs w:val="20"/>
              </w:rPr>
            </w:pPr>
            <w:r w:rsidRPr="000C5235">
              <w:rPr>
                <w:rFonts w:cstheme="minorHAnsi"/>
                <w:sz w:val="20"/>
                <w:szCs w:val="20"/>
              </w:rPr>
              <w:t>New line-items added:</w:t>
            </w:r>
          </w:p>
          <w:p w14:paraId="74714BB2" w14:textId="77777777" w:rsidR="000457F9" w:rsidRPr="000C5235" w:rsidRDefault="000457F9" w:rsidP="00A1067A">
            <w:pPr>
              <w:pStyle w:val="TableText-Medium-DotPoints"/>
              <w:rPr>
                <w:rFonts w:cstheme="minorHAnsi"/>
              </w:rPr>
            </w:pPr>
            <w:r w:rsidRPr="000C5235">
              <w:rPr>
                <w:rFonts w:cstheme="minorHAnsi"/>
              </w:rPr>
              <w:t>Interest payments on lease liability</w:t>
            </w:r>
          </w:p>
          <w:p w14:paraId="3971E2CD" w14:textId="77777777" w:rsidR="000457F9" w:rsidRPr="000C5235" w:rsidRDefault="000457F9" w:rsidP="00A1067A">
            <w:pPr>
              <w:pStyle w:val="TableText-Medium-DotPoints"/>
              <w:rPr>
                <w:rFonts w:cstheme="minorHAnsi"/>
              </w:rPr>
            </w:pPr>
            <w:r w:rsidRPr="000C5235">
              <w:rPr>
                <w:rFonts w:cstheme="minorHAnsi"/>
              </w:rPr>
              <w:t>Principal payments on lease liability</w:t>
            </w:r>
          </w:p>
        </w:tc>
      </w:tr>
      <w:tr w:rsidR="000457F9" w:rsidRPr="000C5235" w14:paraId="38DA6896" w14:textId="77777777" w:rsidTr="00145E47">
        <w:trPr>
          <w:trHeight w:val="300"/>
        </w:trPr>
        <w:tc>
          <w:tcPr>
            <w:tcW w:w="2972" w:type="dxa"/>
            <w:shd w:val="clear" w:color="auto" w:fill="auto"/>
            <w:noWrap/>
          </w:tcPr>
          <w:p w14:paraId="3CC95726" w14:textId="77777777" w:rsidR="000457F9" w:rsidRPr="000C5235" w:rsidRDefault="000457F9" w:rsidP="00A1067A">
            <w:pPr>
              <w:pStyle w:val="TableText-Medium"/>
              <w:rPr>
                <w:rFonts w:cstheme="minorHAnsi"/>
              </w:rPr>
            </w:pPr>
            <w:r w:rsidRPr="000C5235">
              <w:rPr>
                <w:rFonts w:cstheme="minorHAnsi"/>
              </w:rPr>
              <w:t>PBS.T3.05 Departmental capital budget statement (for the period ended 30 June)</w:t>
            </w:r>
          </w:p>
        </w:tc>
        <w:tc>
          <w:tcPr>
            <w:tcW w:w="6662" w:type="dxa"/>
            <w:shd w:val="clear" w:color="auto" w:fill="auto"/>
          </w:tcPr>
          <w:p w14:paraId="13213230" w14:textId="77777777" w:rsidR="000457F9" w:rsidRPr="000C5235" w:rsidRDefault="000457F9" w:rsidP="00A1067A">
            <w:pPr>
              <w:pStyle w:val="TableText-Normal"/>
              <w:rPr>
                <w:rFonts w:cstheme="minorHAnsi"/>
                <w:sz w:val="20"/>
                <w:szCs w:val="20"/>
              </w:rPr>
            </w:pPr>
            <w:r w:rsidRPr="000C5235">
              <w:rPr>
                <w:rFonts w:cstheme="minorHAnsi"/>
                <w:sz w:val="20"/>
                <w:szCs w:val="20"/>
              </w:rPr>
              <w:t>New line-item added:</w:t>
            </w:r>
          </w:p>
          <w:p w14:paraId="7B8F05B2" w14:textId="77777777" w:rsidR="000457F9" w:rsidRPr="000C5235" w:rsidRDefault="000457F9" w:rsidP="00A1067A">
            <w:pPr>
              <w:pStyle w:val="TableText-Medium-DotPoints"/>
              <w:rPr>
                <w:rFonts w:cstheme="minorHAnsi"/>
                <w:color w:val="000000"/>
                <w:u w:val="single"/>
              </w:rPr>
            </w:pPr>
            <w:r w:rsidRPr="000C5235">
              <w:rPr>
                <w:rFonts w:cstheme="minorHAnsi"/>
              </w:rPr>
              <w:t>Funded by special appropriations</w:t>
            </w:r>
          </w:p>
        </w:tc>
      </w:tr>
      <w:tr w:rsidR="000457F9" w:rsidRPr="000C5235" w14:paraId="4B70FE0F" w14:textId="77777777" w:rsidTr="00145E47">
        <w:trPr>
          <w:trHeight w:val="300"/>
        </w:trPr>
        <w:tc>
          <w:tcPr>
            <w:tcW w:w="2972" w:type="dxa"/>
            <w:shd w:val="clear" w:color="auto" w:fill="auto"/>
            <w:noWrap/>
          </w:tcPr>
          <w:p w14:paraId="2DEB2420" w14:textId="77777777" w:rsidR="000457F9" w:rsidRPr="000C5235" w:rsidRDefault="000457F9" w:rsidP="00A1067A">
            <w:pPr>
              <w:pStyle w:val="TableText-Medium"/>
              <w:rPr>
                <w:rFonts w:cstheme="minorHAnsi"/>
              </w:rPr>
            </w:pPr>
            <w:r w:rsidRPr="000C5235">
              <w:rPr>
                <w:rFonts w:cstheme="minorHAnsi"/>
              </w:rPr>
              <w:t>PBS.T3.06 Statement of Departmental Asset Movements</w:t>
            </w:r>
          </w:p>
        </w:tc>
        <w:tc>
          <w:tcPr>
            <w:tcW w:w="6662" w:type="dxa"/>
            <w:shd w:val="clear" w:color="auto" w:fill="auto"/>
          </w:tcPr>
          <w:p w14:paraId="30D5AD1A" w14:textId="77777777" w:rsidR="000457F9" w:rsidRPr="000C5235" w:rsidRDefault="000457F9" w:rsidP="00A1067A">
            <w:pPr>
              <w:pStyle w:val="TableText-Medium"/>
              <w:rPr>
                <w:rFonts w:cstheme="minorHAnsi"/>
              </w:rPr>
            </w:pPr>
            <w:r w:rsidRPr="000C5235">
              <w:rPr>
                <w:rFonts w:cstheme="minorHAnsi"/>
              </w:rPr>
              <w:t>New line-items added:</w:t>
            </w:r>
          </w:p>
          <w:p w14:paraId="105E913F" w14:textId="77777777" w:rsidR="000457F9" w:rsidRPr="000C5235" w:rsidRDefault="000457F9" w:rsidP="00A1067A">
            <w:pPr>
              <w:pStyle w:val="TableText-Medium-DotPoints"/>
              <w:rPr>
                <w:rFonts w:cstheme="minorHAnsi"/>
                <w:color w:val="000000"/>
                <w:u w:val="single"/>
              </w:rPr>
            </w:pPr>
            <w:r w:rsidRPr="000C5235">
              <w:rPr>
                <w:rFonts w:cstheme="minorHAnsi"/>
              </w:rPr>
              <w:t xml:space="preserve">Gross book value - ROU assets (for both </w:t>
            </w:r>
            <w:r w:rsidRPr="000C5235">
              <w:rPr>
                <w:rFonts w:cstheme="minorHAnsi"/>
                <w:i/>
              </w:rPr>
              <w:t>‘As at 1 July 2020’</w:t>
            </w:r>
            <w:r w:rsidRPr="000C5235">
              <w:rPr>
                <w:rFonts w:cstheme="minorHAnsi"/>
              </w:rPr>
              <w:t xml:space="preserve"> and </w:t>
            </w:r>
            <w:r w:rsidRPr="000C5235">
              <w:rPr>
                <w:rFonts w:cstheme="minorHAnsi"/>
                <w:i/>
              </w:rPr>
              <w:t>‘As at 30 June 2021’</w:t>
            </w:r>
            <w:r w:rsidRPr="000C5235">
              <w:rPr>
                <w:rFonts w:cstheme="minorHAnsi"/>
              </w:rPr>
              <w:t>)</w:t>
            </w:r>
          </w:p>
          <w:p w14:paraId="16F6C65A" w14:textId="77777777" w:rsidR="000457F9" w:rsidRPr="000C5235" w:rsidRDefault="000457F9" w:rsidP="00A1067A">
            <w:pPr>
              <w:pStyle w:val="TableText-Medium-DotPoints"/>
              <w:rPr>
                <w:rFonts w:cstheme="minorHAnsi"/>
                <w:u w:val="single"/>
              </w:rPr>
            </w:pPr>
            <w:r w:rsidRPr="000C5235">
              <w:rPr>
                <w:rFonts w:cstheme="minorHAnsi"/>
              </w:rPr>
              <w:t>Accumulated depreciation/amortisation and impairment – ROU</w:t>
            </w:r>
            <w:r w:rsidRPr="000C5235">
              <w:rPr>
                <w:rFonts w:cstheme="minorHAnsi"/>
              </w:rPr>
              <w:br/>
              <w:t>(for both</w:t>
            </w:r>
            <w:r w:rsidRPr="000C5235">
              <w:rPr>
                <w:rFonts w:cstheme="minorHAnsi"/>
                <w:i/>
              </w:rPr>
              <w:t xml:space="preserve"> ‘As at 1 July 2020’ </w:t>
            </w:r>
            <w:r w:rsidRPr="000C5235">
              <w:rPr>
                <w:rFonts w:cstheme="minorHAnsi"/>
              </w:rPr>
              <w:t xml:space="preserve">and </w:t>
            </w:r>
            <w:r w:rsidRPr="000C5235">
              <w:rPr>
                <w:rFonts w:cstheme="minorHAnsi"/>
                <w:i/>
              </w:rPr>
              <w:t>‘As at 30 June 2021’</w:t>
            </w:r>
            <w:r w:rsidRPr="000C5235">
              <w:rPr>
                <w:rFonts w:cstheme="minorHAnsi"/>
              </w:rPr>
              <w:t>)</w:t>
            </w:r>
          </w:p>
          <w:p w14:paraId="14242179" w14:textId="77777777" w:rsidR="000457F9" w:rsidRPr="000C5235" w:rsidRDefault="000457F9" w:rsidP="00A1067A">
            <w:pPr>
              <w:pStyle w:val="TableText-Medium-DotPoints"/>
              <w:rPr>
                <w:rFonts w:cstheme="minorHAnsi"/>
              </w:rPr>
            </w:pPr>
            <w:r w:rsidRPr="000C5235">
              <w:rPr>
                <w:rFonts w:cstheme="minorHAnsi"/>
              </w:rPr>
              <w:t>By purchase - appropriation equity - ROU assets</w:t>
            </w:r>
          </w:p>
          <w:p w14:paraId="4924C9F7" w14:textId="77777777" w:rsidR="000457F9" w:rsidRPr="000C5235" w:rsidRDefault="000457F9" w:rsidP="00A1067A">
            <w:pPr>
              <w:pStyle w:val="TableText-Medium-DotPoints"/>
              <w:rPr>
                <w:rFonts w:cstheme="minorHAnsi"/>
              </w:rPr>
            </w:pPr>
            <w:r w:rsidRPr="000C5235">
              <w:rPr>
                <w:rFonts w:cstheme="minorHAnsi"/>
              </w:rPr>
              <w:t>By purchase - appropriation ordinary annual services – ROU assets</w:t>
            </w:r>
          </w:p>
          <w:p w14:paraId="2364EC9D" w14:textId="77777777" w:rsidR="000457F9" w:rsidRPr="000C5235" w:rsidRDefault="000457F9" w:rsidP="00A1067A">
            <w:pPr>
              <w:pStyle w:val="TableText-Medium-DotPoints"/>
              <w:rPr>
                <w:rFonts w:cstheme="minorHAnsi"/>
              </w:rPr>
            </w:pPr>
            <w:r w:rsidRPr="000C5235">
              <w:rPr>
                <w:rFonts w:cstheme="minorHAnsi"/>
              </w:rPr>
              <w:t>By purchase - other - ROU assets</w:t>
            </w:r>
          </w:p>
          <w:p w14:paraId="71D5FB61" w14:textId="77777777" w:rsidR="000457F9" w:rsidRPr="000C5235" w:rsidRDefault="000457F9" w:rsidP="00A1067A">
            <w:pPr>
              <w:pStyle w:val="TableText-Medium-DotPoints"/>
              <w:rPr>
                <w:rFonts w:cstheme="minorHAnsi"/>
              </w:rPr>
            </w:pPr>
            <w:r w:rsidRPr="000C5235">
              <w:rPr>
                <w:rFonts w:cstheme="minorHAnsi"/>
              </w:rPr>
              <w:t>ROU assets held for sale or in a disposal group held for sale</w:t>
            </w:r>
          </w:p>
          <w:p w14:paraId="3919A8DB" w14:textId="77777777" w:rsidR="000457F9" w:rsidRPr="000C5235" w:rsidRDefault="000457F9" w:rsidP="00A1067A">
            <w:pPr>
              <w:pStyle w:val="TableText-Medium-DotPoints"/>
              <w:rPr>
                <w:rFonts w:cstheme="minorHAnsi"/>
              </w:rPr>
            </w:pPr>
            <w:r w:rsidRPr="000C5235">
              <w:rPr>
                <w:rFonts w:cstheme="minorHAnsi"/>
              </w:rPr>
              <w:t>Depreciation/amortisation on ROU assets</w:t>
            </w:r>
          </w:p>
          <w:p w14:paraId="286FB3B3" w14:textId="77777777" w:rsidR="000457F9" w:rsidRPr="000C5235" w:rsidRDefault="000457F9" w:rsidP="00A1067A">
            <w:pPr>
              <w:pStyle w:val="TableText-Medium-DotPoints"/>
              <w:rPr>
                <w:rFonts w:cstheme="minorHAnsi"/>
                <w:u w:val="single"/>
              </w:rPr>
            </w:pPr>
            <w:r w:rsidRPr="000C5235">
              <w:rPr>
                <w:rFonts w:cstheme="minorHAnsi"/>
              </w:rPr>
              <w:t>From disposal of entities or operations (including restructuring) on ROU assets</w:t>
            </w:r>
          </w:p>
          <w:p w14:paraId="604DA135" w14:textId="77777777" w:rsidR="000457F9" w:rsidRPr="000C5235" w:rsidRDefault="000457F9" w:rsidP="00A1067A">
            <w:pPr>
              <w:pStyle w:val="TableText-Medium-DotPoints"/>
              <w:rPr>
                <w:rFonts w:cstheme="minorHAnsi"/>
                <w:u w:val="single"/>
              </w:rPr>
            </w:pPr>
            <w:r w:rsidRPr="000C5235">
              <w:rPr>
                <w:rFonts w:cstheme="minorHAnsi"/>
              </w:rPr>
              <w:t>Other - ROU assets</w:t>
            </w:r>
          </w:p>
          <w:p w14:paraId="1D2E5D86" w14:textId="77777777" w:rsidR="000457F9" w:rsidRPr="000C5235" w:rsidRDefault="000457F9" w:rsidP="00BD6313">
            <w:pPr>
              <w:pStyle w:val="TableText-Medium"/>
              <w:ind w:left="0"/>
              <w:rPr>
                <w:rFonts w:cstheme="minorHAnsi"/>
              </w:rPr>
            </w:pPr>
          </w:p>
          <w:p w14:paraId="16C6AD68" w14:textId="77777777" w:rsidR="000457F9" w:rsidRPr="000C5235" w:rsidRDefault="000457F9" w:rsidP="00A1067A">
            <w:pPr>
              <w:pStyle w:val="TableText-Medium"/>
              <w:rPr>
                <w:rFonts w:cstheme="minorHAnsi"/>
                <w:color w:val="000000"/>
              </w:rPr>
            </w:pPr>
            <w:r w:rsidRPr="000C5235">
              <w:rPr>
                <w:rFonts w:cstheme="minorHAnsi"/>
              </w:rPr>
              <w:t>Line-item removed</w:t>
            </w:r>
            <w:r w:rsidRPr="000C5235">
              <w:rPr>
                <w:rFonts w:cstheme="minorHAnsi"/>
                <w:color w:val="000000"/>
              </w:rPr>
              <w:t>:</w:t>
            </w:r>
          </w:p>
          <w:p w14:paraId="5EF72C72" w14:textId="77777777" w:rsidR="000457F9" w:rsidRPr="000C5235" w:rsidRDefault="000457F9" w:rsidP="00A1067A">
            <w:pPr>
              <w:pStyle w:val="TableText-Medium-DotPoints"/>
              <w:rPr>
                <w:rFonts w:cstheme="minorHAnsi"/>
              </w:rPr>
            </w:pPr>
            <w:r w:rsidRPr="000C5235">
              <w:rPr>
                <w:rFonts w:cstheme="minorHAnsi"/>
              </w:rPr>
              <w:t>Gross Value - Additions - By Finance Lease</w:t>
            </w:r>
          </w:p>
        </w:tc>
      </w:tr>
      <w:tr w:rsidR="000457F9" w:rsidRPr="000C5235" w14:paraId="04AB1471" w14:textId="77777777" w:rsidTr="00145E47">
        <w:trPr>
          <w:trHeight w:val="300"/>
        </w:trPr>
        <w:tc>
          <w:tcPr>
            <w:tcW w:w="2972" w:type="dxa"/>
            <w:shd w:val="clear" w:color="auto" w:fill="auto"/>
            <w:noWrap/>
          </w:tcPr>
          <w:p w14:paraId="48CF6DD3" w14:textId="77777777" w:rsidR="000457F9" w:rsidRPr="000C5235" w:rsidRDefault="000457F9" w:rsidP="00A1067A">
            <w:pPr>
              <w:pStyle w:val="TableText-Medium"/>
              <w:rPr>
                <w:rFonts w:cstheme="minorHAnsi"/>
              </w:rPr>
            </w:pPr>
            <w:r w:rsidRPr="000C5235">
              <w:rPr>
                <w:rFonts w:cstheme="minorHAnsi"/>
              </w:rPr>
              <w:t>PBS.T3.07 Schedule of budgeted income and expenses administered on behalf of Government</w:t>
            </w:r>
          </w:p>
        </w:tc>
        <w:tc>
          <w:tcPr>
            <w:tcW w:w="6662" w:type="dxa"/>
            <w:shd w:val="clear" w:color="auto" w:fill="auto"/>
          </w:tcPr>
          <w:p w14:paraId="58B51277" w14:textId="77777777" w:rsidR="000457F9" w:rsidRPr="000C5235" w:rsidRDefault="000457F9" w:rsidP="00A1067A">
            <w:pPr>
              <w:pStyle w:val="TableText-Medium"/>
              <w:rPr>
                <w:rFonts w:cstheme="minorHAnsi"/>
              </w:rPr>
            </w:pPr>
            <w:r w:rsidRPr="000C5235">
              <w:rPr>
                <w:rFonts w:cstheme="minorHAnsi"/>
              </w:rPr>
              <w:t>New line-items added:</w:t>
            </w:r>
          </w:p>
          <w:p w14:paraId="35923EC4" w14:textId="77777777" w:rsidR="000457F9" w:rsidRPr="000C5235" w:rsidRDefault="000457F9" w:rsidP="00A1067A">
            <w:pPr>
              <w:pStyle w:val="TableText-Medium-DotPoints"/>
              <w:rPr>
                <w:rFonts w:cstheme="minorHAnsi"/>
                <w:color w:val="000000"/>
              </w:rPr>
            </w:pPr>
            <w:r w:rsidRPr="000C5235">
              <w:rPr>
                <w:rFonts w:cstheme="minorHAnsi"/>
              </w:rPr>
              <w:t>Sublease income</w:t>
            </w:r>
          </w:p>
          <w:p w14:paraId="467EAF62" w14:textId="77777777" w:rsidR="000457F9" w:rsidRPr="000C5235" w:rsidRDefault="000457F9" w:rsidP="00A1067A">
            <w:pPr>
              <w:pStyle w:val="TableText-Medium-DotPoints"/>
              <w:rPr>
                <w:rFonts w:cstheme="minorHAnsi"/>
              </w:rPr>
            </w:pPr>
            <w:r w:rsidRPr="000C5235">
              <w:rPr>
                <w:rFonts w:cstheme="minorHAnsi"/>
              </w:rPr>
              <w:t>Sublease interest income</w:t>
            </w:r>
          </w:p>
          <w:p w14:paraId="051B15B3" w14:textId="77777777" w:rsidR="000457F9" w:rsidRPr="000C5235" w:rsidRDefault="000457F9" w:rsidP="00A1067A">
            <w:pPr>
              <w:pStyle w:val="TableText-Medium-DotPoints"/>
              <w:rPr>
                <w:rFonts w:cstheme="minorHAnsi"/>
              </w:rPr>
            </w:pPr>
            <w:r w:rsidRPr="000C5235">
              <w:rPr>
                <w:rFonts w:cstheme="minorHAnsi"/>
              </w:rPr>
              <w:t>Gain on lease disposal</w:t>
            </w:r>
          </w:p>
          <w:p w14:paraId="7B1C385C" w14:textId="77777777" w:rsidR="000457F9" w:rsidRPr="000C5235" w:rsidRDefault="000457F9" w:rsidP="00A1067A">
            <w:pPr>
              <w:pStyle w:val="TableText-Medium-DotPoints"/>
              <w:rPr>
                <w:rFonts w:cstheme="minorHAnsi"/>
                <w:color w:val="000000"/>
                <w:u w:val="single"/>
              </w:rPr>
            </w:pPr>
            <w:r w:rsidRPr="000C5235">
              <w:rPr>
                <w:rFonts w:cstheme="minorHAnsi"/>
              </w:rPr>
              <w:t>Gain on finance sublease</w:t>
            </w:r>
          </w:p>
        </w:tc>
      </w:tr>
      <w:tr w:rsidR="000457F9" w:rsidRPr="000C5235" w14:paraId="178E6DF8" w14:textId="77777777" w:rsidTr="00145E47">
        <w:trPr>
          <w:trHeight w:val="300"/>
        </w:trPr>
        <w:tc>
          <w:tcPr>
            <w:tcW w:w="2972" w:type="dxa"/>
            <w:shd w:val="clear" w:color="auto" w:fill="auto"/>
            <w:noWrap/>
          </w:tcPr>
          <w:p w14:paraId="323BDFA2" w14:textId="77777777" w:rsidR="000457F9" w:rsidRPr="000C5235" w:rsidRDefault="000457F9" w:rsidP="00A1067A">
            <w:pPr>
              <w:pStyle w:val="TableText-Medium"/>
              <w:rPr>
                <w:rFonts w:cstheme="minorHAnsi"/>
              </w:rPr>
            </w:pPr>
            <w:r w:rsidRPr="000C5235">
              <w:rPr>
                <w:rFonts w:cstheme="minorHAnsi"/>
              </w:rPr>
              <w:t>PBS.T3.09 Schedule of budget administered cash flows (for the period ended 30 June)</w:t>
            </w:r>
          </w:p>
        </w:tc>
        <w:tc>
          <w:tcPr>
            <w:tcW w:w="6662" w:type="dxa"/>
            <w:shd w:val="clear" w:color="auto" w:fill="auto"/>
          </w:tcPr>
          <w:p w14:paraId="3DFF269D" w14:textId="77777777" w:rsidR="000457F9" w:rsidRPr="000C5235" w:rsidRDefault="000457F9" w:rsidP="00A1067A">
            <w:pPr>
              <w:pStyle w:val="TableText-Medium"/>
              <w:rPr>
                <w:rFonts w:cstheme="minorHAnsi"/>
              </w:rPr>
            </w:pPr>
            <w:r w:rsidRPr="000C5235">
              <w:rPr>
                <w:rFonts w:cstheme="minorHAnsi"/>
              </w:rPr>
              <w:t>New line-items added:</w:t>
            </w:r>
          </w:p>
          <w:p w14:paraId="007929EF" w14:textId="77777777" w:rsidR="000457F9" w:rsidRPr="000C5235" w:rsidRDefault="000457F9" w:rsidP="00A1067A">
            <w:pPr>
              <w:pStyle w:val="TableText-Medium-DotPoints"/>
              <w:rPr>
                <w:rFonts w:cstheme="minorHAnsi"/>
              </w:rPr>
            </w:pPr>
            <w:r w:rsidRPr="000C5235">
              <w:rPr>
                <w:rFonts w:cstheme="minorHAnsi"/>
              </w:rPr>
              <w:t>Interest payments on lease liability</w:t>
            </w:r>
          </w:p>
          <w:p w14:paraId="434A6195" w14:textId="77777777" w:rsidR="000457F9" w:rsidRPr="000C5235" w:rsidRDefault="000457F9" w:rsidP="00A1067A">
            <w:pPr>
              <w:pStyle w:val="TableText-Medium-DotPoints"/>
              <w:rPr>
                <w:rFonts w:cstheme="minorHAnsi"/>
              </w:rPr>
            </w:pPr>
            <w:r w:rsidRPr="000C5235">
              <w:rPr>
                <w:rFonts w:cstheme="minorHAnsi"/>
              </w:rPr>
              <w:t>Principal payments on lease liability</w:t>
            </w:r>
          </w:p>
        </w:tc>
      </w:tr>
      <w:tr w:rsidR="000457F9" w:rsidRPr="000C5235" w14:paraId="456100F3" w14:textId="77777777" w:rsidTr="00145E47">
        <w:trPr>
          <w:trHeight w:val="300"/>
        </w:trPr>
        <w:tc>
          <w:tcPr>
            <w:tcW w:w="2972" w:type="dxa"/>
            <w:shd w:val="clear" w:color="auto" w:fill="auto"/>
            <w:noWrap/>
          </w:tcPr>
          <w:p w14:paraId="4E1D840E" w14:textId="77777777" w:rsidR="000457F9" w:rsidRPr="000C5235" w:rsidRDefault="000457F9" w:rsidP="00A1067A">
            <w:pPr>
              <w:pStyle w:val="TableText-Medium"/>
              <w:rPr>
                <w:rFonts w:cstheme="minorHAnsi"/>
              </w:rPr>
            </w:pPr>
            <w:r w:rsidRPr="000C5235">
              <w:rPr>
                <w:rFonts w:cstheme="minorHAnsi"/>
              </w:rPr>
              <w:t>PBS.T3.10 Administered Capital Budget Statement (for the period ended 30 June)</w:t>
            </w:r>
          </w:p>
        </w:tc>
        <w:tc>
          <w:tcPr>
            <w:tcW w:w="6662" w:type="dxa"/>
            <w:shd w:val="clear" w:color="auto" w:fill="auto"/>
          </w:tcPr>
          <w:p w14:paraId="5D5FF96E" w14:textId="77777777" w:rsidR="000457F9" w:rsidRPr="000C5235" w:rsidRDefault="000457F9" w:rsidP="00A1067A">
            <w:pPr>
              <w:pStyle w:val="TableText-Medium"/>
              <w:rPr>
                <w:rFonts w:cstheme="minorHAnsi"/>
              </w:rPr>
            </w:pPr>
            <w:r w:rsidRPr="000C5235">
              <w:rPr>
                <w:rFonts w:cstheme="minorHAnsi"/>
              </w:rPr>
              <w:t>New line-item added:</w:t>
            </w:r>
          </w:p>
          <w:p w14:paraId="45F0E3D3" w14:textId="77777777" w:rsidR="000457F9" w:rsidRPr="000C5235" w:rsidRDefault="000457F9" w:rsidP="00A1067A">
            <w:pPr>
              <w:pStyle w:val="TableText-Medium-DotPoints"/>
              <w:rPr>
                <w:rFonts w:cstheme="minorHAnsi"/>
                <w:color w:val="000000"/>
              </w:rPr>
            </w:pPr>
            <w:r w:rsidRPr="000C5235">
              <w:rPr>
                <w:rFonts w:cstheme="minorHAnsi"/>
              </w:rPr>
              <w:t>Funded by special appropriations</w:t>
            </w:r>
          </w:p>
        </w:tc>
      </w:tr>
      <w:tr w:rsidR="000457F9" w:rsidRPr="000C5235" w14:paraId="3787BF0A" w14:textId="77777777" w:rsidTr="00145E47">
        <w:trPr>
          <w:trHeight w:val="300"/>
        </w:trPr>
        <w:tc>
          <w:tcPr>
            <w:tcW w:w="2972" w:type="dxa"/>
            <w:shd w:val="clear" w:color="auto" w:fill="auto"/>
            <w:noWrap/>
          </w:tcPr>
          <w:p w14:paraId="356E4850" w14:textId="77777777" w:rsidR="000457F9" w:rsidRPr="000C5235" w:rsidRDefault="000457F9" w:rsidP="00A1067A">
            <w:pPr>
              <w:pStyle w:val="TableText-Medium"/>
              <w:rPr>
                <w:rFonts w:cstheme="minorHAnsi"/>
              </w:rPr>
            </w:pPr>
            <w:r w:rsidRPr="000C5235">
              <w:rPr>
                <w:rFonts w:cstheme="minorHAnsi"/>
              </w:rPr>
              <w:t>PBS.T3.11 Statement of Administered Asset Movements</w:t>
            </w:r>
          </w:p>
        </w:tc>
        <w:tc>
          <w:tcPr>
            <w:tcW w:w="6662" w:type="dxa"/>
            <w:shd w:val="clear" w:color="auto" w:fill="auto"/>
          </w:tcPr>
          <w:p w14:paraId="62D8FD54" w14:textId="77777777" w:rsidR="000457F9" w:rsidRPr="000C5235" w:rsidRDefault="000457F9" w:rsidP="00A1067A">
            <w:pPr>
              <w:pStyle w:val="TableText-Medium"/>
              <w:rPr>
                <w:rFonts w:cstheme="minorHAnsi"/>
              </w:rPr>
            </w:pPr>
            <w:r w:rsidRPr="000C5235">
              <w:rPr>
                <w:rFonts w:cstheme="minorHAnsi"/>
              </w:rPr>
              <w:t>New line-items added:</w:t>
            </w:r>
          </w:p>
          <w:p w14:paraId="397B584E" w14:textId="77777777" w:rsidR="000457F9" w:rsidRPr="000C5235" w:rsidRDefault="000457F9" w:rsidP="00A1067A">
            <w:pPr>
              <w:pStyle w:val="TableText-Medium-DotPoints"/>
              <w:rPr>
                <w:rFonts w:cstheme="minorHAnsi"/>
                <w:color w:val="000000"/>
                <w:u w:val="single"/>
              </w:rPr>
            </w:pPr>
            <w:r w:rsidRPr="000C5235">
              <w:rPr>
                <w:rFonts w:cstheme="minorHAnsi"/>
              </w:rPr>
              <w:t>Gross book value – ROU assets (for both ‘As at 1 July 2020’ and ‘As at 30 June 2021’)</w:t>
            </w:r>
          </w:p>
          <w:p w14:paraId="4BF78B8A" w14:textId="77777777" w:rsidR="000457F9" w:rsidRPr="000C5235" w:rsidRDefault="000457F9" w:rsidP="00A1067A">
            <w:pPr>
              <w:pStyle w:val="TableText-Medium-DotPoints"/>
              <w:rPr>
                <w:rFonts w:cstheme="minorHAnsi"/>
                <w:u w:val="single"/>
              </w:rPr>
            </w:pPr>
            <w:r w:rsidRPr="000C5235">
              <w:rPr>
                <w:rFonts w:cstheme="minorHAnsi"/>
              </w:rPr>
              <w:t xml:space="preserve">Accumulated depreciation/amortisation and impairment – ROU </w:t>
            </w:r>
            <w:r w:rsidRPr="000C5235">
              <w:rPr>
                <w:rFonts w:cstheme="minorHAnsi"/>
                <w:i/>
              </w:rPr>
              <w:t>(for both ‘As at 1 July 2020’ and ‘As at 30 June 2021’)</w:t>
            </w:r>
          </w:p>
          <w:p w14:paraId="72B119DA" w14:textId="77777777" w:rsidR="000457F9" w:rsidRPr="000C5235" w:rsidRDefault="000457F9" w:rsidP="00A1067A">
            <w:pPr>
              <w:pStyle w:val="TableText-Medium-DotPoints"/>
              <w:rPr>
                <w:rFonts w:cstheme="minorHAnsi"/>
              </w:rPr>
            </w:pPr>
            <w:r w:rsidRPr="000C5235">
              <w:rPr>
                <w:rFonts w:cstheme="minorHAnsi"/>
              </w:rPr>
              <w:t>By purchase - appropriation equity - ROU assets</w:t>
            </w:r>
          </w:p>
          <w:p w14:paraId="0F39AF8B" w14:textId="77777777" w:rsidR="000457F9" w:rsidRPr="000C5235" w:rsidRDefault="000457F9" w:rsidP="00A1067A">
            <w:pPr>
              <w:pStyle w:val="TableText-Medium-DotPoints"/>
              <w:rPr>
                <w:rFonts w:cstheme="minorHAnsi"/>
              </w:rPr>
            </w:pPr>
            <w:r w:rsidRPr="000C5235">
              <w:rPr>
                <w:rFonts w:cstheme="minorHAnsi"/>
              </w:rPr>
              <w:t>By purchase - appropriation ordinary annual services – ROU assets</w:t>
            </w:r>
          </w:p>
          <w:p w14:paraId="331017FA" w14:textId="77777777" w:rsidR="000457F9" w:rsidRPr="000C5235" w:rsidRDefault="000457F9" w:rsidP="00A1067A">
            <w:pPr>
              <w:pStyle w:val="TableText-Medium-DotPoints"/>
              <w:rPr>
                <w:rFonts w:cstheme="minorHAnsi"/>
              </w:rPr>
            </w:pPr>
            <w:r w:rsidRPr="000C5235">
              <w:rPr>
                <w:rFonts w:cstheme="minorHAnsi"/>
              </w:rPr>
              <w:t>By purchase – other - ROU assets</w:t>
            </w:r>
          </w:p>
          <w:p w14:paraId="0B74994E" w14:textId="77777777" w:rsidR="000457F9" w:rsidRPr="000C5235" w:rsidRDefault="000457F9" w:rsidP="00A1067A">
            <w:pPr>
              <w:pStyle w:val="TableText-Medium-DotPoints"/>
              <w:rPr>
                <w:rFonts w:cstheme="minorHAnsi"/>
              </w:rPr>
            </w:pPr>
            <w:r w:rsidRPr="000C5235">
              <w:rPr>
                <w:rFonts w:cstheme="minorHAnsi"/>
              </w:rPr>
              <w:t>ROU assets held for sale or in a disposal group held for sale</w:t>
            </w:r>
          </w:p>
          <w:p w14:paraId="132A03C1" w14:textId="77777777" w:rsidR="000457F9" w:rsidRPr="000C5235" w:rsidRDefault="000457F9" w:rsidP="00A1067A">
            <w:pPr>
              <w:pStyle w:val="TableText-Medium-DotPoints"/>
              <w:rPr>
                <w:rFonts w:cstheme="minorHAnsi"/>
              </w:rPr>
            </w:pPr>
            <w:r w:rsidRPr="000C5235">
              <w:rPr>
                <w:rFonts w:cstheme="minorHAnsi"/>
              </w:rPr>
              <w:t>Depreciation/amortisation on ROU assets</w:t>
            </w:r>
          </w:p>
          <w:p w14:paraId="4DDEC25A" w14:textId="77777777" w:rsidR="000457F9" w:rsidRPr="000C5235" w:rsidRDefault="000457F9" w:rsidP="00A1067A">
            <w:pPr>
              <w:pStyle w:val="TableText-Medium-DotPoints"/>
              <w:rPr>
                <w:rFonts w:cstheme="minorHAnsi"/>
                <w:u w:val="single"/>
              </w:rPr>
            </w:pPr>
            <w:r w:rsidRPr="000C5235">
              <w:rPr>
                <w:rFonts w:cstheme="minorHAnsi"/>
              </w:rPr>
              <w:t>From disposal of entities or operations (including restructuring) on ROU assets</w:t>
            </w:r>
          </w:p>
          <w:p w14:paraId="75D2DC38" w14:textId="77777777" w:rsidR="000457F9" w:rsidRPr="000C5235" w:rsidRDefault="000457F9" w:rsidP="00A1067A">
            <w:pPr>
              <w:pStyle w:val="TableText-Medium-DotPoints"/>
              <w:rPr>
                <w:rFonts w:cstheme="minorHAnsi"/>
                <w:u w:val="single"/>
              </w:rPr>
            </w:pPr>
            <w:r w:rsidRPr="000C5235">
              <w:rPr>
                <w:rFonts w:cstheme="minorHAnsi"/>
              </w:rPr>
              <w:t>Other - ROU assets</w:t>
            </w:r>
          </w:p>
          <w:p w14:paraId="35575544" w14:textId="77777777" w:rsidR="000457F9" w:rsidRPr="000C5235" w:rsidRDefault="000457F9" w:rsidP="00A1067A">
            <w:pPr>
              <w:pStyle w:val="TableText-Medium"/>
              <w:rPr>
                <w:rFonts w:cstheme="minorHAnsi"/>
              </w:rPr>
            </w:pPr>
          </w:p>
          <w:p w14:paraId="726EF488" w14:textId="77777777" w:rsidR="000457F9" w:rsidRPr="000C5235" w:rsidRDefault="000457F9" w:rsidP="00A1067A">
            <w:pPr>
              <w:pStyle w:val="TableText-Medium"/>
              <w:rPr>
                <w:rFonts w:cstheme="minorHAnsi"/>
                <w:color w:val="000000"/>
              </w:rPr>
            </w:pPr>
            <w:r w:rsidRPr="000C5235">
              <w:rPr>
                <w:rFonts w:cstheme="minorHAnsi"/>
              </w:rPr>
              <w:t>Line-item removed</w:t>
            </w:r>
            <w:r w:rsidRPr="000C5235">
              <w:rPr>
                <w:rFonts w:cstheme="minorHAnsi"/>
                <w:color w:val="000000"/>
              </w:rPr>
              <w:t>:</w:t>
            </w:r>
          </w:p>
          <w:p w14:paraId="25A7F5A7" w14:textId="77777777" w:rsidR="000457F9" w:rsidRPr="000C5235" w:rsidRDefault="000457F9" w:rsidP="002872C3">
            <w:pPr>
              <w:pStyle w:val="TableText-Medium-DotPoints"/>
              <w:rPr>
                <w:rFonts w:cstheme="minorHAnsi"/>
              </w:rPr>
            </w:pPr>
            <w:r w:rsidRPr="000C5235">
              <w:rPr>
                <w:rFonts w:cstheme="minorHAnsi"/>
              </w:rPr>
              <w:t>By Finance Lease</w:t>
            </w:r>
          </w:p>
        </w:tc>
      </w:tr>
    </w:tbl>
    <w:p w14:paraId="6DB8C563" w14:textId="77777777" w:rsidR="00B6312C" w:rsidRPr="000C5235" w:rsidRDefault="00B6312C" w:rsidP="00B6312C">
      <w:pPr>
        <w:pStyle w:val="Heading1Numbered"/>
      </w:pPr>
      <w:bookmarkStart w:id="121" w:name="_Toc29980641"/>
      <w:bookmarkStart w:id="122" w:name="_Toc30405516"/>
      <w:bookmarkStart w:id="123" w:name="_Toc30581257"/>
      <w:bookmarkStart w:id="124" w:name="_Toc32829919"/>
      <w:bookmarkStart w:id="125" w:name="_Toc32917421"/>
      <w:bookmarkStart w:id="126" w:name="_Toc32918227"/>
      <w:bookmarkStart w:id="127" w:name="_Toc32999610"/>
      <w:bookmarkStart w:id="128" w:name="_Toc33099329"/>
      <w:bookmarkStart w:id="129" w:name="_Toc33195959"/>
      <w:bookmarkStart w:id="130" w:name="_Toc33196261"/>
      <w:bookmarkStart w:id="131" w:name="_Toc29980642"/>
      <w:bookmarkStart w:id="132" w:name="_Toc30405517"/>
      <w:bookmarkStart w:id="133" w:name="_Toc30581258"/>
      <w:bookmarkStart w:id="134" w:name="_Toc32829920"/>
      <w:bookmarkStart w:id="135" w:name="_Toc32917422"/>
      <w:bookmarkStart w:id="136" w:name="_Toc32918228"/>
      <w:bookmarkStart w:id="137" w:name="_Toc32999611"/>
      <w:bookmarkStart w:id="138" w:name="_Toc33099330"/>
      <w:bookmarkStart w:id="139" w:name="_Toc33195960"/>
      <w:bookmarkStart w:id="140" w:name="_Toc33196262"/>
      <w:bookmarkStart w:id="141" w:name="_Toc29980643"/>
      <w:bookmarkStart w:id="142" w:name="_Toc30405518"/>
      <w:bookmarkStart w:id="143" w:name="_Toc30581259"/>
      <w:bookmarkStart w:id="144" w:name="_Toc32829921"/>
      <w:bookmarkStart w:id="145" w:name="_Toc32917423"/>
      <w:bookmarkStart w:id="146" w:name="_Toc32918229"/>
      <w:bookmarkStart w:id="147" w:name="_Toc32999612"/>
      <w:bookmarkStart w:id="148" w:name="_Toc33099331"/>
      <w:bookmarkStart w:id="149" w:name="_Toc33195961"/>
      <w:bookmarkStart w:id="150" w:name="_Toc33196263"/>
      <w:bookmarkStart w:id="151" w:name="_Toc29980644"/>
      <w:bookmarkStart w:id="152" w:name="_Toc30405519"/>
      <w:bookmarkStart w:id="153" w:name="_Toc30581260"/>
      <w:bookmarkStart w:id="154" w:name="_Toc32829922"/>
      <w:bookmarkStart w:id="155" w:name="_Toc32917424"/>
      <w:bookmarkStart w:id="156" w:name="_Toc32918230"/>
      <w:bookmarkStart w:id="157" w:name="_Toc32999613"/>
      <w:bookmarkStart w:id="158" w:name="_Toc33099332"/>
      <w:bookmarkStart w:id="159" w:name="_Toc33195962"/>
      <w:bookmarkStart w:id="160" w:name="_Toc33196264"/>
      <w:bookmarkStart w:id="161" w:name="_Toc504468807"/>
      <w:bookmarkStart w:id="162" w:name="_Ref29395987"/>
      <w:bookmarkStart w:id="163" w:name="_Ref33521637"/>
      <w:bookmarkStart w:id="164" w:name="_Toc4795119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0C5235">
        <w:t>Purpose</w:t>
      </w:r>
      <w:bookmarkEnd w:id="161"/>
      <w:bookmarkEnd w:id="162"/>
      <w:bookmarkEnd w:id="163"/>
      <w:bookmarkEnd w:id="164"/>
    </w:p>
    <w:p w14:paraId="6479503D" w14:textId="77777777" w:rsidR="00B6312C" w:rsidRPr="000C5235" w:rsidRDefault="00B6312C" w:rsidP="00B6312C">
      <w:r w:rsidRPr="000C5235">
        <w:t xml:space="preserve">The PB Statements are formal ministerial documents signed by each respective </w:t>
      </w:r>
      <w:r w:rsidR="00676137" w:rsidRPr="000C5235">
        <w:t>Portfolio </w:t>
      </w:r>
      <w:r w:rsidRPr="000C5235">
        <w:t>Minister. Together with the B</w:t>
      </w:r>
      <w:r w:rsidR="00A671CE" w:rsidRPr="000C5235">
        <w:t>P</w:t>
      </w:r>
      <w:r w:rsidRPr="000C5235">
        <w:t xml:space="preserve">, the PB Statements represent a package of documents tabled in Parliament on Budget night that explains the </w:t>
      </w:r>
      <w:r w:rsidRPr="000C5235">
        <w:rPr>
          <w:rFonts w:ascii="Arial" w:eastAsia="Times New Roman" w:hAnsi="Arial" w:cs="Arial"/>
          <w:szCs w:val="22"/>
          <w:lang w:eastAsia="en-AU"/>
        </w:rPr>
        <w:t xml:space="preserve">allocation of resources to </w:t>
      </w:r>
      <w:r w:rsidRPr="000C5235">
        <w:rPr>
          <w:rFonts w:ascii="Arial" w:eastAsia="Times New Roman" w:hAnsi="Arial" w:cs="Arial"/>
          <w:lang w:eastAsia="en-AU"/>
        </w:rPr>
        <w:t>entities’</w:t>
      </w:r>
      <w:r w:rsidRPr="000C5235">
        <w:rPr>
          <w:rFonts w:ascii="Arial" w:eastAsia="Times New Roman" w:hAnsi="Arial" w:cs="Arial"/>
          <w:szCs w:val="22"/>
          <w:lang w:eastAsia="en-AU"/>
        </w:rPr>
        <w:t xml:space="preserve"> outcomes based on the </w:t>
      </w:r>
      <w:r w:rsidRPr="000C5235">
        <w:t>Government’s decisions.</w:t>
      </w:r>
    </w:p>
    <w:p w14:paraId="1D0815F2" w14:textId="77777777" w:rsidR="00B6312C" w:rsidRPr="000C5235" w:rsidRDefault="00B6312C" w:rsidP="00B6312C">
      <w:r w:rsidRPr="000C5235">
        <w:t xml:space="preserve">The Appropriation Acts refer to the PB Statements as ‘relevant documents’ to the interpretation of the Acts, according to section 15AB of the </w:t>
      </w:r>
      <w:r w:rsidRPr="000C5235">
        <w:rPr>
          <w:i/>
        </w:rPr>
        <w:t>Acts Interpretation Act 1901</w:t>
      </w:r>
      <w:r w:rsidRPr="000C5235">
        <w:t xml:space="preserve">. The PB Statements provide additional explanation to the Appropriation Bills and, as a result, they must be consistent with the Bills, which once passed by Parliament, become law as Appropriation Acts. Should a discrepancy occur between the Appropriation Acts and the PB Statements, it is the </w:t>
      </w:r>
      <w:r w:rsidRPr="000C5235">
        <w:rPr>
          <w:u w:val="single"/>
        </w:rPr>
        <w:t>Appropriation Acts that are definitive</w:t>
      </w:r>
      <w:r w:rsidRPr="000C5235">
        <w:t>.</w:t>
      </w:r>
    </w:p>
    <w:p w14:paraId="5A3E99F6" w14:textId="77777777" w:rsidR="00B6312C" w:rsidRPr="000C5235" w:rsidRDefault="00B6312C" w:rsidP="00B6312C">
      <w:r w:rsidRPr="000C5235">
        <w:t>The PB Statements also provide further information (financial and non-financial) at the Portfolio and entity level about the ongoing policy and program delivery initiatives undertaken by the Government.</w:t>
      </w:r>
    </w:p>
    <w:p w14:paraId="2EA56349" w14:textId="77777777" w:rsidR="00B6312C" w:rsidRPr="000C5235" w:rsidRDefault="00B6312C" w:rsidP="00B6312C">
      <w:r w:rsidRPr="000C5235">
        <w:t xml:space="preserve">Signing arrangements for PB Statements will be determined by the senior Portfolio Minister (the first minister shown in the current Ministry List issued by PM&amp;C at </w:t>
      </w:r>
      <w:hyperlink r:id="rId20" w:history="1">
        <w:r w:rsidRPr="000C5235">
          <w:rPr>
            <w:rStyle w:val="Hyperlink"/>
          </w:rPr>
          <w:t>www.pmc.gov.au/resource-centre/government/ministry-list</w:t>
        </w:r>
      </w:hyperlink>
      <w:r w:rsidRPr="000C5235">
        <w:t>). The responsible Portfolio Minister can delegate the signing of the document to an Assistant Minister.</w:t>
      </w:r>
    </w:p>
    <w:p w14:paraId="19DEB719" w14:textId="77777777" w:rsidR="00B751D1" w:rsidRPr="000C5235" w:rsidRDefault="00B751D1" w:rsidP="000A7DEC">
      <w:pPr>
        <w:pStyle w:val="Heading1Numbered"/>
      </w:pPr>
      <w:bookmarkStart w:id="165" w:name="_Toc47951196"/>
      <w:r w:rsidRPr="000C5235">
        <w:t xml:space="preserve">Who should prepare PB </w:t>
      </w:r>
      <w:bookmarkEnd w:id="72"/>
      <w:r w:rsidR="000E692C" w:rsidRPr="000C5235">
        <w:t>S</w:t>
      </w:r>
      <w:r w:rsidR="00FD4BA3" w:rsidRPr="000C5235">
        <w:t>tatements?</w:t>
      </w:r>
      <w:bookmarkEnd w:id="165"/>
    </w:p>
    <w:p w14:paraId="1022E9D1" w14:textId="77777777" w:rsidR="000B7C09" w:rsidRPr="000C5235" w:rsidRDefault="009D4EB9" w:rsidP="000A7DEC">
      <w:r w:rsidRPr="000C5235">
        <w:t xml:space="preserve">All Commonwealth entities who receive </w:t>
      </w:r>
      <w:r w:rsidR="005B357F" w:rsidRPr="000C5235">
        <w:t xml:space="preserve">annual </w:t>
      </w:r>
      <w:r w:rsidRPr="000C5235">
        <w:t>appropriations (whether direct</w:t>
      </w:r>
      <w:r w:rsidR="006E5DBC" w:rsidRPr="000C5235">
        <w:t>ly</w:t>
      </w:r>
      <w:r w:rsidRPr="000C5235">
        <w:t xml:space="preserve"> or through a </w:t>
      </w:r>
      <w:r w:rsidR="000B7C09" w:rsidRPr="000C5235">
        <w:t>P</w:t>
      </w:r>
      <w:r w:rsidRPr="000C5235">
        <w:t xml:space="preserve">ortfolio </w:t>
      </w:r>
      <w:r w:rsidR="000B7C09" w:rsidRPr="000C5235">
        <w:t>D</w:t>
      </w:r>
      <w:r w:rsidRPr="000C5235">
        <w:t>epartment) in</w:t>
      </w:r>
      <w:r w:rsidR="006E5DBC" w:rsidRPr="000C5235">
        <w:t xml:space="preserve"> </w:t>
      </w:r>
      <w:r w:rsidRPr="000C5235">
        <w:t>Appropriation Bill No.</w:t>
      </w:r>
      <w:r w:rsidR="00B907EC" w:rsidRPr="000C5235">
        <w:t xml:space="preserve"> </w:t>
      </w:r>
      <w:r w:rsidRPr="000C5235">
        <w:t>1 or No.</w:t>
      </w:r>
      <w:r w:rsidR="004D64A6" w:rsidRPr="000C5235">
        <w:t xml:space="preserve"> </w:t>
      </w:r>
      <w:r w:rsidRPr="000C5235">
        <w:t>2</w:t>
      </w:r>
      <w:r w:rsidR="006E5DBC" w:rsidRPr="000C5235">
        <w:t>;</w:t>
      </w:r>
      <w:r w:rsidRPr="000C5235">
        <w:t xml:space="preserve"> or </w:t>
      </w:r>
      <w:r w:rsidR="006E5DBC" w:rsidRPr="000C5235">
        <w:t xml:space="preserve">through </w:t>
      </w:r>
      <w:r w:rsidRPr="000C5235">
        <w:t>Appropriation (Parliamentary Departments) Bill No</w:t>
      </w:r>
      <w:r w:rsidR="004D64A6" w:rsidRPr="000C5235">
        <w:t xml:space="preserve">. </w:t>
      </w:r>
      <w:r w:rsidRPr="000C5235">
        <w:t xml:space="preserve">1 </w:t>
      </w:r>
      <w:r w:rsidR="00B907EC" w:rsidRPr="000C5235">
        <w:t>or</w:t>
      </w:r>
      <w:r w:rsidR="004D64A6" w:rsidRPr="000C5235">
        <w:t xml:space="preserve"> </w:t>
      </w:r>
      <w:r w:rsidR="00B907EC" w:rsidRPr="000C5235">
        <w:t>No</w:t>
      </w:r>
      <w:r w:rsidR="004D64A6" w:rsidRPr="000C5235">
        <w:t>. 2</w:t>
      </w:r>
      <w:r w:rsidR="00B907EC" w:rsidRPr="000C5235">
        <w:t xml:space="preserve"> </w:t>
      </w:r>
      <w:r w:rsidR="00B5535A" w:rsidRPr="000C5235">
        <w:t>in</w:t>
      </w:r>
      <w:r w:rsidR="008216A3" w:rsidRPr="000C5235">
        <w:t xml:space="preserve"> the </w:t>
      </w:r>
      <w:r w:rsidR="004D64A6" w:rsidRPr="000C5235">
        <w:t>2020-21</w:t>
      </w:r>
      <w:r w:rsidRPr="000C5235">
        <w:t xml:space="preserve"> </w:t>
      </w:r>
      <w:r w:rsidR="008216A3" w:rsidRPr="000C5235">
        <w:t xml:space="preserve">Budget </w:t>
      </w:r>
      <w:r w:rsidR="00B5535A" w:rsidRPr="000C5235">
        <w:t xml:space="preserve">Appropriation Bills </w:t>
      </w:r>
      <w:r w:rsidRPr="000C5235">
        <w:t xml:space="preserve">are </w:t>
      </w:r>
      <w:r w:rsidRPr="000C5235">
        <w:rPr>
          <w:u w:val="single"/>
        </w:rPr>
        <w:t>required</w:t>
      </w:r>
      <w:r w:rsidRPr="000C5235">
        <w:t xml:space="preserve"> to produce a PB Statement.</w:t>
      </w:r>
    </w:p>
    <w:p w14:paraId="26709F17" w14:textId="77777777" w:rsidR="009D4EB9" w:rsidRPr="000C5235" w:rsidRDefault="00A15857" w:rsidP="000A7DEC">
      <w:r w:rsidRPr="000C5235">
        <w:t>In some instances, Finance may require a</w:t>
      </w:r>
      <w:r w:rsidR="000B7C09" w:rsidRPr="000C5235">
        <w:t xml:space="preserve"> non-Budget appropriated</w:t>
      </w:r>
      <w:r w:rsidRPr="000C5235">
        <w:t xml:space="preserve"> entity to produce </w:t>
      </w:r>
      <w:r w:rsidR="004D64A6" w:rsidRPr="000C5235">
        <w:t>PB</w:t>
      </w:r>
      <w:r w:rsidR="00A667A6" w:rsidRPr="000C5235">
        <w:t> </w:t>
      </w:r>
      <w:r w:rsidR="004D64A6" w:rsidRPr="000C5235">
        <w:t xml:space="preserve">Statements </w:t>
      </w:r>
      <w:r w:rsidR="000B7C09" w:rsidRPr="000C5235">
        <w:t>(</w:t>
      </w:r>
      <w:r w:rsidR="001754FC" w:rsidRPr="000C5235">
        <w:t>ie</w:t>
      </w:r>
      <w:r w:rsidR="000B7C09" w:rsidRPr="000C5235">
        <w:t xml:space="preserve"> the Future Fund Management Agency) </w:t>
      </w:r>
      <w:r w:rsidRPr="000C5235">
        <w:t>when there is greater scrutiny on its operations or Budget and f</w:t>
      </w:r>
      <w:r w:rsidR="000D5628" w:rsidRPr="000C5235">
        <w:t>orward</w:t>
      </w:r>
      <w:r w:rsidRPr="000C5235">
        <w:t xml:space="preserve"> estimates.</w:t>
      </w:r>
    </w:p>
    <w:p w14:paraId="4993F69E" w14:textId="77777777" w:rsidR="009D4EB9" w:rsidRPr="000C5235" w:rsidRDefault="009D4EB9" w:rsidP="000A7DEC">
      <w:r w:rsidRPr="000C5235">
        <w:t>Entities will normally be shown as separate chapters in the PB Statements, unless they are in the process of being merged or consolidated into another</w:t>
      </w:r>
      <w:r w:rsidR="00154BA2" w:rsidRPr="000C5235">
        <w:t xml:space="preserve"> Department or entity</w:t>
      </w:r>
      <w:r w:rsidR="00FC320D" w:rsidRPr="000C5235">
        <w:t xml:space="preserve"> </w:t>
      </w:r>
      <w:r w:rsidR="005B357F" w:rsidRPr="000C5235">
        <w:t xml:space="preserve">at </w:t>
      </w:r>
      <w:r w:rsidR="00FC320D" w:rsidRPr="000C5235">
        <w:t xml:space="preserve">the </w:t>
      </w:r>
      <w:r w:rsidR="005B357F" w:rsidRPr="000C5235">
        <w:t>start of th</w:t>
      </w:r>
      <w:r w:rsidR="006444C8" w:rsidRPr="000C5235">
        <w:t>e</w:t>
      </w:r>
      <w:r w:rsidR="005B357F" w:rsidRPr="000C5235">
        <w:t xml:space="preserve"> </w:t>
      </w:r>
      <w:r w:rsidR="00FC320D" w:rsidRPr="000C5235">
        <w:t>Budget year.</w:t>
      </w:r>
    </w:p>
    <w:p w14:paraId="4C68ED41" w14:textId="77777777" w:rsidR="00CA3725" w:rsidRPr="000C5235" w:rsidRDefault="00B751D1" w:rsidP="000A7DEC">
      <w:r w:rsidRPr="000C5235">
        <w:t xml:space="preserve">Where there is more than one department in a portfolio, senior Portfolio Ministers determine how the portfolio should be represented </w:t>
      </w:r>
      <w:r w:rsidR="00E10C89" w:rsidRPr="000C5235">
        <w:t>(ie</w:t>
      </w:r>
      <w:r w:rsidRPr="000C5235">
        <w:t xml:space="preserve"> whether there is to be a book for each department, or one consolidated book for the portfolio</w:t>
      </w:r>
      <w:r w:rsidR="00E10C89" w:rsidRPr="000C5235">
        <w:t>)</w:t>
      </w:r>
      <w:r w:rsidRPr="000C5235">
        <w:t>.</w:t>
      </w:r>
    </w:p>
    <w:p w14:paraId="7062B8FE" w14:textId="77777777" w:rsidR="00895FC3" w:rsidRPr="000C5235" w:rsidRDefault="00895FC3">
      <w:pPr>
        <w:suppressAutoHyphens w:val="0"/>
        <w:spacing w:before="0" w:after="120" w:line="440" w:lineRule="atLeast"/>
      </w:pPr>
      <w:r w:rsidRPr="000C5235">
        <w:br w:type="page"/>
      </w:r>
    </w:p>
    <w:p w14:paraId="165FD512" w14:textId="77777777" w:rsidR="00FC5FF9" w:rsidRPr="000C5235" w:rsidRDefault="00B751D1" w:rsidP="000A7DEC">
      <w:r w:rsidRPr="000C5235">
        <w:t>Entities are to use the following Portfolio numbers for the covers of their PB Statements:</w:t>
      </w:r>
    </w:p>
    <w:p w14:paraId="757DE37C" w14:textId="77777777" w:rsidR="001923C9" w:rsidRPr="000C5235" w:rsidRDefault="001923C9" w:rsidP="000A7DEC"/>
    <w:tbl>
      <w:tblPr>
        <w:tblStyle w:val="TableGrid"/>
        <w:tblW w:w="0" w:type="auto"/>
        <w:shd w:val="clear" w:color="auto" w:fill="D9D9D9" w:themeFill="background1" w:themeFillShade="D9"/>
        <w:tblLook w:val="04A0" w:firstRow="1" w:lastRow="0" w:firstColumn="1" w:lastColumn="0" w:noHBand="0" w:noVBand="1"/>
      </w:tblPr>
      <w:tblGrid>
        <w:gridCol w:w="9054"/>
      </w:tblGrid>
      <w:tr w:rsidR="00DC2750" w:rsidRPr="000C5235" w14:paraId="09CA61D8" w14:textId="77777777" w:rsidTr="000A7DEC">
        <w:tc>
          <w:tcPr>
            <w:tcW w:w="9054" w:type="dxa"/>
            <w:shd w:val="clear" w:color="auto" w:fill="D9D9D9" w:themeFill="background1" w:themeFillShade="D9"/>
          </w:tcPr>
          <w:p w14:paraId="798D04FA" w14:textId="77777777" w:rsidR="00DC2750" w:rsidRPr="000C5235" w:rsidRDefault="00DC2750">
            <w:pPr>
              <w:pStyle w:val="PortfolioNumberingText"/>
            </w:pPr>
            <w:r w:rsidRPr="000C5235">
              <w:t>1.</w:t>
            </w:r>
            <w:r w:rsidR="00033997" w:rsidRPr="000C5235">
              <w:t>1</w:t>
            </w:r>
            <w:r w:rsidRPr="000C5235">
              <w:tab/>
            </w:r>
            <w:r w:rsidR="00CC6BB0" w:rsidRPr="000C5235">
              <w:t>Agriculture, Water and the Environment Portfolio</w:t>
            </w:r>
          </w:p>
          <w:p w14:paraId="3204F19E" w14:textId="77777777" w:rsidR="00033997" w:rsidRPr="000C5235" w:rsidRDefault="00033997">
            <w:pPr>
              <w:pStyle w:val="PortfolioNumberingText"/>
            </w:pPr>
            <w:r w:rsidRPr="000C5235">
              <w:t>1.2</w:t>
            </w:r>
            <w:r w:rsidR="0017521A" w:rsidRPr="000C5235">
              <w:tab/>
            </w:r>
            <w:r w:rsidR="00CC6BB0" w:rsidRPr="000C5235">
              <w:t>Attorney-General’s Portfolio</w:t>
            </w:r>
          </w:p>
          <w:p w14:paraId="02B60B8D" w14:textId="77777777" w:rsidR="00DC2750" w:rsidRPr="000C5235" w:rsidRDefault="00DC2750">
            <w:pPr>
              <w:pStyle w:val="PortfolioNumberingText"/>
            </w:pPr>
            <w:r w:rsidRPr="000C5235">
              <w:t>1.</w:t>
            </w:r>
            <w:r w:rsidR="00CC6BB0" w:rsidRPr="000C5235">
              <w:t>3</w:t>
            </w:r>
            <w:r w:rsidRPr="000C5235">
              <w:t>A</w:t>
            </w:r>
            <w:r w:rsidRPr="000C5235">
              <w:tab/>
              <w:t>Defence Portfolio</w:t>
            </w:r>
          </w:p>
          <w:p w14:paraId="1CE5C8D6" w14:textId="77777777" w:rsidR="00DC2750" w:rsidRPr="000C5235" w:rsidRDefault="00DC2750">
            <w:pPr>
              <w:pStyle w:val="PortfolioNumberingText"/>
            </w:pPr>
            <w:r w:rsidRPr="000C5235">
              <w:t>1.</w:t>
            </w:r>
            <w:r w:rsidR="00CC6BB0" w:rsidRPr="000C5235">
              <w:t>3</w:t>
            </w:r>
            <w:r w:rsidRPr="000C5235">
              <w:t>B</w:t>
            </w:r>
            <w:r w:rsidRPr="000C5235">
              <w:tab/>
              <w:t xml:space="preserve">Defence Portfolio (Department of Veterans’ Affairs) – subject to confirmation </w:t>
            </w:r>
            <w:r w:rsidR="0017521A" w:rsidRPr="000C5235">
              <w:br/>
            </w:r>
            <w:r w:rsidRPr="000C5235">
              <w:t>by their senior Portfolio Minister</w:t>
            </w:r>
          </w:p>
          <w:p w14:paraId="36567E74" w14:textId="77777777" w:rsidR="00DC2750" w:rsidRPr="000C5235" w:rsidRDefault="00DC2750">
            <w:pPr>
              <w:pStyle w:val="PortfolioNumberingText"/>
            </w:pPr>
            <w:r w:rsidRPr="000C5235">
              <w:t>1.</w:t>
            </w:r>
            <w:r w:rsidR="00CC6BB0" w:rsidRPr="000C5235">
              <w:t>4</w:t>
            </w:r>
            <w:r w:rsidRPr="000C5235">
              <w:tab/>
            </w:r>
            <w:r w:rsidR="0017521A" w:rsidRPr="000C5235">
              <w:t>Education, Skills and Employment Portfolio</w:t>
            </w:r>
          </w:p>
          <w:p w14:paraId="2F3E0846" w14:textId="77777777" w:rsidR="00DC2750" w:rsidRPr="000C5235" w:rsidRDefault="00DC2750">
            <w:pPr>
              <w:pStyle w:val="PortfolioNumberingText"/>
            </w:pPr>
            <w:r w:rsidRPr="000C5235">
              <w:t>1.</w:t>
            </w:r>
            <w:r w:rsidR="00CC6BB0" w:rsidRPr="000C5235">
              <w:t>5</w:t>
            </w:r>
            <w:r w:rsidRPr="000C5235">
              <w:tab/>
              <w:t>Finance Portfolio</w:t>
            </w:r>
          </w:p>
          <w:p w14:paraId="79D040FD" w14:textId="77777777" w:rsidR="00DC2750" w:rsidRPr="000C5235" w:rsidRDefault="00DC2750">
            <w:pPr>
              <w:pStyle w:val="PortfolioNumberingText"/>
            </w:pPr>
            <w:r w:rsidRPr="000C5235">
              <w:t>1.</w:t>
            </w:r>
            <w:r w:rsidR="00CC6BB0" w:rsidRPr="000C5235">
              <w:t>6</w:t>
            </w:r>
            <w:r w:rsidRPr="000C5235">
              <w:tab/>
              <w:t>Foreign Affairs and Trade Portfolio</w:t>
            </w:r>
          </w:p>
          <w:p w14:paraId="455A28C4" w14:textId="77777777" w:rsidR="00DC2750" w:rsidRPr="000C5235" w:rsidRDefault="00DC2750">
            <w:pPr>
              <w:pStyle w:val="PortfolioNumberingText"/>
            </w:pPr>
            <w:r w:rsidRPr="000C5235">
              <w:t>1.</w:t>
            </w:r>
            <w:r w:rsidR="00CC6BB0" w:rsidRPr="000C5235">
              <w:t>7</w:t>
            </w:r>
            <w:r w:rsidRPr="000C5235">
              <w:tab/>
              <w:t>Health Portfolio</w:t>
            </w:r>
          </w:p>
          <w:p w14:paraId="2EDAAE9C" w14:textId="77777777" w:rsidR="00DC2750" w:rsidRPr="000C5235" w:rsidRDefault="00DC2750">
            <w:pPr>
              <w:pStyle w:val="PortfolioNumberingText"/>
            </w:pPr>
            <w:r w:rsidRPr="000C5235">
              <w:t>1.</w:t>
            </w:r>
            <w:r w:rsidR="00CC6BB0" w:rsidRPr="000C5235">
              <w:t>8</w:t>
            </w:r>
            <w:r w:rsidRPr="000C5235">
              <w:tab/>
              <w:t>Home Affairs Portfolio</w:t>
            </w:r>
          </w:p>
          <w:p w14:paraId="1669747C" w14:textId="77777777" w:rsidR="00DC2750" w:rsidRPr="000C5235" w:rsidRDefault="00DC2750">
            <w:pPr>
              <w:pStyle w:val="PortfolioNumberingText"/>
            </w:pPr>
            <w:r w:rsidRPr="000C5235">
              <w:t>1.</w:t>
            </w:r>
            <w:r w:rsidR="00CC6BB0" w:rsidRPr="000C5235">
              <w:t>9</w:t>
            </w:r>
            <w:r w:rsidRPr="000C5235">
              <w:tab/>
            </w:r>
            <w:r w:rsidR="0017521A" w:rsidRPr="000C5235">
              <w:t>Industry, Science, Energy and Resources Portfolio</w:t>
            </w:r>
          </w:p>
          <w:p w14:paraId="66A67C68" w14:textId="77777777" w:rsidR="00DC2750" w:rsidRPr="000C5235" w:rsidRDefault="00DC2750">
            <w:pPr>
              <w:pStyle w:val="PortfolioNumberingText"/>
            </w:pPr>
            <w:r w:rsidRPr="000C5235">
              <w:t>1.</w:t>
            </w:r>
            <w:r w:rsidR="00CC6BB0" w:rsidRPr="000C5235">
              <w:t>10</w:t>
            </w:r>
            <w:r w:rsidRPr="000C5235">
              <w:tab/>
            </w:r>
            <w:r w:rsidR="0017521A" w:rsidRPr="000C5235">
              <w:t>Infrastructure, Transport, Regional Development and Communications Portfolio</w:t>
            </w:r>
          </w:p>
          <w:p w14:paraId="1BFF86F0" w14:textId="77777777" w:rsidR="00DC2750" w:rsidRPr="000C5235" w:rsidRDefault="00DC2750">
            <w:pPr>
              <w:pStyle w:val="PortfolioNumberingText"/>
            </w:pPr>
            <w:r w:rsidRPr="000C5235">
              <w:t>1.1</w:t>
            </w:r>
            <w:r w:rsidR="00CC6BB0" w:rsidRPr="000C5235">
              <w:t>1</w:t>
            </w:r>
            <w:r w:rsidRPr="000C5235">
              <w:tab/>
              <w:t>Prime Minister and Cabinet Portfolio</w:t>
            </w:r>
          </w:p>
          <w:p w14:paraId="34E860E8" w14:textId="77777777" w:rsidR="00DC2750" w:rsidRPr="000C5235" w:rsidRDefault="00DC2750">
            <w:pPr>
              <w:pStyle w:val="PortfolioNumberingText"/>
            </w:pPr>
            <w:r w:rsidRPr="000C5235">
              <w:t>1.1</w:t>
            </w:r>
            <w:r w:rsidR="00CC6BB0" w:rsidRPr="000C5235">
              <w:t>2</w:t>
            </w:r>
            <w:r w:rsidRPr="000C5235">
              <w:tab/>
              <w:t>Social Services Portfolio</w:t>
            </w:r>
          </w:p>
          <w:p w14:paraId="51DA7534" w14:textId="77777777" w:rsidR="00DC2750" w:rsidRPr="000C5235" w:rsidRDefault="00DC2750">
            <w:pPr>
              <w:pStyle w:val="PortfolioNumberingText"/>
            </w:pPr>
            <w:r w:rsidRPr="000C5235">
              <w:t>1.1</w:t>
            </w:r>
            <w:r w:rsidR="00CC6BB0" w:rsidRPr="000C5235">
              <w:t>3</w:t>
            </w:r>
            <w:r w:rsidRPr="000C5235">
              <w:tab/>
              <w:t>Treasury Portfolio</w:t>
            </w:r>
          </w:p>
          <w:p w14:paraId="44CF2C53" w14:textId="77777777" w:rsidR="00DC2750" w:rsidRPr="000C5235" w:rsidRDefault="00DC2750">
            <w:pPr>
              <w:pStyle w:val="PortfolioNumberingText"/>
            </w:pPr>
            <w:r w:rsidRPr="000C5235">
              <w:t>1.1</w:t>
            </w:r>
            <w:r w:rsidR="00CC6BB0" w:rsidRPr="000C5235">
              <w:t>4</w:t>
            </w:r>
            <w:r w:rsidRPr="000C5235">
              <w:t xml:space="preserve">A </w:t>
            </w:r>
            <w:r w:rsidRPr="000C5235">
              <w:tab/>
              <w:t>Department of the House of Representatives</w:t>
            </w:r>
          </w:p>
          <w:p w14:paraId="5AE43D39" w14:textId="77777777" w:rsidR="00DC2750" w:rsidRPr="000C5235" w:rsidRDefault="00DC2750">
            <w:pPr>
              <w:pStyle w:val="PortfolioNumberingText"/>
            </w:pPr>
            <w:r w:rsidRPr="000C5235">
              <w:t>1.1</w:t>
            </w:r>
            <w:r w:rsidR="00CC6BB0" w:rsidRPr="000C5235">
              <w:t>4</w:t>
            </w:r>
            <w:r w:rsidRPr="000C5235">
              <w:t>B</w:t>
            </w:r>
            <w:r w:rsidRPr="000C5235">
              <w:tab/>
              <w:t>Department of the Senate</w:t>
            </w:r>
          </w:p>
          <w:p w14:paraId="010DA215" w14:textId="77777777" w:rsidR="00DC2750" w:rsidRPr="000C5235" w:rsidRDefault="00DC2750">
            <w:pPr>
              <w:pStyle w:val="PortfolioNumberingText"/>
            </w:pPr>
            <w:r w:rsidRPr="000C5235">
              <w:t>1.1</w:t>
            </w:r>
            <w:r w:rsidR="00CC6BB0" w:rsidRPr="000C5235">
              <w:t>4</w:t>
            </w:r>
            <w:r w:rsidRPr="000C5235">
              <w:t>C</w:t>
            </w:r>
            <w:r w:rsidRPr="000C5235">
              <w:tab/>
              <w:t xml:space="preserve">Department of Parliamentary Services </w:t>
            </w:r>
          </w:p>
          <w:p w14:paraId="030FA21A" w14:textId="77777777" w:rsidR="00DC2750" w:rsidRPr="000C5235" w:rsidRDefault="00DC2750">
            <w:pPr>
              <w:pStyle w:val="PortfolioNumberingText"/>
            </w:pPr>
            <w:r w:rsidRPr="000C5235">
              <w:t>1.1</w:t>
            </w:r>
            <w:r w:rsidR="00CC6BB0" w:rsidRPr="000C5235">
              <w:t>4</w:t>
            </w:r>
            <w:r w:rsidRPr="000C5235">
              <w:t xml:space="preserve">D </w:t>
            </w:r>
            <w:r w:rsidRPr="000C5235">
              <w:tab/>
              <w:t>Parliamentary Budget Office</w:t>
            </w:r>
          </w:p>
        </w:tc>
      </w:tr>
    </w:tbl>
    <w:p w14:paraId="34184265" w14:textId="77777777" w:rsidR="00B751D1" w:rsidRPr="000C5235" w:rsidRDefault="00B751D1" w:rsidP="000A7DEC">
      <w:pPr>
        <w:pStyle w:val="NormalTextRed"/>
      </w:pPr>
      <w:bookmarkStart w:id="166" w:name="_Toc411852663"/>
    </w:p>
    <w:p w14:paraId="21B7DA42" w14:textId="77777777" w:rsidR="00071B5B" w:rsidRPr="000C5235" w:rsidRDefault="0082509B">
      <w:pPr>
        <w:pStyle w:val="NormalTextRed"/>
      </w:pPr>
      <w:r w:rsidRPr="000C5235">
        <w:rPr>
          <w:u w:val="single"/>
        </w:rPr>
        <w:t>N</w:t>
      </w:r>
      <w:r w:rsidR="00B751D1" w:rsidRPr="000C5235">
        <w:rPr>
          <w:u w:val="single"/>
        </w:rPr>
        <w:t>ote</w:t>
      </w:r>
      <w:r w:rsidRPr="000C5235">
        <w:rPr>
          <w:u w:val="single"/>
        </w:rPr>
        <w:t>:</w:t>
      </w:r>
      <w:r w:rsidR="00B751D1" w:rsidRPr="000C5235">
        <w:t xml:space="preserve"> that these portfolio numbers and names may change from time to time as a result of Administrative Arrangement Orders.</w:t>
      </w:r>
      <w:r w:rsidR="00071B5B" w:rsidRPr="000C5235">
        <w:br w:type="page"/>
      </w:r>
    </w:p>
    <w:p w14:paraId="253CCDE0" w14:textId="77777777" w:rsidR="00B751D1" w:rsidRPr="000C5235" w:rsidRDefault="00D976AA" w:rsidP="000A7DEC">
      <w:pPr>
        <w:pStyle w:val="Heading1Numbered"/>
      </w:pPr>
      <w:bookmarkStart w:id="167" w:name="_Toc534385662"/>
      <w:bookmarkStart w:id="168" w:name="_Toc534385802"/>
      <w:bookmarkStart w:id="169" w:name="_Toc534386354"/>
      <w:bookmarkStart w:id="170" w:name="_Toc534386561"/>
      <w:bookmarkStart w:id="171" w:name="_Toc534389760"/>
      <w:bookmarkStart w:id="172" w:name="_Toc534389901"/>
      <w:bookmarkStart w:id="173" w:name="_Toc534406197"/>
      <w:bookmarkStart w:id="174" w:name="_Toc534441474"/>
      <w:bookmarkStart w:id="175" w:name="_Toc534442815"/>
      <w:bookmarkStart w:id="176" w:name="_Toc534442956"/>
      <w:bookmarkStart w:id="177" w:name="_Toc534443097"/>
      <w:bookmarkStart w:id="178" w:name="_Toc534458852"/>
      <w:bookmarkStart w:id="179" w:name="_Toc534459641"/>
      <w:bookmarkStart w:id="180" w:name="_Toc534519136"/>
      <w:bookmarkStart w:id="181" w:name="_Toc534520046"/>
      <w:bookmarkStart w:id="182" w:name="_Toc534520316"/>
      <w:bookmarkStart w:id="183" w:name="_Toc534527528"/>
      <w:bookmarkStart w:id="184" w:name="_Toc534528258"/>
      <w:bookmarkStart w:id="185" w:name="_Toc534803476"/>
      <w:bookmarkStart w:id="186" w:name="_Toc534814167"/>
      <w:bookmarkStart w:id="187" w:name="_Toc536108537"/>
      <w:bookmarkStart w:id="188" w:name="_Toc536802088"/>
      <w:bookmarkStart w:id="189" w:name="_Toc422692"/>
      <w:bookmarkStart w:id="190" w:name="_Toc47951197"/>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0C5235">
        <w:t>Structure</w:t>
      </w:r>
      <w:bookmarkEnd w:id="190"/>
    </w:p>
    <w:p w14:paraId="28B2D12F" w14:textId="77777777" w:rsidR="00FA0945" w:rsidRPr="000C5235" w:rsidRDefault="00FA0945" w:rsidP="000A7DEC">
      <w:r w:rsidRPr="000C5235">
        <w:t xml:space="preserve">The PB Statements contain four levels of information: Portfolio, Entity, Outcome and Program. To ensure that PB Statements are clear and concise, it is important for entities to include information where it is most relevant. Guidance on the information required in each section of the PB Statements is included throughout this document. </w:t>
      </w:r>
    </w:p>
    <w:p w14:paraId="6F0FC480" w14:textId="77777777" w:rsidR="00FA0945" w:rsidRPr="000C5235" w:rsidRDefault="00FA0945" w:rsidP="000A7DEC">
      <w:r w:rsidRPr="000C5235">
        <w:t>Entities should produce PB Statements that present three key messages:</w:t>
      </w:r>
    </w:p>
    <w:p w14:paraId="4AF246D4" w14:textId="77777777" w:rsidR="00FA0945" w:rsidRPr="000C5235" w:rsidRDefault="00FA0945" w:rsidP="000A7DEC">
      <w:pPr>
        <w:pStyle w:val="Bullet1"/>
        <w:spacing w:before="80" w:after="80"/>
      </w:pPr>
      <w:r w:rsidRPr="000C5235">
        <w:t>What does the Government (through the entity) want to achieve?</w:t>
      </w:r>
    </w:p>
    <w:p w14:paraId="4B94153F" w14:textId="77777777" w:rsidR="00FA0945" w:rsidRPr="000C5235" w:rsidRDefault="00FA0945" w:rsidP="000A7DEC">
      <w:pPr>
        <w:pStyle w:val="Bullet1"/>
        <w:spacing w:before="80" w:after="80"/>
      </w:pPr>
      <w:r w:rsidRPr="000C5235">
        <w:t xml:space="preserve">How and through what means </w:t>
      </w:r>
      <w:r w:rsidR="00C73B4C" w:rsidRPr="000C5235">
        <w:t>does it propose</w:t>
      </w:r>
      <w:r w:rsidRPr="000C5235">
        <w:t xml:space="preserve"> to achieve this?</w:t>
      </w:r>
    </w:p>
    <w:p w14:paraId="0AFFF0C0" w14:textId="77777777" w:rsidR="00FA0945" w:rsidRPr="000C5235" w:rsidRDefault="00FA0945" w:rsidP="000A7DEC">
      <w:pPr>
        <w:pStyle w:val="Bullet1"/>
        <w:spacing w:before="80" w:after="80"/>
      </w:pPr>
      <w:r w:rsidRPr="000C5235">
        <w:t>How will it know if it is succeeding or making progress?</w:t>
      </w:r>
    </w:p>
    <w:p w14:paraId="17C3A795" w14:textId="77777777" w:rsidR="00DC2750" w:rsidRPr="000C5235" w:rsidRDefault="00FA0945" w:rsidP="000A7DEC">
      <w:r w:rsidRPr="000C5235">
        <w:t xml:space="preserve">Entities can publish additional information that goes beyond the requirements of the </w:t>
      </w:r>
      <w:r w:rsidR="00676137" w:rsidRPr="000C5235">
        <w:t>PB </w:t>
      </w:r>
      <w:r w:rsidRPr="000C5235">
        <w:t>Statements on their websites. Entities should also include a cross-reference at the start of their PB Statement chapter to their corporate plans, which provide a more granular, operational level of detail.</w:t>
      </w:r>
    </w:p>
    <w:p w14:paraId="4800AA96" w14:textId="77777777" w:rsidR="00FC5FF9" w:rsidRPr="000C5235" w:rsidRDefault="00B751D1" w:rsidP="000A7DEC">
      <w:r w:rsidRPr="000C5235">
        <w:t xml:space="preserve">The </w:t>
      </w:r>
      <w:r w:rsidR="006669B1" w:rsidRPr="000C5235">
        <w:t>2020-21</w:t>
      </w:r>
      <w:r w:rsidR="00FA0945" w:rsidRPr="000C5235">
        <w:t xml:space="preserve"> PB Statements will have the following structure:</w:t>
      </w:r>
      <w:r w:rsidR="003D1B46" w:rsidRPr="000C5235">
        <w:br/>
      </w:r>
    </w:p>
    <w:tbl>
      <w:tblPr>
        <w:tblW w:w="8784" w:type="dxa"/>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8784"/>
      </w:tblGrid>
      <w:tr w:rsidR="00FA0945" w:rsidRPr="000C5235" w14:paraId="21DD18DC" w14:textId="77777777" w:rsidTr="000A7DEC">
        <w:trPr>
          <w:jc w:val="center"/>
        </w:trPr>
        <w:tc>
          <w:tcPr>
            <w:tcW w:w="8784" w:type="dxa"/>
            <w:shd w:val="clear" w:color="auto" w:fill="D9D9D9" w:themeFill="background1" w:themeFillShade="D9"/>
          </w:tcPr>
          <w:p w14:paraId="5C9D23D1" w14:textId="77777777" w:rsidR="00FC5FF9" w:rsidRPr="000C5235" w:rsidRDefault="00FA0945" w:rsidP="000A7DEC">
            <w:pPr>
              <w:pStyle w:val="TableText-Normal"/>
              <w:spacing w:before="0" w:after="60" w:line="240" w:lineRule="auto"/>
            </w:pPr>
            <w:r w:rsidRPr="000C5235">
              <w:t>Portfolio reporting</w:t>
            </w:r>
          </w:p>
          <w:p w14:paraId="1373F546" w14:textId="77777777" w:rsidR="00FA0945" w:rsidRPr="000C5235" w:rsidRDefault="00FA0945" w:rsidP="000A7DEC">
            <w:pPr>
              <w:pStyle w:val="TableText-Normal"/>
              <w:spacing w:before="0" w:after="60" w:line="240" w:lineRule="auto"/>
            </w:pPr>
            <w:r w:rsidRPr="000C5235">
              <w:t>User Guide to the Portfolio Budget Statements</w:t>
            </w:r>
          </w:p>
          <w:p w14:paraId="62954AEE" w14:textId="77777777" w:rsidR="00FA0945" w:rsidRPr="000C5235" w:rsidRDefault="00FA0945" w:rsidP="000A7DEC">
            <w:pPr>
              <w:pStyle w:val="TableText-Normal"/>
              <w:spacing w:before="0" w:after="60" w:line="240" w:lineRule="auto"/>
            </w:pPr>
            <w:r w:rsidRPr="000C5235">
              <w:t>Portfolio overview</w:t>
            </w:r>
          </w:p>
          <w:p w14:paraId="146877C3" w14:textId="77777777" w:rsidR="00FA0945" w:rsidRPr="000C5235" w:rsidRDefault="00FA0945" w:rsidP="000A7DEC">
            <w:pPr>
              <w:pStyle w:val="Bullet2"/>
              <w:spacing w:before="0" w:after="60"/>
            </w:pPr>
            <w:r w:rsidRPr="000C5235">
              <w:t>Minister(s) and portfolio responsibilities</w:t>
            </w:r>
          </w:p>
          <w:p w14:paraId="06C72B84" w14:textId="77777777" w:rsidR="00FA0945" w:rsidRPr="000C5235" w:rsidRDefault="00FA0945" w:rsidP="000A7DEC">
            <w:pPr>
              <w:pStyle w:val="Bullet2"/>
              <w:spacing w:before="0" w:after="60"/>
            </w:pPr>
            <w:r w:rsidRPr="000C5235">
              <w:t>Portfolio structure and outcomes</w:t>
            </w:r>
          </w:p>
        </w:tc>
      </w:tr>
      <w:tr w:rsidR="00FA0945" w:rsidRPr="000C5235" w14:paraId="2C7E9A9D" w14:textId="77777777" w:rsidTr="000A7DEC">
        <w:trPr>
          <w:jc w:val="center"/>
        </w:trPr>
        <w:tc>
          <w:tcPr>
            <w:tcW w:w="8784" w:type="dxa"/>
            <w:shd w:val="clear" w:color="auto" w:fill="D9D9D9" w:themeFill="background1" w:themeFillShade="D9"/>
          </w:tcPr>
          <w:p w14:paraId="3A0F6259" w14:textId="77777777" w:rsidR="00FA0945" w:rsidRPr="000C5235" w:rsidRDefault="00FA0945" w:rsidP="000A7DEC">
            <w:pPr>
              <w:pStyle w:val="TableText-Normal"/>
              <w:spacing w:before="0" w:after="60" w:line="240" w:lineRule="auto"/>
            </w:pPr>
            <w:r w:rsidRPr="000C5235">
              <w:t>Department/entity reporting</w:t>
            </w:r>
          </w:p>
          <w:p w14:paraId="7B3CD389" w14:textId="77777777" w:rsidR="00FA0945" w:rsidRPr="000C5235" w:rsidRDefault="00FA0945" w:rsidP="000A7DEC">
            <w:pPr>
              <w:pStyle w:val="TableText-Normal"/>
              <w:spacing w:before="0" w:after="60" w:line="240" w:lineRule="auto"/>
            </w:pPr>
            <w:r w:rsidRPr="000C5235">
              <w:t>Entity resources and planned performance</w:t>
            </w:r>
          </w:p>
          <w:p w14:paraId="678C1B7D" w14:textId="77777777" w:rsidR="00FA0945" w:rsidRPr="000C5235" w:rsidRDefault="00FA0945" w:rsidP="000A7DEC">
            <w:pPr>
              <w:pStyle w:val="Bullet2"/>
              <w:spacing w:before="0" w:after="60"/>
            </w:pPr>
            <w:r w:rsidRPr="000C5235">
              <w:rPr>
                <w:u w:val="single"/>
              </w:rPr>
              <w:t>Section One</w:t>
            </w:r>
            <w:r w:rsidRPr="000C5235">
              <w:t>: Entity overview and resources</w:t>
            </w:r>
          </w:p>
          <w:p w14:paraId="050779D5" w14:textId="77777777" w:rsidR="00FA0945" w:rsidRPr="000C5235" w:rsidRDefault="00FA0945" w:rsidP="000A7DEC">
            <w:pPr>
              <w:pStyle w:val="Bullet3"/>
              <w:spacing w:before="0" w:after="60"/>
            </w:pPr>
            <w:r w:rsidRPr="000C5235">
              <w:t>Strategic direction statement</w:t>
            </w:r>
          </w:p>
          <w:p w14:paraId="0AD997AE" w14:textId="77777777" w:rsidR="00FA0945" w:rsidRPr="000C5235" w:rsidRDefault="00FA0945" w:rsidP="000A7DEC">
            <w:pPr>
              <w:pStyle w:val="Bullet3"/>
              <w:spacing w:before="0" w:after="60"/>
            </w:pPr>
            <w:r w:rsidRPr="000C5235">
              <w:t>Entity resource statement</w:t>
            </w:r>
          </w:p>
          <w:p w14:paraId="589CA3A2" w14:textId="77777777" w:rsidR="00FA0945" w:rsidRPr="000C5235" w:rsidRDefault="00FA0945" w:rsidP="000A7DEC">
            <w:pPr>
              <w:pStyle w:val="Bullet3"/>
              <w:spacing w:before="0" w:after="60"/>
            </w:pPr>
            <w:r w:rsidRPr="000C5235">
              <w:t>Budget measures</w:t>
            </w:r>
          </w:p>
          <w:p w14:paraId="0C3E6B40" w14:textId="77777777" w:rsidR="00FA0945" w:rsidRPr="000C5235" w:rsidRDefault="00FA0945" w:rsidP="000A7DEC">
            <w:pPr>
              <w:pStyle w:val="Bullet3"/>
              <w:spacing w:before="0" w:after="60"/>
            </w:pPr>
            <w:r w:rsidRPr="000C5235">
              <w:t>Changes in entity outcomes and programs (where applicable)</w:t>
            </w:r>
          </w:p>
          <w:p w14:paraId="51A53138" w14:textId="77777777" w:rsidR="00FA0945" w:rsidRPr="000C5235" w:rsidRDefault="00FA0945" w:rsidP="000A7DEC">
            <w:pPr>
              <w:pStyle w:val="Bullet2"/>
              <w:spacing w:before="0" w:after="60"/>
            </w:pPr>
            <w:r w:rsidRPr="000C5235">
              <w:rPr>
                <w:u w:val="single"/>
              </w:rPr>
              <w:t>Section Two</w:t>
            </w:r>
            <w:r w:rsidRPr="000C5235">
              <w:t>: Outcomes and planned performance</w:t>
            </w:r>
          </w:p>
          <w:p w14:paraId="495E094F" w14:textId="77777777" w:rsidR="00FA0945" w:rsidRPr="000C5235" w:rsidRDefault="00FA0945" w:rsidP="000A7DEC">
            <w:pPr>
              <w:pStyle w:val="Bullet3"/>
              <w:spacing w:before="0" w:after="60"/>
            </w:pPr>
            <w:r w:rsidRPr="000C5235">
              <w:t>Budgeted expenses and performance for Outcome X</w:t>
            </w:r>
          </w:p>
          <w:p w14:paraId="3797FEFB" w14:textId="77777777" w:rsidR="00FA0945" w:rsidRPr="000C5235" w:rsidRDefault="00FA0945" w:rsidP="000A7DEC">
            <w:pPr>
              <w:pStyle w:val="Bullet4"/>
              <w:spacing w:before="0" w:after="60" w:line="240" w:lineRule="auto"/>
            </w:pPr>
            <w:r w:rsidRPr="000C5235">
              <w:t>Linked programs</w:t>
            </w:r>
          </w:p>
          <w:p w14:paraId="5D1DB082" w14:textId="77777777" w:rsidR="00FA0945" w:rsidRPr="000C5235" w:rsidRDefault="00FA0945" w:rsidP="000A7DEC">
            <w:pPr>
              <w:pStyle w:val="Bullet4"/>
              <w:spacing w:before="0" w:after="60" w:line="240" w:lineRule="auto"/>
            </w:pPr>
            <w:r w:rsidRPr="000C5235">
              <w:t>Budgeted expenses for Outcome X</w:t>
            </w:r>
          </w:p>
          <w:p w14:paraId="57095673" w14:textId="77777777" w:rsidR="00FA0945" w:rsidRPr="000C5235" w:rsidRDefault="00FA0945" w:rsidP="000A7DEC">
            <w:pPr>
              <w:pStyle w:val="Bullet5"/>
              <w:spacing w:before="0" w:after="60" w:line="240" w:lineRule="auto"/>
            </w:pPr>
            <w:r w:rsidRPr="000C5235">
              <w:t>Program components of Outcome X (optional)</w:t>
            </w:r>
          </w:p>
          <w:p w14:paraId="1C4650D9" w14:textId="77777777" w:rsidR="00FA0945" w:rsidRPr="000C5235" w:rsidRDefault="00FA0945" w:rsidP="000A7DEC">
            <w:pPr>
              <w:pStyle w:val="Bullet4"/>
              <w:spacing w:before="0" w:after="60" w:line="240" w:lineRule="auto"/>
            </w:pPr>
            <w:r w:rsidRPr="000C5235">
              <w:t>Planned performance criteria for Outcome X</w:t>
            </w:r>
          </w:p>
          <w:p w14:paraId="50984ADB" w14:textId="77777777" w:rsidR="00FA0945" w:rsidRPr="000C5235" w:rsidRDefault="00FA0945" w:rsidP="000A7DEC">
            <w:pPr>
              <w:pStyle w:val="Bullet2"/>
              <w:spacing w:before="0" w:after="60"/>
            </w:pPr>
            <w:r w:rsidRPr="000C5235">
              <w:rPr>
                <w:u w:val="single"/>
              </w:rPr>
              <w:t>Section Three</w:t>
            </w:r>
            <w:r w:rsidRPr="000C5235">
              <w:t>: Budgeted financial statements</w:t>
            </w:r>
          </w:p>
          <w:p w14:paraId="7D7C8BF8" w14:textId="77777777" w:rsidR="001923C9" w:rsidRPr="000C5235" w:rsidRDefault="00FA0945" w:rsidP="000A7DEC">
            <w:pPr>
              <w:pStyle w:val="Bullet3"/>
              <w:spacing w:before="0" w:after="60"/>
            </w:pPr>
            <w:r w:rsidRPr="000C5235">
              <w:t>Differences between entity resourcing and financial statements (optional)</w:t>
            </w:r>
          </w:p>
          <w:p w14:paraId="2E12B62F" w14:textId="77777777" w:rsidR="001923C9" w:rsidRPr="000C5235" w:rsidRDefault="00FA0945" w:rsidP="000A7DEC">
            <w:pPr>
              <w:pStyle w:val="Bullet3"/>
              <w:spacing w:before="0" w:after="60"/>
            </w:pPr>
            <w:r w:rsidRPr="000C5235">
              <w:t>Explanatory notes and analysis of financial statements</w:t>
            </w:r>
          </w:p>
          <w:p w14:paraId="1EE4041D" w14:textId="77777777" w:rsidR="00FA0945" w:rsidRPr="000C5235" w:rsidRDefault="001923C9" w:rsidP="000A7DEC">
            <w:pPr>
              <w:pStyle w:val="Bullet3"/>
              <w:spacing w:before="0" w:after="60"/>
            </w:pPr>
            <w:r w:rsidRPr="000C5235">
              <w:t>Budgeted financial statement tables</w:t>
            </w:r>
          </w:p>
        </w:tc>
      </w:tr>
      <w:tr w:rsidR="00FA0945" w:rsidRPr="000C5235" w14:paraId="41F44BA4" w14:textId="77777777" w:rsidTr="000A7DEC">
        <w:trPr>
          <w:jc w:val="center"/>
        </w:trPr>
        <w:tc>
          <w:tcPr>
            <w:tcW w:w="8784" w:type="dxa"/>
            <w:shd w:val="clear" w:color="auto" w:fill="D9D9D9" w:themeFill="background1" w:themeFillShade="D9"/>
          </w:tcPr>
          <w:p w14:paraId="0FFE36DB" w14:textId="77777777" w:rsidR="00FA0945" w:rsidRPr="000C5235" w:rsidRDefault="00FA0945" w:rsidP="000A7DEC">
            <w:pPr>
              <w:pStyle w:val="TableText-Normal"/>
              <w:spacing w:before="0" w:after="60" w:line="240" w:lineRule="auto"/>
            </w:pPr>
            <w:r w:rsidRPr="000C5235">
              <w:t>Portfolio glossary</w:t>
            </w:r>
          </w:p>
          <w:p w14:paraId="268B1D6B" w14:textId="77777777" w:rsidR="00FC5FF9" w:rsidRPr="000C5235" w:rsidRDefault="00FC5FF9" w:rsidP="000A7DEC">
            <w:pPr>
              <w:pStyle w:val="TableText-Normal"/>
              <w:spacing w:before="0" w:after="60" w:line="240" w:lineRule="auto"/>
            </w:pPr>
            <w:r w:rsidRPr="000C5235">
              <w:t>Index</w:t>
            </w:r>
          </w:p>
        </w:tc>
      </w:tr>
    </w:tbl>
    <w:p w14:paraId="5406AE24" w14:textId="77777777" w:rsidR="00BC527A" w:rsidRPr="000C5235" w:rsidRDefault="00FA0945" w:rsidP="000A7DEC">
      <w:pPr>
        <w:pStyle w:val="Heading2Numbered"/>
      </w:pPr>
      <w:r w:rsidRPr="000C5235">
        <w:br w:type="page"/>
      </w:r>
      <w:bookmarkStart w:id="191" w:name="_Toc47951198"/>
      <w:r w:rsidR="00BC527A" w:rsidRPr="000C5235">
        <w:t xml:space="preserve">Commonwealth performance framework diagram located in the </w:t>
      </w:r>
      <w:r w:rsidR="003C2572" w:rsidRPr="000C5235">
        <w:t>PB Statement's '</w:t>
      </w:r>
      <w:r w:rsidR="00B16668" w:rsidRPr="000C5235">
        <w:t>User Guide</w:t>
      </w:r>
      <w:r w:rsidR="003C2572" w:rsidRPr="000C5235">
        <w:t>'</w:t>
      </w:r>
      <w:r w:rsidR="00B16668" w:rsidRPr="000C5235">
        <w:t xml:space="preserve"> </w:t>
      </w:r>
      <w:r w:rsidR="003C2572" w:rsidRPr="000C5235">
        <w:t>chapter</w:t>
      </w:r>
      <w:bookmarkEnd w:id="191"/>
    </w:p>
    <w:p w14:paraId="1F537392" w14:textId="77777777" w:rsidR="00F10C66" w:rsidRPr="000C5235" w:rsidRDefault="00B16668" w:rsidP="000A7DEC">
      <w:pPr>
        <w:pStyle w:val="Boxed2Text"/>
      </w:pPr>
      <w:r w:rsidRPr="000C5235">
        <w:t xml:space="preserve">The Word PB Statement template include the </w:t>
      </w:r>
      <w:r w:rsidR="00F10C66" w:rsidRPr="000C5235">
        <w:rPr>
          <w:i/>
        </w:rPr>
        <w:t>Commonwealth performance framework</w:t>
      </w:r>
      <w:r w:rsidRPr="000C5235">
        <w:rPr>
          <w:i/>
        </w:rPr>
        <w:t xml:space="preserve"> diagram</w:t>
      </w:r>
      <w:r w:rsidR="00F10C66" w:rsidRPr="000C5235">
        <w:t>. It identifies the content of each publication and the relationships between them. This diagram must be included and not be moved, reworded or deleted from its position in the PB Statement Word template.</w:t>
      </w:r>
    </w:p>
    <w:p w14:paraId="5F856F5F" w14:textId="77777777" w:rsidR="00FA0945" w:rsidRPr="000C5235" w:rsidRDefault="00FA0945" w:rsidP="000A7DEC">
      <w:pPr>
        <w:pStyle w:val="Heading2Numbered"/>
      </w:pPr>
      <w:bookmarkStart w:id="192" w:name="_Toc47951199"/>
      <w:r w:rsidRPr="000C5235">
        <w:t>Consistency of reporting – the “clear read” principle</w:t>
      </w:r>
      <w:bookmarkEnd w:id="192"/>
    </w:p>
    <w:p w14:paraId="1D0E665B" w14:textId="77777777" w:rsidR="00B751D1" w:rsidRPr="000C5235" w:rsidRDefault="00B751D1" w:rsidP="000A7DEC">
      <w:r w:rsidRPr="000C5235">
        <w:t xml:space="preserve">The </w:t>
      </w:r>
      <w:r w:rsidR="00374898" w:rsidRPr="000C5235">
        <w:t>2020-21</w:t>
      </w:r>
      <w:r w:rsidRPr="000C5235">
        <w:t xml:space="preserve"> PB Statements will cover the </w:t>
      </w:r>
      <w:r w:rsidR="00927D41" w:rsidRPr="000C5235">
        <w:t xml:space="preserve">previous </w:t>
      </w:r>
      <w:r w:rsidRPr="000C5235">
        <w:t>financial year (</w:t>
      </w:r>
      <w:r w:rsidR="00374898" w:rsidRPr="000C5235">
        <w:t>2019-20</w:t>
      </w:r>
      <w:r w:rsidRPr="000C5235">
        <w:t>), the budget year (</w:t>
      </w:r>
      <w:r w:rsidR="00374898" w:rsidRPr="000C5235">
        <w:t>2020</w:t>
      </w:r>
      <w:r w:rsidR="00C27C04" w:rsidRPr="000C5235">
        <w:noBreakHyphen/>
      </w:r>
      <w:r w:rsidR="00374898" w:rsidRPr="000C5235">
        <w:t>21</w:t>
      </w:r>
      <w:r w:rsidRPr="000C5235">
        <w:t>) and the forward estimates years (</w:t>
      </w:r>
      <w:r w:rsidR="00374898" w:rsidRPr="000C5235">
        <w:t>2021</w:t>
      </w:r>
      <w:r w:rsidR="00C27C04" w:rsidRPr="000C5235">
        <w:noBreakHyphen/>
      </w:r>
      <w:r w:rsidR="00374898" w:rsidRPr="000C5235">
        <w:t>22</w:t>
      </w:r>
      <w:r w:rsidRPr="000C5235">
        <w:t xml:space="preserve">, </w:t>
      </w:r>
      <w:r w:rsidR="00374898" w:rsidRPr="000C5235">
        <w:t>2022</w:t>
      </w:r>
      <w:r w:rsidR="00C27C04" w:rsidRPr="000C5235">
        <w:noBreakHyphen/>
      </w:r>
      <w:r w:rsidR="00374898" w:rsidRPr="000C5235">
        <w:t>23</w:t>
      </w:r>
      <w:r w:rsidRPr="000C5235">
        <w:t xml:space="preserve"> and</w:t>
      </w:r>
      <w:r w:rsidR="00374898" w:rsidRPr="000C5235">
        <w:t xml:space="preserve"> 2023</w:t>
      </w:r>
      <w:r w:rsidR="00C27C04" w:rsidRPr="000C5235">
        <w:noBreakHyphen/>
      </w:r>
      <w:r w:rsidR="00374898" w:rsidRPr="000C5235">
        <w:t>24</w:t>
      </w:r>
      <w:r w:rsidRPr="000C5235">
        <w:t>).</w:t>
      </w:r>
    </w:p>
    <w:p w14:paraId="4C79788A" w14:textId="77777777" w:rsidR="00FA0945" w:rsidRPr="000C5235" w:rsidRDefault="00DF1385" w:rsidP="000A7DEC">
      <w:r w:rsidRPr="000C5235">
        <w:t xml:space="preserve">The Commonwealth Resource Management </w:t>
      </w:r>
      <w:r w:rsidR="00FA0945" w:rsidRPr="000C5235">
        <w:t>Framework is</w:t>
      </w:r>
      <w:r w:rsidRPr="000C5235">
        <w:t xml:space="preserve"> designed to support an accountable and transparent public sector by providing the opportunity for judgments to be made on the</w:t>
      </w:r>
      <w:r w:rsidR="00FA0945" w:rsidRPr="000C5235">
        <w:t xml:space="preserve"> </w:t>
      </w:r>
      <w:r w:rsidRPr="000C5235">
        <w:t>performance of Commonwealth entities. To assist readers to form judgment,</w:t>
      </w:r>
      <w:r w:rsidR="00FA0945" w:rsidRPr="000C5235">
        <w:t xml:space="preserve"> reporting </w:t>
      </w:r>
      <w:r w:rsidRPr="000C5235">
        <w:t>by entities should provide a clear linkage (a “clear read”) between the allocation and use of public resources, and the results being achieved.</w:t>
      </w:r>
    </w:p>
    <w:p w14:paraId="6B122AE9" w14:textId="77777777" w:rsidR="00895608" w:rsidRPr="000C5235" w:rsidRDefault="00FA0945" w:rsidP="000A7DEC">
      <w:r w:rsidRPr="000C5235">
        <w:t xml:space="preserve">To achieve this, there must be a clear linkage from the Appropriation Bills to the budget statements, to the </w:t>
      </w:r>
      <w:r w:rsidR="00433124" w:rsidRPr="000C5235">
        <w:t xml:space="preserve">corporate plan and to the entity annual report. Entities should present </w:t>
      </w:r>
      <w:r w:rsidRPr="000C5235">
        <w:t xml:space="preserve">performance </w:t>
      </w:r>
      <w:r w:rsidR="00433124" w:rsidRPr="000C5235">
        <w:t>information clearly and consistently (and ensure it is reconcilable) between the budget statements, corporate plan and annual report within a reporting cycle</w:t>
      </w:r>
      <w:r w:rsidRPr="000C5235">
        <w:t>.</w:t>
      </w:r>
    </w:p>
    <w:p w14:paraId="33051240" w14:textId="77777777" w:rsidR="00E86EC8" w:rsidRPr="000C5235" w:rsidRDefault="00FA0945" w:rsidP="000A7DEC">
      <w:pPr>
        <w:pStyle w:val="Heading3Numbered"/>
      </w:pPr>
      <w:bookmarkStart w:id="193" w:name="_Toc47951200"/>
      <w:r w:rsidRPr="000C5235">
        <w:t>‘Clear read’ linkages</w:t>
      </w:r>
      <w:bookmarkEnd w:id="193"/>
    </w:p>
    <w:p w14:paraId="6499E06A" w14:textId="77777777" w:rsidR="00FA0945" w:rsidRPr="000C5235" w:rsidRDefault="00E86EC8" w:rsidP="00E86EC8">
      <w:pPr>
        <w:pStyle w:val="BodyText1"/>
      </w:pPr>
      <w:r w:rsidRPr="000C5235">
        <w:rPr>
          <w:noProof/>
          <w:lang w:eastAsia="en-AU"/>
        </w:rPr>
        <mc:AlternateContent>
          <mc:Choice Requires="wpc">
            <w:drawing>
              <wp:inline distT="0" distB="0" distL="0" distR="0" wp14:anchorId="454B2607" wp14:editId="6EFEB414">
                <wp:extent cx="5414963" cy="3757295"/>
                <wp:effectExtent l="0" t="0" r="14605" b="1460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39" name="Text Box 26"/>
                        <wps:cNvSpPr txBox="1">
                          <a:spLocks noChangeArrowheads="1"/>
                        </wps:cNvSpPr>
                        <wps:spPr bwMode="auto">
                          <a:xfrm>
                            <a:off x="444082" y="756391"/>
                            <a:ext cx="2534703" cy="1486746"/>
                          </a:xfrm>
                          <a:prstGeom prst="rect">
                            <a:avLst/>
                          </a:prstGeom>
                          <a:solidFill>
                            <a:srgbClr val="FFFFFF"/>
                          </a:solidFill>
                          <a:ln w="9525">
                            <a:solidFill>
                              <a:srgbClr val="000000"/>
                            </a:solidFill>
                            <a:miter lim="800000"/>
                            <a:headEnd/>
                            <a:tailEnd/>
                          </a:ln>
                        </wps:spPr>
                        <wps:txbx>
                          <w:txbxContent>
                            <w:p w14:paraId="7C5D6646" w14:textId="77777777" w:rsidR="00DD1634" w:rsidRPr="000A7DEC" w:rsidRDefault="00DD1634" w:rsidP="000A7DEC">
                              <w:pPr>
                                <w:pStyle w:val="TableText"/>
                                <w:rPr>
                                  <w:b/>
                                  <w:u w:val="single"/>
                                </w:rPr>
                              </w:pPr>
                              <w:r w:rsidRPr="000A7DEC">
                                <w:rPr>
                                  <w:b/>
                                  <w:u w:val="single"/>
                                </w:rPr>
                                <w:t>Budget statements</w:t>
                              </w:r>
                            </w:p>
                            <w:p w14:paraId="26297B26" w14:textId="517382AE" w:rsidR="00DD1634" w:rsidRPr="00CB2E1E" w:rsidRDefault="00DD1634" w:rsidP="000A7DEC">
                              <w:pPr>
                                <w:pStyle w:val="TableText"/>
                              </w:pPr>
                              <w:r w:rsidRPr="00CB2E1E">
                                <w:t>[PB Statements PAES, PSAES)]</w:t>
                              </w:r>
                            </w:p>
                            <w:p w14:paraId="2066340D" w14:textId="77777777" w:rsidR="00DD1634" w:rsidRPr="00CB2E1E" w:rsidRDefault="00DD1634" w:rsidP="000A7DEC">
                              <w:pPr>
                                <w:pStyle w:val="TableText-Bullets"/>
                              </w:pPr>
                              <w:r w:rsidRPr="00CB2E1E">
                                <w:t>Appropriations available/received, budgeted financial information and performance criteria.</w:t>
                              </w:r>
                            </w:p>
                          </w:txbxContent>
                        </wps:txbx>
                        <wps:bodyPr rot="0" vert="horz" wrap="square" lIns="91440" tIns="45720" rIns="91440" bIns="45720" anchor="t" anchorCtr="0" upright="1">
                          <a:noAutofit/>
                        </wps:bodyPr>
                      </wps:wsp>
                      <wps:wsp>
                        <wps:cNvPr id="40" name="Text Box 27"/>
                        <wps:cNvSpPr txBox="1">
                          <a:spLocks noChangeArrowheads="1"/>
                        </wps:cNvSpPr>
                        <wps:spPr bwMode="auto">
                          <a:xfrm>
                            <a:off x="3444168" y="930996"/>
                            <a:ext cx="1726877" cy="883516"/>
                          </a:xfrm>
                          <a:prstGeom prst="rect">
                            <a:avLst/>
                          </a:prstGeom>
                          <a:solidFill>
                            <a:srgbClr val="FFFFFF"/>
                          </a:solidFill>
                          <a:ln w="9525">
                            <a:solidFill>
                              <a:srgbClr val="000000"/>
                            </a:solidFill>
                            <a:miter lim="800000"/>
                            <a:headEnd/>
                            <a:tailEnd/>
                          </a:ln>
                        </wps:spPr>
                        <wps:txbx>
                          <w:txbxContent>
                            <w:p w14:paraId="514B030C" w14:textId="77777777" w:rsidR="00DD1634" w:rsidRPr="000A7DEC" w:rsidRDefault="00DD1634" w:rsidP="000A7DEC">
                              <w:pPr>
                                <w:pStyle w:val="TableText"/>
                                <w:rPr>
                                  <w:b/>
                                  <w:u w:val="single"/>
                                </w:rPr>
                              </w:pPr>
                              <w:r w:rsidRPr="000A7DEC">
                                <w:rPr>
                                  <w:b/>
                                  <w:u w:val="single"/>
                                </w:rPr>
                                <w:t>Corporate plan</w:t>
                              </w:r>
                            </w:p>
                            <w:p w14:paraId="45C0B6FB" w14:textId="77777777" w:rsidR="00DD1634" w:rsidRPr="00CE4E65" w:rsidRDefault="00DD1634" w:rsidP="000A7DEC">
                              <w:pPr>
                                <w:pStyle w:val="TableText-Bullets"/>
                              </w:pPr>
                              <w:r w:rsidRPr="00875911">
                                <w:t>Purposes</w:t>
                              </w:r>
                            </w:p>
                            <w:p w14:paraId="0D3889F0" w14:textId="77777777" w:rsidR="00DD1634" w:rsidRPr="00CB2E1E" w:rsidRDefault="00DD1634" w:rsidP="000A7DEC">
                              <w:pPr>
                                <w:pStyle w:val="TableText-Bullets"/>
                              </w:pPr>
                              <w:r w:rsidRPr="00CB2E1E">
                                <w:t>Performance criteria</w:t>
                              </w:r>
                            </w:p>
                          </w:txbxContent>
                        </wps:txbx>
                        <wps:bodyPr rot="0" vert="horz" wrap="square" lIns="91440" tIns="45720" rIns="91440" bIns="45720" anchor="t" anchorCtr="0" upright="1">
                          <a:noAutofit/>
                        </wps:bodyPr>
                      </wps:wsp>
                      <wps:wsp>
                        <wps:cNvPr id="41" name="Text Box 28"/>
                        <wps:cNvSpPr txBox="1">
                          <a:spLocks noChangeArrowheads="1"/>
                        </wps:cNvSpPr>
                        <wps:spPr bwMode="auto">
                          <a:xfrm>
                            <a:off x="1254477" y="2522570"/>
                            <a:ext cx="2981950" cy="1163605"/>
                          </a:xfrm>
                          <a:prstGeom prst="rect">
                            <a:avLst/>
                          </a:prstGeom>
                          <a:solidFill>
                            <a:srgbClr val="FFFFFF"/>
                          </a:solidFill>
                          <a:ln w="9525">
                            <a:solidFill>
                              <a:srgbClr val="000000"/>
                            </a:solidFill>
                            <a:miter lim="800000"/>
                            <a:headEnd/>
                            <a:tailEnd/>
                          </a:ln>
                        </wps:spPr>
                        <wps:txbx>
                          <w:txbxContent>
                            <w:p w14:paraId="0A0BC4C5" w14:textId="77777777" w:rsidR="00DD1634" w:rsidRPr="000A7DEC" w:rsidRDefault="00DD1634" w:rsidP="000A7DEC">
                              <w:pPr>
                                <w:pStyle w:val="TableText"/>
                                <w:rPr>
                                  <w:b/>
                                  <w:u w:val="single"/>
                                </w:rPr>
                              </w:pPr>
                              <w:r w:rsidRPr="000A7DEC">
                                <w:rPr>
                                  <w:b/>
                                  <w:u w:val="single"/>
                                </w:rPr>
                                <w:t>Annual report</w:t>
                              </w:r>
                            </w:p>
                            <w:p w14:paraId="008876B6" w14:textId="77777777" w:rsidR="00DD1634" w:rsidRPr="00CB2E1E" w:rsidRDefault="00DD1634" w:rsidP="000A7DEC">
                              <w:pPr>
                                <w:pStyle w:val="TableText"/>
                              </w:pPr>
                              <w:r w:rsidRPr="00CB2E1E">
                                <w:t>[</w:t>
                              </w:r>
                              <w:r>
                                <w:t>I</w:t>
                              </w:r>
                              <w:r w:rsidRPr="00CB2E1E">
                                <w:t>ncludes annual performance statements]</w:t>
                              </w:r>
                            </w:p>
                            <w:p w14:paraId="0E3EDFFD" w14:textId="77777777" w:rsidR="00DD1634" w:rsidRPr="00CB2E1E" w:rsidRDefault="00DD1634" w:rsidP="000A7DEC">
                              <w:pPr>
                                <w:pStyle w:val="TableText-Bullets"/>
                              </w:pPr>
                              <w:r w:rsidRPr="00CB2E1E">
                                <w:t>Use of appropriations, actual financial information and actual performance against criteria</w:t>
                              </w:r>
                            </w:p>
                          </w:txbxContent>
                        </wps:txbx>
                        <wps:bodyPr rot="0" vert="horz" wrap="square" lIns="91440" tIns="45720" rIns="91440" bIns="45720" anchor="t" anchorCtr="0" upright="1">
                          <a:noAutofit/>
                        </wps:bodyPr>
                      </wps:wsp>
                      <wps:wsp>
                        <wps:cNvPr id="42" name="AutoShape 29" descr="Arrow from Annual Appropriation Acts to Budget Statements"/>
                        <wps:cNvCnPr>
                          <a:cxnSpLocks noChangeShapeType="1"/>
                          <a:stCxn id="38" idx="2"/>
                          <a:endCxn id="39" idx="0"/>
                        </wps:cNvCnPr>
                        <wps:spPr bwMode="auto">
                          <a:xfrm flipH="1">
                            <a:off x="1711434" y="588396"/>
                            <a:ext cx="255961" cy="1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30" descr="Arrow from Budget Statements to Annual report"/>
                        <wps:cNvCnPr>
                          <a:cxnSpLocks noChangeShapeType="1"/>
                          <a:stCxn id="39" idx="2"/>
                          <a:endCxn id="41" idx="0"/>
                        </wps:cNvCnPr>
                        <wps:spPr bwMode="auto">
                          <a:xfrm>
                            <a:off x="1711434" y="2243137"/>
                            <a:ext cx="1033931" cy="27943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31" descr="Arrow from Corporate plans to Annual report"/>
                        <wps:cNvCnPr>
                          <a:cxnSpLocks noChangeShapeType="1"/>
                          <a:stCxn id="40" idx="2"/>
                          <a:endCxn id="41" idx="0"/>
                        </wps:cNvCnPr>
                        <wps:spPr bwMode="auto">
                          <a:xfrm flipH="1">
                            <a:off x="2745365" y="1814512"/>
                            <a:ext cx="1562242" cy="7080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2" descr="Double headed arrow between Budget Statements and Corporate Plans"/>
                        <wps:cNvCnPr>
                          <a:cxnSpLocks noChangeShapeType="1"/>
                        </wps:cNvCnPr>
                        <wps:spPr bwMode="auto">
                          <a:xfrm>
                            <a:off x="2994977" y="1295100"/>
                            <a:ext cx="431800" cy="635"/>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Text Box 25"/>
                        <wps:cNvSpPr txBox="1">
                          <a:spLocks noChangeArrowheads="1"/>
                        </wps:cNvSpPr>
                        <wps:spPr bwMode="auto">
                          <a:xfrm>
                            <a:off x="890558" y="71092"/>
                            <a:ext cx="2153674" cy="517304"/>
                          </a:xfrm>
                          <a:prstGeom prst="rect">
                            <a:avLst/>
                          </a:prstGeom>
                          <a:solidFill>
                            <a:srgbClr val="FFFFFF"/>
                          </a:solidFill>
                          <a:ln w="9525">
                            <a:solidFill>
                              <a:srgbClr val="000000"/>
                            </a:solidFill>
                            <a:miter lim="800000"/>
                            <a:headEnd/>
                            <a:tailEnd/>
                          </a:ln>
                        </wps:spPr>
                        <wps:txbx>
                          <w:txbxContent>
                            <w:p w14:paraId="7B8D6A78" w14:textId="77777777" w:rsidR="00DD1634" w:rsidRPr="000A7DEC" w:rsidRDefault="00DD1634" w:rsidP="000A7DEC">
                              <w:pPr>
                                <w:pStyle w:val="TableText"/>
                                <w:jc w:val="center"/>
                                <w:rPr>
                                  <w:b/>
                                  <w:u w:val="single"/>
                                </w:rPr>
                              </w:pPr>
                              <w:r w:rsidRPr="000A7DEC">
                                <w:rPr>
                                  <w:b/>
                                  <w:u w:val="single"/>
                                </w:rPr>
                                <w:t>Annual Appropriation Acts</w:t>
                              </w:r>
                            </w:p>
                          </w:txbxContent>
                        </wps:txbx>
                        <wps:bodyPr rot="0" vert="horz" wrap="square" lIns="91440" tIns="45720" rIns="91440" bIns="45720" anchor="ctr" anchorCtr="0" upright="1">
                          <a:noAutofit/>
                        </wps:bodyPr>
                      </wps:wsp>
                    </wpc:wpc>
                  </a:graphicData>
                </a:graphic>
              </wp:inline>
            </w:drawing>
          </mc:Choice>
          <mc:Fallback>
            <w:pict>
              <v:group w14:anchorId="454B2607" id="Canvas 46" o:spid="_x0000_s1026" editas="canvas" style="width:426.4pt;height:295.85pt;mso-position-horizontal-relative:char;mso-position-vertical-relative:line" coordsize="54146,3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46;height:37572;visibility:visible;mso-wrap-style:square" filled="t" fillcolor="#d8d8d8 [2732]" stroked="t" strokecolor="black [3213]">
                  <v:fill o:detectmouseclick="t"/>
                  <v:path o:connecttype="none"/>
                </v:shape>
                <v:shapetype id="_x0000_t202" coordsize="21600,21600" o:spt="202" path="m,l,21600r21600,l21600,xe">
                  <v:stroke joinstyle="miter"/>
                  <v:path gradientshapeok="t" o:connecttype="rect"/>
                </v:shapetype>
                <v:shape id="Text Box 26" o:spid="_x0000_s1028" type="#_x0000_t202" style="position:absolute;left:4440;top:7563;width:25347;height:14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7C5D6646" w14:textId="77777777" w:rsidR="00DD1634" w:rsidRPr="000A7DEC" w:rsidRDefault="00DD1634" w:rsidP="000A7DEC">
                        <w:pPr>
                          <w:pStyle w:val="TableText"/>
                          <w:rPr>
                            <w:b/>
                            <w:u w:val="single"/>
                          </w:rPr>
                        </w:pPr>
                        <w:r w:rsidRPr="000A7DEC">
                          <w:rPr>
                            <w:b/>
                            <w:u w:val="single"/>
                          </w:rPr>
                          <w:t>Budget statements</w:t>
                        </w:r>
                      </w:p>
                      <w:p w14:paraId="26297B26" w14:textId="517382AE" w:rsidR="00DD1634" w:rsidRPr="00CB2E1E" w:rsidRDefault="00DD1634" w:rsidP="000A7DEC">
                        <w:pPr>
                          <w:pStyle w:val="TableText"/>
                        </w:pPr>
                        <w:r w:rsidRPr="00CB2E1E">
                          <w:t>[PB Statements PAES, PSAES)]</w:t>
                        </w:r>
                      </w:p>
                      <w:p w14:paraId="2066340D" w14:textId="77777777" w:rsidR="00DD1634" w:rsidRPr="00CB2E1E" w:rsidRDefault="00DD1634" w:rsidP="000A7DEC">
                        <w:pPr>
                          <w:pStyle w:val="TableText-Bullets"/>
                        </w:pPr>
                        <w:r w:rsidRPr="00CB2E1E">
                          <w:t>Appropriations available/received, budgeted financial information and performance criteria.</w:t>
                        </w:r>
                      </w:p>
                    </w:txbxContent>
                  </v:textbox>
                </v:shape>
                <v:shape id="Text Box 27" o:spid="_x0000_s1029" type="#_x0000_t202" style="position:absolute;left:34441;top:9309;width:17269;height:8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14B030C" w14:textId="77777777" w:rsidR="00DD1634" w:rsidRPr="000A7DEC" w:rsidRDefault="00DD1634" w:rsidP="000A7DEC">
                        <w:pPr>
                          <w:pStyle w:val="TableText"/>
                          <w:rPr>
                            <w:b/>
                            <w:u w:val="single"/>
                          </w:rPr>
                        </w:pPr>
                        <w:r w:rsidRPr="000A7DEC">
                          <w:rPr>
                            <w:b/>
                            <w:u w:val="single"/>
                          </w:rPr>
                          <w:t>Corporate plan</w:t>
                        </w:r>
                      </w:p>
                      <w:p w14:paraId="45C0B6FB" w14:textId="77777777" w:rsidR="00DD1634" w:rsidRPr="00CE4E65" w:rsidRDefault="00DD1634" w:rsidP="000A7DEC">
                        <w:pPr>
                          <w:pStyle w:val="TableText-Bullets"/>
                        </w:pPr>
                        <w:r w:rsidRPr="00875911">
                          <w:t>Purposes</w:t>
                        </w:r>
                      </w:p>
                      <w:p w14:paraId="0D3889F0" w14:textId="77777777" w:rsidR="00DD1634" w:rsidRPr="00CB2E1E" w:rsidRDefault="00DD1634" w:rsidP="000A7DEC">
                        <w:pPr>
                          <w:pStyle w:val="TableText-Bullets"/>
                        </w:pPr>
                        <w:r w:rsidRPr="00CB2E1E">
                          <w:t>Performance criteria</w:t>
                        </w:r>
                      </w:p>
                    </w:txbxContent>
                  </v:textbox>
                </v:shape>
                <v:shape id="Text Box 28" o:spid="_x0000_s1030" type="#_x0000_t202" style="position:absolute;left:12544;top:25225;width:29820;height:1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0A0BC4C5" w14:textId="77777777" w:rsidR="00DD1634" w:rsidRPr="000A7DEC" w:rsidRDefault="00DD1634" w:rsidP="000A7DEC">
                        <w:pPr>
                          <w:pStyle w:val="TableText"/>
                          <w:rPr>
                            <w:b/>
                            <w:u w:val="single"/>
                          </w:rPr>
                        </w:pPr>
                        <w:r w:rsidRPr="000A7DEC">
                          <w:rPr>
                            <w:b/>
                            <w:u w:val="single"/>
                          </w:rPr>
                          <w:t>Annual report</w:t>
                        </w:r>
                      </w:p>
                      <w:p w14:paraId="008876B6" w14:textId="77777777" w:rsidR="00DD1634" w:rsidRPr="00CB2E1E" w:rsidRDefault="00DD1634" w:rsidP="000A7DEC">
                        <w:pPr>
                          <w:pStyle w:val="TableText"/>
                        </w:pPr>
                        <w:r w:rsidRPr="00CB2E1E">
                          <w:t>[</w:t>
                        </w:r>
                        <w:r>
                          <w:t>I</w:t>
                        </w:r>
                        <w:r w:rsidRPr="00CB2E1E">
                          <w:t>ncludes annual performance statements]</w:t>
                        </w:r>
                      </w:p>
                      <w:p w14:paraId="0E3EDFFD" w14:textId="77777777" w:rsidR="00DD1634" w:rsidRPr="00CB2E1E" w:rsidRDefault="00DD1634" w:rsidP="000A7DEC">
                        <w:pPr>
                          <w:pStyle w:val="TableText-Bullets"/>
                        </w:pPr>
                        <w:r w:rsidRPr="00CB2E1E">
                          <w:t>Use of appropriations, actual financial information and actual performance against criteria</w:t>
                        </w:r>
                      </w:p>
                    </w:txbxContent>
                  </v:textbox>
                </v:shape>
                <v:shapetype id="_x0000_t32" coordsize="21600,21600" o:spt="32" o:oned="t" path="m,l21600,21600e" filled="f">
                  <v:path arrowok="t" fillok="f" o:connecttype="none"/>
                  <o:lock v:ext="edit" shapetype="t"/>
                </v:shapetype>
                <v:shape id="AutoShape 29" o:spid="_x0000_s1031" type="#_x0000_t32" alt="Arrow from Annual Appropriation Acts to Budget Statements" style="position:absolute;left:17114;top:5883;width:2559;height:1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">
                  <v:stroke endarrow="block"/>
                </v:shape>
                <v:shape id="AutoShape 30" o:spid="_x0000_s1032" type="#_x0000_t32" alt="Arrow from Budget Statements to Annual report" style="position:absolute;left:17114;top:22431;width:10339;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FkTxgAAANsAAAAPAAAAZHJzL2Rvd25yZXYueG1sRI9Pa8JA&#10;FMTvBb/D8oTe6sa2FI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PGBZE8YAAADbAAAA&#10;DwAAAAAAAAAAAAAAAAAHAgAAZHJzL2Rvd25yZXYueG1sUEsFBgAAAAADAAMAtwAAAPoCAAAAAA==&#10;">
                  <v:stroke endarrow="block"/>
                </v:shape>
                <v:shape id="AutoShape 31" o:spid="_x0000_s1033" type="#_x0000_t32" alt="Arrow from Corporate plans to Annual report" style="position:absolute;left:27453;top:18145;width:15623;height:70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AutoShape 32" o:spid="_x0000_s1034" type="#_x0000_t32" alt="Double headed arrow between Budget Statements and Corporate Plans" style="position:absolute;left:29949;top:12951;width:431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">
                  <v:stroke startarrow="block" endarrow="block"/>
                </v:shape>
                <v:shape id="Text Box 25" o:spid="_x0000_s1035" type="#_x0000_t202" style="position:absolute;left:8905;top:710;width:21537;height:5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">
                  <v:textbox>
                    <w:txbxContent>
                      <w:p w14:paraId="7B8D6A78" w14:textId="77777777" w:rsidR="00DD1634" w:rsidRPr="000A7DEC" w:rsidRDefault="00DD1634" w:rsidP="000A7DEC">
                        <w:pPr>
                          <w:pStyle w:val="TableText"/>
                          <w:jc w:val="center"/>
                          <w:rPr>
                            <w:b/>
                            <w:u w:val="single"/>
                          </w:rPr>
                        </w:pPr>
                        <w:r w:rsidRPr="000A7DEC">
                          <w:rPr>
                            <w:b/>
                            <w:u w:val="single"/>
                          </w:rPr>
                          <w:t>Annual Appropriation Acts</w:t>
                        </w:r>
                      </w:p>
                    </w:txbxContent>
                  </v:textbox>
                </v:shape>
                <w10:anchorlock/>
              </v:group>
            </w:pict>
          </mc:Fallback>
        </mc:AlternateContent>
      </w:r>
    </w:p>
    <w:p w14:paraId="7E432110" w14:textId="77777777" w:rsidR="00FA0945" w:rsidRPr="000C5235" w:rsidRDefault="00FA0945" w:rsidP="000A7DEC">
      <w:r w:rsidRPr="000C5235">
        <w:t xml:space="preserve">Under the accounting standard </w:t>
      </w:r>
      <w:r w:rsidRPr="000C5235">
        <w:rPr>
          <w:i/>
        </w:rPr>
        <w:t xml:space="preserve">AASB 1055 Budgetary Reporting, </w:t>
      </w:r>
      <w:r w:rsidRPr="000C5235">
        <w:t xml:space="preserve">entities are also required to explain variances between the financial statements presented in their PB Statements (and where appropriate, their revised Budget figures in their </w:t>
      </w:r>
      <w:r w:rsidR="00C20907" w:rsidRPr="000C5235">
        <w:t>Portfolio Additional Estimates Statements (</w:t>
      </w:r>
      <w:r w:rsidRPr="000C5235">
        <w:t>PAES</w:t>
      </w:r>
      <w:r w:rsidR="00C20907" w:rsidRPr="000C5235">
        <w:t>)</w:t>
      </w:r>
      <w:r w:rsidRPr="000C5235">
        <w:t xml:space="preserve"> or the following year’s </w:t>
      </w:r>
      <w:r w:rsidR="00676137" w:rsidRPr="000C5235">
        <w:t>PB </w:t>
      </w:r>
      <w:r w:rsidRPr="000C5235">
        <w:t xml:space="preserve">Statements) and the financial statements presented in their annual reports. These explanations will be audited by the Australian National Audit Office (ANAO) as part of their audit of the annual financial statements. Consequently, entities are reminded of the importance of maintaining internal documentation in order to substantiate the basis of the estimates included in the PB Statements. </w:t>
      </w:r>
    </w:p>
    <w:p w14:paraId="70586BDB" w14:textId="77777777" w:rsidR="00FA0945" w:rsidRPr="000C5235" w:rsidRDefault="00FA0945" w:rsidP="000A7DEC">
      <w:pPr>
        <w:pStyle w:val="Heading4nonumbers"/>
      </w:pPr>
      <w:bookmarkStart w:id="194" w:name="_Toc411852664"/>
      <w:r w:rsidRPr="000C5235">
        <w:t>Sourcing information</w:t>
      </w:r>
      <w:bookmarkEnd w:id="194"/>
    </w:p>
    <w:p w14:paraId="0B2E92F1" w14:textId="77777777" w:rsidR="00FA0945" w:rsidRPr="000C5235" w:rsidRDefault="00FA0945" w:rsidP="000A7DEC">
      <w:r w:rsidRPr="000C5235">
        <w:t xml:space="preserve">The financial information reported in the PB Statements </w:t>
      </w:r>
      <w:r w:rsidRPr="000C5235">
        <w:rPr>
          <w:u w:val="single"/>
        </w:rPr>
        <w:t>must match</w:t>
      </w:r>
      <w:r w:rsidRPr="000C5235">
        <w:t xml:space="preserve"> the figures in the CBMS.</w:t>
      </w:r>
    </w:p>
    <w:p w14:paraId="14C7EE10" w14:textId="77777777" w:rsidR="00FA0945" w:rsidRPr="000C5235" w:rsidRDefault="00FA0945" w:rsidP="000A7DEC">
      <w:r w:rsidRPr="000C5235">
        <w:t xml:space="preserve">CBMS is the central source of </w:t>
      </w:r>
      <w:r w:rsidR="00577C1F" w:rsidRPr="000C5235">
        <w:t xml:space="preserve">published </w:t>
      </w:r>
      <w:r w:rsidRPr="000C5235">
        <w:t>budget information and is the basis of whole</w:t>
      </w:r>
      <w:r w:rsidR="00851548" w:rsidRPr="000C5235">
        <w:noBreakHyphen/>
      </w:r>
      <w:r w:rsidRPr="000C5235">
        <w:t>of</w:t>
      </w:r>
      <w:r w:rsidR="00851548" w:rsidRPr="000C5235">
        <w:noBreakHyphen/>
      </w:r>
      <w:r w:rsidRPr="000C5235">
        <w:t xml:space="preserve">government figures, the Appropriation Bills, financial data and BP Nos. 1-4. As such, all appropriation figures must be sourced from CBMS to ensure consistency between the PB Statements, the Appropriation Bills and the </w:t>
      </w:r>
      <w:r w:rsidR="00A671CE" w:rsidRPr="000C5235">
        <w:t>BP</w:t>
      </w:r>
      <w:r w:rsidRPr="000C5235">
        <w:t>.</w:t>
      </w:r>
    </w:p>
    <w:p w14:paraId="55048C5D" w14:textId="77777777" w:rsidR="00FA0945" w:rsidRPr="000C5235" w:rsidRDefault="00FA0945" w:rsidP="000A7DEC">
      <w:r w:rsidRPr="000C5235">
        <w:t xml:space="preserve">An entity’s financial management information system may be used to supplement information in CBMS, particularly </w:t>
      </w:r>
      <w:r w:rsidR="005B357F" w:rsidRPr="000C5235">
        <w:t>where</w:t>
      </w:r>
      <w:r w:rsidRPr="000C5235">
        <w:t xml:space="preserve"> information </w:t>
      </w:r>
      <w:r w:rsidR="005B357F" w:rsidRPr="000C5235">
        <w:t xml:space="preserve">that is </w:t>
      </w:r>
      <w:r w:rsidRPr="000C5235">
        <w:t xml:space="preserve">to be published </w:t>
      </w:r>
      <w:r w:rsidR="00737100" w:rsidRPr="000C5235">
        <w:t xml:space="preserve">in a PB Statement </w:t>
      </w:r>
      <w:r w:rsidRPr="000C5235">
        <w:t xml:space="preserve">is </w:t>
      </w:r>
      <w:r w:rsidR="00737100" w:rsidRPr="000C5235">
        <w:t xml:space="preserve">reported </w:t>
      </w:r>
      <w:r w:rsidRPr="000C5235">
        <w:t xml:space="preserve">at a </w:t>
      </w:r>
      <w:r w:rsidR="00737100" w:rsidRPr="000C5235">
        <w:t xml:space="preserve">finer </w:t>
      </w:r>
      <w:r w:rsidRPr="000C5235">
        <w:t xml:space="preserve">level </w:t>
      </w:r>
      <w:r w:rsidR="00E3581B" w:rsidRPr="000C5235">
        <w:t>of granularity</w:t>
      </w:r>
      <w:r w:rsidRPr="000C5235">
        <w:t>.</w:t>
      </w:r>
    </w:p>
    <w:p w14:paraId="2A89C09A" w14:textId="77777777" w:rsidR="00FA0945" w:rsidRPr="000C5235" w:rsidRDefault="00FA0945" w:rsidP="000A7DEC">
      <w:pPr>
        <w:pStyle w:val="Heading2Numbered"/>
      </w:pPr>
      <w:bookmarkStart w:id="195" w:name="_Toc411852665"/>
      <w:bookmarkStart w:id="196" w:name="_Toc47951201"/>
      <w:r w:rsidRPr="000C5235">
        <w:t>Clearance processes</w:t>
      </w:r>
      <w:bookmarkEnd w:id="195"/>
      <w:bookmarkEnd w:id="196"/>
    </w:p>
    <w:p w14:paraId="01AE8E3E" w14:textId="77777777" w:rsidR="00FA0945" w:rsidRPr="000C5235" w:rsidRDefault="00C73B4C" w:rsidP="000A7DEC">
      <w:r w:rsidRPr="000C5235">
        <w:t>While there is no requirement for p</w:t>
      </w:r>
      <w:r w:rsidR="00FA0945" w:rsidRPr="000C5235">
        <w:t xml:space="preserve">ortfolios </w:t>
      </w:r>
      <w:r w:rsidRPr="000C5235">
        <w:t>to</w:t>
      </w:r>
      <w:r w:rsidR="00FA0945" w:rsidRPr="000C5235">
        <w:t xml:space="preserve"> provide their whole PB Statements document to Finance </w:t>
      </w:r>
      <w:r w:rsidRPr="000C5235">
        <w:t>for checking, c</w:t>
      </w:r>
      <w:r w:rsidR="00FA0945" w:rsidRPr="000C5235">
        <w:t xml:space="preserve">ertain material however needs to </w:t>
      </w:r>
      <w:r w:rsidR="00FC1DDF" w:rsidRPr="000C5235">
        <w:t xml:space="preserve">exactly </w:t>
      </w:r>
      <w:r w:rsidR="00FA0945" w:rsidRPr="000C5235">
        <w:t xml:space="preserve">match information contained elsewhere in the </w:t>
      </w:r>
      <w:r w:rsidR="00A671CE" w:rsidRPr="000C5235">
        <w:t>BP</w:t>
      </w:r>
      <w:r w:rsidR="00FA0945" w:rsidRPr="000C5235">
        <w:t xml:space="preserve"> for which the Treasurer and Minister for Finance are responsible. This includes information on the appropriations and the measures tables. As the PB Statements describe measures that are published in BP No.</w:t>
      </w:r>
      <w:r w:rsidR="00EE4AE2" w:rsidRPr="000C5235">
        <w:t xml:space="preserve"> </w:t>
      </w:r>
      <w:r w:rsidR="00FA0945" w:rsidRPr="000C5235">
        <w:t xml:space="preserve">2, the two documents should be consistent and the PB Statements must not be printed until </w:t>
      </w:r>
      <w:r w:rsidR="00A671CE" w:rsidRPr="000C5235">
        <w:t>BP </w:t>
      </w:r>
      <w:r w:rsidR="00FA0945" w:rsidRPr="000C5235">
        <w:t>No.</w:t>
      </w:r>
      <w:r w:rsidR="00EE4AE2" w:rsidRPr="000C5235">
        <w:t xml:space="preserve"> </w:t>
      </w:r>
      <w:r w:rsidR="00FA0945" w:rsidRPr="000C5235">
        <w:t>2 is cleared.</w:t>
      </w:r>
    </w:p>
    <w:p w14:paraId="2093A024" w14:textId="77777777" w:rsidR="00FA0945" w:rsidRPr="000C5235" w:rsidRDefault="00FA0945" w:rsidP="000A7DEC">
      <w:r w:rsidRPr="000C5235">
        <w:rPr>
          <w:i/>
        </w:rPr>
        <w:t>Table 1.2: Budget measures</w:t>
      </w:r>
      <w:r w:rsidRPr="000C5235">
        <w:t xml:space="preserve"> should be provided to your Finance Agency Advice Unit (AAU) for checking against BP No.</w:t>
      </w:r>
      <w:r w:rsidR="00EE4AE2" w:rsidRPr="000C5235">
        <w:t xml:space="preserve"> </w:t>
      </w:r>
      <w:r w:rsidRPr="000C5235">
        <w:t>2 measures titles and Appropriation Bills reports prior to the PB Statements being printed.</w:t>
      </w:r>
    </w:p>
    <w:p w14:paraId="5A7340B9" w14:textId="77777777" w:rsidR="00FA0945" w:rsidRPr="000C5235" w:rsidRDefault="00FA0945" w:rsidP="000A7DEC">
      <w:r w:rsidRPr="000C5235">
        <w:t>Portfolio entities are responsible for ensuring the accuracy and completeness of the information contained in their PB Statements, including the presentation of information that is consistent with CBMS. The following areas should be checked by entities prior to publication:</w:t>
      </w:r>
    </w:p>
    <w:p w14:paraId="1286DA2B" w14:textId="77777777" w:rsidR="00FA0945" w:rsidRPr="000C5235" w:rsidRDefault="00FA0945">
      <w:pPr>
        <w:pStyle w:val="Bullet1"/>
      </w:pPr>
      <w:r w:rsidRPr="000C5235">
        <w:t>the PB Statements are completed in accordance with the guidance and templates provided</w:t>
      </w:r>
    </w:p>
    <w:p w14:paraId="5A6C58BE" w14:textId="77777777" w:rsidR="00FA0945" w:rsidRPr="000C5235" w:rsidRDefault="00FA0945">
      <w:pPr>
        <w:pStyle w:val="Bullet1"/>
      </w:pPr>
      <w:r w:rsidRPr="000C5235">
        <w:t>the measures table matches the final measures list provided by your Finance AAU</w:t>
      </w:r>
    </w:p>
    <w:p w14:paraId="099568EA" w14:textId="77777777" w:rsidR="00FA0945" w:rsidRPr="000C5235" w:rsidRDefault="00FA0945">
      <w:pPr>
        <w:pStyle w:val="Bullet1"/>
      </w:pPr>
      <w:r w:rsidRPr="000C5235">
        <w:t>the Average Staffing Level (ASL) numbers match the numbers to be published in BP No.4</w:t>
      </w:r>
    </w:p>
    <w:p w14:paraId="43E67E19" w14:textId="77777777" w:rsidR="00FA0945" w:rsidRPr="000C5235" w:rsidRDefault="00FA0945">
      <w:pPr>
        <w:pStyle w:val="Bullet1"/>
      </w:pPr>
      <w:r w:rsidRPr="000C5235">
        <w:t>all Bills information matches the Appropriation Bill Schedule in the Appropriation Bill report from CBMS</w:t>
      </w:r>
    </w:p>
    <w:p w14:paraId="7C805B8C" w14:textId="77777777" w:rsidR="00C72A5A" w:rsidRPr="000C5235" w:rsidRDefault="00FA0945" w:rsidP="000A7DEC">
      <w:pPr>
        <w:pStyle w:val="Bullet1"/>
      </w:pPr>
      <w:r w:rsidRPr="000C5235">
        <w:t>the relevant Chief Finance Officer (CFO) sign-offs on Bills and estimates have been provided to your Finance AAU.</w:t>
      </w:r>
      <w:r w:rsidR="00C72A5A" w:rsidRPr="000C5235">
        <w:br w:type="page"/>
      </w:r>
    </w:p>
    <w:p w14:paraId="6344FB39" w14:textId="77777777" w:rsidR="00FA0945" w:rsidRPr="000C5235" w:rsidRDefault="00FA0945" w:rsidP="000A7DEC">
      <w:pPr>
        <w:pStyle w:val="Heading1Numbered"/>
      </w:pPr>
      <w:bookmarkStart w:id="197" w:name="_Toc29980653"/>
      <w:bookmarkStart w:id="198" w:name="_Toc30405530"/>
      <w:bookmarkStart w:id="199" w:name="_Toc30581271"/>
      <w:bookmarkStart w:id="200" w:name="_Toc32829933"/>
      <w:bookmarkStart w:id="201" w:name="_Toc32917435"/>
      <w:bookmarkStart w:id="202" w:name="_Toc32918241"/>
      <w:bookmarkStart w:id="203" w:name="_Toc32999624"/>
      <w:bookmarkStart w:id="204" w:name="_Toc33099343"/>
      <w:bookmarkStart w:id="205" w:name="_Toc33195973"/>
      <w:bookmarkStart w:id="206" w:name="_Toc33196275"/>
      <w:bookmarkStart w:id="207" w:name="_Toc29980654"/>
      <w:bookmarkStart w:id="208" w:name="_Toc30405531"/>
      <w:bookmarkStart w:id="209" w:name="_Toc30581272"/>
      <w:bookmarkStart w:id="210" w:name="_Toc32829934"/>
      <w:bookmarkStart w:id="211" w:name="_Toc32917436"/>
      <w:bookmarkStart w:id="212" w:name="_Toc32918242"/>
      <w:bookmarkStart w:id="213" w:name="_Toc32999625"/>
      <w:bookmarkStart w:id="214" w:name="_Toc33099344"/>
      <w:bookmarkStart w:id="215" w:name="_Toc33195974"/>
      <w:bookmarkStart w:id="216" w:name="_Toc33196276"/>
      <w:bookmarkStart w:id="217" w:name="_Toc29980655"/>
      <w:bookmarkStart w:id="218" w:name="_Toc30405532"/>
      <w:bookmarkStart w:id="219" w:name="_Toc30581273"/>
      <w:bookmarkStart w:id="220" w:name="_Toc32829935"/>
      <w:bookmarkStart w:id="221" w:name="_Toc32917437"/>
      <w:bookmarkStart w:id="222" w:name="_Toc32918243"/>
      <w:bookmarkStart w:id="223" w:name="_Toc32999626"/>
      <w:bookmarkStart w:id="224" w:name="_Toc33099345"/>
      <w:bookmarkStart w:id="225" w:name="_Toc33195975"/>
      <w:bookmarkStart w:id="226" w:name="_Toc33196277"/>
      <w:bookmarkStart w:id="227" w:name="_Toc29394530"/>
      <w:bookmarkStart w:id="228" w:name="_Toc29394828"/>
      <w:bookmarkStart w:id="229" w:name="_Toc29394959"/>
      <w:bookmarkStart w:id="230" w:name="_Toc29395355"/>
      <w:bookmarkStart w:id="231" w:name="_Toc29395441"/>
      <w:bookmarkStart w:id="232" w:name="_Toc29396872"/>
      <w:bookmarkStart w:id="233" w:name="_Toc29478109"/>
      <w:bookmarkStart w:id="234" w:name="_Toc29481846"/>
      <w:bookmarkStart w:id="235" w:name="_Toc29544149"/>
      <w:bookmarkStart w:id="236" w:name="_Toc29544736"/>
      <w:bookmarkStart w:id="237" w:name="_Toc29544811"/>
      <w:bookmarkStart w:id="238" w:name="_Toc29546675"/>
      <w:bookmarkStart w:id="239" w:name="_Toc29980656"/>
      <w:bookmarkStart w:id="240" w:name="_Toc30405533"/>
      <w:bookmarkStart w:id="241" w:name="_Toc30581274"/>
      <w:bookmarkStart w:id="242" w:name="_Toc32829936"/>
      <w:bookmarkStart w:id="243" w:name="_Toc32917438"/>
      <w:bookmarkStart w:id="244" w:name="_Toc32918244"/>
      <w:bookmarkStart w:id="245" w:name="_Toc32999627"/>
      <w:bookmarkStart w:id="246" w:name="_Toc33099346"/>
      <w:bookmarkStart w:id="247" w:name="_Toc33195976"/>
      <w:bookmarkStart w:id="248" w:name="_Toc33196278"/>
      <w:bookmarkStart w:id="249" w:name="_Toc534803483"/>
      <w:bookmarkStart w:id="250" w:name="_Toc534814174"/>
      <w:bookmarkStart w:id="251" w:name="_Toc536108544"/>
      <w:bookmarkStart w:id="252" w:name="_Toc411852666"/>
      <w:bookmarkStart w:id="253" w:name="_Toc47951202"/>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0C5235">
        <w:t>Publication requirements</w:t>
      </w:r>
      <w:bookmarkEnd w:id="252"/>
      <w:bookmarkEnd w:id="253"/>
    </w:p>
    <w:p w14:paraId="6866B32A" w14:textId="77777777" w:rsidR="00FA0945" w:rsidRPr="000C5235" w:rsidRDefault="00FA0945" w:rsidP="000A7DEC">
      <w:pPr>
        <w:pStyle w:val="Heading2Numbered"/>
      </w:pPr>
      <w:bookmarkStart w:id="254" w:name="_Toc406683943"/>
      <w:bookmarkStart w:id="255" w:name="_Toc411852667"/>
      <w:bookmarkStart w:id="256" w:name="_Toc47951203"/>
      <w:r w:rsidRPr="000C5235">
        <w:t>Security requirements</w:t>
      </w:r>
      <w:bookmarkEnd w:id="254"/>
      <w:bookmarkEnd w:id="255"/>
      <w:bookmarkEnd w:id="256"/>
    </w:p>
    <w:p w14:paraId="46F43CF5" w14:textId="77777777" w:rsidR="00FA0945" w:rsidRPr="000C5235" w:rsidRDefault="00FA0945" w:rsidP="000A7DEC">
      <w:r w:rsidRPr="000C5235">
        <w:t>The PB Statements ar</w:t>
      </w:r>
      <w:r w:rsidR="00EC6C73" w:rsidRPr="000C5235">
        <w:t>e c</w:t>
      </w:r>
      <w:r w:rsidRPr="000C5235">
        <w:t xml:space="preserve">lassified as </w:t>
      </w:r>
      <w:r w:rsidRPr="000C5235">
        <w:rPr>
          <w:b/>
          <w:u w:val="single"/>
        </w:rPr>
        <w:t>Protected</w:t>
      </w:r>
      <w:r w:rsidRPr="000C5235">
        <w:rPr>
          <w:b/>
        </w:rPr>
        <w:t xml:space="preserve"> </w:t>
      </w:r>
      <w:r w:rsidRPr="000C5235">
        <w:t xml:space="preserve">and </w:t>
      </w:r>
      <w:r w:rsidR="00AA7AEF" w:rsidRPr="000C5235">
        <w:rPr>
          <w:u w:val="single"/>
        </w:rPr>
        <w:t xml:space="preserve">are </w:t>
      </w:r>
      <w:r w:rsidRPr="000C5235">
        <w:rPr>
          <w:u w:val="single"/>
        </w:rPr>
        <w:t>under embargo</w:t>
      </w:r>
      <w:r w:rsidRPr="000C5235">
        <w:t xml:space="preserve"> </w:t>
      </w:r>
      <w:r w:rsidR="00AA7AEF" w:rsidRPr="000C5235">
        <w:t xml:space="preserve">right </w:t>
      </w:r>
      <w:r w:rsidRPr="000C5235">
        <w:t>up until they are tabled in Parliament and publicly released. The Treasurer has endorsed this classification and it is the responsibility of each portfolio entity to ensure appropriate security arrangements are made. If staff are unsure of the correct security processes during the budget preparation period, they should contact their entity’s security adviser.</w:t>
      </w:r>
    </w:p>
    <w:p w14:paraId="22D34FA8" w14:textId="77777777" w:rsidR="00FA0945" w:rsidRPr="000C5235" w:rsidRDefault="00FA0945" w:rsidP="000A7DEC">
      <w:r w:rsidRPr="000C5235">
        <w:t>Issues to keep in mind include:</w:t>
      </w:r>
    </w:p>
    <w:p w14:paraId="1FA3B2E7" w14:textId="77777777" w:rsidR="00FA0945" w:rsidRPr="000C5235" w:rsidRDefault="00FA0945">
      <w:pPr>
        <w:pStyle w:val="Bullet1"/>
      </w:pPr>
      <w:r w:rsidRPr="000C5235">
        <w:t>PB Statements should be prepared in an area of the entity appropriate for managing Protected-level material</w:t>
      </w:r>
    </w:p>
    <w:p w14:paraId="66131DB5" w14:textId="77777777" w:rsidR="00FA0945" w:rsidRPr="000C5235" w:rsidRDefault="00FA0945">
      <w:pPr>
        <w:pStyle w:val="Bullet1"/>
      </w:pPr>
      <w:r w:rsidRPr="000C5235">
        <w:t>PB Statements documentation should</w:t>
      </w:r>
      <w:r w:rsidR="00C73B4C" w:rsidRPr="000C5235">
        <w:t xml:space="preserve"> not</w:t>
      </w:r>
      <w:r w:rsidRPr="000C5235">
        <w:t>,</w:t>
      </w:r>
      <w:r w:rsidR="00C73B4C" w:rsidRPr="000C5235">
        <w:t xml:space="preserve"> under any</w:t>
      </w:r>
      <w:r w:rsidRPr="000C5235">
        <w:t xml:space="preserve"> circumstances, be distributed via unsecure electronic mail</w:t>
      </w:r>
    </w:p>
    <w:p w14:paraId="0667A823" w14:textId="77777777" w:rsidR="00FA0945" w:rsidRPr="000C5235" w:rsidRDefault="00FA0945">
      <w:pPr>
        <w:pStyle w:val="Bullet1"/>
      </w:pPr>
      <w:r w:rsidRPr="000C5235">
        <w:t>The ‘need to know’ principle should be applied in the distribution of all material</w:t>
      </w:r>
    </w:p>
    <w:p w14:paraId="51A9F219" w14:textId="77777777" w:rsidR="00FA0945" w:rsidRPr="000C5235" w:rsidRDefault="00FA0945">
      <w:pPr>
        <w:pStyle w:val="Bullet1"/>
      </w:pPr>
      <w:r w:rsidRPr="000C5235">
        <w:t>PB Statements should not be prepared by external companies or contractors who cannot demonstrate that their premises meet the security standards for protected information as provided by the Protective Security Policy Framework (</w:t>
      </w:r>
      <w:hyperlink r:id="rId21" w:history="1">
        <w:r w:rsidRPr="000C5235">
          <w:rPr>
            <w:rStyle w:val="Hyperlink"/>
          </w:rPr>
          <w:t>http://www.protectivesecurity.gov.au</w:t>
        </w:r>
      </w:hyperlink>
      <w:r w:rsidRPr="000C5235">
        <w:t>).</w:t>
      </w:r>
    </w:p>
    <w:p w14:paraId="7FB98970" w14:textId="77777777" w:rsidR="004B3AF6" w:rsidRPr="000C5235" w:rsidRDefault="00FA0945" w:rsidP="000A7DEC">
      <w:r w:rsidRPr="000C5235">
        <w:t>If you have any questions regarding security issues, please speak to the security adviser in your entity.</w:t>
      </w:r>
    </w:p>
    <w:p w14:paraId="0BDA7E29" w14:textId="77777777" w:rsidR="00FA0945" w:rsidRPr="000C5235" w:rsidRDefault="00FA0945" w:rsidP="000A7DEC">
      <w:pPr>
        <w:pStyle w:val="Heading2Numbered"/>
      </w:pPr>
      <w:bookmarkStart w:id="257" w:name="_Toc32917441"/>
      <w:bookmarkStart w:id="258" w:name="_Toc32918247"/>
      <w:bookmarkStart w:id="259" w:name="_Toc32999630"/>
      <w:bookmarkStart w:id="260" w:name="_Toc33099349"/>
      <w:bookmarkStart w:id="261" w:name="_Toc33195979"/>
      <w:bookmarkStart w:id="262" w:name="_Toc33196281"/>
      <w:bookmarkStart w:id="263" w:name="_Toc406683946"/>
      <w:bookmarkStart w:id="264" w:name="_Toc411852668"/>
      <w:bookmarkStart w:id="265" w:name="_Toc47951204"/>
      <w:bookmarkEnd w:id="257"/>
      <w:bookmarkEnd w:id="258"/>
      <w:bookmarkEnd w:id="259"/>
      <w:bookmarkEnd w:id="260"/>
      <w:bookmarkEnd w:id="261"/>
      <w:bookmarkEnd w:id="262"/>
      <w:r w:rsidRPr="000C5235">
        <w:t>Which printer to use and printing specifications</w:t>
      </w:r>
      <w:bookmarkEnd w:id="263"/>
      <w:bookmarkEnd w:id="264"/>
      <w:bookmarkEnd w:id="265"/>
    </w:p>
    <w:p w14:paraId="582690BB" w14:textId="77777777" w:rsidR="00FA0945" w:rsidRPr="000C5235" w:rsidRDefault="00B57CBB" w:rsidP="000A7DEC">
      <w:pPr>
        <w:pStyle w:val="Heading3Numbered"/>
      </w:pPr>
      <w:bookmarkStart w:id="266" w:name="_Toc47951205"/>
      <w:r w:rsidRPr="000C5235">
        <w:t xml:space="preserve">Paper </w:t>
      </w:r>
      <w:r w:rsidR="00B51040" w:rsidRPr="000C5235">
        <w:t>s</w:t>
      </w:r>
      <w:r w:rsidR="00FA0945" w:rsidRPr="000C5235">
        <w:t>pecifications</w:t>
      </w:r>
      <w:bookmarkEnd w:id="266"/>
    </w:p>
    <w:p w14:paraId="5A8B4BB8" w14:textId="77777777" w:rsidR="00B751D1" w:rsidRPr="000C5235" w:rsidRDefault="00B751D1" w:rsidP="000A7DEC">
      <w:r w:rsidRPr="000C5235">
        <w:t xml:space="preserve">Hard copies of the PB Statements </w:t>
      </w:r>
      <w:r w:rsidRPr="000C5235">
        <w:rPr>
          <w:b/>
        </w:rPr>
        <w:t>must</w:t>
      </w:r>
      <w:r w:rsidRPr="000C5235">
        <w:t xml:space="preserve"> be produced on standard B5 size paper (17.6 cm x 25 cm) with </w:t>
      </w:r>
      <w:r w:rsidR="00895608" w:rsidRPr="000C5235">
        <w:t>the following font requirements:</w:t>
      </w:r>
    </w:p>
    <w:p w14:paraId="2CE4C05D" w14:textId="77777777" w:rsidR="00895608" w:rsidRPr="000C5235" w:rsidRDefault="00895608">
      <w:pPr>
        <w:pStyle w:val="Bullet1"/>
      </w:pPr>
      <w:r w:rsidRPr="000C5235">
        <w:t>For tables (including those in the Excel workbook), Arial and 8 point (minimum font size 7.5 point)</w:t>
      </w:r>
    </w:p>
    <w:p w14:paraId="5EB4868D" w14:textId="77777777" w:rsidR="00895608" w:rsidRPr="000C5235" w:rsidRDefault="00895608">
      <w:pPr>
        <w:pStyle w:val="Bullet1"/>
      </w:pPr>
      <w:r w:rsidRPr="000C5235">
        <w:t>For other text (in the Word template), Book Antiqua and 10 point.</w:t>
      </w:r>
    </w:p>
    <w:p w14:paraId="4E9AB619" w14:textId="77777777" w:rsidR="00FA0945" w:rsidRPr="000C5235" w:rsidRDefault="00FA0945" w:rsidP="000A7DEC">
      <w:r w:rsidRPr="000C5235">
        <w:t xml:space="preserve">Adherence to the fonts and styles provided in the templates (available from </w:t>
      </w:r>
      <w:r w:rsidR="00B751D1" w:rsidRPr="000C5235">
        <w:t>CBMS User Reference Material in</w:t>
      </w:r>
      <w:r w:rsidRPr="000C5235">
        <w:t xml:space="preserve"> CBMS) ensures that the statements are consistent with other Budget documents and related papers.</w:t>
      </w:r>
    </w:p>
    <w:p w14:paraId="2048C5FC" w14:textId="77777777" w:rsidR="00FA0945" w:rsidRPr="000C5235" w:rsidRDefault="00FA0945" w:rsidP="000A7DEC">
      <w:r w:rsidRPr="000C5235">
        <w:t xml:space="preserve">For the </w:t>
      </w:r>
      <w:r w:rsidRPr="000C5235">
        <w:rPr>
          <w:u w:val="single"/>
        </w:rPr>
        <w:t>covers</w:t>
      </w:r>
      <w:r w:rsidRPr="000C5235">
        <w:t>, entities must use ‘Tablex System Board 200gsm – Yellow” paper with the cover text in black.</w:t>
      </w:r>
    </w:p>
    <w:p w14:paraId="22E0136A" w14:textId="77777777" w:rsidR="00FA0945" w:rsidRPr="000C5235" w:rsidRDefault="00FA0945" w:rsidP="000A7DEC">
      <w:r w:rsidRPr="000C5235">
        <w:t>For consistency, all portfolios must have the portfolio name made clearly visible on the spine of the documents.</w:t>
      </w:r>
    </w:p>
    <w:p w14:paraId="09558C33" w14:textId="77777777" w:rsidR="00FA0945" w:rsidRPr="000C5235" w:rsidRDefault="00FA0945" w:rsidP="000A7DEC">
      <w:pPr>
        <w:pStyle w:val="Heading3Numbered"/>
      </w:pPr>
      <w:bookmarkStart w:id="267" w:name="_Toc47951206"/>
      <w:r w:rsidRPr="000C5235">
        <w:t>Printer</w:t>
      </w:r>
      <w:bookmarkEnd w:id="267"/>
    </w:p>
    <w:p w14:paraId="31F026F7" w14:textId="77777777" w:rsidR="00FA0945" w:rsidRPr="000C5235" w:rsidRDefault="00FA0945" w:rsidP="000A7DEC">
      <w:r w:rsidRPr="000C5235">
        <w:t>It is recommended that portfolio departments contact CanPrint to arrange printing of their PB</w:t>
      </w:r>
      <w:r w:rsidR="00E30C08" w:rsidRPr="000C5235">
        <w:t> </w:t>
      </w:r>
      <w:r w:rsidRPr="000C5235">
        <w:t xml:space="preserve">Statements. </w:t>
      </w:r>
    </w:p>
    <w:p w14:paraId="6513B289" w14:textId="77777777" w:rsidR="00FA0945" w:rsidRPr="000C5235" w:rsidRDefault="00FA0945" w:rsidP="000A7DEC">
      <w:r w:rsidRPr="000C5235">
        <w:t>If printing is carried out ‘in-house’ or using another printer, entities must liaise with Finance to ensure that cover stock, colour and text is consistent with other portfolios’ PB Statements.</w:t>
      </w:r>
    </w:p>
    <w:p w14:paraId="63195C35" w14:textId="31674FA7" w:rsidR="00FA0945" w:rsidRPr="000C5235" w:rsidRDefault="00FA0945" w:rsidP="000A7DEC">
      <w:r w:rsidRPr="000C5235">
        <w:t>It is the responsibility of each portfolio department to arrange the printing and secure freighting of their PB Statements. Portfolios should make sure they have sufficient hard copies of their PB Statements for their own internal needs, and make additional hard copies of their PB Statements available on request to other stakeholders, not including the distribution requirements listed below, such as:</w:t>
      </w:r>
    </w:p>
    <w:p w14:paraId="5EF35177" w14:textId="77777777" w:rsidR="00FA0945" w:rsidRPr="000C5235" w:rsidRDefault="00146531">
      <w:pPr>
        <w:pStyle w:val="Bullet1"/>
      </w:pPr>
      <w:r w:rsidRPr="000C5235">
        <w:t>o</w:t>
      </w:r>
      <w:r w:rsidR="00FA0945" w:rsidRPr="000C5235">
        <w:t>ther departments and relevant entities</w:t>
      </w:r>
    </w:p>
    <w:p w14:paraId="378937DE" w14:textId="77777777" w:rsidR="00FA0945" w:rsidRPr="000C5235" w:rsidRDefault="00146531">
      <w:pPr>
        <w:pStyle w:val="Bullet1"/>
      </w:pPr>
      <w:r w:rsidRPr="000C5235">
        <w:t>m</w:t>
      </w:r>
      <w:r w:rsidR="00FA0945" w:rsidRPr="000C5235">
        <w:t>ajor client organisations and</w:t>
      </w:r>
    </w:p>
    <w:p w14:paraId="2631203C" w14:textId="77777777" w:rsidR="00FA0945" w:rsidRPr="000C5235" w:rsidRDefault="00146531">
      <w:pPr>
        <w:pStyle w:val="Bullet1"/>
      </w:pPr>
      <w:r w:rsidRPr="000C5235">
        <w:t>t</w:t>
      </w:r>
      <w:r w:rsidR="00FA0945" w:rsidRPr="000C5235">
        <w:t>he libraries of tertiary institutions.</w:t>
      </w:r>
    </w:p>
    <w:p w14:paraId="45AE5671" w14:textId="77777777" w:rsidR="00FA0945" w:rsidRPr="000C5235" w:rsidRDefault="00FA0945" w:rsidP="000A7DEC">
      <w:pPr>
        <w:pStyle w:val="Heading2Numbered"/>
      </w:pPr>
      <w:bookmarkStart w:id="268" w:name="_Toc47951207"/>
      <w:r w:rsidRPr="000C5235">
        <w:t>Classification</w:t>
      </w:r>
      <w:bookmarkEnd w:id="268"/>
    </w:p>
    <w:p w14:paraId="4C37132D" w14:textId="77777777" w:rsidR="00FA0945" w:rsidRPr="000C5235" w:rsidRDefault="00AA7AEF" w:rsidP="000A7DEC">
      <w:r w:rsidRPr="000C5235">
        <w:t xml:space="preserve">The PB Statements are classified as </w:t>
      </w:r>
      <w:r w:rsidRPr="000C5235">
        <w:rPr>
          <w:b/>
          <w:u w:val="single"/>
        </w:rPr>
        <w:t>Protected</w:t>
      </w:r>
      <w:r w:rsidRPr="000C5235">
        <w:rPr>
          <w:b/>
        </w:rPr>
        <w:t xml:space="preserve"> </w:t>
      </w:r>
      <w:r w:rsidRPr="000C5235">
        <w:t xml:space="preserve">and </w:t>
      </w:r>
      <w:r w:rsidRPr="000C5235">
        <w:rPr>
          <w:u w:val="single"/>
        </w:rPr>
        <w:t>are under embargo</w:t>
      </w:r>
      <w:r w:rsidRPr="000C5235">
        <w:t xml:space="preserve"> right up until they are tabled in Parliament</w:t>
      </w:r>
      <w:r w:rsidR="00A15857" w:rsidRPr="000C5235">
        <w:t xml:space="preserve"> (via the Senate Tabling Office)</w:t>
      </w:r>
      <w:r w:rsidR="00FA0945" w:rsidRPr="000C5235">
        <w:t xml:space="preserve">. Accordingly, </w:t>
      </w:r>
      <w:r w:rsidR="00230790" w:rsidRPr="000C5235">
        <w:t>packaging for</w:t>
      </w:r>
      <w:r w:rsidR="00FA0945" w:rsidRPr="000C5235">
        <w:t xml:space="preserve"> the PB</w:t>
      </w:r>
      <w:r w:rsidR="00A15857" w:rsidRPr="000C5235">
        <w:t> </w:t>
      </w:r>
      <w:r w:rsidR="00FA0945" w:rsidRPr="000C5235">
        <w:t>Statements should be labelled as follows:</w:t>
      </w:r>
    </w:p>
    <w:p w14:paraId="77E7954A" w14:textId="77777777" w:rsidR="00ED3AC8" w:rsidRPr="000C5235" w:rsidRDefault="00ED3AC8" w:rsidP="000A7DEC">
      <w:pPr>
        <w:pStyle w:val="Boxed2Text"/>
      </w:pPr>
      <w:r w:rsidRPr="000C5235">
        <w:t>Protected – Budget 2020-21</w:t>
      </w:r>
    </w:p>
    <w:p w14:paraId="0A571FF6" w14:textId="77777777" w:rsidR="00ED3AC8" w:rsidRPr="000C5235" w:rsidRDefault="00ED3AC8" w:rsidP="000A7DEC">
      <w:pPr>
        <w:pStyle w:val="Boxed2Text"/>
      </w:pPr>
      <w:r w:rsidRPr="000C5235">
        <w:t xml:space="preserve">Under Embargo until 20:15 hours </w:t>
      </w:r>
      <w:r w:rsidR="00CF6C7A" w:rsidRPr="000C5235">
        <w:t>6</w:t>
      </w:r>
      <w:r w:rsidR="008F2F7F" w:rsidRPr="000C5235">
        <w:t xml:space="preserve"> October</w:t>
      </w:r>
      <w:r w:rsidRPr="000C5235">
        <w:t xml:space="preserve"> 2020</w:t>
      </w:r>
    </w:p>
    <w:p w14:paraId="4B71DF62" w14:textId="77777777" w:rsidR="00577EB6" w:rsidRPr="000C5235" w:rsidRDefault="00577EB6" w:rsidP="00B109CF">
      <w:pPr>
        <w:pStyle w:val="Heading2Numbered"/>
      </w:pPr>
      <w:bookmarkStart w:id="269" w:name="_Toc30405539"/>
      <w:bookmarkStart w:id="270" w:name="_Toc30581280"/>
      <w:bookmarkStart w:id="271" w:name="_Toc32829942"/>
      <w:bookmarkStart w:id="272" w:name="_Toc32917446"/>
      <w:bookmarkStart w:id="273" w:name="_Toc32918252"/>
      <w:bookmarkStart w:id="274" w:name="_Toc32999635"/>
      <w:bookmarkStart w:id="275" w:name="_Toc33099354"/>
      <w:bookmarkStart w:id="276" w:name="_Toc33195984"/>
      <w:bookmarkStart w:id="277" w:name="_Toc33196286"/>
      <w:bookmarkStart w:id="278" w:name="_Toc536108548"/>
      <w:bookmarkStart w:id="279" w:name="_Toc536802098"/>
      <w:bookmarkStart w:id="280" w:name="_Toc536108549"/>
      <w:bookmarkStart w:id="281" w:name="_Toc536802099"/>
      <w:bookmarkStart w:id="282" w:name="_Toc536108550"/>
      <w:bookmarkStart w:id="283" w:name="_Toc536802100"/>
      <w:bookmarkStart w:id="284" w:name="_Ref46311770"/>
      <w:bookmarkStart w:id="285" w:name="_Toc47951208"/>
      <w:bookmarkStart w:id="286" w:name="_Ref46251125"/>
      <w:bookmarkStart w:id="287" w:name="_Ref46251134"/>
      <w:bookmarkStart w:id="288" w:name="_Toc406683947"/>
      <w:bookmarkStart w:id="289" w:name="_Toc411852669"/>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0C5235">
        <w:t xml:space="preserve">Obtaining </w:t>
      </w:r>
      <w:r w:rsidR="002C218A" w:rsidRPr="000C5235">
        <w:t>t</w:t>
      </w:r>
      <w:r w:rsidRPr="000C5235">
        <w:t xml:space="preserve">emplates and </w:t>
      </w:r>
      <w:r w:rsidR="002C218A" w:rsidRPr="000C5235">
        <w:t>c</w:t>
      </w:r>
      <w:r w:rsidRPr="000C5235">
        <w:t>overs</w:t>
      </w:r>
      <w:bookmarkEnd w:id="284"/>
      <w:bookmarkEnd w:id="285"/>
    </w:p>
    <w:p w14:paraId="6A938339" w14:textId="77777777" w:rsidR="00B2380C" w:rsidRPr="000C5235" w:rsidRDefault="00811FCA" w:rsidP="00577EB6">
      <w:pPr>
        <w:pStyle w:val="Heading3Numbered"/>
      </w:pPr>
      <w:bookmarkStart w:id="290" w:name="_Toc47951209"/>
      <w:r w:rsidRPr="000C5235">
        <w:t xml:space="preserve">Obtaining </w:t>
      </w:r>
      <w:r w:rsidR="00493ED2" w:rsidRPr="000C5235">
        <w:rPr>
          <w:u w:val="single"/>
        </w:rPr>
        <w:t xml:space="preserve">Attachment </w:t>
      </w:r>
      <w:r w:rsidR="006E5A47" w:rsidRPr="000C5235">
        <w:rPr>
          <w:u w:val="single"/>
        </w:rPr>
        <w:t>B</w:t>
      </w:r>
      <w:r w:rsidR="006E5A47" w:rsidRPr="000C5235">
        <w:t xml:space="preserve"> </w:t>
      </w:r>
      <w:r w:rsidR="00493ED2" w:rsidRPr="000C5235">
        <w:t xml:space="preserve">and </w:t>
      </w:r>
      <w:r w:rsidR="006E5A47" w:rsidRPr="000C5235">
        <w:rPr>
          <w:u w:val="single"/>
        </w:rPr>
        <w:t>C</w:t>
      </w:r>
      <w:r w:rsidR="006E5A47" w:rsidRPr="000C5235">
        <w:t xml:space="preserve"> </w:t>
      </w:r>
      <w:r w:rsidR="00493ED2" w:rsidRPr="000C5235">
        <w:t>- Excel and Word templates</w:t>
      </w:r>
      <w:bookmarkEnd w:id="286"/>
      <w:bookmarkEnd w:id="287"/>
      <w:bookmarkEnd w:id="290"/>
    </w:p>
    <w:p w14:paraId="381E0CA1" w14:textId="77777777" w:rsidR="00493ED2" w:rsidRPr="000C5235" w:rsidRDefault="00493ED2" w:rsidP="00493ED2">
      <w:r w:rsidRPr="000C5235">
        <w:rPr>
          <w:u w:val="single"/>
        </w:rPr>
        <w:t xml:space="preserve">Attachment </w:t>
      </w:r>
      <w:r w:rsidR="00763D1C" w:rsidRPr="000C5235">
        <w:rPr>
          <w:u w:val="single"/>
        </w:rPr>
        <w:t>B</w:t>
      </w:r>
      <w:r w:rsidR="00763D1C" w:rsidRPr="000C5235">
        <w:t xml:space="preserve"> </w:t>
      </w:r>
      <w:r w:rsidRPr="000C5235">
        <w:t xml:space="preserve">and </w:t>
      </w:r>
      <w:r w:rsidR="00957051" w:rsidRPr="000C5235">
        <w:rPr>
          <w:u w:val="single"/>
        </w:rPr>
        <w:t>C</w:t>
      </w:r>
      <w:r w:rsidRPr="000C5235">
        <w:t xml:space="preserve"> </w:t>
      </w:r>
      <w:r w:rsidR="004B5F4F" w:rsidRPr="000C5235">
        <w:t>are</w:t>
      </w:r>
      <w:r w:rsidRPr="000C5235">
        <w:t xml:space="preserve"> available through CBMS under:</w:t>
      </w:r>
    </w:p>
    <w:p w14:paraId="73D75E0B" w14:textId="77777777" w:rsidR="00493ED2" w:rsidRPr="000C5235" w:rsidRDefault="00493ED2" w:rsidP="00493ED2">
      <w:pPr>
        <w:pStyle w:val="Reports1"/>
      </w:pPr>
      <w:r w:rsidRPr="000C5235">
        <w:t xml:space="preserve">User Reference Material </w:t>
      </w:r>
      <w:r w:rsidRPr="000C5235">
        <w:sym w:font="Wingdings" w:char="F0E0"/>
      </w:r>
      <w:r w:rsidRPr="000C5235">
        <w:t xml:space="preserve"> 04. Estimates Memoranda</w:t>
      </w:r>
    </w:p>
    <w:p w14:paraId="283FB8DE" w14:textId="77777777" w:rsidR="00493ED2" w:rsidRPr="000C5235" w:rsidRDefault="00493ED2" w:rsidP="00493ED2">
      <w:r w:rsidRPr="000C5235">
        <w:t>Please refer to the correct EM reference number to ensure you obtain the correct templates.</w:t>
      </w:r>
    </w:p>
    <w:p w14:paraId="2FA3F3A4" w14:textId="77777777" w:rsidR="00811FCA" w:rsidRPr="000C5235" w:rsidRDefault="00811FCA">
      <w:pPr>
        <w:suppressAutoHyphens w:val="0"/>
        <w:spacing w:before="0" w:after="120" w:line="440" w:lineRule="atLeast"/>
        <w:rPr>
          <w:rFonts w:asciiTheme="majorHAnsi" w:eastAsiaTheme="majorEastAsia" w:hAnsiTheme="majorHAnsi" w:cstheme="majorBidi"/>
          <w:bCs/>
          <w:color w:val="1C1C1C" w:themeColor="text2"/>
          <w:sz w:val="34"/>
          <w:szCs w:val="26"/>
        </w:rPr>
      </w:pPr>
      <w:r w:rsidRPr="000C5235">
        <w:br w:type="page"/>
      </w:r>
    </w:p>
    <w:p w14:paraId="3FC6AFFF" w14:textId="77777777" w:rsidR="00B109CF" w:rsidRPr="000C5235" w:rsidRDefault="00811FCA" w:rsidP="00577EB6">
      <w:pPr>
        <w:pStyle w:val="Heading3Numbered"/>
      </w:pPr>
      <w:bookmarkStart w:id="291" w:name="_Ref46251196"/>
      <w:bookmarkStart w:id="292" w:name="_Ref46251205"/>
      <w:bookmarkStart w:id="293" w:name="_Toc47951210"/>
      <w:r w:rsidRPr="000C5235">
        <w:t xml:space="preserve">Obtaining </w:t>
      </w:r>
      <w:r w:rsidR="00B109CF" w:rsidRPr="000C5235">
        <w:rPr>
          <w:u w:val="single"/>
        </w:rPr>
        <w:t xml:space="preserve">Attachment </w:t>
      </w:r>
      <w:r w:rsidR="006E5A47" w:rsidRPr="000C5235">
        <w:rPr>
          <w:u w:val="single"/>
        </w:rPr>
        <w:t>D</w:t>
      </w:r>
      <w:r w:rsidR="006E5A47" w:rsidRPr="000C5235">
        <w:t xml:space="preserve"> </w:t>
      </w:r>
      <w:r w:rsidR="00B109CF" w:rsidRPr="000C5235">
        <w:t>- Covers for the 2020-21 PB</w:t>
      </w:r>
      <w:r w:rsidR="00225D11" w:rsidRPr="000C5235">
        <w:t> </w:t>
      </w:r>
      <w:r w:rsidR="00B109CF" w:rsidRPr="000C5235">
        <w:t>S</w:t>
      </w:r>
      <w:r w:rsidR="00225D11" w:rsidRPr="000C5235">
        <w:t>tatements</w:t>
      </w:r>
      <w:bookmarkEnd w:id="291"/>
      <w:bookmarkEnd w:id="292"/>
      <w:bookmarkEnd w:id="293"/>
    </w:p>
    <w:p w14:paraId="445AA62C" w14:textId="77777777" w:rsidR="00B109CF" w:rsidRPr="000C5235" w:rsidRDefault="00B109CF" w:rsidP="00B109CF">
      <w:r w:rsidRPr="000C5235">
        <w:t xml:space="preserve">Unfortunately </w:t>
      </w:r>
      <w:r w:rsidR="00493ED2" w:rsidRPr="000C5235">
        <w:rPr>
          <w:u w:val="single"/>
        </w:rPr>
        <w:t xml:space="preserve">Attachment </w:t>
      </w:r>
      <w:r w:rsidR="00622BEA" w:rsidRPr="000C5235">
        <w:rPr>
          <w:u w:val="single"/>
        </w:rPr>
        <w:t>D</w:t>
      </w:r>
      <w:r w:rsidR="00622BEA" w:rsidRPr="000C5235">
        <w:rPr>
          <w:i/>
        </w:rPr>
        <w:t xml:space="preserve"> </w:t>
      </w:r>
      <w:r w:rsidR="00493ED2" w:rsidRPr="000C5235">
        <w:rPr>
          <w:i/>
        </w:rPr>
        <w:t>- Cover for the 2020-21</w:t>
      </w:r>
      <w:r w:rsidRPr="000C5235">
        <w:rPr>
          <w:i/>
        </w:rPr>
        <w:t xml:space="preserve"> PB</w:t>
      </w:r>
      <w:r w:rsidR="00CD3E53" w:rsidRPr="000C5235">
        <w:rPr>
          <w:i/>
        </w:rPr>
        <w:t> </w:t>
      </w:r>
      <w:r w:rsidRPr="000C5235">
        <w:rPr>
          <w:i/>
        </w:rPr>
        <w:t>S</w:t>
      </w:r>
      <w:r w:rsidR="00CD3E53" w:rsidRPr="000C5235">
        <w:rPr>
          <w:i/>
        </w:rPr>
        <w:t>tatements</w:t>
      </w:r>
      <w:r w:rsidRPr="000C5235">
        <w:t xml:space="preserve"> </w:t>
      </w:r>
      <w:r w:rsidR="00493ED2" w:rsidRPr="000C5235">
        <w:t xml:space="preserve">are not </w:t>
      </w:r>
      <w:r w:rsidRPr="000C5235">
        <w:t xml:space="preserve">available </w:t>
      </w:r>
      <w:r w:rsidR="00493ED2" w:rsidRPr="000C5235">
        <w:t>through</w:t>
      </w:r>
      <w:r w:rsidRPr="000C5235">
        <w:t xml:space="preserve"> CBMS.</w:t>
      </w:r>
    </w:p>
    <w:p w14:paraId="64A5CC56" w14:textId="77777777" w:rsidR="00B109CF" w:rsidRPr="000C5235" w:rsidRDefault="00493ED2" w:rsidP="00B109CF">
      <w:r w:rsidRPr="000C5235">
        <w:t>T</w:t>
      </w:r>
      <w:r w:rsidR="00B109CF" w:rsidRPr="000C5235">
        <w:t xml:space="preserve">o obtain a copy of the covers </w:t>
      </w:r>
      <w:r w:rsidR="00B109CF" w:rsidRPr="000C5235">
        <w:rPr>
          <w:u w:val="single"/>
        </w:rPr>
        <w:t>please email budget framework mailbox</w:t>
      </w:r>
      <w:r w:rsidR="00B109CF" w:rsidRPr="000C5235">
        <w:t xml:space="preserve"> at </w:t>
      </w:r>
      <w:hyperlink r:id="rId22" w:history="1">
        <w:r w:rsidR="00B109CF" w:rsidRPr="000C5235">
          <w:rPr>
            <w:rStyle w:val="Hyperlink"/>
            <w:rFonts w:asciiTheme="minorHAnsi" w:hAnsiTheme="minorHAnsi" w:cstheme="minorBidi"/>
          </w:rPr>
          <w:t>Budget_Framework@finance.gov.au</w:t>
        </w:r>
      </w:hyperlink>
      <w:r w:rsidR="00B109CF" w:rsidRPr="000C5235">
        <w:t>.  We will ema</w:t>
      </w:r>
      <w:r w:rsidR="007760AA" w:rsidRPr="000C5235">
        <w:t xml:space="preserve">il you a copy of the covers to enable </w:t>
      </w:r>
      <w:r w:rsidRPr="000C5235">
        <w:t xml:space="preserve">your portfolio to publish their </w:t>
      </w:r>
      <w:r w:rsidR="00B109CF" w:rsidRPr="000C5235">
        <w:t>PB</w:t>
      </w:r>
      <w:r w:rsidR="00CD3E53" w:rsidRPr="000C5235">
        <w:t> </w:t>
      </w:r>
      <w:r w:rsidR="00B109CF" w:rsidRPr="000C5235">
        <w:t>S</w:t>
      </w:r>
      <w:r w:rsidR="00CD3E53" w:rsidRPr="000C5235">
        <w:t>tatement</w:t>
      </w:r>
      <w:r w:rsidR="00957051" w:rsidRPr="000C5235">
        <w:t xml:space="preserve"> with an official cover approved by Treasury’s publishing team.</w:t>
      </w:r>
    </w:p>
    <w:p w14:paraId="479CDDBA" w14:textId="77777777" w:rsidR="00FA0945" w:rsidRPr="000C5235" w:rsidRDefault="00FA0945" w:rsidP="000A7DEC">
      <w:pPr>
        <w:pStyle w:val="Heading2Numbered"/>
      </w:pPr>
      <w:bookmarkStart w:id="294" w:name="_Ref46933923"/>
      <w:bookmarkStart w:id="295" w:name="_Ref46933928"/>
      <w:bookmarkStart w:id="296" w:name="_Toc47951211"/>
      <w:r w:rsidRPr="000C5235">
        <w:t>Delivery to Parliament House and Finance</w:t>
      </w:r>
      <w:bookmarkEnd w:id="288"/>
      <w:bookmarkEnd w:id="289"/>
      <w:bookmarkEnd w:id="294"/>
      <w:bookmarkEnd w:id="295"/>
      <w:bookmarkEnd w:id="296"/>
      <w:r w:rsidRPr="000C5235">
        <w:t xml:space="preserve"> </w:t>
      </w:r>
    </w:p>
    <w:p w14:paraId="67F30448" w14:textId="77777777" w:rsidR="00A84927" w:rsidRPr="000C5235" w:rsidRDefault="00A84927" w:rsidP="00A84927">
      <w:r w:rsidRPr="000C5235">
        <w:t>Due to the uncertainty caused by Covid-19 the PB Statement delivery arrangements along with the number of books required for Budget lockup are still under consideration.</w:t>
      </w:r>
    </w:p>
    <w:p w14:paraId="70F82495" w14:textId="2DDCADC8" w:rsidR="00A84927" w:rsidRPr="000C5235" w:rsidRDefault="00E73D1C" w:rsidP="00A84927">
      <w:pPr>
        <w:pStyle w:val="Boxed2Text"/>
      </w:pPr>
      <w:r w:rsidRPr="0042010D">
        <w:rPr>
          <w:b/>
        </w:rPr>
        <w:t xml:space="preserve">Finance will </w:t>
      </w:r>
      <w:r w:rsidR="00D27054">
        <w:rPr>
          <w:b/>
        </w:rPr>
        <w:t xml:space="preserve">provide </w:t>
      </w:r>
      <w:r w:rsidRPr="0042010D">
        <w:rPr>
          <w:b/>
        </w:rPr>
        <w:t>separate advice through your AAU</w:t>
      </w:r>
      <w:r w:rsidR="00D27054">
        <w:rPr>
          <w:b/>
        </w:rPr>
        <w:t>s</w:t>
      </w:r>
      <w:r>
        <w:t xml:space="preserve"> </w:t>
      </w:r>
      <w:r w:rsidR="00A84927" w:rsidRPr="000C5235">
        <w:t>confirm</w:t>
      </w:r>
      <w:r w:rsidR="005E1760" w:rsidRPr="000C5235">
        <w:t>ing</w:t>
      </w:r>
      <w:r w:rsidR="00A84927" w:rsidRPr="000C5235">
        <w:t xml:space="preserve"> the date and time for the delivery of the PB statements required for the Senate Tabling Office, House of Representatives, the Treasury media lockup and Stakeholder lockup, the Parliamentary Library and for Finance</w:t>
      </w:r>
      <w:r w:rsidR="00A671CE" w:rsidRPr="000C5235">
        <w:t>.</w:t>
      </w:r>
    </w:p>
    <w:p w14:paraId="7AA04D94" w14:textId="06039FBC" w:rsidR="00A84927" w:rsidRPr="000C5235" w:rsidRDefault="00A84927" w:rsidP="00A84927">
      <w:pPr>
        <w:pStyle w:val="Boxed2Text"/>
      </w:pPr>
      <w:r w:rsidRPr="000C5235">
        <w:t xml:space="preserve">The </w:t>
      </w:r>
      <w:r w:rsidR="00B50DD7">
        <w:t xml:space="preserve">separate advice </w:t>
      </w:r>
      <w:r w:rsidRPr="000C5235">
        <w:t>will also confirm the number of books required for the Treasury media lockup and the Treasury stakeholder lockup.</w:t>
      </w:r>
    </w:p>
    <w:p w14:paraId="72CD24DE" w14:textId="77777777" w:rsidR="00FA0945" w:rsidRPr="000C5235" w:rsidRDefault="004B5F4F" w:rsidP="000A7DEC">
      <w:r w:rsidRPr="000C5235">
        <w:t>All</w:t>
      </w:r>
      <w:r w:rsidR="00FA0945" w:rsidRPr="000C5235">
        <w:t xml:space="preserve"> PB Statement deliveries to Parliament House (whether using CanPrint, another printer or by portfolio staff) should occur through the Parliament House loading dock (access via Brisbane Avenue).</w:t>
      </w:r>
    </w:p>
    <w:p w14:paraId="430C4D76" w14:textId="77777777" w:rsidR="00FA0945" w:rsidRPr="000C5235" w:rsidRDefault="00FA0945">
      <w:pPr>
        <w:pStyle w:val="Bullet1"/>
      </w:pPr>
      <w:r w:rsidRPr="000C5235">
        <w:t xml:space="preserve">For those portfolios delivering their own PB Statements or using a printer other than CanPrint, please contact the </w:t>
      </w:r>
      <w:r w:rsidR="00F822F3" w:rsidRPr="000C5235">
        <w:t xml:space="preserve">Agency Accounting and </w:t>
      </w:r>
      <w:r w:rsidRPr="000C5235">
        <w:t xml:space="preserve">Budget Framework Team in Finance by </w:t>
      </w:r>
      <w:r w:rsidRPr="000C5235">
        <w:rPr>
          <w:b/>
        </w:rPr>
        <w:t>Friday,</w:t>
      </w:r>
      <w:r w:rsidRPr="000C5235">
        <w:t xml:space="preserve"> </w:t>
      </w:r>
      <w:r w:rsidR="00F14A6E" w:rsidRPr="000C5235">
        <w:rPr>
          <w:b/>
        </w:rPr>
        <w:t>2</w:t>
      </w:r>
      <w:r w:rsidR="008F2F7F" w:rsidRPr="000C5235">
        <w:rPr>
          <w:b/>
        </w:rPr>
        <w:t xml:space="preserve"> October</w:t>
      </w:r>
      <w:r w:rsidR="00AD28A0" w:rsidRPr="000C5235">
        <w:rPr>
          <w:b/>
        </w:rPr>
        <w:t xml:space="preserve"> 2020</w:t>
      </w:r>
      <w:r w:rsidR="004F3C32" w:rsidRPr="000C5235">
        <w:t xml:space="preserve"> </w:t>
      </w:r>
      <w:r w:rsidRPr="000C5235">
        <w:t>(</w:t>
      </w:r>
      <w:hyperlink r:id="rId23" w:history="1">
        <w:r w:rsidR="00146531" w:rsidRPr="000C5235">
          <w:rPr>
            <w:rStyle w:val="Hyperlink"/>
          </w:rPr>
          <w:t>Budget_Framework@finance.gov.au</w:t>
        </w:r>
      </w:hyperlink>
      <w:r w:rsidRPr="000C5235">
        <w:t xml:space="preserve">) for delivery procedures. </w:t>
      </w:r>
    </w:p>
    <w:p w14:paraId="4A048899" w14:textId="77777777" w:rsidR="00CC0EF1" w:rsidRPr="000C5235" w:rsidRDefault="00FA0945" w:rsidP="00CC0EF1">
      <w:pPr>
        <w:pStyle w:val="Bullet1"/>
      </w:pPr>
      <w:r w:rsidRPr="000C5235">
        <w:t xml:space="preserve">Should you have any questions or difficulties with these arrangements, please contact the Documents Officer, Senate Table Office </w:t>
      </w:r>
      <w:r w:rsidR="00146531" w:rsidRPr="000C5235">
        <w:t>on</w:t>
      </w:r>
      <w:r w:rsidRPr="000C5235">
        <w:t xml:space="preserve"> (02) 6277 3037.</w:t>
      </w:r>
      <w:r w:rsidR="00CC0EF1" w:rsidRPr="000C5235">
        <w:br w:type="page"/>
      </w:r>
    </w:p>
    <w:p w14:paraId="2AF94288" w14:textId="77777777" w:rsidR="00EA1831" w:rsidRPr="000C5235" w:rsidRDefault="00EA1831" w:rsidP="000A7DEC">
      <w:pPr>
        <w:pStyle w:val="Heading2Numbered"/>
      </w:pPr>
      <w:bookmarkStart w:id="297" w:name="_Toc47951212"/>
      <w:r w:rsidRPr="000C5235">
        <w:t xml:space="preserve">Number of </w:t>
      </w:r>
      <w:r w:rsidR="00B51040" w:rsidRPr="000C5235">
        <w:t>b</w:t>
      </w:r>
      <w:r w:rsidRPr="000C5235">
        <w:t>ooks</w:t>
      </w:r>
      <w:bookmarkEnd w:id="297"/>
    </w:p>
    <w:tbl>
      <w:tblPr>
        <w:tblW w:w="0" w:type="auto"/>
        <w:jc w:val="center"/>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6379"/>
        <w:gridCol w:w="1985"/>
      </w:tblGrid>
      <w:tr w:rsidR="003E3E2E" w:rsidRPr="000C5235" w14:paraId="6134FECA" w14:textId="77777777" w:rsidTr="00466C28">
        <w:trPr>
          <w:jc w:val="center"/>
        </w:trPr>
        <w:tc>
          <w:tcPr>
            <w:tcW w:w="8364" w:type="dxa"/>
            <w:gridSpan w:val="2"/>
            <w:shd w:val="clear" w:color="auto" w:fill="DDF3FA"/>
          </w:tcPr>
          <w:p w14:paraId="377A12EE" w14:textId="12A5130D" w:rsidR="003E3E2E" w:rsidRPr="000C5235" w:rsidRDefault="008F2656" w:rsidP="00E9616B">
            <w:pPr>
              <w:pStyle w:val="TableText-Normal"/>
            </w:pPr>
            <w:r w:rsidRPr="0042010D">
              <w:rPr>
                <w:b/>
              </w:rPr>
              <w:t>Finance will provide separate advice through your AAUs</w:t>
            </w:r>
            <w:r>
              <w:t xml:space="preserve"> confirming t</w:t>
            </w:r>
            <w:r w:rsidR="00A26783" w:rsidRPr="000C5235">
              <w:t xml:space="preserve">he delivery date and time along with the number of books </w:t>
            </w:r>
            <w:r w:rsidR="00141972" w:rsidRPr="000C5235">
              <w:t xml:space="preserve">required </w:t>
            </w:r>
            <w:r w:rsidR="008B029A" w:rsidRPr="000C5235">
              <w:t xml:space="preserve">for both the </w:t>
            </w:r>
            <w:r w:rsidR="008B029A" w:rsidRPr="000C5235">
              <w:rPr>
                <w:i/>
              </w:rPr>
              <w:t>Treasury media lockup</w:t>
            </w:r>
            <w:r w:rsidR="008B029A" w:rsidRPr="000C5235">
              <w:t xml:space="preserve"> and the </w:t>
            </w:r>
            <w:r w:rsidR="008B029A" w:rsidRPr="000C5235">
              <w:rPr>
                <w:i/>
              </w:rPr>
              <w:t>Treasury stakeholder lockup</w:t>
            </w:r>
            <w:r>
              <w:t>.</w:t>
            </w:r>
            <w:r w:rsidRPr="000C5235" w:rsidDel="008F2656">
              <w:t xml:space="preserve"> </w:t>
            </w:r>
          </w:p>
        </w:tc>
      </w:tr>
      <w:tr w:rsidR="003E3E2E" w:rsidRPr="000C5235" w14:paraId="22D8B1DE" w14:textId="77777777" w:rsidTr="00466C28">
        <w:trPr>
          <w:jc w:val="center"/>
        </w:trPr>
        <w:tc>
          <w:tcPr>
            <w:tcW w:w="6379" w:type="dxa"/>
          </w:tcPr>
          <w:p w14:paraId="491F6C6A" w14:textId="77777777" w:rsidR="003E3E2E" w:rsidRPr="000C5235" w:rsidRDefault="003E3E2E">
            <w:pPr>
              <w:pStyle w:val="TableText-Normal"/>
            </w:pPr>
            <w:r w:rsidRPr="000C5235">
              <w:t>Parliament House</w:t>
            </w:r>
          </w:p>
          <w:p w14:paraId="558F00F6" w14:textId="77777777" w:rsidR="003E3E2E" w:rsidRPr="000C5235" w:rsidRDefault="003E3E2E">
            <w:pPr>
              <w:pStyle w:val="TableText-Normal"/>
            </w:pPr>
            <w:r w:rsidRPr="000C5235">
              <w:tab/>
              <w:t>Documents Officer – Senate Table Office, Room SG 25</w:t>
            </w:r>
            <w:r w:rsidRPr="000C5235">
              <w:br/>
            </w:r>
            <w:r w:rsidRPr="000C5235">
              <w:tab/>
              <w:t>Department of the Senate</w:t>
            </w:r>
            <w:r w:rsidRPr="000C5235">
              <w:br/>
            </w:r>
            <w:r w:rsidRPr="000C5235">
              <w:tab/>
              <w:t>Parliament House</w:t>
            </w:r>
            <w:r w:rsidRPr="000C5235">
              <w:br/>
            </w:r>
            <w:r w:rsidRPr="000C5235">
              <w:tab/>
              <w:t>CANBERRA ACT 2600</w:t>
            </w:r>
            <w:r w:rsidRPr="000C5235">
              <w:br/>
            </w:r>
            <w:r w:rsidRPr="000C5235">
              <w:tab/>
            </w:r>
            <w:r w:rsidR="00BA0046" w:rsidRPr="000C5235">
              <w:t>p</w:t>
            </w:r>
            <w:r w:rsidRPr="000C5235">
              <w:t>h: (02) 6277 3037</w:t>
            </w:r>
          </w:p>
          <w:p w14:paraId="6A24D121" w14:textId="77777777" w:rsidR="003E3E2E" w:rsidRPr="000C5235" w:rsidRDefault="003E3E2E">
            <w:pPr>
              <w:pStyle w:val="TableText-Normal"/>
            </w:pPr>
            <w:r w:rsidRPr="000C5235">
              <w:t xml:space="preserve">* Books for Parliament House are to be delivered to a single location – the </w:t>
            </w:r>
            <w:r w:rsidRPr="000C5235">
              <w:rPr>
                <w:b/>
              </w:rPr>
              <w:t>Senate Table Office</w:t>
            </w:r>
            <w:r w:rsidRPr="000C5235">
              <w:t xml:space="preserve"> will then arrange for the books to be distributed to recipients.</w:t>
            </w:r>
            <w:r w:rsidR="00072CE9" w:rsidRPr="000C5235">
              <w:t xml:space="preserve"> Please do not leave the books </w:t>
            </w:r>
            <w:r w:rsidR="0011247C" w:rsidRPr="000C5235">
              <w:t>at</w:t>
            </w:r>
            <w:r w:rsidR="00072CE9" w:rsidRPr="000C5235">
              <w:t xml:space="preserve"> the </w:t>
            </w:r>
            <w:r w:rsidR="0011247C" w:rsidRPr="000C5235">
              <w:t xml:space="preserve">loading </w:t>
            </w:r>
            <w:r w:rsidR="00072CE9" w:rsidRPr="000C5235">
              <w:t>Dock</w:t>
            </w:r>
            <w:r w:rsidR="0011247C" w:rsidRPr="000C5235">
              <w:t xml:space="preserve"> until they are picked up by the Senate Tabling Office</w:t>
            </w:r>
            <w:r w:rsidR="00072CE9" w:rsidRPr="000C5235">
              <w:t>.</w:t>
            </w:r>
            <w:r w:rsidRPr="000C5235">
              <w:t xml:space="preserve"> Books </w:t>
            </w:r>
            <w:r w:rsidRPr="000C5235">
              <w:rPr>
                <w:u w:val="single"/>
              </w:rPr>
              <w:t>must</w:t>
            </w:r>
            <w:r w:rsidRPr="000C5235">
              <w:t xml:space="preserve"> be separately boxed as follows:</w:t>
            </w:r>
          </w:p>
          <w:p w14:paraId="2177D12E" w14:textId="77777777" w:rsidR="003E3E2E" w:rsidRPr="000C5235" w:rsidRDefault="00CC2326" w:rsidP="000A7DEC">
            <w:pPr>
              <w:pStyle w:val="TableText-Normal"/>
              <w:numPr>
                <w:ilvl w:val="0"/>
                <w:numId w:val="78"/>
              </w:numPr>
            </w:pPr>
            <w:r w:rsidRPr="000C5235">
              <w:t>70</w:t>
            </w:r>
            <w:r w:rsidR="003E3E2E" w:rsidRPr="000C5235">
              <w:t xml:space="preserve"> copies – Senate;</w:t>
            </w:r>
          </w:p>
          <w:p w14:paraId="0CA0A4A9" w14:textId="77777777" w:rsidR="003E3E2E" w:rsidRPr="000C5235" w:rsidRDefault="007B741E" w:rsidP="000A7DEC">
            <w:pPr>
              <w:pStyle w:val="TableText-Normal"/>
              <w:numPr>
                <w:ilvl w:val="0"/>
                <w:numId w:val="78"/>
              </w:numPr>
            </w:pPr>
            <w:r w:rsidRPr="000C5235">
              <w:t>15</w:t>
            </w:r>
            <w:r w:rsidR="003E3E2E" w:rsidRPr="000C5235">
              <w:t xml:space="preserve"> copies – House of Representatives;</w:t>
            </w:r>
          </w:p>
          <w:p w14:paraId="09D99DCC" w14:textId="77777777" w:rsidR="00E0607E" w:rsidRPr="000C5235" w:rsidRDefault="003E3E2E" w:rsidP="00E0607E">
            <w:pPr>
              <w:pStyle w:val="TableText-Normal"/>
              <w:numPr>
                <w:ilvl w:val="0"/>
                <w:numId w:val="78"/>
              </w:numPr>
            </w:pPr>
            <w:r w:rsidRPr="000C5235">
              <w:t>25 copies – Parliamentary Library.</w:t>
            </w:r>
            <w:r w:rsidR="00356C62" w:rsidRPr="000C5235">
              <w:br/>
            </w:r>
          </w:p>
          <w:p w14:paraId="7C8749A3" w14:textId="77777777" w:rsidR="003E3E2E" w:rsidRPr="000C5235" w:rsidRDefault="00E0607E" w:rsidP="008B029A">
            <w:pPr>
              <w:pStyle w:val="TableText-Normal"/>
              <w:numPr>
                <w:ilvl w:val="0"/>
                <w:numId w:val="78"/>
              </w:numPr>
            </w:pPr>
            <w:r w:rsidRPr="000C5235">
              <w:t xml:space="preserve">The number of books required for both the </w:t>
            </w:r>
            <w:r w:rsidRPr="000C5235">
              <w:rPr>
                <w:i/>
              </w:rPr>
              <w:t>Treasury media lockup</w:t>
            </w:r>
            <w:r w:rsidRPr="000C5235">
              <w:t xml:space="preserve"> and the </w:t>
            </w:r>
            <w:r w:rsidRPr="000C5235">
              <w:rPr>
                <w:i/>
              </w:rPr>
              <w:t>Treasury stakeholder lockup</w:t>
            </w:r>
            <w:r w:rsidRPr="000C5235">
              <w:t xml:space="preserve"> </w:t>
            </w:r>
            <w:r w:rsidR="008B029A" w:rsidRPr="000C5235">
              <w:t xml:space="preserve">to </w:t>
            </w:r>
            <w:r w:rsidRPr="000C5235">
              <w:t>be confirmed soon</w:t>
            </w:r>
            <w:r w:rsidR="00577C1F" w:rsidRPr="000C5235">
              <w:t>.</w:t>
            </w:r>
          </w:p>
        </w:tc>
        <w:tc>
          <w:tcPr>
            <w:tcW w:w="1985" w:type="dxa"/>
          </w:tcPr>
          <w:p w14:paraId="6D20EAB2" w14:textId="77777777" w:rsidR="003E3E2E" w:rsidRPr="000C5235" w:rsidRDefault="00E0607E">
            <w:pPr>
              <w:pStyle w:val="TableText-Normal"/>
            </w:pPr>
            <w:r w:rsidRPr="000C5235">
              <w:t xml:space="preserve">110 </w:t>
            </w:r>
            <w:r w:rsidR="003E3E2E" w:rsidRPr="000C5235">
              <w:t>copies *</w:t>
            </w:r>
            <w:r w:rsidRPr="000C5235">
              <w:br/>
            </w:r>
            <w:r w:rsidRPr="000C5235">
              <w:br/>
              <w:t>Plus</w:t>
            </w:r>
            <w:r w:rsidRPr="000C5235">
              <w:br/>
            </w:r>
            <w:r w:rsidRPr="000C5235">
              <w:br/>
            </w:r>
            <w:r w:rsidR="00B335BF" w:rsidRPr="000C5235">
              <w:t>B</w:t>
            </w:r>
            <w:r w:rsidRPr="000C5235">
              <w:t xml:space="preserve">ooks required for both the </w:t>
            </w:r>
            <w:r w:rsidRPr="000C5235">
              <w:rPr>
                <w:i/>
              </w:rPr>
              <w:t>Treasury media lockup</w:t>
            </w:r>
            <w:r w:rsidRPr="000C5235">
              <w:t xml:space="preserve"> and </w:t>
            </w:r>
            <w:r w:rsidRPr="000C5235">
              <w:rPr>
                <w:i/>
              </w:rPr>
              <w:t>Treasury stakeholder lockup</w:t>
            </w:r>
          </w:p>
        </w:tc>
      </w:tr>
      <w:tr w:rsidR="003E3E2E" w:rsidRPr="000C5235" w14:paraId="6CA3656A" w14:textId="77777777" w:rsidTr="00466C28">
        <w:trPr>
          <w:jc w:val="center"/>
        </w:trPr>
        <w:tc>
          <w:tcPr>
            <w:tcW w:w="6379" w:type="dxa"/>
          </w:tcPr>
          <w:p w14:paraId="6E2C4738" w14:textId="77777777" w:rsidR="003E3E2E" w:rsidRPr="000C5235" w:rsidRDefault="003E3E2E">
            <w:pPr>
              <w:pStyle w:val="TableText-Normal"/>
            </w:pPr>
            <w:r w:rsidRPr="000C5235">
              <w:t>Finance</w:t>
            </w:r>
          </w:p>
          <w:p w14:paraId="33B52AAD" w14:textId="77777777" w:rsidR="003E3E2E" w:rsidRPr="000C5235" w:rsidRDefault="002406F9" w:rsidP="000A7DEC">
            <w:pPr>
              <w:pStyle w:val="TableText-Normal"/>
              <w:numPr>
                <w:ilvl w:val="0"/>
                <w:numId w:val="164"/>
              </w:numPr>
            </w:pPr>
            <w:r w:rsidRPr="000C5235">
              <w:t xml:space="preserve">CanPrint will deliver the copies to Finance on </w:t>
            </w:r>
            <w:r w:rsidR="0076760E" w:rsidRPr="000C5235">
              <w:t xml:space="preserve">the Portfolios’ </w:t>
            </w:r>
            <w:r w:rsidRPr="000C5235">
              <w:t>behalf.</w:t>
            </w:r>
          </w:p>
          <w:p w14:paraId="48330816" w14:textId="77777777" w:rsidR="003E3E2E" w:rsidRPr="000C5235" w:rsidRDefault="003E3E2E">
            <w:pPr>
              <w:pStyle w:val="TableText-Normal"/>
              <w:numPr>
                <w:ilvl w:val="0"/>
                <w:numId w:val="77"/>
              </w:numPr>
            </w:pPr>
            <w:r w:rsidRPr="000C5235">
              <w:t xml:space="preserve">This allocation includes the copy for the Finance Secretary as required under the Requirement for Performance Information included in Portfolio Budget Statements (Finance Secretary Direction under section 36(3) of the </w:t>
            </w:r>
            <w:r w:rsidRPr="000C5235">
              <w:rPr>
                <w:i/>
              </w:rPr>
              <w:t>Public Governance, Performance and Accountability Act 2013</w:t>
            </w:r>
            <w:r w:rsidRPr="000C5235">
              <w:t>).</w:t>
            </w:r>
          </w:p>
          <w:p w14:paraId="68CA1AA4" w14:textId="77777777" w:rsidR="003E3E2E" w:rsidRPr="000C5235" w:rsidRDefault="002406F9" w:rsidP="002406F9">
            <w:pPr>
              <w:pStyle w:val="TableText-Normal"/>
              <w:numPr>
                <w:ilvl w:val="0"/>
                <w:numId w:val="77"/>
              </w:numPr>
            </w:pPr>
            <w:r w:rsidRPr="000C5235">
              <w:t xml:space="preserve">Out of </w:t>
            </w:r>
            <w:r w:rsidR="003E3E2E" w:rsidRPr="000C5235">
              <w:t xml:space="preserve">the </w:t>
            </w:r>
            <w:r w:rsidR="007A3739" w:rsidRPr="000C5235">
              <w:t xml:space="preserve">30 </w:t>
            </w:r>
            <w:r w:rsidR="003E3E2E" w:rsidRPr="000C5235">
              <w:t xml:space="preserve">copies, </w:t>
            </w:r>
            <w:r w:rsidR="007A3739" w:rsidRPr="000C5235">
              <w:t>3-5</w:t>
            </w:r>
            <w:r w:rsidR="003E3E2E" w:rsidRPr="000C5235">
              <w:t xml:space="preserve"> copies are usually allocated to your AAU</w:t>
            </w:r>
            <w:r w:rsidRPr="000C5235">
              <w:t>.</w:t>
            </w:r>
          </w:p>
        </w:tc>
        <w:tc>
          <w:tcPr>
            <w:tcW w:w="1985" w:type="dxa"/>
          </w:tcPr>
          <w:p w14:paraId="2C6CFFF0" w14:textId="77777777" w:rsidR="003E3E2E" w:rsidRPr="000C5235" w:rsidRDefault="009D2D17" w:rsidP="002406F9">
            <w:pPr>
              <w:pStyle w:val="TableText-Normal"/>
            </w:pPr>
            <w:r w:rsidRPr="000C5235">
              <w:t>3</w:t>
            </w:r>
            <w:r w:rsidR="002E6799" w:rsidRPr="000C5235">
              <w:t>0</w:t>
            </w:r>
            <w:r w:rsidRPr="000C5235">
              <w:t xml:space="preserve"> </w:t>
            </w:r>
            <w:r w:rsidR="003E3E2E" w:rsidRPr="000C5235">
              <w:t>copies</w:t>
            </w:r>
          </w:p>
        </w:tc>
      </w:tr>
      <w:tr w:rsidR="003E3E2E" w:rsidRPr="000C5235" w14:paraId="1AAAC012" w14:textId="77777777" w:rsidTr="00466C28">
        <w:trPr>
          <w:jc w:val="center"/>
        </w:trPr>
        <w:tc>
          <w:tcPr>
            <w:tcW w:w="6379" w:type="dxa"/>
          </w:tcPr>
          <w:p w14:paraId="53767B6F" w14:textId="77777777" w:rsidR="003E3E2E" w:rsidRPr="000C5235" w:rsidRDefault="003E3E2E">
            <w:pPr>
              <w:pStyle w:val="TableText-Normal"/>
            </w:pPr>
            <w:r w:rsidRPr="000C5235">
              <w:t>Your Portfolio Minister and advisors (following the Minister’s sign-off on the final document)</w:t>
            </w:r>
          </w:p>
        </w:tc>
        <w:tc>
          <w:tcPr>
            <w:tcW w:w="1985" w:type="dxa"/>
            <w:vMerge w:val="restart"/>
          </w:tcPr>
          <w:p w14:paraId="036A28C5" w14:textId="77777777" w:rsidR="003E3E2E" w:rsidRPr="000C5235" w:rsidRDefault="003E3E2E">
            <w:pPr>
              <w:pStyle w:val="TableText-Normal"/>
            </w:pPr>
            <w:r w:rsidRPr="000C5235">
              <w:t>Please confirm number required with your Minister’s office</w:t>
            </w:r>
          </w:p>
        </w:tc>
      </w:tr>
      <w:tr w:rsidR="003E3E2E" w:rsidRPr="000C5235" w14:paraId="3784862E" w14:textId="77777777" w:rsidTr="00466C28">
        <w:trPr>
          <w:jc w:val="center"/>
        </w:trPr>
        <w:tc>
          <w:tcPr>
            <w:tcW w:w="6379" w:type="dxa"/>
          </w:tcPr>
          <w:p w14:paraId="2397365A" w14:textId="77777777" w:rsidR="003E3E2E" w:rsidRPr="000C5235" w:rsidRDefault="003E3E2E">
            <w:pPr>
              <w:pStyle w:val="TableText-Normal"/>
            </w:pPr>
            <w:r w:rsidRPr="000C5235">
              <w:t>The Minister representing the portfolio in the other Chamber</w:t>
            </w:r>
          </w:p>
        </w:tc>
        <w:tc>
          <w:tcPr>
            <w:tcW w:w="1985" w:type="dxa"/>
            <w:vMerge/>
          </w:tcPr>
          <w:p w14:paraId="7B0CDCEE" w14:textId="77777777" w:rsidR="003E3E2E" w:rsidRPr="000C5235" w:rsidRDefault="003E3E2E">
            <w:pPr>
              <w:pStyle w:val="TableText-Normal"/>
            </w:pPr>
          </w:p>
        </w:tc>
      </w:tr>
    </w:tbl>
    <w:p w14:paraId="721C65F4" w14:textId="77777777" w:rsidR="003E3E2E" w:rsidRPr="000C5235" w:rsidRDefault="003E3E2E" w:rsidP="003E3E2E">
      <w:pPr>
        <w:pStyle w:val="BodyText1"/>
      </w:pPr>
    </w:p>
    <w:tbl>
      <w:tblPr>
        <w:tblW w:w="0" w:type="auto"/>
        <w:jc w:val="center"/>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Layout w:type="fixed"/>
        <w:tblCellMar>
          <w:left w:w="0" w:type="dxa"/>
          <w:right w:w="0" w:type="dxa"/>
        </w:tblCellMar>
        <w:tblLook w:val="04A0" w:firstRow="1" w:lastRow="0" w:firstColumn="1" w:lastColumn="0" w:noHBand="0" w:noVBand="1"/>
      </w:tblPr>
      <w:tblGrid>
        <w:gridCol w:w="6379"/>
        <w:gridCol w:w="1985"/>
      </w:tblGrid>
      <w:tr w:rsidR="00AB4C55" w:rsidRPr="000C5235" w14:paraId="40487A5A" w14:textId="77777777" w:rsidTr="00366A75">
        <w:trPr>
          <w:jc w:val="center"/>
        </w:trPr>
        <w:tc>
          <w:tcPr>
            <w:tcW w:w="8364" w:type="dxa"/>
            <w:gridSpan w:val="2"/>
            <w:shd w:val="clear" w:color="auto" w:fill="DDF3FA"/>
          </w:tcPr>
          <w:p w14:paraId="46803A46" w14:textId="77777777" w:rsidR="00AB4C55" w:rsidRPr="000C5235" w:rsidRDefault="00AB4C55">
            <w:pPr>
              <w:pStyle w:val="TableText-Normal"/>
            </w:pPr>
            <w:r w:rsidRPr="000C5235">
              <w:br w:type="page"/>
            </w:r>
            <w:r w:rsidRPr="000C5235">
              <w:br w:type="page"/>
            </w:r>
            <w:r w:rsidRPr="000C5235">
              <w:br w:type="page"/>
            </w:r>
            <w:r w:rsidRPr="000C5235">
              <w:br w:type="page"/>
              <w:t xml:space="preserve">For delivery </w:t>
            </w:r>
            <w:r w:rsidRPr="000C5235">
              <w:rPr>
                <w:u w:val="single"/>
              </w:rPr>
              <w:t>after</w:t>
            </w:r>
            <w:r w:rsidRPr="000C5235">
              <w:t xml:space="preserve"> tabling/Budget night </w:t>
            </w:r>
            <w:r w:rsidR="00D903D8" w:rsidRPr="000C5235">
              <w:t xml:space="preserve">(minimum based on </w:t>
            </w:r>
            <w:r w:rsidR="007A3739" w:rsidRPr="000C5235">
              <w:t>2</w:t>
            </w:r>
            <w:r w:rsidR="007B741E" w:rsidRPr="000C5235">
              <w:t>1</w:t>
            </w:r>
            <w:r w:rsidR="007A3739" w:rsidRPr="000C5235">
              <w:t xml:space="preserve"> + </w:t>
            </w:r>
            <w:r w:rsidR="00D903D8" w:rsidRPr="000C5235">
              <w:t xml:space="preserve">no. of </w:t>
            </w:r>
            <w:r w:rsidR="00640374" w:rsidRPr="000C5235">
              <w:t xml:space="preserve">copies for the </w:t>
            </w:r>
            <w:r w:rsidR="00D903D8" w:rsidRPr="000C5235">
              <w:t>committees your portfolio re</w:t>
            </w:r>
            <w:r w:rsidR="00430CF6" w:rsidRPr="000C5235">
              <w:t>ports to</w:t>
            </w:r>
            <w:r w:rsidR="00D903D8" w:rsidRPr="000C5235">
              <w:t>)</w:t>
            </w:r>
          </w:p>
        </w:tc>
      </w:tr>
      <w:tr w:rsidR="00AB4C55" w:rsidRPr="000C5235" w14:paraId="682CD329" w14:textId="77777777" w:rsidTr="00366A75">
        <w:trPr>
          <w:jc w:val="center"/>
        </w:trPr>
        <w:tc>
          <w:tcPr>
            <w:tcW w:w="8364" w:type="dxa"/>
            <w:gridSpan w:val="2"/>
          </w:tcPr>
          <w:p w14:paraId="378AB041" w14:textId="77777777" w:rsidR="00AB4C55" w:rsidRPr="000C5235" w:rsidRDefault="00AB4C55">
            <w:pPr>
              <w:pStyle w:val="TableText-Normal"/>
            </w:pPr>
            <w:r w:rsidRPr="000C5235">
              <w:t>Parliamentary Committees</w:t>
            </w:r>
          </w:p>
          <w:p w14:paraId="5E98741F" w14:textId="77777777" w:rsidR="00AB4C55" w:rsidRPr="000C5235" w:rsidRDefault="00AB4C55">
            <w:pPr>
              <w:pStyle w:val="TableText-Normal"/>
            </w:pPr>
            <w:r w:rsidRPr="000C5235">
              <w:t xml:space="preserve">PB Statements only need to be sent to </w:t>
            </w:r>
            <w:r w:rsidRPr="000C5235">
              <w:rPr>
                <w:u w:val="single"/>
              </w:rPr>
              <w:t>your</w:t>
            </w:r>
            <w:r w:rsidRPr="000C5235">
              <w:t xml:space="preserve"> portfolio’s relevant parliamentary committee(s). PB Statements should be mailed to the following Committee address following tabling: </w:t>
            </w:r>
          </w:p>
          <w:p w14:paraId="19ABA02E" w14:textId="77777777" w:rsidR="00AB4C55" w:rsidRPr="000C5235" w:rsidRDefault="00740055">
            <w:pPr>
              <w:pStyle w:val="TableText-Normal"/>
            </w:pPr>
            <w:r w:rsidRPr="000C5235">
              <w:tab/>
            </w:r>
            <w:r w:rsidR="00AB4C55" w:rsidRPr="000C5235">
              <w:t>[Name of Committee]</w:t>
            </w:r>
            <w:r w:rsidRPr="000C5235">
              <w:br/>
            </w:r>
            <w:r w:rsidRPr="000C5235">
              <w:tab/>
            </w:r>
            <w:r w:rsidR="00AB4C55" w:rsidRPr="000C5235">
              <w:t>PO Box 6100</w:t>
            </w:r>
            <w:r w:rsidRPr="000C5235">
              <w:br/>
            </w:r>
            <w:r w:rsidRPr="000C5235">
              <w:tab/>
            </w:r>
            <w:r w:rsidR="00AB4C55" w:rsidRPr="000C5235">
              <w:t>Parliament House</w:t>
            </w:r>
            <w:r w:rsidRPr="000C5235">
              <w:br/>
            </w:r>
            <w:r w:rsidRPr="000C5235">
              <w:tab/>
            </w:r>
            <w:r w:rsidR="00AB4C55" w:rsidRPr="000C5235">
              <w:t>Canberra ACT 2600</w:t>
            </w:r>
            <w:r w:rsidRPr="000C5235">
              <w:br/>
            </w:r>
            <w:r w:rsidRPr="000C5235">
              <w:tab/>
            </w:r>
            <w:r w:rsidR="00AB4C55" w:rsidRPr="000C5235">
              <w:t>Australia</w:t>
            </w:r>
          </w:p>
        </w:tc>
      </w:tr>
      <w:tr w:rsidR="00543B85" w:rsidRPr="000C5235" w14:paraId="5673CFC3" w14:textId="77777777" w:rsidTr="00154BA2">
        <w:trPr>
          <w:jc w:val="center"/>
        </w:trPr>
        <w:tc>
          <w:tcPr>
            <w:tcW w:w="6379" w:type="dxa"/>
          </w:tcPr>
          <w:p w14:paraId="1AADAC8E" w14:textId="77777777" w:rsidR="00AB4C55" w:rsidRPr="000C5235" w:rsidRDefault="00AB4C55">
            <w:pPr>
              <w:pStyle w:val="TableText-Normal"/>
            </w:pPr>
            <w:r w:rsidRPr="000C5235">
              <w:t xml:space="preserve">Community Affairs </w:t>
            </w:r>
            <w:r w:rsidR="00AD28A0" w:rsidRPr="000C5235">
              <w:t>–</w:t>
            </w:r>
            <w:r w:rsidRPr="000C5235">
              <w:t xml:space="preserve"> </w:t>
            </w:r>
            <w:r w:rsidR="004B3AF6" w:rsidRPr="000C5235">
              <w:t>Health and Social Services, including Services Australia</w:t>
            </w:r>
          </w:p>
          <w:p w14:paraId="13C18334" w14:textId="77777777" w:rsidR="00AB4C55" w:rsidRPr="000C5235" w:rsidRDefault="00AB4C55">
            <w:pPr>
              <w:pStyle w:val="TableText-NormalIndented"/>
            </w:pPr>
            <w:r w:rsidRPr="000C5235">
              <w:t>Estimates Officer</w:t>
            </w:r>
            <w:r w:rsidR="00AD28A0" w:rsidRPr="000C5235">
              <w:t xml:space="preserve"> - </w:t>
            </w:r>
            <w:r w:rsidR="00277260" w:rsidRPr="000C5235">
              <w:t>ph:</w:t>
            </w:r>
            <w:r w:rsidRPr="000C5235">
              <w:t xml:space="preserve"> (02) 6277 3515</w:t>
            </w:r>
          </w:p>
          <w:p w14:paraId="01D31D8A" w14:textId="77777777" w:rsidR="00AD28A0" w:rsidRPr="000C5235" w:rsidRDefault="00AD28A0">
            <w:pPr>
              <w:pStyle w:val="TableText-NormalIndented"/>
              <w:rPr>
                <w:rStyle w:val="Hyperlink"/>
                <w:color w:val="auto"/>
              </w:rPr>
            </w:pPr>
            <w:r w:rsidRPr="000C5235">
              <w:t xml:space="preserve">Email: </w:t>
            </w:r>
            <w:r w:rsidR="0011247C" w:rsidRPr="000C5235">
              <w:t xml:space="preserve"> </w:t>
            </w:r>
            <w:hyperlink r:id="rId24" w:history="1">
              <w:r w:rsidRPr="000C5235">
                <w:rPr>
                  <w:color w:val="0070C0"/>
                  <w:u w:val="single"/>
                </w:rPr>
                <w:t>community.affairs.sen@aph.gov.au</w:t>
              </w:r>
            </w:hyperlink>
          </w:p>
        </w:tc>
        <w:tc>
          <w:tcPr>
            <w:tcW w:w="1985" w:type="dxa"/>
          </w:tcPr>
          <w:p w14:paraId="1B20DABA" w14:textId="77777777" w:rsidR="00AB4C55" w:rsidRPr="000C5235" w:rsidRDefault="00AB4C55">
            <w:pPr>
              <w:pStyle w:val="TableText-Normal"/>
            </w:pPr>
            <w:r w:rsidRPr="000C5235">
              <w:t>5 copies</w:t>
            </w:r>
          </w:p>
        </w:tc>
      </w:tr>
      <w:tr w:rsidR="00543B85" w:rsidRPr="000C5235" w14:paraId="4967D704" w14:textId="77777777" w:rsidTr="00154BA2">
        <w:trPr>
          <w:jc w:val="center"/>
        </w:trPr>
        <w:tc>
          <w:tcPr>
            <w:tcW w:w="6379" w:type="dxa"/>
          </w:tcPr>
          <w:p w14:paraId="33F6538B" w14:textId="77777777" w:rsidR="00AB4C55" w:rsidRPr="000C5235" w:rsidRDefault="00AB4C55">
            <w:pPr>
              <w:pStyle w:val="TableText-Normal"/>
            </w:pPr>
            <w:r w:rsidRPr="000C5235">
              <w:t xml:space="preserve">Economics – </w:t>
            </w:r>
            <w:r w:rsidR="00B408D8" w:rsidRPr="000C5235">
              <w:t xml:space="preserve"> Industry, Innovation and Science; and Treasury</w:t>
            </w:r>
          </w:p>
          <w:p w14:paraId="0BEFBDF6" w14:textId="77777777" w:rsidR="00AB4C55" w:rsidRPr="000C5235" w:rsidRDefault="00AB4C55">
            <w:pPr>
              <w:pStyle w:val="TableText-NormalIndented"/>
            </w:pPr>
            <w:r w:rsidRPr="000C5235">
              <w:t>Estimates Officer</w:t>
            </w:r>
            <w:r w:rsidR="00CF2D10" w:rsidRPr="000C5235">
              <w:t xml:space="preserve"> - </w:t>
            </w:r>
            <w:r w:rsidR="00277260" w:rsidRPr="000C5235">
              <w:t>ph:</w:t>
            </w:r>
            <w:r w:rsidRPr="000C5235">
              <w:t xml:space="preserve"> (02) 6277 3540</w:t>
            </w:r>
          </w:p>
          <w:p w14:paraId="07573E44" w14:textId="77777777" w:rsidR="00CF2D10" w:rsidRPr="000C5235" w:rsidRDefault="00CF2D10">
            <w:pPr>
              <w:pStyle w:val="TableText-NormalIndented"/>
              <w:rPr>
                <w:rStyle w:val="Hyperlink"/>
                <w:color w:val="auto"/>
              </w:rPr>
            </w:pPr>
            <w:r w:rsidRPr="000C5235">
              <w:t xml:space="preserve">Email: </w:t>
            </w:r>
            <w:r w:rsidR="0011247C" w:rsidRPr="000C5235">
              <w:t xml:space="preserve"> </w:t>
            </w:r>
            <w:hyperlink r:id="rId25" w:history="1">
              <w:r w:rsidRPr="000C5235">
                <w:rPr>
                  <w:color w:val="0070C0"/>
                  <w:u w:val="single"/>
                </w:rPr>
                <w:t>economics.sen@aph.gov.au</w:t>
              </w:r>
            </w:hyperlink>
          </w:p>
        </w:tc>
        <w:tc>
          <w:tcPr>
            <w:tcW w:w="1985" w:type="dxa"/>
          </w:tcPr>
          <w:p w14:paraId="38FC7D83" w14:textId="77777777" w:rsidR="00AB4C55" w:rsidRPr="000C5235" w:rsidRDefault="00AB4C55">
            <w:pPr>
              <w:pStyle w:val="TableText-Normal"/>
            </w:pPr>
            <w:r w:rsidRPr="000C5235">
              <w:t>8 copies</w:t>
            </w:r>
          </w:p>
        </w:tc>
      </w:tr>
      <w:tr w:rsidR="00543B85" w:rsidRPr="000C5235" w14:paraId="2F8E6E97" w14:textId="77777777" w:rsidTr="00154BA2">
        <w:trPr>
          <w:jc w:val="center"/>
        </w:trPr>
        <w:tc>
          <w:tcPr>
            <w:tcW w:w="6379" w:type="dxa"/>
          </w:tcPr>
          <w:p w14:paraId="2FB098C9" w14:textId="77777777" w:rsidR="00AB4C55" w:rsidRPr="000C5235" w:rsidRDefault="00AB4C55">
            <w:pPr>
              <w:pStyle w:val="TableText-Normal"/>
            </w:pPr>
            <w:r w:rsidRPr="000C5235">
              <w:t xml:space="preserve">Education and Employment – </w:t>
            </w:r>
            <w:r w:rsidR="00B408D8" w:rsidRPr="000C5235">
              <w:t>Education; Employment, Skills, Small and Family Business, including Industrial Relations</w:t>
            </w:r>
          </w:p>
          <w:p w14:paraId="24E212D0" w14:textId="77777777" w:rsidR="00AB4C55" w:rsidRPr="000C5235" w:rsidRDefault="00AB4C55">
            <w:pPr>
              <w:pStyle w:val="TableText-NormalIndented"/>
            </w:pPr>
            <w:r w:rsidRPr="000C5235">
              <w:t>Estimates Officer</w:t>
            </w:r>
            <w:r w:rsidR="00CF2D10" w:rsidRPr="000C5235">
              <w:t xml:space="preserve"> - </w:t>
            </w:r>
            <w:r w:rsidR="00277260" w:rsidRPr="000C5235">
              <w:t>ph:</w:t>
            </w:r>
            <w:r w:rsidRPr="000C5235">
              <w:t xml:space="preserve"> (02) 6277 3521</w:t>
            </w:r>
          </w:p>
          <w:p w14:paraId="0FF88D75" w14:textId="77777777" w:rsidR="00CF2D10" w:rsidRPr="000C5235" w:rsidRDefault="00CF2D10">
            <w:pPr>
              <w:pStyle w:val="TableText-NormalIndented"/>
              <w:rPr>
                <w:rStyle w:val="Hyperlink"/>
                <w:color w:val="auto"/>
              </w:rPr>
            </w:pPr>
            <w:r w:rsidRPr="000C5235">
              <w:t xml:space="preserve">Email: </w:t>
            </w:r>
            <w:r w:rsidR="0011247C" w:rsidRPr="000C5235">
              <w:t xml:space="preserve"> </w:t>
            </w:r>
            <w:hyperlink r:id="rId26" w:history="1">
              <w:r w:rsidRPr="000C5235">
                <w:rPr>
                  <w:color w:val="0070C0"/>
                  <w:u w:val="single"/>
                </w:rPr>
                <w:t>eec.sen@aph.gov.au</w:t>
              </w:r>
            </w:hyperlink>
          </w:p>
        </w:tc>
        <w:tc>
          <w:tcPr>
            <w:tcW w:w="1985" w:type="dxa"/>
          </w:tcPr>
          <w:p w14:paraId="4D577774" w14:textId="77777777" w:rsidR="00AB4C55" w:rsidRPr="000C5235" w:rsidRDefault="00CF2D10">
            <w:pPr>
              <w:pStyle w:val="TableText-Normal"/>
            </w:pPr>
            <w:r w:rsidRPr="000C5235">
              <w:t xml:space="preserve">6 </w:t>
            </w:r>
            <w:r w:rsidR="00AB4C55" w:rsidRPr="000C5235">
              <w:t>copies</w:t>
            </w:r>
          </w:p>
        </w:tc>
      </w:tr>
      <w:tr w:rsidR="00543B85" w:rsidRPr="000C5235" w14:paraId="707D29ED" w14:textId="77777777" w:rsidTr="00154BA2">
        <w:trPr>
          <w:jc w:val="center"/>
        </w:trPr>
        <w:tc>
          <w:tcPr>
            <w:tcW w:w="6379" w:type="dxa"/>
          </w:tcPr>
          <w:p w14:paraId="06355B58" w14:textId="77777777" w:rsidR="00AB4C55" w:rsidRPr="000C5235" w:rsidRDefault="00AB4C55">
            <w:pPr>
              <w:pStyle w:val="TableText-Normal"/>
            </w:pPr>
            <w:r w:rsidRPr="000C5235">
              <w:t xml:space="preserve">Environment and Communications - </w:t>
            </w:r>
            <w:r w:rsidR="00B408D8" w:rsidRPr="000C5235">
              <w:t>Communications and the Arts; and Environment and Energy</w:t>
            </w:r>
          </w:p>
          <w:p w14:paraId="47FDF332" w14:textId="77777777" w:rsidR="00AB4C55" w:rsidRPr="000C5235" w:rsidRDefault="00AB4C55">
            <w:pPr>
              <w:pStyle w:val="TableText-NormalIndented"/>
            </w:pPr>
            <w:r w:rsidRPr="000C5235">
              <w:t>Estimates Officer</w:t>
            </w:r>
            <w:r w:rsidR="00CF2D10" w:rsidRPr="000C5235">
              <w:t xml:space="preserve"> - </w:t>
            </w:r>
            <w:r w:rsidR="00277260" w:rsidRPr="000C5235">
              <w:t>ph:</w:t>
            </w:r>
            <w:r w:rsidRPr="000C5235">
              <w:t xml:space="preserve"> (02) 6277 3526</w:t>
            </w:r>
          </w:p>
          <w:p w14:paraId="74678FCA" w14:textId="77777777" w:rsidR="00CF2D10" w:rsidRPr="000C5235" w:rsidRDefault="00CF2D10">
            <w:pPr>
              <w:pStyle w:val="TableText-NormalIndented"/>
              <w:rPr>
                <w:rStyle w:val="Hyperlink"/>
                <w:color w:val="auto"/>
              </w:rPr>
            </w:pPr>
            <w:r w:rsidRPr="000C5235">
              <w:t xml:space="preserve">Email: </w:t>
            </w:r>
            <w:r w:rsidR="0011247C" w:rsidRPr="000C5235">
              <w:t xml:space="preserve"> </w:t>
            </w:r>
            <w:hyperlink r:id="rId27" w:history="1">
              <w:r w:rsidRPr="000C5235">
                <w:rPr>
                  <w:color w:val="0070C0"/>
                  <w:u w:val="single"/>
                </w:rPr>
                <w:t>ec.sen@aph.gov.au</w:t>
              </w:r>
            </w:hyperlink>
          </w:p>
        </w:tc>
        <w:tc>
          <w:tcPr>
            <w:tcW w:w="1985" w:type="dxa"/>
          </w:tcPr>
          <w:p w14:paraId="4404354A" w14:textId="77777777" w:rsidR="00AB4C55" w:rsidRPr="000C5235" w:rsidRDefault="00AB4C55">
            <w:pPr>
              <w:pStyle w:val="TableText-Normal"/>
            </w:pPr>
            <w:r w:rsidRPr="000C5235">
              <w:t>5 copies</w:t>
            </w:r>
          </w:p>
        </w:tc>
      </w:tr>
      <w:tr w:rsidR="00543B85" w:rsidRPr="000C5235" w14:paraId="53980B26" w14:textId="77777777" w:rsidTr="00154BA2">
        <w:trPr>
          <w:jc w:val="center"/>
        </w:trPr>
        <w:tc>
          <w:tcPr>
            <w:tcW w:w="6379" w:type="dxa"/>
          </w:tcPr>
          <w:p w14:paraId="0CBE6555" w14:textId="77777777" w:rsidR="00AB4C55" w:rsidRPr="000C5235" w:rsidRDefault="00AB4C55">
            <w:pPr>
              <w:pStyle w:val="TableText-Normal"/>
            </w:pPr>
            <w:r w:rsidRPr="000C5235">
              <w:t xml:space="preserve">Finance and Public Administration - </w:t>
            </w:r>
            <w:r w:rsidR="00B408D8" w:rsidRPr="000C5235">
              <w:t>Prime Minister and Cabinet, and Finance</w:t>
            </w:r>
          </w:p>
          <w:p w14:paraId="7F4227A5" w14:textId="77777777" w:rsidR="00AB4C55" w:rsidRPr="000C5235" w:rsidRDefault="00AB4C55">
            <w:pPr>
              <w:pStyle w:val="TableText-NormalIndented"/>
            </w:pPr>
            <w:r w:rsidRPr="000C5235">
              <w:t>Estimates Officer</w:t>
            </w:r>
            <w:r w:rsidR="00CF2D10" w:rsidRPr="000C5235">
              <w:t xml:space="preserve"> - </w:t>
            </w:r>
            <w:r w:rsidR="00277260" w:rsidRPr="000C5235">
              <w:t>ph:</w:t>
            </w:r>
            <w:r w:rsidRPr="000C5235">
              <w:t xml:space="preserve"> (02) 6277 3534</w:t>
            </w:r>
          </w:p>
          <w:p w14:paraId="27F7E6DE" w14:textId="77777777" w:rsidR="00CF2D10" w:rsidRPr="000C5235" w:rsidRDefault="00CF2D10">
            <w:pPr>
              <w:pStyle w:val="TableText-NormalIndented"/>
              <w:rPr>
                <w:rStyle w:val="Hyperlink"/>
                <w:color w:val="auto"/>
              </w:rPr>
            </w:pPr>
            <w:r w:rsidRPr="000C5235">
              <w:t xml:space="preserve">Email: </w:t>
            </w:r>
            <w:r w:rsidR="0011247C" w:rsidRPr="000C5235">
              <w:t xml:space="preserve"> </w:t>
            </w:r>
            <w:hyperlink r:id="rId28" w:history="1">
              <w:r w:rsidRPr="000C5235">
                <w:rPr>
                  <w:color w:val="0070C0"/>
                  <w:u w:val="single"/>
                </w:rPr>
                <w:t>fpa.sen@aph.gov.au</w:t>
              </w:r>
            </w:hyperlink>
          </w:p>
        </w:tc>
        <w:tc>
          <w:tcPr>
            <w:tcW w:w="1985" w:type="dxa"/>
          </w:tcPr>
          <w:p w14:paraId="6C60AB49" w14:textId="77777777" w:rsidR="00AB4C55" w:rsidRPr="000C5235" w:rsidRDefault="00AB4C55">
            <w:pPr>
              <w:pStyle w:val="TableText-Normal"/>
            </w:pPr>
            <w:r w:rsidRPr="000C5235">
              <w:t>8 copies</w:t>
            </w:r>
          </w:p>
        </w:tc>
      </w:tr>
      <w:tr w:rsidR="00543B85" w:rsidRPr="000C5235" w14:paraId="62501CB8" w14:textId="77777777" w:rsidTr="00154BA2">
        <w:trPr>
          <w:jc w:val="center"/>
        </w:trPr>
        <w:tc>
          <w:tcPr>
            <w:tcW w:w="6379" w:type="dxa"/>
          </w:tcPr>
          <w:p w14:paraId="0AF0A5EC" w14:textId="77777777" w:rsidR="00322115" w:rsidRPr="000C5235" w:rsidRDefault="00322115">
            <w:pPr>
              <w:pStyle w:val="TableText-Normal"/>
            </w:pPr>
            <w:r w:rsidRPr="000C5235">
              <w:t xml:space="preserve">Foreign Affairs, Defence and Trade - </w:t>
            </w:r>
            <w:r w:rsidR="00B408D8" w:rsidRPr="000C5235">
              <w:t>Defence (including Veterans' Affairs), Foreign Affairs and Trade</w:t>
            </w:r>
          </w:p>
          <w:p w14:paraId="4D19FE8A" w14:textId="77777777" w:rsidR="00AB4C55" w:rsidRPr="000C5235" w:rsidRDefault="00322115">
            <w:pPr>
              <w:pStyle w:val="TableText-NormalIndented"/>
            </w:pPr>
            <w:r w:rsidRPr="000C5235">
              <w:t>Estimates Officer</w:t>
            </w:r>
            <w:r w:rsidR="00CF2D10" w:rsidRPr="000C5235">
              <w:t xml:space="preserve"> - </w:t>
            </w:r>
            <w:r w:rsidR="00277260" w:rsidRPr="000C5235">
              <w:t>ph:</w:t>
            </w:r>
            <w:r w:rsidRPr="000C5235">
              <w:t xml:space="preserve"> (02) 6277 3535</w:t>
            </w:r>
          </w:p>
          <w:p w14:paraId="7946C99F" w14:textId="77777777" w:rsidR="00CF2D10" w:rsidRPr="000C5235" w:rsidRDefault="00CF2D10">
            <w:pPr>
              <w:pStyle w:val="TableText-NormalIndented"/>
              <w:rPr>
                <w:rStyle w:val="Hyperlink"/>
                <w:color w:val="auto"/>
              </w:rPr>
            </w:pPr>
            <w:r w:rsidRPr="000C5235">
              <w:t xml:space="preserve">Email: </w:t>
            </w:r>
            <w:r w:rsidR="0011247C" w:rsidRPr="000C5235">
              <w:t xml:space="preserve"> </w:t>
            </w:r>
            <w:hyperlink r:id="rId29" w:history="1">
              <w:r w:rsidRPr="000C5235">
                <w:rPr>
                  <w:color w:val="0070C0"/>
                  <w:u w:val="single"/>
                </w:rPr>
                <w:t>fadt.sen@aph.gov.au</w:t>
              </w:r>
            </w:hyperlink>
          </w:p>
        </w:tc>
        <w:tc>
          <w:tcPr>
            <w:tcW w:w="1985" w:type="dxa"/>
          </w:tcPr>
          <w:p w14:paraId="2BB1E2A2" w14:textId="77777777" w:rsidR="00AB4C55" w:rsidRPr="000C5235" w:rsidRDefault="00322115">
            <w:pPr>
              <w:pStyle w:val="TableText-Normal"/>
            </w:pPr>
            <w:r w:rsidRPr="000C5235">
              <w:t>6 copies</w:t>
            </w:r>
          </w:p>
        </w:tc>
      </w:tr>
      <w:tr w:rsidR="00543B85" w:rsidRPr="000C5235" w14:paraId="0241BC5F" w14:textId="77777777" w:rsidTr="00154BA2">
        <w:trPr>
          <w:jc w:val="center"/>
        </w:trPr>
        <w:tc>
          <w:tcPr>
            <w:tcW w:w="6379" w:type="dxa"/>
          </w:tcPr>
          <w:p w14:paraId="366A9DB4" w14:textId="77777777" w:rsidR="00322115" w:rsidRPr="000C5235" w:rsidRDefault="00322115">
            <w:pPr>
              <w:pStyle w:val="TableText-Normal"/>
            </w:pPr>
            <w:r w:rsidRPr="000C5235">
              <w:t xml:space="preserve">Legal and Constitutional Affairs - </w:t>
            </w:r>
            <w:r w:rsidR="00B408D8" w:rsidRPr="000C5235">
              <w:t>Attorney-General and Home Affairs</w:t>
            </w:r>
          </w:p>
          <w:p w14:paraId="3330DA95" w14:textId="77777777" w:rsidR="00AB4C55" w:rsidRPr="000C5235" w:rsidRDefault="00322115">
            <w:pPr>
              <w:pStyle w:val="TableText-NormalIndented"/>
            </w:pPr>
            <w:r w:rsidRPr="000C5235">
              <w:t>Estimates Officer</w:t>
            </w:r>
            <w:r w:rsidR="00E96E44" w:rsidRPr="000C5235">
              <w:t xml:space="preserve"> - </w:t>
            </w:r>
            <w:r w:rsidR="00277260" w:rsidRPr="000C5235">
              <w:t>ph:</w:t>
            </w:r>
            <w:r w:rsidRPr="000C5235">
              <w:t xml:space="preserve"> (02) 6277 3560</w:t>
            </w:r>
          </w:p>
          <w:p w14:paraId="743E57F3" w14:textId="77777777" w:rsidR="00E96E44" w:rsidRPr="000C5235" w:rsidRDefault="00E96E44">
            <w:pPr>
              <w:pStyle w:val="TableText-NormalIndented"/>
              <w:rPr>
                <w:rStyle w:val="Hyperlink"/>
                <w:color w:val="auto"/>
              </w:rPr>
            </w:pPr>
            <w:r w:rsidRPr="000C5235">
              <w:t xml:space="preserve">Email: </w:t>
            </w:r>
            <w:r w:rsidR="0011247C" w:rsidRPr="000C5235">
              <w:t xml:space="preserve"> </w:t>
            </w:r>
            <w:hyperlink r:id="rId30" w:history="1">
              <w:r w:rsidRPr="000C5235">
                <w:rPr>
                  <w:color w:val="0070C0"/>
                  <w:u w:val="single"/>
                </w:rPr>
                <w:t>legcon.sen@aph.gov.au</w:t>
              </w:r>
            </w:hyperlink>
          </w:p>
        </w:tc>
        <w:tc>
          <w:tcPr>
            <w:tcW w:w="1985" w:type="dxa"/>
          </w:tcPr>
          <w:p w14:paraId="16C0EC9B" w14:textId="77777777" w:rsidR="00AB4C55" w:rsidRPr="000C5235" w:rsidRDefault="00E96E44">
            <w:pPr>
              <w:pStyle w:val="TableText-Normal"/>
            </w:pPr>
            <w:r w:rsidRPr="000C5235">
              <w:t>3</w:t>
            </w:r>
            <w:r w:rsidR="00322115" w:rsidRPr="000C5235">
              <w:t xml:space="preserve"> copies</w:t>
            </w:r>
          </w:p>
        </w:tc>
      </w:tr>
      <w:tr w:rsidR="00AB4C55" w:rsidRPr="000C5235" w14:paraId="7DF58D50" w14:textId="77777777" w:rsidTr="003E3C9D">
        <w:trPr>
          <w:jc w:val="center"/>
        </w:trPr>
        <w:tc>
          <w:tcPr>
            <w:tcW w:w="6379" w:type="dxa"/>
          </w:tcPr>
          <w:p w14:paraId="2EE4359F" w14:textId="77777777" w:rsidR="00AB4C55" w:rsidRPr="000C5235" w:rsidRDefault="00DB70C4">
            <w:pPr>
              <w:pStyle w:val="TableText-Normal"/>
            </w:pPr>
            <w:r w:rsidRPr="000C5235">
              <w:t xml:space="preserve">Rural and Regional Affairs and Transport </w:t>
            </w:r>
            <w:r w:rsidR="00E96E44" w:rsidRPr="000C5235">
              <w:t>–</w:t>
            </w:r>
            <w:r w:rsidRPr="000C5235">
              <w:t xml:space="preserve"> Agriculture</w:t>
            </w:r>
            <w:r w:rsidR="00E96E44" w:rsidRPr="000C5235">
              <w:t>, Infrastructure, Transport, Cities and Regional Development</w:t>
            </w:r>
          </w:p>
          <w:p w14:paraId="03E9D595" w14:textId="77777777" w:rsidR="00DB70C4" w:rsidRPr="000C5235" w:rsidRDefault="00DB70C4">
            <w:pPr>
              <w:pStyle w:val="TableText-NormalIndented"/>
            </w:pPr>
            <w:r w:rsidRPr="000C5235">
              <w:t>Estimates Officer</w:t>
            </w:r>
            <w:r w:rsidR="00032260" w:rsidRPr="000C5235">
              <w:t xml:space="preserve"> - </w:t>
            </w:r>
            <w:r w:rsidR="00277260" w:rsidRPr="000C5235">
              <w:t>ph:</w:t>
            </w:r>
            <w:r w:rsidRPr="000C5235">
              <w:t xml:space="preserve"> (02) 6277 3511</w:t>
            </w:r>
          </w:p>
          <w:p w14:paraId="3CB35DD1" w14:textId="77777777" w:rsidR="00E96E44" w:rsidRPr="000C5235" w:rsidRDefault="00E96E44">
            <w:pPr>
              <w:pStyle w:val="TableText-NormalIndented"/>
            </w:pPr>
            <w:r w:rsidRPr="000C5235">
              <w:t xml:space="preserve">Email: </w:t>
            </w:r>
            <w:r w:rsidR="0011247C" w:rsidRPr="000C5235">
              <w:t xml:space="preserve"> </w:t>
            </w:r>
            <w:hyperlink r:id="rId31" w:history="1">
              <w:r w:rsidRPr="000C5235">
                <w:rPr>
                  <w:color w:val="0070C0"/>
                  <w:u w:val="single"/>
                </w:rPr>
                <w:t>rrat.sen@aph.gov.au</w:t>
              </w:r>
            </w:hyperlink>
          </w:p>
        </w:tc>
        <w:tc>
          <w:tcPr>
            <w:tcW w:w="1985" w:type="dxa"/>
          </w:tcPr>
          <w:p w14:paraId="4822E69A" w14:textId="77777777" w:rsidR="00AB4C55" w:rsidRPr="000C5235" w:rsidRDefault="00DB70C4">
            <w:pPr>
              <w:pStyle w:val="TableText-Normal"/>
            </w:pPr>
            <w:r w:rsidRPr="000C5235">
              <w:t>3 copies</w:t>
            </w:r>
          </w:p>
        </w:tc>
      </w:tr>
      <w:tr w:rsidR="00FA0945" w:rsidRPr="000C5235" w14:paraId="0C49ED1C" w14:textId="77777777" w:rsidTr="00FA515F">
        <w:trPr>
          <w:jc w:val="center"/>
        </w:trPr>
        <w:tc>
          <w:tcPr>
            <w:tcW w:w="8364" w:type="dxa"/>
            <w:gridSpan w:val="2"/>
            <w:shd w:val="clear" w:color="auto" w:fill="DDF3FA"/>
          </w:tcPr>
          <w:p w14:paraId="503B416E" w14:textId="77777777" w:rsidR="00FA0945" w:rsidRPr="000C5235" w:rsidRDefault="00FA0945">
            <w:pPr>
              <w:pStyle w:val="TableText-Normal"/>
            </w:pPr>
            <w:r w:rsidRPr="000C5235">
              <w:br w:type="page"/>
            </w:r>
            <w:r w:rsidRPr="000C5235">
              <w:br w:type="page"/>
            </w:r>
            <w:r w:rsidRPr="000C5235">
              <w:br w:type="page"/>
            </w:r>
            <w:r w:rsidRPr="000C5235">
              <w:br w:type="page"/>
              <w:t xml:space="preserve">For delivery </w:t>
            </w:r>
            <w:r w:rsidRPr="000C5235">
              <w:rPr>
                <w:u w:val="single"/>
              </w:rPr>
              <w:t>after</w:t>
            </w:r>
            <w:r w:rsidRPr="000C5235">
              <w:t xml:space="preserve"> tabling/Budget night</w:t>
            </w:r>
            <w:r w:rsidR="00233EB4" w:rsidRPr="000C5235">
              <w:t xml:space="preserve"> </w:t>
            </w:r>
            <w:r w:rsidRPr="000C5235">
              <w:t>(continued)</w:t>
            </w:r>
          </w:p>
        </w:tc>
      </w:tr>
      <w:tr w:rsidR="00FA0945" w:rsidRPr="000C5235" w14:paraId="221A6BE7" w14:textId="77777777" w:rsidTr="00FA515F">
        <w:trPr>
          <w:jc w:val="center"/>
        </w:trPr>
        <w:tc>
          <w:tcPr>
            <w:tcW w:w="6379" w:type="dxa"/>
          </w:tcPr>
          <w:p w14:paraId="0B19FDFA" w14:textId="77777777" w:rsidR="0002365E" w:rsidRPr="000C5235" w:rsidRDefault="0002365E" w:rsidP="000A7DEC">
            <w:pPr>
              <w:pStyle w:val="TableText-Normal"/>
            </w:pPr>
            <w:r w:rsidRPr="000C5235">
              <w:t>Commonwealth Library Deposit and Free Issue Schemes (LDS)</w:t>
            </w:r>
          </w:p>
          <w:p w14:paraId="7F311923" w14:textId="77777777" w:rsidR="00FA0945" w:rsidRPr="000C5235" w:rsidRDefault="0002365E" w:rsidP="000A7DEC">
            <w:pPr>
              <w:pStyle w:val="NormalTextRed"/>
              <w:ind w:left="132"/>
              <w:rPr>
                <w:rStyle w:val="Hyperlink"/>
              </w:rPr>
            </w:pPr>
            <w:r w:rsidRPr="000C5235">
              <w:t xml:space="preserve">Email: </w:t>
            </w:r>
            <w:hyperlink r:id="rId32" w:history="1">
              <w:r w:rsidR="00204768" w:rsidRPr="000C5235">
                <w:t>info@dta.gov.au</w:t>
              </w:r>
            </w:hyperlink>
            <w:r w:rsidR="00204768" w:rsidRPr="000C5235">
              <w:rPr>
                <w:rStyle w:val="Hyperlink"/>
                <w:rFonts w:asciiTheme="minorHAnsi" w:eastAsia="Cambria" w:hAnsiTheme="minorHAnsi" w:cs="Times New Roman"/>
                <w:color w:val="auto"/>
                <w:sz w:val="18"/>
                <w:u w:val="none"/>
              </w:rPr>
              <w:t xml:space="preserve"> </w:t>
            </w:r>
            <w:r w:rsidRPr="000C5235">
              <w:br/>
              <w:t xml:space="preserve">Ph: 02 6120 8707 </w:t>
            </w:r>
            <w:r w:rsidRPr="000C5235">
              <w:br/>
              <w:t xml:space="preserve">Website: </w:t>
            </w:r>
            <w:hyperlink r:id="rId33" w:history="1">
              <w:r w:rsidRPr="000C5235">
                <w:t>https://www.dta.gov.au/help-and-advice/guides-and-tools/commonwealth-library-deposit-and-free-issue-schemes</w:t>
              </w:r>
            </w:hyperlink>
            <w:r w:rsidR="000A77B9" w:rsidRPr="000C5235">
              <w:rPr>
                <w:sz w:val="18"/>
              </w:rPr>
              <w:t xml:space="preserve"> </w:t>
            </w:r>
          </w:p>
        </w:tc>
        <w:tc>
          <w:tcPr>
            <w:tcW w:w="1985" w:type="dxa"/>
          </w:tcPr>
          <w:p w14:paraId="199E5232" w14:textId="77777777" w:rsidR="00FA0945" w:rsidRPr="000C5235" w:rsidRDefault="00FA0945">
            <w:pPr>
              <w:pStyle w:val="TableText-Normal"/>
            </w:pPr>
            <w:r w:rsidRPr="000C5235">
              <w:t>2</w:t>
            </w:r>
            <w:r w:rsidR="00155B83" w:rsidRPr="000C5235">
              <w:t>1</w:t>
            </w:r>
            <w:r w:rsidRPr="000C5235">
              <w:t xml:space="preserve"> copies </w:t>
            </w:r>
          </w:p>
          <w:p w14:paraId="69C41304" w14:textId="77777777" w:rsidR="00FA0945" w:rsidRPr="000C5235" w:rsidRDefault="00FA0945">
            <w:pPr>
              <w:pStyle w:val="TableText-Normal"/>
            </w:pPr>
            <w:r w:rsidRPr="000C5235">
              <w:t>(please check Library Deposit website prior to printing)</w:t>
            </w:r>
          </w:p>
        </w:tc>
      </w:tr>
    </w:tbl>
    <w:p w14:paraId="6AAA4286" w14:textId="77777777" w:rsidR="00EE503C" w:rsidRPr="000C5235" w:rsidRDefault="00EE503C">
      <w:pPr>
        <w:suppressAutoHyphens w:val="0"/>
        <w:spacing w:before="0" w:after="120" w:line="440" w:lineRule="atLeast"/>
        <w:rPr>
          <w:rFonts w:asciiTheme="majorHAnsi" w:eastAsiaTheme="majorEastAsia" w:hAnsiTheme="majorHAnsi" w:cstheme="majorBidi"/>
          <w:bCs/>
          <w:color w:val="1C1C1C" w:themeColor="text2"/>
          <w:sz w:val="34"/>
          <w:szCs w:val="26"/>
        </w:rPr>
      </w:pPr>
      <w:bookmarkStart w:id="298" w:name="_Toc406683948"/>
      <w:bookmarkStart w:id="299" w:name="_Toc411852670"/>
      <w:r w:rsidRPr="000C5235">
        <w:br w:type="page"/>
      </w:r>
    </w:p>
    <w:p w14:paraId="20C70512" w14:textId="77777777" w:rsidR="0049098A" w:rsidRPr="000C5235" w:rsidRDefault="0049098A" w:rsidP="000A7DEC">
      <w:pPr>
        <w:pStyle w:val="Heading2Numbered"/>
      </w:pPr>
      <w:bookmarkStart w:id="300" w:name="_Toc47951213"/>
      <w:r w:rsidRPr="000C5235">
        <w:t xml:space="preserve">Protected-rated email </w:t>
      </w:r>
      <w:r w:rsidR="00E479CD" w:rsidRPr="000C5235">
        <w:t xml:space="preserve">/ </w:t>
      </w:r>
      <w:r w:rsidRPr="000C5235">
        <w:t>CabNet requirements</w:t>
      </w:r>
      <w:bookmarkEnd w:id="300"/>
    </w:p>
    <w:p w14:paraId="0E1A36B8" w14:textId="77777777" w:rsidR="0049098A" w:rsidRPr="000C5235" w:rsidRDefault="0049098A" w:rsidP="000A7DEC">
      <w:r w:rsidRPr="000C5235">
        <w:rPr>
          <w:sz w:val="20"/>
        </w:rPr>
        <w:t>As PB Statements are under embargo until they are tabled in Parliament</w:t>
      </w:r>
      <w:r w:rsidR="000E692C" w:rsidRPr="000C5235">
        <w:rPr>
          <w:sz w:val="20"/>
        </w:rPr>
        <w:t>, P</w:t>
      </w:r>
      <w:r w:rsidRPr="000C5235">
        <w:rPr>
          <w:sz w:val="20"/>
        </w:rPr>
        <w:t>ortfolio</w:t>
      </w:r>
      <w:r w:rsidR="000E692C" w:rsidRPr="000C5235">
        <w:rPr>
          <w:sz w:val="20"/>
        </w:rPr>
        <w:t>s</w:t>
      </w:r>
      <w:r w:rsidRPr="000C5235">
        <w:rPr>
          <w:sz w:val="20"/>
        </w:rPr>
        <w:t xml:space="preserve"> will need to send electronic copies </w:t>
      </w:r>
      <w:r w:rsidR="000E692C" w:rsidRPr="000C5235">
        <w:rPr>
          <w:sz w:val="20"/>
        </w:rPr>
        <w:t xml:space="preserve">of their Adobe PDFs and Financial Tables </w:t>
      </w:r>
      <w:r w:rsidRPr="000C5235">
        <w:rPr>
          <w:sz w:val="20"/>
        </w:rPr>
        <w:t>via Protected-rated email or via CabNet.</w:t>
      </w:r>
    </w:p>
    <w:p w14:paraId="1EB1E6A5" w14:textId="77777777" w:rsidR="0049098A" w:rsidRPr="000C5235" w:rsidRDefault="0049098A">
      <w:pPr>
        <w:pStyle w:val="Bullet1"/>
        <w:rPr>
          <w:rStyle w:val="Hyperlink"/>
          <w:rFonts w:eastAsiaTheme="minorHAnsi" w:cs="Times New Roman"/>
          <w:color w:val="auto"/>
          <w:u w:val="none"/>
        </w:rPr>
      </w:pPr>
      <w:r w:rsidRPr="000C5235">
        <w:t xml:space="preserve">To check whether your entity has Protected-rated email, please refer to the GovLink user list: </w:t>
      </w:r>
      <w:hyperlink r:id="rId34" w:history="1">
        <w:r w:rsidRPr="000C5235">
          <w:rPr>
            <w:rStyle w:val="Hyperlink"/>
            <w:rFonts w:cs="Times New Roman"/>
          </w:rPr>
          <w:t>http://govlink.sge.net/home.aspx</w:t>
        </w:r>
      </w:hyperlink>
      <w:r w:rsidR="00FA512B" w:rsidRPr="000C5235">
        <w:t>.</w:t>
      </w:r>
    </w:p>
    <w:p w14:paraId="29EA0B74" w14:textId="77777777" w:rsidR="0049098A" w:rsidRPr="000C5235" w:rsidRDefault="0049098A" w:rsidP="000A7DEC">
      <w:pPr>
        <w:pStyle w:val="NormalTextRed"/>
        <w:rPr>
          <w:szCs w:val="22"/>
          <w:u w:color="0070C0"/>
        </w:rPr>
      </w:pPr>
      <w:r w:rsidRPr="000C5235">
        <w:rPr>
          <w:rStyle w:val="Hyperlink"/>
          <w:rFonts w:cs="Times New Roman"/>
          <w:color w:val="FF0000"/>
          <w:u w:val="none"/>
        </w:rPr>
        <w:t xml:space="preserve">Click on the </w:t>
      </w:r>
      <w:r w:rsidRPr="000C5235">
        <w:rPr>
          <w:rStyle w:val="Hyperlink"/>
          <w:rFonts w:cs="Times New Roman"/>
          <w:i/>
          <w:color w:val="FF0000"/>
          <w:u w:val="none"/>
        </w:rPr>
        <w:t>User List</w:t>
      </w:r>
      <w:r w:rsidRPr="000C5235">
        <w:rPr>
          <w:rStyle w:val="Hyperlink"/>
          <w:rFonts w:cs="Times New Roman"/>
          <w:color w:val="FF0000"/>
          <w:u w:val="none"/>
        </w:rPr>
        <w:t xml:space="preserve"> to view the list of organisations currently using the GovLink network.</w:t>
      </w:r>
    </w:p>
    <w:p w14:paraId="12C62DDF" w14:textId="77777777" w:rsidR="00322224" w:rsidRPr="000C5235" w:rsidRDefault="00FA0945" w:rsidP="000A7DEC">
      <w:pPr>
        <w:pStyle w:val="Heading2Numbered"/>
      </w:pPr>
      <w:bookmarkStart w:id="301" w:name="_Toc30405546"/>
      <w:bookmarkStart w:id="302" w:name="_Toc30581287"/>
      <w:bookmarkStart w:id="303" w:name="_Toc32829949"/>
      <w:bookmarkStart w:id="304" w:name="_Toc32917453"/>
      <w:bookmarkStart w:id="305" w:name="_Toc32918259"/>
      <w:bookmarkStart w:id="306" w:name="_Toc32999642"/>
      <w:bookmarkStart w:id="307" w:name="_Toc33099361"/>
      <w:bookmarkStart w:id="308" w:name="_Toc33195991"/>
      <w:bookmarkStart w:id="309" w:name="_Toc33196293"/>
      <w:bookmarkStart w:id="310" w:name="_Toc30405547"/>
      <w:bookmarkStart w:id="311" w:name="_Toc30581288"/>
      <w:bookmarkStart w:id="312" w:name="_Toc32829950"/>
      <w:bookmarkStart w:id="313" w:name="_Toc32917454"/>
      <w:bookmarkStart w:id="314" w:name="_Toc32918260"/>
      <w:bookmarkStart w:id="315" w:name="_Toc32999643"/>
      <w:bookmarkStart w:id="316" w:name="_Toc33099362"/>
      <w:bookmarkStart w:id="317" w:name="_Toc33195992"/>
      <w:bookmarkStart w:id="318" w:name="_Toc33196294"/>
      <w:bookmarkStart w:id="319" w:name="_Toc30405548"/>
      <w:bookmarkStart w:id="320" w:name="_Toc30581289"/>
      <w:bookmarkStart w:id="321" w:name="_Toc32829951"/>
      <w:bookmarkStart w:id="322" w:name="_Toc32917455"/>
      <w:bookmarkStart w:id="323" w:name="_Toc32918261"/>
      <w:bookmarkStart w:id="324" w:name="_Toc32999644"/>
      <w:bookmarkStart w:id="325" w:name="_Toc33099363"/>
      <w:bookmarkStart w:id="326" w:name="_Toc33195993"/>
      <w:bookmarkStart w:id="327" w:name="_Toc33196295"/>
      <w:bookmarkStart w:id="328" w:name="_Toc47951214"/>
      <w:bookmarkStart w:id="329" w:name="Review_Budget_Media_Lockup_2020_01_09"/>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0C5235">
        <w:t>Budget media lockup</w:t>
      </w:r>
      <w:r w:rsidR="000E692C" w:rsidRPr="000C5235">
        <w:t xml:space="preserve"> hard copy and Adobe PDF requirements</w:t>
      </w:r>
      <w:bookmarkEnd w:id="328"/>
    </w:p>
    <w:bookmarkEnd w:id="329"/>
    <w:p w14:paraId="57DA777D" w14:textId="77777777" w:rsidR="00FA0945" w:rsidRPr="000C5235" w:rsidRDefault="00FA0945" w:rsidP="000A7DEC">
      <w:r w:rsidRPr="000C5235">
        <w:t>Portfolios are to supply both printed copies of their PB Statements</w:t>
      </w:r>
      <w:r w:rsidR="005F01DF" w:rsidRPr="000C5235">
        <w:t xml:space="preserve"> </w:t>
      </w:r>
      <w:r w:rsidRPr="000C5235">
        <w:t xml:space="preserve">as well as Adobe PDF copies so they can be made available to the media in </w:t>
      </w:r>
      <w:r w:rsidR="00527B86" w:rsidRPr="000C5235">
        <w:t>the Budget lock</w:t>
      </w:r>
      <w:r w:rsidR="00D77E92" w:rsidRPr="000C5235">
        <w:t>-</w:t>
      </w:r>
      <w:r w:rsidR="00527B86" w:rsidRPr="000C5235">
        <w:t>up</w:t>
      </w:r>
      <w:r w:rsidR="003F48C3" w:rsidRPr="000C5235">
        <w:t>.</w:t>
      </w:r>
    </w:p>
    <w:p w14:paraId="7326C814" w14:textId="77777777" w:rsidR="00FA0945" w:rsidRPr="000C5235" w:rsidRDefault="00FA0945">
      <w:pPr>
        <w:pStyle w:val="BodyText"/>
      </w:pPr>
      <w:r w:rsidRPr="000C5235">
        <w:t xml:space="preserve">Portfolios should email Adobe PDF copies of their full PB Statements to Finance either via Protected-rated email to </w:t>
      </w:r>
      <w:hyperlink r:id="rId35" w:history="1">
        <w:r w:rsidR="00154BA2" w:rsidRPr="000C5235">
          <w:rPr>
            <w:rStyle w:val="Hyperlink"/>
            <w:rFonts w:asciiTheme="minorHAnsi" w:hAnsiTheme="minorHAnsi" w:cs="Times New Roman"/>
          </w:rPr>
          <w:t>Budget_Framework@finance.gov.au</w:t>
        </w:r>
      </w:hyperlink>
      <w:r w:rsidR="00154BA2" w:rsidRPr="000C5235">
        <w:t xml:space="preserve"> </w:t>
      </w:r>
      <w:r w:rsidRPr="000C5235">
        <w:t xml:space="preserve">or via CabNet for the attention of </w:t>
      </w:r>
      <w:hyperlink r:id="rId36" w:history="1">
        <w:r w:rsidR="00154BA2" w:rsidRPr="000C5235">
          <w:rPr>
            <w:rStyle w:val="Hyperlink"/>
            <w:rFonts w:asciiTheme="minorHAnsi" w:hAnsiTheme="minorHAnsi" w:cs="Times New Roman"/>
          </w:rPr>
          <w:t>Budget_Framework@finance.gov.au</w:t>
        </w:r>
      </w:hyperlink>
      <w:r w:rsidRPr="000C5235">
        <w:t xml:space="preserve"> by </w:t>
      </w:r>
      <w:r w:rsidR="00530060" w:rsidRPr="000C5235">
        <w:rPr>
          <w:b/>
        </w:rPr>
        <w:t>9am Tuesday</w:t>
      </w:r>
      <w:r w:rsidR="00527B86" w:rsidRPr="000C5235">
        <w:rPr>
          <w:b/>
        </w:rPr>
        <w:t xml:space="preserve">, </w:t>
      </w:r>
      <w:r w:rsidR="008368F2" w:rsidRPr="000C5235">
        <w:rPr>
          <w:b/>
        </w:rPr>
        <w:t>6</w:t>
      </w:r>
      <w:r w:rsidR="008F2F7F" w:rsidRPr="000C5235">
        <w:rPr>
          <w:b/>
        </w:rPr>
        <w:t xml:space="preserve"> October</w:t>
      </w:r>
      <w:r w:rsidR="007A3739" w:rsidRPr="000C5235">
        <w:rPr>
          <w:b/>
        </w:rPr>
        <w:t xml:space="preserve"> 2020</w:t>
      </w:r>
      <w:r w:rsidRPr="000C5235">
        <w:rPr>
          <w:b/>
        </w:rPr>
        <w:t xml:space="preserve">. </w:t>
      </w:r>
      <w:r w:rsidRPr="000C5235">
        <w:t xml:space="preserve">Finance will then arrange for these files to be provided to </w:t>
      </w:r>
      <w:r w:rsidR="007A3CCD" w:rsidRPr="000C5235">
        <w:t xml:space="preserve">the Senate Tabling Office and to </w:t>
      </w:r>
      <w:r w:rsidRPr="000C5235">
        <w:t xml:space="preserve">Treasury for the Budget lockup. </w:t>
      </w:r>
    </w:p>
    <w:p w14:paraId="31D6A705" w14:textId="77777777" w:rsidR="00FA0945" w:rsidRPr="000C5235" w:rsidRDefault="00FA0945" w:rsidP="000A7DEC">
      <w:pPr>
        <w:pStyle w:val="Heading2Numbered"/>
      </w:pPr>
      <w:bookmarkStart w:id="330" w:name="_Toc32917457"/>
      <w:bookmarkStart w:id="331" w:name="_Toc32918263"/>
      <w:bookmarkStart w:id="332" w:name="_Toc32999646"/>
      <w:bookmarkStart w:id="333" w:name="_Toc33099365"/>
      <w:bookmarkStart w:id="334" w:name="_Toc33195995"/>
      <w:bookmarkStart w:id="335" w:name="_Toc33196297"/>
      <w:bookmarkStart w:id="336" w:name="_Toc32917458"/>
      <w:bookmarkStart w:id="337" w:name="_Toc32918264"/>
      <w:bookmarkStart w:id="338" w:name="_Toc32999647"/>
      <w:bookmarkStart w:id="339" w:name="_Toc33099366"/>
      <w:bookmarkStart w:id="340" w:name="_Toc33195996"/>
      <w:bookmarkStart w:id="341" w:name="_Toc33196298"/>
      <w:bookmarkStart w:id="342" w:name="_Toc32917459"/>
      <w:bookmarkStart w:id="343" w:name="_Toc32918265"/>
      <w:bookmarkStart w:id="344" w:name="_Toc32999648"/>
      <w:bookmarkStart w:id="345" w:name="_Toc33099367"/>
      <w:bookmarkStart w:id="346" w:name="_Toc33195997"/>
      <w:bookmarkStart w:id="347" w:name="_Toc33196299"/>
      <w:bookmarkStart w:id="348" w:name="_Toc534803489"/>
      <w:bookmarkStart w:id="349" w:name="_Toc534814180"/>
      <w:bookmarkStart w:id="350" w:name="_Toc536108553"/>
      <w:bookmarkStart w:id="351" w:name="_Toc536802103"/>
      <w:bookmarkStart w:id="352" w:name="_Ref46251412"/>
      <w:bookmarkStart w:id="353" w:name="_Ref46251417"/>
      <w:bookmarkStart w:id="354" w:name="_Toc47951215"/>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0C5235">
        <w:t>Online publication</w:t>
      </w:r>
      <w:bookmarkEnd w:id="298"/>
      <w:bookmarkEnd w:id="299"/>
      <w:bookmarkEnd w:id="352"/>
      <w:bookmarkEnd w:id="353"/>
      <w:bookmarkEnd w:id="354"/>
    </w:p>
    <w:p w14:paraId="12D2391F" w14:textId="77777777" w:rsidR="00FA0945" w:rsidRPr="000C5235" w:rsidRDefault="00FA0945" w:rsidP="000A7DEC">
      <w:pPr>
        <w:pStyle w:val="Heading3Numbered"/>
      </w:pPr>
      <w:bookmarkStart w:id="355" w:name="_Toc47951216"/>
      <w:r w:rsidRPr="000C5235">
        <w:t>Publishing the PB Statements on the internet</w:t>
      </w:r>
      <w:bookmarkEnd w:id="355"/>
    </w:p>
    <w:p w14:paraId="25E6069F" w14:textId="77777777" w:rsidR="00FA0945" w:rsidRPr="000C5235" w:rsidRDefault="00FA0945" w:rsidP="000A7DEC">
      <w:r w:rsidRPr="000C5235">
        <w:t>All Budget documentation will be published on</w:t>
      </w:r>
      <w:r w:rsidR="00AA37F7" w:rsidRPr="000C5235">
        <w:t>line</w:t>
      </w:r>
      <w:r w:rsidRPr="000C5235">
        <w:t xml:space="preserve"> with hyperlinks between budget documents for ease of reference and to assist reading across these documents. The Australian Government Budget website </w:t>
      </w:r>
      <w:hyperlink r:id="rId37" w:history="1">
        <w:r w:rsidRPr="000C5235">
          <w:rPr>
            <w:rStyle w:val="Hyperlink"/>
          </w:rPr>
          <w:t>www.budget.gov.au</w:t>
        </w:r>
      </w:hyperlink>
      <w:r w:rsidRPr="000C5235">
        <w:t xml:space="preserve"> will link readers to </w:t>
      </w:r>
      <w:r w:rsidR="00A671CE" w:rsidRPr="000C5235">
        <w:t>PB </w:t>
      </w:r>
      <w:r w:rsidRPr="000C5235">
        <w:t>Statements on each portfolio’s website.</w:t>
      </w:r>
    </w:p>
    <w:p w14:paraId="0498C99F" w14:textId="77777777" w:rsidR="00FA0945" w:rsidRPr="000C5235" w:rsidRDefault="00FA0945" w:rsidP="000A7DEC">
      <w:r w:rsidRPr="000C5235">
        <w:t xml:space="preserve">All portfolios must post an electronic copy of the PB Statements on their portfolio department’s website. This should be posted in an accessible format as required by the Web Content Accessibility Guidelines issued by the Digital Transformation Agency (for example, post the document in multiple formats to be sure it can be read by screen readers). </w:t>
      </w:r>
    </w:p>
    <w:p w14:paraId="747B93A7" w14:textId="77777777" w:rsidR="00FA0945" w:rsidRPr="000C5235" w:rsidRDefault="00FA0945" w:rsidP="000A7DEC">
      <w:r w:rsidRPr="000C5235">
        <w:t xml:space="preserve">The Web Content Accessibility Guidelines and other publishing requirements and guidance are available at </w:t>
      </w:r>
      <w:hyperlink r:id="rId38" w:history="1">
        <w:r w:rsidR="00A207C9" w:rsidRPr="000C5235">
          <w:rPr>
            <w:rStyle w:val="Hyperlink"/>
            <w:rFonts w:cs="Times New Roman"/>
          </w:rPr>
          <w:t>https://guides.service.gov.au/content-guide/accessibility-inclusivity/</w:t>
        </w:r>
      </w:hyperlink>
      <w:r w:rsidR="00527B86" w:rsidRPr="000C5235">
        <w:t>.</w:t>
      </w:r>
    </w:p>
    <w:p w14:paraId="43DC6507" w14:textId="77777777" w:rsidR="00FA0945" w:rsidRPr="000C5235" w:rsidRDefault="00FA0945" w:rsidP="000A7DEC">
      <w:r w:rsidRPr="000C5235">
        <w:t xml:space="preserve">Portfolios should email the Treasury </w:t>
      </w:r>
      <w:r w:rsidR="00C5070F" w:rsidRPr="000C5235">
        <w:t>Publishing and Design</w:t>
      </w:r>
      <w:r w:rsidRPr="000C5235">
        <w:t xml:space="preserve"> team (</w:t>
      </w:r>
      <w:hyperlink r:id="rId39" w:history="1">
        <w:r w:rsidR="00065820" w:rsidRPr="000C5235">
          <w:rPr>
            <w:rStyle w:val="Hyperlink"/>
          </w:rPr>
          <w:t>budget-website@treasury.gov.au</w:t>
        </w:r>
      </w:hyperlink>
      <w:r w:rsidR="00C36FA2" w:rsidRPr="000C5235">
        <w:t>)</w:t>
      </w:r>
      <w:r w:rsidRPr="000C5235">
        <w:t xml:space="preserve"> no later than </w:t>
      </w:r>
      <w:r w:rsidR="00AA37F7" w:rsidRPr="000C5235">
        <w:rPr>
          <w:b/>
        </w:rPr>
        <w:t>4</w:t>
      </w:r>
      <w:r w:rsidRPr="000C5235">
        <w:rPr>
          <w:b/>
        </w:rPr>
        <w:t>.</w:t>
      </w:r>
      <w:r w:rsidR="00AA37F7" w:rsidRPr="000C5235">
        <w:rPr>
          <w:b/>
        </w:rPr>
        <w:t>3</w:t>
      </w:r>
      <w:r w:rsidRPr="000C5235">
        <w:rPr>
          <w:b/>
        </w:rPr>
        <w:t xml:space="preserve">0pm </w:t>
      </w:r>
      <w:r w:rsidR="00065820" w:rsidRPr="000C5235">
        <w:rPr>
          <w:b/>
        </w:rPr>
        <w:t>Friday</w:t>
      </w:r>
      <w:r w:rsidRPr="000C5235">
        <w:rPr>
          <w:b/>
        </w:rPr>
        <w:t xml:space="preserve">, </w:t>
      </w:r>
      <w:r w:rsidR="00065820" w:rsidRPr="000C5235">
        <w:rPr>
          <w:b/>
        </w:rPr>
        <w:t>2</w:t>
      </w:r>
      <w:r w:rsidR="008F2F7F" w:rsidRPr="000C5235">
        <w:rPr>
          <w:b/>
        </w:rPr>
        <w:t xml:space="preserve"> October</w:t>
      </w:r>
      <w:r w:rsidR="007A3739" w:rsidRPr="000C5235">
        <w:rPr>
          <w:b/>
        </w:rPr>
        <w:t xml:space="preserve"> 2020</w:t>
      </w:r>
      <w:r w:rsidRPr="000C5235">
        <w:rPr>
          <w:b/>
        </w:rPr>
        <w:t xml:space="preserve"> </w:t>
      </w:r>
      <w:r w:rsidRPr="000C5235">
        <w:t>the following details:</w:t>
      </w:r>
    </w:p>
    <w:p w14:paraId="791CA504" w14:textId="77777777" w:rsidR="00FA0945" w:rsidRPr="000C5235" w:rsidRDefault="00FA0945">
      <w:pPr>
        <w:pStyle w:val="Bullet1"/>
      </w:pPr>
      <w:r w:rsidRPr="000C5235">
        <w:t>the URL address where the portfolio will post its PB Statements</w:t>
      </w:r>
    </w:p>
    <w:p w14:paraId="5AF384BC" w14:textId="77777777" w:rsidR="00FA0945" w:rsidRPr="000C5235" w:rsidRDefault="00FA0945">
      <w:pPr>
        <w:pStyle w:val="Bullet1"/>
      </w:pPr>
      <w:r w:rsidRPr="000C5235">
        <w:t>contact details for the author of the PB Statements</w:t>
      </w:r>
      <w:r w:rsidR="004B5F4F" w:rsidRPr="000C5235">
        <w:t xml:space="preserve"> </w:t>
      </w:r>
    </w:p>
    <w:p w14:paraId="4B380AEB" w14:textId="77777777" w:rsidR="00FA0945" w:rsidRPr="000C5235" w:rsidRDefault="00FA0945">
      <w:pPr>
        <w:pStyle w:val="Bullet1"/>
      </w:pPr>
      <w:r w:rsidRPr="000C5235">
        <w:t>contact details for the portfolio’s webmaster.</w:t>
      </w:r>
    </w:p>
    <w:p w14:paraId="4007C56B" w14:textId="77777777" w:rsidR="00FA0945" w:rsidRPr="000C5235" w:rsidRDefault="00FA0945" w:rsidP="000A7DEC">
      <w:r w:rsidRPr="000C5235">
        <w:t>Portfolio departments should ensure the above information is forwarded on to their internal Web Publishing area for action.</w:t>
      </w:r>
    </w:p>
    <w:p w14:paraId="052D70DE" w14:textId="77777777" w:rsidR="00FA0945" w:rsidRPr="000C5235" w:rsidRDefault="00FA0945" w:rsidP="000A7DEC">
      <w:r w:rsidRPr="000C5235">
        <w:t xml:space="preserve">PB Statements </w:t>
      </w:r>
      <w:r w:rsidR="001C2FA8" w:rsidRPr="000C5235">
        <w:rPr>
          <w:u w:val="single"/>
        </w:rPr>
        <w:t xml:space="preserve">must </w:t>
      </w:r>
      <w:r w:rsidRPr="000C5235">
        <w:rPr>
          <w:u w:val="single"/>
        </w:rPr>
        <w:t>not</w:t>
      </w:r>
      <w:r w:rsidRPr="000C5235">
        <w:t xml:space="preserve"> be uploaded onto portfolio department’s websites </w:t>
      </w:r>
      <w:r w:rsidRPr="000C5235">
        <w:rPr>
          <w:u w:val="single"/>
        </w:rPr>
        <w:t>until they are tabled in the Senate</w:t>
      </w:r>
      <w:r w:rsidR="001C2FA8" w:rsidRPr="000C5235">
        <w:t>.</w:t>
      </w:r>
    </w:p>
    <w:p w14:paraId="3B4FA3B4" w14:textId="77777777" w:rsidR="00FA0945" w:rsidRPr="000C5235" w:rsidRDefault="00FA0945">
      <w:pPr>
        <w:pStyle w:val="Bullet1"/>
      </w:pPr>
      <w:r w:rsidRPr="000C5235">
        <w:t xml:space="preserve">Entities can check the tabling status by referring to the Department of the Senate’s </w:t>
      </w:r>
      <w:r w:rsidRPr="000C5235">
        <w:rPr>
          <w:i/>
        </w:rPr>
        <w:t>Order of Business - Dynamic Red</w:t>
      </w:r>
      <w:r w:rsidRPr="000C5235">
        <w:t xml:space="preserve"> page: </w:t>
      </w:r>
      <w:hyperlink r:id="rId40" w:history="1">
        <w:r w:rsidR="00890B06" w:rsidRPr="000C5235">
          <w:rPr>
            <w:rStyle w:val="Hyperlink"/>
            <w:rFonts w:cs="Times New Roman"/>
          </w:rPr>
          <w:t>www.aph.gov.au/Parliamentary_Business/Dynamic_Red</w:t>
        </w:r>
      </w:hyperlink>
      <w:r w:rsidRPr="000C5235">
        <w:t xml:space="preserve"> </w:t>
      </w:r>
    </w:p>
    <w:p w14:paraId="79480CED" w14:textId="77777777" w:rsidR="00FA0945" w:rsidRPr="000C5235" w:rsidRDefault="00FA0945">
      <w:pPr>
        <w:pStyle w:val="Bullet2"/>
      </w:pPr>
      <w:r w:rsidRPr="000C5235">
        <w:t>Portfolio departments are to scroll down the page until they find the note referencing</w:t>
      </w:r>
      <w:r w:rsidR="00A207C9" w:rsidRPr="000C5235">
        <w:t xml:space="preserve"> </w:t>
      </w:r>
      <w:r w:rsidRPr="000C5235">
        <w:t>the ‘</w:t>
      </w:r>
      <w:r w:rsidR="00AF7284" w:rsidRPr="000C5235">
        <w:t>2020-21</w:t>
      </w:r>
      <w:r w:rsidRPr="000C5235">
        <w:t xml:space="preserve"> Portfolio Budget Statements’. The light red column on the </w:t>
      </w:r>
      <w:r w:rsidR="00FD4BA3" w:rsidRPr="000C5235">
        <w:t>right-hand</w:t>
      </w:r>
      <w:r w:rsidRPr="000C5235">
        <w:t xml:space="preserve"> side of the entry will show the time the documents were tabled</w:t>
      </w:r>
      <w:r w:rsidR="00D00240" w:rsidRPr="000C5235">
        <w:t xml:space="preserve">, </w:t>
      </w:r>
      <w:r w:rsidRPr="000C5235">
        <w:rPr>
          <w:u w:val="single"/>
        </w:rPr>
        <w:t>no</w:t>
      </w:r>
      <w:r w:rsidRPr="000C5235">
        <w:t xml:space="preserve"> Portfolio will be separately identified</w:t>
      </w:r>
    </w:p>
    <w:p w14:paraId="5C24C673" w14:textId="77777777" w:rsidR="00FA0945" w:rsidRPr="000C5235" w:rsidRDefault="00FA0945">
      <w:pPr>
        <w:pStyle w:val="Bullet2"/>
      </w:pPr>
      <w:r w:rsidRPr="000C5235">
        <w:t xml:space="preserve">It is anticipated that this notice will appear on the </w:t>
      </w:r>
      <w:r w:rsidRPr="000C5235">
        <w:rPr>
          <w:b/>
        </w:rPr>
        <w:t>Dynamic Red website</w:t>
      </w:r>
      <w:r w:rsidRPr="000C5235">
        <w:t xml:space="preserve"> around </w:t>
      </w:r>
      <w:r w:rsidRPr="000C5235">
        <w:rPr>
          <w:u w:val="single"/>
        </w:rPr>
        <w:t>8.15pm Tuesday</w:t>
      </w:r>
      <w:r w:rsidR="00527B86" w:rsidRPr="000C5235">
        <w:rPr>
          <w:u w:val="single"/>
        </w:rPr>
        <w:t xml:space="preserve">, </w:t>
      </w:r>
      <w:r w:rsidR="00F14A6E" w:rsidRPr="000C5235">
        <w:rPr>
          <w:u w:val="single"/>
        </w:rPr>
        <w:t>6</w:t>
      </w:r>
      <w:r w:rsidR="008F2F7F" w:rsidRPr="000C5235">
        <w:rPr>
          <w:u w:val="single"/>
        </w:rPr>
        <w:t xml:space="preserve"> October</w:t>
      </w:r>
      <w:r w:rsidR="00AF7284" w:rsidRPr="000C5235">
        <w:rPr>
          <w:u w:val="single"/>
        </w:rPr>
        <w:t xml:space="preserve"> 2020</w:t>
      </w:r>
      <w:r w:rsidRPr="000C5235">
        <w:t>. If there is any doubt as to whether the PB</w:t>
      </w:r>
      <w:r w:rsidR="00A667A6" w:rsidRPr="000C5235">
        <w:t> </w:t>
      </w:r>
      <w:r w:rsidRPr="000C5235">
        <w:t>Statements have been tabled, please call the Senate enquiries number (</w:t>
      </w:r>
      <w:r w:rsidR="00BA0046" w:rsidRPr="000C5235">
        <w:t xml:space="preserve">on </w:t>
      </w:r>
      <w:r w:rsidRPr="000C5235">
        <w:t>(02) 6277 3010) wh</w:t>
      </w:r>
      <w:r w:rsidR="00A207C9" w:rsidRPr="000C5235">
        <w:t>ich</w:t>
      </w:r>
      <w:r w:rsidRPr="000C5235">
        <w:t xml:space="preserve"> will be able to provide the necessary advice.</w:t>
      </w:r>
    </w:p>
    <w:p w14:paraId="09DE086A" w14:textId="77777777" w:rsidR="00FA0945" w:rsidRPr="000C5235" w:rsidRDefault="00D00240" w:rsidP="000A7DEC">
      <w:r w:rsidRPr="000C5235">
        <w:t>T</w:t>
      </w:r>
      <w:r w:rsidR="00FA0945" w:rsidRPr="000C5235">
        <w:t xml:space="preserve">he PB Statements </w:t>
      </w:r>
      <w:r w:rsidR="00FA0945" w:rsidRPr="000C5235">
        <w:rPr>
          <w:b/>
          <w:u w:val="single"/>
        </w:rPr>
        <w:t>are not</w:t>
      </w:r>
      <w:r w:rsidR="00FA0945" w:rsidRPr="000C5235">
        <w:t xml:space="preserve"> archived on the Budget.gov.au website – portfolio departments should ensure electronic copies of past PB Statements remain available on their websites. </w:t>
      </w:r>
    </w:p>
    <w:p w14:paraId="25F58DCC" w14:textId="77777777" w:rsidR="00FA0945" w:rsidRPr="000C5235" w:rsidRDefault="00FA0945" w:rsidP="000A7DEC">
      <w:pPr>
        <w:pStyle w:val="Heading4nonumbers"/>
      </w:pPr>
      <w:r w:rsidRPr="000C5235">
        <w:t>Standard file-naming convention</w:t>
      </w:r>
    </w:p>
    <w:p w14:paraId="584D82EE" w14:textId="77777777" w:rsidR="00FA0945" w:rsidRPr="000C5235" w:rsidRDefault="00FA0945" w:rsidP="000A7DEC">
      <w:r w:rsidRPr="000C5235">
        <w:t xml:space="preserve">Portfolios should follow a consistent file-naming convention for electronic copies of the </w:t>
      </w:r>
      <w:r w:rsidR="00C20907" w:rsidRPr="000C5235">
        <w:t>PB </w:t>
      </w:r>
      <w:r w:rsidRPr="000C5235">
        <w:t xml:space="preserve">Statements as outlined below to aid file comprehension and retrieval for readers who download the documents, and to remove the confusion that occurs when files are not clearly named or numbered. </w:t>
      </w:r>
    </w:p>
    <w:p w14:paraId="30A4CAAA" w14:textId="77777777" w:rsidR="00FA0945" w:rsidRPr="000C5235" w:rsidRDefault="00FA0945" w:rsidP="000A7DEC">
      <w:r w:rsidRPr="000C5235">
        <w:t xml:space="preserve">An example of the recommended convention is: </w:t>
      </w:r>
    </w:p>
    <w:p w14:paraId="3CFFAC4E" w14:textId="77777777" w:rsidR="00FA0945" w:rsidRPr="000C5235" w:rsidRDefault="00FA0945">
      <w:pPr>
        <w:pStyle w:val="IndentBlueText"/>
      </w:pPr>
      <w:r w:rsidRPr="000C5235">
        <w:t>FinancialYear</w:t>
      </w:r>
      <w:r w:rsidR="00D7275E" w:rsidRPr="000C5235">
        <w:t>_</w:t>
      </w:r>
      <w:r w:rsidRPr="000C5235">
        <w:t>Portfolio</w:t>
      </w:r>
      <w:r w:rsidR="00D7275E" w:rsidRPr="000C5235">
        <w:t>_</w:t>
      </w:r>
      <w:r w:rsidRPr="000C5235">
        <w:t>PBS</w:t>
      </w:r>
      <w:r w:rsidR="00D7275E" w:rsidRPr="000C5235">
        <w:t>_</w:t>
      </w:r>
      <w:r w:rsidRPr="000C5235">
        <w:t>a file sequence number (</w:t>
      </w:r>
      <w:r w:rsidR="00E10C89" w:rsidRPr="000C5235">
        <w:t>ie</w:t>
      </w:r>
      <w:r w:rsidRPr="000C5235">
        <w:t xml:space="preserve"> 01, 02 etc)</w:t>
      </w:r>
      <w:r w:rsidR="00D7275E" w:rsidRPr="000C5235">
        <w:t>_</w:t>
      </w:r>
      <w:r w:rsidRPr="000C5235">
        <w:t>Chapter Number (or entity name/acronym, etc)</w:t>
      </w:r>
    </w:p>
    <w:p w14:paraId="3782104B" w14:textId="77777777" w:rsidR="00FA0945" w:rsidRPr="000C5235" w:rsidRDefault="00FA0945" w:rsidP="000A7DEC">
      <w:r w:rsidRPr="000C5235">
        <w:t>Examples would be:</w:t>
      </w:r>
    </w:p>
    <w:p w14:paraId="13B7CC90" w14:textId="77777777" w:rsidR="00FA0945" w:rsidRPr="000C5235" w:rsidRDefault="00D7275E">
      <w:pPr>
        <w:pStyle w:val="IndentBlueText"/>
      </w:pPr>
      <w:r w:rsidRPr="000C5235">
        <w:t>2020-21</w:t>
      </w:r>
      <w:r w:rsidR="00FA0945" w:rsidRPr="000C5235">
        <w:t>_</w:t>
      </w:r>
      <w:r w:rsidRPr="000C5235">
        <w:t>Finance</w:t>
      </w:r>
      <w:r w:rsidR="00FA0945" w:rsidRPr="000C5235">
        <w:t>_PBS_01_Parts_A_and_B</w:t>
      </w:r>
    </w:p>
    <w:p w14:paraId="0D2F7673" w14:textId="77777777" w:rsidR="00FA0945" w:rsidRPr="000C5235" w:rsidRDefault="002150D3">
      <w:pPr>
        <w:pStyle w:val="IndentBlueText"/>
      </w:pPr>
      <w:r w:rsidRPr="000C5235">
        <w:t>2020-21</w:t>
      </w:r>
      <w:r w:rsidR="00FA0945" w:rsidRPr="000C5235">
        <w:t>_</w:t>
      </w:r>
      <w:r w:rsidRPr="000C5235">
        <w:t>Finance</w:t>
      </w:r>
      <w:r w:rsidR="00FA0945" w:rsidRPr="000C5235">
        <w:t>_PBS_</w:t>
      </w:r>
      <w:r w:rsidR="00D65C76" w:rsidRPr="000C5235">
        <w:t>0</w:t>
      </w:r>
      <w:r w:rsidRPr="000C5235">
        <w:t>2</w:t>
      </w:r>
      <w:r w:rsidR="00FA0945" w:rsidRPr="000C5235">
        <w:t>_A</w:t>
      </w:r>
      <w:r w:rsidRPr="000C5235">
        <w:t>EC</w:t>
      </w:r>
    </w:p>
    <w:p w14:paraId="70DFCDDA" w14:textId="77777777" w:rsidR="00FA0945" w:rsidRPr="000C5235" w:rsidRDefault="002150D3">
      <w:pPr>
        <w:pStyle w:val="IndentBlueText"/>
      </w:pPr>
      <w:r w:rsidRPr="000C5235">
        <w:t>2020-21</w:t>
      </w:r>
      <w:r w:rsidR="00FA0945" w:rsidRPr="000C5235">
        <w:t>_</w:t>
      </w:r>
      <w:r w:rsidR="00D65C76" w:rsidRPr="000C5235">
        <w:t>Finance</w:t>
      </w:r>
      <w:r w:rsidR="00FA0945" w:rsidRPr="000C5235">
        <w:t>_PBS_0</w:t>
      </w:r>
      <w:r w:rsidR="00D65C76" w:rsidRPr="000C5235">
        <w:t>3</w:t>
      </w:r>
      <w:r w:rsidR="00FA0945" w:rsidRPr="000C5235">
        <w:t>_Outcome</w:t>
      </w:r>
      <w:r w:rsidR="00D65C76" w:rsidRPr="000C5235">
        <w:t>1</w:t>
      </w:r>
    </w:p>
    <w:p w14:paraId="54E90740" w14:textId="77777777" w:rsidR="00AF3133" w:rsidRPr="000C5235" w:rsidRDefault="00FA0945" w:rsidP="000A7DEC">
      <w:r w:rsidRPr="000C5235">
        <w:t>The file sequence number simply indicates which file would be read first, second, third etc if the document were read like a book.</w:t>
      </w:r>
    </w:p>
    <w:p w14:paraId="0AC80130" w14:textId="77777777" w:rsidR="00FA0945" w:rsidRPr="000C5235" w:rsidRDefault="00FA0945" w:rsidP="000A7DEC">
      <w:r w:rsidRPr="000C5235">
        <w:t>Naming the files in this way means that the order of files downloaded into a sub-directory would be the same order as the order of presentation of chapters in the PB Statements.</w:t>
      </w:r>
      <w:r w:rsidR="00AF3133" w:rsidRPr="000C5235">
        <w:t xml:space="preserve"> </w:t>
      </w:r>
      <w:r w:rsidRPr="000C5235">
        <w:t>This would result in the electronic files being listed in the same order as the printed chapters, and therefore easier and more intuitive navigation for those accessing the files.</w:t>
      </w:r>
    </w:p>
    <w:p w14:paraId="35E2473C" w14:textId="77777777" w:rsidR="00FA0945" w:rsidRPr="000C5235" w:rsidRDefault="00FA0945" w:rsidP="00811FCA">
      <w:pPr>
        <w:pStyle w:val="Heading3Numbered"/>
      </w:pPr>
      <w:bookmarkStart w:id="356" w:name="_Toc47951217"/>
      <w:r w:rsidRPr="000C5235">
        <w:t xml:space="preserve">Open </w:t>
      </w:r>
      <w:r w:rsidR="0079648C" w:rsidRPr="000C5235">
        <w:t>g</w:t>
      </w:r>
      <w:r w:rsidRPr="000C5235">
        <w:t xml:space="preserve">overnment </w:t>
      </w:r>
      <w:r w:rsidR="0079648C" w:rsidRPr="000C5235">
        <w:t>i</w:t>
      </w:r>
      <w:r w:rsidRPr="000C5235">
        <w:t>nitiative publication on data.gov.au</w:t>
      </w:r>
      <w:bookmarkEnd w:id="356"/>
    </w:p>
    <w:p w14:paraId="44D3967F" w14:textId="77777777" w:rsidR="00FA0945" w:rsidRPr="000C5235" w:rsidRDefault="00FA0945" w:rsidP="000A7DEC">
      <w:r w:rsidRPr="000C5235">
        <w:t xml:space="preserve">As part of the Government’s </w:t>
      </w:r>
      <w:r w:rsidRPr="000C5235">
        <w:rPr>
          <w:i/>
        </w:rPr>
        <w:t>Open Government</w:t>
      </w:r>
      <w:r w:rsidRPr="000C5235">
        <w:t xml:space="preserve"> initiative to increase Budget transparency, portfolio departments are required to provide a copy of finalised PB Statements tables for publication on data.gov.au</w:t>
      </w:r>
      <w:r w:rsidR="007D05E4" w:rsidRPr="000C5235">
        <w:t>.</w:t>
      </w:r>
      <w:r w:rsidR="005F01DF" w:rsidRPr="000C5235">
        <w:t xml:space="preserve">  </w:t>
      </w:r>
      <w:r w:rsidR="007D05E4" w:rsidRPr="000C5235">
        <w:t>Portfolio departments have the option for using Creative Commons BY 4.0. Finance templates by default use Creative Commons BY 3.0. This was confirmed by the Department of Treasury who sought legal advice in continuing to use Creative Commons BY 3.0.</w:t>
      </w:r>
    </w:p>
    <w:p w14:paraId="04416DD7" w14:textId="77777777" w:rsidR="00FA0945" w:rsidRPr="000C5235" w:rsidRDefault="00FA0945" w:rsidP="000A7DEC">
      <w:r w:rsidRPr="000C5235">
        <w:t xml:space="preserve">The PB Statements tables, as received from portfolios, will be published on data.gov.au in Excel workbook format, with a separate workbook for each entity. </w:t>
      </w:r>
    </w:p>
    <w:p w14:paraId="5D1F9391" w14:textId="77777777" w:rsidR="00FA0945" w:rsidRPr="000C5235" w:rsidRDefault="00FA0945" w:rsidP="000A7DEC">
      <w:r w:rsidRPr="000C5235">
        <w:t xml:space="preserve">The collection of PB Statements financial tables will be published in machine-readable format to assist those who wish to analyse the financial information.  </w:t>
      </w:r>
    </w:p>
    <w:p w14:paraId="1F6CFFF0" w14:textId="77777777" w:rsidR="00FA0945" w:rsidRPr="000C5235" w:rsidRDefault="00FA0945" w:rsidP="00BD6313">
      <w:pPr>
        <w:suppressAutoHyphens w:val="0"/>
        <w:spacing w:before="0" w:after="120" w:line="440" w:lineRule="atLeast"/>
      </w:pPr>
      <w:r w:rsidRPr="000C5235">
        <w:t xml:space="preserve">The following financial tables </w:t>
      </w:r>
      <w:r w:rsidRPr="000C5235">
        <w:rPr>
          <w:u w:val="single"/>
        </w:rPr>
        <w:t>with headings and footnotes</w:t>
      </w:r>
      <w:r w:rsidRPr="000C5235">
        <w:t xml:space="preserve"> will be published on data.gov.au:</w:t>
      </w:r>
    </w:p>
    <w:p w14:paraId="33A360FF" w14:textId="77777777" w:rsidR="00FA0945" w:rsidRPr="000C5235" w:rsidRDefault="00FA0945">
      <w:pPr>
        <w:pStyle w:val="Bullet1"/>
      </w:pPr>
      <w:r w:rsidRPr="000C5235">
        <w:t>Table 1.1: Entity resource statement</w:t>
      </w:r>
    </w:p>
    <w:p w14:paraId="1DCCE311" w14:textId="77777777" w:rsidR="00FA0945" w:rsidRPr="000C5235" w:rsidRDefault="00FA0945">
      <w:pPr>
        <w:pStyle w:val="Bullet1"/>
      </w:pPr>
      <w:r w:rsidRPr="000C5235">
        <w:t xml:space="preserve">Table 1.2: Entity </w:t>
      </w:r>
      <w:r w:rsidR="003D070A" w:rsidRPr="000C5235">
        <w:t>2020-21</w:t>
      </w:r>
      <w:r w:rsidRPr="000C5235">
        <w:t xml:space="preserve"> Budget measures</w:t>
      </w:r>
    </w:p>
    <w:p w14:paraId="582FC124" w14:textId="77777777" w:rsidR="00FA0945" w:rsidRPr="000C5235" w:rsidRDefault="00FA0945">
      <w:pPr>
        <w:pStyle w:val="Bullet1"/>
      </w:pPr>
      <w:r w:rsidRPr="000C5235">
        <w:t>Table 2.X.1: Budgeted expenses for Outcome X</w:t>
      </w:r>
    </w:p>
    <w:p w14:paraId="3B11643C" w14:textId="77777777" w:rsidR="00FA0945" w:rsidRPr="000C5235" w:rsidRDefault="00FA0945">
      <w:pPr>
        <w:pStyle w:val="Bullet1"/>
      </w:pPr>
      <w:r w:rsidRPr="000C5235">
        <w:t>Table 2.X.2: Program components</w:t>
      </w:r>
    </w:p>
    <w:p w14:paraId="253F29B1" w14:textId="77777777" w:rsidR="00FA0945" w:rsidRPr="000C5235" w:rsidRDefault="00FA0945">
      <w:pPr>
        <w:pStyle w:val="Bullet1"/>
      </w:pPr>
      <w:r w:rsidRPr="000C5235">
        <w:t>Table 3.1 to 3.6: Departmental budgeted financial statements</w:t>
      </w:r>
    </w:p>
    <w:p w14:paraId="032F2141" w14:textId="77777777" w:rsidR="00FA0945" w:rsidRPr="000C5235" w:rsidRDefault="00FA0945">
      <w:pPr>
        <w:pStyle w:val="Bullet1"/>
      </w:pPr>
      <w:r w:rsidRPr="000C5235">
        <w:t>Table 3.7 to 3.11: Administered budgeted financial statements.</w:t>
      </w:r>
    </w:p>
    <w:p w14:paraId="421B65B2" w14:textId="77777777" w:rsidR="00FA0945" w:rsidRPr="000C5235" w:rsidRDefault="00FA0945" w:rsidP="000A7DEC">
      <w:r w:rsidRPr="000C5235">
        <w:t>Where an entity prepares two or more sets of tables, (for example Departmental budgeted financial statements consolidated and non-consolidated), these tables should be included and clearly marked.</w:t>
      </w:r>
    </w:p>
    <w:p w14:paraId="30194884" w14:textId="77777777" w:rsidR="005F590D" w:rsidRPr="000C5235" w:rsidRDefault="00FA0945">
      <w:pPr>
        <w:rPr>
          <w:b/>
        </w:rPr>
      </w:pPr>
      <w:r w:rsidRPr="000C5235">
        <w:t xml:space="preserve">As PB Statements information is under embargo until tabled in Parliament, portfolio departments </w:t>
      </w:r>
      <w:r w:rsidR="0049098A" w:rsidRPr="000C5235">
        <w:t>will need to</w:t>
      </w:r>
      <w:r w:rsidRPr="000C5235">
        <w:t xml:space="preserve"> send them to Finance either via CabNet or Protected-rated email to </w:t>
      </w:r>
      <w:hyperlink r:id="rId41" w:history="1">
        <w:r w:rsidR="008D5F47" w:rsidRPr="000C5235">
          <w:rPr>
            <w:rStyle w:val="Hyperlink"/>
            <w:rFonts w:asciiTheme="minorHAnsi" w:hAnsiTheme="minorHAnsi" w:cs="Times New Roman"/>
          </w:rPr>
          <w:t>Budget_Framework@finance.gov.au</w:t>
        </w:r>
      </w:hyperlink>
      <w:r w:rsidR="008D5F47" w:rsidRPr="000C5235">
        <w:t xml:space="preserve"> </w:t>
      </w:r>
      <w:r w:rsidRPr="000C5235">
        <w:t xml:space="preserve">by </w:t>
      </w:r>
      <w:r w:rsidR="003B402B" w:rsidRPr="000C5235">
        <w:rPr>
          <w:b/>
        </w:rPr>
        <w:t>9</w:t>
      </w:r>
      <w:r w:rsidR="003D5356" w:rsidRPr="000C5235">
        <w:rPr>
          <w:b/>
        </w:rPr>
        <w:t>a</w:t>
      </w:r>
      <w:r w:rsidR="003B402B" w:rsidRPr="000C5235">
        <w:rPr>
          <w:b/>
        </w:rPr>
        <w:t>m</w:t>
      </w:r>
      <w:r w:rsidR="00171829" w:rsidRPr="000C5235">
        <w:rPr>
          <w:b/>
        </w:rPr>
        <w:t xml:space="preserve"> </w:t>
      </w:r>
      <w:r w:rsidR="003B402B" w:rsidRPr="000C5235">
        <w:rPr>
          <w:b/>
        </w:rPr>
        <w:t>Tuesday</w:t>
      </w:r>
      <w:r w:rsidR="00171829" w:rsidRPr="000C5235">
        <w:rPr>
          <w:b/>
        </w:rPr>
        <w:t xml:space="preserve">, </w:t>
      </w:r>
      <w:r w:rsidR="009379A4" w:rsidRPr="000C5235">
        <w:rPr>
          <w:b/>
        </w:rPr>
        <w:t>6</w:t>
      </w:r>
      <w:r w:rsidR="008F2F7F" w:rsidRPr="000C5235">
        <w:rPr>
          <w:b/>
        </w:rPr>
        <w:t xml:space="preserve"> October</w:t>
      </w:r>
      <w:r w:rsidR="003D070A" w:rsidRPr="000C5235">
        <w:rPr>
          <w:b/>
        </w:rPr>
        <w:t xml:space="preserve"> 2020</w:t>
      </w:r>
      <w:r w:rsidRPr="000C5235">
        <w:rPr>
          <w:b/>
        </w:rPr>
        <w:t>.</w:t>
      </w:r>
    </w:p>
    <w:p w14:paraId="54FFBB2E" w14:textId="77777777" w:rsidR="00FA0945" w:rsidRPr="000C5235" w:rsidRDefault="00FA0945">
      <w:r w:rsidRPr="000C5235">
        <w:t xml:space="preserve">Portfolio departments </w:t>
      </w:r>
      <w:r w:rsidRPr="000C5235">
        <w:rPr>
          <w:u w:val="single"/>
        </w:rPr>
        <w:t>must</w:t>
      </w:r>
      <w:r w:rsidRPr="000C5235">
        <w:t xml:space="preserve"> undertake the following procedures prior to sending the financial</w:t>
      </w:r>
      <w:r w:rsidR="00197B62" w:rsidRPr="000C5235">
        <w:t xml:space="preserve"> </w:t>
      </w:r>
      <w:r w:rsidRPr="000C5235">
        <w:t>tables to Finance</w:t>
      </w:r>
      <w:r w:rsidR="00A368E7" w:rsidRPr="000C5235">
        <w:t>:</w:t>
      </w:r>
    </w:p>
    <w:p w14:paraId="71BCBBA2" w14:textId="77777777" w:rsidR="00FA0945" w:rsidRPr="000C5235" w:rsidRDefault="00FA0945">
      <w:pPr>
        <w:pStyle w:val="Numbered"/>
        <w:numPr>
          <w:ilvl w:val="0"/>
          <w:numId w:val="227"/>
        </w:numPr>
      </w:pPr>
      <w:r w:rsidRPr="000C5235">
        <w:t>Tables should be in one Excel workbook per entity</w:t>
      </w:r>
    </w:p>
    <w:p w14:paraId="70773394" w14:textId="77777777" w:rsidR="00FA0945" w:rsidRPr="000C5235" w:rsidRDefault="00FA0945">
      <w:pPr>
        <w:pStyle w:val="Numbered"/>
        <w:numPr>
          <w:ilvl w:val="0"/>
          <w:numId w:val="227"/>
        </w:numPr>
      </w:pPr>
      <w:r w:rsidRPr="000C5235">
        <w:t>Tables should be presented using the wrap-text function</w:t>
      </w:r>
    </w:p>
    <w:p w14:paraId="2802AD2D" w14:textId="77777777" w:rsidR="00171829" w:rsidRPr="000C5235" w:rsidRDefault="00171829">
      <w:pPr>
        <w:pStyle w:val="Numbered"/>
        <w:numPr>
          <w:ilvl w:val="0"/>
          <w:numId w:val="227"/>
        </w:numPr>
      </w:pPr>
      <w:r w:rsidRPr="000C5235">
        <w:t>Tables should not be merged in any way</w:t>
      </w:r>
    </w:p>
    <w:p w14:paraId="09BA6D4B" w14:textId="77777777" w:rsidR="00FA0945" w:rsidRPr="000C5235" w:rsidRDefault="00FA0945">
      <w:pPr>
        <w:pStyle w:val="Numbered"/>
        <w:numPr>
          <w:ilvl w:val="0"/>
          <w:numId w:val="227"/>
        </w:numPr>
      </w:pPr>
      <w:r w:rsidRPr="000C5235">
        <w:t>Figures in tables are rounded and presented in thousands</w:t>
      </w:r>
    </w:p>
    <w:p w14:paraId="4FFF96D5" w14:textId="77777777" w:rsidR="00FA0945" w:rsidRPr="000C5235" w:rsidRDefault="00FA0945">
      <w:pPr>
        <w:pStyle w:val="Numbered"/>
        <w:numPr>
          <w:ilvl w:val="0"/>
          <w:numId w:val="227"/>
        </w:numPr>
      </w:pPr>
      <w:r w:rsidRPr="000C5235">
        <w:t>Figures in tables are correct and the same as those presented in the publication</w:t>
      </w:r>
    </w:p>
    <w:p w14:paraId="1B4A5940" w14:textId="77777777" w:rsidR="00FA0945" w:rsidRPr="000C5235" w:rsidRDefault="00FA0945">
      <w:pPr>
        <w:pStyle w:val="Numbered"/>
        <w:numPr>
          <w:ilvl w:val="0"/>
          <w:numId w:val="227"/>
        </w:numPr>
      </w:pPr>
      <w:r w:rsidRPr="000C5235">
        <w:t>Tables should be presented as text and figures</w:t>
      </w:r>
    </w:p>
    <w:p w14:paraId="0E4EA6FF" w14:textId="77777777" w:rsidR="00FA0945" w:rsidRPr="000C5235" w:rsidRDefault="00FA0945">
      <w:pPr>
        <w:pStyle w:val="Numbered"/>
        <w:numPr>
          <w:ilvl w:val="0"/>
          <w:numId w:val="227"/>
        </w:numPr>
      </w:pPr>
      <w:r w:rsidRPr="000C5235">
        <w:t>Links to other workbooks should be broken / removed</w:t>
      </w:r>
    </w:p>
    <w:p w14:paraId="7A6947B2" w14:textId="77777777" w:rsidR="00FA0945" w:rsidRPr="000C5235" w:rsidRDefault="00FA0945">
      <w:pPr>
        <w:pStyle w:val="Numbered"/>
        <w:numPr>
          <w:ilvl w:val="0"/>
          <w:numId w:val="227"/>
        </w:numPr>
      </w:pPr>
      <w:r w:rsidRPr="000C5235">
        <w:t>All hidden and working sheets, as well as cell comments, should be removed</w:t>
      </w:r>
    </w:p>
    <w:p w14:paraId="33F0674F" w14:textId="77777777" w:rsidR="00FA0945" w:rsidRPr="000C5235" w:rsidRDefault="00FA0945">
      <w:pPr>
        <w:pStyle w:val="Numbered"/>
        <w:numPr>
          <w:ilvl w:val="0"/>
          <w:numId w:val="227"/>
        </w:numPr>
      </w:pPr>
      <w:r w:rsidRPr="000C5235">
        <w:t>All hidden rows</w:t>
      </w:r>
      <w:r w:rsidR="00E43670" w:rsidRPr="000C5235">
        <w:t>, blank rows</w:t>
      </w:r>
      <w:r w:rsidRPr="000C5235">
        <w:t xml:space="preserve"> and columns should be removed</w:t>
      </w:r>
    </w:p>
    <w:p w14:paraId="28B80E0E" w14:textId="77777777" w:rsidR="00FA0945" w:rsidRPr="000C5235" w:rsidRDefault="00FA0945">
      <w:pPr>
        <w:pStyle w:val="Numbered"/>
        <w:numPr>
          <w:ilvl w:val="0"/>
          <w:numId w:val="227"/>
        </w:numPr>
      </w:pPr>
      <w:r w:rsidRPr="000C5235">
        <w:t>All passwords should be removed from the files</w:t>
      </w:r>
    </w:p>
    <w:p w14:paraId="37FFE616" w14:textId="77777777" w:rsidR="00FA0945" w:rsidRPr="000C5235" w:rsidRDefault="00FA0945">
      <w:pPr>
        <w:pStyle w:val="Numbered"/>
        <w:numPr>
          <w:ilvl w:val="0"/>
          <w:numId w:val="227"/>
        </w:numPr>
      </w:pPr>
      <w:r w:rsidRPr="000C5235">
        <w:t xml:space="preserve">Footnotes </w:t>
      </w:r>
      <w:r w:rsidR="00966796" w:rsidRPr="000C5235">
        <w:t xml:space="preserve">must be </w:t>
      </w:r>
      <w:r w:rsidRPr="000C5235">
        <w:t>in the correct format</w:t>
      </w:r>
      <w:r w:rsidR="00E43670" w:rsidRPr="000C5235">
        <w:t xml:space="preserve"> (one footnote per line)</w:t>
      </w:r>
    </w:p>
    <w:p w14:paraId="6F2A99E7" w14:textId="77777777" w:rsidR="00FA0945" w:rsidRPr="000C5235" w:rsidRDefault="00FA0945">
      <w:pPr>
        <w:pStyle w:val="Numbered"/>
        <w:numPr>
          <w:ilvl w:val="0"/>
          <w:numId w:val="227"/>
        </w:numPr>
      </w:pPr>
      <w:r w:rsidRPr="000C5235">
        <w:t>Footnotes should be pasted as text below the relevant tables, not as pictures</w:t>
      </w:r>
      <w:r w:rsidR="00966796" w:rsidRPr="000C5235">
        <w:t>.</w:t>
      </w:r>
    </w:p>
    <w:p w14:paraId="505F30CC" w14:textId="77777777" w:rsidR="00FA0945" w:rsidRPr="000C5235" w:rsidRDefault="00FA0945">
      <w:pPr>
        <w:pStyle w:val="Numbered"/>
        <w:numPr>
          <w:ilvl w:val="0"/>
          <w:numId w:val="227"/>
        </w:numPr>
      </w:pPr>
      <w:r w:rsidRPr="000C5235">
        <w:t>When portfolios table a corrigendum to the PB Statements (see Issuing corrigendum section below), updated tables should be provided to Finance following tabling for upload onto data.gov.au.</w:t>
      </w:r>
    </w:p>
    <w:p w14:paraId="6EDFE1F1" w14:textId="77777777" w:rsidR="00FA0945" w:rsidRPr="000C5235" w:rsidRDefault="00FA0945" w:rsidP="000A7DEC">
      <w:pPr>
        <w:rPr>
          <w:rStyle w:val="BodyTextChar"/>
        </w:rPr>
      </w:pPr>
      <w:r w:rsidRPr="000C5235">
        <w:rPr>
          <w:rStyle w:val="BodyTextChar"/>
        </w:rPr>
        <w:t>Finance will review the files to ensure they meet the above requirements and will return files to Portfolios for amendment if required, prior to publication on data.gov.au.</w:t>
      </w:r>
    </w:p>
    <w:p w14:paraId="1DEBC09B" w14:textId="77777777" w:rsidR="00FA0945" w:rsidRPr="000C5235" w:rsidRDefault="00FA0945">
      <w:pPr>
        <w:pStyle w:val="Bullet1"/>
      </w:pPr>
      <w:r w:rsidRPr="000C5235">
        <w:t>It is the portfolio departments’ responsibility to check the integrity of the data provided in each table and that it matches the published PB Statements.</w:t>
      </w:r>
    </w:p>
    <w:p w14:paraId="7848BD11" w14:textId="77777777" w:rsidR="006E5A47" w:rsidRPr="000C5235" w:rsidRDefault="00FA0945" w:rsidP="000A7DEC">
      <w:pPr>
        <w:rPr>
          <w:rStyle w:val="BodyTextChar"/>
        </w:rPr>
      </w:pPr>
      <w:r w:rsidRPr="000C5235">
        <w:rPr>
          <w:rStyle w:val="BodyTextChar"/>
        </w:rPr>
        <w:t xml:space="preserve">For information on data.gov.au please email </w:t>
      </w:r>
      <w:hyperlink r:id="rId42" w:history="1">
        <w:r w:rsidR="00966796" w:rsidRPr="000C5235">
          <w:rPr>
            <w:rStyle w:val="Hyperlink"/>
          </w:rPr>
          <w:t>data@digital.gov.au</w:t>
        </w:r>
      </w:hyperlink>
      <w:r w:rsidR="00171829" w:rsidRPr="000C5235">
        <w:rPr>
          <w:rStyle w:val="BodyTextChar"/>
        </w:rPr>
        <w:t>.</w:t>
      </w:r>
    </w:p>
    <w:p w14:paraId="198A2F50" w14:textId="77777777" w:rsidR="000457F9" w:rsidRPr="000C5235" w:rsidRDefault="000457F9" w:rsidP="00811FCA">
      <w:pPr>
        <w:pStyle w:val="Heading3Numbered"/>
      </w:pPr>
      <w:bookmarkStart w:id="357" w:name="_Ref46250929"/>
      <w:bookmarkStart w:id="358" w:name="_Ref46250933"/>
      <w:bookmarkStart w:id="359" w:name="_Toc47951218"/>
      <w:r w:rsidRPr="000C5235">
        <w:t>Checklist for preparing files for online publication on data.gov.au</w:t>
      </w:r>
      <w:bookmarkEnd w:id="357"/>
      <w:bookmarkEnd w:id="358"/>
      <w:bookmarkEnd w:id="359"/>
    </w:p>
    <w:p w14:paraId="6545C689" w14:textId="77777777" w:rsidR="000457F9" w:rsidRPr="000C5235" w:rsidRDefault="000457F9" w:rsidP="00811FCA">
      <w:pPr>
        <w:rPr>
          <w:rFonts w:cstheme="minorHAnsi"/>
          <w:sz w:val="24"/>
          <w:szCs w:val="32"/>
        </w:rPr>
      </w:pPr>
      <w:r w:rsidRPr="000C5235">
        <w:t>Prior to sending the files to Finance, Portfolios must check they have answered ‘yes’ to the following</w:t>
      </w:r>
      <w:r w:rsidRPr="000C5235">
        <w:rPr>
          <w:rFonts w:cstheme="minorHAnsi"/>
          <w:sz w:val="24"/>
          <w:szCs w:val="32"/>
        </w:rPr>
        <w:t>:</w:t>
      </w:r>
    </w:p>
    <w:tbl>
      <w:tblPr>
        <w:tblW w:w="9142" w:type="dxa"/>
        <w:tblLayout w:type="fixed"/>
        <w:tblCellMar>
          <w:left w:w="0" w:type="dxa"/>
          <w:right w:w="0" w:type="dxa"/>
        </w:tblCellMar>
        <w:tblLook w:val="01E0" w:firstRow="1" w:lastRow="1" w:firstColumn="1" w:lastColumn="1" w:noHBand="0" w:noVBand="0"/>
      </w:tblPr>
      <w:tblGrid>
        <w:gridCol w:w="279"/>
        <w:gridCol w:w="74"/>
        <w:gridCol w:w="232"/>
        <w:gridCol w:w="125"/>
        <w:gridCol w:w="8357"/>
        <w:gridCol w:w="75"/>
      </w:tblGrid>
      <w:tr w:rsidR="000457F9" w:rsidRPr="000C5235" w14:paraId="77F86567" w14:textId="77777777" w:rsidTr="00BD57F1">
        <w:trPr>
          <w:trHeight w:val="360"/>
        </w:trPr>
        <w:tc>
          <w:tcPr>
            <w:tcW w:w="353" w:type="dxa"/>
            <w:gridSpan w:val="2"/>
            <w:tcBorders>
              <w:top w:val="single" w:sz="4" w:space="0" w:color="000000"/>
              <w:left w:val="single" w:sz="4" w:space="0" w:color="000000"/>
            </w:tcBorders>
            <w:shd w:val="clear" w:color="auto" w:fill="DADADA"/>
          </w:tcPr>
          <w:p w14:paraId="40DE51A2" w14:textId="77777777" w:rsidR="000457F9" w:rsidRPr="000C5235" w:rsidRDefault="000457F9" w:rsidP="00145E47">
            <w:pPr>
              <w:pStyle w:val="TableParagraph"/>
              <w:spacing w:line="257" w:lineRule="exact"/>
              <w:ind w:left="-1" w:right="-100"/>
              <w:rPr>
                <w:lang w:val="en-AU"/>
              </w:rPr>
            </w:pPr>
            <w:r w:rsidRPr="000C5235">
              <w:rPr>
                <w:lang w:val="en-AU"/>
              </w:rPr>
              <w:t>1.</w:t>
            </w:r>
          </w:p>
        </w:tc>
        <w:tc>
          <w:tcPr>
            <w:tcW w:w="8789" w:type="dxa"/>
            <w:gridSpan w:val="4"/>
            <w:tcBorders>
              <w:top w:val="single" w:sz="4" w:space="0" w:color="000000"/>
              <w:right w:val="single" w:sz="4" w:space="0" w:color="000000"/>
            </w:tcBorders>
            <w:shd w:val="clear" w:color="auto" w:fill="DADADA"/>
          </w:tcPr>
          <w:p w14:paraId="2BEE81DA" w14:textId="77777777" w:rsidR="000457F9" w:rsidRPr="000C5235" w:rsidRDefault="000457F9" w:rsidP="00145E47">
            <w:pPr>
              <w:pStyle w:val="TableParagraph"/>
              <w:spacing w:line="257" w:lineRule="exact"/>
              <w:ind w:left="55"/>
              <w:rPr>
                <w:rFonts w:asciiTheme="minorHAnsi" w:hAnsiTheme="minorHAnsi" w:cstheme="minorHAnsi"/>
                <w:lang w:val="en-AU"/>
              </w:rPr>
            </w:pPr>
            <w:r w:rsidRPr="000C5235">
              <w:rPr>
                <w:rFonts w:asciiTheme="minorHAnsi" w:hAnsiTheme="minorHAnsi" w:cstheme="minorHAnsi"/>
                <w:lang w:val="en-AU"/>
              </w:rPr>
              <w:t>Tables are presented using the wrap-text function, and there are no merged cells.</w:t>
            </w:r>
          </w:p>
        </w:tc>
      </w:tr>
      <w:tr w:rsidR="000457F9" w:rsidRPr="000C5235" w14:paraId="37BA3C8B" w14:textId="77777777" w:rsidTr="00BD57F1">
        <w:trPr>
          <w:trHeight w:val="280"/>
        </w:trPr>
        <w:tc>
          <w:tcPr>
            <w:tcW w:w="353" w:type="dxa"/>
            <w:gridSpan w:val="2"/>
            <w:tcBorders>
              <w:left w:val="single" w:sz="4" w:space="0" w:color="000000"/>
            </w:tcBorders>
          </w:tcPr>
          <w:p w14:paraId="0F571F20" w14:textId="77777777" w:rsidR="000457F9" w:rsidRPr="000C5235" w:rsidRDefault="000457F9" w:rsidP="00145E47">
            <w:pPr>
              <w:pStyle w:val="TableParagraph"/>
              <w:rPr>
                <w:rFonts w:ascii="Times New Roman"/>
                <w:lang w:val="en-AU"/>
              </w:rPr>
            </w:pPr>
          </w:p>
        </w:tc>
        <w:tc>
          <w:tcPr>
            <w:tcW w:w="357" w:type="dxa"/>
            <w:gridSpan w:val="2"/>
          </w:tcPr>
          <w:p w14:paraId="1C51C819"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right w:val="single" w:sz="4" w:space="0" w:color="000000"/>
            </w:tcBorders>
          </w:tcPr>
          <w:p w14:paraId="087626C6"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2.</w:t>
            </w:r>
          </w:p>
        </w:tc>
      </w:tr>
      <w:tr w:rsidR="000457F9" w:rsidRPr="000C5235" w14:paraId="63850916" w14:textId="77777777" w:rsidTr="00BD57F1">
        <w:trPr>
          <w:trHeight w:val="640"/>
        </w:trPr>
        <w:tc>
          <w:tcPr>
            <w:tcW w:w="353" w:type="dxa"/>
            <w:gridSpan w:val="2"/>
            <w:tcBorders>
              <w:left w:val="single" w:sz="4" w:space="0" w:color="000000"/>
              <w:bottom w:val="single" w:sz="4" w:space="0" w:color="000000"/>
            </w:tcBorders>
          </w:tcPr>
          <w:p w14:paraId="7EB16653" w14:textId="77777777" w:rsidR="000457F9" w:rsidRPr="000C5235" w:rsidRDefault="000457F9" w:rsidP="00145E47">
            <w:pPr>
              <w:pStyle w:val="TableParagraph"/>
              <w:rPr>
                <w:rFonts w:ascii="Times New Roman"/>
                <w:lang w:val="en-AU"/>
              </w:rPr>
            </w:pPr>
          </w:p>
        </w:tc>
        <w:tc>
          <w:tcPr>
            <w:tcW w:w="357" w:type="dxa"/>
            <w:gridSpan w:val="2"/>
            <w:tcBorders>
              <w:bottom w:val="single" w:sz="4" w:space="0" w:color="000000"/>
            </w:tcBorders>
          </w:tcPr>
          <w:p w14:paraId="76AF8971" w14:textId="77777777" w:rsidR="000457F9" w:rsidRPr="000C5235" w:rsidRDefault="000457F9" w:rsidP="00145E47">
            <w:pPr>
              <w:pStyle w:val="TableParagraph"/>
              <w:spacing w:before="59"/>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bottom w:val="single" w:sz="4" w:space="0" w:color="000000"/>
              <w:right w:val="single" w:sz="4" w:space="0" w:color="000000"/>
            </w:tcBorders>
          </w:tcPr>
          <w:p w14:paraId="4738A7AA" w14:textId="77777777" w:rsidR="000457F9" w:rsidRPr="000C5235" w:rsidRDefault="000457F9" w:rsidP="00145E47">
            <w:pPr>
              <w:pStyle w:val="TableParagraph"/>
              <w:spacing w:before="61"/>
              <w:ind w:left="123" w:right="469"/>
              <w:rPr>
                <w:rFonts w:asciiTheme="minorHAnsi" w:hAnsiTheme="minorHAnsi" w:cstheme="minorHAnsi"/>
                <w:lang w:val="en-AU"/>
              </w:rPr>
            </w:pPr>
            <w:r w:rsidRPr="000C5235">
              <w:rPr>
                <w:rFonts w:asciiTheme="minorHAnsi" w:hAnsiTheme="minorHAnsi" w:cstheme="minorHAnsi"/>
                <w:lang w:val="en-AU"/>
              </w:rPr>
              <w:t>No – In Excel 2013 and later versions, select the cells, right click your mouse. Select “Format Cells”, click on “Alignment” tab; deselect ‘Merge cells’ and select “Wrap Text’.</w:t>
            </w:r>
          </w:p>
        </w:tc>
      </w:tr>
      <w:tr w:rsidR="000457F9" w:rsidRPr="000C5235" w14:paraId="008498FB" w14:textId="77777777" w:rsidTr="00BD57F1">
        <w:trPr>
          <w:trHeight w:val="360"/>
        </w:trPr>
        <w:tc>
          <w:tcPr>
            <w:tcW w:w="353" w:type="dxa"/>
            <w:gridSpan w:val="2"/>
            <w:tcBorders>
              <w:top w:val="single" w:sz="4" w:space="0" w:color="000000"/>
              <w:left w:val="single" w:sz="4" w:space="0" w:color="000000"/>
            </w:tcBorders>
            <w:shd w:val="clear" w:color="auto" w:fill="DADADA"/>
          </w:tcPr>
          <w:p w14:paraId="01BA7327" w14:textId="77777777" w:rsidR="000457F9" w:rsidRPr="000C5235" w:rsidRDefault="000457F9" w:rsidP="00145E47">
            <w:pPr>
              <w:pStyle w:val="TableParagraph"/>
              <w:spacing w:line="257" w:lineRule="exact"/>
              <w:ind w:left="-1"/>
              <w:rPr>
                <w:lang w:val="en-AU"/>
              </w:rPr>
            </w:pPr>
            <w:r w:rsidRPr="000C5235">
              <w:rPr>
                <w:lang w:val="en-AU"/>
              </w:rPr>
              <w:t>2.</w:t>
            </w:r>
          </w:p>
        </w:tc>
        <w:tc>
          <w:tcPr>
            <w:tcW w:w="8789" w:type="dxa"/>
            <w:gridSpan w:val="4"/>
            <w:tcBorders>
              <w:top w:val="single" w:sz="4" w:space="0" w:color="000000"/>
              <w:right w:val="single" w:sz="4" w:space="0" w:color="000000"/>
            </w:tcBorders>
            <w:shd w:val="clear" w:color="auto" w:fill="DADADA"/>
          </w:tcPr>
          <w:p w14:paraId="68E050B2" w14:textId="77777777" w:rsidR="000457F9" w:rsidRPr="000C5235" w:rsidRDefault="000457F9" w:rsidP="00145E47">
            <w:pPr>
              <w:pStyle w:val="TableParagraph"/>
              <w:spacing w:line="257" w:lineRule="exact"/>
              <w:ind w:left="55"/>
              <w:rPr>
                <w:rFonts w:asciiTheme="minorHAnsi" w:hAnsiTheme="minorHAnsi" w:cstheme="minorHAnsi"/>
                <w:lang w:val="en-AU"/>
              </w:rPr>
            </w:pPr>
            <w:r w:rsidRPr="000C5235">
              <w:rPr>
                <w:rFonts w:asciiTheme="minorHAnsi" w:hAnsiTheme="minorHAnsi" w:cstheme="minorHAnsi"/>
                <w:lang w:val="en-AU"/>
              </w:rPr>
              <w:t>Figures in Tables are rounded and presented in thousands.</w:t>
            </w:r>
          </w:p>
        </w:tc>
      </w:tr>
      <w:tr w:rsidR="000457F9" w:rsidRPr="000C5235" w14:paraId="5EBE9265" w14:textId="77777777" w:rsidTr="00BD57F1">
        <w:trPr>
          <w:trHeight w:val="280"/>
        </w:trPr>
        <w:tc>
          <w:tcPr>
            <w:tcW w:w="353" w:type="dxa"/>
            <w:gridSpan w:val="2"/>
            <w:tcBorders>
              <w:left w:val="single" w:sz="4" w:space="0" w:color="000000"/>
            </w:tcBorders>
          </w:tcPr>
          <w:p w14:paraId="79ED9744" w14:textId="77777777" w:rsidR="000457F9" w:rsidRPr="000C5235" w:rsidRDefault="000457F9" w:rsidP="00145E47">
            <w:pPr>
              <w:pStyle w:val="TableParagraph"/>
              <w:rPr>
                <w:rFonts w:ascii="Times New Roman"/>
                <w:lang w:val="en-AU"/>
              </w:rPr>
            </w:pPr>
          </w:p>
        </w:tc>
        <w:tc>
          <w:tcPr>
            <w:tcW w:w="357" w:type="dxa"/>
            <w:gridSpan w:val="2"/>
          </w:tcPr>
          <w:p w14:paraId="2AD113DA"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right w:val="single" w:sz="4" w:space="0" w:color="000000"/>
            </w:tcBorders>
          </w:tcPr>
          <w:p w14:paraId="31F352DC"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3.</w:t>
            </w:r>
          </w:p>
        </w:tc>
      </w:tr>
      <w:tr w:rsidR="000457F9" w:rsidRPr="000C5235" w14:paraId="0FF3C4C7" w14:textId="77777777" w:rsidTr="00BD57F1">
        <w:trPr>
          <w:trHeight w:val="400"/>
        </w:trPr>
        <w:tc>
          <w:tcPr>
            <w:tcW w:w="353" w:type="dxa"/>
            <w:gridSpan w:val="2"/>
            <w:tcBorders>
              <w:left w:val="single" w:sz="4" w:space="0" w:color="000000"/>
              <w:bottom w:val="single" w:sz="4" w:space="0" w:color="000000"/>
            </w:tcBorders>
          </w:tcPr>
          <w:p w14:paraId="500309AD" w14:textId="77777777" w:rsidR="000457F9" w:rsidRPr="000C5235" w:rsidRDefault="000457F9" w:rsidP="00145E47">
            <w:pPr>
              <w:pStyle w:val="TableParagraph"/>
              <w:rPr>
                <w:rFonts w:ascii="Times New Roman"/>
                <w:lang w:val="en-AU"/>
              </w:rPr>
            </w:pPr>
          </w:p>
        </w:tc>
        <w:tc>
          <w:tcPr>
            <w:tcW w:w="357" w:type="dxa"/>
            <w:gridSpan w:val="2"/>
            <w:tcBorders>
              <w:bottom w:val="single" w:sz="4" w:space="0" w:color="000000"/>
            </w:tcBorders>
          </w:tcPr>
          <w:p w14:paraId="1F971BA6" w14:textId="77777777" w:rsidR="000457F9" w:rsidRPr="000C5235" w:rsidRDefault="000457F9" w:rsidP="00145E47">
            <w:pPr>
              <w:pStyle w:val="TableParagraph"/>
              <w:spacing w:before="59"/>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bottom w:val="single" w:sz="4" w:space="0" w:color="000000"/>
              <w:right w:val="single" w:sz="4" w:space="0" w:color="000000"/>
            </w:tcBorders>
          </w:tcPr>
          <w:p w14:paraId="030C7511" w14:textId="77777777" w:rsidR="000457F9" w:rsidRPr="000C5235" w:rsidRDefault="000457F9" w:rsidP="00145E47">
            <w:pPr>
              <w:pStyle w:val="TableParagraph"/>
              <w:spacing w:before="61"/>
              <w:ind w:left="123"/>
              <w:rPr>
                <w:rFonts w:asciiTheme="minorHAnsi" w:hAnsiTheme="minorHAnsi" w:cstheme="minorHAnsi"/>
                <w:lang w:val="en-AU"/>
              </w:rPr>
            </w:pPr>
            <w:r w:rsidRPr="000C5235">
              <w:rPr>
                <w:rFonts w:asciiTheme="minorHAnsi" w:hAnsiTheme="minorHAnsi" w:cstheme="minorHAnsi"/>
                <w:lang w:val="en-AU"/>
              </w:rPr>
              <w:t>No – Use the ROUND() function when entering data into the tables.</w:t>
            </w:r>
          </w:p>
        </w:tc>
      </w:tr>
      <w:tr w:rsidR="000457F9" w:rsidRPr="000C5235" w14:paraId="6AEF2A4F" w14:textId="77777777" w:rsidTr="00BD57F1">
        <w:trPr>
          <w:trHeight w:val="360"/>
        </w:trPr>
        <w:tc>
          <w:tcPr>
            <w:tcW w:w="353" w:type="dxa"/>
            <w:gridSpan w:val="2"/>
            <w:tcBorders>
              <w:top w:val="single" w:sz="4" w:space="0" w:color="000000"/>
              <w:left w:val="single" w:sz="4" w:space="0" w:color="000000"/>
            </w:tcBorders>
            <w:shd w:val="clear" w:color="auto" w:fill="DADADA"/>
          </w:tcPr>
          <w:p w14:paraId="15D0B13B" w14:textId="77777777" w:rsidR="000457F9" w:rsidRPr="000C5235" w:rsidRDefault="000457F9" w:rsidP="00145E47">
            <w:pPr>
              <w:pStyle w:val="TableParagraph"/>
              <w:spacing w:line="257" w:lineRule="exact"/>
              <w:ind w:left="-1"/>
              <w:rPr>
                <w:lang w:val="en-AU"/>
              </w:rPr>
            </w:pPr>
            <w:r w:rsidRPr="000C5235">
              <w:rPr>
                <w:lang w:val="en-AU"/>
              </w:rPr>
              <w:t xml:space="preserve"> 3.</w:t>
            </w:r>
          </w:p>
        </w:tc>
        <w:tc>
          <w:tcPr>
            <w:tcW w:w="8789" w:type="dxa"/>
            <w:gridSpan w:val="4"/>
            <w:tcBorders>
              <w:top w:val="single" w:sz="4" w:space="0" w:color="000000"/>
              <w:right w:val="single" w:sz="4" w:space="0" w:color="000000"/>
            </w:tcBorders>
            <w:shd w:val="clear" w:color="auto" w:fill="DADADA"/>
          </w:tcPr>
          <w:p w14:paraId="022BF1FD" w14:textId="77777777" w:rsidR="000457F9" w:rsidRPr="000C5235" w:rsidRDefault="000457F9" w:rsidP="00145E47">
            <w:pPr>
              <w:pStyle w:val="TableParagraph"/>
              <w:spacing w:line="257" w:lineRule="exact"/>
              <w:ind w:left="55"/>
              <w:rPr>
                <w:rFonts w:asciiTheme="minorHAnsi" w:hAnsiTheme="minorHAnsi" w:cstheme="minorHAnsi"/>
                <w:lang w:val="en-AU"/>
              </w:rPr>
            </w:pPr>
            <w:r w:rsidRPr="000C5235">
              <w:rPr>
                <w:rFonts w:asciiTheme="minorHAnsi" w:hAnsiTheme="minorHAnsi" w:cstheme="minorHAnsi"/>
                <w:lang w:val="en-AU"/>
              </w:rPr>
              <w:t>Figures in Tables are correct and the same as what is printed in the PB Statements</w:t>
            </w:r>
          </w:p>
        </w:tc>
      </w:tr>
      <w:tr w:rsidR="000457F9" w:rsidRPr="000C5235" w14:paraId="2556C389" w14:textId="77777777" w:rsidTr="00BD57F1">
        <w:trPr>
          <w:trHeight w:val="280"/>
        </w:trPr>
        <w:tc>
          <w:tcPr>
            <w:tcW w:w="353" w:type="dxa"/>
            <w:gridSpan w:val="2"/>
            <w:tcBorders>
              <w:left w:val="single" w:sz="4" w:space="0" w:color="000000"/>
            </w:tcBorders>
          </w:tcPr>
          <w:p w14:paraId="743709C4" w14:textId="77777777" w:rsidR="000457F9" w:rsidRPr="000C5235" w:rsidRDefault="000457F9" w:rsidP="00145E47">
            <w:pPr>
              <w:pStyle w:val="TableParagraph"/>
              <w:rPr>
                <w:rFonts w:ascii="Times New Roman"/>
                <w:lang w:val="en-AU"/>
              </w:rPr>
            </w:pPr>
          </w:p>
        </w:tc>
        <w:tc>
          <w:tcPr>
            <w:tcW w:w="357" w:type="dxa"/>
            <w:gridSpan w:val="2"/>
          </w:tcPr>
          <w:p w14:paraId="7E7E98B7"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right w:val="single" w:sz="4" w:space="0" w:color="000000"/>
            </w:tcBorders>
          </w:tcPr>
          <w:p w14:paraId="59B58FB4"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4.</w:t>
            </w:r>
          </w:p>
        </w:tc>
      </w:tr>
      <w:tr w:rsidR="000457F9" w:rsidRPr="000C5235" w14:paraId="042F9896" w14:textId="77777777" w:rsidTr="00BD57F1">
        <w:trPr>
          <w:trHeight w:val="400"/>
        </w:trPr>
        <w:tc>
          <w:tcPr>
            <w:tcW w:w="353" w:type="dxa"/>
            <w:gridSpan w:val="2"/>
            <w:tcBorders>
              <w:left w:val="single" w:sz="4" w:space="0" w:color="000000"/>
              <w:bottom w:val="single" w:sz="4" w:space="0" w:color="000000"/>
            </w:tcBorders>
          </w:tcPr>
          <w:p w14:paraId="0C981BC4" w14:textId="77777777" w:rsidR="000457F9" w:rsidRPr="000C5235" w:rsidRDefault="000457F9" w:rsidP="00145E47">
            <w:pPr>
              <w:pStyle w:val="TableParagraph"/>
              <w:rPr>
                <w:rFonts w:ascii="Times New Roman"/>
                <w:lang w:val="en-AU"/>
              </w:rPr>
            </w:pPr>
          </w:p>
        </w:tc>
        <w:tc>
          <w:tcPr>
            <w:tcW w:w="357" w:type="dxa"/>
            <w:gridSpan w:val="2"/>
            <w:tcBorders>
              <w:bottom w:val="single" w:sz="4" w:space="0" w:color="000000"/>
            </w:tcBorders>
          </w:tcPr>
          <w:p w14:paraId="426DDC22" w14:textId="77777777" w:rsidR="000457F9" w:rsidRPr="000C5235" w:rsidRDefault="000457F9" w:rsidP="00145E47">
            <w:pPr>
              <w:pStyle w:val="TableParagraph"/>
              <w:spacing w:before="59"/>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bottom w:val="single" w:sz="4" w:space="0" w:color="000000"/>
              <w:right w:val="single" w:sz="4" w:space="0" w:color="000000"/>
            </w:tcBorders>
          </w:tcPr>
          <w:p w14:paraId="0BA2EB75" w14:textId="77777777" w:rsidR="000457F9" w:rsidRPr="000C5235" w:rsidRDefault="000457F9" w:rsidP="00145E47">
            <w:pPr>
              <w:pStyle w:val="TableParagraph"/>
              <w:spacing w:before="61"/>
              <w:ind w:left="123"/>
              <w:rPr>
                <w:rFonts w:asciiTheme="minorHAnsi" w:hAnsiTheme="minorHAnsi" w:cstheme="minorHAnsi"/>
                <w:lang w:val="en-AU"/>
              </w:rPr>
            </w:pPr>
            <w:r w:rsidRPr="000C5235">
              <w:rPr>
                <w:rFonts w:asciiTheme="minorHAnsi" w:hAnsiTheme="minorHAnsi" w:cstheme="minorHAnsi"/>
                <w:lang w:val="en-AU"/>
              </w:rPr>
              <w:t>No – Review differences and check formulas that all figures required are pulling through.</w:t>
            </w:r>
          </w:p>
        </w:tc>
      </w:tr>
      <w:tr w:rsidR="000457F9" w:rsidRPr="000C5235" w14:paraId="33865404" w14:textId="77777777" w:rsidTr="00BD57F1">
        <w:trPr>
          <w:trHeight w:val="360"/>
        </w:trPr>
        <w:tc>
          <w:tcPr>
            <w:tcW w:w="353" w:type="dxa"/>
            <w:gridSpan w:val="2"/>
            <w:tcBorders>
              <w:top w:val="single" w:sz="4" w:space="0" w:color="000000"/>
              <w:left w:val="single" w:sz="4" w:space="0" w:color="000000"/>
            </w:tcBorders>
            <w:shd w:val="clear" w:color="auto" w:fill="DADADA"/>
          </w:tcPr>
          <w:p w14:paraId="30FD64FF" w14:textId="77777777" w:rsidR="000457F9" w:rsidRPr="000C5235" w:rsidRDefault="000457F9" w:rsidP="00145E47">
            <w:pPr>
              <w:pStyle w:val="TableParagraph"/>
              <w:spacing w:line="257" w:lineRule="exact"/>
              <w:ind w:left="-1"/>
              <w:rPr>
                <w:lang w:val="en-AU"/>
              </w:rPr>
            </w:pPr>
            <w:r w:rsidRPr="000C5235">
              <w:rPr>
                <w:lang w:val="en-AU"/>
              </w:rPr>
              <w:br w:type="page"/>
              <w:t>4.</w:t>
            </w:r>
          </w:p>
        </w:tc>
        <w:tc>
          <w:tcPr>
            <w:tcW w:w="8789" w:type="dxa"/>
            <w:gridSpan w:val="4"/>
            <w:tcBorders>
              <w:top w:val="single" w:sz="4" w:space="0" w:color="000000"/>
              <w:right w:val="single" w:sz="4" w:space="0" w:color="000000"/>
            </w:tcBorders>
            <w:shd w:val="clear" w:color="auto" w:fill="DADADA"/>
          </w:tcPr>
          <w:p w14:paraId="04184E73" w14:textId="77777777" w:rsidR="000457F9" w:rsidRPr="000C5235" w:rsidRDefault="000457F9" w:rsidP="00145E47">
            <w:pPr>
              <w:pStyle w:val="TableParagraph"/>
              <w:spacing w:line="257" w:lineRule="exact"/>
              <w:ind w:left="55"/>
              <w:rPr>
                <w:rFonts w:asciiTheme="minorHAnsi" w:hAnsiTheme="minorHAnsi" w:cstheme="minorHAnsi"/>
                <w:lang w:val="en-AU"/>
              </w:rPr>
            </w:pPr>
            <w:r w:rsidRPr="000C5235">
              <w:rPr>
                <w:rFonts w:asciiTheme="minorHAnsi" w:hAnsiTheme="minorHAnsi" w:cstheme="minorHAnsi"/>
                <w:lang w:val="en-AU"/>
              </w:rPr>
              <w:t>Tables are presented as text and figures – they should not be pasted as pictures.</w:t>
            </w:r>
          </w:p>
        </w:tc>
      </w:tr>
      <w:tr w:rsidR="000457F9" w:rsidRPr="000C5235" w14:paraId="3135BB75" w14:textId="77777777" w:rsidTr="00BD57F1">
        <w:trPr>
          <w:trHeight w:val="280"/>
        </w:trPr>
        <w:tc>
          <w:tcPr>
            <w:tcW w:w="353" w:type="dxa"/>
            <w:gridSpan w:val="2"/>
            <w:tcBorders>
              <w:left w:val="single" w:sz="4" w:space="0" w:color="000000"/>
            </w:tcBorders>
          </w:tcPr>
          <w:p w14:paraId="4351E6CF" w14:textId="77777777" w:rsidR="000457F9" w:rsidRPr="000C5235" w:rsidRDefault="000457F9" w:rsidP="00145E47">
            <w:pPr>
              <w:pStyle w:val="TableParagraph"/>
              <w:rPr>
                <w:rFonts w:ascii="Times New Roman"/>
                <w:lang w:val="en-AU"/>
              </w:rPr>
            </w:pPr>
          </w:p>
        </w:tc>
        <w:tc>
          <w:tcPr>
            <w:tcW w:w="357" w:type="dxa"/>
            <w:gridSpan w:val="2"/>
          </w:tcPr>
          <w:p w14:paraId="3810665F"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right w:val="single" w:sz="4" w:space="0" w:color="000000"/>
            </w:tcBorders>
          </w:tcPr>
          <w:p w14:paraId="683415D0"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5.</w:t>
            </w:r>
          </w:p>
        </w:tc>
      </w:tr>
      <w:tr w:rsidR="000457F9" w:rsidRPr="000C5235" w14:paraId="5206C037" w14:textId="77777777" w:rsidTr="00BD57F1">
        <w:trPr>
          <w:trHeight w:val="880"/>
        </w:trPr>
        <w:tc>
          <w:tcPr>
            <w:tcW w:w="353" w:type="dxa"/>
            <w:gridSpan w:val="2"/>
            <w:tcBorders>
              <w:left w:val="single" w:sz="4" w:space="0" w:color="000000"/>
              <w:bottom w:val="single" w:sz="4" w:space="0" w:color="000000"/>
            </w:tcBorders>
          </w:tcPr>
          <w:p w14:paraId="75654ABF" w14:textId="77777777" w:rsidR="000457F9" w:rsidRPr="000C5235" w:rsidRDefault="000457F9" w:rsidP="00145E47">
            <w:pPr>
              <w:pStyle w:val="TableParagraph"/>
              <w:rPr>
                <w:rFonts w:ascii="Times New Roman"/>
                <w:lang w:val="en-AU"/>
              </w:rPr>
            </w:pPr>
          </w:p>
        </w:tc>
        <w:tc>
          <w:tcPr>
            <w:tcW w:w="357" w:type="dxa"/>
            <w:gridSpan w:val="2"/>
            <w:tcBorders>
              <w:bottom w:val="single" w:sz="4" w:space="0" w:color="000000"/>
            </w:tcBorders>
          </w:tcPr>
          <w:p w14:paraId="49F17A05" w14:textId="77777777" w:rsidR="000457F9" w:rsidRPr="000C5235" w:rsidRDefault="000457F9" w:rsidP="00145E47">
            <w:pPr>
              <w:pStyle w:val="TableParagraph"/>
              <w:spacing w:before="59"/>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bottom w:val="single" w:sz="4" w:space="0" w:color="000000"/>
              <w:right w:val="single" w:sz="4" w:space="0" w:color="000000"/>
            </w:tcBorders>
          </w:tcPr>
          <w:p w14:paraId="4FE2FCBD" w14:textId="77777777" w:rsidR="000457F9" w:rsidRPr="000C5235" w:rsidRDefault="000457F9" w:rsidP="00145E47">
            <w:pPr>
              <w:pStyle w:val="TableParagraph"/>
              <w:spacing w:before="61"/>
              <w:ind w:left="123" w:right="383"/>
              <w:rPr>
                <w:rFonts w:asciiTheme="minorHAnsi" w:hAnsiTheme="minorHAnsi" w:cstheme="minorHAnsi"/>
                <w:lang w:val="en-AU"/>
              </w:rPr>
            </w:pPr>
            <w:r w:rsidRPr="000C5235">
              <w:rPr>
                <w:rFonts w:asciiTheme="minorHAnsi" w:hAnsiTheme="minorHAnsi" w:cstheme="minorHAnsi"/>
                <w:lang w:val="en-AU"/>
              </w:rPr>
              <w:t>No – Tables will need to be pasted from the source (Excel) files as formatted text, rather than from the Word files. This may require you obtain copies of working spreadsheets from your portfolio entities.</w:t>
            </w:r>
          </w:p>
        </w:tc>
      </w:tr>
      <w:tr w:rsidR="000457F9" w:rsidRPr="000C5235" w14:paraId="15A71AFD" w14:textId="77777777" w:rsidTr="00BD57F1">
        <w:trPr>
          <w:trHeight w:val="360"/>
        </w:trPr>
        <w:tc>
          <w:tcPr>
            <w:tcW w:w="353" w:type="dxa"/>
            <w:gridSpan w:val="2"/>
            <w:tcBorders>
              <w:top w:val="single" w:sz="4" w:space="0" w:color="000000"/>
              <w:left w:val="single" w:sz="4" w:space="0" w:color="000000"/>
            </w:tcBorders>
            <w:shd w:val="clear" w:color="auto" w:fill="DADADA"/>
          </w:tcPr>
          <w:p w14:paraId="6808EAD9" w14:textId="77777777" w:rsidR="000457F9" w:rsidRPr="000C5235" w:rsidRDefault="000457F9" w:rsidP="00145E47">
            <w:pPr>
              <w:pStyle w:val="TableParagraph"/>
              <w:spacing w:line="257" w:lineRule="exact"/>
              <w:ind w:left="-1"/>
              <w:rPr>
                <w:lang w:val="en-AU"/>
              </w:rPr>
            </w:pPr>
            <w:r w:rsidRPr="000C5235">
              <w:rPr>
                <w:lang w:val="en-AU"/>
              </w:rPr>
              <w:t>5.</w:t>
            </w:r>
          </w:p>
        </w:tc>
        <w:tc>
          <w:tcPr>
            <w:tcW w:w="8789" w:type="dxa"/>
            <w:gridSpan w:val="4"/>
            <w:tcBorders>
              <w:top w:val="single" w:sz="4" w:space="0" w:color="000000"/>
              <w:right w:val="single" w:sz="4" w:space="0" w:color="000000"/>
            </w:tcBorders>
            <w:shd w:val="clear" w:color="auto" w:fill="DADADA"/>
          </w:tcPr>
          <w:p w14:paraId="3926841D" w14:textId="77777777" w:rsidR="000457F9" w:rsidRPr="000C5235" w:rsidRDefault="000457F9" w:rsidP="00145E47">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Links to other workbooks have been broken or removed.</w:t>
            </w:r>
          </w:p>
        </w:tc>
      </w:tr>
      <w:tr w:rsidR="000457F9" w:rsidRPr="000C5235" w14:paraId="1ABB62FD" w14:textId="77777777" w:rsidTr="00BD57F1">
        <w:trPr>
          <w:trHeight w:val="280"/>
        </w:trPr>
        <w:tc>
          <w:tcPr>
            <w:tcW w:w="353" w:type="dxa"/>
            <w:gridSpan w:val="2"/>
            <w:tcBorders>
              <w:left w:val="single" w:sz="4" w:space="0" w:color="000000"/>
            </w:tcBorders>
          </w:tcPr>
          <w:p w14:paraId="46C31634" w14:textId="77777777" w:rsidR="000457F9" w:rsidRPr="000C5235" w:rsidRDefault="000457F9" w:rsidP="00145E47">
            <w:pPr>
              <w:pStyle w:val="TableParagraph"/>
              <w:rPr>
                <w:rFonts w:ascii="Times New Roman"/>
                <w:lang w:val="en-AU"/>
              </w:rPr>
            </w:pPr>
          </w:p>
        </w:tc>
        <w:tc>
          <w:tcPr>
            <w:tcW w:w="357" w:type="dxa"/>
            <w:gridSpan w:val="2"/>
          </w:tcPr>
          <w:p w14:paraId="4537AEDE"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right w:val="single" w:sz="4" w:space="0" w:color="000000"/>
            </w:tcBorders>
          </w:tcPr>
          <w:p w14:paraId="043C5CA9"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6.</w:t>
            </w:r>
          </w:p>
        </w:tc>
      </w:tr>
      <w:tr w:rsidR="000457F9" w:rsidRPr="000C5235" w14:paraId="0323A94B" w14:textId="77777777" w:rsidTr="00BD57F1">
        <w:trPr>
          <w:trHeight w:val="1000"/>
        </w:trPr>
        <w:tc>
          <w:tcPr>
            <w:tcW w:w="353" w:type="dxa"/>
            <w:gridSpan w:val="2"/>
            <w:tcBorders>
              <w:left w:val="single" w:sz="4" w:space="0" w:color="000000"/>
              <w:bottom w:val="single" w:sz="4" w:space="0" w:color="000000"/>
            </w:tcBorders>
          </w:tcPr>
          <w:p w14:paraId="21D1421A" w14:textId="77777777" w:rsidR="000457F9" w:rsidRPr="000C5235" w:rsidRDefault="000457F9" w:rsidP="00145E47">
            <w:pPr>
              <w:pStyle w:val="TableParagraph"/>
              <w:rPr>
                <w:rFonts w:ascii="Times New Roman"/>
                <w:lang w:val="en-AU"/>
              </w:rPr>
            </w:pPr>
          </w:p>
        </w:tc>
        <w:tc>
          <w:tcPr>
            <w:tcW w:w="357" w:type="dxa"/>
            <w:gridSpan w:val="2"/>
            <w:tcBorders>
              <w:bottom w:val="single" w:sz="4" w:space="0" w:color="000000"/>
            </w:tcBorders>
          </w:tcPr>
          <w:p w14:paraId="73E1B024" w14:textId="77777777" w:rsidR="000457F9" w:rsidRPr="000C5235" w:rsidRDefault="000457F9" w:rsidP="00145E47">
            <w:pPr>
              <w:pStyle w:val="TableParagraph"/>
              <w:spacing w:before="59"/>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32" w:type="dxa"/>
            <w:gridSpan w:val="2"/>
            <w:tcBorders>
              <w:bottom w:val="single" w:sz="4" w:space="0" w:color="000000"/>
              <w:right w:val="single" w:sz="4" w:space="0" w:color="000000"/>
            </w:tcBorders>
          </w:tcPr>
          <w:p w14:paraId="342F46F8" w14:textId="77777777" w:rsidR="000457F9" w:rsidRPr="000C5235" w:rsidRDefault="000457F9" w:rsidP="00145E47">
            <w:pPr>
              <w:pStyle w:val="TableParagraph"/>
              <w:spacing w:before="61"/>
              <w:ind w:left="123" w:right="-8"/>
              <w:rPr>
                <w:rFonts w:asciiTheme="minorHAnsi" w:hAnsiTheme="minorHAnsi" w:cstheme="minorHAnsi"/>
                <w:lang w:val="en-AU"/>
              </w:rPr>
            </w:pPr>
            <w:r w:rsidRPr="000C5235">
              <w:rPr>
                <w:rFonts w:asciiTheme="minorHAnsi" w:hAnsiTheme="minorHAnsi" w:cstheme="minorHAnsi"/>
                <w:lang w:val="en-AU"/>
              </w:rPr>
              <w:t>No – In Excel 2013 and later versions, go to the Data ribbon, then select “Edit links”. For each link, click “break link”.</w:t>
            </w:r>
          </w:p>
          <w:p w14:paraId="14C27588" w14:textId="77777777" w:rsidR="000457F9" w:rsidRPr="000C5235" w:rsidRDefault="000457F9" w:rsidP="00145E47">
            <w:pPr>
              <w:pStyle w:val="TableParagraph"/>
              <w:spacing w:before="118"/>
              <w:ind w:left="123"/>
              <w:rPr>
                <w:rFonts w:asciiTheme="minorHAnsi" w:hAnsiTheme="minorHAnsi" w:cstheme="minorHAnsi"/>
                <w:lang w:val="en-AU"/>
              </w:rPr>
            </w:pPr>
            <w:r w:rsidRPr="000C5235">
              <w:rPr>
                <w:rFonts w:asciiTheme="minorHAnsi" w:hAnsiTheme="minorHAnsi" w:cstheme="minorHAnsi"/>
                <w:lang w:val="en-AU"/>
              </w:rPr>
              <w:t>In Excel 2010, from the Edit menu, select “Edit links to files”. For each link, click “break link”.</w:t>
            </w:r>
          </w:p>
        </w:tc>
      </w:tr>
      <w:tr w:rsidR="000457F9" w:rsidRPr="000C5235" w14:paraId="2A72F487" w14:textId="77777777" w:rsidTr="00BD57F1">
        <w:trPr>
          <w:gridAfter w:val="1"/>
          <w:wAfter w:w="75" w:type="dxa"/>
          <w:trHeight w:val="360"/>
        </w:trPr>
        <w:tc>
          <w:tcPr>
            <w:tcW w:w="279" w:type="dxa"/>
            <w:tcBorders>
              <w:top w:val="single" w:sz="4" w:space="0" w:color="000000"/>
              <w:left w:val="single" w:sz="4" w:space="0" w:color="000000"/>
            </w:tcBorders>
            <w:shd w:val="clear" w:color="auto" w:fill="DADADA"/>
          </w:tcPr>
          <w:p w14:paraId="0A224F48" w14:textId="77777777" w:rsidR="000457F9" w:rsidRPr="000C5235" w:rsidRDefault="000457F9" w:rsidP="00145E47">
            <w:pPr>
              <w:pStyle w:val="TableParagraph"/>
              <w:spacing w:line="257" w:lineRule="exact"/>
              <w:ind w:left="-1"/>
              <w:rPr>
                <w:lang w:val="en-AU"/>
              </w:rPr>
            </w:pPr>
            <w:r w:rsidRPr="000C5235">
              <w:rPr>
                <w:lang w:val="en-AU"/>
              </w:rPr>
              <w:t>6.</w:t>
            </w:r>
          </w:p>
        </w:tc>
        <w:tc>
          <w:tcPr>
            <w:tcW w:w="8788" w:type="dxa"/>
            <w:gridSpan w:val="4"/>
            <w:tcBorders>
              <w:top w:val="single" w:sz="4" w:space="0" w:color="000000"/>
              <w:right w:val="single" w:sz="4" w:space="0" w:color="000000"/>
            </w:tcBorders>
            <w:shd w:val="clear" w:color="auto" w:fill="DADADA"/>
          </w:tcPr>
          <w:p w14:paraId="61483700" w14:textId="77777777" w:rsidR="000457F9" w:rsidRPr="000C5235" w:rsidRDefault="000457F9" w:rsidP="00145E47">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All hidden and working sheets, as well as cell comments, should be removed.</w:t>
            </w:r>
          </w:p>
        </w:tc>
      </w:tr>
      <w:tr w:rsidR="000457F9" w:rsidRPr="000C5235" w14:paraId="4BC9B750" w14:textId="77777777" w:rsidTr="00BD57F1">
        <w:trPr>
          <w:gridAfter w:val="1"/>
          <w:wAfter w:w="75" w:type="dxa"/>
          <w:trHeight w:val="280"/>
        </w:trPr>
        <w:tc>
          <w:tcPr>
            <w:tcW w:w="279" w:type="dxa"/>
            <w:tcBorders>
              <w:left w:val="single" w:sz="4" w:space="0" w:color="000000"/>
            </w:tcBorders>
          </w:tcPr>
          <w:p w14:paraId="171B9B10" w14:textId="77777777" w:rsidR="000457F9" w:rsidRPr="000C5235" w:rsidRDefault="000457F9" w:rsidP="00145E47">
            <w:pPr>
              <w:pStyle w:val="TableParagraph"/>
              <w:rPr>
                <w:rFonts w:ascii="Times New Roman"/>
                <w:lang w:val="en-AU"/>
              </w:rPr>
            </w:pPr>
          </w:p>
        </w:tc>
        <w:tc>
          <w:tcPr>
            <w:tcW w:w="306" w:type="dxa"/>
            <w:gridSpan w:val="2"/>
          </w:tcPr>
          <w:p w14:paraId="19187B3F" w14:textId="77777777" w:rsidR="000457F9" w:rsidRPr="000C5235" w:rsidRDefault="000457F9" w:rsidP="00145E47">
            <w:pPr>
              <w:pStyle w:val="TableParagraph"/>
              <w:spacing w:line="220" w:lineRule="exact"/>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82" w:type="dxa"/>
            <w:gridSpan w:val="2"/>
            <w:tcBorders>
              <w:right w:val="single" w:sz="4" w:space="0" w:color="000000"/>
            </w:tcBorders>
          </w:tcPr>
          <w:p w14:paraId="5B3CEFD5"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7.</w:t>
            </w:r>
          </w:p>
        </w:tc>
      </w:tr>
      <w:tr w:rsidR="000457F9" w:rsidRPr="000C5235" w14:paraId="1E9D7706" w14:textId="77777777" w:rsidTr="00BD57F1">
        <w:trPr>
          <w:gridAfter w:val="1"/>
          <w:wAfter w:w="75" w:type="dxa"/>
          <w:trHeight w:val="1940"/>
        </w:trPr>
        <w:tc>
          <w:tcPr>
            <w:tcW w:w="279" w:type="dxa"/>
            <w:tcBorders>
              <w:left w:val="single" w:sz="4" w:space="0" w:color="000000"/>
              <w:bottom w:val="single" w:sz="4" w:space="0" w:color="000000"/>
            </w:tcBorders>
          </w:tcPr>
          <w:p w14:paraId="148A5859" w14:textId="77777777" w:rsidR="000457F9" w:rsidRPr="000C5235" w:rsidRDefault="000457F9" w:rsidP="00145E47">
            <w:pPr>
              <w:pStyle w:val="TableParagraph"/>
              <w:rPr>
                <w:rFonts w:ascii="Times New Roman"/>
                <w:lang w:val="en-AU"/>
              </w:rPr>
            </w:pPr>
          </w:p>
        </w:tc>
        <w:tc>
          <w:tcPr>
            <w:tcW w:w="306" w:type="dxa"/>
            <w:gridSpan w:val="2"/>
            <w:tcBorders>
              <w:bottom w:val="single" w:sz="4" w:space="0" w:color="000000"/>
            </w:tcBorders>
          </w:tcPr>
          <w:p w14:paraId="1A6C1178" w14:textId="77777777" w:rsidR="000457F9" w:rsidRPr="000C5235" w:rsidRDefault="000457F9" w:rsidP="00145E47">
            <w:pPr>
              <w:pStyle w:val="TableParagraph"/>
              <w:spacing w:before="58"/>
              <w:ind w:right="66"/>
              <w:jc w:val="center"/>
              <w:rPr>
                <w:rFonts w:asciiTheme="minorHAnsi" w:hAnsiTheme="minorHAnsi" w:cstheme="minorHAnsi"/>
                <w:lang w:val="en-AU"/>
              </w:rPr>
            </w:pPr>
            <w:r w:rsidRPr="000C5235">
              <w:rPr>
                <w:rFonts w:asciiTheme="minorHAnsi" w:hAnsiTheme="minorHAnsi" w:cstheme="minorHAnsi"/>
                <w:w w:val="99"/>
                <w:lang w:val="en-AU"/>
              </w:rPr>
              <w:t></w:t>
            </w:r>
          </w:p>
        </w:tc>
        <w:tc>
          <w:tcPr>
            <w:tcW w:w="8482" w:type="dxa"/>
            <w:gridSpan w:val="2"/>
            <w:tcBorders>
              <w:bottom w:val="single" w:sz="4" w:space="0" w:color="000000"/>
              <w:right w:val="single" w:sz="4" w:space="0" w:color="000000"/>
            </w:tcBorders>
          </w:tcPr>
          <w:p w14:paraId="3EE6F8D8" w14:textId="77777777" w:rsidR="000457F9" w:rsidRPr="000C5235" w:rsidRDefault="000457F9" w:rsidP="00145E47">
            <w:pPr>
              <w:pStyle w:val="TableParagraph"/>
              <w:spacing w:before="59"/>
              <w:ind w:left="123" w:right="179"/>
              <w:rPr>
                <w:rFonts w:asciiTheme="minorHAnsi" w:hAnsiTheme="minorHAnsi" w:cstheme="minorHAnsi"/>
                <w:lang w:val="en-AU"/>
              </w:rPr>
            </w:pPr>
            <w:r w:rsidRPr="000C5235">
              <w:rPr>
                <w:rFonts w:asciiTheme="minorHAnsi" w:hAnsiTheme="minorHAnsi" w:cstheme="minorHAnsi"/>
                <w:lang w:val="en-AU"/>
              </w:rPr>
              <w:t>No – In Excel 2013 and later versions, click the File tab, then “Check for Issues” followed by “Inspect document”. Click “Inspect”. Click “Remove all for the “Comments and Annotations” and “Hidden Worksheets” sections.</w:t>
            </w:r>
          </w:p>
          <w:p w14:paraId="3DE53E8D" w14:textId="77777777" w:rsidR="000457F9" w:rsidRPr="000C5235" w:rsidRDefault="000457F9" w:rsidP="00145E47">
            <w:pPr>
              <w:pStyle w:val="TableParagraph"/>
              <w:spacing w:before="120"/>
              <w:ind w:left="123" w:right="175"/>
              <w:rPr>
                <w:rFonts w:asciiTheme="minorHAnsi" w:hAnsiTheme="minorHAnsi" w:cstheme="minorHAnsi"/>
                <w:lang w:val="en-AU"/>
              </w:rPr>
            </w:pPr>
            <w:r w:rsidRPr="000C5235">
              <w:rPr>
                <w:rFonts w:asciiTheme="minorHAnsi" w:hAnsiTheme="minorHAnsi" w:cstheme="minorHAnsi"/>
                <w:lang w:val="en-AU"/>
              </w:rPr>
              <w:t>In Excel 2010, from the “Format” menu, select “Sheet”, then “Unhide sheet”. This will need to be repeated for each hidden sheet. Once all sheets have been unhidden, delete them from the workbook. For each of the remaining worksheets, right click each comment and select “Delete comment”.</w:t>
            </w:r>
          </w:p>
        </w:tc>
      </w:tr>
    </w:tbl>
    <w:p w14:paraId="19EBE5D1" w14:textId="77777777" w:rsidR="003D755D" w:rsidRPr="000C5235" w:rsidRDefault="003D755D">
      <w:r w:rsidRPr="000C5235">
        <w:br w:type="page"/>
      </w:r>
    </w:p>
    <w:tbl>
      <w:tblPr>
        <w:tblW w:w="9067" w:type="dxa"/>
        <w:tblLayout w:type="fixed"/>
        <w:tblCellMar>
          <w:left w:w="0" w:type="dxa"/>
          <w:right w:w="0" w:type="dxa"/>
        </w:tblCellMar>
        <w:tblLook w:val="01E0" w:firstRow="1" w:lastRow="1" w:firstColumn="1" w:lastColumn="1" w:noHBand="0" w:noVBand="0"/>
      </w:tblPr>
      <w:tblGrid>
        <w:gridCol w:w="279"/>
        <w:gridCol w:w="306"/>
        <w:gridCol w:w="8482"/>
      </w:tblGrid>
      <w:tr w:rsidR="000457F9" w:rsidRPr="000C5235" w14:paraId="2FA76151" w14:textId="77777777" w:rsidTr="003D755D">
        <w:trPr>
          <w:trHeight w:val="360"/>
        </w:trPr>
        <w:tc>
          <w:tcPr>
            <w:tcW w:w="279" w:type="dxa"/>
            <w:tcBorders>
              <w:top w:val="single" w:sz="4" w:space="0" w:color="000000"/>
              <w:left w:val="single" w:sz="4" w:space="0" w:color="000000"/>
            </w:tcBorders>
            <w:shd w:val="clear" w:color="auto" w:fill="DADADA"/>
          </w:tcPr>
          <w:p w14:paraId="09DC4517" w14:textId="77777777" w:rsidR="000457F9" w:rsidRPr="000C5235" w:rsidRDefault="000457F9" w:rsidP="00145E47">
            <w:pPr>
              <w:pStyle w:val="TableParagraph"/>
              <w:spacing w:line="257" w:lineRule="exact"/>
              <w:ind w:left="-1"/>
              <w:rPr>
                <w:lang w:val="en-AU"/>
              </w:rPr>
            </w:pPr>
            <w:r w:rsidRPr="000C5235">
              <w:rPr>
                <w:lang w:val="en-AU"/>
              </w:rPr>
              <w:t>7.</w:t>
            </w:r>
          </w:p>
        </w:tc>
        <w:tc>
          <w:tcPr>
            <w:tcW w:w="8788" w:type="dxa"/>
            <w:gridSpan w:val="2"/>
            <w:tcBorders>
              <w:top w:val="single" w:sz="4" w:space="0" w:color="000000"/>
              <w:right w:val="single" w:sz="4" w:space="0" w:color="000000"/>
            </w:tcBorders>
            <w:shd w:val="clear" w:color="auto" w:fill="DADADA"/>
          </w:tcPr>
          <w:p w14:paraId="625345BD" w14:textId="77777777" w:rsidR="000457F9" w:rsidRPr="000C5235" w:rsidRDefault="000457F9" w:rsidP="00145E47">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Hidden / blank rows and columns have been removed.</w:t>
            </w:r>
          </w:p>
        </w:tc>
      </w:tr>
      <w:tr w:rsidR="000457F9" w:rsidRPr="000C5235" w14:paraId="21EE2695" w14:textId="77777777" w:rsidTr="003D755D">
        <w:trPr>
          <w:trHeight w:val="280"/>
        </w:trPr>
        <w:tc>
          <w:tcPr>
            <w:tcW w:w="279" w:type="dxa"/>
            <w:tcBorders>
              <w:left w:val="single" w:sz="4" w:space="0" w:color="000000"/>
            </w:tcBorders>
          </w:tcPr>
          <w:p w14:paraId="434D2B5B" w14:textId="77777777" w:rsidR="000457F9" w:rsidRPr="000C5235" w:rsidRDefault="000457F9" w:rsidP="00145E47">
            <w:pPr>
              <w:pStyle w:val="TableParagraph"/>
              <w:rPr>
                <w:rFonts w:ascii="Times New Roman"/>
                <w:lang w:val="en-AU"/>
              </w:rPr>
            </w:pPr>
          </w:p>
        </w:tc>
        <w:tc>
          <w:tcPr>
            <w:tcW w:w="306" w:type="dxa"/>
          </w:tcPr>
          <w:p w14:paraId="02850E1D" w14:textId="77777777" w:rsidR="000457F9" w:rsidRPr="000C5235" w:rsidRDefault="000457F9" w:rsidP="00145E47">
            <w:pPr>
              <w:pStyle w:val="TableParagraph"/>
              <w:spacing w:line="220" w:lineRule="exact"/>
              <w:ind w:right="66"/>
              <w:jc w:val="center"/>
              <w:rPr>
                <w:rFonts w:ascii="Wingdings" w:hAnsi="Wingdings"/>
                <w:lang w:val="en-AU"/>
              </w:rPr>
            </w:pPr>
            <w:r w:rsidRPr="000C5235">
              <w:rPr>
                <w:rFonts w:ascii="Wingdings" w:hAnsi="Wingdings"/>
                <w:w w:val="99"/>
                <w:lang w:val="en-AU"/>
              </w:rPr>
              <w:t></w:t>
            </w:r>
          </w:p>
        </w:tc>
        <w:tc>
          <w:tcPr>
            <w:tcW w:w="8482" w:type="dxa"/>
            <w:tcBorders>
              <w:right w:val="single" w:sz="4" w:space="0" w:color="000000"/>
            </w:tcBorders>
          </w:tcPr>
          <w:p w14:paraId="457B3006" w14:textId="77777777" w:rsidR="000457F9" w:rsidRPr="000C5235" w:rsidRDefault="000457F9" w:rsidP="00145E4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Yes – go to step 8.</w:t>
            </w:r>
          </w:p>
        </w:tc>
      </w:tr>
      <w:tr w:rsidR="000457F9" w:rsidRPr="000C5235" w14:paraId="5595B39C" w14:textId="77777777" w:rsidTr="003D755D">
        <w:trPr>
          <w:trHeight w:val="640"/>
        </w:trPr>
        <w:tc>
          <w:tcPr>
            <w:tcW w:w="279" w:type="dxa"/>
            <w:tcBorders>
              <w:left w:val="single" w:sz="4" w:space="0" w:color="000000"/>
              <w:bottom w:val="single" w:sz="4" w:space="0" w:color="000000"/>
            </w:tcBorders>
          </w:tcPr>
          <w:p w14:paraId="484AE8C9" w14:textId="77777777" w:rsidR="000457F9" w:rsidRPr="000C5235" w:rsidRDefault="000457F9" w:rsidP="00145E47">
            <w:pPr>
              <w:pStyle w:val="TableParagraph"/>
              <w:rPr>
                <w:rFonts w:ascii="Times New Roman"/>
                <w:lang w:val="en-AU"/>
              </w:rPr>
            </w:pPr>
          </w:p>
        </w:tc>
        <w:tc>
          <w:tcPr>
            <w:tcW w:w="306" w:type="dxa"/>
            <w:tcBorders>
              <w:bottom w:val="single" w:sz="4" w:space="0" w:color="000000"/>
            </w:tcBorders>
          </w:tcPr>
          <w:p w14:paraId="7CD14BDF" w14:textId="77777777" w:rsidR="000457F9" w:rsidRPr="000C5235" w:rsidRDefault="000457F9" w:rsidP="00145E47">
            <w:pPr>
              <w:pStyle w:val="TableParagraph"/>
              <w:spacing w:before="59"/>
              <w:ind w:right="66"/>
              <w:jc w:val="center"/>
              <w:rPr>
                <w:rFonts w:ascii="Wingdings" w:hAnsi="Wingdings"/>
                <w:lang w:val="en-AU"/>
              </w:rPr>
            </w:pPr>
            <w:r w:rsidRPr="000C5235">
              <w:rPr>
                <w:rFonts w:ascii="Wingdings" w:hAnsi="Wingdings"/>
                <w:w w:val="99"/>
                <w:lang w:val="en-AU"/>
              </w:rPr>
              <w:t></w:t>
            </w:r>
          </w:p>
        </w:tc>
        <w:tc>
          <w:tcPr>
            <w:tcW w:w="8482" w:type="dxa"/>
            <w:tcBorders>
              <w:bottom w:val="single" w:sz="4" w:space="0" w:color="000000"/>
              <w:right w:val="single" w:sz="4" w:space="0" w:color="000000"/>
            </w:tcBorders>
          </w:tcPr>
          <w:p w14:paraId="04589696" w14:textId="77777777" w:rsidR="000457F9" w:rsidRPr="000C5235" w:rsidRDefault="000457F9" w:rsidP="00145E47">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No – Select the entire worksheet and with the pointer hovering over the row numbers, right click and select “Unhide”.  Delete the relevant rows.</w:t>
            </w:r>
          </w:p>
        </w:tc>
      </w:tr>
      <w:tr w:rsidR="00DD311E" w:rsidRPr="000C5235" w14:paraId="1E434C34" w14:textId="77777777" w:rsidTr="003D755D">
        <w:trPr>
          <w:trHeight w:val="360"/>
        </w:trPr>
        <w:tc>
          <w:tcPr>
            <w:tcW w:w="279" w:type="dxa"/>
            <w:tcBorders>
              <w:top w:val="single" w:sz="4" w:space="0" w:color="000000"/>
              <w:left w:val="single" w:sz="4" w:space="0" w:color="000000"/>
            </w:tcBorders>
            <w:shd w:val="clear" w:color="auto" w:fill="DADADA"/>
          </w:tcPr>
          <w:p w14:paraId="6B184D92" w14:textId="77777777" w:rsidR="00DD311E" w:rsidRPr="000C5235" w:rsidRDefault="00DD311E" w:rsidP="00A10310">
            <w:pPr>
              <w:pStyle w:val="TableParagraph"/>
              <w:spacing w:line="257" w:lineRule="exact"/>
              <w:ind w:left="-1"/>
              <w:rPr>
                <w:lang w:val="en-AU"/>
              </w:rPr>
            </w:pPr>
            <w:bookmarkStart w:id="360" w:name="_Toc34314210"/>
            <w:bookmarkStart w:id="361" w:name="_Toc34314211"/>
            <w:bookmarkEnd w:id="360"/>
            <w:bookmarkEnd w:id="361"/>
            <w:r w:rsidRPr="000C5235">
              <w:rPr>
                <w:lang w:val="en-AU"/>
              </w:rPr>
              <w:t>8.</w:t>
            </w:r>
          </w:p>
        </w:tc>
        <w:tc>
          <w:tcPr>
            <w:tcW w:w="8788" w:type="dxa"/>
            <w:gridSpan w:val="2"/>
            <w:tcBorders>
              <w:top w:val="single" w:sz="4" w:space="0" w:color="000000"/>
              <w:right w:val="single" w:sz="4" w:space="0" w:color="000000"/>
            </w:tcBorders>
            <w:shd w:val="clear" w:color="auto" w:fill="DADADA"/>
          </w:tcPr>
          <w:p w14:paraId="1E64DB71" w14:textId="77777777" w:rsidR="00DD311E" w:rsidRPr="000C5235" w:rsidRDefault="00DD311E" w:rsidP="002808B0">
            <w:pPr>
              <w:pStyle w:val="Default"/>
              <w:rPr>
                <w:rFonts w:asciiTheme="minorHAnsi" w:hAnsiTheme="minorHAnsi" w:cstheme="minorHAnsi"/>
                <w:szCs w:val="22"/>
              </w:rPr>
            </w:pPr>
            <w:r w:rsidRPr="000C5235">
              <w:rPr>
                <w:rFonts w:asciiTheme="minorHAnsi" w:hAnsiTheme="minorHAnsi" w:cstheme="minorHAnsi"/>
                <w:sz w:val="22"/>
                <w:szCs w:val="22"/>
              </w:rPr>
              <w:t>Passwords have been removed from the file.</w:t>
            </w:r>
          </w:p>
        </w:tc>
      </w:tr>
      <w:tr w:rsidR="00DD311E" w:rsidRPr="000C5235" w14:paraId="32288E47" w14:textId="77777777" w:rsidTr="003D755D">
        <w:trPr>
          <w:trHeight w:val="280"/>
        </w:trPr>
        <w:tc>
          <w:tcPr>
            <w:tcW w:w="279" w:type="dxa"/>
            <w:tcBorders>
              <w:left w:val="single" w:sz="4" w:space="0" w:color="000000"/>
            </w:tcBorders>
          </w:tcPr>
          <w:p w14:paraId="16CF2BAD" w14:textId="77777777" w:rsidR="00DD311E" w:rsidRPr="000C5235" w:rsidRDefault="00DD311E" w:rsidP="00A10310">
            <w:pPr>
              <w:pStyle w:val="TableParagraph"/>
              <w:rPr>
                <w:rFonts w:ascii="Times New Roman"/>
                <w:lang w:val="en-AU"/>
              </w:rPr>
            </w:pPr>
          </w:p>
        </w:tc>
        <w:tc>
          <w:tcPr>
            <w:tcW w:w="306" w:type="dxa"/>
          </w:tcPr>
          <w:p w14:paraId="24CB5BF3" w14:textId="77777777" w:rsidR="00DD311E" w:rsidRPr="000C5235" w:rsidRDefault="00DD311E" w:rsidP="00A10310">
            <w:pPr>
              <w:pStyle w:val="TableParagraph"/>
              <w:spacing w:line="220" w:lineRule="exact"/>
              <w:ind w:right="66"/>
              <w:jc w:val="center"/>
              <w:rPr>
                <w:rFonts w:ascii="Wingdings" w:hAnsi="Wingdings"/>
                <w:lang w:val="en-AU"/>
              </w:rPr>
            </w:pPr>
            <w:r w:rsidRPr="000C5235">
              <w:rPr>
                <w:rFonts w:ascii="Wingdings" w:hAnsi="Wingdings"/>
                <w:w w:val="99"/>
                <w:lang w:val="en-AU"/>
              </w:rPr>
              <w:t></w:t>
            </w:r>
          </w:p>
        </w:tc>
        <w:tc>
          <w:tcPr>
            <w:tcW w:w="8482" w:type="dxa"/>
            <w:tcBorders>
              <w:right w:val="single" w:sz="4" w:space="0" w:color="000000"/>
            </w:tcBorders>
          </w:tcPr>
          <w:p w14:paraId="2893336C" w14:textId="77777777" w:rsidR="00DD311E" w:rsidRPr="000C5235" w:rsidRDefault="00DD311E" w:rsidP="005F685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 xml:space="preserve">Yes – go to step </w:t>
            </w:r>
            <w:r w:rsidR="005F6857" w:rsidRPr="000C5235">
              <w:rPr>
                <w:rFonts w:asciiTheme="minorHAnsi" w:hAnsiTheme="minorHAnsi" w:cstheme="minorHAnsi"/>
                <w:lang w:val="en-AU"/>
              </w:rPr>
              <w:t>9</w:t>
            </w:r>
            <w:r w:rsidRPr="000C5235">
              <w:rPr>
                <w:rFonts w:asciiTheme="minorHAnsi" w:hAnsiTheme="minorHAnsi" w:cstheme="minorHAnsi"/>
                <w:lang w:val="en-AU"/>
              </w:rPr>
              <w:t>.</w:t>
            </w:r>
          </w:p>
        </w:tc>
      </w:tr>
      <w:tr w:rsidR="00DD311E" w:rsidRPr="000C5235" w14:paraId="0D0B04D8" w14:textId="77777777" w:rsidTr="003D755D">
        <w:trPr>
          <w:trHeight w:val="640"/>
        </w:trPr>
        <w:tc>
          <w:tcPr>
            <w:tcW w:w="279" w:type="dxa"/>
            <w:tcBorders>
              <w:left w:val="single" w:sz="4" w:space="0" w:color="000000"/>
              <w:bottom w:val="single" w:sz="4" w:space="0" w:color="000000"/>
            </w:tcBorders>
          </w:tcPr>
          <w:p w14:paraId="58E6FDAD" w14:textId="77777777" w:rsidR="00DD311E" w:rsidRPr="000C5235" w:rsidRDefault="00DD311E" w:rsidP="00A10310">
            <w:pPr>
              <w:pStyle w:val="TableParagraph"/>
              <w:rPr>
                <w:rFonts w:ascii="Times New Roman"/>
                <w:lang w:val="en-AU"/>
              </w:rPr>
            </w:pPr>
          </w:p>
        </w:tc>
        <w:tc>
          <w:tcPr>
            <w:tcW w:w="306" w:type="dxa"/>
            <w:tcBorders>
              <w:bottom w:val="single" w:sz="4" w:space="0" w:color="000000"/>
            </w:tcBorders>
          </w:tcPr>
          <w:p w14:paraId="309EC56B" w14:textId="77777777" w:rsidR="00DD311E" w:rsidRPr="000C5235" w:rsidRDefault="00DD311E" w:rsidP="00A10310">
            <w:pPr>
              <w:pStyle w:val="TableParagraph"/>
              <w:spacing w:before="59"/>
              <w:ind w:right="66"/>
              <w:jc w:val="center"/>
              <w:rPr>
                <w:rFonts w:ascii="Wingdings" w:hAnsi="Wingdings"/>
                <w:lang w:val="en-AU"/>
              </w:rPr>
            </w:pPr>
            <w:r w:rsidRPr="000C5235">
              <w:rPr>
                <w:rFonts w:ascii="Wingdings" w:hAnsi="Wingdings"/>
                <w:w w:val="99"/>
                <w:lang w:val="en-AU"/>
              </w:rPr>
              <w:t></w:t>
            </w:r>
          </w:p>
        </w:tc>
        <w:tc>
          <w:tcPr>
            <w:tcW w:w="8482" w:type="dxa"/>
            <w:tcBorders>
              <w:bottom w:val="single" w:sz="4" w:space="0" w:color="000000"/>
              <w:right w:val="single" w:sz="4" w:space="0" w:color="000000"/>
            </w:tcBorders>
          </w:tcPr>
          <w:p w14:paraId="56085F1B" w14:textId="77777777" w:rsidR="005F6857" w:rsidRPr="000C5235" w:rsidRDefault="00DD311E" w:rsidP="005F6857">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 xml:space="preserve">No – </w:t>
            </w:r>
            <w:r w:rsidR="005F6857" w:rsidRPr="000C5235">
              <w:rPr>
                <w:rFonts w:asciiTheme="minorHAnsi" w:hAnsiTheme="minorHAnsi" w:cstheme="minorHAnsi"/>
                <w:lang w:val="en-AU"/>
              </w:rPr>
              <w:t xml:space="preserve">In Excel 2013 and later versions, from the Review ribbon, select “Protect </w:t>
            </w:r>
            <w:r w:rsidR="004B5F4F" w:rsidRPr="000C5235">
              <w:rPr>
                <w:rFonts w:asciiTheme="minorHAnsi" w:hAnsiTheme="minorHAnsi" w:cstheme="minorHAnsi"/>
                <w:lang w:val="en-AU"/>
              </w:rPr>
              <w:t>sheet” and</w:t>
            </w:r>
            <w:r w:rsidR="005F6857" w:rsidRPr="000C5235">
              <w:rPr>
                <w:rFonts w:asciiTheme="minorHAnsi" w:hAnsiTheme="minorHAnsi" w:cstheme="minorHAnsi"/>
                <w:lang w:val="en-AU"/>
              </w:rPr>
              <w:t xml:space="preserve"> delete the password. From the Review ribbon, select “Protect workbook” and</w:t>
            </w:r>
            <w:r w:rsidR="00FC0A36" w:rsidRPr="000C5235">
              <w:rPr>
                <w:rFonts w:asciiTheme="minorHAnsi" w:hAnsiTheme="minorHAnsi" w:cstheme="minorHAnsi"/>
                <w:lang w:val="en-AU"/>
              </w:rPr>
              <w:t xml:space="preserve"> </w:t>
            </w:r>
            <w:r w:rsidR="005F6857" w:rsidRPr="000C5235">
              <w:rPr>
                <w:rFonts w:asciiTheme="minorHAnsi" w:hAnsiTheme="minorHAnsi" w:cstheme="minorHAnsi"/>
                <w:lang w:val="en-AU"/>
              </w:rPr>
              <w:t>delete the password.</w:t>
            </w:r>
          </w:p>
          <w:p w14:paraId="1A35625B" w14:textId="77777777" w:rsidR="00DD311E" w:rsidRPr="000C5235" w:rsidRDefault="005F6857" w:rsidP="005F6857">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In Excel 2010, from the Tools menu, select “Protect sheet”, then delete the password. From the Tools menu, select “Protect workbook”, then delete the password.</w:t>
            </w:r>
          </w:p>
        </w:tc>
      </w:tr>
      <w:tr w:rsidR="00DD311E" w:rsidRPr="000C5235" w14:paraId="4E02DD3A" w14:textId="77777777" w:rsidTr="003D755D">
        <w:trPr>
          <w:trHeight w:val="360"/>
        </w:trPr>
        <w:tc>
          <w:tcPr>
            <w:tcW w:w="279" w:type="dxa"/>
            <w:tcBorders>
              <w:top w:val="single" w:sz="4" w:space="0" w:color="000000"/>
              <w:left w:val="single" w:sz="4" w:space="0" w:color="000000"/>
            </w:tcBorders>
            <w:shd w:val="clear" w:color="auto" w:fill="DADADA"/>
          </w:tcPr>
          <w:p w14:paraId="7AC58664" w14:textId="77777777" w:rsidR="00DD311E" w:rsidRPr="000C5235" w:rsidRDefault="005F6857" w:rsidP="00A10310">
            <w:pPr>
              <w:pStyle w:val="TableParagraph"/>
              <w:spacing w:line="257" w:lineRule="exact"/>
              <w:ind w:left="-1"/>
              <w:rPr>
                <w:lang w:val="en-AU"/>
              </w:rPr>
            </w:pPr>
            <w:r w:rsidRPr="000C5235">
              <w:rPr>
                <w:lang w:val="en-AU"/>
              </w:rPr>
              <w:t>9</w:t>
            </w:r>
            <w:r w:rsidR="00DD311E" w:rsidRPr="000C5235">
              <w:rPr>
                <w:lang w:val="en-AU"/>
              </w:rPr>
              <w:t>.</w:t>
            </w:r>
          </w:p>
        </w:tc>
        <w:tc>
          <w:tcPr>
            <w:tcW w:w="8788" w:type="dxa"/>
            <w:gridSpan w:val="2"/>
            <w:tcBorders>
              <w:top w:val="single" w:sz="4" w:space="0" w:color="000000"/>
              <w:right w:val="single" w:sz="4" w:space="0" w:color="000000"/>
            </w:tcBorders>
            <w:shd w:val="clear" w:color="auto" w:fill="DADADA"/>
          </w:tcPr>
          <w:p w14:paraId="06C1A5D0" w14:textId="77777777" w:rsidR="00DD311E" w:rsidRPr="000C5235" w:rsidRDefault="005F6857" w:rsidP="00A10310">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 xml:space="preserve">Footnotes are on a separate row (with wrap text) and references are in the form of (a), (b),(c)etc </w:t>
            </w:r>
            <w:r w:rsidRPr="000C5235">
              <w:rPr>
                <w:rFonts w:asciiTheme="minorHAnsi" w:hAnsiTheme="minorHAnsi" w:cstheme="minorHAnsi"/>
                <w:b/>
                <w:u w:val="single"/>
                <w:lang w:val="en-AU"/>
              </w:rPr>
              <w:t>NOT</w:t>
            </w:r>
            <w:r w:rsidRPr="000C5235">
              <w:rPr>
                <w:rFonts w:asciiTheme="minorHAnsi" w:hAnsiTheme="minorHAnsi" w:cstheme="minorHAnsi"/>
                <w:lang w:val="en-AU"/>
              </w:rPr>
              <w:t xml:space="preserve"> (1), (2), (3) or 1,2,3 etc</w:t>
            </w:r>
          </w:p>
        </w:tc>
      </w:tr>
      <w:tr w:rsidR="00DD311E" w:rsidRPr="000C5235" w14:paraId="77283DCD" w14:textId="77777777" w:rsidTr="003D755D">
        <w:trPr>
          <w:trHeight w:val="280"/>
        </w:trPr>
        <w:tc>
          <w:tcPr>
            <w:tcW w:w="279" w:type="dxa"/>
            <w:tcBorders>
              <w:left w:val="single" w:sz="4" w:space="0" w:color="000000"/>
            </w:tcBorders>
          </w:tcPr>
          <w:p w14:paraId="5EEDCA8B" w14:textId="77777777" w:rsidR="00DD311E" w:rsidRPr="000C5235" w:rsidRDefault="00DD311E" w:rsidP="00A10310">
            <w:pPr>
              <w:pStyle w:val="TableParagraph"/>
              <w:rPr>
                <w:rFonts w:ascii="Times New Roman"/>
                <w:lang w:val="en-AU"/>
              </w:rPr>
            </w:pPr>
          </w:p>
        </w:tc>
        <w:tc>
          <w:tcPr>
            <w:tcW w:w="306" w:type="dxa"/>
          </w:tcPr>
          <w:p w14:paraId="6380137B" w14:textId="77777777" w:rsidR="00DD311E" w:rsidRPr="000C5235" w:rsidRDefault="00DD311E" w:rsidP="00A10310">
            <w:pPr>
              <w:pStyle w:val="TableParagraph"/>
              <w:spacing w:line="220" w:lineRule="exact"/>
              <w:ind w:right="66"/>
              <w:jc w:val="center"/>
              <w:rPr>
                <w:rFonts w:ascii="Wingdings" w:hAnsi="Wingdings"/>
                <w:lang w:val="en-AU"/>
              </w:rPr>
            </w:pPr>
            <w:r w:rsidRPr="000C5235">
              <w:rPr>
                <w:rFonts w:ascii="Wingdings" w:hAnsi="Wingdings"/>
                <w:w w:val="99"/>
                <w:lang w:val="en-AU"/>
              </w:rPr>
              <w:t></w:t>
            </w:r>
          </w:p>
        </w:tc>
        <w:tc>
          <w:tcPr>
            <w:tcW w:w="8482" w:type="dxa"/>
            <w:tcBorders>
              <w:right w:val="single" w:sz="4" w:space="0" w:color="000000"/>
            </w:tcBorders>
          </w:tcPr>
          <w:p w14:paraId="43783F7C" w14:textId="77777777" w:rsidR="00DD311E" w:rsidRPr="000C5235" w:rsidRDefault="00DD311E" w:rsidP="005F6857">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 xml:space="preserve">Yes – go to step </w:t>
            </w:r>
            <w:r w:rsidR="005F6857" w:rsidRPr="000C5235">
              <w:rPr>
                <w:rFonts w:asciiTheme="minorHAnsi" w:hAnsiTheme="minorHAnsi" w:cstheme="minorHAnsi"/>
                <w:lang w:val="en-AU"/>
              </w:rPr>
              <w:t>10</w:t>
            </w:r>
            <w:r w:rsidRPr="000C5235">
              <w:rPr>
                <w:rFonts w:asciiTheme="minorHAnsi" w:hAnsiTheme="minorHAnsi" w:cstheme="minorHAnsi"/>
                <w:lang w:val="en-AU"/>
              </w:rPr>
              <w:t>.</w:t>
            </w:r>
          </w:p>
        </w:tc>
      </w:tr>
      <w:tr w:rsidR="00DD311E" w:rsidRPr="000C5235" w14:paraId="033CDAEB" w14:textId="77777777" w:rsidTr="003D755D">
        <w:trPr>
          <w:trHeight w:val="640"/>
        </w:trPr>
        <w:tc>
          <w:tcPr>
            <w:tcW w:w="279" w:type="dxa"/>
            <w:tcBorders>
              <w:left w:val="single" w:sz="4" w:space="0" w:color="000000"/>
              <w:bottom w:val="single" w:sz="4" w:space="0" w:color="000000"/>
            </w:tcBorders>
          </w:tcPr>
          <w:p w14:paraId="5DD7E5CB" w14:textId="77777777" w:rsidR="00DD311E" w:rsidRPr="000C5235" w:rsidRDefault="00DD311E" w:rsidP="00A10310">
            <w:pPr>
              <w:pStyle w:val="TableParagraph"/>
              <w:rPr>
                <w:rFonts w:ascii="Times New Roman"/>
                <w:lang w:val="en-AU"/>
              </w:rPr>
            </w:pPr>
          </w:p>
        </w:tc>
        <w:tc>
          <w:tcPr>
            <w:tcW w:w="306" w:type="dxa"/>
            <w:tcBorders>
              <w:bottom w:val="single" w:sz="4" w:space="0" w:color="000000"/>
            </w:tcBorders>
          </w:tcPr>
          <w:p w14:paraId="3E97948F" w14:textId="77777777" w:rsidR="00DD311E" w:rsidRPr="000C5235" w:rsidRDefault="00DD311E" w:rsidP="00A10310">
            <w:pPr>
              <w:pStyle w:val="TableParagraph"/>
              <w:spacing w:before="59"/>
              <w:ind w:right="66"/>
              <w:jc w:val="center"/>
              <w:rPr>
                <w:rFonts w:ascii="Wingdings" w:hAnsi="Wingdings"/>
                <w:lang w:val="en-AU"/>
              </w:rPr>
            </w:pPr>
            <w:r w:rsidRPr="000C5235">
              <w:rPr>
                <w:rFonts w:ascii="Wingdings" w:hAnsi="Wingdings"/>
                <w:w w:val="99"/>
                <w:lang w:val="en-AU"/>
              </w:rPr>
              <w:t></w:t>
            </w:r>
          </w:p>
        </w:tc>
        <w:tc>
          <w:tcPr>
            <w:tcW w:w="8482" w:type="dxa"/>
            <w:tcBorders>
              <w:bottom w:val="single" w:sz="4" w:space="0" w:color="000000"/>
              <w:right w:val="single" w:sz="4" w:space="0" w:color="000000"/>
            </w:tcBorders>
          </w:tcPr>
          <w:p w14:paraId="582AF66F" w14:textId="77777777" w:rsidR="00DD311E" w:rsidRPr="000C5235" w:rsidRDefault="00DD311E" w:rsidP="00A10310">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 xml:space="preserve">No – </w:t>
            </w:r>
            <w:r w:rsidR="005F6857" w:rsidRPr="000C5235">
              <w:rPr>
                <w:rFonts w:asciiTheme="minorHAnsi" w:hAnsiTheme="minorHAnsi" w:cstheme="minorHAnsi"/>
                <w:lang w:val="en-AU"/>
              </w:rPr>
              <w:t>change to correct format as data conversion program cannot recognise</w:t>
            </w:r>
            <w:r w:rsidR="00FC0A36" w:rsidRPr="000C5235">
              <w:rPr>
                <w:rFonts w:asciiTheme="minorHAnsi" w:hAnsiTheme="minorHAnsi" w:cstheme="minorHAnsi"/>
                <w:lang w:val="en-AU"/>
              </w:rPr>
              <w:t xml:space="preserve"> </w:t>
            </w:r>
            <w:r w:rsidR="005F6857" w:rsidRPr="000C5235">
              <w:rPr>
                <w:rFonts w:asciiTheme="minorHAnsi" w:hAnsiTheme="minorHAnsi" w:cstheme="minorHAnsi"/>
                <w:lang w:val="en-AU"/>
              </w:rPr>
              <w:t>numbers as footnotes.</w:t>
            </w:r>
          </w:p>
        </w:tc>
      </w:tr>
      <w:tr w:rsidR="00DD311E" w:rsidRPr="000C5235" w14:paraId="5A678773" w14:textId="77777777" w:rsidTr="003D755D">
        <w:trPr>
          <w:trHeight w:val="360"/>
        </w:trPr>
        <w:tc>
          <w:tcPr>
            <w:tcW w:w="279" w:type="dxa"/>
            <w:tcBorders>
              <w:top w:val="single" w:sz="4" w:space="0" w:color="000000"/>
              <w:left w:val="single" w:sz="4" w:space="0" w:color="000000"/>
            </w:tcBorders>
            <w:shd w:val="clear" w:color="auto" w:fill="DADADA"/>
          </w:tcPr>
          <w:p w14:paraId="50A70DA3" w14:textId="77777777" w:rsidR="00DD311E" w:rsidRPr="000C5235" w:rsidRDefault="00FC0A36" w:rsidP="00A10310">
            <w:pPr>
              <w:pStyle w:val="TableParagraph"/>
              <w:spacing w:line="257" w:lineRule="exact"/>
              <w:ind w:left="-1"/>
              <w:rPr>
                <w:lang w:val="en-AU"/>
              </w:rPr>
            </w:pPr>
            <w:r w:rsidRPr="000C5235">
              <w:rPr>
                <w:lang w:val="en-AU"/>
              </w:rPr>
              <w:t>10</w:t>
            </w:r>
            <w:r w:rsidR="00DD311E" w:rsidRPr="000C5235">
              <w:rPr>
                <w:lang w:val="en-AU"/>
              </w:rPr>
              <w:t>.</w:t>
            </w:r>
          </w:p>
        </w:tc>
        <w:tc>
          <w:tcPr>
            <w:tcW w:w="8788" w:type="dxa"/>
            <w:gridSpan w:val="2"/>
            <w:tcBorders>
              <w:top w:val="single" w:sz="4" w:space="0" w:color="000000"/>
              <w:right w:val="single" w:sz="4" w:space="0" w:color="000000"/>
            </w:tcBorders>
            <w:shd w:val="clear" w:color="auto" w:fill="DADADA"/>
          </w:tcPr>
          <w:p w14:paraId="33C2FCC3" w14:textId="77777777" w:rsidR="00DD311E" w:rsidRPr="000C5235" w:rsidRDefault="00FC0A36" w:rsidP="00A10310">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Footnotes have been pasted as text below the relevant tables, not as pictures.</w:t>
            </w:r>
          </w:p>
        </w:tc>
      </w:tr>
      <w:tr w:rsidR="00DD311E" w:rsidRPr="000C5235" w14:paraId="15C0105E" w14:textId="77777777" w:rsidTr="003D755D">
        <w:trPr>
          <w:trHeight w:val="280"/>
        </w:trPr>
        <w:tc>
          <w:tcPr>
            <w:tcW w:w="279" w:type="dxa"/>
            <w:tcBorders>
              <w:left w:val="single" w:sz="4" w:space="0" w:color="000000"/>
            </w:tcBorders>
          </w:tcPr>
          <w:p w14:paraId="50C432F9" w14:textId="77777777" w:rsidR="00DD311E" w:rsidRPr="000C5235" w:rsidRDefault="00DD311E" w:rsidP="00A10310">
            <w:pPr>
              <w:pStyle w:val="TableParagraph"/>
              <w:rPr>
                <w:rFonts w:ascii="Times New Roman"/>
                <w:lang w:val="en-AU"/>
              </w:rPr>
            </w:pPr>
          </w:p>
        </w:tc>
        <w:tc>
          <w:tcPr>
            <w:tcW w:w="306" w:type="dxa"/>
          </w:tcPr>
          <w:p w14:paraId="11E45F63" w14:textId="77777777" w:rsidR="00DD311E" w:rsidRPr="000C5235" w:rsidRDefault="00DD311E" w:rsidP="00A10310">
            <w:pPr>
              <w:pStyle w:val="TableParagraph"/>
              <w:spacing w:line="220" w:lineRule="exact"/>
              <w:ind w:right="66"/>
              <w:jc w:val="center"/>
              <w:rPr>
                <w:rFonts w:ascii="Wingdings" w:hAnsi="Wingdings"/>
                <w:lang w:val="en-AU"/>
              </w:rPr>
            </w:pPr>
            <w:r w:rsidRPr="000C5235">
              <w:rPr>
                <w:rFonts w:ascii="Wingdings" w:hAnsi="Wingdings"/>
                <w:w w:val="99"/>
                <w:lang w:val="en-AU"/>
              </w:rPr>
              <w:t></w:t>
            </w:r>
          </w:p>
        </w:tc>
        <w:tc>
          <w:tcPr>
            <w:tcW w:w="8482" w:type="dxa"/>
            <w:tcBorders>
              <w:right w:val="single" w:sz="4" w:space="0" w:color="000000"/>
            </w:tcBorders>
          </w:tcPr>
          <w:p w14:paraId="012C2625" w14:textId="77777777" w:rsidR="00DD311E" w:rsidRPr="000C5235" w:rsidRDefault="00DD311E" w:rsidP="00FC0A36">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 xml:space="preserve">Yes – go to step </w:t>
            </w:r>
            <w:r w:rsidR="00FC0A36" w:rsidRPr="000C5235">
              <w:rPr>
                <w:rFonts w:asciiTheme="minorHAnsi" w:hAnsiTheme="minorHAnsi" w:cstheme="minorHAnsi"/>
                <w:lang w:val="en-AU"/>
              </w:rPr>
              <w:t>11</w:t>
            </w:r>
            <w:r w:rsidRPr="000C5235">
              <w:rPr>
                <w:rFonts w:asciiTheme="minorHAnsi" w:hAnsiTheme="minorHAnsi" w:cstheme="minorHAnsi"/>
                <w:lang w:val="en-AU"/>
              </w:rPr>
              <w:t>.</w:t>
            </w:r>
          </w:p>
        </w:tc>
      </w:tr>
      <w:tr w:rsidR="00DD311E" w:rsidRPr="000C5235" w14:paraId="125098B6" w14:textId="77777777" w:rsidTr="003D755D">
        <w:trPr>
          <w:trHeight w:val="640"/>
        </w:trPr>
        <w:tc>
          <w:tcPr>
            <w:tcW w:w="279" w:type="dxa"/>
            <w:tcBorders>
              <w:left w:val="single" w:sz="4" w:space="0" w:color="000000"/>
              <w:bottom w:val="single" w:sz="4" w:space="0" w:color="000000"/>
            </w:tcBorders>
          </w:tcPr>
          <w:p w14:paraId="04409F19" w14:textId="77777777" w:rsidR="00DD311E" w:rsidRPr="000C5235" w:rsidRDefault="00DD311E" w:rsidP="00A10310">
            <w:pPr>
              <w:pStyle w:val="TableParagraph"/>
              <w:rPr>
                <w:rFonts w:ascii="Times New Roman"/>
                <w:lang w:val="en-AU"/>
              </w:rPr>
            </w:pPr>
          </w:p>
        </w:tc>
        <w:tc>
          <w:tcPr>
            <w:tcW w:w="306" w:type="dxa"/>
            <w:tcBorders>
              <w:bottom w:val="single" w:sz="4" w:space="0" w:color="000000"/>
            </w:tcBorders>
          </w:tcPr>
          <w:p w14:paraId="3E2442DC" w14:textId="77777777" w:rsidR="00DD311E" w:rsidRPr="000C5235" w:rsidRDefault="00DD311E" w:rsidP="00A10310">
            <w:pPr>
              <w:pStyle w:val="TableParagraph"/>
              <w:spacing w:before="59"/>
              <w:ind w:right="66"/>
              <w:jc w:val="center"/>
              <w:rPr>
                <w:rFonts w:ascii="Wingdings" w:hAnsi="Wingdings"/>
                <w:lang w:val="en-AU"/>
              </w:rPr>
            </w:pPr>
            <w:r w:rsidRPr="000C5235">
              <w:rPr>
                <w:rFonts w:ascii="Wingdings" w:hAnsi="Wingdings"/>
                <w:w w:val="99"/>
                <w:lang w:val="en-AU"/>
              </w:rPr>
              <w:t></w:t>
            </w:r>
          </w:p>
        </w:tc>
        <w:tc>
          <w:tcPr>
            <w:tcW w:w="8482" w:type="dxa"/>
            <w:tcBorders>
              <w:bottom w:val="single" w:sz="4" w:space="0" w:color="000000"/>
              <w:right w:val="single" w:sz="4" w:space="0" w:color="000000"/>
            </w:tcBorders>
          </w:tcPr>
          <w:p w14:paraId="1025B9AB" w14:textId="77777777" w:rsidR="00DD311E" w:rsidRPr="000C5235" w:rsidRDefault="00DD311E" w:rsidP="00A10310">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 xml:space="preserve">No – </w:t>
            </w:r>
            <w:r w:rsidR="00FC0A36" w:rsidRPr="000C5235">
              <w:rPr>
                <w:rFonts w:asciiTheme="minorHAnsi" w:hAnsiTheme="minorHAnsi" w:cstheme="minorHAnsi"/>
                <w:lang w:val="en-AU"/>
              </w:rPr>
              <w:t>Copy and paste the footnotes from the Word document as formatted text below the relevant tables in the Excel file.</w:t>
            </w:r>
          </w:p>
        </w:tc>
      </w:tr>
      <w:tr w:rsidR="00DD311E" w:rsidRPr="000C5235" w14:paraId="23A9CA2F" w14:textId="77777777" w:rsidTr="003D755D">
        <w:trPr>
          <w:trHeight w:val="360"/>
        </w:trPr>
        <w:tc>
          <w:tcPr>
            <w:tcW w:w="279" w:type="dxa"/>
            <w:tcBorders>
              <w:top w:val="single" w:sz="4" w:space="0" w:color="000000"/>
              <w:left w:val="single" w:sz="4" w:space="0" w:color="000000"/>
            </w:tcBorders>
            <w:shd w:val="clear" w:color="auto" w:fill="DADADA"/>
          </w:tcPr>
          <w:p w14:paraId="38FF2B73" w14:textId="77777777" w:rsidR="00DD311E" w:rsidRPr="000C5235" w:rsidRDefault="00B9777D" w:rsidP="00A10310">
            <w:pPr>
              <w:pStyle w:val="TableParagraph"/>
              <w:spacing w:line="257" w:lineRule="exact"/>
              <w:ind w:left="-1"/>
              <w:rPr>
                <w:lang w:val="en-AU"/>
              </w:rPr>
            </w:pPr>
            <w:r w:rsidRPr="000C5235">
              <w:rPr>
                <w:lang w:val="en-AU"/>
              </w:rPr>
              <w:t>11</w:t>
            </w:r>
            <w:r w:rsidR="00DD311E" w:rsidRPr="000C5235">
              <w:rPr>
                <w:lang w:val="en-AU"/>
              </w:rPr>
              <w:t>.</w:t>
            </w:r>
          </w:p>
        </w:tc>
        <w:tc>
          <w:tcPr>
            <w:tcW w:w="8788" w:type="dxa"/>
            <w:gridSpan w:val="2"/>
            <w:tcBorders>
              <w:top w:val="single" w:sz="4" w:space="0" w:color="000000"/>
              <w:right w:val="single" w:sz="4" w:space="0" w:color="000000"/>
            </w:tcBorders>
            <w:shd w:val="clear" w:color="auto" w:fill="DADADA"/>
          </w:tcPr>
          <w:p w14:paraId="3032B07F" w14:textId="77777777" w:rsidR="00DD311E" w:rsidRPr="000C5235" w:rsidRDefault="00B9777D" w:rsidP="00A10310">
            <w:pPr>
              <w:pStyle w:val="TableParagraph"/>
              <w:spacing w:before="2"/>
              <w:ind w:left="55"/>
              <w:rPr>
                <w:rFonts w:asciiTheme="minorHAnsi" w:hAnsiTheme="minorHAnsi" w:cstheme="minorHAnsi"/>
                <w:lang w:val="en-AU"/>
              </w:rPr>
            </w:pPr>
            <w:r w:rsidRPr="000C5235">
              <w:rPr>
                <w:rFonts w:asciiTheme="minorHAnsi" w:hAnsiTheme="minorHAnsi" w:cstheme="minorHAnsi"/>
                <w:lang w:val="en-AU"/>
              </w:rPr>
              <w:t>Final check for hidden comments, document properties, personal information and hidden text etc.</w:t>
            </w:r>
          </w:p>
        </w:tc>
      </w:tr>
      <w:tr w:rsidR="00DD311E" w:rsidRPr="000C5235" w14:paraId="0C5CD36D" w14:textId="77777777" w:rsidTr="003D755D">
        <w:trPr>
          <w:trHeight w:val="280"/>
        </w:trPr>
        <w:tc>
          <w:tcPr>
            <w:tcW w:w="279" w:type="dxa"/>
            <w:tcBorders>
              <w:left w:val="single" w:sz="4" w:space="0" w:color="000000"/>
            </w:tcBorders>
          </w:tcPr>
          <w:p w14:paraId="43BE42F1" w14:textId="77777777" w:rsidR="00DD311E" w:rsidRPr="000C5235" w:rsidRDefault="00DD311E" w:rsidP="00A10310">
            <w:pPr>
              <w:pStyle w:val="TableParagraph"/>
              <w:rPr>
                <w:rFonts w:ascii="Times New Roman"/>
                <w:lang w:val="en-AU"/>
              </w:rPr>
            </w:pPr>
          </w:p>
        </w:tc>
        <w:tc>
          <w:tcPr>
            <w:tcW w:w="306" w:type="dxa"/>
          </w:tcPr>
          <w:p w14:paraId="751AF788" w14:textId="77777777" w:rsidR="00DD311E" w:rsidRPr="000C5235" w:rsidRDefault="00DD311E" w:rsidP="00A10310">
            <w:pPr>
              <w:pStyle w:val="TableParagraph"/>
              <w:spacing w:line="220" w:lineRule="exact"/>
              <w:ind w:right="66"/>
              <w:jc w:val="center"/>
              <w:rPr>
                <w:rFonts w:ascii="Wingdings" w:hAnsi="Wingdings"/>
                <w:lang w:val="en-AU"/>
              </w:rPr>
            </w:pPr>
            <w:r w:rsidRPr="000C5235">
              <w:rPr>
                <w:rFonts w:ascii="Wingdings" w:hAnsi="Wingdings"/>
                <w:w w:val="99"/>
                <w:lang w:val="en-AU"/>
              </w:rPr>
              <w:t></w:t>
            </w:r>
          </w:p>
        </w:tc>
        <w:tc>
          <w:tcPr>
            <w:tcW w:w="8482" w:type="dxa"/>
            <w:tcBorders>
              <w:right w:val="single" w:sz="4" w:space="0" w:color="000000"/>
            </w:tcBorders>
          </w:tcPr>
          <w:p w14:paraId="26971066" w14:textId="77777777" w:rsidR="00DD311E" w:rsidRPr="000C5235" w:rsidRDefault="002808B0" w:rsidP="00A10310">
            <w:pPr>
              <w:pStyle w:val="TableParagraph"/>
              <w:spacing w:line="234" w:lineRule="exact"/>
              <w:ind w:left="123"/>
              <w:rPr>
                <w:rFonts w:asciiTheme="minorHAnsi" w:hAnsiTheme="minorHAnsi" w:cstheme="minorHAnsi"/>
                <w:lang w:val="en-AU"/>
              </w:rPr>
            </w:pPr>
            <w:r w:rsidRPr="000C5235">
              <w:rPr>
                <w:rFonts w:asciiTheme="minorHAnsi" w:hAnsiTheme="minorHAnsi" w:cstheme="minorHAnsi"/>
                <w:lang w:val="en-AU"/>
              </w:rPr>
              <w:t xml:space="preserve">No – In Excel 2013 and later versions, click the File tab, then “Check for </w:t>
            </w:r>
            <w:r w:rsidR="004B5F4F" w:rsidRPr="000C5235">
              <w:rPr>
                <w:rFonts w:asciiTheme="minorHAnsi" w:hAnsiTheme="minorHAnsi" w:cstheme="minorHAnsi"/>
                <w:lang w:val="en-AU"/>
              </w:rPr>
              <w:t>Issues “followed</w:t>
            </w:r>
            <w:r w:rsidRPr="000C5235">
              <w:rPr>
                <w:rFonts w:asciiTheme="minorHAnsi" w:hAnsiTheme="minorHAnsi" w:cstheme="minorHAnsi"/>
                <w:lang w:val="en-AU"/>
              </w:rPr>
              <w:t xml:space="preserve"> by “Inspect document”. Click “Inspect”. Click “Remove all”.</w:t>
            </w:r>
          </w:p>
        </w:tc>
      </w:tr>
      <w:tr w:rsidR="00DD311E" w:rsidRPr="000C5235" w14:paraId="052F67AE" w14:textId="77777777" w:rsidTr="003D755D">
        <w:trPr>
          <w:trHeight w:val="640"/>
        </w:trPr>
        <w:tc>
          <w:tcPr>
            <w:tcW w:w="279" w:type="dxa"/>
            <w:tcBorders>
              <w:left w:val="single" w:sz="4" w:space="0" w:color="000000"/>
              <w:bottom w:val="single" w:sz="4" w:space="0" w:color="000000"/>
            </w:tcBorders>
          </w:tcPr>
          <w:p w14:paraId="6027C32E" w14:textId="77777777" w:rsidR="00DD311E" w:rsidRPr="000C5235" w:rsidRDefault="00DD311E" w:rsidP="00A10310">
            <w:pPr>
              <w:pStyle w:val="TableParagraph"/>
              <w:rPr>
                <w:rFonts w:ascii="Times New Roman"/>
                <w:lang w:val="en-AU"/>
              </w:rPr>
            </w:pPr>
          </w:p>
        </w:tc>
        <w:tc>
          <w:tcPr>
            <w:tcW w:w="306" w:type="dxa"/>
            <w:tcBorders>
              <w:bottom w:val="single" w:sz="4" w:space="0" w:color="000000"/>
            </w:tcBorders>
          </w:tcPr>
          <w:p w14:paraId="70779998" w14:textId="77777777" w:rsidR="00DD311E" w:rsidRPr="000C5235" w:rsidRDefault="00DD311E" w:rsidP="00A10310">
            <w:pPr>
              <w:pStyle w:val="TableParagraph"/>
              <w:spacing w:before="59"/>
              <w:ind w:right="66"/>
              <w:jc w:val="center"/>
              <w:rPr>
                <w:rFonts w:ascii="Wingdings" w:hAnsi="Wingdings"/>
                <w:lang w:val="en-AU"/>
              </w:rPr>
            </w:pPr>
            <w:r w:rsidRPr="000C5235">
              <w:rPr>
                <w:rFonts w:ascii="Wingdings" w:hAnsi="Wingdings"/>
                <w:w w:val="99"/>
                <w:lang w:val="en-AU"/>
              </w:rPr>
              <w:t></w:t>
            </w:r>
          </w:p>
        </w:tc>
        <w:tc>
          <w:tcPr>
            <w:tcW w:w="8482" w:type="dxa"/>
            <w:tcBorders>
              <w:bottom w:val="single" w:sz="4" w:space="0" w:color="000000"/>
              <w:right w:val="single" w:sz="4" w:space="0" w:color="000000"/>
            </w:tcBorders>
          </w:tcPr>
          <w:p w14:paraId="374C4CE9" w14:textId="77777777" w:rsidR="00DD311E" w:rsidRPr="000C5235" w:rsidRDefault="002808B0" w:rsidP="00A10310">
            <w:pPr>
              <w:pStyle w:val="TableParagraph"/>
              <w:spacing w:before="61"/>
              <w:ind w:left="123" w:right="38"/>
              <w:rPr>
                <w:rFonts w:asciiTheme="minorHAnsi" w:hAnsiTheme="minorHAnsi" w:cstheme="minorHAnsi"/>
                <w:lang w:val="en-AU"/>
              </w:rPr>
            </w:pPr>
            <w:r w:rsidRPr="000C5235">
              <w:rPr>
                <w:rFonts w:asciiTheme="minorHAnsi" w:hAnsiTheme="minorHAnsi" w:cstheme="minorHAnsi"/>
                <w:lang w:val="en-AU"/>
              </w:rPr>
              <w:t>Yes – files can now be sent to Finance.</w:t>
            </w:r>
          </w:p>
        </w:tc>
      </w:tr>
    </w:tbl>
    <w:p w14:paraId="06A93A4F" w14:textId="77777777" w:rsidR="00A84F6D" w:rsidRPr="000C5235" w:rsidRDefault="00A84F6D" w:rsidP="000A7DEC">
      <w:pPr>
        <w:pStyle w:val="Heading2Numbered"/>
      </w:pPr>
      <w:bookmarkStart w:id="362" w:name="_Toc47951219"/>
      <w:r w:rsidRPr="000C5235">
        <w:t>Use of ISBN/ISSN number</w:t>
      </w:r>
      <w:bookmarkEnd w:id="362"/>
    </w:p>
    <w:p w14:paraId="252E8FBD" w14:textId="77777777" w:rsidR="005F01DF" w:rsidRPr="000C5235" w:rsidRDefault="00A84F6D">
      <w:r w:rsidRPr="000C5235">
        <w:t>The ISSN number is for a full set of documents whilst the ISBN is for a partial set of documents. Not every portfolio is required to produce a PAES but all portfolios are required to produce a PB Statement as they require an annual appropriation. Therefore, ISBN is assigned for PAES and ISSN is assigned for PB Statements.</w:t>
      </w:r>
    </w:p>
    <w:p w14:paraId="064D117E" w14:textId="77777777" w:rsidR="00FA0945" w:rsidRPr="000C5235" w:rsidRDefault="00FA0945" w:rsidP="000A7DEC">
      <w:pPr>
        <w:pStyle w:val="Heading2Numbered"/>
        <w:rPr>
          <w:rFonts w:ascii="Arial" w:hAnsi="Arial"/>
          <w:spacing w:val="-6"/>
          <w:szCs w:val="34"/>
        </w:rPr>
      </w:pPr>
      <w:bookmarkStart w:id="363" w:name="_Toc47951220"/>
      <w:r w:rsidRPr="000C5235">
        <w:t>Issuing a corrigendum</w:t>
      </w:r>
      <w:r w:rsidR="00E43670" w:rsidRPr="000C5235">
        <w:t xml:space="preserve"> / addendum</w:t>
      </w:r>
      <w:bookmarkEnd w:id="363"/>
    </w:p>
    <w:p w14:paraId="55A4BB5B" w14:textId="77777777" w:rsidR="00E43670" w:rsidRPr="000C5235" w:rsidRDefault="00E43670" w:rsidP="000A7DEC">
      <w:r w:rsidRPr="000C5235">
        <w:rPr>
          <w:rStyle w:val="BodyTextChar"/>
        </w:rPr>
        <w:t xml:space="preserve">If necessary, refer to the </w:t>
      </w:r>
      <w:r w:rsidR="00993CA2" w:rsidRPr="000C5235">
        <w:rPr>
          <w:rStyle w:val="BodyTextChar"/>
        </w:rPr>
        <w:t>PM&amp;C’s</w:t>
      </w:r>
      <w:r w:rsidRPr="000C5235">
        <w:rPr>
          <w:rStyle w:val="BodyTextChar"/>
        </w:rPr>
        <w:t xml:space="preserve"> </w:t>
      </w:r>
      <w:r w:rsidR="00D17DE7" w:rsidRPr="000C5235">
        <w:rPr>
          <w:rStyle w:val="BodyTextChar"/>
        </w:rPr>
        <w:t>Tabling Guidelines</w:t>
      </w:r>
      <w:r w:rsidRPr="000C5235">
        <w:rPr>
          <w:rStyle w:val="BodyTextChar"/>
        </w:rPr>
        <w:t xml:space="preserve"> at:</w:t>
      </w:r>
      <w:r w:rsidR="00966796" w:rsidRPr="000C5235">
        <w:rPr>
          <w:rStyle w:val="BodyTextChar"/>
        </w:rPr>
        <w:t xml:space="preserve"> </w:t>
      </w:r>
      <w:hyperlink r:id="rId43" w:history="1">
        <w:r w:rsidR="00890B06" w:rsidRPr="000C5235">
          <w:rPr>
            <w:rStyle w:val="Hyperlink"/>
            <w:rFonts w:asciiTheme="minorHAnsi" w:hAnsiTheme="minorHAnsi" w:cs="Times New Roman"/>
          </w:rPr>
          <w:t>www.pmc.gov.au/resource-centre/government/tabling-guidelines</w:t>
        </w:r>
      </w:hyperlink>
      <w:r w:rsidR="00D17DE7" w:rsidRPr="000C5235">
        <w:rPr>
          <w:rStyle w:val="BodyTextChar"/>
        </w:rPr>
        <w:t>.</w:t>
      </w:r>
    </w:p>
    <w:p w14:paraId="2BB46ED2" w14:textId="6A105D0F" w:rsidR="00E43670" w:rsidRPr="000C5235" w:rsidRDefault="00966796" w:rsidP="000A7DEC">
      <w:pPr>
        <w:rPr>
          <w:rStyle w:val="BodyTextChar"/>
        </w:rPr>
      </w:pPr>
      <w:r w:rsidRPr="000C5235">
        <w:rPr>
          <w:rStyle w:val="BodyTextChar"/>
        </w:rPr>
        <w:t>An addendum is required where information has been omitted / missing from the PB</w:t>
      </w:r>
      <w:r w:rsidR="00CD3E53" w:rsidRPr="000C5235">
        <w:rPr>
          <w:rStyle w:val="BodyTextChar"/>
        </w:rPr>
        <w:t xml:space="preserve"> </w:t>
      </w:r>
      <w:r w:rsidRPr="000C5235">
        <w:rPr>
          <w:rStyle w:val="BodyTextChar"/>
        </w:rPr>
        <w:t>S</w:t>
      </w:r>
      <w:r w:rsidR="00CD3E53" w:rsidRPr="000C5235">
        <w:rPr>
          <w:rStyle w:val="BodyTextChar"/>
        </w:rPr>
        <w:t>tatement</w:t>
      </w:r>
      <w:r w:rsidRPr="000C5235">
        <w:rPr>
          <w:rStyle w:val="BodyTextChar"/>
        </w:rPr>
        <w:t xml:space="preserve"> such as a table or a footnote. </w:t>
      </w:r>
      <w:r w:rsidR="00E43670" w:rsidRPr="000C5235">
        <w:rPr>
          <w:rStyle w:val="BodyTextChar"/>
        </w:rPr>
        <w:t xml:space="preserve">Portfolios </w:t>
      </w:r>
      <w:r w:rsidR="005836EB" w:rsidRPr="000C5235">
        <w:rPr>
          <w:rStyle w:val="BodyTextChar"/>
        </w:rPr>
        <w:t xml:space="preserve">who </w:t>
      </w:r>
      <w:r w:rsidR="00E43670" w:rsidRPr="000C5235">
        <w:rPr>
          <w:rStyle w:val="BodyTextChar"/>
        </w:rPr>
        <w:t>identify an error in their PB</w:t>
      </w:r>
      <w:r w:rsidR="00CD3E53" w:rsidRPr="000C5235">
        <w:rPr>
          <w:rStyle w:val="BodyTextChar"/>
        </w:rPr>
        <w:t> Statement</w:t>
      </w:r>
      <w:r w:rsidR="00B51CD3" w:rsidRPr="000C5235">
        <w:rPr>
          <w:rStyle w:val="BodyTextChar"/>
        </w:rPr>
        <w:t xml:space="preserve"> or</w:t>
      </w:r>
      <w:r w:rsidR="00E43670" w:rsidRPr="000C5235">
        <w:rPr>
          <w:rStyle w:val="BodyTextChar"/>
        </w:rPr>
        <w:t xml:space="preserve"> </w:t>
      </w:r>
      <w:r w:rsidR="00FC4C9C" w:rsidRPr="000C5235">
        <w:rPr>
          <w:rStyle w:val="BodyTextChar"/>
        </w:rPr>
        <w:t>PAES</w:t>
      </w:r>
      <w:r w:rsidR="00B51CD3" w:rsidRPr="000C5235">
        <w:rPr>
          <w:rStyle w:val="BodyTextChar"/>
        </w:rPr>
        <w:t xml:space="preserve"> </w:t>
      </w:r>
      <w:r w:rsidR="00E43670" w:rsidRPr="000C5235">
        <w:rPr>
          <w:rStyle w:val="BodyTextChar"/>
        </w:rPr>
        <w:t>should follow the following process:</w:t>
      </w:r>
    </w:p>
    <w:p w14:paraId="4F006568" w14:textId="1642FB62" w:rsidR="00B51CD3" w:rsidRPr="000C5235" w:rsidRDefault="00E43670" w:rsidP="000C42A6">
      <w:pPr>
        <w:pStyle w:val="Bullet1"/>
        <w:rPr>
          <w:rStyle w:val="BodyTextChar"/>
        </w:rPr>
      </w:pPr>
      <w:r w:rsidRPr="000C5235">
        <w:rPr>
          <w:rStyle w:val="BodyTextChar"/>
        </w:rPr>
        <w:t>Advise your Minister’s office of the error and seek approval for the updated PB</w:t>
      </w:r>
      <w:r w:rsidR="00CD3E53" w:rsidRPr="000C5235">
        <w:rPr>
          <w:rStyle w:val="BodyTextChar"/>
        </w:rPr>
        <w:t> </w:t>
      </w:r>
      <w:r w:rsidRPr="000C5235">
        <w:rPr>
          <w:rStyle w:val="BodyTextChar"/>
        </w:rPr>
        <w:t>S</w:t>
      </w:r>
      <w:r w:rsidR="00CD3E53" w:rsidRPr="000C5235">
        <w:rPr>
          <w:rStyle w:val="BodyTextChar"/>
        </w:rPr>
        <w:t>tatement</w:t>
      </w:r>
      <w:r w:rsidRPr="000C5235">
        <w:rPr>
          <w:rStyle w:val="BodyTextChar"/>
        </w:rPr>
        <w:t>/PAES tables and pages</w:t>
      </w:r>
      <w:r w:rsidR="004B2C47" w:rsidRPr="000C5235">
        <w:rPr>
          <w:rStyle w:val="BodyTextChar"/>
        </w:rPr>
        <w:t>.</w:t>
      </w:r>
      <w:r w:rsidR="00B51CD3" w:rsidRPr="000C5235">
        <w:rPr>
          <w:rStyle w:val="BodyTextChar"/>
        </w:rPr>
        <w:br w:type="page"/>
      </w:r>
    </w:p>
    <w:p w14:paraId="5C313F00" w14:textId="636795C1" w:rsidR="00E43670" w:rsidRPr="000C5235" w:rsidRDefault="00E43670" w:rsidP="005737B6">
      <w:pPr>
        <w:pStyle w:val="Bullet2"/>
        <w:rPr>
          <w:rStyle w:val="BodyTextChar"/>
          <w:rFonts w:asciiTheme="minorHAnsi" w:hAnsiTheme="minorHAnsi"/>
        </w:rPr>
      </w:pPr>
      <w:r w:rsidRPr="000C5235">
        <w:rPr>
          <w:rStyle w:val="BodyTextChar"/>
        </w:rPr>
        <w:t>Contact the PM&amp;C Tabling Officer to advise that a correction is required:(02) 6277 7212 or</w:t>
      </w:r>
    </w:p>
    <w:p w14:paraId="684ABEDC" w14:textId="77777777" w:rsidR="00E43670" w:rsidRPr="000C5235" w:rsidRDefault="00A774B1">
      <w:pPr>
        <w:pStyle w:val="Bullet2"/>
        <w:rPr>
          <w:rStyle w:val="BodyTextChar"/>
        </w:rPr>
      </w:pPr>
      <w:hyperlink r:id="rId44" w:history="1">
        <w:r w:rsidR="00E43670" w:rsidRPr="000C5235">
          <w:rPr>
            <w:rStyle w:val="Hyperlink"/>
          </w:rPr>
          <w:t>tabling@pmc.gov.au</w:t>
        </w:r>
      </w:hyperlink>
      <w:r w:rsidR="00E43670" w:rsidRPr="000C5235">
        <w:rPr>
          <w:rStyle w:val="BodyTextChar"/>
        </w:rPr>
        <w:t>.</w:t>
      </w:r>
    </w:p>
    <w:p w14:paraId="1688F24A" w14:textId="77777777" w:rsidR="00E43670" w:rsidRPr="000C5235" w:rsidRDefault="00E43670">
      <w:pPr>
        <w:pStyle w:val="Bullet1"/>
        <w:rPr>
          <w:rStyle w:val="BodyTextChar"/>
        </w:rPr>
      </w:pPr>
      <w:r w:rsidRPr="000C5235">
        <w:rPr>
          <w:rStyle w:val="BodyTextChar"/>
        </w:rPr>
        <w:t xml:space="preserve">If the error affects figures published in the </w:t>
      </w:r>
      <w:r w:rsidR="00A671CE" w:rsidRPr="000C5235">
        <w:rPr>
          <w:rStyle w:val="BodyTextChar"/>
        </w:rPr>
        <w:t>BP</w:t>
      </w:r>
      <w:r w:rsidRPr="000C5235">
        <w:rPr>
          <w:rStyle w:val="BodyTextChar"/>
        </w:rPr>
        <w:t xml:space="preserve"> and/or Appropriation Bills, your Minister must submit the corrigendum (and background reports) to the Finance Minister for approval (and if required to be tabled out-of-session, a Transmittal letter - see below)</w:t>
      </w:r>
    </w:p>
    <w:p w14:paraId="1EC3B7BC" w14:textId="77777777" w:rsidR="00E43670" w:rsidRPr="000C5235" w:rsidRDefault="00E43670">
      <w:pPr>
        <w:pStyle w:val="Bullet2"/>
      </w:pPr>
      <w:r w:rsidRPr="000C5235">
        <w:t xml:space="preserve">You must also advise your AAU and the </w:t>
      </w:r>
      <w:r w:rsidR="00CF6DF3" w:rsidRPr="000C5235">
        <w:t xml:space="preserve">Agency Accounting and </w:t>
      </w:r>
      <w:r w:rsidRPr="000C5235">
        <w:t>Budget Framework</w:t>
      </w:r>
      <w:r w:rsidR="001943BB" w:rsidRPr="000C5235">
        <w:t xml:space="preserve"> </w:t>
      </w:r>
      <w:r w:rsidRPr="000C5235">
        <w:t xml:space="preserve">Team </w:t>
      </w:r>
      <w:r w:rsidR="00A753A3" w:rsidRPr="000C5235">
        <w:t>(</w:t>
      </w:r>
      <w:hyperlink r:id="rId45" w:history="1">
        <w:r w:rsidR="00A753A3" w:rsidRPr="000C5235">
          <w:rPr>
            <w:rStyle w:val="Hyperlink"/>
            <w:rFonts w:cs="Times New Roman"/>
          </w:rPr>
          <w:t>Budget_Framework@finance.gov.au</w:t>
        </w:r>
      </w:hyperlink>
      <w:r w:rsidR="00A753A3" w:rsidRPr="000C5235">
        <w:t xml:space="preserve">) </w:t>
      </w:r>
      <w:r w:rsidRPr="000C5235">
        <w:t>prior to submitting the corrigendum to the Finance Minister for approval.</w:t>
      </w:r>
    </w:p>
    <w:p w14:paraId="556C5946" w14:textId="77777777" w:rsidR="00E43670" w:rsidRPr="000C5235" w:rsidRDefault="00E43670">
      <w:pPr>
        <w:pStyle w:val="Bullet1"/>
        <w:rPr>
          <w:rStyle w:val="BodyTextChar"/>
        </w:rPr>
      </w:pPr>
      <w:r w:rsidRPr="000C5235">
        <w:rPr>
          <w:rStyle w:val="BodyTextChar"/>
        </w:rPr>
        <w:t>Corrections will be tabled in the same manner and subject to the same copy requirements (including approval by the relevant Minister) as the original report.</w:t>
      </w:r>
    </w:p>
    <w:p w14:paraId="38A9B230" w14:textId="77777777" w:rsidR="00E43670" w:rsidRPr="000C5235" w:rsidRDefault="00E43670">
      <w:pPr>
        <w:pStyle w:val="Bullet1"/>
        <w:rPr>
          <w:rStyle w:val="BodyTextChar"/>
        </w:rPr>
      </w:pPr>
      <w:r w:rsidRPr="000C5235">
        <w:rPr>
          <w:rStyle w:val="BodyTextChar"/>
        </w:rPr>
        <w:t>Following approval by your Minister (and where required, the Finance Minister)</w:t>
      </w:r>
      <w:r w:rsidR="001943BB" w:rsidRPr="000C5235">
        <w:rPr>
          <w:rStyle w:val="BodyTextChar"/>
        </w:rPr>
        <w:t>, f</w:t>
      </w:r>
      <w:r w:rsidRPr="000C5235">
        <w:rPr>
          <w:rStyle w:val="BodyTextChar"/>
        </w:rPr>
        <w:t xml:space="preserve">or </w:t>
      </w:r>
      <w:r w:rsidRPr="000C5235">
        <w:rPr>
          <w:rStyle w:val="BodyTextChar"/>
          <w:b/>
          <w:u w:val="single"/>
        </w:rPr>
        <w:t>in</w:t>
      </w:r>
      <w:r w:rsidR="00C20907" w:rsidRPr="000C5235">
        <w:rPr>
          <w:rStyle w:val="BodyTextChar"/>
          <w:b/>
          <w:u w:val="single"/>
        </w:rPr>
        <w:noBreakHyphen/>
      </w:r>
      <w:r w:rsidRPr="000C5235">
        <w:rPr>
          <w:rStyle w:val="BodyTextChar"/>
          <w:b/>
          <w:u w:val="single"/>
        </w:rPr>
        <w:t>session tabling</w:t>
      </w:r>
      <w:r w:rsidR="00E10C89" w:rsidRPr="000C5235">
        <w:rPr>
          <w:rStyle w:val="BodyTextChar"/>
          <w:b/>
        </w:rPr>
        <w:t xml:space="preserve"> </w:t>
      </w:r>
      <w:r w:rsidR="00E10C89" w:rsidRPr="000C5235">
        <w:rPr>
          <w:rStyle w:val="BodyTextChar"/>
        </w:rPr>
        <w:t>(ie</w:t>
      </w:r>
      <w:r w:rsidRPr="000C5235">
        <w:rPr>
          <w:rStyle w:val="BodyTextChar"/>
        </w:rPr>
        <w:t xml:space="preserve"> </w:t>
      </w:r>
      <w:r w:rsidR="0029449C" w:rsidRPr="000C5235">
        <w:rPr>
          <w:rStyle w:val="BodyTextChar"/>
        </w:rPr>
        <w:t xml:space="preserve">when </w:t>
      </w:r>
      <w:r w:rsidRPr="000C5235">
        <w:rPr>
          <w:rStyle w:val="BodyTextChar"/>
        </w:rPr>
        <w:t xml:space="preserve">Parliament </w:t>
      </w:r>
      <w:r w:rsidRPr="000C5235">
        <w:rPr>
          <w:rStyle w:val="BodyTextChar"/>
          <w:u w:val="single"/>
        </w:rPr>
        <w:t>is</w:t>
      </w:r>
      <w:r w:rsidRPr="000C5235">
        <w:rPr>
          <w:rStyle w:val="BodyTextChar"/>
        </w:rPr>
        <w:t xml:space="preserve"> sitting</w:t>
      </w:r>
      <w:r w:rsidR="00E10C89" w:rsidRPr="000C5235">
        <w:rPr>
          <w:rStyle w:val="BodyTextChar"/>
        </w:rPr>
        <w:t>)</w:t>
      </w:r>
      <w:r w:rsidRPr="000C5235">
        <w:rPr>
          <w:rStyle w:val="BodyTextChar"/>
        </w:rPr>
        <w:t>:</w:t>
      </w:r>
    </w:p>
    <w:p w14:paraId="6125BA85" w14:textId="77777777" w:rsidR="00E43670" w:rsidRPr="000C5235" w:rsidRDefault="00E43670">
      <w:pPr>
        <w:pStyle w:val="Bullet2"/>
        <w:rPr>
          <w:rStyle w:val="BodyTextChar"/>
          <w:rFonts w:asciiTheme="minorHAnsi" w:hAnsiTheme="minorHAnsi"/>
        </w:rPr>
      </w:pPr>
      <w:r w:rsidRPr="000C5235">
        <w:rPr>
          <w:rStyle w:val="BodyTextChar"/>
        </w:rPr>
        <w:t xml:space="preserve">A covering memorandum should be provided to the PM&amp;C Tabling Officer. This memorandum does not need to be approved by the Minister, but does </w:t>
      </w:r>
      <w:r w:rsidRPr="000C5235">
        <w:rPr>
          <w:rStyle w:val="BodyTextChar"/>
          <w:u w:val="single"/>
        </w:rPr>
        <w:t>need</w:t>
      </w:r>
      <w:r w:rsidRPr="000C5235">
        <w:rPr>
          <w:rStyle w:val="BodyTextChar"/>
        </w:rPr>
        <w:t xml:space="preserve"> to note the </w:t>
      </w:r>
      <w:r w:rsidRPr="000C5235">
        <w:rPr>
          <w:rStyle w:val="BodyTextChar"/>
          <w:u w:val="single"/>
        </w:rPr>
        <w:t>Minister’s approval</w:t>
      </w:r>
      <w:r w:rsidRPr="000C5235">
        <w:rPr>
          <w:rStyle w:val="BodyTextChar"/>
        </w:rPr>
        <w:t xml:space="preserve"> of the corrigendum.</w:t>
      </w:r>
    </w:p>
    <w:p w14:paraId="7F716D69" w14:textId="77777777" w:rsidR="00E43670" w:rsidRPr="000C5235" w:rsidRDefault="00E43670">
      <w:pPr>
        <w:pStyle w:val="Bullet3"/>
        <w:rPr>
          <w:rStyle w:val="BodyTextChar"/>
        </w:rPr>
      </w:pPr>
      <w:r w:rsidRPr="000C5235">
        <w:rPr>
          <w:rStyle w:val="BodyTextChar"/>
        </w:rPr>
        <w:t>The covering sheet for government documents and copies of the corrigendum should also be provided to the PM&amp;C Tabling Officer.</w:t>
      </w:r>
    </w:p>
    <w:p w14:paraId="3D7F40F8" w14:textId="77777777" w:rsidR="00E43670" w:rsidRPr="000C5235" w:rsidRDefault="00E43670">
      <w:pPr>
        <w:pStyle w:val="Bullet1"/>
        <w:rPr>
          <w:rStyle w:val="BodyTextChar"/>
        </w:rPr>
      </w:pPr>
      <w:r w:rsidRPr="000C5235">
        <w:rPr>
          <w:rStyle w:val="BodyTextChar"/>
        </w:rPr>
        <w:t xml:space="preserve">For </w:t>
      </w:r>
      <w:r w:rsidRPr="000C5235">
        <w:rPr>
          <w:rStyle w:val="BodyTextChar"/>
          <w:b/>
          <w:u w:val="single"/>
        </w:rPr>
        <w:t>out-of-session tabling</w:t>
      </w:r>
      <w:r w:rsidRPr="000C5235">
        <w:rPr>
          <w:rStyle w:val="BodyTextChar"/>
        </w:rPr>
        <w:t xml:space="preserve"> </w:t>
      </w:r>
      <w:r w:rsidR="00E10C89" w:rsidRPr="000C5235">
        <w:rPr>
          <w:rStyle w:val="BodyTextChar"/>
        </w:rPr>
        <w:t>(ie</w:t>
      </w:r>
      <w:r w:rsidRPr="000C5235">
        <w:rPr>
          <w:rStyle w:val="BodyTextChar"/>
        </w:rPr>
        <w:t xml:space="preserve"> </w:t>
      </w:r>
      <w:r w:rsidR="0029449C" w:rsidRPr="000C5235">
        <w:rPr>
          <w:rStyle w:val="BodyTextChar"/>
        </w:rPr>
        <w:t xml:space="preserve">when </w:t>
      </w:r>
      <w:r w:rsidRPr="000C5235">
        <w:rPr>
          <w:rStyle w:val="BodyTextChar"/>
        </w:rPr>
        <w:t xml:space="preserve">Parliament </w:t>
      </w:r>
      <w:r w:rsidRPr="000C5235">
        <w:rPr>
          <w:rStyle w:val="BodyTextChar"/>
          <w:u w:val="single"/>
        </w:rPr>
        <w:t>is not</w:t>
      </w:r>
      <w:r w:rsidRPr="000C5235">
        <w:rPr>
          <w:rStyle w:val="BodyTextChar"/>
        </w:rPr>
        <w:t xml:space="preserve"> sitting</w:t>
      </w:r>
      <w:r w:rsidR="00E10C89" w:rsidRPr="000C5235">
        <w:rPr>
          <w:rStyle w:val="BodyTextChar"/>
        </w:rPr>
        <w:t>)</w:t>
      </w:r>
      <w:r w:rsidRPr="000C5235">
        <w:rPr>
          <w:rStyle w:val="BodyTextChar"/>
        </w:rPr>
        <w:t>:</w:t>
      </w:r>
    </w:p>
    <w:p w14:paraId="55EC2C41" w14:textId="77777777" w:rsidR="00E43670" w:rsidRPr="000C5235" w:rsidRDefault="00E43670">
      <w:pPr>
        <w:pStyle w:val="Bullet2"/>
        <w:rPr>
          <w:rStyle w:val="BodyTextChar"/>
        </w:rPr>
      </w:pPr>
      <w:r w:rsidRPr="000C5235">
        <w:rPr>
          <w:rStyle w:val="BodyTextChar"/>
        </w:rPr>
        <w:t xml:space="preserve">The Senate Tabling Office must be advised of the requirement to table the corrigendum out-of-session. </w:t>
      </w:r>
    </w:p>
    <w:p w14:paraId="606AA25D" w14:textId="77777777" w:rsidR="00E43670" w:rsidRPr="000C5235" w:rsidRDefault="00E43670">
      <w:pPr>
        <w:pStyle w:val="Bullet2"/>
        <w:rPr>
          <w:rStyle w:val="BodyTextChar"/>
        </w:rPr>
      </w:pPr>
      <w:r w:rsidRPr="000C5235">
        <w:rPr>
          <w:rStyle w:val="BodyTextChar"/>
        </w:rPr>
        <w:t xml:space="preserve">A covering memorandum should be provided to the PM&amp;C Tabling Officer. This memorandum does not need to be approved by the Minister, but does </w:t>
      </w:r>
      <w:r w:rsidRPr="000C5235">
        <w:rPr>
          <w:rStyle w:val="BodyTextChar"/>
          <w:u w:val="single"/>
        </w:rPr>
        <w:t>need</w:t>
      </w:r>
      <w:r w:rsidRPr="000C5235">
        <w:rPr>
          <w:rStyle w:val="BodyTextChar"/>
        </w:rPr>
        <w:t xml:space="preserve"> to note the </w:t>
      </w:r>
      <w:r w:rsidRPr="000C5235">
        <w:rPr>
          <w:rStyle w:val="BodyTextChar"/>
          <w:u w:val="single"/>
        </w:rPr>
        <w:t>Minister’s approval</w:t>
      </w:r>
      <w:r w:rsidRPr="000C5235">
        <w:rPr>
          <w:rStyle w:val="BodyTextChar"/>
        </w:rPr>
        <w:t xml:space="preserve"> of the corrigendum.</w:t>
      </w:r>
    </w:p>
    <w:p w14:paraId="75E3A113" w14:textId="77777777" w:rsidR="00993CA2" w:rsidRPr="000C5235" w:rsidRDefault="00E43670">
      <w:pPr>
        <w:pStyle w:val="Bullet3"/>
        <w:rPr>
          <w:rStyle w:val="BodyTextChar"/>
        </w:rPr>
      </w:pPr>
      <w:r w:rsidRPr="000C5235">
        <w:rPr>
          <w:rStyle w:val="BodyTextChar"/>
        </w:rPr>
        <w:t>The covering sheet for government documents and copies of the corrigendum should also be provided to the PM&amp;C Tabling Officer.</w:t>
      </w:r>
    </w:p>
    <w:p w14:paraId="38A74732" w14:textId="77777777" w:rsidR="00E43670" w:rsidRPr="000C5235" w:rsidRDefault="00E43670" w:rsidP="000A7DEC">
      <w:pPr>
        <w:pStyle w:val="Bullet3"/>
        <w:rPr>
          <w:rStyle w:val="BodyTextChar"/>
        </w:rPr>
      </w:pPr>
      <w:r w:rsidRPr="000C5235">
        <w:rPr>
          <w:rStyle w:val="BodyTextChar"/>
        </w:rPr>
        <w:t xml:space="preserve">A Transmittal letter </w:t>
      </w:r>
      <w:r w:rsidR="0029449C" w:rsidRPr="000C5235">
        <w:rPr>
          <w:rStyle w:val="BodyTextChar"/>
        </w:rPr>
        <w:t xml:space="preserve">is required to be sent by </w:t>
      </w:r>
      <w:r w:rsidRPr="000C5235">
        <w:rPr>
          <w:rStyle w:val="BodyTextChar"/>
        </w:rPr>
        <w:t xml:space="preserve">the </w:t>
      </w:r>
      <w:r w:rsidR="0029449C" w:rsidRPr="000C5235">
        <w:rPr>
          <w:rStyle w:val="BodyTextChar"/>
        </w:rPr>
        <w:t xml:space="preserve">Portfolio </w:t>
      </w:r>
      <w:r w:rsidRPr="000C5235">
        <w:rPr>
          <w:rStyle w:val="BodyTextChar"/>
        </w:rPr>
        <w:t>Minister to the President of the Senate to present a document when the Senate is not sitting.</w:t>
      </w:r>
    </w:p>
    <w:p w14:paraId="04631538" w14:textId="77777777" w:rsidR="00993CA2" w:rsidRPr="000C5235" w:rsidRDefault="00E43670">
      <w:pPr>
        <w:pStyle w:val="Bullet1"/>
        <w:rPr>
          <w:rStyle w:val="BodyTextChar"/>
        </w:rPr>
      </w:pPr>
      <w:r w:rsidRPr="000C5235">
        <w:rPr>
          <w:rStyle w:val="BodyTextChar"/>
        </w:rPr>
        <w:t xml:space="preserve">Following tabling in Parliament, a soft copy of the corrigendum and any updated Excel tables for data.gov.au should be emailed to </w:t>
      </w:r>
      <w:hyperlink r:id="rId46" w:history="1">
        <w:r w:rsidR="005B2724" w:rsidRPr="000C5235">
          <w:rPr>
            <w:rStyle w:val="Hyperlink"/>
            <w:rFonts w:cs="Times New Roman"/>
          </w:rPr>
          <w:t>Budget_Framework@finance.gov.au</w:t>
        </w:r>
      </w:hyperlink>
      <w:r w:rsidR="00993CA2" w:rsidRPr="000C5235">
        <w:rPr>
          <w:rStyle w:val="BodyTextChar"/>
        </w:rPr>
        <w:t>.</w:t>
      </w:r>
    </w:p>
    <w:p w14:paraId="6831C6D4" w14:textId="77777777" w:rsidR="00AA5DDA" w:rsidRPr="000C5235" w:rsidRDefault="00AA5DDA" w:rsidP="000A7DEC">
      <w:pPr>
        <w:pStyle w:val="Bullet1"/>
        <w:sectPr w:rsidR="00AA5DDA" w:rsidRPr="000C5235" w:rsidSect="000A7DEC">
          <w:headerReference w:type="even" r:id="rId47"/>
          <w:headerReference w:type="default" r:id="rId48"/>
          <w:footerReference w:type="default" r:id="rId49"/>
          <w:headerReference w:type="first" r:id="rId50"/>
          <w:pgSz w:w="11900" w:h="16840" w:code="9"/>
          <w:pgMar w:top="1418" w:right="1418" w:bottom="1701" w:left="1418" w:header="510" w:footer="510" w:gutter="0"/>
          <w:cols w:space="708"/>
          <w:docGrid w:linePitch="360"/>
        </w:sectPr>
      </w:pPr>
      <w:bookmarkStart w:id="364" w:name="_Toc411852671"/>
    </w:p>
    <w:p w14:paraId="58A5A9C7" w14:textId="77777777" w:rsidR="00EB2E04" w:rsidRPr="000C5235" w:rsidRDefault="00FA0945" w:rsidP="00A10310">
      <w:pPr>
        <w:pStyle w:val="CoverPage"/>
        <w:rPr>
          <w:bCs/>
        </w:rPr>
        <w:sectPr w:rsidR="00EB2E04" w:rsidRPr="000C5235" w:rsidSect="000A7DEC">
          <w:pgSz w:w="11900" w:h="16840" w:code="9"/>
          <w:pgMar w:top="1418" w:right="1418" w:bottom="1701" w:left="1418" w:header="510" w:footer="510" w:gutter="0"/>
          <w:cols w:space="708"/>
          <w:vAlign w:val="center"/>
          <w:docGrid w:linePitch="360"/>
        </w:sectPr>
      </w:pPr>
      <w:r w:rsidRPr="000C5235">
        <w:t>Guidance on the preparation of the</w:t>
      </w:r>
      <w:r w:rsidR="00AA5DDA" w:rsidRPr="000C5235">
        <w:br/>
      </w:r>
      <w:r w:rsidR="009B02AB" w:rsidRPr="000C5235">
        <w:t>2020-21</w:t>
      </w:r>
      <w:r w:rsidRPr="000C5235">
        <w:t xml:space="preserve"> PB Statements</w:t>
      </w:r>
    </w:p>
    <w:p w14:paraId="666F0D4F" w14:textId="77777777" w:rsidR="00FA0945" w:rsidRPr="000C5235" w:rsidRDefault="00FA0945" w:rsidP="000A7DEC">
      <w:pPr>
        <w:pStyle w:val="Heading1Numbered"/>
      </w:pPr>
      <w:bookmarkStart w:id="365" w:name="_Toc47951221"/>
      <w:r w:rsidRPr="000C5235">
        <w:t xml:space="preserve">Portfolio </w:t>
      </w:r>
      <w:r w:rsidR="00B932FB" w:rsidRPr="000C5235">
        <w:t>o</w:t>
      </w:r>
      <w:r w:rsidRPr="000C5235">
        <w:t>verview section</w:t>
      </w:r>
      <w:bookmarkEnd w:id="364"/>
      <w:bookmarkEnd w:id="365"/>
    </w:p>
    <w:p w14:paraId="4D5E7D9E" w14:textId="77777777" w:rsidR="001C70F1" w:rsidRPr="000C5235" w:rsidRDefault="00FA0945" w:rsidP="000A7DEC">
      <w:pPr>
        <w:rPr>
          <w:rStyle w:val="BodyTextChar"/>
          <w:rFonts w:asciiTheme="majorHAnsi" w:hAnsiTheme="majorHAnsi"/>
          <w:color w:val="1C1C1C" w:themeColor="text2"/>
          <w:sz w:val="34"/>
          <w:szCs w:val="26"/>
        </w:rPr>
      </w:pPr>
      <w:r w:rsidRPr="000C5235">
        <w:rPr>
          <w:rStyle w:val="BodyTextChar"/>
        </w:rPr>
        <w:t xml:space="preserve">The </w:t>
      </w:r>
      <w:r w:rsidRPr="000C5235">
        <w:rPr>
          <w:rStyle w:val="BodyTextChar"/>
          <w:i/>
        </w:rPr>
        <w:t>Portfolio Overview</w:t>
      </w:r>
      <w:r w:rsidRPr="000C5235">
        <w:rPr>
          <w:rStyle w:val="BodyTextChar"/>
        </w:rPr>
        <w:t xml:space="preserve"> section of the PB Statements is intended to provide the reader with a high-level summary of the portfolio, its Minister(s), portfolio entities, goals/objectives, and structure.</w:t>
      </w:r>
    </w:p>
    <w:p w14:paraId="3D060225" w14:textId="77777777" w:rsidR="00FA0945" w:rsidRPr="000C5235" w:rsidRDefault="00FA0945" w:rsidP="000A7DEC">
      <w:pPr>
        <w:rPr>
          <w:rStyle w:val="BodyTextChar"/>
        </w:rPr>
      </w:pPr>
      <w:r w:rsidRPr="000C5235">
        <w:rPr>
          <w:rStyle w:val="BodyTextChar"/>
        </w:rPr>
        <w:t xml:space="preserve">This section should include brief descriptions of portfolio entities and only include information that is relevant and specific from a portfolio perspective. This will avoid unnecessary duplication of entity-specific information presented in later sections. </w:t>
      </w:r>
      <w:r w:rsidR="00E31683" w:rsidRPr="000C5235">
        <w:rPr>
          <w:rStyle w:val="BodyTextChar"/>
        </w:rPr>
        <w:t xml:space="preserve">All entities within the portfolio are to be included, for example, entities outside of the General Government Sector. Please refer to the most current </w:t>
      </w:r>
      <w:r w:rsidR="000C53A8" w:rsidRPr="000C5235">
        <w:rPr>
          <w:rStyle w:val="BodyTextChar"/>
          <w:i/>
        </w:rPr>
        <w:t xml:space="preserve">PGPA </w:t>
      </w:r>
      <w:r w:rsidR="000C53A8" w:rsidRPr="000C5235">
        <w:rPr>
          <w:rStyle w:val="BodyTextChar"/>
        </w:rPr>
        <w:t>Act</w:t>
      </w:r>
      <w:r w:rsidR="000C53A8" w:rsidRPr="000C5235">
        <w:rPr>
          <w:rStyle w:val="BodyTextChar"/>
          <w:i/>
        </w:rPr>
        <w:t xml:space="preserve"> </w:t>
      </w:r>
      <w:r w:rsidR="00E31683" w:rsidRPr="000C5235">
        <w:rPr>
          <w:rStyle w:val="BodyTextChar"/>
          <w:i/>
        </w:rPr>
        <w:t>Flipchart</w:t>
      </w:r>
      <w:r w:rsidR="00E31683" w:rsidRPr="000C5235">
        <w:rPr>
          <w:rStyle w:val="BodyTextChar"/>
        </w:rPr>
        <w:t xml:space="preserve"> of PGPA</w:t>
      </w:r>
      <w:r w:rsidR="00761FCC" w:rsidRPr="000C5235">
        <w:rPr>
          <w:rStyle w:val="BodyTextChar"/>
        </w:rPr>
        <w:t xml:space="preserve"> Act</w:t>
      </w:r>
      <w:r w:rsidR="00761FCC" w:rsidRPr="000C5235">
        <w:rPr>
          <w:rStyle w:val="BodyTextChar"/>
          <w:i/>
        </w:rPr>
        <w:t xml:space="preserve"> </w:t>
      </w:r>
      <w:r w:rsidR="00761FCC" w:rsidRPr="000C5235">
        <w:rPr>
          <w:rStyle w:val="BodyTextChar"/>
        </w:rPr>
        <w:t>entities</w:t>
      </w:r>
      <w:r w:rsidR="002808B0" w:rsidRPr="000C5235">
        <w:rPr>
          <w:rStyle w:val="BodyTextChar"/>
        </w:rPr>
        <w:t xml:space="preserve"> which can be found here:</w:t>
      </w:r>
    </w:p>
    <w:p w14:paraId="2A8D26ED" w14:textId="77777777" w:rsidR="002808B0" w:rsidRPr="000C5235" w:rsidRDefault="00A774B1" w:rsidP="000A7DEC">
      <w:pPr>
        <w:rPr>
          <w:rStyle w:val="BodyTextChar"/>
        </w:rPr>
      </w:pPr>
      <w:hyperlink r:id="rId51" w:history="1">
        <w:r w:rsidR="002808B0" w:rsidRPr="000C5235">
          <w:rPr>
            <w:rStyle w:val="Hyperlink"/>
            <w:rFonts w:asciiTheme="minorHAnsi" w:eastAsia="Cambria" w:hAnsiTheme="minorHAnsi" w:cs="Times New Roman"/>
          </w:rPr>
          <w:t>https://www.finance.gov.au/government/managing-commonwealth-resources/structure-australian-government-public-sector</w:t>
        </w:r>
      </w:hyperlink>
    </w:p>
    <w:p w14:paraId="041B11A4" w14:textId="77777777" w:rsidR="00767AB3" w:rsidRPr="000C5235" w:rsidRDefault="00FA0945" w:rsidP="000A7DEC">
      <w:pPr>
        <w:rPr>
          <w:rStyle w:val="BodyTextChar"/>
        </w:rPr>
      </w:pPr>
      <w:r w:rsidRPr="000C5235">
        <w:rPr>
          <w:rStyle w:val="BodyTextChar"/>
        </w:rPr>
        <w:t>Information at a department or entity level should be included only where it contributes to a broader understanding of portfolio goals and responsibilities.</w:t>
      </w:r>
    </w:p>
    <w:p w14:paraId="1D807541" w14:textId="77777777" w:rsidR="00FA0945" w:rsidRPr="000C5235" w:rsidRDefault="00FA0945" w:rsidP="000A7DEC">
      <w:pPr>
        <w:rPr>
          <w:rStyle w:val="BodyTextChar"/>
          <w:u w:val="single"/>
        </w:rPr>
      </w:pPr>
      <w:r w:rsidRPr="000C5235">
        <w:rPr>
          <w:rStyle w:val="BodyTextChar"/>
          <w:u w:val="single"/>
        </w:rPr>
        <w:t>Components of Portfolio overview:</w:t>
      </w:r>
    </w:p>
    <w:p w14:paraId="641F0CB0" w14:textId="77777777" w:rsidR="00FA0945" w:rsidRPr="000C5235" w:rsidRDefault="00FA0945">
      <w:pPr>
        <w:pStyle w:val="Bullet1"/>
        <w:rPr>
          <w:rStyle w:val="BodyTextChar"/>
        </w:rPr>
      </w:pPr>
      <w:r w:rsidRPr="000C5235">
        <w:rPr>
          <w:rStyle w:val="BodyTextChar"/>
        </w:rPr>
        <w:t xml:space="preserve">Minister(s) and portfolio responsibilities – text description of portfolio of around two pages. </w:t>
      </w:r>
    </w:p>
    <w:p w14:paraId="1636A01F" w14:textId="77777777" w:rsidR="00FA0945" w:rsidRPr="000C5235" w:rsidRDefault="00FA0945">
      <w:pPr>
        <w:pStyle w:val="Bullet1"/>
        <w:rPr>
          <w:rStyle w:val="BodyTextChar"/>
        </w:rPr>
      </w:pPr>
      <w:r w:rsidRPr="000C5235">
        <w:rPr>
          <w:rStyle w:val="BodyTextChar"/>
        </w:rPr>
        <w:t xml:space="preserve">Portfolio structure and outcomes </w:t>
      </w:r>
    </w:p>
    <w:p w14:paraId="48A9731E" w14:textId="77777777" w:rsidR="00FA0945" w:rsidRPr="000C5235" w:rsidRDefault="00FA0945">
      <w:pPr>
        <w:pStyle w:val="Bullet2"/>
        <w:rPr>
          <w:rStyle w:val="BodyTextChar"/>
        </w:rPr>
      </w:pPr>
      <w:r w:rsidRPr="000C5235">
        <w:rPr>
          <w:rStyle w:val="BodyTextChar"/>
        </w:rPr>
        <w:t>Figure 1: Portfolio structure and outcomes</w:t>
      </w:r>
      <w:r w:rsidR="006D021E" w:rsidRPr="000C5235">
        <w:rPr>
          <w:rStyle w:val="BodyTextChar"/>
        </w:rPr>
        <w:t>.</w:t>
      </w:r>
    </w:p>
    <w:p w14:paraId="27B22609" w14:textId="77777777" w:rsidR="00FA0945" w:rsidRPr="000C5235" w:rsidRDefault="00FA0945" w:rsidP="000A7DEC">
      <w:pPr>
        <w:pStyle w:val="Heading2Numbered"/>
        <w:rPr>
          <w:rFonts w:eastAsia="Times New Roman"/>
          <w:spacing w:val="-6"/>
          <w:szCs w:val="34"/>
        </w:rPr>
      </w:pPr>
      <w:bookmarkStart w:id="366" w:name="_Toc411852672"/>
      <w:bookmarkStart w:id="367" w:name="_Toc47951222"/>
      <w:r w:rsidRPr="000C5235">
        <w:rPr>
          <w:rFonts w:eastAsia="Times New Roman"/>
        </w:rPr>
        <w:t>Minister(s) and portfolio responsibilities</w:t>
      </w:r>
      <w:bookmarkEnd w:id="366"/>
      <w:bookmarkEnd w:id="367"/>
    </w:p>
    <w:p w14:paraId="7869DC77" w14:textId="77777777" w:rsidR="002D6E6F" w:rsidRPr="000C5235" w:rsidRDefault="008D4630" w:rsidP="002D6E6F">
      <w:pPr>
        <w:rPr>
          <w:rStyle w:val="BodyTextChar"/>
        </w:rPr>
      </w:pPr>
      <w:r w:rsidRPr="000C5235">
        <w:rPr>
          <w:rStyle w:val="BodyTextChar"/>
        </w:rPr>
        <w:t xml:space="preserve">The </w:t>
      </w:r>
      <w:r w:rsidRPr="000C5235">
        <w:rPr>
          <w:rStyle w:val="BodyTextChar"/>
          <w:i/>
        </w:rPr>
        <w:t>Minister(s) and portfolio responsibilities</w:t>
      </w:r>
      <w:r w:rsidRPr="000C5235">
        <w:rPr>
          <w:rStyle w:val="BodyTextChar"/>
        </w:rPr>
        <w:t xml:space="preserve"> section</w:t>
      </w:r>
      <w:r w:rsidR="00FA0945" w:rsidRPr="000C5235">
        <w:rPr>
          <w:rStyle w:val="BodyTextChar"/>
        </w:rPr>
        <w:t xml:space="preserve"> should provide a description of the Portfolio Minister(s) and the structure of the portfolio, as well as its objectives at a strategic and high level. Specifics of particular portfolio entities should be left to the relevant entity’s section.</w:t>
      </w:r>
    </w:p>
    <w:p w14:paraId="103BC016" w14:textId="77777777" w:rsidR="00FA0945" w:rsidRPr="000C5235" w:rsidRDefault="00FA0945" w:rsidP="002D6E6F">
      <w:pPr>
        <w:rPr>
          <w:rStyle w:val="BodyTextChar"/>
        </w:rPr>
      </w:pPr>
      <w:r w:rsidRPr="000C5235">
        <w:rPr>
          <w:rStyle w:val="BodyTextChar"/>
        </w:rPr>
        <w:t>It should include a brief discussion of common themes across the portfolio outcomes, for example, the broad impacts and/or trends of health policy on the Australian Community (Health portfolio), or improvements in Indigenous Affairs (Prime Minister and Cabinet portfolio). Portfolios should also take into account the following sources of information when preparing this section:</w:t>
      </w:r>
    </w:p>
    <w:p w14:paraId="5F44D366" w14:textId="77777777" w:rsidR="00FA0945" w:rsidRPr="000C5235" w:rsidRDefault="00FA0945">
      <w:pPr>
        <w:pStyle w:val="Bullet1"/>
        <w:rPr>
          <w:rStyle w:val="BodyTextChar"/>
        </w:rPr>
      </w:pPr>
      <w:r w:rsidRPr="000C5235">
        <w:rPr>
          <w:rStyle w:val="BodyTextChar"/>
        </w:rPr>
        <w:t>Major new government policy or legislation affecting the portfolio and the intended results and impacts</w:t>
      </w:r>
    </w:p>
    <w:p w14:paraId="6E6ECDDD" w14:textId="77777777" w:rsidR="00FA0945" w:rsidRPr="000C5235" w:rsidRDefault="00FA0945">
      <w:pPr>
        <w:pStyle w:val="Bullet1"/>
        <w:rPr>
          <w:rStyle w:val="BodyTextChar"/>
        </w:rPr>
      </w:pPr>
      <w:r w:rsidRPr="000C5235">
        <w:rPr>
          <w:rStyle w:val="BodyTextChar"/>
        </w:rPr>
        <w:t xml:space="preserve">Portfolio department’s mission and/or </w:t>
      </w:r>
      <w:r w:rsidR="00035D04" w:rsidRPr="000C5235">
        <w:rPr>
          <w:rStyle w:val="BodyTextChar"/>
        </w:rPr>
        <w:t>purpose</w:t>
      </w:r>
    </w:p>
    <w:p w14:paraId="2BDC8103" w14:textId="77777777" w:rsidR="00FA0945" w:rsidRPr="000C5235" w:rsidRDefault="00FA0945">
      <w:pPr>
        <w:pStyle w:val="Bullet1"/>
        <w:rPr>
          <w:rStyle w:val="BodyTextChar"/>
        </w:rPr>
      </w:pPr>
      <w:r w:rsidRPr="000C5235">
        <w:rPr>
          <w:rStyle w:val="BodyTextChar"/>
        </w:rPr>
        <w:t xml:space="preserve">Ministerial statements by portfolio Ministers. </w:t>
      </w:r>
    </w:p>
    <w:p w14:paraId="454E0EF4" w14:textId="77777777" w:rsidR="00FA0945" w:rsidRPr="000C5235" w:rsidRDefault="00FA0945" w:rsidP="000A7DEC">
      <w:pPr>
        <w:pStyle w:val="Heading2Numbered"/>
        <w:rPr>
          <w:rFonts w:eastAsia="Times New Roman"/>
          <w:spacing w:val="-6"/>
          <w:szCs w:val="34"/>
        </w:rPr>
      </w:pPr>
      <w:bookmarkStart w:id="368" w:name="_Toc411852673"/>
      <w:bookmarkStart w:id="369" w:name="_Toc47951223"/>
      <w:r w:rsidRPr="000C5235">
        <w:rPr>
          <w:rFonts w:eastAsia="Times New Roman"/>
        </w:rPr>
        <w:t>Portfolio structure and outcomes</w:t>
      </w:r>
      <w:bookmarkEnd w:id="368"/>
      <w:bookmarkEnd w:id="369"/>
    </w:p>
    <w:p w14:paraId="5EA08FB0" w14:textId="77777777" w:rsidR="00FA0945" w:rsidRPr="000C5235" w:rsidRDefault="008D4630">
      <w:pPr>
        <w:pStyle w:val="NormalTextRed"/>
        <w:rPr>
          <w:rStyle w:val="BodyTextChar"/>
          <w:rFonts w:eastAsiaTheme="minorHAnsi" w:cstheme="minorBidi"/>
        </w:rPr>
      </w:pPr>
      <w:r w:rsidRPr="000C5235">
        <w:rPr>
          <w:rStyle w:val="BodyTextChar"/>
          <w:rFonts w:eastAsiaTheme="minorHAnsi" w:cstheme="minorBidi"/>
        </w:rPr>
        <w:t>The template for the Portfolio structure and outcomes</w:t>
      </w:r>
      <w:r w:rsidR="00FA0945" w:rsidRPr="000C5235">
        <w:rPr>
          <w:rStyle w:val="BodyTextChar"/>
          <w:rFonts w:eastAsiaTheme="minorHAnsi" w:cstheme="minorBidi"/>
        </w:rPr>
        <w:t xml:space="preserve"> figure can be found in the “Figure 1” tab of the Excel Tables workbook (</w:t>
      </w:r>
      <w:r w:rsidR="00A024A8" w:rsidRPr="000C5235">
        <w:rPr>
          <w:rStyle w:val="BodyTextChar"/>
          <w:rFonts w:eastAsiaTheme="minorHAnsi" w:cstheme="minorBidi"/>
          <w:u w:val="single"/>
        </w:rPr>
        <w:t xml:space="preserve">Attachment </w:t>
      </w:r>
      <w:r w:rsidR="000457F9" w:rsidRPr="000C5235">
        <w:rPr>
          <w:rStyle w:val="BodyTextChar"/>
          <w:rFonts w:eastAsiaTheme="minorHAnsi" w:cstheme="minorBidi"/>
          <w:u w:val="single"/>
        </w:rPr>
        <w:t>B</w:t>
      </w:r>
      <w:r w:rsidR="000457F9" w:rsidRPr="000C5235">
        <w:rPr>
          <w:rStyle w:val="BodyTextChar"/>
          <w:rFonts w:eastAsiaTheme="minorHAnsi" w:cstheme="minorBidi"/>
        </w:rPr>
        <w:t xml:space="preserve"> </w:t>
      </w:r>
      <w:r w:rsidR="00A024A8" w:rsidRPr="000C5235">
        <w:rPr>
          <w:rStyle w:val="BodyTextChar"/>
          <w:rFonts w:eastAsiaTheme="minorHAnsi" w:cstheme="minorBidi"/>
        </w:rPr>
        <w:t>refers</w:t>
      </w:r>
      <w:r w:rsidR="00FA0945" w:rsidRPr="000C5235">
        <w:rPr>
          <w:rStyle w:val="BodyTextChar"/>
          <w:rFonts w:eastAsiaTheme="minorHAnsi" w:cstheme="minorBidi"/>
        </w:rPr>
        <w:t>).</w:t>
      </w:r>
    </w:p>
    <w:p w14:paraId="50B5461A" w14:textId="77777777" w:rsidR="00577C1F" w:rsidRPr="000C5235" w:rsidRDefault="00FA0945" w:rsidP="00DB312F">
      <w:pPr>
        <w:rPr>
          <w:rStyle w:val="BodyTextChar"/>
        </w:rPr>
      </w:pPr>
      <w:r w:rsidRPr="000C5235">
        <w:rPr>
          <w:rStyle w:val="BodyTextChar"/>
        </w:rPr>
        <w:t xml:space="preserve">This figure is a graphical representation of the portfolio structure and the responsible Ministers. It should clearly indicate the names and titles of the Ministers, the </w:t>
      </w:r>
      <w:r w:rsidR="00C20907" w:rsidRPr="000C5235">
        <w:rPr>
          <w:rStyle w:val="BodyTextChar"/>
        </w:rPr>
        <w:t>portfolio </w:t>
      </w:r>
      <w:r w:rsidRPr="000C5235">
        <w:rPr>
          <w:rStyle w:val="BodyTextChar"/>
        </w:rPr>
        <w:t>department(s) and Secretary</w:t>
      </w:r>
      <w:r w:rsidR="00993CA2" w:rsidRPr="000C5235">
        <w:rPr>
          <w:rStyle w:val="BodyTextChar"/>
        </w:rPr>
        <w:t>.</w:t>
      </w:r>
    </w:p>
    <w:p w14:paraId="554F3440" w14:textId="77777777" w:rsidR="00FA0945" w:rsidRPr="000C5235" w:rsidRDefault="00993CA2" w:rsidP="00DB312F">
      <w:pPr>
        <w:rPr>
          <w:rStyle w:val="BodyTextChar"/>
        </w:rPr>
      </w:pPr>
      <w:r w:rsidRPr="000C5235">
        <w:rPr>
          <w:rStyle w:val="BodyTextChar"/>
        </w:rPr>
        <w:t>The figure must also include</w:t>
      </w:r>
      <w:r w:rsidR="00FA0945" w:rsidRPr="000C5235">
        <w:rPr>
          <w:rStyle w:val="BodyTextChar"/>
        </w:rPr>
        <w:t xml:space="preserve"> the other portfolio entities and their Chief Executive Officers, </w:t>
      </w:r>
      <w:r w:rsidRPr="000C5235">
        <w:rPr>
          <w:rStyle w:val="BodyTextChar"/>
        </w:rPr>
        <w:t xml:space="preserve">principal bodies in the portfolio as defined </w:t>
      </w:r>
      <w:r w:rsidR="000E0572" w:rsidRPr="000C5235">
        <w:rPr>
          <w:rStyle w:val="BodyTextChar"/>
        </w:rPr>
        <w:t>by the Australian Government Organisations Register, and a</w:t>
      </w:r>
      <w:r w:rsidR="00FA0945" w:rsidRPr="000C5235">
        <w:rPr>
          <w:rStyle w:val="BodyTextChar"/>
        </w:rPr>
        <w:t>ll portfolio entities covered by the PGPA</w:t>
      </w:r>
      <w:r w:rsidR="00761FCC" w:rsidRPr="000C5235">
        <w:rPr>
          <w:rStyle w:val="BodyTextChar"/>
        </w:rPr>
        <w:t xml:space="preserve"> Act</w:t>
      </w:r>
      <w:r w:rsidR="00D16CA8" w:rsidRPr="000C5235">
        <w:rPr>
          <w:rStyle w:val="BodyTextChar"/>
        </w:rPr>
        <w:t xml:space="preserve">. Entities such as </w:t>
      </w:r>
      <w:r w:rsidR="00AE025F" w:rsidRPr="000C5235">
        <w:rPr>
          <w:rStyle w:val="BodyTextChar"/>
          <w:i/>
        </w:rPr>
        <w:t>P</w:t>
      </w:r>
      <w:r w:rsidR="000E0572" w:rsidRPr="000C5235">
        <w:rPr>
          <w:rStyle w:val="BodyTextChar"/>
          <w:i/>
        </w:rPr>
        <w:t xml:space="preserve">ublic </w:t>
      </w:r>
      <w:r w:rsidR="00AE025F" w:rsidRPr="000C5235">
        <w:rPr>
          <w:rStyle w:val="BodyTextChar"/>
          <w:i/>
        </w:rPr>
        <w:t>F</w:t>
      </w:r>
      <w:r w:rsidR="000E0572" w:rsidRPr="000C5235">
        <w:rPr>
          <w:rStyle w:val="BodyTextChar"/>
          <w:i/>
        </w:rPr>
        <w:t xml:space="preserve">inancial </w:t>
      </w:r>
      <w:r w:rsidR="00AE025F" w:rsidRPr="000C5235">
        <w:rPr>
          <w:rStyle w:val="BodyTextChar"/>
          <w:i/>
        </w:rPr>
        <w:t>C</w:t>
      </w:r>
      <w:r w:rsidR="000E0572" w:rsidRPr="000C5235">
        <w:rPr>
          <w:rStyle w:val="BodyTextChar"/>
          <w:i/>
        </w:rPr>
        <w:t>orporations</w:t>
      </w:r>
      <w:r w:rsidR="000E0572" w:rsidRPr="000C5235">
        <w:rPr>
          <w:rStyle w:val="BodyTextChar"/>
        </w:rPr>
        <w:t xml:space="preserve">, </w:t>
      </w:r>
      <w:r w:rsidR="00AE025F" w:rsidRPr="000C5235">
        <w:rPr>
          <w:rStyle w:val="BodyTextChar"/>
          <w:i/>
        </w:rPr>
        <w:t>P</w:t>
      </w:r>
      <w:r w:rsidR="000E0572" w:rsidRPr="000C5235">
        <w:rPr>
          <w:rStyle w:val="BodyTextChar"/>
          <w:i/>
        </w:rPr>
        <w:t xml:space="preserve">ublic </w:t>
      </w:r>
      <w:r w:rsidR="00AE025F" w:rsidRPr="000C5235">
        <w:rPr>
          <w:rStyle w:val="BodyTextChar"/>
          <w:i/>
        </w:rPr>
        <w:t>N</w:t>
      </w:r>
      <w:r w:rsidR="000E0572" w:rsidRPr="000C5235">
        <w:rPr>
          <w:rStyle w:val="BodyTextChar"/>
          <w:i/>
        </w:rPr>
        <w:t>on</w:t>
      </w:r>
      <w:r w:rsidR="00C20907" w:rsidRPr="000C5235">
        <w:rPr>
          <w:rStyle w:val="BodyTextChar"/>
          <w:i/>
        </w:rPr>
        <w:noBreakHyphen/>
      </w:r>
      <w:r w:rsidR="00AE025F" w:rsidRPr="000C5235">
        <w:rPr>
          <w:rStyle w:val="BodyTextChar"/>
          <w:i/>
        </w:rPr>
        <w:t>F</w:t>
      </w:r>
      <w:r w:rsidR="000E0572" w:rsidRPr="000C5235">
        <w:rPr>
          <w:rStyle w:val="BodyTextChar"/>
          <w:i/>
        </w:rPr>
        <w:t xml:space="preserve">inancial </w:t>
      </w:r>
      <w:r w:rsidR="00AE025F" w:rsidRPr="000C5235">
        <w:rPr>
          <w:rStyle w:val="BodyTextChar"/>
          <w:i/>
        </w:rPr>
        <w:t>C</w:t>
      </w:r>
      <w:r w:rsidR="000E0572" w:rsidRPr="000C5235">
        <w:rPr>
          <w:rStyle w:val="BodyTextChar"/>
          <w:i/>
        </w:rPr>
        <w:t>orporations</w:t>
      </w:r>
      <w:r w:rsidR="000E0572" w:rsidRPr="000C5235">
        <w:rPr>
          <w:rStyle w:val="BodyTextChar"/>
        </w:rPr>
        <w:t xml:space="preserve">, </w:t>
      </w:r>
      <w:r w:rsidR="00D16CA8" w:rsidRPr="000C5235">
        <w:rPr>
          <w:rStyle w:val="BodyTextChar"/>
        </w:rPr>
        <w:t>and entities</w:t>
      </w:r>
      <w:r w:rsidR="000E0572" w:rsidRPr="000C5235">
        <w:rPr>
          <w:rStyle w:val="BodyTextChar"/>
        </w:rPr>
        <w:t xml:space="preserve"> outside of the General Government Sector</w:t>
      </w:r>
      <w:r w:rsidR="00D16CA8" w:rsidRPr="000C5235">
        <w:rPr>
          <w:rStyle w:val="BodyTextChar"/>
        </w:rPr>
        <w:t>, should at least be mentioned in this Section to show the Minister responsible for their functions.</w:t>
      </w:r>
    </w:p>
    <w:p w14:paraId="5A946F2A" w14:textId="77777777" w:rsidR="00FA0945" w:rsidRPr="000C5235" w:rsidRDefault="00FA0945" w:rsidP="000A7DEC">
      <w:pPr>
        <w:rPr>
          <w:rStyle w:val="BodyTextChar"/>
        </w:rPr>
      </w:pPr>
      <w:r w:rsidRPr="000C5235">
        <w:rPr>
          <w:rStyle w:val="BodyTextChar"/>
        </w:rPr>
        <w:t xml:space="preserve">Portfolios should include the current outcome statements for each entity </w:t>
      </w:r>
      <w:r w:rsidRPr="000C5235">
        <w:rPr>
          <w:rStyle w:val="BodyTextChar"/>
          <w:u w:val="single"/>
        </w:rPr>
        <w:t>as agreed by the Minister for Finance</w:t>
      </w:r>
      <w:r w:rsidRPr="000C5235">
        <w:rPr>
          <w:rStyle w:val="BodyTextChar"/>
        </w:rPr>
        <w:t>. The outcome statement(s) included in Figure 1, and throughout the PB</w:t>
      </w:r>
      <w:r w:rsidR="00CD3E53" w:rsidRPr="000C5235">
        <w:rPr>
          <w:rStyle w:val="BodyTextChar"/>
        </w:rPr>
        <w:t> </w:t>
      </w:r>
      <w:r w:rsidRPr="000C5235">
        <w:rPr>
          <w:rStyle w:val="BodyTextChar"/>
        </w:rPr>
        <w:t>Statement, must be consistent with the Appropriation Bills.</w:t>
      </w:r>
    </w:p>
    <w:p w14:paraId="0B797807" w14:textId="77777777" w:rsidR="00FA0945" w:rsidRPr="000C5235" w:rsidRDefault="00FA0945" w:rsidP="000A7DEC">
      <w:pPr>
        <w:pStyle w:val="Heading4nonumbers"/>
        <w:rPr>
          <w:rFonts w:ascii="Arial" w:hAnsi="Arial"/>
          <w:spacing w:val="-6"/>
        </w:rPr>
      </w:pPr>
      <w:r w:rsidRPr="000C5235">
        <w:t>Source of information</w:t>
      </w:r>
    </w:p>
    <w:p w14:paraId="4DFE48E2" w14:textId="77777777" w:rsidR="00890B06" w:rsidRPr="000C5235" w:rsidRDefault="00FA0945">
      <w:pPr>
        <w:pStyle w:val="Bullet1"/>
        <w:rPr>
          <w:rStyle w:val="BodyTextChar"/>
        </w:rPr>
      </w:pPr>
      <w:r w:rsidRPr="000C5235">
        <w:rPr>
          <w:rStyle w:val="BodyTextChar"/>
        </w:rPr>
        <w:t>A summary of portfolio entities which are subject to the PGPA Act can be found at</w:t>
      </w:r>
      <w:r w:rsidR="00E32121" w:rsidRPr="000C5235">
        <w:rPr>
          <w:rStyle w:val="BodyTextChar"/>
        </w:rPr>
        <w:t>:</w:t>
      </w:r>
    </w:p>
    <w:p w14:paraId="2F3EE39D" w14:textId="77777777" w:rsidR="00FA7DCB" w:rsidRPr="000C5235" w:rsidRDefault="00A774B1" w:rsidP="000A7DEC">
      <w:pPr>
        <w:pStyle w:val="Bullet1"/>
        <w:numPr>
          <w:ilvl w:val="0"/>
          <w:numId w:val="0"/>
        </w:numPr>
        <w:ind w:left="360"/>
        <w:rPr>
          <w:rStyle w:val="BodyTextChar"/>
        </w:rPr>
      </w:pPr>
      <w:hyperlink r:id="rId52" w:history="1">
        <w:r w:rsidR="00890B06" w:rsidRPr="000C5235">
          <w:rPr>
            <w:rStyle w:val="Hyperlink"/>
          </w:rPr>
          <w:t>www.finance.gov.au/government/managing-commonwealth-resources/structure-australian-government-public-sector/pgpa-act-flipchart-list</w:t>
        </w:r>
      </w:hyperlink>
      <w:r w:rsidR="00792F21" w:rsidRPr="000C5235">
        <w:rPr>
          <w:rStyle w:val="Hyperlink"/>
        </w:rPr>
        <w:t xml:space="preserve"> </w:t>
      </w:r>
    </w:p>
    <w:p w14:paraId="1AAECBE3" w14:textId="77777777" w:rsidR="00E32121" w:rsidRPr="000C5235" w:rsidRDefault="000E0572" w:rsidP="000A7DEC">
      <w:pPr>
        <w:pStyle w:val="Bullet1"/>
        <w:rPr>
          <w:rStyle w:val="BodyTextChar"/>
        </w:rPr>
      </w:pPr>
      <w:r w:rsidRPr="000C5235">
        <w:rPr>
          <w:rStyle w:val="BodyTextChar"/>
        </w:rPr>
        <w:t>Principal</w:t>
      </w:r>
      <w:r w:rsidR="00792F21" w:rsidRPr="000C5235">
        <w:rPr>
          <w:rStyle w:val="BodyTextChar"/>
        </w:rPr>
        <w:t xml:space="preserve"> or Primary</w:t>
      </w:r>
      <w:r w:rsidRPr="000C5235">
        <w:rPr>
          <w:rStyle w:val="BodyTextChar"/>
        </w:rPr>
        <w:t xml:space="preserve"> bodies is defined at</w:t>
      </w:r>
      <w:r w:rsidR="00E32121" w:rsidRPr="000C5235">
        <w:rPr>
          <w:rStyle w:val="BodyTextChar"/>
        </w:rPr>
        <w:t>:</w:t>
      </w:r>
    </w:p>
    <w:p w14:paraId="3ED092BD" w14:textId="77777777" w:rsidR="007F1DF5" w:rsidRPr="000C5235" w:rsidRDefault="00A774B1" w:rsidP="001A163D">
      <w:pPr>
        <w:ind w:left="360"/>
      </w:pPr>
      <w:hyperlink r:id="rId53" w:history="1">
        <w:r w:rsidR="00890B06" w:rsidRPr="000C5235">
          <w:rPr>
            <w:rStyle w:val="Hyperlink"/>
            <w:rFonts w:asciiTheme="minorHAnsi" w:eastAsia="Cambria" w:hAnsiTheme="minorHAnsi" w:cs="Times New Roman"/>
          </w:rPr>
          <w:t>www.finance.gov.au/government/governance/australian-government-organisations-register/australian-government-organisations-register-types-bodies</w:t>
        </w:r>
      </w:hyperlink>
    </w:p>
    <w:p w14:paraId="629A3D3E" w14:textId="77777777" w:rsidR="007C010C" w:rsidRPr="000C5235" w:rsidRDefault="007C010C" w:rsidP="000A7DEC">
      <w:pPr>
        <w:pStyle w:val="Heading1Numbered"/>
      </w:pPr>
      <w:bookmarkStart w:id="370" w:name="_Toc47951224"/>
      <w:r w:rsidRPr="000C5235">
        <w:rPr>
          <w:rFonts w:eastAsia="Times New Roman"/>
        </w:rPr>
        <w:t>Entity overview and resources section</w:t>
      </w:r>
      <w:bookmarkEnd w:id="370"/>
      <w:r w:rsidRPr="000C5235" w:rsidDel="00792F21">
        <w:t xml:space="preserve"> </w:t>
      </w:r>
    </w:p>
    <w:p w14:paraId="522C5288" w14:textId="77777777" w:rsidR="006F1726" w:rsidRPr="000C5235" w:rsidRDefault="008D4630" w:rsidP="002808B0">
      <w:pPr>
        <w:rPr>
          <w:rStyle w:val="BodyTextChar"/>
        </w:rPr>
      </w:pPr>
      <w:r w:rsidRPr="000C5235">
        <w:rPr>
          <w:rStyle w:val="BodyTextChar"/>
        </w:rPr>
        <w:t xml:space="preserve">The </w:t>
      </w:r>
      <w:r w:rsidRPr="000C5235">
        <w:rPr>
          <w:rStyle w:val="BodyTextChar"/>
          <w:i/>
        </w:rPr>
        <w:t xml:space="preserve">Entity </w:t>
      </w:r>
      <w:r w:rsidR="00E66432" w:rsidRPr="000C5235">
        <w:rPr>
          <w:rStyle w:val="BodyTextChar"/>
          <w:i/>
        </w:rPr>
        <w:t>o</w:t>
      </w:r>
      <w:r w:rsidRPr="000C5235">
        <w:rPr>
          <w:rStyle w:val="BodyTextChar"/>
          <w:i/>
        </w:rPr>
        <w:t xml:space="preserve">verview and </w:t>
      </w:r>
      <w:r w:rsidR="00E66432" w:rsidRPr="000C5235">
        <w:rPr>
          <w:rStyle w:val="BodyTextChar"/>
          <w:i/>
        </w:rPr>
        <w:t>r</w:t>
      </w:r>
      <w:r w:rsidRPr="000C5235">
        <w:rPr>
          <w:rStyle w:val="BodyTextChar"/>
          <w:i/>
        </w:rPr>
        <w:t>esources</w:t>
      </w:r>
      <w:r w:rsidRPr="000C5235">
        <w:rPr>
          <w:rStyle w:val="BodyTextChar"/>
        </w:rPr>
        <w:t xml:space="preserve"> </w:t>
      </w:r>
      <w:r w:rsidR="00FA0945" w:rsidRPr="000C5235">
        <w:rPr>
          <w:rStyle w:val="BodyTextChar"/>
        </w:rPr>
        <w:t>section of the PB Statements is aimed at providing the reader with an overall picture of each entity’s objectives and resources across the budget and forward estimates period.</w:t>
      </w:r>
    </w:p>
    <w:p w14:paraId="0967118A" w14:textId="77777777" w:rsidR="00FA0945" w:rsidRPr="000C5235" w:rsidRDefault="00FA0945">
      <w:pPr>
        <w:rPr>
          <w:rStyle w:val="BodyTextChar"/>
        </w:rPr>
      </w:pPr>
      <w:r w:rsidRPr="000C5235">
        <w:rPr>
          <w:rStyle w:val="BodyTextChar"/>
        </w:rPr>
        <w:t xml:space="preserve">This section should also provide the reader with an overall picture of each entity’s strategic direction and planned performance, as well as a summary of new government measures. </w:t>
      </w:r>
    </w:p>
    <w:p w14:paraId="52187E59" w14:textId="77777777" w:rsidR="00FA0945" w:rsidRPr="000C5235" w:rsidRDefault="00FA0945" w:rsidP="000A7DEC">
      <w:pPr>
        <w:rPr>
          <w:rStyle w:val="BodyTextChar"/>
        </w:rPr>
      </w:pPr>
      <w:r w:rsidRPr="000C5235">
        <w:rPr>
          <w:rStyle w:val="BodyTextChar"/>
        </w:rPr>
        <w:t>There are three components to this section that together link the entity strategy with the resources available.</w:t>
      </w:r>
    </w:p>
    <w:p w14:paraId="10B40469" w14:textId="77777777" w:rsidR="00FA0945" w:rsidRPr="000C5235" w:rsidRDefault="00FA0945" w:rsidP="000A7DEC">
      <w:pPr>
        <w:rPr>
          <w:rStyle w:val="BodyTextChar"/>
          <w:u w:val="single"/>
        </w:rPr>
      </w:pPr>
      <w:r w:rsidRPr="000C5235">
        <w:rPr>
          <w:rStyle w:val="BodyTextChar"/>
          <w:u w:val="single"/>
        </w:rPr>
        <w:t>Components of Section 1: Entity overview and resources</w:t>
      </w:r>
    </w:p>
    <w:p w14:paraId="6519EF15" w14:textId="77777777" w:rsidR="00FA0945" w:rsidRPr="000C5235" w:rsidRDefault="00FA0945">
      <w:pPr>
        <w:pStyle w:val="Bullet1"/>
        <w:rPr>
          <w:rStyle w:val="BodyTextChar"/>
          <w:rFonts w:asciiTheme="minorHAnsi" w:hAnsiTheme="minorHAnsi"/>
        </w:rPr>
      </w:pPr>
      <w:r w:rsidRPr="000C5235">
        <w:rPr>
          <w:rStyle w:val="BodyTextChar"/>
        </w:rPr>
        <w:t xml:space="preserve">Strategic </w:t>
      </w:r>
      <w:r w:rsidR="007E6DB9" w:rsidRPr="000C5235">
        <w:rPr>
          <w:rStyle w:val="BodyTextChar"/>
        </w:rPr>
        <w:t>D</w:t>
      </w:r>
      <w:r w:rsidRPr="000C5235">
        <w:rPr>
          <w:rStyle w:val="BodyTextChar"/>
        </w:rPr>
        <w:t xml:space="preserve">irection </w:t>
      </w:r>
      <w:r w:rsidR="007E6DB9" w:rsidRPr="000C5235">
        <w:rPr>
          <w:rStyle w:val="BodyTextChar"/>
        </w:rPr>
        <w:t>S</w:t>
      </w:r>
      <w:r w:rsidRPr="000C5235">
        <w:rPr>
          <w:rStyle w:val="BodyTextChar"/>
        </w:rPr>
        <w:t>tatement</w:t>
      </w:r>
    </w:p>
    <w:p w14:paraId="2EF5E8A6" w14:textId="77777777" w:rsidR="00FA0945" w:rsidRPr="000C5235" w:rsidRDefault="00FA0945">
      <w:pPr>
        <w:pStyle w:val="Bullet1"/>
        <w:rPr>
          <w:rStyle w:val="BodyTextChar"/>
        </w:rPr>
      </w:pPr>
      <w:r w:rsidRPr="000C5235">
        <w:rPr>
          <w:rStyle w:val="BodyTextChar"/>
        </w:rPr>
        <w:t xml:space="preserve">Entity </w:t>
      </w:r>
      <w:r w:rsidR="007E6DB9" w:rsidRPr="000C5235">
        <w:rPr>
          <w:rStyle w:val="BodyTextChar"/>
        </w:rPr>
        <w:t>R</w:t>
      </w:r>
      <w:r w:rsidRPr="000C5235">
        <w:rPr>
          <w:rStyle w:val="BodyTextChar"/>
        </w:rPr>
        <w:t xml:space="preserve">esource </w:t>
      </w:r>
      <w:r w:rsidR="007E6DB9" w:rsidRPr="000C5235">
        <w:rPr>
          <w:rStyle w:val="BodyTextChar"/>
        </w:rPr>
        <w:t>S</w:t>
      </w:r>
      <w:r w:rsidRPr="000C5235">
        <w:rPr>
          <w:rStyle w:val="BodyTextChar"/>
        </w:rPr>
        <w:t xml:space="preserve">tatement (including </w:t>
      </w:r>
      <w:r w:rsidRPr="000C5235">
        <w:rPr>
          <w:rStyle w:val="BodyTextChar"/>
          <w:i/>
        </w:rPr>
        <w:t>Table 1.1</w:t>
      </w:r>
      <w:r w:rsidRPr="000C5235">
        <w:rPr>
          <w:rStyle w:val="BodyTextChar"/>
        </w:rPr>
        <w:t>)</w:t>
      </w:r>
    </w:p>
    <w:p w14:paraId="2AEAF0FD" w14:textId="77777777" w:rsidR="00FA0945" w:rsidRPr="000C5235" w:rsidRDefault="00FA0945">
      <w:pPr>
        <w:pStyle w:val="Bullet1"/>
        <w:rPr>
          <w:rStyle w:val="BodyTextChar"/>
        </w:rPr>
      </w:pPr>
      <w:r w:rsidRPr="000C5235">
        <w:rPr>
          <w:rStyle w:val="BodyTextChar"/>
        </w:rPr>
        <w:t xml:space="preserve">Budget </w:t>
      </w:r>
      <w:r w:rsidR="007E6DB9" w:rsidRPr="000C5235">
        <w:rPr>
          <w:rStyle w:val="BodyTextChar"/>
        </w:rPr>
        <w:t>M</w:t>
      </w:r>
      <w:r w:rsidRPr="000C5235">
        <w:rPr>
          <w:rStyle w:val="BodyTextChar"/>
        </w:rPr>
        <w:t>easures (</w:t>
      </w:r>
      <w:r w:rsidRPr="000C5235">
        <w:rPr>
          <w:rStyle w:val="BodyTextChar"/>
          <w:i/>
        </w:rPr>
        <w:t>Table 1.2</w:t>
      </w:r>
      <w:r w:rsidRPr="000C5235">
        <w:rPr>
          <w:rStyle w:val="BodyTextChar"/>
        </w:rPr>
        <w:t>).</w:t>
      </w:r>
    </w:p>
    <w:p w14:paraId="122BD4BB" w14:textId="77777777" w:rsidR="00FA0945" w:rsidRPr="000C5235" w:rsidRDefault="00FA0945" w:rsidP="000A7DEC">
      <w:pPr>
        <w:pStyle w:val="Heading2Numbered"/>
        <w:rPr>
          <w:rFonts w:eastAsia="Times New Roman"/>
          <w:spacing w:val="-6"/>
          <w:szCs w:val="34"/>
        </w:rPr>
      </w:pPr>
      <w:bookmarkStart w:id="371" w:name="_Toc411852676"/>
      <w:bookmarkStart w:id="372" w:name="_Toc47951225"/>
      <w:r w:rsidRPr="000C5235">
        <w:rPr>
          <w:rFonts w:eastAsia="Times New Roman"/>
        </w:rPr>
        <w:t xml:space="preserve">Strategic </w:t>
      </w:r>
      <w:r w:rsidR="00C51BA2" w:rsidRPr="000C5235">
        <w:rPr>
          <w:rFonts w:eastAsia="Times New Roman"/>
        </w:rPr>
        <w:t>d</w:t>
      </w:r>
      <w:r w:rsidRPr="000C5235">
        <w:rPr>
          <w:rFonts w:eastAsia="Times New Roman"/>
        </w:rPr>
        <w:t xml:space="preserve">irection </w:t>
      </w:r>
      <w:r w:rsidR="00C51BA2" w:rsidRPr="000C5235">
        <w:rPr>
          <w:rFonts w:eastAsia="Times New Roman"/>
        </w:rPr>
        <w:t>s</w:t>
      </w:r>
      <w:r w:rsidRPr="000C5235">
        <w:rPr>
          <w:rFonts w:eastAsia="Times New Roman"/>
        </w:rPr>
        <w:t>tatement</w:t>
      </w:r>
      <w:bookmarkEnd w:id="371"/>
      <w:bookmarkEnd w:id="372"/>
    </w:p>
    <w:p w14:paraId="368CD3F7" w14:textId="77777777" w:rsidR="00FA0945" w:rsidRPr="000C5235" w:rsidRDefault="008D4630" w:rsidP="000A7DEC">
      <w:pPr>
        <w:rPr>
          <w:rStyle w:val="BodyTextChar"/>
          <w:rFonts w:ascii="Arial" w:hAnsi="Arial"/>
          <w:bCs/>
          <w:color w:val="1C1C1C" w:themeColor="text2"/>
          <w:spacing w:val="-6"/>
          <w:sz w:val="34"/>
          <w:szCs w:val="34"/>
        </w:rPr>
      </w:pPr>
      <w:r w:rsidRPr="000C5235">
        <w:rPr>
          <w:rStyle w:val="BodyTextChar"/>
        </w:rPr>
        <w:t xml:space="preserve">The </w:t>
      </w:r>
      <w:r w:rsidRPr="000C5235">
        <w:rPr>
          <w:rStyle w:val="BodyTextChar"/>
          <w:i/>
        </w:rPr>
        <w:t xml:space="preserve">Strategic </w:t>
      </w:r>
      <w:r w:rsidR="00E66432" w:rsidRPr="000C5235">
        <w:rPr>
          <w:rStyle w:val="BodyTextChar"/>
          <w:i/>
        </w:rPr>
        <w:t>d</w:t>
      </w:r>
      <w:r w:rsidRPr="000C5235">
        <w:rPr>
          <w:rStyle w:val="BodyTextChar"/>
          <w:i/>
        </w:rPr>
        <w:t xml:space="preserve">irection </w:t>
      </w:r>
      <w:r w:rsidR="00E66432" w:rsidRPr="000C5235">
        <w:rPr>
          <w:rStyle w:val="BodyTextChar"/>
          <w:i/>
        </w:rPr>
        <w:t>s</w:t>
      </w:r>
      <w:r w:rsidRPr="000C5235">
        <w:rPr>
          <w:rStyle w:val="BodyTextChar"/>
          <w:i/>
        </w:rPr>
        <w:t>tatement</w:t>
      </w:r>
      <w:r w:rsidR="00FA0945" w:rsidRPr="000C5235">
        <w:rPr>
          <w:rStyle w:val="BodyTextChar"/>
        </w:rPr>
        <w:t xml:space="preserve"> should be no longer than two pages. </w:t>
      </w:r>
    </w:p>
    <w:p w14:paraId="53AC6FE3" w14:textId="77777777" w:rsidR="00FA0945" w:rsidRPr="000C5235" w:rsidRDefault="00FA0945" w:rsidP="000A7DEC">
      <w:pPr>
        <w:rPr>
          <w:rStyle w:val="BodyTextChar"/>
        </w:rPr>
      </w:pPr>
      <w:r w:rsidRPr="000C5235">
        <w:rPr>
          <w:rStyle w:val="BodyTextChar"/>
        </w:rPr>
        <w:t xml:space="preserve">The Strategic direction statement should outline an entity’s anticipated strategic direction for the budget and forward years. </w:t>
      </w:r>
    </w:p>
    <w:p w14:paraId="194D4A68" w14:textId="77777777" w:rsidR="00FA0945" w:rsidRPr="000C5235" w:rsidRDefault="00FA0945" w:rsidP="000A7DEC">
      <w:pPr>
        <w:rPr>
          <w:rStyle w:val="BodyTextChar"/>
        </w:rPr>
      </w:pPr>
      <w:r w:rsidRPr="000C5235">
        <w:rPr>
          <w:rStyle w:val="BodyTextChar"/>
        </w:rPr>
        <w:t xml:space="preserve">The Strategic direction statement should describe an entity’s outcome statement(s) in a strategic, relevant and concise manner, as well as outline the broad strategies the entity intends to adopt in order to achieve these outcomes, and the planned results and goals to be achieved. The statement should also outline how these outcome statements contribute to the achievement of whole-of-government strategic priorities and outcomes. </w:t>
      </w:r>
    </w:p>
    <w:p w14:paraId="452C43AF" w14:textId="77777777" w:rsidR="00FA0945" w:rsidRPr="000C5235" w:rsidRDefault="00FA0945" w:rsidP="000A7DEC">
      <w:pPr>
        <w:rPr>
          <w:rStyle w:val="BodyTextChar"/>
        </w:rPr>
      </w:pPr>
      <w:r w:rsidRPr="000C5235">
        <w:rPr>
          <w:rStyle w:val="BodyTextChar"/>
        </w:rPr>
        <w:t>The statement should identify major ongoing functions, new functions (or loss of functions) and measures allocated to the entity, and any significant challenges that will impact on the entity’s performance against its outcome(s) over the medium term.</w:t>
      </w:r>
    </w:p>
    <w:p w14:paraId="4E2D6A7D" w14:textId="77777777" w:rsidR="002C1E1B" w:rsidRPr="000C5235" w:rsidRDefault="00FA0945">
      <w:pPr>
        <w:rPr>
          <w:rStyle w:val="BodyTextChar"/>
        </w:rPr>
      </w:pPr>
      <w:r w:rsidRPr="000C5235">
        <w:rPr>
          <w:rStyle w:val="BodyTextChar"/>
        </w:rPr>
        <w:t>The statement should be reasonably high level – a detailed discussion of operational issues can be covered in the entity’s corporate plan or on its website, which should be cro</w:t>
      </w:r>
      <w:r w:rsidR="002D6E6F" w:rsidRPr="000C5235">
        <w:rPr>
          <w:rStyle w:val="BodyTextChar"/>
        </w:rPr>
        <w:t>ss-referenced in this section.</w:t>
      </w:r>
    </w:p>
    <w:p w14:paraId="3F5B160D" w14:textId="77777777" w:rsidR="00926CBF" w:rsidRPr="000C5235" w:rsidRDefault="00926CBF" w:rsidP="000A7DEC">
      <w:pPr>
        <w:pStyle w:val="Heading2Numbered"/>
        <w:rPr>
          <w:rFonts w:ascii="Arial" w:eastAsia="Times New Roman" w:hAnsi="Arial"/>
          <w:spacing w:val="-6"/>
          <w:szCs w:val="34"/>
        </w:rPr>
      </w:pPr>
      <w:bookmarkStart w:id="373" w:name="_Toc411852677"/>
      <w:bookmarkStart w:id="374" w:name="_Toc534382557"/>
      <w:bookmarkStart w:id="375" w:name="_Toc47951226"/>
      <w:r w:rsidRPr="000C5235">
        <w:rPr>
          <w:rFonts w:eastAsia="Times New Roman"/>
        </w:rPr>
        <w:t xml:space="preserve">Entity </w:t>
      </w:r>
      <w:r w:rsidR="00C51BA2" w:rsidRPr="000C5235">
        <w:rPr>
          <w:rFonts w:eastAsia="Times New Roman"/>
        </w:rPr>
        <w:t>r</w:t>
      </w:r>
      <w:r w:rsidRPr="000C5235">
        <w:rPr>
          <w:rFonts w:eastAsia="Times New Roman"/>
        </w:rPr>
        <w:t xml:space="preserve">esource </w:t>
      </w:r>
      <w:r w:rsidR="00C51BA2" w:rsidRPr="000C5235">
        <w:rPr>
          <w:rFonts w:eastAsia="Times New Roman"/>
        </w:rPr>
        <w:t>s</w:t>
      </w:r>
      <w:r w:rsidRPr="000C5235">
        <w:rPr>
          <w:rFonts w:eastAsia="Times New Roman"/>
        </w:rPr>
        <w:t>tatement</w:t>
      </w:r>
      <w:bookmarkEnd w:id="373"/>
      <w:bookmarkEnd w:id="374"/>
      <w:bookmarkEnd w:id="375"/>
    </w:p>
    <w:p w14:paraId="2469C5FE" w14:textId="77777777" w:rsidR="00B54712" w:rsidRPr="000C5235" w:rsidRDefault="00B54712">
      <w:pPr>
        <w:pStyle w:val="NormalTextRed"/>
      </w:pPr>
      <w:r w:rsidRPr="000C5235">
        <w:t>The template for this table can be found in the “Table 1.1” tab</w:t>
      </w:r>
      <w:r w:rsidRPr="000C5235">
        <w:rPr>
          <w:rStyle w:val="BodyTextChar"/>
          <w:rFonts w:eastAsiaTheme="minorHAnsi" w:cstheme="minorBidi"/>
        </w:rPr>
        <w:t xml:space="preserve"> of the Excel Tables workbook (</w:t>
      </w:r>
      <w:r w:rsidR="00151BE2" w:rsidRPr="000C5235">
        <w:rPr>
          <w:rStyle w:val="BodyTextChar"/>
          <w:rFonts w:eastAsiaTheme="minorHAnsi" w:cstheme="minorBidi"/>
          <w:u w:val="single"/>
        </w:rPr>
        <w:t xml:space="preserve">Attachment </w:t>
      </w:r>
      <w:r w:rsidR="006E5A47" w:rsidRPr="000C5235">
        <w:rPr>
          <w:rStyle w:val="BodyTextChar"/>
          <w:rFonts w:eastAsiaTheme="minorHAnsi" w:cstheme="minorBidi"/>
          <w:u w:val="single"/>
        </w:rPr>
        <w:t>B</w:t>
      </w:r>
      <w:r w:rsidR="006E5A47" w:rsidRPr="000C5235">
        <w:rPr>
          <w:rStyle w:val="BodyTextChar"/>
          <w:rFonts w:eastAsiaTheme="minorHAnsi" w:cstheme="minorBidi"/>
        </w:rPr>
        <w:t xml:space="preserve"> </w:t>
      </w:r>
      <w:r w:rsidR="00151BE2" w:rsidRPr="000C5235">
        <w:rPr>
          <w:rStyle w:val="BodyTextChar"/>
          <w:rFonts w:eastAsiaTheme="minorHAnsi" w:cstheme="minorBidi"/>
        </w:rPr>
        <w:t>refers</w:t>
      </w:r>
      <w:r w:rsidRPr="000C5235">
        <w:rPr>
          <w:rStyle w:val="BodyTextChar"/>
          <w:rFonts w:eastAsiaTheme="minorHAnsi" w:cstheme="minorBidi"/>
        </w:rPr>
        <w:t>). There is a template for non-corporate Commonwealth entities (coloured green) and a template for corporate Commonwealth entities and Commonwealth companies (coloured red).</w:t>
      </w:r>
    </w:p>
    <w:p w14:paraId="08DD6FE0" w14:textId="77777777" w:rsidR="00B54712" w:rsidRPr="000C5235" w:rsidRDefault="00B54712" w:rsidP="000A7DEC">
      <w:pPr>
        <w:rPr>
          <w:rStyle w:val="BodyTextChar"/>
        </w:rPr>
      </w:pPr>
      <w:r w:rsidRPr="000C5235">
        <w:rPr>
          <w:rStyle w:val="BodyTextChar"/>
        </w:rPr>
        <w:t xml:space="preserve">The </w:t>
      </w:r>
      <w:r w:rsidRPr="000C5235">
        <w:rPr>
          <w:rStyle w:val="BodyTextChar"/>
          <w:i/>
        </w:rPr>
        <w:t xml:space="preserve">Entity </w:t>
      </w:r>
      <w:r w:rsidR="00E66432" w:rsidRPr="000C5235">
        <w:rPr>
          <w:rStyle w:val="BodyTextChar"/>
          <w:i/>
        </w:rPr>
        <w:t>r</w:t>
      </w:r>
      <w:r w:rsidR="007E6DB9" w:rsidRPr="000C5235">
        <w:rPr>
          <w:rStyle w:val="BodyTextChar"/>
          <w:i/>
        </w:rPr>
        <w:t xml:space="preserve">esource </w:t>
      </w:r>
      <w:r w:rsidR="00E66432" w:rsidRPr="000C5235">
        <w:rPr>
          <w:rStyle w:val="BodyTextChar"/>
          <w:i/>
        </w:rPr>
        <w:t>s</w:t>
      </w:r>
      <w:r w:rsidRPr="000C5235">
        <w:rPr>
          <w:rStyle w:val="BodyTextChar"/>
          <w:i/>
        </w:rPr>
        <w:t>tatement</w:t>
      </w:r>
      <w:r w:rsidRPr="000C5235">
        <w:rPr>
          <w:rStyle w:val="BodyTextChar"/>
        </w:rPr>
        <w:t xml:space="preserve"> provides a summary of all resources available to the entity over the budget year which it may draw upon in achieving government outcomes and objectives. This table is to be prepared on a </w:t>
      </w:r>
      <w:r w:rsidRPr="000C5235">
        <w:rPr>
          <w:rStyle w:val="BodyTextChar"/>
          <w:u w:val="single"/>
        </w:rPr>
        <w:t>resourcing (</w:t>
      </w:r>
      <w:r w:rsidR="00E10C89" w:rsidRPr="000C5235">
        <w:rPr>
          <w:rStyle w:val="BodyTextChar"/>
          <w:u w:val="single"/>
        </w:rPr>
        <w:t>ie</w:t>
      </w:r>
      <w:r w:rsidRPr="000C5235">
        <w:rPr>
          <w:rStyle w:val="BodyTextChar"/>
          <w:u w:val="single"/>
        </w:rPr>
        <w:t xml:space="preserve"> appropriations/cash available) basis</w:t>
      </w:r>
      <w:r w:rsidRPr="000C5235">
        <w:rPr>
          <w:rStyle w:val="BodyTextChar"/>
        </w:rPr>
        <w:t>.</w:t>
      </w:r>
    </w:p>
    <w:p w14:paraId="3219AC9B" w14:textId="77777777" w:rsidR="00B54712" w:rsidRPr="000C5235" w:rsidRDefault="008555BE" w:rsidP="000A7DEC">
      <w:pPr>
        <w:rPr>
          <w:rStyle w:val="BodyTextChar"/>
        </w:rPr>
      </w:pPr>
      <w:r w:rsidRPr="000C5235">
        <w:rPr>
          <w:rStyle w:val="BodyTextChar"/>
        </w:rPr>
        <w:t xml:space="preserve">The Entity resource statement </w:t>
      </w:r>
      <w:r w:rsidR="00B54712" w:rsidRPr="000C5235">
        <w:rPr>
          <w:rStyle w:val="BodyTextChar"/>
        </w:rPr>
        <w:t xml:space="preserve">provides a breakdown of these resources by funding </w:t>
      </w:r>
      <w:r w:rsidR="00FD4BA3" w:rsidRPr="000C5235">
        <w:rPr>
          <w:rStyle w:val="BodyTextChar"/>
        </w:rPr>
        <w:t>source and</w:t>
      </w:r>
      <w:r w:rsidR="00B54712" w:rsidRPr="000C5235">
        <w:rPr>
          <w:rStyle w:val="BodyTextChar"/>
        </w:rPr>
        <w:t xml:space="preserve"> includes undrawn and unspent amounts from prior years as well as the balances of special </w:t>
      </w:r>
      <w:r w:rsidR="00FD4BA3" w:rsidRPr="000C5235">
        <w:rPr>
          <w:rStyle w:val="BodyTextChar"/>
        </w:rPr>
        <w:t>accounts but</w:t>
      </w:r>
      <w:r w:rsidR="00B54712" w:rsidRPr="000C5235">
        <w:rPr>
          <w:rStyle w:val="BodyTextChar"/>
        </w:rPr>
        <w:t xml:space="preserve"> </w:t>
      </w:r>
      <w:r w:rsidR="00B54712" w:rsidRPr="000C5235">
        <w:rPr>
          <w:rStyle w:val="BodyTextChar"/>
          <w:u w:val="single"/>
        </w:rPr>
        <w:t>excludes</w:t>
      </w:r>
      <w:r w:rsidR="00B54712" w:rsidRPr="000C5235">
        <w:rPr>
          <w:rStyle w:val="BodyTextChar"/>
        </w:rPr>
        <w:t xml:space="preserve"> amounts subject to quarantine or reduction. The table also provides a total estimate of ASL for the entity – this total should equal the ASL figures published for each outcome in </w:t>
      </w:r>
      <w:r w:rsidR="00B54712" w:rsidRPr="000C5235">
        <w:rPr>
          <w:rStyle w:val="BodyTextChar"/>
          <w:i/>
        </w:rPr>
        <w:t>Table 2.X.1</w:t>
      </w:r>
      <w:r w:rsidR="00B54712" w:rsidRPr="000C5235">
        <w:rPr>
          <w:rStyle w:val="BodyTextChar"/>
        </w:rPr>
        <w:t xml:space="preserve"> (Budgeted expenses for Outcome X).</w:t>
      </w:r>
    </w:p>
    <w:p w14:paraId="1DFF940C" w14:textId="77777777" w:rsidR="00B54712" w:rsidRPr="000C5235" w:rsidRDefault="00B54712" w:rsidP="000A7DEC">
      <w:pPr>
        <w:rPr>
          <w:rStyle w:val="BodyTextChar"/>
        </w:rPr>
      </w:pPr>
      <w:r w:rsidRPr="000C5235">
        <w:rPr>
          <w:rStyle w:val="BodyTextChar"/>
        </w:rPr>
        <w:t xml:space="preserve">Entities with special accounts will need to ensure amounts transferred </w:t>
      </w:r>
      <w:r w:rsidR="000305A5" w:rsidRPr="000C5235">
        <w:rPr>
          <w:rStyle w:val="BodyTextChar"/>
        </w:rPr>
        <w:t xml:space="preserve">between special accounts and other appropriation sources </w:t>
      </w:r>
      <w:r w:rsidRPr="000C5235">
        <w:rPr>
          <w:rStyle w:val="BodyTextChar"/>
          <w:u w:val="single"/>
        </w:rPr>
        <w:t>are netted</w:t>
      </w:r>
      <w:r w:rsidRPr="000C5235">
        <w:rPr>
          <w:rStyle w:val="BodyTextChar"/>
        </w:rPr>
        <w:t xml:space="preserve"> off so the</w:t>
      </w:r>
      <w:r w:rsidR="000305A5" w:rsidRPr="000C5235">
        <w:rPr>
          <w:rStyle w:val="BodyTextChar"/>
        </w:rPr>
        <w:t xml:space="preserve"> appropriations</w:t>
      </w:r>
      <w:r w:rsidRPr="000C5235">
        <w:rPr>
          <w:rStyle w:val="BodyTextChar"/>
        </w:rPr>
        <w:t xml:space="preserve"> are not double counted. </w:t>
      </w:r>
      <w:bookmarkStart w:id="376" w:name="Special_Accounts_Netting_off_of_Amounts"/>
      <w:bookmarkEnd w:id="376"/>
    </w:p>
    <w:p w14:paraId="70DF4CC0" w14:textId="77777777" w:rsidR="00B54712" w:rsidRPr="000C5235" w:rsidRDefault="00B54712" w:rsidP="000A7DEC">
      <w:r w:rsidRPr="000C5235">
        <w:t>The “</w:t>
      </w:r>
      <w:r w:rsidR="00151BE2" w:rsidRPr="000C5235">
        <w:rPr>
          <w:u w:val="single"/>
        </w:rPr>
        <w:t>2019-20</w:t>
      </w:r>
      <w:r w:rsidRPr="000C5235">
        <w:rPr>
          <w:u w:val="single"/>
        </w:rPr>
        <w:t xml:space="preserve"> estimated actual</w:t>
      </w:r>
      <w:r w:rsidRPr="000C5235">
        <w:t xml:space="preserve">” column shows the estimated amount available to the entity to spend in the </w:t>
      </w:r>
      <w:r w:rsidR="00151BE2" w:rsidRPr="000C5235">
        <w:t>2019-20</w:t>
      </w:r>
      <w:r w:rsidRPr="000C5235">
        <w:t xml:space="preserve"> financial year – this should exclude amounts proposed through Appropriation Bills (Nos. 5 &amp; 6), as these would not have received Royal Assent at the time the PB Statements are tabled.</w:t>
      </w:r>
    </w:p>
    <w:p w14:paraId="41904B06" w14:textId="70A2EAD0" w:rsidR="00B37817" w:rsidRPr="000C5235" w:rsidRDefault="001D738F" w:rsidP="000A7DEC">
      <w:pPr>
        <w:pStyle w:val="Heading3Numbered"/>
        <w:rPr>
          <w:rStyle w:val="BodyTextChar"/>
          <w:rFonts w:eastAsiaTheme="majorEastAsia" w:cstheme="majorBidi"/>
          <w:bCs w:val="0"/>
        </w:rPr>
      </w:pPr>
      <w:bookmarkStart w:id="377" w:name="_Ref46310400"/>
      <w:bookmarkStart w:id="378" w:name="_Ref46310405"/>
      <w:bookmarkStart w:id="379" w:name="_Toc47951227"/>
      <w:r w:rsidRPr="000C5235">
        <w:rPr>
          <w:rStyle w:val="BodyTextChar"/>
          <w:rFonts w:eastAsiaTheme="majorEastAsia" w:cstheme="majorBidi"/>
          <w:bCs w:val="0"/>
        </w:rPr>
        <w:t xml:space="preserve">2019-20 Appropriation (Coronavirus Economic Response Package) Bills 1 &amp; 2 and the 2019-20 </w:t>
      </w:r>
      <w:bookmarkEnd w:id="377"/>
      <w:bookmarkEnd w:id="378"/>
      <w:r w:rsidR="00B51CD3" w:rsidRPr="000C5235">
        <w:rPr>
          <w:rStyle w:val="BodyTextChar"/>
          <w:rFonts w:eastAsiaTheme="majorEastAsia" w:cstheme="majorBidi"/>
          <w:bCs w:val="0"/>
        </w:rPr>
        <w:t>Appropriation Bills 5 &amp; 6</w:t>
      </w:r>
      <w:bookmarkEnd w:id="379"/>
    </w:p>
    <w:p w14:paraId="579B06F6" w14:textId="351721DA" w:rsidR="00E17F75" w:rsidRPr="000C5235" w:rsidRDefault="00D4245E" w:rsidP="00236189">
      <w:r w:rsidRPr="000C5235">
        <w:t xml:space="preserve">Entities who received an appropriation under the 2019-20 Appropriation (Coronavirus Economic Response Package) Bills 1 &amp; 2 and / or the 2019-20 </w:t>
      </w:r>
      <w:r w:rsidR="00B51CD3" w:rsidRPr="000C5235">
        <w:t xml:space="preserve">Appropriation </w:t>
      </w:r>
      <w:r w:rsidRPr="000C5235">
        <w:t xml:space="preserve">Bills 5 &amp; 6 will be required </w:t>
      </w:r>
      <w:r w:rsidR="00E21D42" w:rsidRPr="000C5235">
        <w:t xml:space="preserve">to </w:t>
      </w:r>
      <w:r w:rsidRPr="000C5235">
        <w:t>reflect the appropriations in T1.1 Entity resource statement.</w:t>
      </w:r>
    </w:p>
    <w:p w14:paraId="7166E6C7" w14:textId="77777777" w:rsidR="00E17F75" w:rsidRPr="000C5235" w:rsidRDefault="00E17F75">
      <w:pPr>
        <w:suppressAutoHyphens w:val="0"/>
        <w:spacing w:before="0" w:after="120" w:line="440" w:lineRule="atLeast"/>
      </w:pPr>
      <w:r w:rsidRPr="000C5235">
        <w:br w:type="page"/>
      </w:r>
    </w:p>
    <w:p w14:paraId="13B05137" w14:textId="77777777" w:rsidR="00E17F75" w:rsidRPr="000C5235" w:rsidRDefault="00E17F75" w:rsidP="00236189">
      <w:r w:rsidRPr="000C5235">
        <w:t>This is required because the</w:t>
      </w:r>
      <w:r w:rsidR="0085208D" w:rsidRPr="000C5235">
        <w:t>se</w:t>
      </w:r>
      <w:r w:rsidRPr="000C5235">
        <w:t xml:space="preserve"> </w:t>
      </w:r>
      <w:r w:rsidR="0085208D" w:rsidRPr="000C5235">
        <w:t>appropriation bills</w:t>
      </w:r>
      <w:r w:rsidRPr="000C5235">
        <w:t xml:space="preserve"> received Royal Assent on the:</w:t>
      </w:r>
    </w:p>
    <w:p w14:paraId="6E285443" w14:textId="77777777" w:rsidR="00E17F75" w:rsidRPr="000C5235" w:rsidRDefault="00E17F75" w:rsidP="00236189">
      <w:pPr>
        <w:pStyle w:val="Bullet1"/>
      </w:pPr>
      <w:r w:rsidRPr="000C5235">
        <w:t>2019-20 Appropriation (Coronavirus Economic Response Package) Bills 1 &amp; 2 on the 24</w:t>
      </w:r>
      <w:r w:rsidR="00236189" w:rsidRPr="000C5235">
        <w:t>th</w:t>
      </w:r>
      <w:r w:rsidRPr="000C5235">
        <w:t xml:space="preserve"> Mar 2020.</w:t>
      </w:r>
    </w:p>
    <w:p w14:paraId="1C3591C4" w14:textId="537A7E70" w:rsidR="00E17F75" w:rsidRPr="000C5235" w:rsidRDefault="00B51CD3" w:rsidP="00236189">
      <w:pPr>
        <w:pStyle w:val="Bullet1"/>
      </w:pPr>
      <w:r w:rsidRPr="000C5235">
        <w:t xml:space="preserve">Appropriation </w:t>
      </w:r>
      <w:r w:rsidR="00E17F75" w:rsidRPr="000C5235">
        <w:t>Bills 5 &amp; 6 on the 9</w:t>
      </w:r>
      <w:r w:rsidR="00236189" w:rsidRPr="000C5235">
        <w:t>th</w:t>
      </w:r>
      <w:r w:rsidR="00E17F75" w:rsidRPr="000C5235">
        <w:t xml:space="preserve"> April.</w:t>
      </w:r>
    </w:p>
    <w:p w14:paraId="4E25D6C2" w14:textId="77777777" w:rsidR="00B54712" w:rsidRPr="000C5235" w:rsidRDefault="00B54712" w:rsidP="000A7DEC">
      <w:pPr>
        <w:pStyle w:val="Heading3Numbered"/>
        <w:rPr>
          <w:rStyle w:val="BodyTextChar"/>
          <w:rFonts w:eastAsiaTheme="majorEastAsia" w:cstheme="majorBidi"/>
          <w:bCs w:val="0"/>
        </w:rPr>
      </w:pPr>
      <w:bookmarkStart w:id="380" w:name="_Toc47951228"/>
      <w:r w:rsidRPr="000C5235">
        <w:rPr>
          <w:rStyle w:val="BodyTextChar"/>
          <w:rFonts w:eastAsiaTheme="majorEastAsia" w:cstheme="majorBidi"/>
        </w:rPr>
        <w:t xml:space="preserve">Payments to the </w:t>
      </w:r>
      <w:r w:rsidR="00C51BA2" w:rsidRPr="000C5235">
        <w:rPr>
          <w:rStyle w:val="BodyTextChar"/>
          <w:rFonts w:eastAsiaTheme="majorEastAsia" w:cstheme="majorBidi"/>
        </w:rPr>
        <w:t>s</w:t>
      </w:r>
      <w:r w:rsidRPr="000C5235">
        <w:rPr>
          <w:rStyle w:val="BodyTextChar"/>
          <w:rFonts w:eastAsiaTheme="majorEastAsia" w:cstheme="majorBidi"/>
        </w:rPr>
        <w:t>tates</w:t>
      </w:r>
      <w:bookmarkEnd w:id="380"/>
    </w:p>
    <w:p w14:paraId="1CACA00E" w14:textId="77777777" w:rsidR="00B54712" w:rsidRPr="000C5235" w:rsidRDefault="00B54712" w:rsidP="000A7DEC">
      <w:r w:rsidRPr="000C5235">
        <w:t xml:space="preserve">This mandatory requirement for entities receiving appropriations, through Appropriation Bill </w:t>
      </w:r>
      <w:r w:rsidR="008D4630" w:rsidRPr="000C5235">
        <w:t>(</w:t>
      </w:r>
      <w:r w:rsidRPr="000C5235">
        <w:t>No.</w:t>
      </w:r>
      <w:r w:rsidR="00EE4AE2" w:rsidRPr="000C5235">
        <w:t xml:space="preserve"> </w:t>
      </w:r>
      <w:r w:rsidRPr="000C5235">
        <w:t>2</w:t>
      </w:r>
      <w:r w:rsidR="008D4630" w:rsidRPr="000C5235">
        <w:t>)</w:t>
      </w:r>
      <w:r w:rsidRPr="000C5235">
        <w:t xml:space="preserve"> </w:t>
      </w:r>
      <w:r w:rsidR="00151BE2" w:rsidRPr="000C5235">
        <w:t>2020-21</w:t>
      </w:r>
      <w:r w:rsidRPr="000C5235">
        <w:t xml:space="preserve">, for payments to States, </w:t>
      </w:r>
      <w:r w:rsidR="00874F0F" w:rsidRPr="000C5235">
        <w:t>Territories</w:t>
      </w:r>
      <w:r w:rsidRPr="000C5235">
        <w:t xml:space="preserve"> and local government</w:t>
      </w:r>
      <w:r w:rsidR="008D4630" w:rsidRPr="000C5235">
        <w:t>,</w:t>
      </w:r>
      <w:r w:rsidRPr="000C5235">
        <w:t xml:space="preserve"> to include additional information in a mandatory footnote to </w:t>
      </w:r>
      <w:r w:rsidRPr="000C5235">
        <w:rPr>
          <w:i/>
        </w:rPr>
        <w:t>Table 1.1 Entity Resourcing Statement</w:t>
      </w:r>
      <w:r w:rsidRPr="000C5235">
        <w:t>. The note only applies for the current year appropriation and not prior year comparisons.</w:t>
      </w:r>
    </w:p>
    <w:p w14:paraId="2584E8D1" w14:textId="77777777" w:rsidR="00AA37F7" w:rsidRPr="000C5235" w:rsidRDefault="00B54712" w:rsidP="000A7DEC">
      <w:r w:rsidRPr="000C5235">
        <w:t xml:space="preserve">Footnote (l) in </w:t>
      </w:r>
      <w:r w:rsidRPr="000C5235">
        <w:rPr>
          <w:i/>
        </w:rPr>
        <w:t>Table 1.1</w:t>
      </w:r>
      <w:r w:rsidRPr="000C5235">
        <w:t xml:space="preserve"> must include the particular purposes to which the payments to the States, ACT, NT and local government will be directed (including a breakdown of proposed amounts by State/Territory), where the terms and conditions, and the programs guidelines can be found, and the statutory or other provisions under which the terms and conditions are made.</w:t>
      </w:r>
    </w:p>
    <w:p w14:paraId="76E46873" w14:textId="77777777" w:rsidR="005B2724" w:rsidRPr="000C5235" w:rsidRDefault="00B54712" w:rsidP="000A7DEC">
      <w:pPr>
        <w:pStyle w:val="Bullet1"/>
      </w:pPr>
      <w:r w:rsidRPr="000C5235">
        <w:t>All requirements of the footnote must be addressed</w:t>
      </w:r>
      <w:r w:rsidR="005B2724" w:rsidRPr="000C5235">
        <w:t>.</w:t>
      </w:r>
    </w:p>
    <w:p w14:paraId="3387EB67" w14:textId="77777777" w:rsidR="00A368E7" w:rsidRPr="000C5235" w:rsidRDefault="00B54712" w:rsidP="000A7DEC">
      <w:r w:rsidRPr="000C5235">
        <w:t xml:space="preserve">An example is provided below. </w:t>
      </w:r>
    </w:p>
    <w:p w14:paraId="005EB05A" w14:textId="77777777" w:rsidR="00A368E7" w:rsidRPr="000C5235" w:rsidRDefault="00A368E7" w:rsidP="000A7DEC">
      <w:pPr>
        <w:pStyle w:val="Boxed2Text"/>
        <w:rPr>
          <w:rStyle w:val="BodyTextChar"/>
        </w:rPr>
      </w:pPr>
      <w:r w:rsidRPr="000C5235">
        <w:rPr>
          <w:rStyle w:val="BodyTextChar"/>
        </w:rPr>
        <w:t>(l) Relates to appropriations sought for payment to the States, ACT, NT and local governments in Appropriation Bill (No. 2) 2020-21. Outcome 1 – Program 1.1: Security and Justice includes the Schools Program under the Intergovernmental Agreement on Federal Financial Relations with payments of: $0.XXm (ACT); $XXm (NSW); $XXm (SA); $XXm (VIC) and $XXm (WA). Information on the terms and conditions can be found in the Project Agreement for the Schools Security Program (</w:t>
      </w:r>
      <w:hyperlink r:id="rId54" w:history="1">
        <w:r w:rsidRPr="000C5235">
          <w:rPr>
            <w:rStyle w:val="Hyperlink"/>
            <w:rFonts w:cs="Times New Roman"/>
          </w:rPr>
          <w:t>http://www.federalfinancialrelations.gov.au/content/npa/education.aspx</w:t>
        </w:r>
      </w:hyperlink>
      <w:r w:rsidRPr="000C5235">
        <w:rPr>
          <w:rStyle w:val="Hyperlink"/>
          <w:rFonts w:cs="Times New Roman"/>
        </w:rPr>
        <w:t>)</w:t>
      </w:r>
      <w:r w:rsidRPr="000C5235">
        <w:rPr>
          <w:rStyle w:val="Hyperlink"/>
          <w:rFonts w:cs="Times New Roman"/>
          <w:color w:val="auto"/>
          <w:u w:val="none"/>
        </w:rPr>
        <w:t>.</w:t>
      </w:r>
      <w:r w:rsidRPr="000C5235">
        <w:rPr>
          <w:rStyle w:val="BodyTextChar"/>
        </w:rPr>
        <w:t xml:space="preserve">  </w:t>
      </w:r>
    </w:p>
    <w:p w14:paraId="4BA02FAE" w14:textId="77777777" w:rsidR="00B54712" w:rsidRPr="000C5235" w:rsidRDefault="00A368E7" w:rsidP="000A7DEC">
      <w:pPr>
        <w:pStyle w:val="Boxed2Text"/>
      </w:pPr>
      <w:r w:rsidRPr="000C5235">
        <w:rPr>
          <w:rStyle w:val="BodyTextChar"/>
        </w:rPr>
        <w:t xml:space="preserve">Terms and conditions are made under authority from section 7(2) of the </w:t>
      </w:r>
      <w:r w:rsidRPr="000C5235">
        <w:rPr>
          <w:rStyle w:val="BodyTextChar"/>
          <w:i/>
        </w:rPr>
        <w:t>COAG Reform Fund Act 2008</w:t>
      </w:r>
      <w:r w:rsidRPr="000C5235">
        <w:rPr>
          <w:rStyle w:val="BodyTextChar"/>
        </w:rPr>
        <w:t>, and the Intergovernmental Agreement on Federal Financial Relations.</w:t>
      </w:r>
    </w:p>
    <w:p w14:paraId="5B520EE3" w14:textId="77777777" w:rsidR="005904D2" w:rsidRPr="000C5235" w:rsidRDefault="005904D2" w:rsidP="000A7DEC">
      <w:pPr>
        <w:pStyle w:val="Heading3Numbered"/>
        <w:rPr>
          <w:rStyle w:val="BodyTextChar"/>
          <w:rFonts w:eastAsiaTheme="majorEastAsia" w:cstheme="majorBidi"/>
        </w:rPr>
      </w:pPr>
      <w:bookmarkStart w:id="381" w:name="_Toc30405565"/>
      <w:bookmarkStart w:id="382" w:name="_Toc30581306"/>
      <w:bookmarkStart w:id="383" w:name="_Toc32829968"/>
      <w:bookmarkStart w:id="384" w:name="_Toc32917475"/>
      <w:bookmarkStart w:id="385" w:name="_Toc32918281"/>
      <w:bookmarkStart w:id="386" w:name="_Toc32999664"/>
      <w:bookmarkStart w:id="387" w:name="_Toc33099383"/>
      <w:bookmarkStart w:id="388" w:name="_Toc47369876"/>
      <w:bookmarkStart w:id="389" w:name="_Toc47369877"/>
      <w:bookmarkStart w:id="390" w:name="_Toc47951229"/>
      <w:bookmarkEnd w:id="381"/>
      <w:bookmarkEnd w:id="382"/>
      <w:bookmarkEnd w:id="383"/>
      <w:bookmarkEnd w:id="384"/>
      <w:bookmarkEnd w:id="385"/>
      <w:bookmarkEnd w:id="386"/>
      <w:bookmarkEnd w:id="387"/>
      <w:bookmarkEnd w:id="388"/>
      <w:bookmarkEnd w:id="389"/>
      <w:r w:rsidRPr="000C5235">
        <w:rPr>
          <w:rStyle w:val="BodyTextChar"/>
          <w:rFonts w:eastAsiaTheme="majorEastAsia" w:cstheme="majorBidi"/>
        </w:rPr>
        <w:t xml:space="preserve">Additional guidance on </w:t>
      </w:r>
      <w:r w:rsidR="00C51BA2" w:rsidRPr="000C5235">
        <w:rPr>
          <w:rStyle w:val="BodyTextChar"/>
          <w:rFonts w:eastAsiaTheme="majorEastAsia" w:cstheme="majorBidi"/>
        </w:rPr>
        <w:t>c</w:t>
      </w:r>
      <w:r w:rsidRPr="000C5235">
        <w:rPr>
          <w:rStyle w:val="BodyTextChar"/>
          <w:rFonts w:eastAsiaTheme="majorEastAsia" w:cstheme="majorBidi"/>
        </w:rPr>
        <w:t xml:space="preserve">ash </w:t>
      </w:r>
      <w:r w:rsidR="00C51BA2" w:rsidRPr="000C5235">
        <w:rPr>
          <w:rStyle w:val="BodyTextChar"/>
          <w:rFonts w:eastAsiaTheme="majorEastAsia" w:cstheme="majorBidi"/>
        </w:rPr>
        <w:t>m</w:t>
      </w:r>
      <w:r w:rsidRPr="000C5235">
        <w:rPr>
          <w:rStyle w:val="BodyTextChar"/>
          <w:rFonts w:eastAsiaTheme="majorEastAsia" w:cstheme="majorBidi"/>
        </w:rPr>
        <w:t xml:space="preserve">anagement </w:t>
      </w:r>
      <w:r w:rsidR="00C51BA2" w:rsidRPr="000C5235">
        <w:rPr>
          <w:rStyle w:val="BodyTextChar"/>
          <w:rFonts w:eastAsiaTheme="majorEastAsia" w:cstheme="majorBidi"/>
        </w:rPr>
        <w:t>reports and a</w:t>
      </w:r>
      <w:r w:rsidRPr="000C5235">
        <w:rPr>
          <w:rStyle w:val="BodyTextChar"/>
          <w:rFonts w:eastAsiaTheme="majorEastAsia" w:cstheme="majorBidi"/>
        </w:rPr>
        <w:t xml:space="preserve">ppropriation </w:t>
      </w:r>
      <w:r w:rsidR="00C51BA2" w:rsidRPr="000C5235">
        <w:rPr>
          <w:rStyle w:val="BodyTextChar"/>
          <w:rFonts w:eastAsiaTheme="majorEastAsia" w:cstheme="majorBidi"/>
        </w:rPr>
        <w:t>b</w:t>
      </w:r>
      <w:r w:rsidRPr="000C5235">
        <w:rPr>
          <w:rStyle w:val="BodyTextChar"/>
          <w:rFonts w:eastAsiaTheme="majorEastAsia" w:cstheme="majorBidi"/>
        </w:rPr>
        <w:t>ills</w:t>
      </w:r>
      <w:bookmarkEnd w:id="390"/>
    </w:p>
    <w:p w14:paraId="7611F92C" w14:textId="77777777" w:rsidR="005904D2" w:rsidRPr="000C5235" w:rsidRDefault="005904D2" w:rsidP="000A7DEC">
      <w:pPr>
        <w:rPr>
          <w:rStyle w:val="BodyTextChar"/>
          <w:rFonts w:ascii="Arial" w:hAnsi="Arial"/>
          <w:bCs/>
          <w:iCs/>
          <w:color w:val="005A77"/>
          <w:spacing w:val="-6"/>
          <w:sz w:val="32"/>
          <w:szCs w:val="24"/>
        </w:rPr>
      </w:pPr>
      <w:r w:rsidRPr="000C5235">
        <w:rPr>
          <w:rStyle w:val="BodyTextChar"/>
        </w:rPr>
        <w:t xml:space="preserve">Appropriation estimates are recorded in CBMS in the PBF module. The Annual Estimates module in </w:t>
      </w:r>
      <w:r w:rsidR="00EF6ACB" w:rsidRPr="000C5235">
        <w:rPr>
          <w:rStyle w:val="BodyTextChar"/>
        </w:rPr>
        <w:t>Public Budget Formulation (</w:t>
      </w:r>
      <w:r w:rsidRPr="000C5235">
        <w:rPr>
          <w:rStyle w:val="BodyTextChar"/>
        </w:rPr>
        <w:t>PBF</w:t>
      </w:r>
      <w:r w:rsidR="00EF6ACB" w:rsidRPr="000C5235">
        <w:rPr>
          <w:rStyle w:val="BodyTextChar"/>
        </w:rPr>
        <w:t>)</w:t>
      </w:r>
      <w:r w:rsidRPr="000C5235">
        <w:rPr>
          <w:rStyle w:val="BodyTextChar"/>
        </w:rPr>
        <w:t xml:space="preserve"> is used to create the Appropriation Bills.</w:t>
      </w:r>
    </w:p>
    <w:p w14:paraId="2A90FD9A" w14:textId="77777777" w:rsidR="005904D2" w:rsidRPr="000C5235" w:rsidRDefault="005904D2" w:rsidP="000A7DEC">
      <w:pPr>
        <w:rPr>
          <w:rStyle w:val="BodyTextChar"/>
        </w:rPr>
      </w:pPr>
      <w:r w:rsidRPr="000C5235">
        <w:rPr>
          <w:rStyle w:val="BodyTextChar"/>
        </w:rPr>
        <w:t>When an Appropriation Bill is given Royal Assent and becomes an Appropriation Act, the values captured in PBF are then used as the Appropriation Limits in Cash Management</w:t>
      </w:r>
      <w:r w:rsidR="00AA37F7" w:rsidRPr="000C5235">
        <w:rPr>
          <w:rStyle w:val="BodyTextChar"/>
        </w:rPr>
        <w:t xml:space="preserve"> in CBMS</w:t>
      </w:r>
      <w:r w:rsidRPr="000C5235">
        <w:rPr>
          <w:rStyle w:val="BodyTextChar"/>
        </w:rPr>
        <w:t>. Appropriation limits are treated as “Hard” or “Soft” depending on their outcome requirements and/or other legal restrictions.</w:t>
      </w:r>
    </w:p>
    <w:p w14:paraId="175DD716" w14:textId="77777777" w:rsidR="005904D2" w:rsidRPr="000C5235" w:rsidRDefault="005904D2" w:rsidP="000A7DEC">
      <w:pPr>
        <w:rPr>
          <w:rStyle w:val="BodyTextChar"/>
        </w:rPr>
      </w:pPr>
      <w:r w:rsidRPr="000C5235">
        <w:rPr>
          <w:rStyle w:val="BodyTextChar"/>
        </w:rPr>
        <w:t>A “hard limit” is a limit that cannot be exceeded with a drawdown. This is because a hard limit is a legally appropriated amount, adjusted for changes authorised in law such as section 75 transfers as a result of Machinery of Government changes, section 74 External Revenue, quarantines by the Minister for Finance or the Advances to the Minister for Finance.</w:t>
      </w:r>
    </w:p>
    <w:p w14:paraId="06112E2E" w14:textId="77777777" w:rsidR="005904D2" w:rsidRPr="000C5235" w:rsidRDefault="005904D2">
      <w:pPr>
        <w:pStyle w:val="Bullet1"/>
        <w:rPr>
          <w:rStyle w:val="BodyTextChar"/>
          <w:rFonts w:asciiTheme="minorHAnsi" w:hAnsiTheme="minorHAnsi"/>
        </w:rPr>
      </w:pPr>
      <w:r w:rsidRPr="000C5235">
        <w:rPr>
          <w:rStyle w:val="BodyTextChar"/>
        </w:rPr>
        <w:t>For departmental operating appropriations, the hard limit equals the total amount appropriated for the entity</w:t>
      </w:r>
      <w:r w:rsidR="006F1726" w:rsidRPr="000C5235">
        <w:rPr>
          <w:rStyle w:val="BodyTextChar"/>
        </w:rPr>
        <w:t>.</w:t>
      </w:r>
    </w:p>
    <w:p w14:paraId="5C253D40" w14:textId="77777777" w:rsidR="005904D2" w:rsidRPr="000C5235" w:rsidRDefault="005904D2">
      <w:pPr>
        <w:pStyle w:val="Bullet1"/>
        <w:rPr>
          <w:rStyle w:val="BodyTextChar"/>
        </w:rPr>
      </w:pPr>
      <w:r w:rsidRPr="000C5235">
        <w:rPr>
          <w:rStyle w:val="BodyTextChar"/>
        </w:rPr>
        <w:t>For administered operating appropriations, the hard limit is the amount provided for each outcome.</w:t>
      </w:r>
    </w:p>
    <w:p w14:paraId="1BABB657" w14:textId="77777777" w:rsidR="005904D2" w:rsidRPr="000C5235" w:rsidRDefault="005904D2" w:rsidP="000A7DEC">
      <w:pPr>
        <w:rPr>
          <w:rStyle w:val="BodyTextChar"/>
          <w:rFonts w:ascii="Arial" w:hAnsi="Arial"/>
        </w:rPr>
      </w:pPr>
      <w:r w:rsidRPr="000C5235">
        <w:rPr>
          <w:rStyle w:val="BodyTextChar"/>
        </w:rPr>
        <w:t>A soft limit is the limit against a portion of the hard limit after it is allocated to a program (</w:t>
      </w:r>
      <w:r w:rsidR="00E10C89" w:rsidRPr="000C5235">
        <w:rPr>
          <w:rStyle w:val="BodyTextChar"/>
        </w:rPr>
        <w:t>ie</w:t>
      </w:r>
      <w:r w:rsidRPr="000C5235">
        <w:rPr>
          <w:rStyle w:val="BodyTextChar"/>
        </w:rPr>
        <w:t xml:space="preserve"> administered operating) or outcome (</w:t>
      </w:r>
      <w:r w:rsidR="00AA37F7" w:rsidRPr="000C5235">
        <w:rPr>
          <w:rStyle w:val="BodyTextChar"/>
        </w:rPr>
        <w:t>i.e.</w:t>
      </w:r>
      <w:r w:rsidRPr="000C5235">
        <w:rPr>
          <w:rStyle w:val="BodyTextChar"/>
        </w:rPr>
        <w:t xml:space="preserve"> departmental operating). These limits can be exceeded with a drawdown, providing they do not exceed the hard limit. Soft limits can be adjusted on request from entities (though they generally reflect splits identified in </w:t>
      </w:r>
      <w:r w:rsidR="008555BE" w:rsidRPr="000C5235">
        <w:rPr>
          <w:rStyle w:val="BodyTextChar"/>
        </w:rPr>
        <w:t>PB </w:t>
      </w:r>
      <w:r w:rsidRPr="000C5235">
        <w:rPr>
          <w:rStyle w:val="BodyTextChar"/>
        </w:rPr>
        <w:t>Statements/PAES.</w:t>
      </w:r>
    </w:p>
    <w:p w14:paraId="257EE546" w14:textId="77777777" w:rsidR="00B54712" w:rsidRPr="000C5235" w:rsidRDefault="00B54712" w:rsidP="000A7DEC">
      <w:pPr>
        <w:pStyle w:val="Heading2Numbered"/>
        <w:rPr>
          <w:rFonts w:ascii="Arial" w:eastAsia="Times New Roman" w:hAnsi="Arial"/>
          <w:spacing w:val="-6"/>
          <w:szCs w:val="34"/>
        </w:rPr>
      </w:pPr>
      <w:bookmarkStart w:id="391" w:name="_Toc47951230"/>
      <w:r w:rsidRPr="000C5235">
        <w:rPr>
          <w:rFonts w:eastAsia="Times New Roman"/>
        </w:rPr>
        <w:t xml:space="preserve">Resource </w:t>
      </w:r>
      <w:r w:rsidR="00087818" w:rsidRPr="000C5235">
        <w:rPr>
          <w:rFonts w:eastAsia="Times New Roman"/>
        </w:rPr>
        <w:t>s</w:t>
      </w:r>
      <w:r w:rsidRPr="000C5235">
        <w:rPr>
          <w:rFonts w:eastAsia="Times New Roman"/>
        </w:rPr>
        <w:t xml:space="preserve">tatement </w:t>
      </w:r>
      <w:r w:rsidR="00087818" w:rsidRPr="000C5235">
        <w:rPr>
          <w:rFonts w:eastAsia="Times New Roman"/>
        </w:rPr>
        <w:t>s</w:t>
      </w:r>
      <w:r w:rsidRPr="000C5235">
        <w:rPr>
          <w:rFonts w:eastAsia="Times New Roman"/>
        </w:rPr>
        <w:t>ections</w:t>
      </w:r>
      <w:bookmarkEnd w:id="391"/>
    </w:p>
    <w:p w14:paraId="102E74B7" w14:textId="77777777" w:rsidR="00A32A8F" w:rsidRPr="000C5235" w:rsidRDefault="00781BE3" w:rsidP="000A7DEC">
      <w:r w:rsidRPr="000C5235">
        <w:t xml:space="preserve">In addition to the </w:t>
      </w:r>
      <w:r w:rsidR="00A32A8F" w:rsidRPr="000C5235">
        <w:t xml:space="preserve">reports </w:t>
      </w:r>
      <w:r w:rsidRPr="000C5235">
        <w:t xml:space="preserve">listed </w:t>
      </w:r>
      <w:r w:rsidR="00FD2427" w:rsidRPr="000C5235">
        <w:t>under</w:t>
      </w:r>
      <w:r w:rsidRPr="000C5235">
        <w:t xml:space="preserve"> the </w:t>
      </w:r>
      <w:r w:rsidR="004D0115" w:rsidRPr="000C5235">
        <w:t>subsection</w:t>
      </w:r>
      <w:r w:rsidRPr="000C5235">
        <w:t>s below</w:t>
      </w:r>
      <w:r w:rsidR="00A32A8F" w:rsidRPr="000C5235">
        <w:t xml:space="preserve">, the </w:t>
      </w:r>
      <w:r w:rsidRPr="000C5235">
        <w:t xml:space="preserve">following </w:t>
      </w:r>
      <w:r w:rsidR="00A32A8F" w:rsidRPr="000C5235">
        <w:t>report can be used to help quality assure all appropriation types:</w:t>
      </w:r>
    </w:p>
    <w:p w14:paraId="6140527E" w14:textId="77777777" w:rsidR="00A32A8F" w:rsidRPr="000C5235" w:rsidRDefault="00A32A8F" w:rsidP="00493ED2">
      <w:pPr>
        <w:pStyle w:val="Reports1"/>
      </w:pPr>
      <w:r w:rsidRPr="000C5235">
        <w:rPr>
          <w:rStyle w:val="BodyTextChar"/>
        </w:rPr>
        <w:t xml:space="preserve">Reports </w:t>
      </w:r>
      <w:r w:rsidR="00DA502E" w:rsidRPr="000C5235">
        <w:rPr>
          <w:rStyle w:val="BodyTextChar"/>
        </w:rPr>
        <w:sym w:font="Wingdings" w:char="F0E0"/>
      </w:r>
      <w:r w:rsidR="00DA502E" w:rsidRPr="000C5235">
        <w:rPr>
          <w:rStyle w:val="BodyTextChar"/>
        </w:rPr>
        <w:t xml:space="preserve"> </w:t>
      </w:r>
      <w:r w:rsidRPr="000C5235">
        <w:rPr>
          <w:rStyle w:val="BodyTextChar"/>
        </w:rPr>
        <w:t xml:space="preserve">CBMS Reporting </w:t>
      </w:r>
      <w:r w:rsidR="00DA502E" w:rsidRPr="000C5235">
        <w:rPr>
          <w:rStyle w:val="BodyTextChar"/>
        </w:rPr>
        <w:sym w:font="Wingdings" w:char="F0E0"/>
      </w:r>
      <w:r w:rsidRPr="000C5235">
        <w:rPr>
          <w:rStyle w:val="BodyTextChar"/>
        </w:rPr>
        <w:t xml:space="preserve"> Operational Reports </w:t>
      </w:r>
      <w:r w:rsidR="00DA502E" w:rsidRPr="000C5235">
        <w:rPr>
          <w:rStyle w:val="BodyTextChar"/>
        </w:rPr>
        <w:sym w:font="Wingdings" w:char="F0E0"/>
      </w:r>
      <w:r w:rsidRPr="000C5235">
        <w:rPr>
          <w:rStyle w:val="BodyTextChar"/>
        </w:rPr>
        <w:t xml:space="preserve"> Estimates </w:t>
      </w:r>
      <w:r w:rsidR="00DA502E" w:rsidRPr="000C5235">
        <w:rPr>
          <w:rStyle w:val="BodyTextChar"/>
        </w:rPr>
        <w:sym w:font="Wingdings" w:char="F0E0"/>
      </w:r>
      <w:r w:rsidR="00DA502E" w:rsidRPr="000C5235">
        <w:rPr>
          <w:rStyle w:val="BodyTextChar"/>
        </w:rPr>
        <w:t xml:space="preserve"> </w:t>
      </w:r>
      <w:r w:rsidRPr="000C5235">
        <w:rPr>
          <w:rStyle w:val="BodyTextChar"/>
        </w:rPr>
        <w:t xml:space="preserve"> Annual Estimates </w:t>
      </w:r>
      <w:r w:rsidR="00DA502E" w:rsidRPr="000C5235">
        <w:rPr>
          <w:rStyle w:val="BodyTextChar"/>
        </w:rPr>
        <w:sym w:font="Wingdings" w:char="F0E0"/>
      </w:r>
      <w:r w:rsidR="00DA502E" w:rsidRPr="000C5235">
        <w:rPr>
          <w:rStyle w:val="BodyTextChar"/>
        </w:rPr>
        <w:t xml:space="preserve"> </w:t>
      </w:r>
      <w:r w:rsidRPr="000C5235">
        <w:rPr>
          <w:rStyle w:val="BodyTextChar"/>
        </w:rPr>
        <w:t xml:space="preserve">AE.OR.17 Agency Resourcing QA Report. </w:t>
      </w:r>
    </w:p>
    <w:p w14:paraId="7BA98695" w14:textId="77777777" w:rsidR="00B54712" w:rsidRPr="000C5235" w:rsidRDefault="00B54712" w:rsidP="000A7DEC">
      <w:pPr>
        <w:pStyle w:val="Heading4nonumbers"/>
        <w:rPr>
          <w:rStyle w:val="BodyTextChar"/>
          <w:rFonts w:eastAsia="MS Gothic"/>
          <w:i/>
          <w:color w:val="0070C0"/>
        </w:rPr>
      </w:pPr>
      <w:r w:rsidRPr="000C5235">
        <w:rPr>
          <w:rStyle w:val="BodyTextChar"/>
          <w:rFonts w:eastAsia="MS Gothic"/>
        </w:rPr>
        <w:t>Prior</w:t>
      </w:r>
      <w:r w:rsidR="00AF7AB1" w:rsidRPr="000C5235">
        <w:rPr>
          <w:rStyle w:val="BodyTextChar"/>
          <w:rFonts w:eastAsia="MS Gothic"/>
        </w:rPr>
        <w:t>-</w:t>
      </w:r>
      <w:r w:rsidR="00087818" w:rsidRPr="000C5235">
        <w:rPr>
          <w:rStyle w:val="BodyTextChar"/>
          <w:rFonts w:eastAsia="MS Gothic"/>
        </w:rPr>
        <w:t>y</w:t>
      </w:r>
      <w:r w:rsidRPr="000C5235">
        <w:rPr>
          <w:rStyle w:val="BodyTextChar"/>
          <w:rFonts w:eastAsia="MS Gothic"/>
        </w:rPr>
        <w:t xml:space="preserve">ear </w:t>
      </w:r>
      <w:r w:rsidR="00087818" w:rsidRPr="000C5235">
        <w:rPr>
          <w:rStyle w:val="BodyTextChar"/>
          <w:rFonts w:eastAsia="MS Gothic"/>
        </w:rPr>
        <w:t>a</w:t>
      </w:r>
      <w:r w:rsidRPr="000C5235">
        <w:rPr>
          <w:rStyle w:val="BodyTextChar"/>
          <w:rFonts w:eastAsia="MS Gothic"/>
        </w:rPr>
        <w:t xml:space="preserve">nnual </w:t>
      </w:r>
      <w:r w:rsidR="00087818" w:rsidRPr="000C5235">
        <w:rPr>
          <w:rStyle w:val="BodyTextChar"/>
          <w:rFonts w:eastAsia="MS Gothic"/>
        </w:rPr>
        <w:t>a</w:t>
      </w:r>
      <w:r w:rsidRPr="000C5235">
        <w:rPr>
          <w:rStyle w:val="BodyTextChar"/>
          <w:rFonts w:eastAsia="MS Gothic"/>
        </w:rPr>
        <w:t xml:space="preserve">ppropriation </w:t>
      </w:r>
      <w:r w:rsidR="00087818" w:rsidRPr="000C5235">
        <w:rPr>
          <w:rStyle w:val="BodyTextChar"/>
          <w:rFonts w:eastAsia="MS Gothic"/>
        </w:rPr>
        <w:t>b</w:t>
      </w:r>
      <w:r w:rsidRPr="000C5235">
        <w:rPr>
          <w:rStyle w:val="BodyTextChar"/>
          <w:rFonts w:eastAsia="MS Gothic"/>
        </w:rPr>
        <w:t>alances</w:t>
      </w:r>
    </w:p>
    <w:p w14:paraId="319D0807" w14:textId="77777777" w:rsidR="00B54712" w:rsidRPr="000C5235" w:rsidRDefault="00B54712" w:rsidP="000A7DEC">
      <w:r w:rsidRPr="000C5235">
        <w:t>The “prior year appropriations available” rows should reflect unspent/undrawn appropriations available at the start of the financial year (</w:t>
      </w:r>
      <w:r w:rsidR="00E10C89" w:rsidRPr="000C5235">
        <w:t>ie</w:t>
      </w:r>
      <w:r w:rsidRPr="000C5235">
        <w:t xml:space="preserve"> the closing balance of the previous year). This balance should also reflect opening special account balances for that period</w:t>
      </w:r>
      <w:r w:rsidR="00E10C89" w:rsidRPr="000C5235">
        <w:t xml:space="preserve"> (ie</w:t>
      </w:r>
      <w:r w:rsidRPr="000C5235">
        <w:t xml:space="preserve"> at 1 July</w:t>
      </w:r>
      <w:r w:rsidR="00E10C89" w:rsidRPr="000C5235">
        <w:t>)</w:t>
      </w:r>
      <w:r w:rsidRPr="000C5235">
        <w:t>.</w:t>
      </w:r>
    </w:p>
    <w:p w14:paraId="7049BECB" w14:textId="77777777" w:rsidR="00B54712" w:rsidRPr="000C5235" w:rsidRDefault="00B54712">
      <w:pPr>
        <w:pStyle w:val="Bullet1"/>
        <w:rPr>
          <w:rStyle w:val="BodyTextChar"/>
        </w:rPr>
      </w:pPr>
      <w:r w:rsidRPr="000C5235">
        <w:rPr>
          <w:rStyle w:val="BodyTextChar"/>
        </w:rPr>
        <w:t>For the “</w:t>
      </w:r>
      <w:r w:rsidR="00CA28EA" w:rsidRPr="000C5235">
        <w:rPr>
          <w:rStyle w:val="BodyTextChar"/>
          <w:u w:val="single"/>
        </w:rPr>
        <w:t>2019-20</w:t>
      </w:r>
      <w:r w:rsidRPr="000C5235">
        <w:rPr>
          <w:rStyle w:val="BodyTextChar"/>
          <w:u w:val="single"/>
        </w:rPr>
        <w:t xml:space="preserve"> estimated actual</w:t>
      </w:r>
      <w:r w:rsidRPr="000C5235">
        <w:rPr>
          <w:rStyle w:val="BodyTextChar"/>
        </w:rPr>
        <w:t xml:space="preserve">” column, this will be the closing unspent appropriations balance from the entity’s </w:t>
      </w:r>
      <w:r w:rsidR="00CA28EA" w:rsidRPr="000C5235">
        <w:rPr>
          <w:rStyle w:val="BodyTextChar"/>
        </w:rPr>
        <w:t>2018-19</w:t>
      </w:r>
      <w:r w:rsidRPr="000C5235">
        <w:rPr>
          <w:rStyle w:val="BodyTextChar"/>
        </w:rPr>
        <w:t xml:space="preserve"> annual report, adjusted for any additional s51 withholdings and/or administrative quarantines currently in place</w:t>
      </w:r>
      <w:r w:rsidR="00D07CC2" w:rsidRPr="000C5235">
        <w:rPr>
          <w:rStyle w:val="BodyTextChar"/>
        </w:rPr>
        <w:t>.</w:t>
      </w:r>
    </w:p>
    <w:p w14:paraId="5829722C" w14:textId="1D516B27" w:rsidR="00B54712" w:rsidRPr="000C5235" w:rsidRDefault="00B54712" w:rsidP="00B51CD3">
      <w:pPr>
        <w:pStyle w:val="Bullet1"/>
        <w:rPr>
          <w:rStyle w:val="BodyTextChar"/>
        </w:rPr>
      </w:pPr>
      <w:r w:rsidRPr="000C5235">
        <w:rPr>
          <w:rStyle w:val="BodyTextChar"/>
        </w:rPr>
        <w:t>For the “</w:t>
      </w:r>
      <w:r w:rsidR="00CA28EA" w:rsidRPr="000C5235">
        <w:rPr>
          <w:rStyle w:val="BodyTextChar"/>
        </w:rPr>
        <w:t>2020-21</w:t>
      </w:r>
      <w:r w:rsidRPr="000C5235">
        <w:rPr>
          <w:rStyle w:val="BodyTextChar"/>
        </w:rPr>
        <w:t xml:space="preserve"> estimate” column, this will be the forecast closing unspent appropriations balance as at the end of the </w:t>
      </w:r>
      <w:r w:rsidR="00CA28EA" w:rsidRPr="000C5235">
        <w:rPr>
          <w:rStyle w:val="BodyTextChar"/>
        </w:rPr>
        <w:t>2019-20</w:t>
      </w:r>
      <w:r w:rsidRPr="000C5235">
        <w:rPr>
          <w:rStyle w:val="BodyTextChar"/>
        </w:rPr>
        <w:t xml:space="preserve"> year, adjusted for any additional s51 withholdings and/or administrative quarantines currently in place. Amounts expected to be appropriated through Appropriation Bills (Nos. 5 &amp; 6) should be excluded from this figure (but referenced in the footnote), as these amounts would not have received Royal Assent at the time the PB Statements are tabled</w:t>
      </w:r>
      <w:r w:rsidR="00D07CC2" w:rsidRPr="000C5235">
        <w:rPr>
          <w:rStyle w:val="BodyTextChar"/>
        </w:rPr>
        <w:t>.</w:t>
      </w:r>
      <w:r w:rsidR="00566C02" w:rsidRPr="000C5235">
        <w:rPr>
          <w:rStyle w:val="BodyTextChar"/>
        </w:rPr>
        <w:t xml:space="preserve"> This latter sentence will not apply for 2019-20 Appropriation (Coronavirus Economic Response Package) Bills 1 &amp; 2 and the 2019-20 </w:t>
      </w:r>
      <w:r w:rsidR="00B51CD3" w:rsidRPr="000C5235">
        <w:rPr>
          <w:rStyle w:val="BodyTextChar"/>
        </w:rPr>
        <w:t xml:space="preserve">Appropriation Bills 5 &amp; 6 </w:t>
      </w:r>
      <w:r w:rsidR="00566C02" w:rsidRPr="000C5235">
        <w:rPr>
          <w:rStyle w:val="BodyTextChar"/>
        </w:rPr>
        <w:t>as they were passed by 30 June 20</w:t>
      </w:r>
      <w:r w:rsidR="00236189" w:rsidRPr="000C5235">
        <w:rPr>
          <w:rStyle w:val="BodyTextChar"/>
        </w:rPr>
        <w:t>20</w:t>
      </w:r>
    </w:p>
    <w:p w14:paraId="490DE8B6" w14:textId="77777777" w:rsidR="00B54712" w:rsidRPr="000C5235" w:rsidRDefault="00B54712">
      <w:pPr>
        <w:pStyle w:val="Bullet1"/>
        <w:rPr>
          <w:rStyle w:val="BodyTextChar"/>
        </w:rPr>
      </w:pPr>
      <w:r w:rsidRPr="000C5235">
        <w:rPr>
          <w:rStyle w:val="BodyTextChar"/>
        </w:rPr>
        <w:t>Entities can also check unspent, undrawn balances by running the Appropriation Balance Report from CBMS for the relevant financial year and referring to the “Available – Hard Limit” lines. The “Available – Hard Limit” lines show how much of the amount which is still available to the entity but has yet to be drawn down</w:t>
      </w:r>
      <w:r w:rsidR="00D07CC2" w:rsidRPr="000C5235">
        <w:rPr>
          <w:rStyle w:val="BodyTextChar"/>
        </w:rPr>
        <w:t>.</w:t>
      </w:r>
    </w:p>
    <w:p w14:paraId="35A56915" w14:textId="77777777" w:rsidR="00B54712" w:rsidRPr="000C5235" w:rsidRDefault="00B54712">
      <w:pPr>
        <w:pStyle w:val="Bullet1"/>
        <w:rPr>
          <w:rStyle w:val="BodyTextChar"/>
        </w:rPr>
      </w:pPr>
      <w:r w:rsidRPr="000C5235">
        <w:rPr>
          <w:rStyle w:val="BodyTextChar"/>
        </w:rPr>
        <w:t>Total available appropriation balance can be calculated by adding the Hard Limit lines for the relevant Program or Outcome for all financial years.</w:t>
      </w:r>
    </w:p>
    <w:p w14:paraId="25BD11BD" w14:textId="77777777" w:rsidR="00B54712" w:rsidRPr="000C5235" w:rsidRDefault="00B54712" w:rsidP="000A7DEC">
      <w:pPr>
        <w:pStyle w:val="Reports3"/>
        <w:rPr>
          <w:rStyle w:val="BodyTextChar"/>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Operational Reports </w:t>
      </w:r>
      <w:r w:rsidR="00DA502E" w:rsidRPr="000C5235">
        <w:rPr>
          <w:rStyle w:val="BodyTextChar"/>
        </w:rPr>
        <w:sym w:font="Wingdings" w:char="F0E0"/>
      </w:r>
      <w:r w:rsidRPr="000C5235">
        <w:rPr>
          <w:rStyle w:val="BodyTextChar"/>
        </w:rPr>
        <w:t xml:space="preserve"> Cash Management </w:t>
      </w:r>
      <w:r w:rsidR="00DA502E" w:rsidRPr="000C5235">
        <w:rPr>
          <w:rStyle w:val="BodyTextChar"/>
        </w:rPr>
        <w:sym w:font="Wingdings" w:char="F0E0"/>
      </w:r>
      <w:r w:rsidRPr="000C5235">
        <w:rPr>
          <w:rStyle w:val="BodyTextChar"/>
        </w:rPr>
        <w:t xml:space="preserve"> Cash Operational Reports </w:t>
      </w:r>
      <w:r w:rsidR="00DA502E" w:rsidRPr="000C5235">
        <w:rPr>
          <w:rStyle w:val="BodyTextChar"/>
        </w:rPr>
        <w:sym w:font="Wingdings" w:char="F0E0"/>
      </w:r>
      <w:r w:rsidRPr="000C5235">
        <w:rPr>
          <w:rStyle w:val="BodyTextChar"/>
        </w:rPr>
        <w:t xml:space="preserve"> CM.OR.010 Appropriation Balances Report.</w:t>
      </w:r>
    </w:p>
    <w:p w14:paraId="615E4198" w14:textId="77777777" w:rsidR="00CB0EE0" w:rsidRPr="000C5235" w:rsidRDefault="003E26AD" w:rsidP="000A7DEC">
      <w:r w:rsidRPr="000C5235">
        <w:t>T</w:t>
      </w:r>
      <w:r w:rsidR="00CB0EE0" w:rsidRPr="000C5235">
        <w:t xml:space="preserve">he </w:t>
      </w:r>
      <w:r w:rsidR="00CB0EE0" w:rsidRPr="000C5235">
        <w:rPr>
          <w:u w:val="single"/>
        </w:rPr>
        <w:t>annual Appropriation Acts include a</w:t>
      </w:r>
      <w:r w:rsidR="007B5237" w:rsidRPr="000C5235">
        <w:rPr>
          <w:u w:val="single"/>
        </w:rPr>
        <w:t xml:space="preserve"> </w:t>
      </w:r>
      <w:r w:rsidR="007B5237" w:rsidRPr="000C5235">
        <w:rPr>
          <w:b/>
          <w:u w:val="single"/>
        </w:rPr>
        <w:t xml:space="preserve">sun setting </w:t>
      </w:r>
      <w:r w:rsidR="00CB0EE0" w:rsidRPr="000C5235">
        <w:rPr>
          <w:b/>
          <w:u w:val="single"/>
        </w:rPr>
        <w:t>clause</w:t>
      </w:r>
      <w:r w:rsidR="00CB0EE0" w:rsidRPr="000C5235">
        <w:t>, where the Acts have a life span of up to three years</w:t>
      </w:r>
      <w:r w:rsidR="007B5237" w:rsidRPr="000C5235">
        <w:t xml:space="preserve"> until they are repealed</w:t>
      </w:r>
      <w:r w:rsidR="00CB0EE0" w:rsidRPr="000C5235">
        <w:t xml:space="preserve">. For example, all </w:t>
      </w:r>
      <w:r w:rsidR="00E46158" w:rsidRPr="000C5235">
        <w:t>2019</w:t>
      </w:r>
      <w:r w:rsidR="00EF6ACB" w:rsidRPr="000C5235">
        <w:noBreakHyphen/>
      </w:r>
      <w:r w:rsidR="00E46158" w:rsidRPr="000C5235">
        <w:t>20</w:t>
      </w:r>
      <w:r w:rsidR="00CB0EE0" w:rsidRPr="000C5235">
        <w:t xml:space="preserve"> annual Appropriation Acts extinguished on 1 July 20</w:t>
      </w:r>
      <w:r w:rsidR="00EB4B69" w:rsidRPr="000C5235">
        <w:t>2</w:t>
      </w:r>
      <w:r w:rsidR="00E46158" w:rsidRPr="000C5235">
        <w:t>2</w:t>
      </w:r>
      <w:r w:rsidR="00CB0EE0" w:rsidRPr="000C5235">
        <w:t xml:space="preserve">, and Appropriation Acts for </w:t>
      </w:r>
      <w:r w:rsidR="00E46158" w:rsidRPr="000C5235">
        <w:t>2020</w:t>
      </w:r>
      <w:r w:rsidR="00EF6ACB" w:rsidRPr="000C5235">
        <w:noBreakHyphen/>
      </w:r>
      <w:r w:rsidR="00E46158" w:rsidRPr="000C5235">
        <w:t>21</w:t>
      </w:r>
      <w:r w:rsidR="00CB0EE0" w:rsidRPr="000C5235">
        <w:t xml:space="preserve"> will self-extinguish after three years on 1 July 20</w:t>
      </w:r>
      <w:r w:rsidR="00EB4B69" w:rsidRPr="000C5235">
        <w:t>2</w:t>
      </w:r>
      <w:r w:rsidR="00E46158" w:rsidRPr="000C5235">
        <w:t>3</w:t>
      </w:r>
      <w:r w:rsidR="00CB0EE0" w:rsidRPr="000C5235">
        <w:t>.</w:t>
      </w:r>
    </w:p>
    <w:p w14:paraId="78075E6C" w14:textId="77777777" w:rsidR="00B54712" w:rsidRPr="000C5235" w:rsidRDefault="00B54712" w:rsidP="000A7DEC">
      <w:r w:rsidRPr="000C5235">
        <w:t xml:space="preserve">Unspent annual appropriations relating to the </w:t>
      </w:r>
      <w:r w:rsidR="00E46158" w:rsidRPr="000C5235">
        <w:t>2018-19</w:t>
      </w:r>
      <w:r w:rsidR="00EB2E04" w:rsidRPr="000C5235">
        <w:t xml:space="preserve"> </w:t>
      </w:r>
      <w:r w:rsidRPr="000C5235">
        <w:t xml:space="preserve">and </w:t>
      </w:r>
      <w:r w:rsidR="00E46158" w:rsidRPr="000C5235">
        <w:t>2019-20</w:t>
      </w:r>
      <w:r w:rsidRPr="000C5235">
        <w:t xml:space="preserve"> financial years still exist. However, amounts withheld under </w:t>
      </w:r>
      <w:r w:rsidR="003E26AD" w:rsidRPr="000C5235">
        <w:rPr>
          <w:u w:val="single"/>
        </w:rPr>
        <w:t>s</w:t>
      </w:r>
      <w:r w:rsidRPr="000C5235">
        <w:rPr>
          <w:u w:val="single"/>
        </w:rPr>
        <w:t>51 of the PGPA Act, or administratively quarantined, should be excluded</w:t>
      </w:r>
      <w:r w:rsidRPr="000C5235">
        <w:t xml:space="preserve"> from the calculation of prior year balances for the purposes of the Entity resource statement, as they are not available to be spent by the entity.</w:t>
      </w:r>
    </w:p>
    <w:p w14:paraId="4DBE5F40" w14:textId="77777777" w:rsidR="00B54712" w:rsidRPr="000C5235" w:rsidRDefault="00B54712">
      <w:pPr>
        <w:pStyle w:val="Bullet1"/>
        <w:rPr>
          <w:rStyle w:val="BodyTextChar"/>
          <w:rFonts w:asciiTheme="minorHAnsi" w:hAnsiTheme="minorHAnsi"/>
        </w:rPr>
      </w:pPr>
      <w:r w:rsidRPr="000C5235">
        <w:rPr>
          <w:rStyle w:val="BodyTextChar"/>
        </w:rPr>
        <w:t xml:space="preserve">Under the PGPA Act, the Minister for Finance is able to withhold appropriations amounts under </w:t>
      </w:r>
      <w:r w:rsidR="003E26AD" w:rsidRPr="000C5235">
        <w:rPr>
          <w:rStyle w:val="BodyTextChar"/>
        </w:rPr>
        <w:t>s</w:t>
      </w:r>
      <w:r w:rsidRPr="000C5235">
        <w:rPr>
          <w:rStyle w:val="BodyTextChar"/>
        </w:rPr>
        <w:t>51.</w:t>
      </w:r>
    </w:p>
    <w:p w14:paraId="1B590A92" w14:textId="77777777" w:rsidR="00B54712" w:rsidRPr="000C5235" w:rsidRDefault="00B54712">
      <w:pPr>
        <w:pStyle w:val="Bullet2"/>
        <w:rPr>
          <w:rStyle w:val="BodyTextChar"/>
        </w:rPr>
      </w:pPr>
      <w:r w:rsidRPr="000C5235">
        <w:rPr>
          <w:rStyle w:val="BodyTextChar"/>
        </w:rPr>
        <w:t>These amounts should not be recognised as appropriations in Table 1.1.</w:t>
      </w:r>
    </w:p>
    <w:p w14:paraId="41F7413B" w14:textId="77777777" w:rsidR="007F1DF5" w:rsidRPr="000C5235" w:rsidRDefault="00B54712" w:rsidP="000A7DEC">
      <w:pPr>
        <w:rPr>
          <w:rStyle w:val="BodyTextChar"/>
        </w:rPr>
      </w:pPr>
      <w:r w:rsidRPr="000C5235">
        <w:rPr>
          <w:rStyle w:val="BodyTextChar"/>
        </w:rPr>
        <w:t>For information on how to reflect s51 withholdings in the financial statements, please see Part I of RMG 125 Commonwealth Entities Financial Statements Guide, available on the Finance website</w:t>
      </w:r>
      <w:r w:rsidR="007F1DF5" w:rsidRPr="000C5235">
        <w:rPr>
          <w:rStyle w:val="BodyTextChar"/>
        </w:rPr>
        <w:t>:</w:t>
      </w:r>
    </w:p>
    <w:p w14:paraId="458E4522" w14:textId="77777777" w:rsidR="00B54712" w:rsidRPr="000C5235" w:rsidRDefault="00A774B1" w:rsidP="000A7DEC">
      <w:pPr>
        <w:rPr>
          <w:rStyle w:val="BodyTextChar"/>
        </w:rPr>
      </w:pPr>
      <w:hyperlink r:id="rId55" w:history="1">
        <w:r w:rsidR="005F517A" w:rsidRPr="000C5235">
          <w:rPr>
            <w:rStyle w:val="Hyperlink"/>
            <w:rFonts w:asciiTheme="minorHAnsi" w:eastAsia="Cambria" w:hAnsiTheme="minorHAnsi" w:cs="Times New Roman"/>
          </w:rPr>
          <w:t>www.finance.gov.au/publications/resource-management-guides-rmgs/commonwealth-entities-financial-statements-guide-rmg-125</w:t>
        </w:r>
      </w:hyperlink>
      <w:r w:rsidR="00663E18" w:rsidRPr="000C5235">
        <w:rPr>
          <w:rStyle w:val="BodyTextChar"/>
        </w:rPr>
        <w:t xml:space="preserve"> </w:t>
      </w:r>
    </w:p>
    <w:p w14:paraId="7DFEF4E0" w14:textId="77777777" w:rsidR="00B54712" w:rsidRPr="000C5235" w:rsidRDefault="00B54712" w:rsidP="000A7DEC">
      <w:pPr>
        <w:pStyle w:val="Heading4nonumbers"/>
        <w:rPr>
          <w:rStyle w:val="BodyTextChar"/>
          <w:rFonts w:eastAsia="MS Gothic"/>
        </w:rPr>
      </w:pPr>
      <w:r w:rsidRPr="000C5235">
        <w:rPr>
          <w:rStyle w:val="BodyTextChar"/>
          <w:rFonts w:eastAsia="MS Gothic"/>
        </w:rPr>
        <w:t xml:space="preserve">Annual </w:t>
      </w:r>
      <w:r w:rsidR="00087818" w:rsidRPr="000C5235">
        <w:rPr>
          <w:rStyle w:val="BodyTextChar"/>
          <w:rFonts w:eastAsia="MS Gothic"/>
        </w:rPr>
        <w:t>a</w:t>
      </w:r>
      <w:r w:rsidRPr="000C5235">
        <w:rPr>
          <w:rStyle w:val="BodyTextChar"/>
          <w:rFonts w:eastAsia="MS Gothic"/>
        </w:rPr>
        <w:t xml:space="preserve">ppropriations – </w:t>
      </w:r>
      <w:r w:rsidR="0079648C" w:rsidRPr="000C5235">
        <w:rPr>
          <w:rStyle w:val="BodyTextChar"/>
          <w:rFonts w:eastAsia="MS Gothic"/>
        </w:rPr>
        <w:t>o</w:t>
      </w:r>
      <w:r w:rsidRPr="000C5235">
        <w:rPr>
          <w:rStyle w:val="BodyTextChar"/>
          <w:rFonts w:eastAsia="MS Gothic"/>
        </w:rPr>
        <w:t xml:space="preserve">rdinary </w:t>
      </w:r>
      <w:r w:rsidR="0079648C" w:rsidRPr="000C5235">
        <w:rPr>
          <w:rStyle w:val="BodyTextChar"/>
          <w:rFonts w:eastAsia="MS Gothic"/>
        </w:rPr>
        <w:t>a</w:t>
      </w:r>
      <w:r w:rsidRPr="000C5235">
        <w:rPr>
          <w:rStyle w:val="BodyTextChar"/>
          <w:rFonts w:eastAsia="MS Gothic"/>
        </w:rPr>
        <w:t xml:space="preserve">nnual </w:t>
      </w:r>
      <w:r w:rsidR="0079648C" w:rsidRPr="000C5235">
        <w:rPr>
          <w:rStyle w:val="BodyTextChar"/>
          <w:rFonts w:eastAsia="MS Gothic"/>
        </w:rPr>
        <w:t>s</w:t>
      </w:r>
      <w:r w:rsidRPr="000C5235">
        <w:rPr>
          <w:rStyle w:val="BodyTextChar"/>
          <w:rFonts w:eastAsia="MS Gothic"/>
        </w:rPr>
        <w:t>ervices</w:t>
      </w:r>
    </w:p>
    <w:p w14:paraId="3905392D" w14:textId="77777777" w:rsidR="00B54712" w:rsidRPr="000C5235" w:rsidRDefault="00B54712" w:rsidP="000A7DEC">
      <w:pPr>
        <w:rPr>
          <w:rStyle w:val="BodyTextChar"/>
          <w:iCs/>
          <w:color w:val="005A77"/>
          <w:spacing w:val="-6"/>
          <w:sz w:val="32"/>
          <w:szCs w:val="24"/>
        </w:rPr>
      </w:pPr>
      <w:r w:rsidRPr="000C5235">
        <w:rPr>
          <w:rStyle w:val="BodyTextChar"/>
        </w:rPr>
        <w:t>The “</w:t>
      </w:r>
      <w:r w:rsidRPr="000C5235">
        <w:rPr>
          <w:rStyle w:val="BodyTextChar"/>
          <w:u w:val="single"/>
        </w:rPr>
        <w:t>Annual appropriations – ordinary annual services</w:t>
      </w:r>
      <w:r w:rsidRPr="000C5235">
        <w:rPr>
          <w:rStyle w:val="BodyTextChar"/>
        </w:rPr>
        <w:t>” rows should reflect the amount appropriated to t</w:t>
      </w:r>
      <w:r w:rsidR="00781BE3" w:rsidRPr="000C5235">
        <w:rPr>
          <w:rStyle w:val="BodyTextChar"/>
        </w:rPr>
        <w:t>he entity in the relevant year.</w:t>
      </w:r>
      <w:r w:rsidR="00CC5564" w:rsidRPr="000C5235">
        <w:rPr>
          <w:rStyle w:val="BodyTextChar"/>
        </w:rPr>
        <w:t xml:space="preserve">  </w:t>
      </w:r>
      <w:r w:rsidRPr="000C5235">
        <w:rPr>
          <w:rStyle w:val="BodyTextChar"/>
        </w:rPr>
        <w:t>The amount is made up of:</w:t>
      </w:r>
    </w:p>
    <w:p w14:paraId="186F3A4F" w14:textId="77777777" w:rsidR="00B54712" w:rsidRPr="000C5235" w:rsidRDefault="00B54712" w:rsidP="00FE3983">
      <w:pPr>
        <w:pStyle w:val="Bullet2"/>
        <w:rPr>
          <w:rStyle w:val="BodyTextChar"/>
          <w:color w:val="FF0000"/>
        </w:rPr>
      </w:pPr>
      <w:r w:rsidRPr="000C5235">
        <w:rPr>
          <w:rStyle w:val="BodyTextChar"/>
          <w:color w:val="FF0000"/>
        </w:rPr>
        <w:t>Amounts appropriated through Appropriation Acts (No. 1)</w:t>
      </w:r>
    </w:p>
    <w:p w14:paraId="7E1C9CB2" w14:textId="77777777" w:rsidR="00B54712" w:rsidRPr="000C5235" w:rsidRDefault="00B54712" w:rsidP="00CF269C">
      <w:pPr>
        <w:pStyle w:val="Bullet2"/>
        <w:rPr>
          <w:rStyle w:val="BodyTextChar"/>
          <w:color w:val="FF0000"/>
        </w:rPr>
      </w:pPr>
      <w:r w:rsidRPr="000C5235">
        <w:rPr>
          <w:rStyle w:val="BodyTextChar"/>
          <w:b/>
          <w:color w:val="FF0000"/>
        </w:rPr>
        <w:t>+</w:t>
      </w:r>
      <w:r w:rsidRPr="000C5235">
        <w:rPr>
          <w:rStyle w:val="BodyTextChar"/>
          <w:color w:val="FF0000"/>
        </w:rPr>
        <w:t xml:space="preserve"> Advances to the Minister for Finance (AFM)</w:t>
      </w:r>
    </w:p>
    <w:p w14:paraId="2AB45B1E" w14:textId="77777777" w:rsidR="00B54712" w:rsidRPr="000C5235" w:rsidRDefault="00B54712" w:rsidP="00CF269C">
      <w:pPr>
        <w:pStyle w:val="Bullet2"/>
        <w:rPr>
          <w:rStyle w:val="BodyTextChar"/>
          <w:color w:val="FF0000"/>
        </w:rPr>
      </w:pPr>
      <w:r w:rsidRPr="000C5235">
        <w:rPr>
          <w:rStyle w:val="BodyTextChar"/>
          <w:b/>
          <w:color w:val="FF0000"/>
        </w:rPr>
        <w:t>+/-</w:t>
      </w:r>
      <w:r w:rsidRPr="000C5235">
        <w:rPr>
          <w:rStyle w:val="BodyTextChar"/>
          <w:color w:val="FF0000"/>
        </w:rPr>
        <w:t xml:space="preserve"> </w:t>
      </w:r>
      <w:r w:rsidR="00C4658D" w:rsidRPr="000C5235">
        <w:rPr>
          <w:rStyle w:val="BodyTextChar"/>
          <w:color w:val="FF0000"/>
        </w:rPr>
        <w:t xml:space="preserve">s74 </w:t>
      </w:r>
      <w:r w:rsidRPr="000C5235">
        <w:rPr>
          <w:rStyle w:val="BodyTextChar"/>
          <w:color w:val="FF0000"/>
        </w:rPr>
        <w:t xml:space="preserve">External </w:t>
      </w:r>
      <w:r w:rsidR="00B652BC" w:rsidRPr="000C5235">
        <w:rPr>
          <w:rStyle w:val="BodyTextChar"/>
          <w:color w:val="FF0000"/>
        </w:rPr>
        <w:t>R</w:t>
      </w:r>
      <w:r w:rsidRPr="000C5235">
        <w:rPr>
          <w:rStyle w:val="BodyTextChar"/>
          <w:color w:val="FF0000"/>
        </w:rPr>
        <w:t>evenue as a result of Machinery of Government changes</w:t>
      </w:r>
    </w:p>
    <w:p w14:paraId="64184A83" w14:textId="77777777" w:rsidR="00B54712" w:rsidRPr="000C5235" w:rsidRDefault="00B54712" w:rsidP="00CF269C">
      <w:pPr>
        <w:pStyle w:val="Bullet2"/>
        <w:rPr>
          <w:rStyle w:val="BodyTextChar"/>
          <w:color w:val="FF0000"/>
        </w:rPr>
      </w:pPr>
      <w:r w:rsidRPr="000C5235">
        <w:rPr>
          <w:rStyle w:val="BodyTextChar"/>
          <w:b/>
          <w:color w:val="FF0000"/>
        </w:rPr>
        <w:t>-</w:t>
      </w:r>
      <w:r w:rsidRPr="000C5235">
        <w:rPr>
          <w:rStyle w:val="BodyTextChar"/>
          <w:color w:val="FF0000"/>
        </w:rPr>
        <w:t xml:space="preserve"> any withholdings under s51 of the PGPA Act (such as for foreign exchange movements, savings measures, movement of funds and reallocation) </w:t>
      </w:r>
    </w:p>
    <w:p w14:paraId="12EF81C6" w14:textId="77777777" w:rsidR="00B54712" w:rsidRPr="000C5235" w:rsidRDefault="00B54712" w:rsidP="00CF269C">
      <w:pPr>
        <w:pStyle w:val="Bullet2"/>
        <w:rPr>
          <w:rStyle w:val="BodyTextChar"/>
          <w:color w:val="FF0000"/>
        </w:rPr>
      </w:pPr>
      <w:r w:rsidRPr="000C5235">
        <w:rPr>
          <w:rStyle w:val="BodyTextChar"/>
          <w:b/>
          <w:color w:val="FF0000"/>
        </w:rPr>
        <w:t>-</w:t>
      </w:r>
      <w:r w:rsidRPr="000C5235">
        <w:rPr>
          <w:rStyle w:val="BodyTextChar"/>
          <w:color w:val="FF0000"/>
        </w:rPr>
        <w:t xml:space="preserve"> administrative quarantines made by Finance</w:t>
      </w:r>
    </w:p>
    <w:p w14:paraId="095237EA" w14:textId="77777777" w:rsidR="00B54712" w:rsidRPr="000C5235" w:rsidRDefault="00B54712" w:rsidP="000A7DEC">
      <w:r w:rsidRPr="000C5235">
        <w:t xml:space="preserve">For Departmental, annual appropriations are represented as a single amount, as Departmental Outcome splits are nominal only, and able to be utilised at the discretion of the </w:t>
      </w:r>
      <w:r w:rsidR="006A6D2C" w:rsidRPr="000C5235">
        <w:t>entity</w:t>
      </w:r>
      <w:r w:rsidRPr="000C5235">
        <w:t>.</w:t>
      </w:r>
    </w:p>
    <w:p w14:paraId="3237BB37" w14:textId="77777777" w:rsidR="00B54712" w:rsidRPr="000C5235" w:rsidRDefault="00B54712" w:rsidP="000A7DEC">
      <w:r w:rsidRPr="000C5235">
        <w:t xml:space="preserve">For administered, the Annual appropriations is split into </w:t>
      </w:r>
      <w:r w:rsidRPr="000C5235">
        <w:rPr>
          <w:u w:val="single"/>
        </w:rPr>
        <w:t>Outcome</w:t>
      </w:r>
      <w:r w:rsidRPr="000C5235">
        <w:t xml:space="preserve"> figures.</w:t>
      </w:r>
    </w:p>
    <w:p w14:paraId="1F15F118" w14:textId="77777777" w:rsidR="00B54712" w:rsidRPr="000C5235" w:rsidRDefault="00C4658D" w:rsidP="000A7DEC">
      <w:pPr>
        <w:pStyle w:val="Heading4nonumbers"/>
        <w:rPr>
          <w:rStyle w:val="BodyTextChar"/>
          <w:rFonts w:eastAsia="MS Gothic"/>
        </w:rPr>
      </w:pPr>
      <w:r w:rsidRPr="000C5235">
        <w:rPr>
          <w:rStyle w:val="BodyTextChar"/>
          <w:rFonts w:eastAsia="MS Gothic"/>
        </w:rPr>
        <w:t xml:space="preserve">s74 </w:t>
      </w:r>
      <w:r w:rsidR="002D0848" w:rsidRPr="000C5235">
        <w:rPr>
          <w:rStyle w:val="BodyTextChar"/>
          <w:rFonts w:eastAsia="MS Gothic"/>
        </w:rPr>
        <w:t xml:space="preserve">External </w:t>
      </w:r>
      <w:r w:rsidR="00087818" w:rsidRPr="000C5235">
        <w:rPr>
          <w:rStyle w:val="BodyTextChar"/>
          <w:rFonts w:eastAsia="MS Gothic"/>
        </w:rPr>
        <w:t>r</w:t>
      </w:r>
      <w:r w:rsidR="002D0848" w:rsidRPr="000C5235">
        <w:rPr>
          <w:rStyle w:val="BodyTextChar"/>
          <w:rFonts w:eastAsia="MS Gothic"/>
        </w:rPr>
        <w:t>evenue</w:t>
      </w:r>
    </w:p>
    <w:p w14:paraId="27CEDD78" w14:textId="77777777" w:rsidR="00B54712" w:rsidRPr="000C5235" w:rsidRDefault="00B54712" w:rsidP="000A7DEC">
      <w:r w:rsidRPr="000C5235">
        <w:t>The “</w:t>
      </w:r>
      <w:r w:rsidR="00C4658D" w:rsidRPr="000C5235">
        <w:rPr>
          <w:u w:val="single"/>
        </w:rPr>
        <w:t xml:space="preserve">s74 </w:t>
      </w:r>
      <w:r w:rsidR="00A061A4" w:rsidRPr="000C5235">
        <w:rPr>
          <w:u w:val="single"/>
        </w:rPr>
        <w:t xml:space="preserve">External </w:t>
      </w:r>
      <w:r w:rsidR="00B652BC" w:rsidRPr="000C5235">
        <w:rPr>
          <w:u w:val="single"/>
        </w:rPr>
        <w:t>R</w:t>
      </w:r>
      <w:r w:rsidR="00A061A4" w:rsidRPr="000C5235">
        <w:rPr>
          <w:u w:val="single"/>
        </w:rPr>
        <w:t>evenue</w:t>
      </w:r>
      <w:r w:rsidRPr="000C5235">
        <w:t>” row should reflect the entity’s forecast</w:t>
      </w:r>
      <w:r w:rsidR="00024B8C" w:rsidRPr="000C5235">
        <w:t>ed</w:t>
      </w:r>
      <w:r w:rsidRPr="000C5235">
        <w:t xml:space="preserve"> Receipts from Independent Sources. These figures should be sourced from the “Receipts” columns in the Entity Resourcing Table report from CBMS. </w:t>
      </w:r>
    </w:p>
    <w:p w14:paraId="4612FD77" w14:textId="77777777" w:rsidR="00B54712" w:rsidRPr="000C5235" w:rsidRDefault="00B54712">
      <w:pPr>
        <w:pStyle w:val="Reports2"/>
        <w:rPr>
          <w:rStyle w:val="BodyTextChar"/>
        </w:rPr>
      </w:pPr>
      <w:r w:rsidRPr="000C5235">
        <w:rPr>
          <w:rStyle w:val="BodyTextChar"/>
        </w:rPr>
        <w:t xml:space="preserve">Reports </w:t>
      </w:r>
      <w:r w:rsidR="00DA502E" w:rsidRPr="000C5235">
        <w:rPr>
          <w:rStyle w:val="BodyTextChar"/>
        </w:rPr>
        <w:sym w:font="Wingdings" w:char="F0E0"/>
      </w:r>
      <w:r w:rsidR="00DA502E" w:rsidRPr="000C5235">
        <w:rPr>
          <w:rStyle w:val="BodyTextChar"/>
        </w:rPr>
        <w:t xml:space="preserve"> </w:t>
      </w:r>
      <w:r w:rsidRPr="000C5235">
        <w:rPr>
          <w:rStyle w:val="BodyTextChar"/>
        </w:rPr>
        <w:t xml:space="preserve">CBMS Reporting </w:t>
      </w:r>
      <w:r w:rsidR="00DA502E" w:rsidRPr="000C5235">
        <w:rPr>
          <w:rStyle w:val="BodyTextChar"/>
        </w:rPr>
        <w:sym w:font="Wingdings" w:char="F0E0"/>
      </w:r>
      <w:r w:rsidRPr="000C5235">
        <w:rPr>
          <w:rStyle w:val="BodyTextChar"/>
        </w:rPr>
        <w:t xml:space="preserve"> Statutory Reports </w:t>
      </w:r>
      <w:r w:rsidR="00DA502E" w:rsidRPr="000C5235">
        <w:rPr>
          <w:rStyle w:val="BodyTextChar"/>
        </w:rPr>
        <w:sym w:font="Wingdings" w:char="F0E0"/>
      </w:r>
      <w:r w:rsidR="00DA502E" w:rsidRPr="000C5235">
        <w:rPr>
          <w:rStyle w:val="BodyTextChar"/>
        </w:rPr>
        <w:t xml:space="preserve"> </w:t>
      </w:r>
      <w:r w:rsidRPr="000C5235">
        <w:rPr>
          <w:rStyle w:val="BodyTextChar"/>
        </w:rPr>
        <w:t xml:space="preserve"> Budget Paper 4 </w:t>
      </w:r>
      <w:r w:rsidR="00DA502E" w:rsidRPr="000C5235">
        <w:rPr>
          <w:rStyle w:val="BodyTextChar"/>
        </w:rPr>
        <w:sym w:font="Wingdings" w:char="F0E0"/>
      </w:r>
      <w:r w:rsidRPr="000C5235">
        <w:rPr>
          <w:rStyle w:val="BodyTextChar"/>
        </w:rPr>
        <w:t xml:space="preserve"> B4.T1 Agency </w:t>
      </w:r>
      <w:r w:rsidR="00FC042C" w:rsidRPr="000C5235">
        <w:rPr>
          <w:rStyle w:val="BodyTextChar"/>
        </w:rPr>
        <w:t>r</w:t>
      </w:r>
      <w:r w:rsidRPr="000C5235">
        <w:rPr>
          <w:rStyle w:val="BodyTextChar"/>
        </w:rPr>
        <w:t xml:space="preserve">esourcing </w:t>
      </w:r>
      <w:r w:rsidR="00FC042C" w:rsidRPr="000C5235">
        <w:rPr>
          <w:rStyle w:val="BodyTextChar"/>
        </w:rPr>
        <w:t>t</w:t>
      </w:r>
      <w:r w:rsidRPr="000C5235">
        <w:rPr>
          <w:rStyle w:val="BodyTextChar"/>
        </w:rPr>
        <w:t>able</w:t>
      </w:r>
    </w:p>
    <w:p w14:paraId="619292E6" w14:textId="77777777" w:rsidR="00403A22" w:rsidRPr="000C5235" w:rsidRDefault="00403A22">
      <w:pPr>
        <w:pStyle w:val="Reports2"/>
        <w:rPr>
          <w:rStyle w:val="BodyTextChar"/>
        </w:rPr>
      </w:pPr>
      <w:r w:rsidRPr="000C5235">
        <w:rPr>
          <w:rStyle w:val="BodyTextChar"/>
        </w:rPr>
        <w:t xml:space="preserve">Reports </w:t>
      </w:r>
      <w:r w:rsidRPr="000C5235">
        <w:rPr>
          <w:rStyle w:val="BodyTextChar"/>
        </w:rPr>
        <w:sym w:font="Wingdings" w:char="F0E0"/>
      </w:r>
      <w:r w:rsidRPr="000C5235">
        <w:rPr>
          <w:rStyle w:val="BodyTextChar"/>
        </w:rPr>
        <w:t xml:space="preserve"> CBMS Reporting </w:t>
      </w:r>
      <w:r w:rsidRPr="000C5235">
        <w:rPr>
          <w:rStyle w:val="BodyTextChar"/>
        </w:rPr>
        <w:sym w:font="Wingdings" w:char="F0E0"/>
      </w:r>
      <w:r w:rsidRPr="000C5235">
        <w:rPr>
          <w:rStyle w:val="BodyTextChar"/>
        </w:rPr>
        <w:t xml:space="preserve"> Operational Reports </w:t>
      </w:r>
      <w:r w:rsidRPr="000C5235">
        <w:rPr>
          <w:rStyle w:val="BodyTextChar"/>
        </w:rPr>
        <w:sym w:font="Wingdings" w:char="F0E0"/>
      </w:r>
      <w:r w:rsidRPr="000C5235">
        <w:rPr>
          <w:rStyle w:val="BodyTextChar"/>
        </w:rPr>
        <w:t xml:space="preserve"> Estimates </w:t>
      </w:r>
      <w:r w:rsidRPr="000C5235">
        <w:rPr>
          <w:rStyle w:val="BodyTextChar"/>
        </w:rPr>
        <w:sym w:font="Wingdings" w:char="F0E0"/>
      </w:r>
      <w:r w:rsidRPr="000C5235">
        <w:rPr>
          <w:rStyle w:val="BodyTextChar"/>
        </w:rPr>
        <w:t xml:space="preserve"> Annual Estimates </w:t>
      </w:r>
      <w:r w:rsidRPr="000C5235">
        <w:rPr>
          <w:rStyle w:val="BodyTextChar"/>
        </w:rPr>
        <w:sym w:font="Wingdings" w:char="F0E0"/>
      </w:r>
      <w:r w:rsidRPr="000C5235">
        <w:rPr>
          <w:rStyle w:val="BodyTextChar"/>
        </w:rPr>
        <w:t xml:space="preserve"> AE.OR.16 Annual Estimates Appropriation by Outcome/Program Report</w:t>
      </w:r>
    </w:p>
    <w:p w14:paraId="4F1A6522" w14:textId="77777777" w:rsidR="00443964" w:rsidRPr="000C5235" w:rsidRDefault="002D0848" w:rsidP="000A7DEC">
      <w:pPr>
        <w:pStyle w:val="NormalTextRed"/>
        <w:rPr>
          <w:rStyle w:val="BodyTextChar"/>
        </w:rPr>
      </w:pPr>
      <w:r w:rsidRPr="000C5235">
        <w:rPr>
          <w:u w:val="single"/>
        </w:rPr>
        <w:t>Note:</w:t>
      </w:r>
      <w:r w:rsidRPr="000C5235">
        <w:t xml:space="preserve"> Please refer to the </w:t>
      </w:r>
      <w:r w:rsidR="00554601" w:rsidRPr="000C5235">
        <w:t xml:space="preserve">latest EM </w:t>
      </w:r>
      <w:r w:rsidRPr="000C5235">
        <w:t xml:space="preserve">concerning </w:t>
      </w:r>
      <w:r w:rsidR="00554601" w:rsidRPr="000C5235">
        <w:t xml:space="preserve">2020-21 </w:t>
      </w:r>
      <w:r w:rsidR="006A6D2C" w:rsidRPr="000C5235">
        <w:t xml:space="preserve">Budget Paper No.4 </w:t>
      </w:r>
      <w:r w:rsidR="00554601" w:rsidRPr="000C5235">
        <w:t xml:space="preserve">which </w:t>
      </w:r>
      <w:r w:rsidR="006A6D2C" w:rsidRPr="000C5235">
        <w:t xml:space="preserve">will </w:t>
      </w:r>
      <w:r w:rsidR="00554601" w:rsidRPr="000C5235">
        <w:t xml:space="preserve">include advice relating to </w:t>
      </w:r>
      <w:r w:rsidR="00B652BC" w:rsidRPr="000C5235">
        <w:t>E</w:t>
      </w:r>
      <w:r w:rsidRPr="000C5235">
        <w:t xml:space="preserve">xternal </w:t>
      </w:r>
      <w:r w:rsidR="00B652BC" w:rsidRPr="000C5235">
        <w:t>R</w:t>
      </w:r>
      <w:r w:rsidRPr="000C5235">
        <w:t>evenue.</w:t>
      </w:r>
    </w:p>
    <w:p w14:paraId="42A6B28D" w14:textId="77777777" w:rsidR="00B54712" w:rsidRPr="000C5235" w:rsidRDefault="00B54712" w:rsidP="006F1726">
      <w:pPr>
        <w:pStyle w:val="Heading4nonumbers"/>
        <w:rPr>
          <w:rStyle w:val="BodyTextChar"/>
          <w:rFonts w:eastAsia="MS Gothic" w:cstheme="majorBidi"/>
        </w:rPr>
      </w:pPr>
      <w:r w:rsidRPr="000C5235">
        <w:rPr>
          <w:rStyle w:val="BodyTextChar"/>
          <w:rFonts w:eastAsia="MS Gothic" w:cstheme="majorBidi"/>
        </w:rPr>
        <w:t xml:space="preserve">Departmental / </w:t>
      </w:r>
      <w:r w:rsidR="00087818" w:rsidRPr="000C5235">
        <w:rPr>
          <w:rStyle w:val="BodyTextChar"/>
          <w:rFonts w:eastAsia="MS Gothic" w:cstheme="majorBidi"/>
        </w:rPr>
        <w:t>a</w:t>
      </w:r>
      <w:r w:rsidRPr="000C5235">
        <w:rPr>
          <w:rStyle w:val="BodyTextChar"/>
          <w:rFonts w:eastAsia="MS Gothic" w:cstheme="majorBidi"/>
        </w:rPr>
        <w:t xml:space="preserve">dministered </w:t>
      </w:r>
      <w:r w:rsidR="00087818" w:rsidRPr="000C5235">
        <w:rPr>
          <w:rStyle w:val="BodyTextChar"/>
          <w:rFonts w:eastAsia="MS Gothic" w:cstheme="majorBidi"/>
        </w:rPr>
        <w:t>c</w:t>
      </w:r>
      <w:r w:rsidRPr="000C5235">
        <w:rPr>
          <w:rStyle w:val="BodyTextChar"/>
          <w:rFonts w:eastAsia="MS Gothic" w:cstheme="majorBidi"/>
        </w:rPr>
        <w:t xml:space="preserve">apital </w:t>
      </w:r>
      <w:r w:rsidR="00087818" w:rsidRPr="000C5235">
        <w:rPr>
          <w:rStyle w:val="BodyTextChar"/>
          <w:rFonts w:eastAsia="MS Gothic" w:cstheme="majorBidi"/>
        </w:rPr>
        <w:t>b</w:t>
      </w:r>
      <w:r w:rsidRPr="000C5235">
        <w:rPr>
          <w:rStyle w:val="BodyTextChar"/>
          <w:rFonts w:eastAsia="MS Gothic" w:cstheme="majorBidi"/>
        </w:rPr>
        <w:t>udget</w:t>
      </w:r>
    </w:p>
    <w:p w14:paraId="101CA5F7" w14:textId="77777777" w:rsidR="00B54712" w:rsidRPr="000C5235" w:rsidRDefault="00B54712" w:rsidP="000A7DEC">
      <w:r w:rsidRPr="000C5235">
        <w:t>The “</w:t>
      </w:r>
      <w:r w:rsidRPr="000C5235">
        <w:rPr>
          <w:u w:val="single"/>
        </w:rPr>
        <w:t>Departmental/Administered Capital Budget</w:t>
      </w:r>
      <w:r w:rsidRPr="000C5235">
        <w:t>” figures should be sourced from the Capital Budget Statement Report</w:t>
      </w:r>
      <w:r w:rsidR="00EB2E04" w:rsidRPr="000C5235">
        <w:t>.  C</w:t>
      </w:r>
      <w:r w:rsidRPr="000C5235">
        <w:t>hoose either Departmental or Administered – figures will be recorded against “9170000 – Capital Budget – Bill 1 (DCB)”.</w:t>
      </w:r>
    </w:p>
    <w:p w14:paraId="3617A6EF" w14:textId="77777777" w:rsidR="00B54712" w:rsidRPr="000C5235" w:rsidRDefault="00B54712">
      <w:pPr>
        <w:pStyle w:val="Reports2"/>
        <w:rPr>
          <w:rStyle w:val="BodyTextChar"/>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Operational Reports </w:t>
      </w:r>
      <w:r w:rsidR="00DA502E" w:rsidRPr="000C5235">
        <w:rPr>
          <w:rStyle w:val="BodyTextChar"/>
        </w:rPr>
        <w:sym w:font="Wingdings" w:char="F0E0"/>
      </w:r>
      <w:r w:rsidRPr="000C5235">
        <w:rPr>
          <w:rStyle w:val="BodyTextChar"/>
        </w:rPr>
        <w:t xml:space="preserve"> Estimates </w:t>
      </w:r>
      <w:r w:rsidR="00DA502E" w:rsidRPr="000C5235">
        <w:rPr>
          <w:rStyle w:val="BodyTextChar"/>
        </w:rPr>
        <w:sym w:font="Wingdings" w:char="F0E0"/>
      </w:r>
      <w:r w:rsidRPr="000C5235">
        <w:rPr>
          <w:rStyle w:val="BodyTextChar"/>
        </w:rPr>
        <w:t xml:space="preserve"> Annual Estimates </w:t>
      </w:r>
      <w:r w:rsidR="00DA502E" w:rsidRPr="000C5235">
        <w:rPr>
          <w:rStyle w:val="BodyTextChar"/>
        </w:rPr>
        <w:sym w:font="Wingdings" w:char="F0E0"/>
      </w:r>
      <w:r w:rsidRPr="000C5235">
        <w:rPr>
          <w:rStyle w:val="BodyTextChar"/>
        </w:rPr>
        <w:t xml:space="preserve"> AE.OR.06 Annual Estimates Capital Budget Statement Report</w:t>
      </w:r>
    </w:p>
    <w:p w14:paraId="446BED20" w14:textId="77777777" w:rsidR="00B54712" w:rsidRPr="000C5235" w:rsidRDefault="00B54712" w:rsidP="000A7DEC">
      <w:pPr>
        <w:pStyle w:val="Heading4nonumbers"/>
        <w:rPr>
          <w:rStyle w:val="BodyTextChar"/>
          <w:rFonts w:eastAsia="MS Gothic"/>
          <w:i/>
          <w:color w:val="0070C0"/>
        </w:rPr>
      </w:pPr>
      <w:r w:rsidRPr="000C5235">
        <w:rPr>
          <w:rStyle w:val="BodyTextChar"/>
          <w:rFonts w:eastAsia="MS Gothic"/>
        </w:rPr>
        <w:t xml:space="preserve">Annual </w:t>
      </w:r>
      <w:r w:rsidR="00087818" w:rsidRPr="000C5235">
        <w:rPr>
          <w:rStyle w:val="BodyTextChar"/>
          <w:rFonts w:eastAsia="MS Gothic"/>
        </w:rPr>
        <w:t>a</w:t>
      </w:r>
      <w:r w:rsidRPr="000C5235">
        <w:rPr>
          <w:rStyle w:val="BodyTextChar"/>
          <w:rFonts w:eastAsia="MS Gothic"/>
        </w:rPr>
        <w:t xml:space="preserve">ppropriations – </w:t>
      </w:r>
      <w:r w:rsidR="00087818" w:rsidRPr="000C5235">
        <w:rPr>
          <w:rStyle w:val="BodyTextChar"/>
          <w:rFonts w:eastAsia="MS Gothic"/>
        </w:rPr>
        <w:t>o</w:t>
      </w:r>
      <w:r w:rsidRPr="000C5235">
        <w:rPr>
          <w:rStyle w:val="BodyTextChar"/>
          <w:rFonts w:eastAsia="MS Gothic"/>
        </w:rPr>
        <w:t xml:space="preserve">ther </w:t>
      </w:r>
      <w:r w:rsidR="00087818" w:rsidRPr="000C5235">
        <w:rPr>
          <w:rStyle w:val="BodyTextChar"/>
          <w:rFonts w:eastAsia="MS Gothic"/>
        </w:rPr>
        <w:t>s</w:t>
      </w:r>
      <w:r w:rsidRPr="000C5235">
        <w:rPr>
          <w:rStyle w:val="BodyTextChar"/>
          <w:rFonts w:eastAsia="MS Gothic"/>
        </w:rPr>
        <w:t>ervices</w:t>
      </w:r>
    </w:p>
    <w:p w14:paraId="7B74B758" w14:textId="77777777" w:rsidR="00B54712" w:rsidRPr="000C5235" w:rsidRDefault="00B54712" w:rsidP="000A7DEC">
      <w:r w:rsidRPr="000C5235">
        <w:t>The “</w:t>
      </w:r>
      <w:r w:rsidRPr="000C5235">
        <w:rPr>
          <w:u w:val="single"/>
        </w:rPr>
        <w:t>Annual appropriations – other services</w:t>
      </w:r>
      <w:r w:rsidRPr="000C5235">
        <w:t xml:space="preserve">” rows should be taken from the Appropriation Bill 2 report from CBMS.  </w:t>
      </w:r>
    </w:p>
    <w:p w14:paraId="47AA9930" w14:textId="77777777" w:rsidR="00B54712" w:rsidRPr="000C5235" w:rsidRDefault="00B54712">
      <w:pPr>
        <w:pStyle w:val="Reports2"/>
        <w:rPr>
          <w:rStyle w:val="BodyTextChar"/>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Statutory Reports </w:t>
      </w:r>
      <w:r w:rsidR="00DA502E" w:rsidRPr="000C5235">
        <w:rPr>
          <w:rStyle w:val="BodyTextChar"/>
        </w:rPr>
        <w:sym w:font="Wingdings" w:char="F0E0"/>
      </w:r>
      <w:r w:rsidRPr="000C5235">
        <w:rPr>
          <w:rStyle w:val="BodyTextChar"/>
        </w:rPr>
        <w:t xml:space="preserve"> Appropriation Bills </w:t>
      </w:r>
      <w:r w:rsidR="00DA502E" w:rsidRPr="000C5235">
        <w:rPr>
          <w:rStyle w:val="BodyTextChar"/>
        </w:rPr>
        <w:sym w:font="Wingdings" w:char="F0E0"/>
      </w:r>
      <w:r w:rsidRPr="000C5235">
        <w:rPr>
          <w:rStyle w:val="BodyTextChar"/>
        </w:rPr>
        <w:t xml:space="preserve"> Budget Bills </w:t>
      </w:r>
      <w:r w:rsidR="00DA502E" w:rsidRPr="000C5235">
        <w:rPr>
          <w:rStyle w:val="BodyTextChar"/>
        </w:rPr>
        <w:sym w:font="Wingdings" w:char="F0E0"/>
      </w:r>
      <w:r w:rsidRPr="000C5235">
        <w:rPr>
          <w:rStyle w:val="BodyTextChar"/>
        </w:rPr>
        <w:t xml:space="preserve"> Appropriation Bill 2 – Portfolio Summary and Detail</w:t>
      </w:r>
    </w:p>
    <w:p w14:paraId="76C3A7C4" w14:textId="77777777" w:rsidR="00B54712" w:rsidRPr="000C5235" w:rsidRDefault="00B54712" w:rsidP="000A7DEC">
      <w:r w:rsidRPr="000C5235">
        <w:t xml:space="preserve">For portfolio departments, the Appropriation Bill 2 report should be run at the portfolio rather than entity level. </w:t>
      </w:r>
    </w:p>
    <w:p w14:paraId="4B080888" w14:textId="77777777" w:rsidR="00B54712" w:rsidRPr="000C5235" w:rsidRDefault="00B54712" w:rsidP="000A7DEC">
      <w:r w:rsidRPr="000C5235">
        <w:t>Amounts under the “</w:t>
      </w:r>
      <w:r w:rsidRPr="000C5235">
        <w:rPr>
          <w:u w:val="single"/>
        </w:rPr>
        <w:t>Estimated Actual</w:t>
      </w:r>
      <w:r w:rsidRPr="000C5235">
        <w:t xml:space="preserve">” column can be sourced by running the AAA Report (which provides a point-in-time figure) and adjusting for any amounts expected to be spent by 30 June </w:t>
      </w:r>
      <w:r w:rsidR="00663E18" w:rsidRPr="000C5235">
        <w:t>2020</w:t>
      </w:r>
      <w:r w:rsidRPr="000C5235">
        <w:t>.</w:t>
      </w:r>
    </w:p>
    <w:p w14:paraId="0E3C2CD7" w14:textId="77777777" w:rsidR="00B54712" w:rsidRPr="000C5235" w:rsidRDefault="00B54712">
      <w:pPr>
        <w:pStyle w:val="Reports2"/>
      </w:pPr>
      <w:r w:rsidRPr="000C5235">
        <w:t xml:space="preserve">Reports </w:t>
      </w:r>
      <w:r w:rsidR="00DA502E" w:rsidRPr="000C5235">
        <w:sym w:font="Wingdings" w:char="F0E0"/>
      </w:r>
      <w:r w:rsidRPr="000C5235">
        <w:t xml:space="preserve"> CBMS Reporting </w:t>
      </w:r>
      <w:r w:rsidR="00DA502E" w:rsidRPr="000C5235">
        <w:sym w:font="Wingdings" w:char="F0E0"/>
      </w:r>
      <w:r w:rsidRPr="000C5235">
        <w:t xml:space="preserve"> Operational Reports </w:t>
      </w:r>
      <w:r w:rsidR="00DA502E" w:rsidRPr="000C5235">
        <w:sym w:font="Wingdings" w:char="F0E0"/>
      </w:r>
      <w:r w:rsidRPr="000C5235">
        <w:t xml:space="preserve"> Estimates </w:t>
      </w:r>
      <w:r w:rsidR="00DA502E" w:rsidRPr="000C5235">
        <w:sym w:font="Wingdings" w:char="F0E0"/>
      </w:r>
      <w:r w:rsidRPr="000C5235">
        <w:t xml:space="preserve"> Annual Estimates </w:t>
      </w:r>
      <w:r w:rsidR="00DA502E" w:rsidRPr="000C5235">
        <w:sym w:font="Wingdings" w:char="F0E0"/>
      </w:r>
      <w:r w:rsidRPr="000C5235">
        <w:t xml:space="preserve"> AE.OR.10 Appropriation Bill – Actual Available Appropriations (AAA) Report</w:t>
      </w:r>
    </w:p>
    <w:p w14:paraId="3590E901" w14:textId="77777777" w:rsidR="00A32A8F" w:rsidRPr="000C5235" w:rsidRDefault="00A32A8F">
      <w:pPr>
        <w:pStyle w:val="Reports2"/>
      </w:pPr>
      <w:r w:rsidRPr="000C5235">
        <w:t xml:space="preserve">Reports </w:t>
      </w:r>
      <w:r w:rsidR="00DA502E" w:rsidRPr="000C5235">
        <w:sym w:font="Wingdings" w:char="F0E0"/>
      </w:r>
      <w:r w:rsidRPr="000C5235">
        <w:t xml:space="preserve"> CBMS Reporting </w:t>
      </w:r>
      <w:r w:rsidR="00DA502E" w:rsidRPr="000C5235">
        <w:sym w:font="Wingdings" w:char="F0E0"/>
      </w:r>
      <w:r w:rsidRPr="000C5235">
        <w:t xml:space="preserve"> Operational Reports </w:t>
      </w:r>
      <w:r w:rsidR="00DA502E" w:rsidRPr="000C5235">
        <w:sym w:font="Wingdings" w:char="F0E0"/>
      </w:r>
      <w:r w:rsidRPr="000C5235">
        <w:t xml:space="preserve"> Estimates </w:t>
      </w:r>
      <w:r w:rsidR="00DA502E" w:rsidRPr="000C5235">
        <w:sym w:font="Wingdings" w:char="F0E0"/>
      </w:r>
      <w:r w:rsidRPr="000C5235">
        <w:t xml:space="preserve"> Annual Estimates </w:t>
      </w:r>
      <w:r w:rsidR="00DA502E" w:rsidRPr="000C5235">
        <w:sym w:font="Wingdings" w:char="F0E0"/>
      </w:r>
      <w:r w:rsidRPr="000C5235">
        <w:t xml:space="preserve"> AE.OR.11 </w:t>
      </w:r>
      <w:r w:rsidR="00663E18" w:rsidRPr="000C5235">
        <w:t xml:space="preserve">Annual Estimates </w:t>
      </w:r>
      <w:r w:rsidRPr="000C5235">
        <w:t>Appropriations QA Report</w:t>
      </w:r>
    </w:p>
    <w:p w14:paraId="1347AE59" w14:textId="77777777" w:rsidR="00B54712" w:rsidRPr="000C5235" w:rsidRDefault="00B54712" w:rsidP="000A7DEC">
      <w:pPr>
        <w:pStyle w:val="Heading4nonumbers"/>
        <w:rPr>
          <w:rStyle w:val="BodyTextChar"/>
          <w:rFonts w:eastAsia="MS Gothic"/>
          <w:i/>
          <w:color w:val="0070C0"/>
        </w:rPr>
      </w:pPr>
      <w:r w:rsidRPr="000C5235">
        <w:rPr>
          <w:rStyle w:val="BodyTextChar"/>
          <w:rFonts w:eastAsia="MS Gothic"/>
        </w:rPr>
        <w:t xml:space="preserve">Payments to </w:t>
      </w:r>
      <w:r w:rsidR="00087818" w:rsidRPr="000C5235">
        <w:rPr>
          <w:rStyle w:val="BodyTextChar"/>
          <w:rFonts w:eastAsia="MS Gothic"/>
        </w:rPr>
        <w:t>c</w:t>
      </w:r>
      <w:r w:rsidRPr="000C5235">
        <w:rPr>
          <w:rStyle w:val="BodyTextChar"/>
          <w:rFonts w:eastAsia="MS Gothic"/>
        </w:rPr>
        <w:t xml:space="preserve">orporate </w:t>
      </w:r>
      <w:r w:rsidR="00087818" w:rsidRPr="000C5235">
        <w:rPr>
          <w:rStyle w:val="BodyTextChar"/>
          <w:rFonts w:eastAsia="MS Gothic"/>
        </w:rPr>
        <w:t>e</w:t>
      </w:r>
      <w:r w:rsidRPr="000C5235">
        <w:rPr>
          <w:rStyle w:val="BodyTextChar"/>
          <w:rFonts w:eastAsia="MS Gothic"/>
        </w:rPr>
        <w:t>ntities</w:t>
      </w:r>
    </w:p>
    <w:p w14:paraId="3FF83DC9" w14:textId="77777777" w:rsidR="00B54712" w:rsidRPr="000C5235" w:rsidRDefault="00B54712" w:rsidP="000A7DEC">
      <w:r w:rsidRPr="000C5235">
        <w:t>The “</w:t>
      </w:r>
      <w:r w:rsidRPr="000C5235">
        <w:rPr>
          <w:u w:val="single"/>
        </w:rPr>
        <w:t>Payments to corporate entities</w:t>
      </w:r>
      <w:r w:rsidRPr="000C5235">
        <w:t>” rows should be sourced from the Appropriation Act 1 and Bill 3, and Act 2 and Bill 4 “Portfolio Summary and Detail” reports.</w:t>
      </w:r>
    </w:p>
    <w:p w14:paraId="31671D5D" w14:textId="77777777" w:rsidR="00B54712" w:rsidRPr="000C5235" w:rsidRDefault="00B54712">
      <w:pPr>
        <w:pStyle w:val="Reports2"/>
        <w:rPr>
          <w:rStyle w:val="BodyTextChar"/>
          <w:rFonts w:asciiTheme="minorHAnsi" w:hAnsiTheme="minorHAnsi"/>
          <w:i w:val="0"/>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Statutory Reports </w:t>
      </w:r>
      <w:r w:rsidR="00DA502E" w:rsidRPr="000C5235">
        <w:rPr>
          <w:rStyle w:val="BodyTextChar"/>
        </w:rPr>
        <w:sym w:font="Wingdings" w:char="F0E0"/>
      </w:r>
      <w:r w:rsidRPr="000C5235">
        <w:rPr>
          <w:rStyle w:val="BodyTextChar"/>
        </w:rPr>
        <w:t xml:space="preserve"> Appropriation Bills </w:t>
      </w:r>
      <w:r w:rsidR="00DA502E" w:rsidRPr="000C5235">
        <w:rPr>
          <w:rStyle w:val="BodyTextChar"/>
        </w:rPr>
        <w:sym w:font="Wingdings" w:char="F0E0"/>
      </w:r>
      <w:r w:rsidRPr="000C5235">
        <w:rPr>
          <w:rStyle w:val="BodyTextChar"/>
        </w:rPr>
        <w:t xml:space="preserve"> Budget Bills </w:t>
      </w:r>
      <w:r w:rsidR="00DA502E" w:rsidRPr="000C5235">
        <w:rPr>
          <w:rStyle w:val="BodyTextChar"/>
        </w:rPr>
        <w:sym w:font="Wingdings" w:char="F0E0"/>
      </w:r>
      <w:r w:rsidR="00DF7559" w:rsidRPr="000C5235">
        <w:rPr>
          <w:rStyle w:val="BodyTextChar"/>
        </w:rPr>
        <w:t xml:space="preserve"> </w:t>
      </w:r>
      <w:r w:rsidRPr="000C5235">
        <w:rPr>
          <w:rStyle w:val="BodyTextChar"/>
        </w:rPr>
        <w:t xml:space="preserve"> Appropriation Bill x – Portfolio Summary and Detail</w:t>
      </w:r>
    </w:p>
    <w:p w14:paraId="5BDE4E5A" w14:textId="77777777" w:rsidR="00B54712" w:rsidRPr="000C5235" w:rsidRDefault="00B54712" w:rsidP="000A7DEC">
      <w:pPr>
        <w:pStyle w:val="Heading4nonumbers"/>
        <w:rPr>
          <w:rStyle w:val="BodyTextChar"/>
          <w:rFonts w:eastAsia="MS Gothic"/>
          <w:i/>
          <w:color w:val="0070C0"/>
        </w:rPr>
      </w:pPr>
      <w:r w:rsidRPr="000C5235">
        <w:rPr>
          <w:rStyle w:val="BodyTextChar"/>
          <w:rFonts w:eastAsia="MS Gothic"/>
        </w:rPr>
        <w:t xml:space="preserve">Special </w:t>
      </w:r>
      <w:r w:rsidR="00087818" w:rsidRPr="000C5235">
        <w:rPr>
          <w:rStyle w:val="BodyTextChar"/>
          <w:rFonts w:eastAsia="MS Gothic"/>
        </w:rPr>
        <w:t>a</w:t>
      </w:r>
      <w:r w:rsidRPr="000C5235">
        <w:rPr>
          <w:rStyle w:val="BodyTextChar"/>
          <w:rFonts w:eastAsia="MS Gothic"/>
        </w:rPr>
        <w:t>ppropriations</w:t>
      </w:r>
    </w:p>
    <w:p w14:paraId="7A70BD2A" w14:textId="77777777" w:rsidR="00B54712" w:rsidRPr="000C5235" w:rsidRDefault="00B54712" w:rsidP="000A7DEC">
      <w:r w:rsidRPr="000C5235">
        <w:t>The “</w:t>
      </w:r>
      <w:r w:rsidRPr="000C5235">
        <w:rPr>
          <w:u w:val="single"/>
        </w:rPr>
        <w:t>Special Appropriations</w:t>
      </w:r>
      <w:r w:rsidRPr="000C5235">
        <w:t>” rows should reflect the resourcing required in relation to special appropriations. These figures should match the figures published in BP No.</w:t>
      </w:r>
      <w:r w:rsidR="00FC042C" w:rsidRPr="000C5235">
        <w:t xml:space="preserve"> </w:t>
      </w:r>
      <w:r w:rsidRPr="000C5235">
        <w:t>4 (in both the Special Appropriations table and also the Entity Resource Table</w:t>
      </w:r>
      <w:r w:rsidR="00FD4BA3" w:rsidRPr="000C5235">
        <w:t>) and</w:t>
      </w:r>
      <w:r w:rsidRPr="000C5235">
        <w:t xml:space="preserve"> be sourced from the Detail Listing AEIFRS Report from CBMS.</w:t>
      </w:r>
    </w:p>
    <w:p w14:paraId="5215F8BB" w14:textId="77777777" w:rsidR="00B54712" w:rsidRPr="000C5235" w:rsidRDefault="00B54712">
      <w:pPr>
        <w:pStyle w:val="Reports2"/>
        <w:rPr>
          <w:rStyle w:val="BodyTextChar"/>
          <w:rFonts w:asciiTheme="minorHAnsi" w:hAnsiTheme="minorHAnsi"/>
          <w:i w:val="0"/>
          <w:color w:val="auto"/>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Operational Reports </w:t>
      </w:r>
      <w:r w:rsidR="00DA502E" w:rsidRPr="000C5235">
        <w:rPr>
          <w:rStyle w:val="BodyTextChar"/>
        </w:rPr>
        <w:sym w:font="Wingdings" w:char="F0E0"/>
      </w:r>
      <w:r w:rsidRPr="000C5235">
        <w:rPr>
          <w:rStyle w:val="BodyTextChar"/>
        </w:rPr>
        <w:t xml:space="preserve"> Estimates </w:t>
      </w:r>
      <w:r w:rsidR="00DA502E" w:rsidRPr="000C5235">
        <w:rPr>
          <w:rStyle w:val="BodyTextChar"/>
        </w:rPr>
        <w:sym w:font="Wingdings" w:char="F0E0"/>
      </w:r>
      <w:r w:rsidRPr="000C5235">
        <w:rPr>
          <w:rStyle w:val="BodyTextChar"/>
        </w:rPr>
        <w:t xml:space="preserve"> Annual Estimates </w:t>
      </w:r>
      <w:r w:rsidR="00DA502E" w:rsidRPr="000C5235">
        <w:rPr>
          <w:rStyle w:val="BodyTextChar"/>
        </w:rPr>
        <w:sym w:font="Wingdings" w:char="F0E0"/>
      </w:r>
      <w:r w:rsidRPr="000C5235">
        <w:rPr>
          <w:rStyle w:val="BodyTextChar"/>
        </w:rPr>
        <w:t xml:space="preserve"> AE.OR.13 Annual Estimates </w:t>
      </w:r>
      <w:r w:rsidR="004D0F69" w:rsidRPr="000C5235">
        <w:rPr>
          <w:rStyle w:val="BodyTextChar"/>
        </w:rPr>
        <w:t>Detail Listing AEIFRS Report (PBF)</w:t>
      </w:r>
    </w:p>
    <w:p w14:paraId="2FF3FD2B" w14:textId="77777777" w:rsidR="00AA5DDA" w:rsidRPr="000C5235" w:rsidRDefault="00B54712" w:rsidP="000A7DEC">
      <w:pPr>
        <w:rPr>
          <w:rStyle w:val="BodyTextChar"/>
          <w:rFonts w:ascii="Arial" w:hAnsi="Arial"/>
          <w:b/>
          <w:i/>
          <w:iCs/>
          <w:color w:val="005A77"/>
          <w:spacing w:val="-6"/>
          <w:sz w:val="24"/>
          <w:szCs w:val="24"/>
        </w:rPr>
      </w:pPr>
      <w:r w:rsidRPr="000C5235">
        <w:t xml:space="preserve">Special appropriations should be reported as an aggregate in </w:t>
      </w:r>
      <w:r w:rsidRPr="000C5235">
        <w:rPr>
          <w:i/>
        </w:rPr>
        <w:t>Table 1.1</w:t>
      </w:r>
      <w:r w:rsidRPr="000C5235">
        <w:t xml:space="preserve">, with details of the special appropriations reported in </w:t>
      </w:r>
      <w:r w:rsidRPr="000C5235">
        <w:rPr>
          <w:i/>
        </w:rPr>
        <w:t>Table 2.X.1 (Budgeted expenses for Outcome X).</w:t>
      </w:r>
    </w:p>
    <w:p w14:paraId="3E442F4A" w14:textId="77777777" w:rsidR="00B54712" w:rsidRPr="000C5235" w:rsidRDefault="00B54712" w:rsidP="000A7DEC">
      <w:pPr>
        <w:pStyle w:val="Heading4nonumbers"/>
        <w:rPr>
          <w:rStyle w:val="BodyTextChar"/>
          <w:rFonts w:eastAsia="MS Gothic"/>
        </w:rPr>
      </w:pPr>
      <w:r w:rsidRPr="000C5235">
        <w:rPr>
          <w:rStyle w:val="BodyTextChar"/>
          <w:rFonts w:eastAsia="MS Gothic"/>
        </w:rPr>
        <w:t xml:space="preserve">Special </w:t>
      </w:r>
      <w:r w:rsidR="00087818" w:rsidRPr="000C5235">
        <w:rPr>
          <w:rStyle w:val="BodyTextChar"/>
          <w:rFonts w:eastAsia="MS Gothic"/>
        </w:rPr>
        <w:t>a</w:t>
      </w:r>
      <w:r w:rsidRPr="000C5235">
        <w:rPr>
          <w:rStyle w:val="BodyTextChar"/>
          <w:rFonts w:eastAsia="MS Gothic"/>
        </w:rPr>
        <w:t>ccounts</w:t>
      </w:r>
    </w:p>
    <w:p w14:paraId="58D70D76" w14:textId="77777777" w:rsidR="00B54712" w:rsidRPr="000C5235" w:rsidRDefault="00B54712" w:rsidP="000A7DEC">
      <w:pPr>
        <w:rPr>
          <w:i/>
        </w:rPr>
      </w:pPr>
      <w:r w:rsidRPr="000C5235">
        <w:t>The “</w:t>
      </w:r>
      <w:r w:rsidRPr="000C5235">
        <w:rPr>
          <w:u w:val="single"/>
        </w:rPr>
        <w:t>Special Accounts</w:t>
      </w:r>
      <w:r w:rsidRPr="000C5235">
        <w:t xml:space="preserve">” rows should reflect the receipts for all special accounts managed by the entity. These figures should be drawn from the “Special Accounts” report from CBMS. </w:t>
      </w:r>
      <w:r w:rsidR="00250658" w:rsidRPr="000C5235">
        <w:t xml:space="preserve">Trust moneys, in particular those </w:t>
      </w:r>
      <w:r w:rsidRPr="000C5235">
        <w:t>held in “</w:t>
      </w:r>
      <w:r w:rsidRPr="000C5235">
        <w:rPr>
          <w:u w:val="single"/>
        </w:rPr>
        <w:t>Services for Other Entities and Trust Moneys</w:t>
      </w:r>
      <w:r w:rsidRPr="000C5235">
        <w:t xml:space="preserve">” (SOETM) accounts </w:t>
      </w:r>
      <w:r w:rsidRPr="000C5235">
        <w:rPr>
          <w:u w:val="single"/>
        </w:rPr>
        <w:t>should be excluded</w:t>
      </w:r>
      <w:r w:rsidRPr="000C5235">
        <w:t xml:space="preserve"> from this figure as they do not constitute funds available to the entity. Details of special accounts will also be reported in </w:t>
      </w:r>
      <w:r w:rsidRPr="000C5235">
        <w:rPr>
          <w:i/>
        </w:rPr>
        <w:t>Table 2.X.1 (Budgeted expenses for Outcome X).</w:t>
      </w:r>
    </w:p>
    <w:p w14:paraId="4D2C5111" w14:textId="77777777" w:rsidR="00B54712" w:rsidRPr="000C5235" w:rsidRDefault="00B54712" w:rsidP="006F1726">
      <w:pPr>
        <w:pStyle w:val="Reports2"/>
        <w:rPr>
          <w:rStyle w:val="BodyTextChar"/>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Statutory Reports </w:t>
      </w:r>
      <w:r w:rsidR="00DA502E" w:rsidRPr="000C5235">
        <w:rPr>
          <w:rStyle w:val="BodyTextChar"/>
        </w:rPr>
        <w:sym w:font="Wingdings" w:char="F0E0"/>
      </w:r>
      <w:r w:rsidRPr="000C5235">
        <w:rPr>
          <w:rStyle w:val="BodyTextChar"/>
        </w:rPr>
        <w:t xml:space="preserve"> Budget Paper 4 </w:t>
      </w:r>
      <w:r w:rsidR="00DA502E" w:rsidRPr="000C5235">
        <w:rPr>
          <w:rStyle w:val="BodyTextChar"/>
        </w:rPr>
        <w:sym w:font="Wingdings" w:char="F0E0"/>
      </w:r>
      <w:r w:rsidRPr="000C5235">
        <w:rPr>
          <w:rStyle w:val="BodyTextChar"/>
        </w:rPr>
        <w:t xml:space="preserve"> B4.T4 Special accounts table</w:t>
      </w:r>
    </w:p>
    <w:p w14:paraId="382ED3EA" w14:textId="77777777" w:rsidR="00E15D15" w:rsidRPr="000C5235" w:rsidRDefault="00A32A8F" w:rsidP="006F1726">
      <w:pPr>
        <w:pStyle w:val="Reports2"/>
        <w:rPr>
          <w:rStyle w:val="BodyTextChar"/>
        </w:rPr>
      </w:pPr>
      <w:r w:rsidRPr="000C5235">
        <w:rPr>
          <w:rStyle w:val="BodyTextChar"/>
        </w:rPr>
        <w:t xml:space="preserve">Reports </w:t>
      </w:r>
      <w:r w:rsidR="00DA502E" w:rsidRPr="000C5235">
        <w:rPr>
          <w:rStyle w:val="BodyTextChar"/>
        </w:rPr>
        <w:sym w:font="Wingdings" w:char="F0E0"/>
      </w:r>
      <w:r w:rsidRPr="000C5235">
        <w:rPr>
          <w:rStyle w:val="BodyTextChar"/>
        </w:rPr>
        <w:t xml:space="preserve"> CBMS Reporting </w:t>
      </w:r>
      <w:r w:rsidR="00DA502E" w:rsidRPr="000C5235">
        <w:rPr>
          <w:rStyle w:val="BodyTextChar"/>
        </w:rPr>
        <w:sym w:font="Wingdings" w:char="F0E0"/>
      </w:r>
      <w:r w:rsidRPr="000C5235">
        <w:rPr>
          <w:rStyle w:val="BodyTextChar"/>
        </w:rPr>
        <w:t xml:space="preserve"> Operational Reports </w:t>
      </w:r>
      <w:r w:rsidR="00DA502E" w:rsidRPr="000C5235">
        <w:rPr>
          <w:rStyle w:val="BodyTextChar"/>
        </w:rPr>
        <w:sym w:font="Wingdings" w:char="F0E0"/>
      </w:r>
      <w:r w:rsidRPr="000C5235">
        <w:rPr>
          <w:rStyle w:val="BodyTextChar"/>
        </w:rPr>
        <w:t xml:space="preserve"> Estimates </w:t>
      </w:r>
      <w:r w:rsidR="00DA502E" w:rsidRPr="000C5235">
        <w:rPr>
          <w:rStyle w:val="BodyTextChar"/>
        </w:rPr>
        <w:sym w:font="Wingdings" w:char="F0E0"/>
      </w:r>
      <w:r w:rsidRPr="000C5235">
        <w:rPr>
          <w:rStyle w:val="BodyTextChar"/>
        </w:rPr>
        <w:t xml:space="preserve"> Annual Estimates </w:t>
      </w:r>
      <w:r w:rsidR="00DA502E" w:rsidRPr="000C5235">
        <w:rPr>
          <w:rStyle w:val="BodyTextChar"/>
        </w:rPr>
        <w:sym w:font="Wingdings" w:char="F0E0"/>
      </w:r>
      <w:r w:rsidRPr="000C5235">
        <w:rPr>
          <w:rStyle w:val="BodyTextChar"/>
        </w:rPr>
        <w:t xml:space="preserve"> AE</w:t>
      </w:r>
      <w:r w:rsidR="00EA7B74" w:rsidRPr="000C5235">
        <w:rPr>
          <w:rStyle w:val="BodyTextChar"/>
        </w:rPr>
        <w:t>.O</w:t>
      </w:r>
      <w:r w:rsidRPr="000C5235">
        <w:rPr>
          <w:rStyle w:val="BodyTextChar"/>
        </w:rPr>
        <w:t xml:space="preserve">R.09 </w:t>
      </w:r>
      <w:r w:rsidR="00EA7B74" w:rsidRPr="000C5235">
        <w:rPr>
          <w:rStyle w:val="BodyTextChar"/>
        </w:rPr>
        <w:t xml:space="preserve">Annual Estimates </w:t>
      </w:r>
      <w:r w:rsidRPr="000C5235">
        <w:rPr>
          <w:rStyle w:val="BodyTextChar"/>
        </w:rPr>
        <w:t xml:space="preserve">Special </w:t>
      </w:r>
      <w:r w:rsidR="00EA7B74" w:rsidRPr="000C5235">
        <w:rPr>
          <w:rStyle w:val="BodyTextChar"/>
        </w:rPr>
        <w:t>A</w:t>
      </w:r>
      <w:r w:rsidRPr="000C5235">
        <w:rPr>
          <w:rStyle w:val="BodyTextChar"/>
        </w:rPr>
        <w:t xml:space="preserve">ccounts </w:t>
      </w:r>
      <w:r w:rsidR="00EA7B74" w:rsidRPr="000C5235">
        <w:rPr>
          <w:rStyle w:val="BodyTextChar"/>
        </w:rPr>
        <w:t>R</w:t>
      </w:r>
      <w:r w:rsidRPr="000C5235">
        <w:rPr>
          <w:rStyle w:val="BodyTextChar"/>
        </w:rPr>
        <w:t>eport</w:t>
      </w:r>
    </w:p>
    <w:p w14:paraId="77849092" w14:textId="77777777" w:rsidR="009861E5" w:rsidRPr="000C5235" w:rsidRDefault="00250658">
      <w:pPr>
        <w:pStyle w:val="NormalTextRed"/>
      </w:pPr>
      <w:r w:rsidRPr="000C5235">
        <w:rPr>
          <w:u w:val="single"/>
        </w:rPr>
        <w:t>Note:</w:t>
      </w:r>
      <w:r w:rsidRPr="000C5235">
        <w:t xml:space="preserve">  There may be differences between special </w:t>
      </w:r>
      <w:r w:rsidR="00FC042C" w:rsidRPr="000C5235">
        <w:t>accounts</w:t>
      </w:r>
      <w:r w:rsidRPr="000C5235">
        <w:t xml:space="preserve"> figures published in an entity’s PB</w:t>
      </w:r>
      <w:r w:rsidR="00CD3E53" w:rsidRPr="000C5235">
        <w:t> </w:t>
      </w:r>
      <w:r w:rsidRPr="000C5235">
        <w:t>S</w:t>
      </w:r>
      <w:r w:rsidR="00CD3E53" w:rsidRPr="000C5235">
        <w:t>tatement</w:t>
      </w:r>
      <w:r w:rsidRPr="000C5235">
        <w:t xml:space="preserve"> compared to the entity’s financial statement notes in its annual report.</w:t>
      </w:r>
    </w:p>
    <w:p w14:paraId="33AB25B4" w14:textId="77777777" w:rsidR="009861E5" w:rsidRPr="000C5235" w:rsidRDefault="00250658">
      <w:pPr>
        <w:pStyle w:val="NormalTextRed"/>
      </w:pPr>
      <w:r w:rsidRPr="000C5235">
        <w:t>For example, for PB</w:t>
      </w:r>
      <w:r w:rsidR="00CD3E53" w:rsidRPr="000C5235">
        <w:t xml:space="preserve"> </w:t>
      </w:r>
      <w:r w:rsidRPr="000C5235">
        <w:t>S</w:t>
      </w:r>
      <w:r w:rsidR="00CD3E53" w:rsidRPr="000C5235">
        <w:t>tatement</w:t>
      </w:r>
      <w:r w:rsidRPr="000C5235">
        <w:t xml:space="preserve"> estimates purposes, agencies may choose to report </w:t>
      </w:r>
      <w:r w:rsidR="00FC042C" w:rsidRPr="000C5235">
        <w:t>s</w:t>
      </w:r>
      <w:r w:rsidRPr="000C5235">
        <w:t xml:space="preserve">pecial </w:t>
      </w:r>
      <w:r w:rsidR="00FC042C" w:rsidRPr="000C5235">
        <w:t>a</w:t>
      </w:r>
      <w:r w:rsidRPr="000C5235">
        <w:t>ccount balances and flows on</w:t>
      </w:r>
      <w:r w:rsidR="009861E5" w:rsidRPr="000C5235">
        <w:t xml:space="preserve"> </w:t>
      </w:r>
      <w:r w:rsidRPr="000C5235">
        <w:t>a</w:t>
      </w:r>
      <w:r w:rsidR="009861E5" w:rsidRPr="000C5235">
        <w:t xml:space="preserve"> N</w:t>
      </w:r>
      <w:r w:rsidRPr="000C5235">
        <w:t>et</w:t>
      </w:r>
      <w:r w:rsidR="009861E5" w:rsidRPr="000C5235">
        <w:t xml:space="preserve"> </w:t>
      </w:r>
      <w:r w:rsidRPr="000C5235">
        <w:t xml:space="preserve">basis as at 30 June.  In an </w:t>
      </w:r>
      <w:r w:rsidR="006A6D2C" w:rsidRPr="000C5235">
        <w:t>entity</w:t>
      </w:r>
      <w:r w:rsidRPr="000C5235">
        <w:t xml:space="preserve">'s annual report, special account flows will be presented on a </w:t>
      </w:r>
      <w:r w:rsidR="009861E5" w:rsidRPr="000C5235">
        <w:t>G</w:t>
      </w:r>
      <w:r w:rsidRPr="000C5235">
        <w:t>ross basis.</w:t>
      </w:r>
    </w:p>
    <w:p w14:paraId="47D23D30" w14:textId="77777777" w:rsidR="00E15D15" w:rsidRPr="000C5235" w:rsidRDefault="00250658">
      <w:pPr>
        <w:pStyle w:val="NormalTextRed"/>
        <w:rPr>
          <w:rStyle w:val="BodyTextChar"/>
          <w:rFonts w:eastAsiaTheme="minorHAnsi" w:cstheme="minorBidi"/>
        </w:rPr>
      </w:pPr>
      <w:r w:rsidRPr="000C5235">
        <w:t>An example of where difference</w:t>
      </w:r>
      <w:r w:rsidR="009861E5" w:rsidRPr="000C5235">
        <w:t>s</w:t>
      </w:r>
      <w:r w:rsidRPr="000C5235">
        <w:t xml:space="preserve"> </w:t>
      </w:r>
      <w:r w:rsidR="009861E5" w:rsidRPr="000C5235">
        <w:t xml:space="preserve">may arise </w:t>
      </w:r>
      <w:r w:rsidRPr="000C5235">
        <w:t xml:space="preserve">between estimates and actuals is where an entity undertakes ongoing investment activities through </w:t>
      </w:r>
      <w:r w:rsidR="009861E5" w:rsidRPr="000C5235">
        <w:t>their</w:t>
      </w:r>
      <w:r w:rsidRPr="000C5235">
        <w:t xml:space="preserve"> special account, and reinvests the earnings realised </w:t>
      </w:r>
      <w:r w:rsidR="009861E5" w:rsidRPr="000C5235">
        <w:t>(</w:t>
      </w:r>
      <w:r w:rsidRPr="000C5235">
        <w:t>from invest</w:t>
      </w:r>
      <w:r w:rsidR="009861E5" w:rsidRPr="000C5235">
        <w:t>ing)</w:t>
      </w:r>
      <w:r w:rsidRPr="000C5235">
        <w:t xml:space="preserve"> within the same financial year.</w:t>
      </w:r>
    </w:p>
    <w:p w14:paraId="67822943" w14:textId="77777777" w:rsidR="00B54712" w:rsidRPr="000C5235" w:rsidRDefault="00B54712" w:rsidP="000A7DEC">
      <w:pPr>
        <w:pStyle w:val="Heading4nonumbers"/>
        <w:rPr>
          <w:rStyle w:val="BodyTextChar"/>
          <w:rFonts w:asciiTheme="minorHAnsi" w:eastAsia="MS Gothic" w:hAnsiTheme="minorHAnsi"/>
          <w:color w:val="FF0000"/>
        </w:rPr>
      </w:pPr>
      <w:r w:rsidRPr="000C5235">
        <w:rPr>
          <w:rStyle w:val="BodyTextChar"/>
          <w:rFonts w:eastAsia="MS Gothic"/>
        </w:rPr>
        <w:t xml:space="preserve">Average </w:t>
      </w:r>
      <w:r w:rsidR="00087818" w:rsidRPr="000C5235">
        <w:rPr>
          <w:rStyle w:val="BodyTextChar"/>
          <w:rFonts w:eastAsia="MS Gothic"/>
        </w:rPr>
        <w:t>s</w:t>
      </w:r>
      <w:r w:rsidRPr="000C5235">
        <w:rPr>
          <w:rStyle w:val="BodyTextChar"/>
          <w:rFonts w:eastAsia="MS Gothic"/>
        </w:rPr>
        <w:t xml:space="preserve">taffing </w:t>
      </w:r>
      <w:r w:rsidR="00087818" w:rsidRPr="000C5235">
        <w:rPr>
          <w:rStyle w:val="BodyTextChar"/>
          <w:rFonts w:eastAsia="MS Gothic"/>
        </w:rPr>
        <w:t>l</w:t>
      </w:r>
      <w:r w:rsidRPr="000C5235">
        <w:rPr>
          <w:rStyle w:val="BodyTextChar"/>
          <w:rFonts w:eastAsia="MS Gothic"/>
        </w:rPr>
        <w:t>evel</w:t>
      </w:r>
    </w:p>
    <w:p w14:paraId="0775CC7B" w14:textId="77777777" w:rsidR="00B54712" w:rsidRPr="000C5235" w:rsidRDefault="00B54712" w:rsidP="000A7DEC">
      <w:bookmarkStart w:id="392" w:name="Review_Avg_Staff_level_AB_2020_01_08"/>
      <w:bookmarkEnd w:id="392"/>
      <w:r w:rsidRPr="000C5235">
        <w:t>The “</w:t>
      </w:r>
      <w:r w:rsidR="008555BE" w:rsidRPr="000C5235">
        <w:t>ASL</w:t>
      </w:r>
      <w:r w:rsidRPr="000C5235">
        <w:rPr>
          <w:u w:val="single"/>
        </w:rPr>
        <w:t>” figure</w:t>
      </w:r>
      <w:r w:rsidRPr="000C5235">
        <w:t xml:space="preserve"> should be discussed with Finance (please refer to </w:t>
      </w:r>
      <w:r w:rsidR="00C83660" w:rsidRPr="000C5235">
        <w:t>the C</w:t>
      </w:r>
      <w:r w:rsidRPr="000C5235">
        <w:t xml:space="preserve">ontacts on </w:t>
      </w:r>
      <w:r w:rsidR="002D6E6F" w:rsidRPr="000C5235">
        <w:t>s</w:t>
      </w:r>
      <w:r w:rsidR="00C83660" w:rsidRPr="000C5235">
        <w:t xml:space="preserve">ection </w:t>
      </w:r>
      <w:r w:rsidR="002D6E6F" w:rsidRPr="000C5235">
        <w:rPr>
          <w:i/>
          <w:color w:val="0070C0"/>
          <w:u w:val="single"/>
        </w:rPr>
        <w:fldChar w:fldCharType="begin"/>
      </w:r>
      <w:r w:rsidR="002D6E6F" w:rsidRPr="000C5235">
        <w:rPr>
          <w:i/>
          <w:color w:val="0070C0"/>
          <w:u w:val="single"/>
        </w:rPr>
        <w:instrText xml:space="preserve"> REF _Ref33522418 \r \h  \* MERGEFORMAT </w:instrText>
      </w:r>
      <w:r w:rsidR="002D6E6F" w:rsidRPr="000C5235">
        <w:rPr>
          <w:i/>
          <w:color w:val="0070C0"/>
          <w:u w:val="single"/>
        </w:rPr>
      </w:r>
      <w:r w:rsidR="002D6E6F" w:rsidRPr="000C5235">
        <w:rPr>
          <w:i/>
          <w:color w:val="0070C0"/>
          <w:u w:val="single"/>
        </w:rPr>
        <w:fldChar w:fldCharType="separate"/>
      </w:r>
      <w:r w:rsidR="00957051" w:rsidRPr="000C5235">
        <w:rPr>
          <w:i/>
          <w:color w:val="0070C0"/>
          <w:u w:val="single"/>
        </w:rPr>
        <w:t>14</w:t>
      </w:r>
      <w:r w:rsidR="002D6E6F" w:rsidRPr="000C5235">
        <w:rPr>
          <w:i/>
          <w:color w:val="0070C0"/>
          <w:u w:val="single"/>
        </w:rPr>
        <w:fldChar w:fldCharType="end"/>
      </w:r>
      <w:r w:rsidR="002D6E6F" w:rsidRPr="000C5235">
        <w:rPr>
          <w:i/>
          <w:color w:val="0070C0"/>
          <w:u w:val="single"/>
        </w:rPr>
        <w:t xml:space="preserve"> </w:t>
      </w:r>
      <w:r w:rsidR="002D6E6F" w:rsidRPr="000C5235">
        <w:rPr>
          <w:i/>
          <w:color w:val="0070C0"/>
          <w:u w:val="single"/>
        </w:rPr>
        <w:fldChar w:fldCharType="begin"/>
      </w:r>
      <w:r w:rsidR="002D6E6F" w:rsidRPr="000C5235">
        <w:rPr>
          <w:i/>
          <w:color w:val="0070C0"/>
          <w:u w:val="single"/>
        </w:rPr>
        <w:instrText xml:space="preserve"> REF _Ref33522421 \h  \* MERGEFORMAT </w:instrText>
      </w:r>
      <w:r w:rsidR="002D6E6F" w:rsidRPr="000C5235">
        <w:rPr>
          <w:i/>
          <w:color w:val="0070C0"/>
          <w:u w:val="single"/>
        </w:rPr>
      </w:r>
      <w:r w:rsidR="002D6E6F" w:rsidRPr="000C5235">
        <w:rPr>
          <w:i/>
          <w:color w:val="0070C0"/>
          <w:u w:val="single"/>
        </w:rPr>
        <w:fldChar w:fldCharType="separate"/>
      </w:r>
      <w:r w:rsidR="00957051" w:rsidRPr="000C5235">
        <w:rPr>
          <w:i/>
          <w:color w:val="0070C0"/>
          <w:u w:val="single"/>
        </w:rPr>
        <w:t>Contacts</w:t>
      </w:r>
      <w:r w:rsidR="002D6E6F" w:rsidRPr="000C5235">
        <w:rPr>
          <w:i/>
          <w:color w:val="0070C0"/>
          <w:u w:val="single"/>
        </w:rPr>
        <w:fldChar w:fldCharType="end"/>
      </w:r>
      <w:r w:rsidR="002D6E6F" w:rsidRPr="000C5235">
        <w:t xml:space="preserve"> </w:t>
      </w:r>
      <w:r w:rsidR="002D6E6F" w:rsidRPr="000C5235">
        <w:fldChar w:fldCharType="begin"/>
      </w:r>
      <w:r w:rsidR="002D6E6F" w:rsidRPr="000C5235">
        <w:instrText xml:space="preserve"> REF _Ref33522426 \p \h </w:instrText>
      </w:r>
      <w:r w:rsidR="008B029A" w:rsidRPr="000C5235">
        <w:instrText xml:space="preserve"> \* MERGEFORMAT </w:instrText>
      </w:r>
      <w:r w:rsidR="002D6E6F" w:rsidRPr="000C5235">
        <w:fldChar w:fldCharType="separate"/>
      </w:r>
      <w:r w:rsidR="002D6E6F" w:rsidRPr="000C5235">
        <w:t>below</w:t>
      </w:r>
      <w:r w:rsidR="002D6E6F" w:rsidRPr="000C5235">
        <w:fldChar w:fldCharType="end"/>
      </w:r>
      <w:r w:rsidR="002D6E6F" w:rsidRPr="000C5235">
        <w:t xml:space="preserve"> </w:t>
      </w:r>
      <w:r w:rsidR="00C83660" w:rsidRPr="000C5235">
        <w:t>of this guide</w:t>
      </w:r>
      <w:r w:rsidR="00FD4BA3" w:rsidRPr="000C5235">
        <w:t>) and</w:t>
      </w:r>
      <w:r w:rsidRPr="000C5235">
        <w:t xml:space="preserve"> match the figures to be published in BP No.</w:t>
      </w:r>
      <w:r w:rsidR="0083363A" w:rsidRPr="000C5235">
        <w:t xml:space="preserve"> </w:t>
      </w:r>
      <w:r w:rsidRPr="000C5235">
        <w:t>4 and the totals shown at the bottom of the outcome expense tables (Table 2.X.1). Please refer to the latest Finance guidance on ASL</w:t>
      </w:r>
      <w:r w:rsidRPr="000C5235">
        <w:rPr>
          <w:i/>
        </w:rPr>
        <w:t xml:space="preserve"> </w:t>
      </w:r>
      <w:r w:rsidRPr="000C5235">
        <w:t xml:space="preserve">for more information on ASL reporting. </w:t>
      </w:r>
    </w:p>
    <w:p w14:paraId="4D3235B1" w14:textId="77777777" w:rsidR="00B54712" w:rsidRPr="000C5235" w:rsidRDefault="00B54712" w:rsidP="000A7DEC">
      <w:pPr>
        <w:pStyle w:val="Heading4nonumbers"/>
        <w:rPr>
          <w:rStyle w:val="BodyTextChar"/>
          <w:sz w:val="24"/>
        </w:rPr>
      </w:pPr>
      <w:r w:rsidRPr="000C5235">
        <w:rPr>
          <w:rStyle w:val="BodyTextChar"/>
        </w:rPr>
        <w:t xml:space="preserve">Third </w:t>
      </w:r>
      <w:r w:rsidR="00087818" w:rsidRPr="000C5235">
        <w:rPr>
          <w:rStyle w:val="BodyTextChar"/>
        </w:rPr>
        <w:t>p</w:t>
      </w:r>
      <w:r w:rsidRPr="000C5235">
        <w:rPr>
          <w:rStyle w:val="BodyTextChar"/>
        </w:rPr>
        <w:t xml:space="preserve">arty </w:t>
      </w:r>
      <w:r w:rsidR="00087818" w:rsidRPr="000C5235">
        <w:rPr>
          <w:rStyle w:val="BodyTextChar"/>
        </w:rPr>
        <w:t>p</w:t>
      </w:r>
      <w:r w:rsidRPr="000C5235">
        <w:rPr>
          <w:rStyle w:val="BodyTextChar"/>
        </w:rPr>
        <w:t>ayments</w:t>
      </w:r>
    </w:p>
    <w:p w14:paraId="1A42AB2F" w14:textId="77777777" w:rsidR="00B54712" w:rsidRPr="000C5235" w:rsidRDefault="00B54712" w:rsidP="000A7DEC">
      <w:r w:rsidRPr="000C5235">
        <w:t>The “</w:t>
      </w:r>
      <w:r w:rsidRPr="000C5235">
        <w:rPr>
          <w:u w:val="single"/>
        </w:rPr>
        <w:t>Third Party Payments</w:t>
      </w:r>
      <w:r w:rsidRPr="000C5235">
        <w:t xml:space="preserve">” information will be drawn from entities’ own records and should be agreed with the relevant entities. These figures should be prepared on a consistent basis with the rest of </w:t>
      </w:r>
      <w:r w:rsidRPr="000C5235">
        <w:rPr>
          <w:i/>
        </w:rPr>
        <w:t>Table 1.1,</w:t>
      </w:r>
      <w:r w:rsidRPr="000C5235">
        <w:t xml:space="preserve"> </w:t>
      </w:r>
      <w:r w:rsidR="00E10C89" w:rsidRPr="000C5235">
        <w:t>ie</w:t>
      </w:r>
      <w:r w:rsidRPr="000C5235">
        <w:t xml:space="preserve"> using resourcing/appropriations transferred figures, and the reader should be able to reconcile figures between entities. </w:t>
      </w:r>
    </w:p>
    <w:p w14:paraId="0AADE26D" w14:textId="77777777" w:rsidR="00B54712" w:rsidRPr="000C5235" w:rsidRDefault="00B54712">
      <w:pPr>
        <w:pStyle w:val="Bullet1"/>
        <w:rPr>
          <w:rStyle w:val="BodyTextChar"/>
          <w:rFonts w:asciiTheme="minorHAnsi" w:hAnsiTheme="minorHAnsi"/>
        </w:rPr>
      </w:pPr>
      <w:r w:rsidRPr="000C5235">
        <w:rPr>
          <w:rStyle w:val="BodyTextChar"/>
        </w:rPr>
        <w:t>This sub-table should only be prepared by those entities which:</w:t>
      </w:r>
    </w:p>
    <w:p w14:paraId="4BD4137D" w14:textId="77777777" w:rsidR="00A86DDD" w:rsidRPr="000C5235" w:rsidRDefault="00B54712">
      <w:pPr>
        <w:pStyle w:val="Bullet2"/>
        <w:rPr>
          <w:rStyle w:val="BodyTextChar"/>
        </w:rPr>
      </w:pPr>
      <w:r w:rsidRPr="000C5235">
        <w:rPr>
          <w:rStyle w:val="BodyTextChar"/>
        </w:rPr>
        <w:t xml:space="preserve">are </w:t>
      </w:r>
      <w:r w:rsidR="000C53A8" w:rsidRPr="000C5235">
        <w:rPr>
          <w:rStyle w:val="BodyTextChar"/>
        </w:rPr>
        <w:t>identified as</w:t>
      </w:r>
      <w:r w:rsidR="00A86DDD" w:rsidRPr="000C5235">
        <w:rPr>
          <w:rStyle w:val="BodyTextChar"/>
        </w:rPr>
        <w:t xml:space="preserve"> </w:t>
      </w:r>
      <w:r w:rsidR="00DE63E7" w:rsidRPr="000C5235">
        <w:rPr>
          <w:rStyle w:val="BodyTextChar"/>
          <w:i/>
        </w:rPr>
        <w:t>M</w:t>
      </w:r>
      <w:r w:rsidRPr="000C5235">
        <w:rPr>
          <w:rStyle w:val="BodyTextChar"/>
          <w:i/>
        </w:rPr>
        <w:t>aterial</w:t>
      </w:r>
      <w:r w:rsidRPr="000C5235">
        <w:rPr>
          <w:rStyle w:val="BodyTextChar"/>
        </w:rPr>
        <w:t xml:space="preserve"> entities </w:t>
      </w:r>
      <w:r w:rsidR="000C53A8" w:rsidRPr="000C5235">
        <w:rPr>
          <w:rStyle w:val="BodyTextChar"/>
        </w:rPr>
        <w:t xml:space="preserve">under either the </w:t>
      </w:r>
      <w:r w:rsidR="000C53A8" w:rsidRPr="000C5235">
        <w:rPr>
          <w:rStyle w:val="BodyTextChar"/>
          <w:i/>
        </w:rPr>
        <w:t>AGOR Register</w:t>
      </w:r>
      <w:r w:rsidR="000C53A8" w:rsidRPr="000C5235">
        <w:rPr>
          <w:rStyle w:val="BodyTextChar"/>
        </w:rPr>
        <w:t xml:space="preserve"> and </w:t>
      </w:r>
      <w:r w:rsidR="000C53A8" w:rsidRPr="000C5235">
        <w:rPr>
          <w:rStyle w:val="BodyTextChar"/>
          <w:i/>
        </w:rPr>
        <w:t xml:space="preserve">PGPA Act Flipchart </w:t>
      </w:r>
      <w:r w:rsidRPr="000C5235">
        <w:rPr>
          <w:rStyle w:val="BodyTextChar"/>
        </w:rPr>
        <w:t>and</w:t>
      </w:r>
    </w:p>
    <w:p w14:paraId="21FC7C7A" w14:textId="77777777" w:rsidR="000C53A8" w:rsidRPr="000C5235" w:rsidRDefault="00B54712">
      <w:pPr>
        <w:pStyle w:val="Bullet2"/>
        <w:rPr>
          <w:rStyle w:val="BodyTextChar"/>
        </w:rPr>
      </w:pPr>
      <w:r w:rsidRPr="000C5235">
        <w:rPr>
          <w:rStyle w:val="BodyTextChar"/>
        </w:rPr>
        <w:t>have total third party payments of $10 million or more in a year or</w:t>
      </w:r>
    </w:p>
    <w:p w14:paraId="6E401488" w14:textId="77777777" w:rsidR="00B54712" w:rsidRPr="000C5235" w:rsidRDefault="00DE63E7">
      <w:pPr>
        <w:pStyle w:val="Bullet2"/>
        <w:rPr>
          <w:rStyle w:val="BodyTextChar"/>
        </w:rPr>
      </w:pPr>
      <w:r w:rsidRPr="000C5235">
        <w:rPr>
          <w:rStyle w:val="BodyTextChar"/>
        </w:rPr>
        <w:t xml:space="preserve">are considered </w:t>
      </w:r>
      <w:r w:rsidRPr="000C5235">
        <w:rPr>
          <w:rStyle w:val="BodyTextChar"/>
          <w:i/>
        </w:rPr>
        <w:t>S</w:t>
      </w:r>
      <w:r w:rsidR="005C0A22" w:rsidRPr="000C5235">
        <w:rPr>
          <w:rStyle w:val="BodyTextChar"/>
          <w:i/>
        </w:rPr>
        <w:t xml:space="preserve">mall </w:t>
      </w:r>
      <w:r w:rsidR="005C0A22" w:rsidRPr="000C5235">
        <w:rPr>
          <w:rStyle w:val="BodyTextChar"/>
        </w:rPr>
        <w:t xml:space="preserve">entities </w:t>
      </w:r>
      <w:r w:rsidRPr="000C5235">
        <w:rPr>
          <w:rStyle w:val="BodyTextChar"/>
        </w:rPr>
        <w:t xml:space="preserve">who </w:t>
      </w:r>
      <w:r w:rsidR="00B54712" w:rsidRPr="000C5235">
        <w:rPr>
          <w:rStyle w:val="BodyTextChar"/>
        </w:rPr>
        <w:t>have third party payments totalling more than 25 per cent of their total resourcing.</w:t>
      </w:r>
    </w:p>
    <w:p w14:paraId="2B6098CC" w14:textId="77777777" w:rsidR="00DE63E7" w:rsidRPr="000C5235" w:rsidRDefault="00DE63E7" w:rsidP="000A7DEC">
      <w:pPr>
        <w:pStyle w:val="Bullet2"/>
        <w:numPr>
          <w:ilvl w:val="0"/>
          <w:numId w:val="0"/>
        </w:numPr>
        <w:ind w:left="425"/>
        <w:rPr>
          <w:rStyle w:val="BodyTextChar"/>
        </w:rPr>
      </w:pPr>
      <w:r w:rsidRPr="000C5235">
        <w:rPr>
          <w:rStyle w:val="BodyTextChar"/>
          <w:color w:val="FF0000"/>
          <w:u w:val="single"/>
        </w:rPr>
        <w:t>Note:</w:t>
      </w:r>
      <w:r w:rsidRPr="000C5235">
        <w:rPr>
          <w:rStyle w:val="BodyTextChar"/>
          <w:color w:val="FF0000"/>
        </w:rPr>
        <w:t xml:space="preserve"> both Material and Small entities can be identified by looking at the </w:t>
      </w:r>
      <w:r w:rsidRPr="000C5235">
        <w:rPr>
          <w:rStyle w:val="BodyTextChar"/>
          <w:i/>
          <w:color w:val="FF0000"/>
        </w:rPr>
        <w:t>AGOR Register</w:t>
      </w:r>
      <w:r w:rsidRPr="000C5235">
        <w:rPr>
          <w:rStyle w:val="BodyTextChar"/>
          <w:color w:val="FF0000"/>
        </w:rPr>
        <w:t xml:space="preserve"> or at Finance's </w:t>
      </w:r>
      <w:r w:rsidRPr="000C5235">
        <w:rPr>
          <w:rStyle w:val="BodyTextChar"/>
          <w:i/>
          <w:color w:val="FF0000"/>
        </w:rPr>
        <w:t>PGPA Act Flipchart of Commonwealth entities and companies</w:t>
      </w:r>
      <w:r w:rsidR="00CA0B04" w:rsidRPr="000C5235">
        <w:rPr>
          <w:rStyle w:val="BodyTextChar"/>
          <w:color w:val="FF0000"/>
        </w:rPr>
        <w:t xml:space="preserve"> (please refer to the </w:t>
      </w:r>
      <w:r w:rsidR="004B7A1B" w:rsidRPr="000C5235">
        <w:rPr>
          <w:rStyle w:val="BodyTextChar"/>
          <w:color w:val="FF0000"/>
        </w:rPr>
        <w:t>G</w:t>
      </w:r>
      <w:r w:rsidR="00CA0B04" w:rsidRPr="000C5235">
        <w:rPr>
          <w:rStyle w:val="BodyTextChar"/>
          <w:color w:val="FF0000"/>
        </w:rPr>
        <w:t>lossary for info on AGOR and the flipchart)</w:t>
      </w:r>
      <w:r w:rsidRPr="000C5235">
        <w:rPr>
          <w:rStyle w:val="BodyTextChar"/>
          <w:color w:val="FF0000"/>
        </w:rPr>
        <w:t>.</w:t>
      </w:r>
    </w:p>
    <w:p w14:paraId="33D29976" w14:textId="77777777" w:rsidR="00B54712" w:rsidRPr="000C5235" w:rsidRDefault="00B54712">
      <w:pPr>
        <w:pStyle w:val="Bullet1"/>
        <w:rPr>
          <w:rStyle w:val="BodyTextChar"/>
        </w:rPr>
      </w:pPr>
      <w:r w:rsidRPr="000C5235">
        <w:rPr>
          <w:rStyle w:val="BodyTextChar"/>
        </w:rPr>
        <w:t>This sub-table is intended to show the types and materiality of inter-entity transfers of resourcing. Figures shown will be a sub-set of the total resourcing shown in the top section of Table 1.1.</w:t>
      </w:r>
    </w:p>
    <w:p w14:paraId="3156050E" w14:textId="77777777" w:rsidR="00B54712" w:rsidRPr="000C5235" w:rsidRDefault="00B54712">
      <w:pPr>
        <w:pStyle w:val="Bullet2"/>
        <w:rPr>
          <w:rStyle w:val="BodyTextChar"/>
        </w:rPr>
      </w:pPr>
      <w:r w:rsidRPr="000C5235">
        <w:rPr>
          <w:rStyle w:val="BodyTextChar"/>
        </w:rPr>
        <w:t>“</w:t>
      </w:r>
      <w:r w:rsidRPr="000C5235">
        <w:rPr>
          <w:rStyle w:val="BodyTextChar"/>
          <w:u w:val="single"/>
        </w:rPr>
        <w:t>Payments made on behalf of another entity</w:t>
      </w:r>
      <w:r w:rsidRPr="000C5235">
        <w:rPr>
          <w:rStyle w:val="BodyTextChar"/>
        </w:rPr>
        <w:t xml:space="preserve">” occur where an entity accesses another entity’s appropriations to pay recipients or external parties on behalf of the other entity, for example, the </w:t>
      </w:r>
      <w:r w:rsidR="000F1A93" w:rsidRPr="000C5235">
        <w:rPr>
          <w:rStyle w:val="BodyTextChar"/>
        </w:rPr>
        <w:t>Services Australia</w:t>
      </w:r>
      <w:r w:rsidRPr="000C5235">
        <w:rPr>
          <w:rStyle w:val="BodyTextChar"/>
        </w:rPr>
        <w:t xml:space="preserve"> would show the amount of appropriations it draws upon to pay income support recipients on behalf of the Department of Social Services (DSS)</w:t>
      </w:r>
      <w:r w:rsidR="00D07CC2" w:rsidRPr="000C5235">
        <w:rPr>
          <w:rStyle w:val="BodyTextChar"/>
        </w:rPr>
        <w:t>.</w:t>
      </w:r>
    </w:p>
    <w:p w14:paraId="4C0CC4F9" w14:textId="77777777" w:rsidR="00B54712" w:rsidRPr="000C5235" w:rsidRDefault="00B54712">
      <w:pPr>
        <w:pStyle w:val="Bullet2"/>
        <w:rPr>
          <w:rStyle w:val="BodyTextChar"/>
        </w:rPr>
      </w:pPr>
      <w:r w:rsidRPr="000C5235">
        <w:rPr>
          <w:rStyle w:val="BodyTextChar"/>
        </w:rPr>
        <w:t>“</w:t>
      </w:r>
      <w:r w:rsidRPr="000C5235">
        <w:rPr>
          <w:rStyle w:val="BodyTextChar"/>
          <w:u w:val="single"/>
        </w:rPr>
        <w:t>Payments made by other entities on behalf of the entity</w:t>
      </w:r>
      <w:r w:rsidRPr="000C5235">
        <w:rPr>
          <w:rStyle w:val="BodyTextChar"/>
        </w:rPr>
        <w:t xml:space="preserve">” are those payments which have been outsourced to another entity to administer, for example, DSS would disclose the appropriations being drawn upon by </w:t>
      </w:r>
      <w:r w:rsidR="000F1A93" w:rsidRPr="000C5235">
        <w:rPr>
          <w:rStyle w:val="BodyTextChar"/>
        </w:rPr>
        <w:t xml:space="preserve">Services Australia </w:t>
      </w:r>
      <w:r w:rsidRPr="000C5235">
        <w:rPr>
          <w:rStyle w:val="BodyTextChar"/>
        </w:rPr>
        <w:t>to pay income support recipients</w:t>
      </w:r>
      <w:r w:rsidR="00D07CC2" w:rsidRPr="000C5235">
        <w:rPr>
          <w:rStyle w:val="BodyTextChar"/>
        </w:rPr>
        <w:t>.</w:t>
      </w:r>
    </w:p>
    <w:p w14:paraId="20ED6AF6" w14:textId="77777777" w:rsidR="00B54712" w:rsidRPr="000C5235" w:rsidRDefault="00B54712">
      <w:pPr>
        <w:pStyle w:val="Bullet2"/>
        <w:rPr>
          <w:rStyle w:val="BodyTextChar"/>
        </w:rPr>
      </w:pPr>
      <w:r w:rsidRPr="000C5235">
        <w:rPr>
          <w:rStyle w:val="BodyTextChar"/>
        </w:rPr>
        <w:t>“</w:t>
      </w:r>
      <w:r w:rsidRPr="000C5235">
        <w:rPr>
          <w:rStyle w:val="BodyTextChar"/>
          <w:u w:val="single"/>
        </w:rPr>
        <w:t>Payments made to other entities for the provision of services</w:t>
      </w:r>
      <w:r w:rsidRPr="000C5235">
        <w:rPr>
          <w:rStyle w:val="BodyTextChar"/>
        </w:rPr>
        <w:t>” are amounts paid to other entities for contracted services, for example, for shared/corporate services</w:t>
      </w:r>
      <w:r w:rsidR="00D07CC2" w:rsidRPr="000C5235">
        <w:rPr>
          <w:rStyle w:val="BodyTextChar"/>
        </w:rPr>
        <w:t>.</w:t>
      </w:r>
    </w:p>
    <w:p w14:paraId="4F2D256D" w14:textId="77777777" w:rsidR="00B54712" w:rsidRPr="000C5235" w:rsidRDefault="00B54712">
      <w:pPr>
        <w:pStyle w:val="Bullet2"/>
        <w:rPr>
          <w:rStyle w:val="BodyTextChar"/>
        </w:rPr>
      </w:pPr>
      <w:r w:rsidRPr="000C5235">
        <w:rPr>
          <w:rStyle w:val="BodyTextChar"/>
        </w:rPr>
        <w:t>“</w:t>
      </w:r>
      <w:r w:rsidRPr="000C5235">
        <w:rPr>
          <w:rStyle w:val="BodyTextChar"/>
          <w:u w:val="single"/>
        </w:rPr>
        <w:t>Receipts received from other entities for the provision of services</w:t>
      </w:r>
      <w:r w:rsidRPr="000C5235">
        <w:rPr>
          <w:rStyle w:val="BodyTextChar"/>
        </w:rPr>
        <w:t>” are amounts received where the entity provides services to another entity, for example, for the provision of shared/corporate services</w:t>
      </w:r>
      <w:r w:rsidR="00D07CC2" w:rsidRPr="000C5235">
        <w:rPr>
          <w:rStyle w:val="BodyTextChar"/>
        </w:rPr>
        <w:t>.</w:t>
      </w:r>
    </w:p>
    <w:p w14:paraId="12019A12" w14:textId="77777777" w:rsidR="00B54712" w:rsidRPr="000C5235" w:rsidRDefault="00B54712">
      <w:pPr>
        <w:pStyle w:val="Bullet2"/>
        <w:rPr>
          <w:rStyle w:val="BodyTextChar"/>
        </w:rPr>
      </w:pPr>
      <w:r w:rsidRPr="000C5235">
        <w:rPr>
          <w:rStyle w:val="BodyTextChar"/>
        </w:rPr>
        <w:t>“</w:t>
      </w:r>
      <w:r w:rsidRPr="000C5235">
        <w:rPr>
          <w:rStyle w:val="BodyTextChar"/>
          <w:u w:val="single"/>
        </w:rPr>
        <w:t xml:space="preserve">Payments made to corporate entities within the </w:t>
      </w:r>
      <w:r w:rsidR="00811956" w:rsidRPr="000C5235">
        <w:rPr>
          <w:rStyle w:val="BodyTextChar"/>
          <w:u w:val="single"/>
        </w:rPr>
        <w:t>P</w:t>
      </w:r>
      <w:r w:rsidRPr="000C5235">
        <w:rPr>
          <w:rStyle w:val="BodyTextChar"/>
          <w:u w:val="single"/>
        </w:rPr>
        <w:t>ortfolio</w:t>
      </w:r>
      <w:r w:rsidRPr="000C5235">
        <w:rPr>
          <w:rStyle w:val="BodyTextChar"/>
        </w:rPr>
        <w:t>” provides a breakdown of payments (from all appropriation sources) made by portfolio departments to each corporate entity in the portfolio – figures shown here should include amounts disclosed as “payments to corporate entities” in the Appropriation Bills. These amounts should be consistent with any figures reported in Table 2.X.1.</w:t>
      </w:r>
    </w:p>
    <w:p w14:paraId="6280655A" w14:textId="77777777" w:rsidR="00B54712" w:rsidRPr="000C5235" w:rsidRDefault="00B54712" w:rsidP="000A7DEC">
      <w:pPr>
        <w:pStyle w:val="Heading4nonumbers"/>
        <w:rPr>
          <w:rStyle w:val="BodyTextChar"/>
          <w:b/>
          <w:sz w:val="24"/>
        </w:rPr>
      </w:pPr>
      <w:r w:rsidRPr="000C5235">
        <w:rPr>
          <w:rStyle w:val="BodyTextChar"/>
        </w:rPr>
        <w:t>Source of information</w:t>
      </w:r>
    </w:p>
    <w:p w14:paraId="72BD0C1A" w14:textId="77777777" w:rsidR="00B54712" w:rsidRPr="000C5235" w:rsidRDefault="00B54712">
      <w:pPr>
        <w:pStyle w:val="Bullet1"/>
        <w:rPr>
          <w:rStyle w:val="BodyTextChar"/>
        </w:rPr>
      </w:pPr>
      <w:r w:rsidRPr="000C5235">
        <w:rPr>
          <w:rStyle w:val="BodyTextChar"/>
        </w:rPr>
        <w:t xml:space="preserve">Appropriation information in this table must be sourced from CBMS and an entity’s annual </w:t>
      </w:r>
      <w:r w:rsidR="00FD4BA3" w:rsidRPr="000C5235">
        <w:rPr>
          <w:rStyle w:val="BodyTextChar"/>
        </w:rPr>
        <w:t>report and</w:t>
      </w:r>
      <w:r w:rsidRPr="000C5235">
        <w:rPr>
          <w:rStyle w:val="BodyTextChar"/>
        </w:rPr>
        <w:t xml:space="preserve"> should be consistent with information captured in an entity’s financial management information system (FMIS).</w:t>
      </w:r>
    </w:p>
    <w:p w14:paraId="59863C8D" w14:textId="77777777" w:rsidR="008F2BD5" w:rsidRPr="000C5235" w:rsidRDefault="00B54712" w:rsidP="000A7DEC">
      <w:pPr>
        <w:rPr>
          <w:rStyle w:val="BodyTextChar"/>
        </w:rPr>
      </w:pPr>
      <w:r w:rsidRPr="000C5235">
        <w:rPr>
          <w:rStyle w:val="BodyTextChar"/>
        </w:rPr>
        <w:t>For those tables that are not yet available in CBMS</w:t>
      </w:r>
      <w:r w:rsidR="00FC7334" w:rsidRPr="000C5235">
        <w:rPr>
          <w:rStyle w:val="BodyTextChar"/>
        </w:rPr>
        <w:t xml:space="preserve"> (</w:t>
      </w:r>
      <w:r w:rsidR="00E10C89" w:rsidRPr="000C5235">
        <w:rPr>
          <w:rStyle w:val="BodyTextChar"/>
        </w:rPr>
        <w:t>ie</w:t>
      </w:r>
      <w:r w:rsidR="00FC7334" w:rsidRPr="000C5235">
        <w:rPr>
          <w:rStyle w:val="BodyTextChar"/>
        </w:rPr>
        <w:t xml:space="preserve"> Section 1)</w:t>
      </w:r>
      <w:r w:rsidRPr="000C5235">
        <w:rPr>
          <w:rStyle w:val="BodyTextChar"/>
        </w:rPr>
        <w:t xml:space="preserve">, to assist </w:t>
      </w:r>
      <w:r w:rsidR="00811956" w:rsidRPr="000C5235">
        <w:rPr>
          <w:rStyle w:val="BodyTextChar"/>
        </w:rPr>
        <w:t xml:space="preserve">entities </w:t>
      </w:r>
      <w:r w:rsidRPr="000C5235">
        <w:rPr>
          <w:rStyle w:val="BodyTextChar"/>
        </w:rPr>
        <w:t>with quality assurance and cross-checking data, the majority of the information for the PB</w:t>
      </w:r>
      <w:r w:rsidR="00CD3E53" w:rsidRPr="000C5235">
        <w:rPr>
          <w:rStyle w:val="BodyTextChar"/>
        </w:rPr>
        <w:t> </w:t>
      </w:r>
      <w:r w:rsidRPr="000C5235">
        <w:rPr>
          <w:rStyle w:val="BodyTextChar"/>
        </w:rPr>
        <w:t>S</w:t>
      </w:r>
      <w:r w:rsidR="00CD3E53" w:rsidRPr="000C5235">
        <w:rPr>
          <w:rStyle w:val="BodyTextChar"/>
        </w:rPr>
        <w:t>tatement</w:t>
      </w:r>
      <w:r w:rsidRPr="000C5235">
        <w:rPr>
          <w:rStyle w:val="BodyTextChar"/>
        </w:rPr>
        <w:t xml:space="preserve"> Tables can be sourced by running the following reports in CBMS</w:t>
      </w:r>
      <w:r w:rsidR="008F2BD5" w:rsidRPr="000C5235">
        <w:rPr>
          <w:rStyle w:val="BodyTextChar"/>
        </w:rPr>
        <w:t>.</w:t>
      </w:r>
    </w:p>
    <w:p w14:paraId="0DCDD7D9" w14:textId="77777777" w:rsidR="005E333F" w:rsidRPr="000C5235" w:rsidRDefault="005E333F" w:rsidP="000A7DEC">
      <w:pPr>
        <w:rPr>
          <w:rStyle w:val="BodyTextChar"/>
          <w:rFonts w:eastAsiaTheme="minorHAnsi" w:cstheme="minorBidi"/>
          <w:u w:val="single"/>
        </w:rPr>
      </w:pPr>
      <w:r w:rsidRPr="000C5235">
        <w:rPr>
          <w:rStyle w:val="BodyTextChar"/>
          <w:rFonts w:eastAsiaTheme="minorHAnsi" w:cstheme="minorBidi"/>
          <w:u w:val="single"/>
        </w:rPr>
        <w:t>Appropriation Bill Nos. 1 and 2 (for 2020-21)</w:t>
      </w:r>
    </w:p>
    <w:p w14:paraId="2CDE6584" w14:textId="77777777" w:rsidR="00B54712" w:rsidRPr="000C5235" w:rsidRDefault="00B54712" w:rsidP="000A7DEC">
      <w:pPr>
        <w:pStyle w:val="Reports2"/>
      </w:pPr>
      <w:r w:rsidRPr="000C5235">
        <w:rPr>
          <w:rStyle w:val="BodyTextChar"/>
        </w:rPr>
        <w:t>Reports</w:t>
      </w:r>
      <w:r w:rsidRPr="000C5235">
        <w:t xml:space="preserve"> </w:t>
      </w:r>
      <w:r w:rsidR="00323F53" w:rsidRPr="000C5235">
        <w:sym w:font="Wingdings" w:char="F0E0"/>
      </w:r>
      <w:r w:rsidRPr="000C5235">
        <w:t xml:space="preserve"> CBMS Reporting </w:t>
      </w:r>
      <w:r w:rsidR="00323F53" w:rsidRPr="000C5235">
        <w:sym w:font="Wingdings" w:char="F0E0"/>
      </w:r>
      <w:r w:rsidRPr="000C5235">
        <w:t xml:space="preserve"> Statutory Reports </w:t>
      </w:r>
      <w:r w:rsidR="00323F53" w:rsidRPr="000C5235">
        <w:sym w:font="Wingdings" w:char="F0E0"/>
      </w:r>
      <w:r w:rsidRPr="000C5235">
        <w:t xml:space="preserve"> Appropriation Bills </w:t>
      </w:r>
      <w:r w:rsidR="00323F53" w:rsidRPr="000C5235">
        <w:sym w:font="Wingdings" w:char="F0E0"/>
      </w:r>
      <w:r w:rsidR="00323F53" w:rsidRPr="000C5235">
        <w:t> </w:t>
      </w:r>
      <w:r w:rsidR="00442152" w:rsidRPr="000C5235">
        <w:t>Budget</w:t>
      </w:r>
      <w:r w:rsidRPr="000C5235">
        <w:t xml:space="preserve"> Bills </w:t>
      </w:r>
      <w:r w:rsidR="00323F53" w:rsidRPr="000C5235">
        <w:sym w:font="Wingdings" w:char="F0E0"/>
      </w:r>
      <w:r w:rsidR="00323F53" w:rsidRPr="000C5235">
        <w:t xml:space="preserve"> </w:t>
      </w:r>
      <w:r w:rsidRPr="000C5235">
        <w:t xml:space="preserve">Appropriation Bill 1 </w:t>
      </w:r>
      <w:r w:rsidR="00442152" w:rsidRPr="000C5235">
        <w:t xml:space="preserve">- </w:t>
      </w:r>
      <w:r w:rsidRPr="000C5235">
        <w:t>Portfolio Summary and Detail</w:t>
      </w:r>
    </w:p>
    <w:p w14:paraId="6AE94FF1" w14:textId="77777777" w:rsidR="005E333F" w:rsidRPr="000C5235" w:rsidRDefault="00B54712" w:rsidP="000A7DEC">
      <w:pPr>
        <w:pStyle w:val="Reports2"/>
        <w:rPr>
          <w:rStyle w:val="BodyTextChar"/>
        </w:rPr>
      </w:pPr>
      <w:r w:rsidRPr="000C5235">
        <w:rPr>
          <w:rStyle w:val="BodyTextChar"/>
        </w:rPr>
        <w:t xml:space="preserve">Reports </w:t>
      </w:r>
      <w:r w:rsidR="00323F53" w:rsidRPr="000C5235">
        <w:rPr>
          <w:rStyle w:val="BodyTextChar"/>
        </w:rPr>
        <w:sym w:font="Wingdings" w:char="F0E0"/>
      </w:r>
      <w:r w:rsidR="00323F53" w:rsidRPr="000C5235">
        <w:rPr>
          <w:rStyle w:val="BodyTextChar"/>
        </w:rPr>
        <w:t xml:space="preserve"> </w:t>
      </w:r>
      <w:r w:rsidRPr="000C5235">
        <w:rPr>
          <w:rStyle w:val="BodyTextChar"/>
        </w:rPr>
        <w:t xml:space="preserve">CBMS Reporting </w:t>
      </w:r>
      <w:r w:rsidR="00323F53" w:rsidRPr="000C5235">
        <w:rPr>
          <w:rStyle w:val="BodyTextChar"/>
        </w:rPr>
        <w:sym w:font="Wingdings" w:char="F0E0"/>
      </w:r>
      <w:r w:rsidRPr="000C5235">
        <w:rPr>
          <w:rStyle w:val="BodyTextChar"/>
        </w:rPr>
        <w:t xml:space="preserve"> Statutory Reports </w:t>
      </w:r>
      <w:r w:rsidR="00323F53" w:rsidRPr="000C5235">
        <w:rPr>
          <w:rStyle w:val="BodyTextChar"/>
        </w:rPr>
        <w:sym w:font="Wingdings" w:char="F0E0"/>
      </w:r>
      <w:r w:rsidRPr="000C5235">
        <w:rPr>
          <w:rStyle w:val="BodyTextChar"/>
        </w:rPr>
        <w:t xml:space="preserve"> Appropriation Bills </w:t>
      </w:r>
      <w:r w:rsidR="00323F53" w:rsidRPr="000C5235">
        <w:rPr>
          <w:rStyle w:val="BodyTextChar"/>
        </w:rPr>
        <w:sym w:font="Wingdings" w:char="F0E0"/>
      </w:r>
      <w:r w:rsidRPr="000C5235">
        <w:rPr>
          <w:rStyle w:val="BodyTextChar"/>
        </w:rPr>
        <w:t xml:space="preserve"> </w:t>
      </w:r>
      <w:r w:rsidR="00442152" w:rsidRPr="000C5235">
        <w:rPr>
          <w:rStyle w:val="BodyTextChar"/>
        </w:rPr>
        <w:t>Budget</w:t>
      </w:r>
      <w:r w:rsidRPr="000C5235">
        <w:rPr>
          <w:rStyle w:val="BodyTextChar"/>
        </w:rPr>
        <w:t xml:space="preserve"> Bills </w:t>
      </w:r>
      <w:r w:rsidR="00323F53" w:rsidRPr="000C5235">
        <w:rPr>
          <w:rStyle w:val="BodyTextChar"/>
        </w:rPr>
        <w:sym w:font="Wingdings" w:char="F0E0"/>
      </w:r>
      <w:r w:rsidRPr="000C5235">
        <w:rPr>
          <w:rStyle w:val="BodyTextChar"/>
        </w:rPr>
        <w:t xml:space="preserve"> Appropriation Bill 2 </w:t>
      </w:r>
      <w:r w:rsidR="00442152" w:rsidRPr="000C5235">
        <w:rPr>
          <w:rStyle w:val="BodyTextChar"/>
        </w:rPr>
        <w:t xml:space="preserve">- </w:t>
      </w:r>
      <w:r w:rsidRPr="000C5235">
        <w:rPr>
          <w:rStyle w:val="BodyTextChar"/>
        </w:rPr>
        <w:t>Portfolio Summary and Detail</w:t>
      </w:r>
    </w:p>
    <w:p w14:paraId="13ACCC56" w14:textId="77777777" w:rsidR="005E333F" w:rsidRPr="000C5235" w:rsidRDefault="005E333F" w:rsidP="00BD6313">
      <w:pPr>
        <w:suppressAutoHyphens w:val="0"/>
        <w:spacing w:before="0" w:after="120" w:line="440" w:lineRule="atLeast"/>
        <w:rPr>
          <w:rStyle w:val="BodyTextChar"/>
          <w:i/>
          <w:u w:val="single"/>
        </w:rPr>
      </w:pPr>
      <w:r w:rsidRPr="000C5235">
        <w:rPr>
          <w:rStyle w:val="BodyTextChar"/>
          <w:u w:val="single"/>
        </w:rPr>
        <w:t>Appropriation Act Nos. 3 and 4 (for 2019-20)</w:t>
      </w:r>
    </w:p>
    <w:p w14:paraId="6727B56A" w14:textId="77777777" w:rsidR="005E333F" w:rsidRPr="000C5235" w:rsidRDefault="005E333F" w:rsidP="000A7DEC">
      <w:pPr>
        <w:pStyle w:val="Reports2"/>
      </w:pPr>
      <w:r w:rsidRPr="000C5235">
        <w:rPr>
          <w:rStyle w:val="BodyTextChar"/>
        </w:rPr>
        <w:t>Reports</w:t>
      </w:r>
      <w:r w:rsidRPr="000C5235">
        <w:t xml:space="preserve"> </w:t>
      </w:r>
      <w:r w:rsidRPr="000C5235">
        <w:sym w:font="Wingdings" w:char="F0E0"/>
      </w:r>
      <w:r w:rsidRPr="000C5235">
        <w:t xml:space="preserve"> CBMS Reporting </w:t>
      </w:r>
      <w:r w:rsidRPr="000C5235">
        <w:sym w:font="Wingdings" w:char="F0E0"/>
      </w:r>
      <w:r w:rsidRPr="000C5235">
        <w:t xml:space="preserve"> Statutory Reports </w:t>
      </w:r>
      <w:r w:rsidRPr="000C5235">
        <w:sym w:font="Wingdings" w:char="F0E0"/>
      </w:r>
      <w:r w:rsidRPr="000C5235">
        <w:t xml:space="preserve"> Appropriation Bills </w:t>
      </w:r>
      <w:r w:rsidRPr="000C5235">
        <w:sym w:font="Wingdings" w:char="F0E0"/>
      </w:r>
      <w:r w:rsidRPr="000C5235">
        <w:t xml:space="preserve"> Additional Estimates Bills </w:t>
      </w:r>
      <w:r w:rsidRPr="000C5235">
        <w:sym w:font="Wingdings" w:char="F0E0"/>
      </w:r>
      <w:r w:rsidRPr="000C5235">
        <w:t xml:space="preserve"> Appropriation Bill 3 - Portfolio Summary and Detail</w:t>
      </w:r>
    </w:p>
    <w:p w14:paraId="796789DB" w14:textId="77777777" w:rsidR="005E333F" w:rsidRPr="000C5235" w:rsidRDefault="005E333F" w:rsidP="000A7DEC">
      <w:pPr>
        <w:pStyle w:val="Reports2"/>
      </w:pPr>
      <w:r w:rsidRPr="000C5235">
        <w:rPr>
          <w:rStyle w:val="BodyTextChar"/>
        </w:rPr>
        <w:t>Reports</w:t>
      </w:r>
      <w:r w:rsidRPr="000C5235">
        <w:t xml:space="preserve"> </w:t>
      </w:r>
      <w:r w:rsidRPr="000C5235">
        <w:sym w:font="Wingdings" w:char="F0E0"/>
      </w:r>
      <w:r w:rsidRPr="000C5235">
        <w:t xml:space="preserve"> CBMS Reporting </w:t>
      </w:r>
      <w:r w:rsidRPr="000C5235">
        <w:sym w:font="Wingdings" w:char="F0E0"/>
      </w:r>
      <w:r w:rsidRPr="000C5235">
        <w:t xml:space="preserve"> Statutory Reports </w:t>
      </w:r>
      <w:r w:rsidRPr="000C5235">
        <w:sym w:font="Wingdings" w:char="F0E0"/>
      </w:r>
      <w:r w:rsidRPr="000C5235">
        <w:t xml:space="preserve"> Appropriation Bills </w:t>
      </w:r>
      <w:r w:rsidRPr="000C5235">
        <w:sym w:font="Wingdings" w:char="F0E0"/>
      </w:r>
      <w:r w:rsidRPr="000C5235">
        <w:t xml:space="preserve"> Additional Estimates Bills </w:t>
      </w:r>
      <w:r w:rsidRPr="000C5235">
        <w:sym w:font="Wingdings" w:char="F0E0"/>
      </w:r>
      <w:r w:rsidRPr="000C5235">
        <w:t xml:space="preserve"> Appropriation Bill 4 - Portfolio Summary and Detail</w:t>
      </w:r>
    </w:p>
    <w:p w14:paraId="14209B69" w14:textId="77777777" w:rsidR="00B54712" w:rsidRPr="000C5235" w:rsidRDefault="005E333F">
      <w:pPr>
        <w:rPr>
          <w:rStyle w:val="BodyTextChar"/>
          <w:u w:val="single"/>
        </w:rPr>
      </w:pPr>
      <w:r w:rsidRPr="000C5235">
        <w:rPr>
          <w:rStyle w:val="BodyTextChar"/>
          <w:u w:val="single"/>
        </w:rPr>
        <w:t>Appropriation Bill Nos. 5 and 6 (for 2019-20)</w:t>
      </w:r>
    </w:p>
    <w:p w14:paraId="41F6C092" w14:textId="77777777" w:rsidR="005E333F" w:rsidRPr="000C5235" w:rsidRDefault="00B54712" w:rsidP="000A7DEC">
      <w:pPr>
        <w:pStyle w:val="Reports2"/>
        <w:rPr>
          <w:rStyle w:val="BodyTextChar"/>
        </w:rPr>
      </w:pPr>
      <w:r w:rsidRPr="000C5235">
        <w:rPr>
          <w:rStyle w:val="BodyTextChar"/>
        </w:rPr>
        <w:t xml:space="preserve">Reports </w:t>
      </w:r>
      <w:r w:rsidR="00323F53" w:rsidRPr="000C5235">
        <w:rPr>
          <w:rStyle w:val="BodyTextChar"/>
        </w:rPr>
        <w:sym w:font="Wingdings" w:char="F0E0"/>
      </w:r>
      <w:r w:rsidRPr="000C5235">
        <w:rPr>
          <w:rStyle w:val="BodyTextChar"/>
        </w:rPr>
        <w:t xml:space="preserve"> CBMS Reporting </w:t>
      </w:r>
      <w:r w:rsidR="00323F53" w:rsidRPr="000C5235">
        <w:rPr>
          <w:rStyle w:val="BodyTextChar"/>
        </w:rPr>
        <w:sym w:font="Wingdings" w:char="F0E0"/>
      </w:r>
      <w:r w:rsidRPr="000C5235">
        <w:rPr>
          <w:rStyle w:val="BodyTextChar"/>
        </w:rPr>
        <w:t xml:space="preserve"> Statutory Reports </w:t>
      </w:r>
      <w:r w:rsidR="00323F53" w:rsidRPr="000C5235">
        <w:rPr>
          <w:rStyle w:val="BodyTextChar"/>
        </w:rPr>
        <w:sym w:font="Wingdings" w:char="F0E0"/>
      </w:r>
      <w:r w:rsidRPr="000C5235">
        <w:rPr>
          <w:rStyle w:val="BodyTextChar"/>
        </w:rPr>
        <w:t xml:space="preserve"> Appropriation Bills </w:t>
      </w:r>
      <w:r w:rsidR="00323F53" w:rsidRPr="000C5235">
        <w:rPr>
          <w:rStyle w:val="BodyTextChar"/>
        </w:rPr>
        <w:sym w:font="Wingdings" w:char="F0E0"/>
      </w:r>
      <w:r w:rsidRPr="000C5235">
        <w:rPr>
          <w:rStyle w:val="BodyTextChar"/>
        </w:rPr>
        <w:t xml:space="preserve"> Supplementary Bills </w:t>
      </w:r>
      <w:r w:rsidR="00323F53" w:rsidRPr="000C5235">
        <w:rPr>
          <w:rStyle w:val="BodyTextChar"/>
        </w:rPr>
        <w:sym w:font="Wingdings" w:char="F0E0"/>
      </w:r>
      <w:r w:rsidRPr="000C5235">
        <w:rPr>
          <w:rStyle w:val="BodyTextChar"/>
        </w:rPr>
        <w:t xml:space="preserve"> Appropriation Bill 5 </w:t>
      </w:r>
      <w:r w:rsidR="005E333F" w:rsidRPr="000C5235">
        <w:rPr>
          <w:rStyle w:val="BodyTextChar"/>
        </w:rPr>
        <w:t xml:space="preserve">- </w:t>
      </w:r>
      <w:r w:rsidRPr="000C5235">
        <w:rPr>
          <w:rStyle w:val="BodyTextChar"/>
        </w:rPr>
        <w:t>Portfolio Summary and Detai</w:t>
      </w:r>
      <w:r w:rsidR="005E333F" w:rsidRPr="000C5235">
        <w:rPr>
          <w:rStyle w:val="BodyTextChar"/>
        </w:rPr>
        <w:t>l</w:t>
      </w:r>
    </w:p>
    <w:p w14:paraId="32466812" w14:textId="77777777" w:rsidR="00B54712" w:rsidRPr="000C5235" w:rsidRDefault="005E333F" w:rsidP="000A7DEC">
      <w:pPr>
        <w:pStyle w:val="Reports2"/>
        <w:rPr>
          <w:rStyle w:val="BodyTextChar"/>
        </w:rPr>
      </w:pPr>
      <w:r w:rsidRPr="000C5235">
        <w:rPr>
          <w:rStyle w:val="BodyTextChar"/>
        </w:rPr>
        <w:t xml:space="preserve">Reports </w:t>
      </w:r>
      <w:r w:rsidRPr="000C5235">
        <w:rPr>
          <w:rStyle w:val="BodyTextChar"/>
        </w:rPr>
        <w:sym w:font="Wingdings" w:char="F0E0"/>
      </w:r>
      <w:r w:rsidRPr="000C5235">
        <w:rPr>
          <w:rStyle w:val="BodyTextChar"/>
        </w:rPr>
        <w:t xml:space="preserve"> CBMS Reporting </w:t>
      </w:r>
      <w:r w:rsidRPr="000C5235">
        <w:rPr>
          <w:rStyle w:val="BodyTextChar"/>
        </w:rPr>
        <w:sym w:font="Wingdings" w:char="F0E0"/>
      </w:r>
      <w:r w:rsidRPr="000C5235">
        <w:rPr>
          <w:rStyle w:val="BodyTextChar"/>
        </w:rPr>
        <w:t xml:space="preserve"> Statutory Reports </w:t>
      </w:r>
      <w:r w:rsidRPr="000C5235">
        <w:rPr>
          <w:rStyle w:val="BodyTextChar"/>
        </w:rPr>
        <w:sym w:font="Wingdings" w:char="F0E0"/>
      </w:r>
      <w:r w:rsidRPr="000C5235">
        <w:rPr>
          <w:rStyle w:val="BodyTextChar"/>
        </w:rPr>
        <w:t xml:space="preserve"> Appropriation Bills </w:t>
      </w:r>
      <w:r w:rsidRPr="000C5235">
        <w:rPr>
          <w:rStyle w:val="BodyTextChar"/>
        </w:rPr>
        <w:sym w:font="Wingdings" w:char="F0E0"/>
      </w:r>
      <w:r w:rsidRPr="000C5235">
        <w:rPr>
          <w:rStyle w:val="BodyTextChar"/>
        </w:rPr>
        <w:t xml:space="preserve"> Supplementary Bills </w:t>
      </w:r>
      <w:r w:rsidRPr="000C5235">
        <w:rPr>
          <w:rStyle w:val="BodyTextChar"/>
        </w:rPr>
        <w:sym w:font="Wingdings" w:char="F0E0"/>
      </w:r>
      <w:r w:rsidRPr="000C5235">
        <w:rPr>
          <w:rStyle w:val="BodyTextChar"/>
        </w:rPr>
        <w:t xml:space="preserve"> Appropriation Bill 6 - Portfolio Summary and Detail</w:t>
      </w:r>
    </w:p>
    <w:p w14:paraId="52135BDF" w14:textId="77777777" w:rsidR="0014717F" w:rsidRPr="000C5235" w:rsidRDefault="0014717F" w:rsidP="000A7DEC">
      <w:pPr>
        <w:rPr>
          <w:rStyle w:val="BodyTextChar"/>
          <w:u w:val="single"/>
        </w:rPr>
      </w:pPr>
      <w:r w:rsidRPr="000C5235">
        <w:rPr>
          <w:rStyle w:val="BodyTextChar"/>
          <w:u w:val="single"/>
        </w:rPr>
        <w:t>Other reports</w:t>
      </w:r>
    </w:p>
    <w:p w14:paraId="4BB851FA" w14:textId="77777777" w:rsidR="00B54712" w:rsidRPr="000C5235" w:rsidRDefault="00B54712" w:rsidP="000A7DEC">
      <w:pPr>
        <w:pStyle w:val="Reports2"/>
        <w:rPr>
          <w:rStyle w:val="BodyTextChar"/>
          <w:rFonts w:asciiTheme="minorHAnsi" w:hAnsiTheme="minorHAnsi"/>
          <w:i w:val="0"/>
        </w:rPr>
      </w:pPr>
      <w:r w:rsidRPr="000C5235">
        <w:rPr>
          <w:rStyle w:val="BodyTextChar"/>
        </w:rPr>
        <w:t xml:space="preserve">Reports </w:t>
      </w:r>
      <w:r w:rsidR="00323F53" w:rsidRPr="000C5235">
        <w:rPr>
          <w:rStyle w:val="BodyTextChar"/>
        </w:rPr>
        <w:sym w:font="Wingdings" w:char="F0E0"/>
      </w:r>
      <w:r w:rsidRPr="000C5235">
        <w:rPr>
          <w:rStyle w:val="BodyTextChar"/>
        </w:rPr>
        <w:t xml:space="preserve"> CBMS Reporting </w:t>
      </w:r>
      <w:r w:rsidR="00323F53" w:rsidRPr="000C5235">
        <w:rPr>
          <w:rStyle w:val="BodyTextChar"/>
        </w:rPr>
        <w:sym w:font="Wingdings" w:char="F0E0"/>
      </w:r>
      <w:r w:rsidRPr="000C5235">
        <w:rPr>
          <w:rStyle w:val="BodyTextChar"/>
        </w:rPr>
        <w:t xml:space="preserve"> Operational Reports </w:t>
      </w:r>
      <w:r w:rsidR="00323F53" w:rsidRPr="000C5235">
        <w:rPr>
          <w:rStyle w:val="BodyTextChar"/>
        </w:rPr>
        <w:sym w:font="Wingdings" w:char="F0E0"/>
      </w:r>
      <w:r w:rsidRPr="000C5235">
        <w:rPr>
          <w:rStyle w:val="BodyTextChar"/>
        </w:rPr>
        <w:t xml:space="preserve"> Estimates </w:t>
      </w:r>
      <w:r w:rsidR="00323F53" w:rsidRPr="000C5235">
        <w:rPr>
          <w:rStyle w:val="BodyTextChar"/>
        </w:rPr>
        <w:sym w:font="Wingdings" w:char="F0E0"/>
      </w:r>
      <w:r w:rsidRPr="000C5235">
        <w:rPr>
          <w:rStyle w:val="BodyTextChar"/>
        </w:rPr>
        <w:t xml:space="preserve"> Annual Estimates </w:t>
      </w:r>
      <w:r w:rsidR="00323F53" w:rsidRPr="000C5235">
        <w:rPr>
          <w:rStyle w:val="BodyTextChar"/>
        </w:rPr>
        <w:sym w:font="Wingdings" w:char="F0E0"/>
      </w:r>
      <w:r w:rsidRPr="000C5235">
        <w:rPr>
          <w:rStyle w:val="BodyTextChar"/>
        </w:rPr>
        <w:t xml:space="preserve"> AE.OR.13 Annual Estimates Detail Listing AEIFRS Report (PBF)</w:t>
      </w:r>
    </w:p>
    <w:p w14:paraId="792DC719" w14:textId="77777777" w:rsidR="0014717F" w:rsidRPr="000C5235" w:rsidRDefault="0014717F" w:rsidP="000A7DEC">
      <w:pPr>
        <w:pStyle w:val="Reports2"/>
        <w:rPr>
          <w:rStyle w:val="BodyTextChar"/>
        </w:rPr>
      </w:pPr>
      <w:r w:rsidRPr="000C5235">
        <w:rPr>
          <w:rStyle w:val="BodyTextChar"/>
        </w:rPr>
        <w:t xml:space="preserve">Reports </w:t>
      </w:r>
      <w:r w:rsidRPr="000C5235">
        <w:rPr>
          <w:rStyle w:val="BodyTextChar"/>
        </w:rPr>
        <w:sym w:font="Wingdings" w:char="F0E0"/>
      </w:r>
      <w:r w:rsidRPr="000C5235">
        <w:rPr>
          <w:rStyle w:val="BodyTextChar"/>
        </w:rPr>
        <w:t xml:space="preserve"> CBMS Reporting </w:t>
      </w:r>
      <w:r w:rsidRPr="000C5235">
        <w:rPr>
          <w:rStyle w:val="BodyTextChar"/>
        </w:rPr>
        <w:sym w:font="Wingdings" w:char="F0E0"/>
      </w:r>
      <w:r w:rsidRPr="000C5235">
        <w:rPr>
          <w:rStyle w:val="BodyTextChar"/>
        </w:rPr>
        <w:t xml:space="preserve"> Operational Reports </w:t>
      </w:r>
      <w:r w:rsidRPr="000C5235">
        <w:rPr>
          <w:rStyle w:val="BodyTextChar"/>
        </w:rPr>
        <w:sym w:font="Wingdings" w:char="F0E0"/>
      </w:r>
      <w:r w:rsidRPr="000C5235">
        <w:rPr>
          <w:rStyle w:val="BodyTextChar"/>
        </w:rPr>
        <w:t xml:space="preserve"> Estimates </w:t>
      </w:r>
      <w:r w:rsidRPr="000C5235">
        <w:rPr>
          <w:rStyle w:val="BodyTextChar"/>
        </w:rPr>
        <w:sym w:font="Wingdings" w:char="F0E0"/>
      </w:r>
      <w:r w:rsidRPr="000C5235">
        <w:rPr>
          <w:rStyle w:val="BodyTextChar"/>
        </w:rPr>
        <w:t xml:space="preserve"> Annual Estimates </w:t>
      </w:r>
      <w:r w:rsidRPr="000C5235">
        <w:rPr>
          <w:rStyle w:val="BodyTextChar"/>
        </w:rPr>
        <w:sym w:font="Wingdings" w:char="F0E0"/>
      </w:r>
      <w:r w:rsidRPr="000C5235">
        <w:rPr>
          <w:rStyle w:val="BodyTextChar"/>
        </w:rPr>
        <w:t xml:space="preserve"> AE.OR.06 Annual Estimates Capital Budget Statement Report</w:t>
      </w:r>
    </w:p>
    <w:p w14:paraId="6C3BFDC5" w14:textId="77777777" w:rsidR="0014717F" w:rsidRPr="000C5235" w:rsidRDefault="0014717F" w:rsidP="000A7DEC">
      <w:pPr>
        <w:pStyle w:val="Reports2"/>
        <w:rPr>
          <w:rStyle w:val="BodyTextChar"/>
        </w:rPr>
      </w:pPr>
      <w:r w:rsidRPr="000C5235">
        <w:rPr>
          <w:rStyle w:val="BodyTextChar"/>
        </w:rPr>
        <w:t xml:space="preserve">Reports </w:t>
      </w:r>
      <w:r w:rsidRPr="000C5235">
        <w:rPr>
          <w:rStyle w:val="BodyTextChar"/>
        </w:rPr>
        <w:sym w:font="Wingdings" w:char="F0E0"/>
      </w:r>
      <w:r w:rsidRPr="000C5235">
        <w:rPr>
          <w:rStyle w:val="BodyTextChar"/>
        </w:rPr>
        <w:t xml:space="preserve"> CBMS Reporting </w:t>
      </w:r>
      <w:r w:rsidRPr="000C5235">
        <w:rPr>
          <w:rStyle w:val="BodyTextChar"/>
        </w:rPr>
        <w:sym w:font="Wingdings" w:char="F0E0"/>
      </w:r>
      <w:r w:rsidRPr="000C5235">
        <w:rPr>
          <w:rStyle w:val="BodyTextChar"/>
        </w:rPr>
        <w:t xml:space="preserve"> Operational Reports </w:t>
      </w:r>
      <w:r w:rsidRPr="000C5235">
        <w:rPr>
          <w:rStyle w:val="BodyTextChar"/>
        </w:rPr>
        <w:sym w:font="Wingdings" w:char="F0E0"/>
      </w:r>
      <w:r w:rsidRPr="000C5235">
        <w:rPr>
          <w:rStyle w:val="BodyTextChar"/>
        </w:rPr>
        <w:t xml:space="preserve"> Estimates </w:t>
      </w:r>
      <w:r w:rsidRPr="000C5235">
        <w:rPr>
          <w:rStyle w:val="BodyTextChar"/>
        </w:rPr>
        <w:sym w:font="Wingdings" w:char="F0E0"/>
      </w:r>
      <w:r w:rsidRPr="000C5235">
        <w:rPr>
          <w:rStyle w:val="BodyTextChar"/>
        </w:rPr>
        <w:t xml:space="preserve"> Annual Estimates </w:t>
      </w:r>
      <w:r w:rsidRPr="000C5235">
        <w:rPr>
          <w:rStyle w:val="BodyTextChar"/>
        </w:rPr>
        <w:sym w:font="Wingdings" w:char="F0E0"/>
      </w:r>
      <w:r w:rsidRPr="000C5235">
        <w:rPr>
          <w:rStyle w:val="BodyTextChar"/>
        </w:rPr>
        <w:t xml:space="preserve"> AE.OR.10 Appropriation Bill - Actual Available Appropriations (AAA) Report</w:t>
      </w:r>
    </w:p>
    <w:p w14:paraId="548359CA" w14:textId="77777777" w:rsidR="00B54712" w:rsidRPr="000C5235" w:rsidRDefault="00B54712" w:rsidP="000A7DEC">
      <w:pPr>
        <w:pStyle w:val="Reports2"/>
        <w:rPr>
          <w:rStyle w:val="BodyTextChar"/>
        </w:rPr>
      </w:pPr>
      <w:r w:rsidRPr="000C5235">
        <w:rPr>
          <w:rStyle w:val="BodyTextChar"/>
        </w:rPr>
        <w:t xml:space="preserve">Reports </w:t>
      </w:r>
      <w:r w:rsidR="00323F53" w:rsidRPr="000C5235">
        <w:rPr>
          <w:rStyle w:val="BodyTextChar"/>
        </w:rPr>
        <w:sym w:font="Wingdings" w:char="F0E0"/>
      </w:r>
      <w:r w:rsidRPr="000C5235">
        <w:rPr>
          <w:rStyle w:val="BodyTextChar"/>
        </w:rPr>
        <w:t xml:space="preserve"> CBMS Reporting </w:t>
      </w:r>
      <w:r w:rsidR="00323F53" w:rsidRPr="000C5235">
        <w:rPr>
          <w:rStyle w:val="BodyTextChar"/>
        </w:rPr>
        <w:sym w:font="Wingdings" w:char="F0E0"/>
      </w:r>
      <w:r w:rsidRPr="000C5235">
        <w:rPr>
          <w:rStyle w:val="BodyTextChar"/>
        </w:rPr>
        <w:t xml:space="preserve"> Operational Reports </w:t>
      </w:r>
      <w:r w:rsidR="00323F53" w:rsidRPr="000C5235">
        <w:rPr>
          <w:rStyle w:val="BodyTextChar"/>
        </w:rPr>
        <w:sym w:font="Wingdings" w:char="F0E0"/>
      </w:r>
      <w:r w:rsidRPr="000C5235">
        <w:rPr>
          <w:rStyle w:val="BodyTextChar"/>
        </w:rPr>
        <w:t xml:space="preserve"> Cash Management </w:t>
      </w:r>
      <w:r w:rsidR="00323F53" w:rsidRPr="000C5235">
        <w:rPr>
          <w:rStyle w:val="BodyTextChar"/>
        </w:rPr>
        <w:sym w:font="Wingdings" w:char="F0E0"/>
      </w:r>
      <w:r w:rsidRPr="000C5235">
        <w:rPr>
          <w:rStyle w:val="BodyTextChar"/>
        </w:rPr>
        <w:t xml:space="preserve"> Cash Operational Reports </w:t>
      </w:r>
      <w:r w:rsidR="00323F53" w:rsidRPr="000C5235">
        <w:rPr>
          <w:rStyle w:val="BodyTextChar"/>
        </w:rPr>
        <w:sym w:font="Wingdings" w:char="F0E0"/>
      </w:r>
      <w:r w:rsidRPr="000C5235">
        <w:rPr>
          <w:rStyle w:val="BodyTextChar"/>
        </w:rPr>
        <w:t xml:space="preserve"> CM.OR.010 Appropriation Balances Report</w:t>
      </w:r>
    </w:p>
    <w:p w14:paraId="4E187186" w14:textId="77777777" w:rsidR="00EE503C" w:rsidRPr="000C5235" w:rsidRDefault="00F979EA" w:rsidP="000A7DEC">
      <w:pPr>
        <w:pStyle w:val="NormalTextRed"/>
        <w:rPr>
          <w:rStyle w:val="BodyTextChar"/>
        </w:rPr>
      </w:pPr>
      <w:r w:rsidRPr="000C5235">
        <w:rPr>
          <w:rStyle w:val="BodyTextChar"/>
          <w:u w:val="single"/>
        </w:rPr>
        <w:t>Note:</w:t>
      </w:r>
      <w:r w:rsidRPr="000C5235">
        <w:rPr>
          <w:rStyle w:val="BodyTextChar"/>
        </w:rPr>
        <w:t xml:space="preserve"> </w:t>
      </w:r>
      <w:r w:rsidR="008F2BD5" w:rsidRPr="000C5235">
        <w:rPr>
          <w:rStyle w:val="BodyTextChar"/>
        </w:rPr>
        <w:t>S</w:t>
      </w:r>
      <w:r w:rsidR="00B54712" w:rsidRPr="000C5235">
        <w:rPr>
          <w:rStyle w:val="BodyTextChar"/>
        </w:rPr>
        <w:t xml:space="preserve">elect the current financial year only to get the "Actual available appropriation" figure available on that day. This amount reflects what is available in </w:t>
      </w:r>
      <w:r w:rsidR="00FE12C4" w:rsidRPr="000C5235">
        <w:rPr>
          <w:rStyle w:val="BodyTextChar"/>
        </w:rPr>
        <w:t>Cash Management</w:t>
      </w:r>
      <w:r w:rsidR="00B54712" w:rsidRPr="000C5235">
        <w:rPr>
          <w:rStyle w:val="BodyTextChar"/>
        </w:rPr>
        <w:t xml:space="preserve"> and should be adjusted for any amounts expected to be paid out by 30 June </w:t>
      </w:r>
      <w:r w:rsidR="0014717F" w:rsidRPr="000C5235">
        <w:rPr>
          <w:rStyle w:val="BodyTextChar"/>
        </w:rPr>
        <w:t>2020</w:t>
      </w:r>
      <w:r w:rsidR="00B54712" w:rsidRPr="000C5235">
        <w:rPr>
          <w:rStyle w:val="BodyTextChar"/>
        </w:rPr>
        <w:t xml:space="preserve">. The amount shown in the AAA Report will be net of any s51 withholdings and administrative quarantines. </w:t>
      </w:r>
    </w:p>
    <w:p w14:paraId="1AC8050A" w14:textId="77777777" w:rsidR="00EE503C" w:rsidRPr="000C5235" w:rsidRDefault="00EE503C">
      <w:pPr>
        <w:suppressAutoHyphens w:val="0"/>
        <w:spacing w:before="0" w:after="120" w:line="440" w:lineRule="atLeast"/>
        <w:rPr>
          <w:rStyle w:val="BodyTextChar"/>
          <w:color w:val="FF0000"/>
        </w:rPr>
      </w:pPr>
      <w:r w:rsidRPr="000C5235">
        <w:rPr>
          <w:rStyle w:val="BodyTextChar"/>
        </w:rPr>
        <w:br w:type="page"/>
      </w:r>
    </w:p>
    <w:p w14:paraId="0675FE91" w14:textId="77777777" w:rsidR="00FA0945" w:rsidRPr="000C5235" w:rsidRDefault="00FA0945" w:rsidP="000A7DEC">
      <w:pPr>
        <w:pStyle w:val="Heading1Numbered"/>
        <w:rPr>
          <w:rFonts w:ascii="Arial" w:eastAsia="Times New Roman" w:hAnsi="Arial"/>
          <w:color w:val="auto"/>
          <w:spacing w:val="-6"/>
          <w:sz w:val="34"/>
          <w:szCs w:val="34"/>
        </w:rPr>
      </w:pPr>
      <w:bookmarkStart w:id="393" w:name="_Toc47369880"/>
      <w:bookmarkStart w:id="394" w:name="_Toc29980680"/>
      <w:bookmarkStart w:id="395" w:name="_Toc30405568"/>
      <w:bookmarkStart w:id="396" w:name="_Toc30581309"/>
      <w:bookmarkStart w:id="397" w:name="_Toc32829971"/>
      <w:bookmarkStart w:id="398" w:name="_Toc32917478"/>
      <w:bookmarkStart w:id="399" w:name="_Toc32918284"/>
      <w:bookmarkStart w:id="400" w:name="_Toc32999667"/>
      <w:bookmarkStart w:id="401" w:name="_Toc33099386"/>
      <w:bookmarkStart w:id="402" w:name="_Toc33196011"/>
      <w:bookmarkStart w:id="403" w:name="_Toc33196313"/>
      <w:bookmarkStart w:id="404" w:name="_Toc411852678"/>
      <w:bookmarkStart w:id="405" w:name="_Toc534382558"/>
      <w:bookmarkStart w:id="406" w:name="_Ref47004664"/>
      <w:bookmarkStart w:id="407" w:name="_Ref47004670"/>
      <w:bookmarkStart w:id="408" w:name="_Toc47951231"/>
      <w:bookmarkEnd w:id="393"/>
      <w:bookmarkEnd w:id="394"/>
      <w:bookmarkEnd w:id="395"/>
      <w:bookmarkEnd w:id="396"/>
      <w:bookmarkEnd w:id="397"/>
      <w:bookmarkEnd w:id="398"/>
      <w:bookmarkEnd w:id="399"/>
      <w:bookmarkEnd w:id="400"/>
      <w:bookmarkEnd w:id="401"/>
      <w:bookmarkEnd w:id="402"/>
      <w:bookmarkEnd w:id="403"/>
      <w:r w:rsidRPr="000C5235">
        <w:rPr>
          <w:rFonts w:eastAsia="Times New Roman"/>
        </w:rPr>
        <w:t xml:space="preserve">Budget </w:t>
      </w:r>
      <w:r w:rsidR="00C51BA2" w:rsidRPr="000C5235">
        <w:rPr>
          <w:rFonts w:eastAsia="Times New Roman"/>
        </w:rPr>
        <w:t>m</w:t>
      </w:r>
      <w:r w:rsidRPr="000C5235">
        <w:rPr>
          <w:rFonts w:eastAsia="Times New Roman"/>
        </w:rPr>
        <w:t>easures</w:t>
      </w:r>
      <w:bookmarkEnd w:id="404"/>
      <w:bookmarkEnd w:id="405"/>
      <w:bookmarkEnd w:id="406"/>
      <w:bookmarkEnd w:id="407"/>
      <w:bookmarkEnd w:id="408"/>
    </w:p>
    <w:p w14:paraId="77B3C169" w14:textId="77777777" w:rsidR="00FA0945" w:rsidRPr="000C5235" w:rsidRDefault="00FA0945">
      <w:pPr>
        <w:pStyle w:val="NormalTextRed"/>
        <w:rPr>
          <w:rStyle w:val="BodyTextChar"/>
          <w:rFonts w:eastAsiaTheme="minorHAnsi" w:cstheme="minorBidi"/>
        </w:rPr>
      </w:pPr>
      <w:r w:rsidRPr="000C5235">
        <w:t xml:space="preserve">The template for this table can be found in the </w:t>
      </w:r>
      <w:r w:rsidRPr="000C5235">
        <w:rPr>
          <w:i/>
        </w:rPr>
        <w:t>“Table 1.2”</w:t>
      </w:r>
      <w:r w:rsidRPr="000C5235">
        <w:t xml:space="preserve"> tab</w:t>
      </w:r>
      <w:r w:rsidRPr="000C5235">
        <w:rPr>
          <w:rStyle w:val="BodyTextChar"/>
          <w:rFonts w:eastAsiaTheme="minorHAnsi" w:cstheme="minorBidi"/>
        </w:rPr>
        <w:t xml:space="preserve"> of the Excel Tables workbook (</w:t>
      </w:r>
      <w:r w:rsidR="00C93FC2" w:rsidRPr="000C5235">
        <w:rPr>
          <w:rStyle w:val="BodyTextChar"/>
          <w:rFonts w:eastAsiaTheme="minorHAnsi" w:cstheme="minorBidi"/>
          <w:u w:val="single"/>
        </w:rPr>
        <w:t xml:space="preserve">Attachment </w:t>
      </w:r>
      <w:r w:rsidR="006E5A47" w:rsidRPr="000C5235">
        <w:rPr>
          <w:rStyle w:val="BodyTextChar"/>
          <w:rFonts w:eastAsiaTheme="minorHAnsi" w:cstheme="minorBidi"/>
          <w:u w:val="single"/>
        </w:rPr>
        <w:t>B</w:t>
      </w:r>
      <w:r w:rsidR="006E5A47" w:rsidRPr="000C5235">
        <w:rPr>
          <w:rStyle w:val="BodyTextChar"/>
          <w:rFonts w:eastAsiaTheme="minorHAnsi" w:cstheme="minorBidi"/>
        </w:rPr>
        <w:t xml:space="preserve"> </w:t>
      </w:r>
      <w:r w:rsidR="00C93FC2" w:rsidRPr="000C5235">
        <w:rPr>
          <w:rStyle w:val="BodyTextChar"/>
          <w:rFonts w:eastAsiaTheme="minorHAnsi" w:cstheme="minorBidi"/>
        </w:rPr>
        <w:t>refers</w:t>
      </w:r>
      <w:r w:rsidRPr="000C5235">
        <w:rPr>
          <w:rStyle w:val="BodyTextChar"/>
          <w:rFonts w:eastAsiaTheme="minorHAnsi" w:cstheme="minorBidi"/>
        </w:rPr>
        <w:t>).</w:t>
      </w:r>
    </w:p>
    <w:p w14:paraId="460FD6F3" w14:textId="77777777" w:rsidR="002D7CF6" w:rsidRPr="000C5235" w:rsidRDefault="00FA0945" w:rsidP="000A7DEC">
      <w:pPr>
        <w:rPr>
          <w:rStyle w:val="BodyTextChar"/>
        </w:rPr>
      </w:pPr>
      <w:r w:rsidRPr="000C5235">
        <w:rPr>
          <w:rStyle w:val="BodyTextChar"/>
        </w:rPr>
        <w:t xml:space="preserve">The </w:t>
      </w:r>
      <w:r w:rsidRPr="000C5235">
        <w:rPr>
          <w:rStyle w:val="BodyTextChar"/>
          <w:i/>
        </w:rPr>
        <w:t xml:space="preserve">Budget </w:t>
      </w:r>
      <w:r w:rsidR="00E66432" w:rsidRPr="000C5235">
        <w:rPr>
          <w:rStyle w:val="BodyTextChar"/>
          <w:i/>
        </w:rPr>
        <w:t>m</w:t>
      </w:r>
      <w:r w:rsidR="007E6DB9" w:rsidRPr="000C5235">
        <w:rPr>
          <w:rStyle w:val="BodyTextChar"/>
          <w:i/>
        </w:rPr>
        <w:t>easures</w:t>
      </w:r>
      <w:r w:rsidR="007E6DB9" w:rsidRPr="000C5235">
        <w:rPr>
          <w:rStyle w:val="BodyTextChar"/>
        </w:rPr>
        <w:t xml:space="preserve"> </w:t>
      </w:r>
      <w:r w:rsidRPr="000C5235">
        <w:rPr>
          <w:rStyle w:val="BodyTextChar"/>
        </w:rPr>
        <w:t xml:space="preserve">section primarily highlights new government decisions </w:t>
      </w:r>
      <w:r w:rsidR="002D7CF6" w:rsidRPr="000C5235">
        <w:rPr>
          <w:rStyle w:val="BodyTextChar"/>
        </w:rPr>
        <w:t>supporting the 2020-21 Appropriations Bills.</w:t>
      </w:r>
    </w:p>
    <w:p w14:paraId="68B60137" w14:textId="77777777" w:rsidR="00F83095" w:rsidRPr="000C5235" w:rsidRDefault="002D7CF6" w:rsidP="000A7DEC">
      <w:pPr>
        <w:rPr>
          <w:rStyle w:val="BodyTextChar"/>
        </w:rPr>
      </w:pPr>
      <w:r w:rsidRPr="000C5235">
        <w:rPr>
          <w:rStyle w:val="BodyTextChar"/>
        </w:rPr>
        <w:t>For the 2020-21 Budget</w:t>
      </w:r>
      <w:r w:rsidR="003D418D" w:rsidRPr="000C5235">
        <w:rPr>
          <w:rStyle w:val="BodyTextChar"/>
        </w:rPr>
        <w:t>,</w:t>
      </w:r>
      <w:r w:rsidRPr="000C5235">
        <w:rPr>
          <w:rStyle w:val="BodyTextChar"/>
        </w:rPr>
        <w:t xml:space="preserve"> entities </w:t>
      </w:r>
      <w:r w:rsidRPr="000C5235">
        <w:rPr>
          <w:rStyle w:val="BodyTextChar"/>
          <w:u w:val="single"/>
        </w:rPr>
        <w:t>will only be required</w:t>
      </w:r>
      <w:r w:rsidRPr="000C5235">
        <w:rPr>
          <w:rStyle w:val="BodyTextChar"/>
        </w:rPr>
        <w:t xml:space="preserve"> to report measures </w:t>
      </w:r>
      <w:r w:rsidR="003D0E98" w:rsidRPr="000C5235">
        <w:rPr>
          <w:rStyle w:val="BodyTextChar"/>
        </w:rPr>
        <w:t xml:space="preserve">taken in </w:t>
      </w:r>
      <w:r w:rsidR="00FA0945" w:rsidRPr="000C5235">
        <w:rPr>
          <w:rStyle w:val="BodyTextChar"/>
        </w:rPr>
        <w:t>the budget year</w:t>
      </w:r>
      <w:r w:rsidR="006D021E" w:rsidRPr="000C5235">
        <w:rPr>
          <w:rStyle w:val="BodyTextChar"/>
        </w:rPr>
        <w:t xml:space="preserve"> </w:t>
      </w:r>
      <w:r w:rsidR="00FA0945" w:rsidRPr="000C5235">
        <w:rPr>
          <w:rStyle w:val="BodyTextChar"/>
        </w:rPr>
        <w:t>(</w:t>
      </w:r>
      <w:r w:rsidR="00C93FC2" w:rsidRPr="000C5235">
        <w:rPr>
          <w:rStyle w:val="BodyTextChar"/>
        </w:rPr>
        <w:t>2020-21</w:t>
      </w:r>
      <w:r w:rsidR="00FA0945" w:rsidRPr="000C5235">
        <w:rPr>
          <w:rStyle w:val="BodyTextChar"/>
        </w:rPr>
        <w:t>) and forward years (</w:t>
      </w:r>
      <w:r w:rsidR="00C93FC2" w:rsidRPr="000C5235">
        <w:rPr>
          <w:rStyle w:val="BodyTextChar"/>
        </w:rPr>
        <w:t>2021-22</w:t>
      </w:r>
      <w:r w:rsidR="00A27EA7" w:rsidRPr="000C5235">
        <w:rPr>
          <w:rStyle w:val="BodyTextChar"/>
        </w:rPr>
        <w:t xml:space="preserve"> to </w:t>
      </w:r>
      <w:r w:rsidR="00C93FC2" w:rsidRPr="000C5235">
        <w:rPr>
          <w:rStyle w:val="BodyTextChar"/>
        </w:rPr>
        <w:t>2023</w:t>
      </w:r>
      <w:r w:rsidR="00FA0945" w:rsidRPr="000C5235">
        <w:rPr>
          <w:rStyle w:val="BodyTextChar"/>
        </w:rPr>
        <w:t>-</w:t>
      </w:r>
      <w:r w:rsidR="00A27EA7" w:rsidRPr="000C5235">
        <w:rPr>
          <w:rStyle w:val="BodyTextChar"/>
        </w:rPr>
        <w:t>2</w:t>
      </w:r>
      <w:r w:rsidR="00C93FC2" w:rsidRPr="000C5235">
        <w:rPr>
          <w:rStyle w:val="BodyTextChar"/>
        </w:rPr>
        <w:t>4</w:t>
      </w:r>
      <w:r w:rsidR="00FA0945" w:rsidRPr="000C5235">
        <w:rPr>
          <w:rStyle w:val="BodyTextChar"/>
        </w:rPr>
        <w:t>).</w:t>
      </w:r>
      <w:r w:rsidR="00BA44E5" w:rsidRPr="000C5235">
        <w:rPr>
          <w:rStyle w:val="BodyTextChar"/>
        </w:rPr>
        <w:t xml:space="preserve"> Entities should discuss with their AAU in the first instance if there are any DTYNA or indicative cost measures from a previous </w:t>
      </w:r>
      <w:r w:rsidR="00C867B0" w:rsidRPr="000C5235">
        <w:rPr>
          <w:rStyle w:val="BodyTextChar"/>
        </w:rPr>
        <w:t xml:space="preserve">economic update on whether they should </w:t>
      </w:r>
      <w:r w:rsidR="00BA44E5" w:rsidRPr="000C5235">
        <w:rPr>
          <w:rStyle w:val="BodyTextChar"/>
        </w:rPr>
        <w:t>be reported as some of the guidance below may not apply.</w:t>
      </w:r>
    </w:p>
    <w:p w14:paraId="29598C20" w14:textId="77777777" w:rsidR="00FA0945" w:rsidRPr="000C5235" w:rsidRDefault="00FA0945" w:rsidP="000A7DEC">
      <w:pPr>
        <w:rPr>
          <w:rStyle w:val="BodyTextChar"/>
        </w:rPr>
      </w:pPr>
      <w:r w:rsidRPr="000C5235">
        <w:rPr>
          <w:rStyle w:val="BodyTextChar"/>
        </w:rPr>
        <w:t xml:space="preserve">For completeness, </w:t>
      </w:r>
      <w:r w:rsidRPr="000C5235">
        <w:rPr>
          <w:rStyle w:val="BodyTextChar"/>
          <w:u w:val="single"/>
        </w:rPr>
        <w:t>all measures</w:t>
      </w:r>
      <w:r w:rsidRPr="000C5235">
        <w:rPr>
          <w:rStyle w:val="BodyTextChar"/>
        </w:rPr>
        <w:t xml:space="preserve"> need to be reported at the entity level in a P</w:t>
      </w:r>
      <w:r w:rsidR="00D07CC2" w:rsidRPr="000C5235">
        <w:rPr>
          <w:rStyle w:val="BodyTextChar"/>
        </w:rPr>
        <w:t>B Statement or PAES</w:t>
      </w:r>
      <w:r w:rsidRPr="000C5235">
        <w:rPr>
          <w:rStyle w:val="BodyTextChar"/>
        </w:rPr>
        <w:t xml:space="preserve">, </w:t>
      </w:r>
      <w:r w:rsidR="00A27EA7" w:rsidRPr="000C5235">
        <w:rPr>
          <w:rStyle w:val="BodyTextChar"/>
        </w:rPr>
        <w:t>includ</w:t>
      </w:r>
      <w:r w:rsidR="003D0E98" w:rsidRPr="000C5235">
        <w:rPr>
          <w:rStyle w:val="BodyTextChar"/>
        </w:rPr>
        <w:t>ing</w:t>
      </w:r>
      <w:r w:rsidR="00A27EA7" w:rsidRPr="000C5235">
        <w:rPr>
          <w:rStyle w:val="BodyTextChar"/>
        </w:rPr>
        <w:t xml:space="preserve"> measures with zero financial impact.</w:t>
      </w:r>
    </w:p>
    <w:p w14:paraId="6B6165BD" w14:textId="77777777" w:rsidR="00FA0945" w:rsidRPr="000C5235" w:rsidRDefault="00FA0945" w:rsidP="000A7DEC">
      <w:pPr>
        <w:rPr>
          <w:rStyle w:val="BodyTextChar"/>
        </w:rPr>
      </w:pPr>
      <w:r w:rsidRPr="000C5235">
        <w:rPr>
          <w:rStyle w:val="BodyTextChar"/>
        </w:rPr>
        <w:t>This complements the whole-of-government public reporting of all measures in either Budget Paper</w:t>
      </w:r>
      <w:r w:rsidR="00CD0900" w:rsidRPr="000C5235">
        <w:rPr>
          <w:rStyle w:val="BodyTextChar"/>
        </w:rPr>
        <w:t xml:space="preserve"> No.</w:t>
      </w:r>
      <w:r w:rsidR="00EE4AE2" w:rsidRPr="000C5235">
        <w:rPr>
          <w:rStyle w:val="BodyTextChar"/>
        </w:rPr>
        <w:t xml:space="preserve"> </w:t>
      </w:r>
      <w:r w:rsidRPr="000C5235">
        <w:rPr>
          <w:rStyle w:val="BodyTextChar"/>
        </w:rPr>
        <w:t xml:space="preserve">2 </w:t>
      </w:r>
      <w:r w:rsidR="00CD0900" w:rsidRPr="000C5235">
        <w:rPr>
          <w:rStyle w:val="BodyTextChar"/>
        </w:rPr>
        <w:t>(BP No.</w:t>
      </w:r>
      <w:r w:rsidR="00EE4AE2" w:rsidRPr="000C5235">
        <w:rPr>
          <w:rStyle w:val="BodyTextChar"/>
        </w:rPr>
        <w:t xml:space="preserve"> </w:t>
      </w:r>
      <w:r w:rsidRPr="000C5235">
        <w:rPr>
          <w:rStyle w:val="BodyTextChar"/>
        </w:rPr>
        <w:t>2) and ensures a clear-read of Government decisions to entity level across key budget publications.</w:t>
      </w:r>
    </w:p>
    <w:p w14:paraId="2102CFE7" w14:textId="7121B555" w:rsidR="00AE63CA" w:rsidRPr="000C5235" w:rsidRDefault="00FA0945" w:rsidP="00B066EC">
      <w:pPr>
        <w:rPr>
          <w:rStyle w:val="BodyTextChar"/>
        </w:rPr>
      </w:pPr>
      <w:r w:rsidRPr="000C5235">
        <w:rPr>
          <w:rStyle w:val="BodyTextChar"/>
        </w:rPr>
        <w:t xml:space="preserve">All details of </w:t>
      </w:r>
      <w:r w:rsidR="004A5BAA" w:rsidRPr="000C5235">
        <w:rPr>
          <w:rStyle w:val="BodyTextChar"/>
        </w:rPr>
        <w:t>2020-21</w:t>
      </w:r>
      <w:r w:rsidRPr="000C5235">
        <w:rPr>
          <w:rStyle w:val="BodyTextChar"/>
        </w:rPr>
        <w:t xml:space="preserve"> Budget measures </w:t>
      </w:r>
      <w:r w:rsidRPr="000C5235">
        <w:rPr>
          <w:rStyle w:val="BodyTextChar"/>
          <w:u w:val="single"/>
        </w:rPr>
        <w:t>must match</w:t>
      </w:r>
      <w:r w:rsidRPr="000C5235">
        <w:rPr>
          <w:rStyle w:val="BodyTextChar"/>
        </w:rPr>
        <w:t xml:space="preserve"> the final measures list provided by Finance before being reported in </w:t>
      </w:r>
      <w:r w:rsidRPr="000C5235">
        <w:rPr>
          <w:rStyle w:val="BodyTextChar"/>
          <w:i/>
        </w:rPr>
        <w:t>Table 1.2</w:t>
      </w:r>
      <w:r w:rsidRPr="000C5235">
        <w:rPr>
          <w:rStyle w:val="BodyTextChar"/>
        </w:rPr>
        <w:t xml:space="preserve">. Measure figures are to be reported on </w:t>
      </w:r>
      <w:r w:rsidR="00CD0900" w:rsidRPr="000C5235">
        <w:rPr>
          <w:rStyle w:val="BodyTextChar"/>
        </w:rPr>
        <w:t xml:space="preserve">the </w:t>
      </w:r>
      <w:r w:rsidR="00B066EC" w:rsidRPr="000C5235">
        <w:rPr>
          <w:rStyle w:val="BodyTextChar"/>
        </w:rPr>
        <w:t xml:space="preserve">same </w:t>
      </w:r>
      <w:r w:rsidR="00CD0900" w:rsidRPr="000C5235">
        <w:rPr>
          <w:rStyle w:val="BodyTextChar"/>
        </w:rPr>
        <w:t>basis on which BP No.</w:t>
      </w:r>
      <w:r w:rsidR="00EE4AE2" w:rsidRPr="000C5235">
        <w:rPr>
          <w:rStyle w:val="BodyTextChar"/>
        </w:rPr>
        <w:t xml:space="preserve"> </w:t>
      </w:r>
      <w:r w:rsidRPr="000C5235">
        <w:rPr>
          <w:rStyle w:val="BodyTextChar"/>
        </w:rPr>
        <w:t>2 is prepared.</w:t>
      </w:r>
    </w:p>
    <w:p w14:paraId="5B9A1953" w14:textId="6AFD8AF7" w:rsidR="00B066EC" w:rsidRPr="000C5235" w:rsidRDefault="00B066EC" w:rsidP="000C42A6">
      <w:pPr>
        <w:pStyle w:val="Boxed2Text"/>
        <w:rPr>
          <w:rStyle w:val="BodyTextChar"/>
        </w:rPr>
      </w:pPr>
      <w:r w:rsidRPr="000C5235">
        <w:rPr>
          <w:rStyle w:val="BodyTextChar"/>
        </w:rPr>
        <w:t xml:space="preserve">Whilst the measures will likely be reported on a fiscal balance basis in the PB Statements and Budget Paper No.2 a decision is being sought to </w:t>
      </w:r>
      <w:r w:rsidR="008F24BD" w:rsidRPr="000C5235">
        <w:rPr>
          <w:rStyle w:val="BodyTextChar"/>
        </w:rPr>
        <w:t xml:space="preserve">make a </w:t>
      </w:r>
      <w:r w:rsidRPr="000C5235">
        <w:rPr>
          <w:rStyle w:val="BodyTextChar"/>
        </w:rPr>
        <w:t>change to an underlying cash balance basis.</w:t>
      </w:r>
    </w:p>
    <w:p w14:paraId="5832B8FA" w14:textId="388E056E" w:rsidR="00B066EC" w:rsidRPr="000C5235" w:rsidRDefault="008F2656" w:rsidP="000C42A6">
      <w:pPr>
        <w:pStyle w:val="Boxed2Text"/>
        <w:rPr>
          <w:rStyle w:val="BodyTextChar"/>
        </w:rPr>
      </w:pPr>
      <w:r w:rsidRPr="0042010D">
        <w:rPr>
          <w:rStyle w:val="BodyTextChar"/>
          <w:b/>
        </w:rPr>
        <w:t>Finance will provide separate advice through your AAUs</w:t>
      </w:r>
      <w:r w:rsidRPr="008F2656">
        <w:rPr>
          <w:rStyle w:val="BodyTextChar"/>
        </w:rPr>
        <w:t xml:space="preserve"> </w:t>
      </w:r>
      <w:r>
        <w:rPr>
          <w:rStyle w:val="BodyTextChar"/>
        </w:rPr>
        <w:t>confirming t</w:t>
      </w:r>
      <w:r w:rsidR="00B066EC" w:rsidRPr="000C5235">
        <w:rPr>
          <w:rStyle w:val="BodyTextChar"/>
        </w:rPr>
        <w:t>he basis for reporting measures.</w:t>
      </w:r>
    </w:p>
    <w:p w14:paraId="03EE9B53" w14:textId="77777777" w:rsidR="00FA0945" w:rsidRPr="000C5235" w:rsidRDefault="00FA0945" w:rsidP="000A7DEC">
      <w:pPr>
        <w:rPr>
          <w:rStyle w:val="BodyTextChar"/>
        </w:rPr>
      </w:pPr>
      <w:r w:rsidRPr="000C5235">
        <w:rPr>
          <w:rStyle w:val="BodyTextChar"/>
        </w:rPr>
        <w:t>The measure title for cross Portfolio measures should be the same in each PB Statements affected by the measure. To increase transparency, where an entity is not the lead entity in a measure package, they are required to name the lead entity in a footnote to the measure to allow easy cross reference to the me</w:t>
      </w:r>
      <w:r w:rsidR="00CD0900" w:rsidRPr="000C5235">
        <w:rPr>
          <w:rStyle w:val="BodyTextChar"/>
        </w:rPr>
        <w:t>asure description in BP No.</w:t>
      </w:r>
      <w:r w:rsidR="00EE4AE2" w:rsidRPr="000C5235">
        <w:rPr>
          <w:rStyle w:val="BodyTextChar"/>
        </w:rPr>
        <w:t xml:space="preserve"> </w:t>
      </w:r>
      <w:r w:rsidRPr="000C5235">
        <w:rPr>
          <w:rStyle w:val="BodyTextChar"/>
        </w:rPr>
        <w:t>2 and across PB Statements. This should be done with the following text:</w:t>
      </w:r>
    </w:p>
    <w:p w14:paraId="73C980C9" w14:textId="77777777" w:rsidR="00FA0945" w:rsidRPr="000C5235" w:rsidRDefault="00FA0945" w:rsidP="000A7DEC">
      <w:pPr>
        <w:rPr>
          <w:rStyle w:val="BodyTextChar"/>
        </w:rPr>
      </w:pPr>
      <w:r w:rsidRPr="000C5235">
        <w:rPr>
          <w:rStyle w:val="BodyTextChar"/>
        </w:rPr>
        <w:t>The lead entity for measure titled xxxxxxx is xxxxxxx. The full measure description and package det</w:t>
      </w:r>
      <w:r w:rsidR="00CD0900" w:rsidRPr="000C5235">
        <w:rPr>
          <w:rStyle w:val="BodyTextChar"/>
        </w:rPr>
        <w:t>ails appear in Budget Paper No.</w:t>
      </w:r>
      <w:r w:rsidR="00EE4AE2" w:rsidRPr="000C5235">
        <w:rPr>
          <w:rStyle w:val="BodyTextChar"/>
        </w:rPr>
        <w:t xml:space="preserve"> </w:t>
      </w:r>
      <w:r w:rsidRPr="000C5235">
        <w:rPr>
          <w:rStyle w:val="BodyTextChar"/>
        </w:rPr>
        <w:t>2 under the xxxxxxx portfolio.</w:t>
      </w:r>
    </w:p>
    <w:p w14:paraId="145EA3B8" w14:textId="77777777" w:rsidR="00EE33B1" w:rsidRPr="000C5235" w:rsidRDefault="00845790" w:rsidP="008914EC">
      <w:pPr>
        <w:rPr>
          <w:rStyle w:val="BodyTextChar"/>
          <w:rFonts w:ascii="Arial" w:hAnsi="Arial"/>
        </w:rPr>
      </w:pPr>
      <w:r w:rsidRPr="000C5235">
        <w:rPr>
          <w:rStyle w:val="BodyTextChar"/>
        </w:rPr>
        <w:t xml:space="preserve">For the 2020-21 Budget only, the PB Statement’s </w:t>
      </w:r>
      <w:r w:rsidR="00FA0945" w:rsidRPr="000C5235">
        <w:rPr>
          <w:rStyle w:val="BodyTextChar"/>
          <w:i/>
        </w:rPr>
        <w:t xml:space="preserve">Table 1.2 </w:t>
      </w:r>
      <w:r w:rsidR="00EE33B1" w:rsidRPr="000C5235">
        <w:rPr>
          <w:rStyle w:val="BodyTextChar"/>
          <w:i/>
        </w:rPr>
        <w:t>Entity 2020-21 Budget measures</w:t>
      </w:r>
      <w:r w:rsidR="00EE33B1" w:rsidRPr="000C5235">
        <w:rPr>
          <w:rStyle w:val="BodyTextChar"/>
        </w:rPr>
        <w:t xml:space="preserve"> </w:t>
      </w:r>
      <w:r w:rsidR="008914EC" w:rsidRPr="000C5235">
        <w:rPr>
          <w:rStyle w:val="BodyTextChar"/>
          <w:u w:val="single"/>
        </w:rPr>
        <w:t>only consist</w:t>
      </w:r>
      <w:r w:rsidR="00577C1F" w:rsidRPr="000C5235">
        <w:rPr>
          <w:rStyle w:val="BodyTextChar"/>
          <w:u w:val="single"/>
        </w:rPr>
        <w:t>s</w:t>
      </w:r>
      <w:r w:rsidR="008914EC" w:rsidRPr="000C5235">
        <w:rPr>
          <w:rStyle w:val="BodyTextChar"/>
          <w:u w:val="single"/>
        </w:rPr>
        <w:t xml:space="preserve"> of one part</w:t>
      </w:r>
      <w:r w:rsidR="008914EC" w:rsidRPr="000C5235">
        <w:rPr>
          <w:rStyle w:val="BodyTextChar"/>
        </w:rPr>
        <w:t xml:space="preserve"> that reports </w:t>
      </w:r>
      <w:r w:rsidR="001321B8" w:rsidRPr="000C5235">
        <w:rPr>
          <w:rStyle w:val="BodyTextChar"/>
          <w:rFonts w:ascii="Arial" w:hAnsi="Arial"/>
        </w:rPr>
        <w:t xml:space="preserve">measures </w:t>
      </w:r>
      <w:r w:rsidR="001321B8" w:rsidRPr="000C5235">
        <w:rPr>
          <w:rStyle w:val="BodyTextChar"/>
          <w:rFonts w:ascii="Arial" w:hAnsi="Arial"/>
          <w:u w:val="single"/>
        </w:rPr>
        <w:t>announced after</w:t>
      </w:r>
      <w:r w:rsidR="001321B8" w:rsidRPr="000C5235">
        <w:rPr>
          <w:rStyle w:val="BodyTextChar"/>
          <w:rFonts w:ascii="Arial" w:hAnsi="Arial"/>
        </w:rPr>
        <w:t xml:space="preserve"> </w:t>
      </w:r>
      <w:r w:rsidR="00803275" w:rsidRPr="000C5235">
        <w:rPr>
          <w:i/>
        </w:rPr>
        <w:t>Economic and Fiscal Update July 2020</w:t>
      </w:r>
      <w:r w:rsidR="008914EC" w:rsidRPr="000C5235">
        <w:rPr>
          <w:rStyle w:val="BodyTextChar"/>
          <w:rFonts w:ascii="Arial" w:hAnsi="Arial"/>
        </w:rPr>
        <w:t>.</w:t>
      </w:r>
    </w:p>
    <w:p w14:paraId="0DBB97B3" w14:textId="77777777" w:rsidR="006C2022" w:rsidRPr="000C5235" w:rsidRDefault="004673FC">
      <w:pPr>
        <w:rPr>
          <w:rStyle w:val="BodyTextChar"/>
        </w:rPr>
      </w:pPr>
      <w:r w:rsidRPr="000C5235">
        <w:rPr>
          <w:rStyle w:val="BodyTextChar"/>
        </w:rPr>
        <w:t xml:space="preserve">To assist entities the measures table has been modified </w:t>
      </w:r>
      <w:r w:rsidR="00E57C3A" w:rsidRPr="000C5235">
        <w:rPr>
          <w:rStyle w:val="BodyTextChar"/>
        </w:rPr>
        <w:t xml:space="preserve">to </w:t>
      </w:r>
      <w:r w:rsidRPr="000C5235">
        <w:rPr>
          <w:rStyle w:val="BodyTextChar"/>
        </w:rPr>
        <w:t xml:space="preserve">meet the </w:t>
      </w:r>
      <w:r w:rsidR="006C2022" w:rsidRPr="000C5235">
        <w:rPr>
          <w:rStyle w:val="BodyTextChar"/>
        </w:rPr>
        <w:t>minimum reporting requirement</w:t>
      </w:r>
      <w:r w:rsidRPr="000C5235">
        <w:rPr>
          <w:rStyle w:val="BodyTextChar"/>
        </w:rPr>
        <w:t>s</w:t>
      </w:r>
      <w:r w:rsidR="006C2022" w:rsidRPr="000C5235">
        <w:rPr>
          <w:rStyle w:val="BodyTextChar"/>
        </w:rPr>
        <w:t xml:space="preserve"> </w:t>
      </w:r>
      <w:r w:rsidR="00E57C3A" w:rsidRPr="000C5235">
        <w:rPr>
          <w:rStyle w:val="BodyTextChar"/>
        </w:rPr>
        <w:t xml:space="preserve">required to </w:t>
      </w:r>
      <w:r w:rsidR="006C2022" w:rsidRPr="000C5235">
        <w:rPr>
          <w:rStyle w:val="BodyTextChar"/>
        </w:rPr>
        <w:t>support the 2020</w:t>
      </w:r>
      <w:r w:rsidRPr="000C5235">
        <w:rPr>
          <w:rStyle w:val="BodyTextChar"/>
        </w:rPr>
        <w:noBreakHyphen/>
      </w:r>
      <w:r w:rsidR="006C2022" w:rsidRPr="000C5235">
        <w:rPr>
          <w:rStyle w:val="BodyTextChar"/>
        </w:rPr>
        <w:t>21 Appropriation Bills</w:t>
      </w:r>
      <w:r w:rsidRPr="000C5235">
        <w:rPr>
          <w:rStyle w:val="BodyTextChar"/>
        </w:rPr>
        <w:t> </w:t>
      </w:r>
      <w:r w:rsidR="006C2022" w:rsidRPr="000C5235">
        <w:rPr>
          <w:rStyle w:val="BodyTextChar"/>
        </w:rPr>
        <w:t>1 and 2.</w:t>
      </w:r>
    </w:p>
    <w:p w14:paraId="70B756F0" w14:textId="77777777" w:rsidR="00845790" w:rsidRPr="000C5235" w:rsidRDefault="00FA0945" w:rsidP="000A7DEC">
      <w:pPr>
        <w:rPr>
          <w:rStyle w:val="BodyTextChar"/>
        </w:rPr>
      </w:pPr>
      <w:r w:rsidRPr="000C5235">
        <w:rPr>
          <w:rStyle w:val="BodyTextChar"/>
        </w:rPr>
        <w:t xml:space="preserve">The Budget measures published in </w:t>
      </w:r>
      <w:r w:rsidRPr="000C5235">
        <w:rPr>
          <w:rStyle w:val="BodyTextChar"/>
          <w:i/>
        </w:rPr>
        <w:t>Table 1.2</w:t>
      </w:r>
      <w:r w:rsidRPr="000C5235">
        <w:rPr>
          <w:rStyle w:val="BodyTextChar"/>
        </w:rPr>
        <w:t xml:space="preserve"> should match the measures </w:t>
      </w:r>
      <w:r w:rsidR="00845790" w:rsidRPr="000C5235">
        <w:rPr>
          <w:rStyle w:val="BodyTextChar"/>
        </w:rPr>
        <w:t xml:space="preserve">published </w:t>
      </w:r>
      <w:r w:rsidRPr="000C5235">
        <w:rPr>
          <w:rStyle w:val="BodyTextChar"/>
        </w:rPr>
        <w:t>as printed in</w:t>
      </w:r>
      <w:r w:rsidR="004673FC" w:rsidRPr="000C5235">
        <w:rPr>
          <w:rStyle w:val="BodyTextChar"/>
        </w:rPr>
        <w:t xml:space="preserve"> the</w:t>
      </w:r>
      <w:r w:rsidRPr="000C5235">
        <w:rPr>
          <w:rStyle w:val="BodyTextChar"/>
        </w:rPr>
        <w:t xml:space="preserve"> </w:t>
      </w:r>
      <w:r w:rsidR="004673FC" w:rsidRPr="000C5235">
        <w:rPr>
          <w:rStyle w:val="BodyTextChar"/>
        </w:rPr>
        <w:t xml:space="preserve">2020-21 </w:t>
      </w:r>
      <w:r w:rsidRPr="000C5235">
        <w:rPr>
          <w:rStyle w:val="BodyTextChar"/>
        </w:rPr>
        <w:t>BP No.</w:t>
      </w:r>
      <w:r w:rsidR="00EE4AE2" w:rsidRPr="000C5235">
        <w:rPr>
          <w:rStyle w:val="BodyTextChar"/>
        </w:rPr>
        <w:t xml:space="preserve"> </w:t>
      </w:r>
      <w:r w:rsidRPr="000C5235">
        <w:rPr>
          <w:rStyle w:val="BodyTextChar"/>
        </w:rPr>
        <w:t>2.</w:t>
      </w:r>
    </w:p>
    <w:p w14:paraId="663C9E66" w14:textId="700CD8BD" w:rsidR="00FA0945" w:rsidRPr="000C5235" w:rsidRDefault="00803275" w:rsidP="000A7DEC">
      <w:pPr>
        <w:rPr>
          <w:rStyle w:val="BodyTextChar"/>
        </w:rPr>
      </w:pPr>
      <w:r w:rsidRPr="000C5235">
        <w:rPr>
          <w:rStyle w:val="BodyTextChar"/>
        </w:rPr>
        <w:t xml:space="preserve">It is unlikely there will be any measures reported in BP No.2 that were reported as </w:t>
      </w:r>
      <w:r w:rsidRPr="000C5235">
        <w:rPr>
          <w:rStyle w:val="BodyTextChar"/>
          <w:i/>
        </w:rPr>
        <w:t>Decisions taken but not yet announced</w:t>
      </w:r>
      <w:r w:rsidRPr="000C5235">
        <w:rPr>
          <w:rStyle w:val="BodyTextChar"/>
        </w:rPr>
        <w:t xml:space="preserve"> at the Mid-Year Economic and Fiscal Outlook (MYEFO)</w:t>
      </w:r>
      <w:r w:rsidR="00B13934" w:rsidRPr="000C5235">
        <w:rPr>
          <w:rStyle w:val="BodyTextChar"/>
        </w:rPr>
        <w:t xml:space="preserve"> or other set of appropriation bills</w:t>
      </w:r>
      <w:r w:rsidRPr="000C5235">
        <w:rPr>
          <w:rStyle w:val="BodyTextChar"/>
        </w:rPr>
        <w:t>.  If an entity happens to have any then they should consult with their AAU</w:t>
      </w:r>
      <w:r w:rsidR="00B13934" w:rsidRPr="000C5235">
        <w:rPr>
          <w:rStyle w:val="BodyTextChar"/>
        </w:rPr>
        <w:t xml:space="preserve"> in the first instance</w:t>
      </w:r>
      <w:r w:rsidRPr="000C5235">
        <w:rPr>
          <w:rStyle w:val="BodyTextChar"/>
        </w:rPr>
        <w:t xml:space="preserve"> on whether to report these in their PB Statements.</w:t>
      </w:r>
    </w:p>
    <w:p w14:paraId="3E959AE0" w14:textId="77777777" w:rsidR="00FA0945" w:rsidRPr="000C5235" w:rsidRDefault="00FA0945" w:rsidP="00B822AD">
      <w:pPr>
        <w:pStyle w:val="Heading2Numbered"/>
        <w:rPr>
          <w:rStyle w:val="BodyTextChar"/>
          <w:rFonts w:eastAsia="MS Gothic"/>
          <w:i/>
          <w:color w:val="auto"/>
        </w:rPr>
      </w:pPr>
      <w:bookmarkStart w:id="409" w:name="_Toc46327349"/>
      <w:bookmarkStart w:id="410" w:name="_Toc46327350"/>
      <w:bookmarkStart w:id="411" w:name="_Toc46327351"/>
      <w:bookmarkStart w:id="412" w:name="_Toc46327355"/>
      <w:bookmarkStart w:id="413" w:name="_Toc46327356"/>
      <w:bookmarkStart w:id="414" w:name="_Toc46327358"/>
      <w:bookmarkStart w:id="415" w:name="_Toc46327360"/>
      <w:bookmarkStart w:id="416" w:name="_Toc46327363"/>
      <w:bookmarkStart w:id="417" w:name="_Toc46327366"/>
      <w:bookmarkStart w:id="418" w:name="_Toc45026853"/>
      <w:bookmarkStart w:id="419" w:name="_Toc45026954"/>
      <w:bookmarkStart w:id="420" w:name="_Toc46327367"/>
      <w:bookmarkStart w:id="421" w:name="_Toc45026855"/>
      <w:bookmarkStart w:id="422" w:name="_Toc45026956"/>
      <w:bookmarkStart w:id="423" w:name="_Toc46327369"/>
      <w:bookmarkStart w:id="424" w:name="_Toc45026856"/>
      <w:bookmarkStart w:id="425" w:name="_Toc45026957"/>
      <w:bookmarkStart w:id="426" w:name="_Toc46327370"/>
      <w:bookmarkStart w:id="427" w:name="_Toc47951232"/>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sidRPr="000C5235">
        <w:rPr>
          <w:rStyle w:val="BodyTextChar"/>
          <w:rFonts w:eastAsia="MS Gothic"/>
        </w:rPr>
        <w:t>Measure reversals</w:t>
      </w:r>
      <w:bookmarkEnd w:id="427"/>
    </w:p>
    <w:p w14:paraId="0C636BD4" w14:textId="77777777" w:rsidR="006F1726" w:rsidRPr="000C5235" w:rsidRDefault="00FA0945" w:rsidP="003D755D">
      <w:pPr>
        <w:rPr>
          <w:rStyle w:val="BodyTextChar"/>
        </w:rPr>
      </w:pPr>
      <w:r w:rsidRPr="000C5235">
        <w:rPr>
          <w:rStyle w:val="BodyTextChar"/>
        </w:rPr>
        <w:t>Where a measure reve</w:t>
      </w:r>
      <w:r w:rsidR="00CD0900" w:rsidRPr="000C5235">
        <w:rPr>
          <w:rStyle w:val="BodyTextChar"/>
        </w:rPr>
        <w:t>rsal will be reported in BP No.</w:t>
      </w:r>
      <w:r w:rsidR="00EE4AE2" w:rsidRPr="000C5235">
        <w:rPr>
          <w:rStyle w:val="BodyTextChar"/>
        </w:rPr>
        <w:t xml:space="preserve"> </w:t>
      </w:r>
      <w:r w:rsidRPr="000C5235">
        <w:rPr>
          <w:rStyle w:val="BodyTextChar"/>
        </w:rPr>
        <w:t>2, the measure reversal needs to be reported in Part 1 of the measures table.</w:t>
      </w:r>
    </w:p>
    <w:p w14:paraId="5D2C5F6F" w14:textId="77777777" w:rsidR="00FA0945" w:rsidRPr="000C5235" w:rsidRDefault="00FA0945" w:rsidP="000A7DEC">
      <w:pPr>
        <w:rPr>
          <w:rStyle w:val="BodyTextChar"/>
        </w:rPr>
      </w:pPr>
      <w:r w:rsidRPr="000C5235">
        <w:rPr>
          <w:rStyle w:val="BodyTextChar"/>
        </w:rPr>
        <w:t>Where a measure reversal has been reported in MYEFO, but has not been reported in PAES, the reversal needs to be reported in Part 2 of the measures table.</w:t>
      </w:r>
    </w:p>
    <w:p w14:paraId="0A5600BE" w14:textId="77777777" w:rsidR="00FA0945" w:rsidRPr="000C5235" w:rsidRDefault="00FA0945" w:rsidP="000A7DEC">
      <w:pPr>
        <w:rPr>
          <w:rStyle w:val="BodyTextChar"/>
        </w:rPr>
      </w:pPr>
      <w:r w:rsidRPr="000C5235">
        <w:rPr>
          <w:rStyle w:val="BodyTextChar"/>
        </w:rPr>
        <w:t>Measure reversals reported in either Part 1 of 2 of the measures table need to be reported on the following basis:</w:t>
      </w:r>
    </w:p>
    <w:p w14:paraId="20671D37" w14:textId="77777777" w:rsidR="00FA0945" w:rsidRPr="000C5235" w:rsidRDefault="00FA0945">
      <w:pPr>
        <w:pStyle w:val="Bullet1"/>
        <w:rPr>
          <w:rStyle w:val="BodyTextChar"/>
          <w:rFonts w:asciiTheme="minorHAnsi" w:hAnsiTheme="minorHAnsi"/>
        </w:rPr>
      </w:pPr>
      <w:r w:rsidRPr="000C5235">
        <w:rPr>
          <w:rStyle w:val="BodyTextChar"/>
        </w:rPr>
        <w:t xml:space="preserve">where it is a full reversal, the measure should include dashes in fiscal impact (as zero net fiscal impact) </w:t>
      </w:r>
      <w:r w:rsidR="004B5F4F" w:rsidRPr="000C5235">
        <w:rPr>
          <w:rStyle w:val="BodyTextChar"/>
        </w:rPr>
        <w:t xml:space="preserve">  </w:t>
      </w:r>
      <w:r w:rsidRPr="000C5235">
        <w:rPr>
          <w:rStyle w:val="BodyTextChar"/>
        </w:rPr>
        <w:t>and</w:t>
      </w:r>
    </w:p>
    <w:p w14:paraId="2ED8968E" w14:textId="77777777" w:rsidR="003D0E98" w:rsidRPr="000C5235" w:rsidRDefault="00FA0945">
      <w:pPr>
        <w:pStyle w:val="Bullet1"/>
        <w:rPr>
          <w:rStyle w:val="BodyTextChar"/>
        </w:rPr>
      </w:pPr>
      <w:r w:rsidRPr="000C5235">
        <w:rPr>
          <w:rStyle w:val="BodyTextChar"/>
        </w:rPr>
        <w:t>where it is a partial reversal, the measure should reflect the final amount to be appropriated</w:t>
      </w:r>
      <w:r w:rsidR="00E10C89" w:rsidRPr="000C5235">
        <w:rPr>
          <w:rStyle w:val="BodyTextChar"/>
        </w:rPr>
        <w:t xml:space="preserve"> (ie</w:t>
      </w:r>
      <w:r w:rsidRPr="000C5235">
        <w:rPr>
          <w:rStyle w:val="BodyTextChar"/>
        </w:rPr>
        <w:t xml:space="preserve"> the difference between the initial measure and the partial reversal</w:t>
      </w:r>
      <w:r w:rsidR="00E10C89" w:rsidRPr="000C5235">
        <w:rPr>
          <w:rStyle w:val="BodyTextChar"/>
        </w:rPr>
        <w:t>)</w:t>
      </w:r>
      <w:r w:rsidRPr="000C5235">
        <w:rPr>
          <w:rStyle w:val="BodyTextChar"/>
        </w:rPr>
        <w:t>.</w:t>
      </w:r>
    </w:p>
    <w:p w14:paraId="46149BAE" w14:textId="77777777" w:rsidR="00EE503C" w:rsidRPr="000C5235" w:rsidRDefault="00EE503C" w:rsidP="00BD6313">
      <w:pPr>
        <w:pStyle w:val="Bullet1"/>
        <w:numPr>
          <w:ilvl w:val="0"/>
          <w:numId w:val="0"/>
        </w:numPr>
        <w:ind w:left="360" w:hanging="360"/>
        <w:rPr>
          <w:rStyle w:val="BodyTextChar"/>
        </w:rPr>
      </w:pPr>
    </w:p>
    <w:tbl>
      <w:tblPr>
        <w:tblW w:w="7924" w:type="dxa"/>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924"/>
      </w:tblGrid>
      <w:tr w:rsidR="004D479A" w:rsidRPr="000C5235" w14:paraId="1F4B83ED" w14:textId="77777777" w:rsidTr="00DB312F">
        <w:trPr>
          <w:cantSplit/>
          <w:jc w:val="center"/>
        </w:trPr>
        <w:tc>
          <w:tcPr>
            <w:tcW w:w="7924" w:type="dxa"/>
            <w:shd w:val="clear" w:color="auto" w:fill="DDF3FA"/>
          </w:tcPr>
          <w:p w14:paraId="1FA530BD" w14:textId="77777777" w:rsidR="004D479A" w:rsidRPr="000C5235" w:rsidRDefault="004D479A">
            <w:pPr>
              <w:pStyle w:val="TableText-Normal"/>
              <w:rPr>
                <w:rStyle w:val="BodyTextChar"/>
              </w:rPr>
            </w:pPr>
            <w:r w:rsidRPr="000C5235">
              <w:rPr>
                <w:rStyle w:val="BodyTextChar"/>
              </w:rPr>
              <w:br w:type="page"/>
            </w:r>
            <w:r w:rsidRPr="000C5235">
              <w:br w:type="page"/>
            </w:r>
            <w:r w:rsidRPr="000C5235">
              <w:rPr>
                <w:rStyle w:val="BodyTextChar"/>
              </w:rPr>
              <w:br w:type="page"/>
            </w:r>
            <w:r w:rsidRPr="000C5235">
              <w:rPr>
                <w:rStyle w:val="BodyTextChar"/>
                <w:u w:val="single"/>
              </w:rPr>
              <w:t>Example</w:t>
            </w:r>
            <w:r w:rsidRPr="000C5235">
              <w:rPr>
                <w:rStyle w:val="BodyTextChar"/>
              </w:rPr>
              <w:t xml:space="preserve"> – Reporting Measure Reversals</w:t>
            </w:r>
          </w:p>
        </w:tc>
      </w:tr>
      <w:tr w:rsidR="004D479A" w:rsidRPr="000C5235" w14:paraId="693CFD2C" w14:textId="77777777" w:rsidTr="00BD6313">
        <w:trPr>
          <w:trHeight w:val="57"/>
          <w:jc w:val="center"/>
        </w:trPr>
        <w:tc>
          <w:tcPr>
            <w:tcW w:w="7924" w:type="dxa"/>
          </w:tcPr>
          <w:p w14:paraId="2F10D698" w14:textId="77777777" w:rsidR="004D479A" w:rsidRPr="000C5235" w:rsidRDefault="004D479A">
            <w:pPr>
              <w:pStyle w:val="TableText-Normal"/>
            </w:pPr>
            <w:r w:rsidRPr="000C5235">
              <w:t>Entity X has two measures that were announced in an Economic Statement, the Pre-Election Economic and Fiscal Outlook or the Mid-Year Economic and Fiscal Outlook:</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1820"/>
              <w:gridCol w:w="1156"/>
              <w:gridCol w:w="1156"/>
              <w:gridCol w:w="1156"/>
              <w:gridCol w:w="1156"/>
            </w:tblGrid>
            <w:tr w:rsidR="00EE503C" w:rsidRPr="000C5235" w14:paraId="54CBFEEA" w14:textId="77777777" w:rsidTr="004D479A">
              <w:trPr>
                <w:trHeight w:val="446"/>
                <w:tblHeader/>
                <w:jc w:val="center"/>
              </w:trPr>
              <w:tc>
                <w:tcPr>
                  <w:tcW w:w="1820" w:type="dxa"/>
                </w:tcPr>
                <w:p w14:paraId="3405413D" w14:textId="77777777" w:rsidR="00EE503C" w:rsidRPr="000C5235" w:rsidRDefault="00EE503C">
                  <w:pPr>
                    <w:pStyle w:val="TableText-Normal"/>
                    <w:rPr>
                      <w:rStyle w:val="BodyTextChar"/>
                      <w:b/>
                    </w:rPr>
                  </w:pPr>
                  <w:r w:rsidRPr="000C5235">
                    <w:rPr>
                      <w:rStyle w:val="BodyTextChar"/>
                      <w:b/>
                    </w:rPr>
                    <w:t>Measure Title</w:t>
                  </w:r>
                </w:p>
              </w:tc>
              <w:tc>
                <w:tcPr>
                  <w:tcW w:w="1156" w:type="dxa"/>
                </w:tcPr>
                <w:p w14:paraId="48A48798" w14:textId="77777777" w:rsidR="00EE503C" w:rsidRPr="000C5235" w:rsidRDefault="00EE503C" w:rsidP="000A7DEC">
                  <w:pPr>
                    <w:pStyle w:val="TableText-Normal"/>
                  </w:pPr>
                  <w:r w:rsidRPr="000C5235">
                    <w:t>2020-21</w:t>
                  </w:r>
                </w:p>
                <w:p w14:paraId="6AF2A22A" w14:textId="77777777" w:rsidR="00EE503C" w:rsidRPr="000C5235" w:rsidRDefault="00EE503C" w:rsidP="000A7DEC">
                  <w:pPr>
                    <w:pStyle w:val="TableText-Normal"/>
                  </w:pPr>
                  <w:r w:rsidRPr="000C5235">
                    <w:t>$m</w:t>
                  </w:r>
                </w:p>
              </w:tc>
              <w:tc>
                <w:tcPr>
                  <w:tcW w:w="1156" w:type="dxa"/>
                </w:tcPr>
                <w:p w14:paraId="79441E30" w14:textId="77777777" w:rsidR="00EE503C" w:rsidRPr="000C5235" w:rsidRDefault="00EE503C" w:rsidP="000A7DEC">
                  <w:pPr>
                    <w:pStyle w:val="TableText-Normal"/>
                  </w:pPr>
                  <w:r w:rsidRPr="000C5235">
                    <w:t>2021-22</w:t>
                  </w:r>
                </w:p>
                <w:p w14:paraId="45471E3C" w14:textId="77777777" w:rsidR="00EE503C" w:rsidRPr="000C5235" w:rsidRDefault="00EE503C" w:rsidP="000A7DEC">
                  <w:pPr>
                    <w:pStyle w:val="TableText-Normal"/>
                  </w:pPr>
                  <w:r w:rsidRPr="000C5235">
                    <w:t>$m</w:t>
                  </w:r>
                </w:p>
              </w:tc>
              <w:tc>
                <w:tcPr>
                  <w:tcW w:w="1156" w:type="dxa"/>
                </w:tcPr>
                <w:p w14:paraId="545FB4F1" w14:textId="77777777" w:rsidR="00EE503C" w:rsidRPr="000C5235" w:rsidRDefault="00EE503C" w:rsidP="000A7DEC">
                  <w:pPr>
                    <w:pStyle w:val="TableText-Normal"/>
                  </w:pPr>
                  <w:r w:rsidRPr="000C5235">
                    <w:t>2022-23</w:t>
                  </w:r>
                </w:p>
                <w:p w14:paraId="76AD76E3" w14:textId="77777777" w:rsidR="00EE503C" w:rsidRPr="000C5235" w:rsidRDefault="00EE503C" w:rsidP="000A7DEC">
                  <w:pPr>
                    <w:pStyle w:val="TableText-Normal"/>
                  </w:pPr>
                  <w:r w:rsidRPr="000C5235">
                    <w:t>$m</w:t>
                  </w:r>
                </w:p>
              </w:tc>
              <w:tc>
                <w:tcPr>
                  <w:tcW w:w="1156" w:type="dxa"/>
                </w:tcPr>
                <w:p w14:paraId="77B6CD89" w14:textId="77777777" w:rsidR="00EE503C" w:rsidRPr="000C5235" w:rsidRDefault="00EE503C" w:rsidP="000A7DEC">
                  <w:pPr>
                    <w:pStyle w:val="TableText-Normal"/>
                  </w:pPr>
                  <w:r w:rsidRPr="000C5235">
                    <w:t>2023-24</w:t>
                  </w:r>
                </w:p>
                <w:p w14:paraId="3AF7F057" w14:textId="77777777" w:rsidR="00EE503C" w:rsidRPr="000C5235" w:rsidRDefault="00EE503C" w:rsidP="000A7DEC">
                  <w:pPr>
                    <w:pStyle w:val="TableText-Normal"/>
                  </w:pPr>
                  <w:r w:rsidRPr="000C5235">
                    <w:t>$m</w:t>
                  </w:r>
                </w:p>
              </w:tc>
            </w:tr>
            <w:tr w:rsidR="00EE503C" w:rsidRPr="000C5235" w14:paraId="7991E40E" w14:textId="77777777" w:rsidTr="004D479A">
              <w:trPr>
                <w:trHeight w:val="211"/>
                <w:jc w:val="center"/>
              </w:trPr>
              <w:tc>
                <w:tcPr>
                  <w:tcW w:w="1820" w:type="dxa"/>
                </w:tcPr>
                <w:p w14:paraId="30FF3186" w14:textId="77777777" w:rsidR="00EE503C" w:rsidRPr="000C5235" w:rsidRDefault="00EE503C">
                  <w:pPr>
                    <w:pStyle w:val="TableText-Normal"/>
                    <w:rPr>
                      <w:rStyle w:val="BodyTextChar"/>
                    </w:rPr>
                  </w:pPr>
                  <w:r w:rsidRPr="000C5235">
                    <w:rPr>
                      <w:rStyle w:val="BodyTextChar"/>
                    </w:rPr>
                    <w:t>X Measure</w:t>
                  </w:r>
                </w:p>
              </w:tc>
              <w:tc>
                <w:tcPr>
                  <w:tcW w:w="1156" w:type="dxa"/>
                </w:tcPr>
                <w:p w14:paraId="491BA557" w14:textId="77777777" w:rsidR="00EE503C" w:rsidRPr="000C5235" w:rsidRDefault="00EE503C" w:rsidP="000A7DEC">
                  <w:pPr>
                    <w:pStyle w:val="TableText-Normal"/>
                    <w:rPr>
                      <w:rStyle w:val="BodyTextChar"/>
                    </w:rPr>
                  </w:pPr>
                  <w:r w:rsidRPr="000C5235">
                    <w:rPr>
                      <w:rStyle w:val="BodyTextChar"/>
                    </w:rPr>
                    <w:t>$4</w:t>
                  </w:r>
                </w:p>
              </w:tc>
              <w:tc>
                <w:tcPr>
                  <w:tcW w:w="1156" w:type="dxa"/>
                </w:tcPr>
                <w:p w14:paraId="44A2D545" w14:textId="77777777" w:rsidR="00EE503C" w:rsidRPr="000C5235" w:rsidRDefault="00EE503C" w:rsidP="000A7DEC">
                  <w:pPr>
                    <w:pStyle w:val="TableText-Normal"/>
                    <w:rPr>
                      <w:rStyle w:val="BodyTextChar"/>
                    </w:rPr>
                  </w:pPr>
                  <w:r w:rsidRPr="000C5235">
                    <w:rPr>
                      <w:rStyle w:val="BodyTextChar"/>
                    </w:rPr>
                    <w:t>$6</w:t>
                  </w:r>
                </w:p>
              </w:tc>
              <w:tc>
                <w:tcPr>
                  <w:tcW w:w="1156" w:type="dxa"/>
                </w:tcPr>
                <w:p w14:paraId="35DC89AA" w14:textId="77777777" w:rsidR="00EE503C" w:rsidRPr="000C5235" w:rsidRDefault="00EE503C" w:rsidP="000A7DEC">
                  <w:pPr>
                    <w:pStyle w:val="TableText-Normal"/>
                    <w:rPr>
                      <w:rStyle w:val="BodyTextChar"/>
                    </w:rPr>
                  </w:pPr>
                  <w:r w:rsidRPr="000C5235">
                    <w:rPr>
                      <w:rStyle w:val="BodyTextChar"/>
                    </w:rPr>
                    <w:t>$8</w:t>
                  </w:r>
                </w:p>
              </w:tc>
              <w:tc>
                <w:tcPr>
                  <w:tcW w:w="1156" w:type="dxa"/>
                </w:tcPr>
                <w:p w14:paraId="689A112D" w14:textId="77777777" w:rsidR="00EE503C" w:rsidRPr="000C5235" w:rsidRDefault="00EE503C" w:rsidP="000A7DEC">
                  <w:pPr>
                    <w:pStyle w:val="TableText-Normal"/>
                    <w:rPr>
                      <w:rStyle w:val="BodyTextChar"/>
                    </w:rPr>
                  </w:pPr>
                  <w:r w:rsidRPr="000C5235">
                    <w:rPr>
                      <w:rStyle w:val="BodyTextChar"/>
                    </w:rPr>
                    <w:t>$10</w:t>
                  </w:r>
                </w:p>
              </w:tc>
            </w:tr>
            <w:tr w:rsidR="00EE503C" w:rsidRPr="000C5235" w14:paraId="416FF267" w14:textId="77777777" w:rsidTr="004D479A">
              <w:trPr>
                <w:trHeight w:val="100"/>
                <w:jc w:val="center"/>
              </w:trPr>
              <w:tc>
                <w:tcPr>
                  <w:tcW w:w="1820" w:type="dxa"/>
                </w:tcPr>
                <w:p w14:paraId="6CE6DED3" w14:textId="77777777" w:rsidR="00EE503C" w:rsidRPr="000C5235" w:rsidRDefault="00EE503C">
                  <w:pPr>
                    <w:pStyle w:val="TableText-Normal"/>
                    <w:rPr>
                      <w:rStyle w:val="BodyTextChar"/>
                    </w:rPr>
                  </w:pPr>
                  <w:r w:rsidRPr="000C5235">
                    <w:rPr>
                      <w:rStyle w:val="BodyTextChar"/>
                    </w:rPr>
                    <w:t>Y Measure</w:t>
                  </w:r>
                </w:p>
              </w:tc>
              <w:tc>
                <w:tcPr>
                  <w:tcW w:w="1156" w:type="dxa"/>
                </w:tcPr>
                <w:p w14:paraId="6FFF3AA9" w14:textId="77777777" w:rsidR="00EE503C" w:rsidRPr="000C5235" w:rsidRDefault="00EE503C" w:rsidP="000A7DEC">
                  <w:pPr>
                    <w:pStyle w:val="TableText-Normal"/>
                    <w:rPr>
                      <w:rStyle w:val="BodyTextChar"/>
                    </w:rPr>
                  </w:pPr>
                  <w:r w:rsidRPr="000C5235">
                    <w:rPr>
                      <w:rStyle w:val="BodyTextChar"/>
                    </w:rPr>
                    <w:t>$2</w:t>
                  </w:r>
                </w:p>
              </w:tc>
              <w:tc>
                <w:tcPr>
                  <w:tcW w:w="1156" w:type="dxa"/>
                </w:tcPr>
                <w:p w14:paraId="2D7A68E5" w14:textId="77777777" w:rsidR="00EE503C" w:rsidRPr="000C5235" w:rsidRDefault="00EE503C" w:rsidP="000A7DEC">
                  <w:pPr>
                    <w:pStyle w:val="TableText-Normal"/>
                    <w:rPr>
                      <w:rStyle w:val="BodyTextChar"/>
                    </w:rPr>
                  </w:pPr>
                  <w:r w:rsidRPr="000C5235">
                    <w:rPr>
                      <w:rStyle w:val="BodyTextChar"/>
                    </w:rPr>
                    <w:t>$3</w:t>
                  </w:r>
                </w:p>
              </w:tc>
              <w:tc>
                <w:tcPr>
                  <w:tcW w:w="1156" w:type="dxa"/>
                </w:tcPr>
                <w:p w14:paraId="4C16EAA3" w14:textId="77777777" w:rsidR="00EE503C" w:rsidRPr="000C5235" w:rsidRDefault="00EE503C" w:rsidP="000A7DEC">
                  <w:pPr>
                    <w:pStyle w:val="TableText-Normal"/>
                    <w:rPr>
                      <w:rStyle w:val="BodyTextChar"/>
                    </w:rPr>
                  </w:pPr>
                  <w:r w:rsidRPr="000C5235">
                    <w:rPr>
                      <w:rStyle w:val="BodyTextChar"/>
                    </w:rPr>
                    <w:t>$4</w:t>
                  </w:r>
                </w:p>
              </w:tc>
              <w:tc>
                <w:tcPr>
                  <w:tcW w:w="1156" w:type="dxa"/>
                </w:tcPr>
                <w:p w14:paraId="26345A11" w14:textId="77777777" w:rsidR="00EE503C" w:rsidRPr="000C5235" w:rsidRDefault="00EE503C" w:rsidP="000A7DEC">
                  <w:pPr>
                    <w:pStyle w:val="TableText-Normal"/>
                    <w:rPr>
                      <w:rStyle w:val="BodyTextChar"/>
                    </w:rPr>
                  </w:pPr>
                  <w:r w:rsidRPr="000C5235">
                    <w:rPr>
                      <w:rStyle w:val="BodyTextChar"/>
                    </w:rPr>
                    <w:t>$5</w:t>
                  </w:r>
                </w:p>
              </w:tc>
            </w:tr>
          </w:tbl>
          <w:p w14:paraId="7EB3240B" w14:textId="77777777" w:rsidR="004D479A" w:rsidRPr="000C5235" w:rsidRDefault="004D479A" w:rsidP="000A7DEC">
            <w:pPr>
              <w:pStyle w:val="TableText-Normal"/>
              <w:rPr>
                <w:rStyle w:val="BodyTextChar"/>
              </w:rPr>
            </w:pPr>
            <w:r w:rsidRPr="000C5235">
              <w:rPr>
                <w:rStyle w:val="BodyTextChar"/>
              </w:rPr>
              <w:t>These measures were subsequently reversed at Budget (fully or partially) through the announcement of the following measure reversals:</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1820"/>
              <w:gridCol w:w="1156"/>
              <w:gridCol w:w="1156"/>
              <w:gridCol w:w="1156"/>
              <w:gridCol w:w="1156"/>
            </w:tblGrid>
            <w:tr w:rsidR="00EE503C" w:rsidRPr="000C5235" w14:paraId="10ECA421" w14:textId="77777777" w:rsidTr="004D479A">
              <w:trPr>
                <w:trHeight w:val="446"/>
                <w:jc w:val="center"/>
              </w:trPr>
              <w:tc>
                <w:tcPr>
                  <w:tcW w:w="1820" w:type="dxa"/>
                </w:tcPr>
                <w:p w14:paraId="397AB6E7" w14:textId="77777777" w:rsidR="00EE503C" w:rsidRPr="000C5235" w:rsidRDefault="00EE503C">
                  <w:pPr>
                    <w:pStyle w:val="TableText-Normal"/>
                    <w:rPr>
                      <w:rStyle w:val="BodyTextChar"/>
                      <w:b/>
                    </w:rPr>
                  </w:pPr>
                  <w:r w:rsidRPr="000C5235">
                    <w:rPr>
                      <w:rStyle w:val="BodyTextChar"/>
                      <w:b/>
                    </w:rPr>
                    <w:t>Measure Title</w:t>
                  </w:r>
                </w:p>
              </w:tc>
              <w:tc>
                <w:tcPr>
                  <w:tcW w:w="1156" w:type="dxa"/>
                </w:tcPr>
                <w:p w14:paraId="33C78DF7" w14:textId="77777777" w:rsidR="00EE503C" w:rsidRPr="000C5235" w:rsidRDefault="00EE503C" w:rsidP="000A7DEC">
                  <w:pPr>
                    <w:pStyle w:val="TableText-Normal"/>
                  </w:pPr>
                  <w:r w:rsidRPr="000C5235">
                    <w:t>2020-21</w:t>
                  </w:r>
                </w:p>
                <w:p w14:paraId="099E129A" w14:textId="77777777" w:rsidR="00EE503C" w:rsidRPr="000C5235" w:rsidRDefault="00EE503C" w:rsidP="000A7DEC">
                  <w:pPr>
                    <w:pStyle w:val="TableText-Normal"/>
                  </w:pPr>
                  <w:r w:rsidRPr="000C5235">
                    <w:t>$m</w:t>
                  </w:r>
                </w:p>
              </w:tc>
              <w:tc>
                <w:tcPr>
                  <w:tcW w:w="1156" w:type="dxa"/>
                </w:tcPr>
                <w:p w14:paraId="103C5792" w14:textId="77777777" w:rsidR="00EE503C" w:rsidRPr="000C5235" w:rsidRDefault="00EE503C" w:rsidP="000A7DEC">
                  <w:pPr>
                    <w:pStyle w:val="TableText-Normal"/>
                  </w:pPr>
                  <w:r w:rsidRPr="000C5235">
                    <w:t>2021-22</w:t>
                  </w:r>
                </w:p>
                <w:p w14:paraId="75F8234C" w14:textId="77777777" w:rsidR="00EE503C" w:rsidRPr="000C5235" w:rsidRDefault="00EE503C" w:rsidP="000A7DEC">
                  <w:pPr>
                    <w:pStyle w:val="TableText-Normal"/>
                  </w:pPr>
                  <w:r w:rsidRPr="000C5235">
                    <w:t>$m</w:t>
                  </w:r>
                </w:p>
              </w:tc>
              <w:tc>
                <w:tcPr>
                  <w:tcW w:w="1156" w:type="dxa"/>
                </w:tcPr>
                <w:p w14:paraId="4B6F21B4" w14:textId="77777777" w:rsidR="00EE503C" w:rsidRPr="000C5235" w:rsidRDefault="00EE503C" w:rsidP="000A7DEC">
                  <w:pPr>
                    <w:pStyle w:val="TableText-Normal"/>
                  </w:pPr>
                  <w:r w:rsidRPr="000C5235">
                    <w:t>2022-23</w:t>
                  </w:r>
                </w:p>
                <w:p w14:paraId="016CE36A" w14:textId="77777777" w:rsidR="00EE503C" w:rsidRPr="000C5235" w:rsidRDefault="00EE503C" w:rsidP="000A7DEC">
                  <w:pPr>
                    <w:pStyle w:val="TableText-Normal"/>
                  </w:pPr>
                  <w:r w:rsidRPr="000C5235">
                    <w:t>$m</w:t>
                  </w:r>
                </w:p>
              </w:tc>
              <w:tc>
                <w:tcPr>
                  <w:tcW w:w="1156" w:type="dxa"/>
                </w:tcPr>
                <w:p w14:paraId="495D17FF" w14:textId="77777777" w:rsidR="00EE503C" w:rsidRPr="000C5235" w:rsidRDefault="00EE503C" w:rsidP="000A7DEC">
                  <w:pPr>
                    <w:pStyle w:val="TableText-Normal"/>
                  </w:pPr>
                  <w:r w:rsidRPr="000C5235">
                    <w:t>2023-24</w:t>
                  </w:r>
                </w:p>
                <w:p w14:paraId="136E7E36" w14:textId="77777777" w:rsidR="00EE503C" w:rsidRPr="000C5235" w:rsidRDefault="00EE503C" w:rsidP="000A7DEC">
                  <w:pPr>
                    <w:pStyle w:val="TableText-Normal"/>
                  </w:pPr>
                  <w:r w:rsidRPr="000C5235">
                    <w:t>$m</w:t>
                  </w:r>
                </w:p>
              </w:tc>
            </w:tr>
            <w:tr w:rsidR="00EE503C" w:rsidRPr="000C5235" w14:paraId="28E23AB2" w14:textId="77777777" w:rsidTr="004D479A">
              <w:trPr>
                <w:trHeight w:val="446"/>
                <w:jc w:val="center"/>
              </w:trPr>
              <w:tc>
                <w:tcPr>
                  <w:tcW w:w="1820" w:type="dxa"/>
                </w:tcPr>
                <w:p w14:paraId="6161368A" w14:textId="77777777" w:rsidR="00EE503C" w:rsidRPr="000C5235" w:rsidRDefault="00EE503C">
                  <w:pPr>
                    <w:pStyle w:val="TableText-Normal"/>
                    <w:rPr>
                      <w:rStyle w:val="BodyTextChar"/>
                    </w:rPr>
                  </w:pPr>
                  <w:r w:rsidRPr="000C5235">
                    <w:rPr>
                      <w:rStyle w:val="BodyTextChar"/>
                    </w:rPr>
                    <w:t>X Measure – reduction</w:t>
                  </w:r>
                </w:p>
              </w:tc>
              <w:tc>
                <w:tcPr>
                  <w:tcW w:w="1156" w:type="dxa"/>
                </w:tcPr>
                <w:p w14:paraId="697640F2" w14:textId="77777777" w:rsidR="00EE503C" w:rsidRPr="000C5235" w:rsidRDefault="00EE503C" w:rsidP="000A7DEC">
                  <w:pPr>
                    <w:pStyle w:val="TableText-Normal"/>
                    <w:rPr>
                      <w:rStyle w:val="BodyTextChar"/>
                    </w:rPr>
                  </w:pPr>
                  <w:r w:rsidRPr="000C5235">
                    <w:rPr>
                      <w:rStyle w:val="BodyTextChar"/>
                    </w:rPr>
                    <w:t>($2)</w:t>
                  </w:r>
                </w:p>
              </w:tc>
              <w:tc>
                <w:tcPr>
                  <w:tcW w:w="1156" w:type="dxa"/>
                </w:tcPr>
                <w:p w14:paraId="78A66492" w14:textId="77777777" w:rsidR="00EE503C" w:rsidRPr="000C5235" w:rsidRDefault="00EE503C" w:rsidP="000A7DEC">
                  <w:pPr>
                    <w:pStyle w:val="TableText-Normal"/>
                    <w:rPr>
                      <w:rStyle w:val="BodyTextChar"/>
                    </w:rPr>
                  </w:pPr>
                  <w:r w:rsidRPr="000C5235">
                    <w:rPr>
                      <w:rStyle w:val="BodyTextChar"/>
                    </w:rPr>
                    <w:t>($3)</w:t>
                  </w:r>
                </w:p>
              </w:tc>
              <w:tc>
                <w:tcPr>
                  <w:tcW w:w="1156" w:type="dxa"/>
                </w:tcPr>
                <w:p w14:paraId="226D1B05" w14:textId="77777777" w:rsidR="00EE503C" w:rsidRPr="000C5235" w:rsidRDefault="00EE503C" w:rsidP="000A7DEC">
                  <w:pPr>
                    <w:pStyle w:val="TableText-Normal"/>
                    <w:rPr>
                      <w:rStyle w:val="BodyTextChar"/>
                    </w:rPr>
                  </w:pPr>
                  <w:r w:rsidRPr="000C5235">
                    <w:rPr>
                      <w:rStyle w:val="BodyTextChar"/>
                    </w:rPr>
                    <w:t>($4)</w:t>
                  </w:r>
                </w:p>
              </w:tc>
              <w:tc>
                <w:tcPr>
                  <w:tcW w:w="1156" w:type="dxa"/>
                </w:tcPr>
                <w:p w14:paraId="4EB24A89" w14:textId="77777777" w:rsidR="00EE503C" w:rsidRPr="000C5235" w:rsidRDefault="00EE503C" w:rsidP="000A7DEC">
                  <w:pPr>
                    <w:pStyle w:val="TableText-Normal"/>
                    <w:rPr>
                      <w:rStyle w:val="BodyTextChar"/>
                    </w:rPr>
                  </w:pPr>
                  <w:r w:rsidRPr="000C5235">
                    <w:rPr>
                      <w:rStyle w:val="BodyTextChar"/>
                    </w:rPr>
                    <w:t>($5)</w:t>
                  </w:r>
                </w:p>
              </w:tc>
            </w:tr>
            <w:tr w:rsidR="00EE503C" w:rsidRPr="000C5235" w14:paraId="3A41101A" w14:textId="77777777" w:rsidTr="004D479A">
              <w:trPr>
                <w:trHeight w:val="446"/>
                <w:jc w:val="center"/>
              </w:trPr>
              <w:tc>
                <w:tcPr>
                  <w:tcW w:w="1820" w:type="dxa"/>
                </w:tcPr>
                <w:p w14:paraId="09F278BD" w14:textId="77777777" w:rsidR="00EE503C" w:rsidRPr="000C5235" w:rsidRDefault="00EE503C">
                  <w:pPr>
                    <w:pStyle w:val="TableText-Normal"/>
                    <w:rPr>
                      <w:rStyle w:val="BodyTextChar"/>
                    </w:rPr>
                  </w:pPr>
                  <w:r w:rsidRPr="000C5235">
                    <w:rPr>
                      <w:rStyle w:val="BodyTextChar"/>
                    </w:rPr>
                    <w:t xml:space="preserve">Y Measure </w:t>
                  </w:r>
                  <w:r w:rsidRPr="000C5235">
                    <w:t>–</w:t>
                  </w:r>
                  <w:r w:rsidRPr="000C5235">
                    <w:rPr>
                      <w:rStyle w:val="BodyTextChar"/>
                    </w:rPr>
                    <w:t>cessation</w:t>
                  </w:r>
                </w:p>
              </w:tc>
              <w:tc>
                <w:tcPr>
                  <w:tcW w:w="1156" w:type="dxa"/>
                </w:tcPr>
                <w:p w14:paraId="360E955F" w14:textId="77777777" w:rsidR="00EE503C" w:rsidRPr="000C5235" w:rsidRDefault="00EE503C" w:rsidP="000A7DEC">
                  <w:pPr>
                    <w:pStyle w:val="TableText-Normal"/>
                    <w:rPr>
                      <w:rStyle w:val="BodyTextChar"/>
                    </w:rPr>
                  </w:pPr>
                  <w:r w:rsidRPr="000C5235">
                    <w:rPr>
                      <w:rStyle w:val="BodyTextChar"/>
                    </w:rPr>
                    <w:t>($2)</w:t>
                  </w:r>
                </w:p>
              </w:tc>
              <w:tc>
                <w:tcPr>
                  <w:tcW w:w="1156" w:type="dxa"/>
                </w:tcPr>
                <w:p w14:paraId="68852584" w14:textId="77777777" w:rsidR="00EE503C" w:rsidRPr="000C5235" w:rsidRDefault="00EE503C" w:rsidP="000A7DEC">
                  <w:pPr>
                    <w:pStyle w:val="TableText-Normal"/>
                    <w:rPr>
                      <w:rStyle w:val="BodyTextChar"/>
                    </w:rPr>
                  </w:pPr>
                  <w:r w:rsidRPr="000C5235">
                    <w:rPr>
                      <w:rStyle w:val="BodyTextChar"/>
                    </w:rPr>
                    <w:t>($3)</w:t>
                  </w:r>
                </w:p>
              </w:tc>
              <w:tc>
                <w:tcPr>
                  <w:tcW w:w="1156" w:type="dxa"/>
                </w:tcPr>
                <w:p w14:paraId="56FD2825" w14:textId="77777777" w:rsidR="00EE503C" w:rsidRPr="000C5235" w:rsidRDefault="00EE503C" w:rsidP="000A7DEC">
                  <w:pPr>
                    <w:pStyle w:val="TableText-Normal"/>
                    <w:rPr>
                      <w:rStyle w:val="BodyTextChar"/>
                    </w:rPr>
                  </w:pPr>
                  <w:r w:rsidRPr="000C5235">
                    <w:rPr>
                      <w:rStyle w:val="BodyTextChar"/>
                    </w:rPr>
                    <w:t>($4)</w:t>
                  </w:r>
                </w:p>
              </w:tc>
              <w:tc>
                <w:tcPr>
                  <w:tcW w:w="1156" w:type="dxa"/>
                </w:tcPr>
                <w:p w14:paraId="48FA028F" w14:textId="77777777" w:rsidR="00EE503C" w:rsidRPr="000C5235" w:rsidRDefault="00EE503C" w:rsidP="000A7DEC">
                  <w:pPr>
                    <w:pStyle w:val="TableText-Normal"/>
                    <w:rPr>
                      <w:rStyle w:val="BodyTextChar"/>
                    </w:rPr>
                  </w:pPr>
                  <w:r w:rsidRPr="000C5235">
                    <w:rPr>
                      <w:rStyle w:val="BodyTextChar"/>
                    </w:rPr>
                    <w:t>($5)</w:t>
                  </w:r>
                </w:p>
              </w:tc>
            </w:tr>
          </w:tbl>
          <w:p w14:paraId="6D137B5A" w14:textId="77777777" w:rsidR="004D479A" w:rsidRPr="000C5235" w:rsidRDefault="004D479A">
            <w:pPr>
              <w:pStyle w:val="TableText-Normal"/>
              <w:rPr>
                <w:rStyle w:val="BodyTextChar"/>
              </w:rPr>
            </w:pPr>
            <w:r w:rsidRPr="000C5235">
              <w:rPr>
                <w:rStyle w:val="BodyTextChar"/>
              </w:rPr>
              <w:t>Entity X should report the following in their PB Statements that shows the net effect of these full/partial reversals, with an explanatory footnote to provide context:</w:t>
            </w:r>
          </w:p>
          <w:tbl>
            <w:tblPr>
              <w:tblW w:w="7792" w:type="dxa"/>
              <w:jc w:val="center"/>
              <w:tblLook w:val="04A0" w:firstRow="1" w:lastRow="0" w:firstColumn="1" w:lastColumn="0" w:noHBand="0" w:noVBand="1"/>
            </w:tblPr>
            <w:tblGrid>
              <w:gridCol w:w="2432"/>
              <w:gridCol w:w="1100"/>
              <w:gridCol w:w="852"/>
              <w:gridCol w:w="852"/>
              <w:gridCol w:w="852"/>
              <w:gridCol w:w="852"/>
              <w:gridCol w:w="852"/>
            </w:tblGrid>
            <w:tr w:rsidR="004D479A" w:rsidRPr="000C5235" w14:paraId="2A45EB47" w14:textId="77777777" w:rsidTr="00BD6313">
              <w:trPr>
                <w:trHeight w:val="225"/>
                <w:jc w:val="center"/>
              </w:trPr>
              <w:tc>
                <w:tcPr>
                  <w:tcW w:w="7792" w:type="dxa"/>
                  <w:gridSpan w:val="7"/>
                  <w:tcBorders>
                    <w:top w:val="nil"/>
                    <w:left w:val="nil"/>
                    <w:bottom w:val="nil"/>
                    <w:right w:val="nil"/>
                  </w:tcBorders>
                  <w:shd w:val="clear" w:color="auto" w:fill="auto"/>
                  <w:noWrap/>
                  <w:vAlign w:val="bottom"/>
                  <w:hideMark/>
                </w:tcPr>
                <w:p w14:paraId="1F701798" w14:textId="77777777" w:rsidR="004D479A" w:rsidRPr="000C5235" w:rsidRDefault="004D479A" w:rsidP="000A7DEC">
                  <w:pPr>
                    <w:pStyle w:val="TableText-SuperSmallBold"/>
                  </w:pPr>
                  <w:r w:rsidRPr="000C5235">
                    <w:t xml:space="preserve">Table 1.2:  Entity </w:t>
                  </w:r>
                  <w:r w:rsidR="00DD7AAE" w:rsidRPr="000C5235">
                    <w:t>2020-21</w:t>
                  </w:r>
                  <w:r w:rsidRPr="000C5235">
                    <w:t xml:space="preserve"> Budget Measures</w:t>
                  </w:r>
                </w:p>
              </w:tc>
            </w:tr>
            <w:tr w:rsidR="004D479A" w:rsidRPr="000C5235" w14:paraId="0E72E025" w14:textId="77777777" w:rsidTr="00BD6313">
              <w:trPr>
                <w:trHeight w:val="225"/>
                <w:jc w:val="center"/>
              </w:trPr>
              <w:tc>
                <w:tcPr>
                  <w:tcW w:w="7792" w:type="dxa"/>
                  <w:gridSpan w:val="7"/>
                  <w:tcBorders>
                    <w:top w:val="nil"/>
                    <w:left w:val="nil"/>
                    <w:bottom w:val="nil"/>
                    <w:right w:val="nil"/>
                  </w:tcBorders>
                  <w:shd w:val="clear" w:color="auto" w:fill="auto"/>
                  <w:noWrap/>
                  <w:vAlign w:val="bottom"/>
                  <w:hideMark/>
                </w:tcPr>
                <w:p w14:paraId="575FBA17" w14:textId="77777777" w:rsidR="004D479A" w:rsidRPr="000C5235" w:rsidRDefault="004D479A" w:rsidP="00EE503C">
                  <w:pPr>
                    <w:pStyle w:val="TableText-SuperSmallBold"/>
                  </w:pPr>
                  <w:r w:rsidRPr="000C5235">
                    <w:t xml:space="preserve">Measures announced since the </w:t>
                  </w:r>
                  <w:r w:rsidR="007B6913" w:rsidRPr="000C5235">
                    <w:t>2020</w:t>
                  </w:r>
                  <w:r w:rsidRPr="000C5235">
                    <w:t xml:space="preserve"> </w:t>
                  </w:r>
                  <w:r w:rsidR="00DB1048" w:rsidRPr="000C5235">
                    <w:t>J</w:t>
                  </w:r>
                  <w:r w:rsidR="00EE503C" w:rsidRPr="000C5235">
                    <w:t>uly Economic Statement Update</w:t>
                  </w:r>
                </w:p>
              </w:tc>
            </w:tr>
            <w:tr w:rsidR="00EE503C" w:rsidRPr="000C5235" w14:paraId="3D1E05EA" w14:textId="77777777" w:rsidTr="00BD6313">
              <w:trPr>
                <w:gridAfter w:val="1"/>
                <w:wAfter w:w="852" w:type="dxa"/>
                <w:trHeight w:val="225"/>
                <w:jc w:val="center"/>
              </w:trPr>
              <w:tc>
                <w:tcPr>
                  <w:tcW w:w="2432" w:type="dxa"/>
                  <w:tcBorders>
                    <w:top w:val="single" w:sz="4" w:space="0" w:color="auto"/>
                    <w:left w:val="nil"/>
                    <w:bottom w:val="nil"/>
                    <w:right w:val="nil"/>
                  </w:tcBorders>
                  <w:shd w:val="clear" w:color="auto" w:fill="auto"/>
                  <w:noWrap/>
                  <w:vAlign w:val="bottom"/>
                  <w:hideMark/>
                </w:tcPr>
                <w:p w14:paraId="680DB279" w14:textId="77777777" w:rsidR="00EE503C" w:rsidRPr="000C5235" w:rsidRDefault="00EE503C" w:rsidP="000A7DEC">
                  <w:pPr>
                    <w:pStyle w:val="TableText-SuperSmallBold"/>
                  </w:pPr>
                  <w:r w:rsidRPr="000C5235">
                    <w:t> </w:t>
                  </w:r>
                </w:p>
              </w:tc>
              <w:tc>
                <w:tcPr>
                  <w:tcW w:w="1100" w:type="dxa"/>
                  <w:tcBorders>
                    <w:top w:val="single" w:sz="4" w:space="0" w:color="auto"/>
                    <w:left w:val="nil"/>
                    <w:bottom w:val="nil"/>
                    <w:right w:val="nil"/>
                  </w:tcBorders>
                  <w:shd w:val="clear" w:color="auto" w:fill="auto"/>
                  <w:noWrap/>
                  <w:vAlign w:val="bottom"/>
                  <w:hideMark/>
                </w:tcPr>
                <w:p w14:paraId="7084AD49" w14:textId="77777777" w:rsidR="00EE503C" w:rsidRPr="000C5235" w:rsidRDefault="00EE503C" w:rsidP="000A7DEC">
                  <w:pPr>
                    <w:pStyle w:val="TableText-SuperSmallBold"/>
                  </w:pPr>
                  <w:r w:rsidRPr="000C5235">
                    <w:t>Program</w:t>
                  </w:r>
                </w:p>
              </w:tc>
              <w:tc>
                <w:tcPr>
                  <w:tcW w:w="852" w:type="dxa"/>
                  <w:tcBorders>
                    <w:top w:val="single" w:sz="4" w:space="0" w:color="auto"/>
                    <w:left w:val="nil"/>
                    <w:bottom w:val="nil"/>
                    <w:right w:val="nil"/>
                  </w:tcBorders>
                  <w:shd w:val="clear" w:color="000000" w:fill="FFFFFF"/>
                  <w:noWrap/>
                  <w:vAlign w:val="bottom"/>
                  <w:hideMark/>
                </w:tcPr>
                <w:p w14:paraId="2CF8C7DA" w14:textId="77777777" w:rsidR="00EE503C" w:rsidRPr="000C5235" w:rsidRDefault="00EE503C" w:rsidP="000A7DEC">
                  <w:pPr>
                    <w:pStyle w:val="TableText-SuperSmallBold"/>
                  </w:pPr>
                  <w:r w:rsidRPr="000C5235">
                    <w:t>2020-21</w:t>
                  </w:r>
                </w:p>
              </w:tc>
              <w:tc>
                <w:tcPr>
                  <w:tcW w:w="852" w:type="dxa"/>
                  <w:tcBorders>
                    <w:top w:val="single" w:sz="4" w:space="0" w:color="auto"/>
                    <w:left w:val="nil"/>
                    <w:bottom w:val="nil"/>
                    <w:right w:val="nil"/>
                  </w:tcBorders>
                  <w:shd w:val="clear" w:color="000000" w:fill="E6E6E6"/>
                  <w:noWrap/>
                  <w:vAlign w:val="bottom"/>
                  <w:hideMark/>
                </w:tcPr>
                <w:p w14:paraId="5F17B343" w14:textId="77777777" w:rsidR="00EE503C" w:rsidRPr="000C5235" w:rsidRDefault="00EE503C" w:rsidP="000A7DEC">
                  <w:pPr>
                    <w:pStyle w:val="TableText-SuperSmallBold"/>
                  </w:pPr>
                  <w:r w:rsidRPr="000C5235">
                    <w:t>2021-22</w:t>
                  </w:r>
                </w:p>
              </w:tc>
              <w:tc>
                <w:tcPr>
                  <w:tcW w:w="852" w:type="dxa"/>
                  <w:tcBorders>
                    <w:top w:val="single" w:sz="4" w:space="0" w:color="auto"/>
                    <w:left w:val="nil"/>
                    <w:bottom w:val="nil"/>
                    <w:right w:val="nil"/>
                  </w:tcBorders>
                  <w:shd w:val="clear" w:color="000000" w:fill="FFFFFF"/>
                  <w:noWrap/>
                  <w:vAlign w:val="bottom"/>
                  <w:hideMark/>
                </w:tcPr>
                <w:p w14:paraId="2B44EC9B" w14:textId="77777777" w:rsidR="00EE503C" w:rsidRPr="000C5235" w:rsidRDefault="00EE503C" w:rsidP="000A7DEC">
                  <w:pPr>
                    <w:pStyle w:val="TableText-SuperSmallBold"/>
                  </w:pPr>
                  <w:r w:rsidRPr="000C5235">
                    <w:t>2022-23</w:t>
                  </w:r>
                </w:p>
              </w:tc>
              <w:tc>
                <w:tcPr>
                  <w:tcW w:w="852" w:type="dxa"/>
                  <w:tcBorders>
                    <w:top w:val="single" w:sz="4" w:space="0" w:color="auto"/>
                    <w:left w:val="nil"/>
                    <w:bottom w:val="nil"/>
                    <w:right w:val="nil"/>
                  </w:tcBorders>
                  <w:shd w:val="clear" w:color="000000" w:fill="E6E6E6"/>
                  <w:noWrap/>
                  <w:vAlign w:val="bottom"/>
                  <w:hideMark/>
                </w:tcPr>
                <w:p w14:paraId="0E35B2EE" w14:textId="77777777" w:rsidR="00EE503C" w:rsidRPr="000C5235" w:rsidRDefault="00EE503C" w:rsidP="000A7DEC">
                  <w:pPr>
                    <w:pStyle w:val="TableText-SuperSmallBold"/>
                  </w:pPr>
                  <w:r w:rsidRPr="000C5235">
                    <w:t>2023-24</w:t>
                  </w:r>
                </w:p>
              </w:tc>
            </w:tr>
            <w:tr w:rsidR="00EE503C" w:rsidRPr="000C5235" w14:paraId="10C56144"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43D5B75A" w14:textId="77777777" w:rsidR="00EE503C" w:rsidRPr="000C5235" w:rsidRDefault="00EE503C" w:rsidP="000A7DEC">
                  <w:pPr>
                    <w:pStyle w:val="TableText-SuperSmallBold"/>
                  </w:pPr>
                </w:p>
              </w:tc>
              <w:tc>
                <w:tcPr>
                  <w:tcW w:w="1100" w:type="dxa"/>
                  <w:tcBorders>
                    <w:top w:val="nil"/>
                    <w:left w:val="nil"/>
                    <w:bottom w:val="single" w:sz="4" w:space="0" w:color="auto"/>
                    <w:right w:val="nil"/>
                  </w:tcBorders>
                  <w:shd w:val="clear" w:color="auto" w:fill="auto"/>
                  <w:noWrap/>
                  <w:vAlign w:val="bottom"/>
                  <w:hideMark/>
                </w:tcPr>
                <w:p w14:paraId="78E7CD43" w14:textId="77777777" w:rsidR="00EE503C" w:rsidRPr="000C5235" w:rsidRDefault="00EE503C" w:rsidP="000A7DEC">
                  <w:pPr>
                    <w:pStyle w:val="TableText-SuperSmallBold"/>
                  </w:pPr>
                  <w:r w:rsidRPr="000C5235">
                    <w:t> </w:t>
                  </w:r>
                </w:p>
              </w:tc>
              <w:tc>
                <w:tcPr>
                  <w:tcW w:w="852" w:type="dxa"/>
                  <w:tcBorders>
                    <w:top w:val="nil"/>
                    <w:left w:val="nil"/>
                    <w:bottom w:val="single" w:sz="4" w:space="0" w:color="auto"/>
                    <w:right w:val="nil"/>
                  </w:tcBorders>
                  <w:shd w:val="clear" w:color="000000" w:fill="FFFFFF"/>
                  <w:noWrap/>
                  <w:vAlign w:val="bottom"/>
                  <w:hideMark/>
                </w:tcPr>
                <w:p w14:paraId="6FBA6DCF" w14:textId="77777777" w:rsidR="00EE503C" w:rsidRPr="000C5235" w:rsidRDefault="00EE503C" w:rsidP="000A7DEC">
                  <w:pPr>
                    <w:pStyle w:val="TableText-SuperSmallBold"/>
                  </w:pPr>
                  <w:r w:rsidRPr="000C5235">
                    <w:t>$'000</w:t>
                  </w:r>
                </w:p>
              </w:tc>
              <w:tc>
                <w:tcPr>
                  <w:tcW w:w="852" w:type="dxa"/>
                  <w:tcBorders>
                    <w:top w:val="nil"/>
                    <w:left w:val="nil"/>
                    <w:bottom w:val="single" w:sz="4" w:space="0" w:color="auto"/>
                    <w:right w:val="nil"/>
                  </w:tcBorders>
                  <w:shd w:val="clear" w:color="000000" w:fill="E6E6E6"/>
                  <w:noWrap/>
                  <w:vAlign w:val="bottom"/>
                  <w:hideMark/>
                </w:tcPr>
                <w:p w14:paraId="5E13A2BF" w14:textId="77777777" w:rsidR="00EE503C" w:rsidRPr="000C5235" w:rsidRDefault="00EE503C" w:rsidP="000A7DEC">
                  <w:pPr>
                    <w:pStyle w:val="TableText-SuperSmallBold"/>
                  </w:pPr>
                  <w:r w:rsidRPr="000C5235">
                    <w:t>$'000</w:t>
                  </w:r>
                </w:p>
              </w:tc>
              <w:tc>
                <w:tcPr>
                  <w:tcW w:w="852" w:type="dxa"/>
                  <w:tcBorders>
                    <w:top w:val="nil"/>
                    <w:left w:val="nil"/>
                    <w:bottom w:val="single" w:sz="4" w:space="0" w:color="auto"/>
                    <w:right w:val="nil"/>
                  </w:tcBorders>
                  <w:shd w:val="clear" w:color="000000" w:fill="FFFFFF"/>
                  <w:noWrap/>
                  <w:vAlign w:val="bottom"/>
                  <w:hideMark/>
                </w:tcPr>
                <w:p w14:paraId="32575FAA" w14:textId="77777777" w:rsidR="00EE503C" w:rsidRPr="000C5235" w:rsidRDefault="00EE503C" w:rsidP="000A7DEC">
                  <w:pPr>
                    <w:pStyle w:val="TableText-SuperSmallBold"/>
                  </w:pPr>
                  <w:r w:rsidRPr="000C5235">
                    <w:t>$'000</w:t>
                  </w:r>
                </w:p>
              </w:tc>
              <w:tc>
                <w:tcPr>
                  <w:tcW w:w="852" w:type="dxa"/>
                  <w:tcBorders>
                    <w:top w:val="nil"/>
                    <w:left w:val="nil"/>
                    <w:bottom w:val="single" w:sz="4" w:space="0" w:color="auto"/>
                    <w:right w:val="nil"/>
                  </w:tcBorders>
                  <w:shd w:val="clear" w:color="000000" w:fill="E6E6E6"/>
                  <w:noWrap/>
                  <w:vAlign w:val="bottom"/>
                  <w:hideMark/>
                </w:tcPr>
                <w:p w14:paraId="5CFDD446" w14:textId="77777777" w:rsidR="00EE503C" w:rsidRPr="000C5235" w:rsidRDefault="00EE503C" w:rsidP="000A7DEC">
                  <w:pPr>
                    <w:pStyle w:val="TableText-SuperSmallBold"/>
                  </w:pPr>
                  <w:r w:rsidRPr="000C5235">
                    <w:t>$'000</w:t>
                  </w:r>
                </w:p>
              </w:tc>
            </w:tr>
            <w:tr w:rsidR="00EE503C" w:rsidRPr="000C5235" w14:paraId="4C51D66F"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7F312D63" w14:textId="77777777" w:rsidR="00EE503C" w:rsidRPr="000C5235" w:rsidRDefault="00EE503C" w:rsidP="000A7DEC">
                  <w:pPr>
                    <w:pStyle w:val="TableText-SuperSmallBold"/>
                  </w:pPr>
                  <w:r w:rsidRPr="000C5235">
                    <w:t>Expense measures</w:t>
                  </w:r>
                </w:p>
              </w:tc>
              <w:tc>
                <w:tcPr>
                  <w:tcW w:w="1100" w:type="dxa"/>
                  <w:tcBorders>
                    <w:top w:val="nil"/>
                    <w:left w:val="nil"/>
                    <w:bottom w:val="nil"/>
                    <w:right w:val="nil"/>
                  </w:tcBorders>
                  <w:shd w:val="clear" w:color="auto" w:fill="auto"/>
                  <w:noWrap/>
                  <w:vAlign w:val="bottom"/>
                  <w:hideMark/>
                </w:tcPr>
                <w:p w14:paraId="1CA73E4E"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570DFC3E"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4E92C26B"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FFFFFF"/>
                  <w:noWrap/>
                  <w:vAlign w:val="bottom"/>
                  <w:hideMark/>
                </w:tcPr>
                <w:p w14:paraId="6F397249"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09E25E8C" w14:textId="77777777" w:rsidR="00EE503C" w:rsidRPr="000C5235" w:rsidRDefault="00EE503C" w:rsidP="000A7DEC">
                  <w:pPr>
                    <w:pStyle w:val="TableText-SuperSmallBold"/>
                  </w:pPr>
                  <w:r w:rsidRPr="000C5235">
                    <w:t> </w:t>
                  </w:r>
                </w:p>
              </w:tc>
            </w:tr>
            <w:tr w:rsidR="00EE503C" w:rsidRPr="000C5235" w14:paraId="0A84E3AE"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7A9C354A" w14:textId="77777777" w:rsidR="00EE503C" w:rsidRPr="000C5235" w:rsidRDefault="00EE503C" w:rsidP="000A7DEC">
                  <w:pPr>
                    <w:pStyle w:val="TableText-SuperSmallBold"/>
                  </w:pPr>
                  <w:r w:rsidRPr="000C5235">
                    <w:t>X Measure (a)</w:t>
                  </w:r>
                </w:p>
              </w:tc>
              <w:tc>
                <w:tcPr>
                  <w:tcW w:w="1100" w:type="dxa"/>
                  <w:tcBorders>
                    <w:top w:val="nil"/>
                    <w:left w:val="nil"/>
                    <w:bottom w:val="nil"/>
                    <w:right w:val="nil"/>
                  </w:tcBorders>
                  <w:shd w:val="clear" w:color="auto" w:fill="auto"/>
                  <w:noWrap/>
                  <w:vAlign w:val="bottom"/>
                  <w:hideMark/>
                </w:tcPr>
                <w:p w14:paraId="55B55756" w14:textId="77777777" w:rsidR="00EE503C" w:rsidRPr="000C5235" w:rsidRDefault="00EE503C" w:rsidP="000A7DEC">
                  <w:pPr>
                    <w:pStyle w:val="TableText-SuperSmallBold"/>
                  </w:pPr>
                  <w:r w:rsidRPr="000C5235">
                    <w:t xml:space="preserve"> 1.1 </w:t>
                  </w:r>
                </w:p>
              </w:tc>
              <w:tc>
                <w:tcPr>
                  <w:tcW w:w="852" w:type="dxa"/>
                  <w:tcBorders>
                    <w:top w:val="nil"/>
                    <w:left w:val="nil"/>
                    <w:bottom w:val="nil"/>
                    <w:right w:val="nil"/>
                  </w:tcBorders>
                  <w:shd w:val="clear" w:color="000000" w:fill="FFFFFF"/>
                  <w:noWrap/>
                  <w:vAlign w:val="bottom"/>
                  <w:hideMark/>
                </w:tcPr>
                <w:p w14:paraId="28E45709"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E6E6E6"/>
                  <w:noWrap/>
                  <w:vAlign w:val="bottom"/>
                  <w:hideMark/>
                </w:tcPr>
                <w:p w14:paraId="5AEBB11C"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1EF66BE5"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E6E6E6"/>
                  <w:noWrap/>
                  <w:vAlign w:val="bottom"/>
                  <w:hideMark/>
                </w:tcPr>
                <w:p w14:paraId="6E95F92B" w14:textId="77777777" w:rsidR="00EE503C" w:rsidRPr="000C5235" w:rsidRDefault="00EE503C" w:rsidP="000A7DEC">
                  <w:pPr>
                    <w:pStyle w:val="TableText-SuperSmallBold"/>
                  </w:pPr>
                </w:p>
              </w:tc>
            </w:tr>
            <w:tr w:rsidR="00EE503C" w:rsidRPr="000C5235" w14:paraId="1C60EB4E"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271F43D5" w14:textId="77777777" w:rsidR="00EE503C" w:rsidRPr="000C5235" w:rsidRDefault="00EE503C" w:rsidP="000A7DEC">
                  <w:pPr>
                    <w:pStyle w:val="TableText-SuperSmallBold"/>
                  </w:pPr>
                  <w:r w:rsidRPr="000C5235">
                    <w:t>Administered expenses</w:t>
                  </w:r>
                </w:p>
              </w:tc>
              <w:tc>
                <w:tcPr>
                  <w:tcW w:w="1100" w:type="dxa"/>
                  <w:tcBorders>
                    <w:top w:val="nil"/>
                    <w:left w:val="nil"/>
                    <w:bottom w:val="nil"/>
                    <w:right w:val="nil"/>
                  </w:tcBorders>
                  <w:shd w:val="clear" w:color="auto" w:fill="auto"/>
                  <w:noWrap/>
                  <w:vAlign w:val="bottom"/>
                  <w:hideMark/>
                </w:tcPr>
                <w:p w14:paraId="757A1000"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66C4D718" w14:textId="77777777" w:rsidR="00EE503C" w:rsidRPr="000C5235" w:rsidRDefault="00EE503C" w:rsidP="000A7DEC">
                  <w:pPr>
                    <w:pStyle w:val="TableText-SuperSmallBold"/>
                  </w:pPr>
                  <w:r w:rsidRPr="000C5235">
                    <w:t>2,000</w:t>
                  </w:r>
                </w:p>
              </w:tc>
              <w:tc>
                <w:tcPr>
                  <w:tcW w:w="852" w:type="dxa"/>
                  <w:tcBorders>
                    <w:top w:val="nil"/>
                    <w:left w:val="nil"/>
                    <w:bottom w:val="nil"/>
                    <w:right w:val="nil"/>
                  </w:tcBorders>
                  <w:shd w:val="clear" w:color="000000" w:fill="E6E6E6"/>
                  <w:noWrap/>
                  <w:vAlign w:val="bottom"/>
                  <w:hideMark/>
                </w:tcPr>
                <w:p w14:paraId="287CA0BE" w14:textId="77777777" w:rsidR="00EE503C" w:rsidRPr="000C5235" w:rsidRDefault="00EE503C" w:rsidP="000A7DEC">
                  <w:pPr>
                    <w:pStyle w:val="TableText-SuperSmallBold"/>
                  </w:pPr>
                  <w:r w:rsidRPr="000C5235">
                    <w:t>3,000</w:t>
                  </w:r>
                </w:p>
              </w:tc>
              <w:tc>
                <w:tcPr>
                  <w:tcW w:w="852" w:type="dxa"/>
                  <w:tcBorders>
                    <w:top w:val="nil"/>
                    <w:left w:val="nil"/>
                    <w:bottom w:val="nil"/>
                    <w:right w:val="nil"/>
                  </w:tcBorders>
                  <w:shd w:val="clear" w:color="000000" w:fill="FFFFFF"/>
                  <w:noWrap/>
                  <w:vAlign w:val="bottom"/>
                  <w:hideMark/>
                </w:tcPr>
                <w:p w14:paraId="502F5783" w14:textId="77777777" w:rsidR="00EE503C" w:rsidRPr="000C5235" w:rsidRDefault="00EE503C" w:rsidP="000A7DEC">
                  <w:pPr>
                    <w:pStyle w:val="TableText-SuperSmallBold"/>
                  </w:pPr>
                  <w:r w:rsidRPr="000C5235">
                    <w:t>4,000</w:t>
                  </w:r>
                </w:p>
              </w:tc>
              <w:tc>
                <w:tcPr>
                  <w:tcW w:w="852" w:type="dxa"/>
                  <w:tcBorders>
                    <w:top w:val="nil"/>
                    <w:left w:val="nil"/>
                    <w:bottom w:val="nil"/>
                    <w:right w:val="nil"/>
                  </w:tcBorders>
                  <w:shd w:val="clear" w:color="000000" w:fill="E6E6E6"/>
                  <w:noWrap/>
                  <w:vAlign w:val="bottom"/>
                  <w:hideMark/>
                </w:tcPr>
                <w:p w14:paraId="433D2929" w14:textId="77777777" w:rsidR="00EE503C" w:rsidRPr="000C5235" w:rsidRDefault="00EE503C" w:rsidP="000A7DEC">
                  <w:pPr>
                    <w:pStyle w:val="TableText-SuperSmallBold"/>
                  </w:pPr>
                  <w:r w:rsidRPr="000C5235">
                    <w:t>5,000</w:t>
                  </w:r>
                </w:p>
              </w:tc>
            </w:tr>
            <w:tr w:rsidR="00EE503C" w:rsidRPr="000C5235" w14:paraId="2B591910"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4D2FC7E8" w14:textId="77777777" w:rsidR="00EE503C" w:rsidRPr="000C5235" w:rsidRDefault="00EE503C" w:rsidP="000A7DEC">
                  <w:pPr>
                    <w:pStyle w:val="TableText-SuperSmallBold"/>
                  </w:pPr>
                  <w:r w:rsidRPr="000C5235">
                    <w:t xml:space="preserve">Total </w:t>
                  </w:r>
                </w:p>
              </w:tc>
              <w:tc>
                <w:tcPr>
                  <w:tcW w:w="1100" w:type="dxa"/>
                  <w:tcBorders>
                    <w:top w:val="nil"/>
                    <w:left w:val="nil"/>
                    <w:bottom w:val="nil"/>
                    <w:right w:val="nil"/>
                  </w:tcBorders>
                  <w:shd w:val="clear" w:color="auto" w:fill="auto"/>
                  <w:noWrap/>
                  <w:vAlign w:val="bottom"/>
                  <w:hideMark/>
                </w:tcPr>
                <w:p w14:paraId="3D14EE71"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670C32C0" w14:textId="77777777" w:rsidR="00EE503C" w:rsidRPr="000C5235" w:rsidRDefault="00EE503C" w:rsidP="000A7DEC">
                  <w:pPr>
                    <w:pStyle w:val="TableText-SuperSmallBold"/>
                  </w:pPr>
                  <w:r w:rsidRPr="000C5235">
                    <w:t>2,000</w:t>
                  </w:r>
                </w:p>
              </w:tc>
              <w:tc>
                <w:tcPr>
                  <w:tcW w:w="852" w:type="dxa"/>
                  <w:tcBorders>
                    <w:top w:val="nil"/>
                    <w:left w:val="nil"/>
                    <w:bottom w:val="nil"/>
                    <w:right w:val="nil"/>
                  </w:tcBorders>
                  <w:shd w:val="clear" w:color="000000" w:fill="E6E6E6"/>
                  <w:noWrap/>
                  <w:vAlign w:val="bottom"/>
                  <w:hideMark/>
                </w:tcPr>
                <w:p w14:paraId="5A03D773" w14:textId="77777777" w:rsidR="00EE503C" w:rsidRPr="000C5235" w:rsidRDefault="00EE503C" w:rsidP="000A7DEC">
                  <w:pPr>
                    <w:pStyle w:val="TableText-SuperSmallBold"/>
                  </w:pPr>
                  <w:r w:rsidRPr="000C5235">
                    <w:t>3,000</w:t>
                  </w:r>
                </w:p>
              </w:tc>
              <w:tc>
                <w:tcPr>
                  <w:tcW w:w="852" w:type="dxa"/>
                  <w:tcBorders>
                    <w:top w:val="nil"/>
                    <w:left w:val="nil"/>
                    <w:bottom w:val="nil"/>
                    <w:right w:val="nil"/>
                  </w:tcBorders>
                  <w:shd w:val="clear" w:color="000000" w:fill="FFFFFF"/>
                  <w:noWrap/>
                  <w:vAlign w:val="bottom"/>
                  <w:hideMark/>
                </w:tcPr>
                <w:p w14:paraId="606D3F9A" w14:textId="77777777" w:rsidR="00EE503C" w:rsidRPr="000C5235" w:rsidRDefault="00EE503C" w:rsidP="000A7DEC">
                  <w:pPr>
                    <w:pStyle w:val="TableText-SuperSmallBold"/>
                  </w:pPr>
                  <w:r w:rsidRPr="000C5235">
                    <w:t>4,000</w:t>
                  </w:r>
                </w:p>
              </w:tc>
              <w:tc>
                <w:tcPr>
                  <w:tcW w:w="852" w:type="dxa"/>
                  <w:tcBorders>
                    <w:top w:val="nil"/>
                    <w:left w:val="nil"/>
                    <w:bottom w:val="nil"/>
                    <w:right w:val="nil"/>
                  </w:tcBorders>
                  <w:shd w:val="clear" w:color="000000" w:fill="E6E6E6"/>
                  <w:noWrap/>
                  <w:vAlign w:val="bottom"/>
                  <w:hideMark/>
                </w:tcPr>
                <w:p w14:paraId="5A2DD534" w14:textId="77777777" w:rsidR="00EE503C" w:rsidRPr="000C5235" w:rsidRDefault="00EE503C" w:rsidP="000A7DEC">
                  <w:pPr>
                    <w:pStyle w:val="TableText-SuperSmallBold"/>
                  </w:pPr>
                  <w:r w:rsidRPr="000C5235">
                    <w:t>5,000</w:t>
                  </w:r>
                </w:p>
              </w:tc>
            </w:tr>
            <w:tr w:rsidR="00EE503C" w:rsidRPr="000C5235" w14:paraId="574EA0E8" w14:textId="77777777" w:rsidTr="00BD6313">
              <w:trPr>
                <w:gridAfter w:val="1"/>
                <w:wAfter w:w="852" w:type="dxa"/>
                <w:trHeight w:val="60"/>
                <w:jc w:val="center"/>
              </w:trPr>
              <w:tc>
                <w:tcPr>
                  <w:tcW w:w="2432" w:type="dxa"/>
                  <w:tcBorders>
                    <w:top w:val="nil"/>
                    <w:left w:val="nil"/>
                    <w:bottom w:val="nil"/>
                    <w:right w:val="nil"/>
                  </w:tcBorders>
                  <w:shd w:val="clear" w:color="auto" w:fill="auto"/>
                  <w:noWrap/>
                  <w:vAlign w:val="bottom"/>
                  <w:hideMark/>
                </w:tcPr>
                <w:p w14:paraId="1423473E" w14:textId="77777777" w:rsidR="00EE503C" w:rsidRPr="000C5235" w:rsidRDefault="00EE503C" w:rsidP="000A7DEC">
                  <w:pPr>
                    <w:pStyle w:val="TableText-SuperSmallBold"/>
                  </w:pPr>
                </w:p>
              </w:tc>
              <w:tc>
                <w:tcPr>
                  <w:tcW w:w="1100" w:type="dxa"/>
                  <w:tcBorders>
                    <w:top w:val="nil"/>
                    <w:left w:val="nil"/>
                    <w:bottom w:val="nil"/>
                    <w:right w:val="nil"/>
                  </w:tcBorders>
                  <w:shd w:val="clear" w:color="auto" w:fill="auto"/>
                  <w:noWrap/>
                  <w:vAlign w:val="bottom"/>
                  <w:hideMark/>
                </w:tcPr>
                <w:p w14:paraId="2870D37E"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0B6E4492"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20494692"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FFFFFF"/>
                  <w:noWrap/>
                  <w:vAlign w:val="bottom"/>
                  <w:hideMark/>
                </w:tcPr>
                <w:p w14:paraId="362504FD"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453D2F5B" w14:textId="77777777" w:rsidR="00EE503C" w:rsidRPr="000C5235" w:rsidRDefault="00EE503C" w:rsidP="000A7DEC">
                  <w:pPr>
                    <w:pStyle w:val="TableText-SuperSmallBold"/>
                  </w:pPr>
                  <w:r w:rsidRPr="000C5235">
                    <w:t> </w:t>
                  </w:r>
                </w:p>
              </w:tc>
            </w:tr>
            <w:tr w:rsidR="00EE503C" w:rsidRPr="000C5235" w14:paraId="19B04AD2"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7E7FBEDE" w14:textId="77777777" w:rsidR="00EE503C" w:rsidRPr="000C5235" w:rsidRDefault="00EE503C" w:rsidP="000A7DEC">
                  <w:pPr>
                    <w:pStyle w:val="TableText-SuperSmallBold"/>
                  </w:pPr>
                  <w:r w:rsidRPr="000C5235">
                    <w:t>Y Measure (b)</w:t>
                  </w:r>
                </w:p>
              </w:tc>
              <w:tc>
                <w:tcPr>
                  <w:tcW w:w="1100" w:type="dxa"/>
                  <w:tcBorders>
                    <w:top w:val="nil"/>
                    <w:left w:val="nil"/>
                    <w:bottom w:val="nil"/>
                    <w:right w:val="nil"/>
                  </w:tcBorders>
                  <w:shd w:val="clear" w:color="auto" w:fill="auto"/>
                  <w:noWrap/>
                  <w:vAlign w:val="bottom"/>
                  <w:hideMark/>
                </w:tcPr>
                <w:p w14:paraId="05CA3BA5" w14:textId="77777777" w:rsidR="00EE503C" w:rsidRPr="000C5235" w:rsidRDefault="00EE503C" w:rsidP="000A7DEC">
                  <w:pPr>
                    <w:pStyle w:val="TableText-SuperSmallBold"/>
                  </w:pPr>
                  <w:r w:rsidRPr="000C5235">
                    <w:t xml:space="preserve"> 2.2 </w:t>
                  </w:r>
                </w:p>
              </w:tc>
              <w:tc>
                <w:tcPr>
                  <w:tcW w:w="852" w:type="dxa"/>
                  <w:tcBorders>
                    <w:top w:val="nil"/>
                    <w:left w:val="nil"/>
                    <w:bottom w:val="nil"/>
                    <w:right w:val="nil"/>
                  </w:tcBorders>
                  <w:shd w:val="clear" w:color="000000" w:fill="FFFFFF"/>
                  <w:noWrap/>
                  <w:vAlign w:val="bottom"/>
                  <w:hideMark/>
                </w:tcPr>
                <w:p w14:paraId="3A5ED91F"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63BC4C3B"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FFFFFF"/>
                  <w:noWrap/>
                  <w:vAlign w:val="bottom"/>
                  <w:hideMark/>
                </w:tcPr>
                <w:p w14:paraId="49C568B2" w14:textId="77777777" w:rsidR="00EE503C" w:rsidRPr="000C5235" w:rsidRDefault="00EE503C" w:rsidP="000A7DEC">
                  <w:pPr>
                    <w:pStyle w:val="TableText-SuperSmallBold"/>
                  </w:pPr>
                  <w:r w:rsidRPr="000C5235">
                    <w:t> </w:t>
                  </w:r>
                </w:p>
              </w:tc>
              <w:tc>
                <w:tcPr>
                  <w:tcW w:w="852" w:type="dxa"/>
                  <w:tcBorders>
                    <w:top w:val="nil"/>
                    <w:left w:val="nil"/>
                    <w:bottom w:val="nil"/>
                    <w:right w:val="nil"/>
                  </w:tcBorders>
                  <w:shd w:val="clear" w:color="000000" w:fill="E6E6E6"/>
                  <w:noWrap/>
                  <w:vAlign w:val="bottom"/>
                  <w:hideMark/>
                </w:tcPr>
                <w:p w14:paraId="354E58C5" w14:textId="77777777" w:rsidR="00EE503C" w:rsidRPr="000C5235" w:rsidRDefault="00EE503C" w:rsidP="000A7DEC">
                  <w:pPr>
                    <w:pStyle w:val="TableText-SuperSmallBold"/>
                  </w:pPr>
                  <w:r w:rsidRPr="000C5235">
                    <w:t> </w:t>
                  </w:r>
                </w:p>
              </w:tc>
            </w:tr>
            <w:tr w:rsidR="00EE503C" w:rsidRPr="000C5235" w14:paraId="7A16F5ED" w14:textId="77777777" w:rsidTr="00BD6313">
              <w:trPr>
                <w:gridAfter w:val="1"/>
                <w:wAfter w:w="852" w:type="dxa"/>
                <w:trHeight w:val="225"/>
                <w:jc w:val="center"/>
              </w:trPr>
              <w:tc>
                <w:tcPr>
                  <w:tcW w:w="2432" w:type="dxa"/>
                  <w:tcBorders>
                    <w:top w:val="nil"/>
                    <w:left w:val="nil"/>
                    <w:bottom w:val="nil"/>
                    <w:right w:val="nil"/>
                  </w:tcBorders>
                  <w:shd w:val="clear" w:color="auto" w:fill="auto"/>
                  <w:noWrap/>
                  <w:vAlign w:val="bottom"/>
                  <w:hideMark/>
                </w:tcPr>
                <w:p w14:paraId="1B33182F" w14:textId="77777777" w:rsidR="00EE503C" w:rsidRPr="000C5235" w:rsidRDefault="00EE503C" w:rsidP="000A7DEC">
                  <w:pPr>
                    <w:pStyle w:val="TableText-SuperSmallBold"/>
                  </w:pPr>
                  <w:r w:rsidRPr="000C5235">
                    <w:t>Administered expenses</w:t>
                  </w:r>
                </w:p>
              </w:tc>
              <w:tc>
                <w:tcPr>
                  <w:tcW w:w="1100" w:type="dxa"/>
                  <w:tcBorders>
                    <w:top w:val="nil"/>
                    <w:left w:val="nil"/>
                    <w:bottom w:val="nil"/>
                    <w:right w:val="nil"/>
                  </w:tcBorders>
                  <w:shd w:val="clear" w:color="auto" w:fill="auto"/>
                  <w:noWrap/>
                  <w:vAlign w:val="bottom"/>
                  <w:hideMark/>
                </w:tcPr>
                <w:p w14:paraId="123377E7" w14:textId="77777777" w:rsidR="00EE503C" w:rsidRPr="000C5235" w:rsidRDefault="00EE503C" w:rsidP="000A7DEC">
                  <w:pPr>
                    <w:pStyle w:val="TableText-SuperSmallBold"/>
                  </w:pPr>
                </w:p>
              </w:tc>
              <w:tc>
                <w:tcPr>
                  <w:tcW w:w="852" w:type="dxa"/>
                  <w:tcBorders>
                    <w:top w:val="nil"/>
                    <w:left w:val="nil"/>
                    <w:bottom w:val="nil"/>
                    <w:right w:val="nil"/>
                  </w:tcBorders>
                  <w:shd w:val="clear" w:color="000000" w:fill="FFFFFF"/>
                  <w:noWrap/>
                  <w:vAlign w:val="bottom"/>
                  <w:hideMark/>
                </w:tcPr>
                <w:p w14:paraId="5B8B8E91" w14:textId="77777777" w:rsidR="00EE503C" w:rsidRPr="000C5235" w:rsidRDefault="00EE503C" w:rsidP="000A7DEC">
                  <w:pPr>
                    <w:pStyle w:val="TableText-SuperSmallBold"/>
                  </w:pPr>
                  <w:r w:rsidRPr="000C5235">
                    <w:t>-</w:t>
                  </w:r>
                </w:p>
              </w:tc>
              <w:tc>
                <w:tcPr>
                  <w:tcW w:w="852" w:type="dxa"/>
                  <w:tcBorders>
                    <w:top w:val="nil"/>
                    <w:left w:val="nil"/>
                    <w:bottom w:val="nil"/>
                    <w:right w:val="nil"/>
                  </w:tcBorders>
                  <w:shd w:val="clear" w:color="000000" w:fill="E6E6E6"/>
                  <w:noWrap/>
                  <w:vAlign w:val="bottom"/>
                  <w:hideMark/>
                </w:tcPr>
                <w:p w14:paraId="13E92C9E" w14:textId="77777777" w:rsidR="00EE503C" w:rsidRPr="000C5235" w:rsidRDefault="00EE503C" w:rsidP="000A7DEC">
                  <w:pPr>
                    <w:pStyle w:val="TableText-SuperSmallBold"/>
                  </w:pPr>
                  <w:r w:rsidRPr="000C5235">
                    <w:t>-</w:t>
                  </w:r>
                </w:p>
              </w:tc>
              <w:tc>
                <w:tcPr>
                  <w:tcW w:w="852" w:type="dxa"/>
                  <w:tcBorders>
                    <w:top w:val="nil"/>
                    <w:left w:val="nil"/>
                    <w:bottom w:val="nil"/>
                    <w:right w:val="nil"/>
                  </w:tcBorders>
                  <w:shd w:val="clear" w:color="000000" w:fill="FFFFFF"/>
                  <w:noWrap/>
                  <w:vAlign w:val="bottom"/>
                  <w:hideMark/>
                </w:tcPr>
                <w:p w14:paraId="73615800" w14:textId="77777777" w:rsidR="00EE503C" w:rsidRPr="000C5235" w:rsidRDefault="00EE503C" w:rsidP="000A7DEC">
                  <w:pPr>
                    <w:pStyle w:val="TableText-SuperSmallBold"/>
                  </w:pPr>
                  <w:r w:rsidRPr="000C5235">
                    <w:t>-</w:t>
                  </w:r>
                </w:p>
              </w:tc>
              <w:tc>
                <w:tcPr>
                  <w:tcW w:w="852" w:type="dxa"/>
                  <w:tcBorders>
                    <w:top w:val="nil"/>
                    <w:left w:val="nil"/>
                    <w:bottom w:val="nil"/>
                    <w:right w:val="nil"/>
                  </w:tcBorders>
                  <w:shd w:val="clear" w:color="000000" w:fill="E6E6E6"/>
                  <w:noWrap/>
                  <w:vAlign w:val="bottom"/>
                  <w:hideMark/>
                </w:tcPr>
                <w:p w14:paraId="7879F773" w14:textId="77777777" w:rsidR="00EE503C" w:rsidRPr="000C5235" w:rsidRDefault="00EE503C" w:rsidP="000A7DEC">
                  <w:pPr>
                    <w:pStyle w:val="TableText-SuperSmallBold"/>
                  </w:pPr>
                  <w:r w:rsidRPr="000C5235">
                    <w:t>-</w:t>
                  </w:r>
                </w:p>
              </w:tc>
            </w:tr>
            <w:tr w:rsidR="00EE503C" w:rsidRPr="000C5235" w14:paraId="4D297335" w14:textId="77777777" w:rsidTr="00BD6313">
              <w:trPr>
                <w:gridAfter w:val="1"/>
                <w:wAfter w:w="852" w:type="dxa"/>
                <w:trHeight w:val="225"/>
                <w:jc w:val="center"/>
              </w:trPr>
              <w:tc>
                <w:tcPr>
                  <w:tcW w:w="2432" w:type="dxa"/>
                  <w:tcBorders>
                    <w:top w:val="nil"/>
                    <w:left w:val="nil"/>
                    <w:bottom w:val="single" w:sz="4" w:space="0" w:color="auto"/>
                    <w:right w:val="nil"/>
                  </w:tcBorders>
                  <w:shd w:val="clear" w:color="auto" w:fill="auto"/>
                  <w:noWrap/>
                  <w:vAlign w:val="bottom"/>
                  <w:hideMark/>
                </w:tcPr>
                <w:p w14:paraId="5DE58EBD" w14:textId="77777777" w:rsidR="00EE503C" w:rsidRPr="000C5235" w:rsidRDefault="00EE503C" w:rsidP="000A7DEC">
                  <w:pPr>
                    <w:pStyle w:val="TableText-SuperSmallBold"/>
                  </w:pPr>
                  <w:r w:rsidRPr="000C5235">
                    <w:t xml:space="preserve">Total </w:t>
                  </w:r>
                </w:p>
              </w:tc>
              <w:tc>
                <w:tcPr>
                  <w:tcW w:w="1100" w:type="dxa"/>
                  <w:tcBorders>
                    <w:top w:val="nil"/>
                    <w:left w:val="nil"/>
                    <w:bottom w:val="single" w:sz="4" w:space="0" w:color="auto"/>
                    <w:right w:val="nil"/>
                  </w:tcBorders>
                  <w:shd w:val="clear" w:color="auto" w:fill="auto"/>
                  <w:noWrap/>
                  <w:vAlign w:val="bottom"/>
                  <w:hideMark/>
                </w:tcPr>
                <w:p w14:paraId="4AA1DC6D" w14:textId="77777777" w:rsidR="00EE503C" w:rsidRPr="000C5235" w:rsidRDefault="00EE503C" w:rsidP="000A7DEC">
                  <w:pPr>
                    <w:pStyle w:val="TableText-SuperSmallBold"/>
                  </w:pPr>
                </w:p>
              </w:tc>
              <w:tc>
                <w:tcPr>
                  <w:tcW w:w="852" w:type="dxa"/>
                  <w:tcBorders>
                    <w:top w:val="nil"/>
                    <w:left w:val="nil"/>
                    <w:bottom w:val="single" w:sz="4" w:space="0" w:color="auto"/>
                    <w:right w:val="nil"/>
                  </w:tcBorders>
                  <w:shd w:val="clear" w:color="000000" w:fill="FFFFFF"/>
                  <w:noWrap/>
                  <w:vAlign w:val="bottom"/>
                  <w:hideMark/>
                </w:tcPr>
                <w:p w14:paraId="3E920D6D" w14:textId="77777777" w:rsidR="00EE503C" w:rsidRPr="000C5235" w:rsidRDefault="00EE503C" w:rsidP="000A7DEC">
                  <w:pPr>
                    <w:pStyle w:val="TableText-SuperSmallBold"/>
                  </w:pPr>
                  <w:r w:rsidRPr="000C5235">
                    <w:t>-</w:t>
                  </w:r>
                </w:p>
              </w:tc>
              <w:tc>
                <w:tcPr>
                  <w:tcW w:w="852" w:type="dxa"/>
                  <w:tcBorders>
                    <w:top w:val="nil"/>
                    <w:left w:val="nil"/>
                    <w:bottom w:val="single" w:sz="4" w:space="0" w:color="auto"/>
                    <w:right w:val="nil"/>
                  </w:tcBorders>
                  <w:shd w:val="clear" w:color="000000" w:fill="E6E6E6"/>
                  <w:noWrap/>
                  <w:vAlign w:val="bottom"/>
                  <w:hideMark/>
                </w:tcPr>
                <w:p w14:paraId="0419E18C" w14:textId="77777777" w:rsidR="00EE503C" w:rsidRPr="000C5235" w:rsidRDefault="00EE503C" w:rsidP="000A7DEC">
                  <w:pPr>
                    <w:pStyle w:val="TableText-SuperSmallBold"/>
                  </w:pPr>
                  <w:r w:rsidRPr="000C5235">
                    <w:t>-</w:t>
                  </w:r>
                </w:p>
              </w:tc>
              <w:tc>
                <w:tcPr>
                  <w:tcW w:w="852" w:type="dxa"/>
                  <w:tcBorders>
                    <w:top w:val="nil"/>
                    <w:left w:val="nil"/>
                    <w:bottom w:val="single" w:sz="4" w:space="0" w:color="auto"/>
                    <w:right w:val="nil"/>
                  </w:tcBorders>
                  <w:shd w:val="clear" w:color="000000" w:fill="FFFFFF"/>
                  <w:noWrap/>
                  <w:vAlign w:val="bottom"/>
                  <w:hideMark/>
                </w:tcPr>
                <w:p w14:paraId="6FEE6E41" w14:textId="77777777" w:rsidR="00EE503C" w:rsidRPr="000C5235" w:rsidRDefault="00EE503C" w:rsidP="000A7DEC">
                  <w:pPr>
                    <w:pStyle w:val="TableText-SuperSmallBold"/>
                  </w:pPr>
                  <w:r w:rsidRPr="000C5235">
                    <w:t>-</w:t>
                  </w:r>
                </w:p>
              </w:tc>
              <w:tc>
                <w:tcPr>
                  <w:tcW w:w="852" w:type="dxa"/>
                  <w:tcBorders>
                    <w:top w:val="nil"/>
                    <w:left w:val="nil"/>
                    <w:bottom w:val="single" w:sz="4" w:space="0" w:color="auto"/>
                    <w:right w:val="nil"/>
                  </w:tcBorders>
                  <w:shd w:val="clear" w:color="000000" w:fill="E6E6E6"/>
                  <w:noWrap/>
                  <w:vAlign w:val="bottom"/>
                  <w:hideMark/>
                </w:tcPr>
                <w:p w14:paraId="2908AEDF" w14:textId="77777777" w:rsidR="00EE503C" w:rsidRPr="000C5235" w:rsidRDefault="00EE503C" w:rsidP="000A7DEC">
                  <w:pPr>
                    <w:pStyle w:val="TableText-SuperSmallBold"/>
                  </w:pPr>
                  <w:r w:rsidRPr="000C5235">
                    <w:t>-</w:t>
                  </w:r>
                </w:p>
              </w:tc>
            </w:tr>
          </w:tbl>
          <w:p w14:paraId="4A359C0F" w14:textId="77777777" w:rsidR="004D479A" w:rsidRPr="000C5235" w:rsidRDefault="004D479A">
            <w:pPr>
              <w:pStyle w:val="TableText-Normal"/>
              <w:numPr>
                <w:ilvl w:val="0"/>
                <w:numId w:val="105"/>
              </w:numPr>
              <w:rPr>
                <w:rStyle w:val="BodyTextChar"/>
                <w:sz w:val="18"/>
              </w:rPr>
            </w:pPr>
            <w:r w:rsidRPr="000C5235">
              <w:rPr>
                <w:rStyle w:val="BodyTextChar"/>
                <w:sz w:val="18"/>
              </w:rPr>
              <w:t>This measure was originally announced in the 20XX Economic Statement/20XX Pre-Election Economic and Fiscal Outlook/</w:t>
            </w:r>
            <w:r w:rsidR="00DD7AAE" w:rsidRPr="000C5235">
              <w:rPr>
                <w:rStyle w:val="BodyTextChar"/>
                <w:sz w:val="18"/>
              </w:rPr>
              <w:t>2019-20</w:t>
            </w:r>
            <w:r w:rsidRPr="000C5235">
              <w:rPr>
                <w:rStyle w:val="BodyTextChar"/>
                <w:sz w:val="18"/>
              </w:rPr>
              <w:t xml:space="preserve"> Mid-Year Economic and Fiscal Outlook </w:t>
            </w:r>
            <w:r w:rsidRPr="000C5235">
              <w:rPr>
                <w:rStyle w:val="BodyTextChar"/>
                <w:color w:val="FF0000"/>
                <w:sz w:val="18"/>
              </w:rPr>
              <w:t>(whichever applies)</w:t>
            </w:r>
            <w:r w:rsidRPr="000C5235">
              <w:rPr>
                <w:rStyle w:val="BodyTextChar"/>
                <w:sz w:val="18"/>
              </w:rPr>
              <w:t xml:space="preserve"> and has been partially reversed by (measure title) announced in the </w:t>
            </w:r>
            <w:r w:rsidR="00DD7AAE" w:rsidRPr="000C5235">
              <w:rPr>
                <w:rStyle w:val="BodyTextChar"/>
                <w:sz w:val="18"/>
              </w:rPr>
              <w:t>2020-21</w:t>
            </w:r>
            <w:r w:rsidRPr="000C5235">
              <w:rPr>
                <w:rStyle w:val="BodyTextChar"/>
                <w:sz w:val="18"/>
              </w:rPr>
              <w:t xml:space="preserve"> Budget. The above financial figures reflect the current net fiscal impact of the measure.</w:t>
            </w:r>
          </w:p>
          <w:p w14:paraId="05B0C332" w14:textId="77777777" w:rsidR="004D479A" w:rsidRPr="000C5235" w:rsidRDefault="004D479A">
            <w:pPr>
              <w:pStyle w:val="TableText-Normal"/>
              <w:numPr>
                <w:ilvl w:val="0"/>
                <w:numId w:val="105"/>
              </w:numPr>
              <w:rPr>
                <w:rStyle w:val="BodyTextChar"/>
                <w:sz w:val="18"/>
              </w:rPr>
            </w:pPr>
            <w:r w:rsidRPr="000C5235">
              <w:rPr>
                <w:rStyle w:val="BodyTextChar"/>
                <w:sz w:val="18"/>
              </w:rPr>
              <w:t>This measure was originally announced in the 20XX Economic Statement/20XX Pre-Election Economic and Fiscal Outlook/</w:t>
            </w:r>
            <w:r w:rsidR="003A517F" w:rsidRPr="000C5235">
              <w:rPr>
                <w:rStyle w:val="BodyTextChar"/>
                <w:sz w:val="18"/>
              </w:rPr>
              <w:t>2019-20</w:t>
            </w:r>
            <w:r w:rsidRPr="000C5235">
              <w:rPr>
                <w:rStyle w:val="BodyTextChar"/>
                <w:sz w:val="18"/>
              </w:rPr>
              <w:t xml:space="preserve"> Mid-Year Economic and Fiscal Outlook </w:t>
            </w:r>
            <w:r w:rsidRPr="000C5235">
              <w:rPr>
                <w:rStyle w:val="BodyTextChar"/>
                <w:color w:val="FF0000"/>
                <w:sz w:val="18"/>
              </w:rPr>
              <w:t>(whichever applies)</w:t>
            </w:r>
            <w:r w:rsidRPr="000C5235">
              <w:rPr>
                <w:rStyle w:val="BodyTextChar"/>
                <w:sz w:val="18"/>
              </w:rPr>
              <w:t xml:space="preserve"> and has been fully reversed by (measure title) announced in the </w:t>
            </w:r>
            <w:r w:rsidR="0049781E" w:rsidRPr="000C5235">
              <w:rPr>
                <w:rStyle w:val="BodyTextChar"/>
                <w:sz w:val="18"/>
              </w:rPr>
              <w:t>2020-21</w:t>
            </w:r>
            <w:r w:rsidRPr="000C5235">
              <w:rPr>
                <w:rStyle w:val="BodyTextChar"/>
                <w:sz w:val="18"/>
              </w:rPr>
              <w:t xml:space="preserve"> Budget. The above dashes reflect that the measure has no fiscal impact as it has ceased. </w:t>
            </w:r>
          </w:p>
        </w:tc>
      </w:tr>
    </w:tbl>
    <w:p w14:paraId="63C98109" w14:textId="77777777" w:rsidR="00FA0945" w:rsidRPr="000C5235" w:rsidRDefault="00FA0945" w:rsidP="000A7DEC">
      <w:pPr>
        <w:pStyle w:val="Heading2Numbered"/>
        <w:rPr>
          <w:rStyle w:val="BodyTextChar"/>
          <w:rFonts w:eastAsiaTheme="majorEastAsia" w:cstheme="majorBidi"/>
          <w:bCs w:val="0"/>
        </w:rPr>
      </w:pPr>
      <w:bookmarkStart w:id="428" w:name="_Toc47951233"/>
      <w:r w:rsidRPr="000C5235">
        <w:rPr>
          <w:rStyle w:val="BodyTextChar"/>
          <w:rFonts w:eastAsiaTheme="majorEastAsia" w:cstheme="majorBidi"/>
        </w:rPr>
        <w:t xml:space="preserve">Decisions </w:t>
      </w:r>
      <w:r w:rsidR="0079648C" w:rsidRPr="000C5235">
        <w:rPr>
          <w:rStyle w:val="BodyTextChar"/>
          <w:rFonts w:eastAsiaTheme="majorEastAsia" w:cstheme="majorBidi"/>
        </w:rPr>
        <w:t>t</w:t>
      </w:r>
      <w:r w:rsidRPr="000C5235">
        <w:rPr>
          <w:rStyle w:val="BodyTextChar"/>
          <w:rFonts w:eastAsiaTheme="majorEastAsia" w:cstheme="majorBidi"/>
        </w:rPr>
        <w:t xml:space="preserve">aken </w:t>
      </w:r>
      <w:r w:rsidR="0079648C" w:rsidRPr="000C5235">
        <w:rPr>
          <w:rStyle w:val="BodyTextChar"/>
          <w:rFonts w:eastAsiaTheme="majorEastAsia" w:cstheme="majorBidi"/>
        </w:rPr>
        <w:t>b</w:t>
      </w:r>
      <w:r w:rsidRPr="000C5235">
        <w:rPr>
          <w:rStyle w:val="BodyTextChar"/>
          <w:rFonts w:eastAsiaTheme="majorEastAsia" w:cstheme="majorBidi"/>
        </w:rPr>
        <w:t xml:space="preserve">ut </w:t>
      </w:r>
      <w:r w:rsidR="0079648C" w:rsidRPr="000C5235">
        <w:rPr>
          <w:rStyle w:val="BodyTextChar"/>
          <w:rFonts w:eastAsiaTheme="majorEastAsia" w:cstheme="majorBidi"/>
        </w:rPr>
        <w:t>n</w:t>
      </w:r>
      <w:r w:rsidRPr="000C5235">
        <w:rPr>
          <w:rStyle w:val="BodyTextChar"/>
          <w:rFonts w:eastAsiaTheme="majorEastAsia" w:cstheme="majorBidi"/>
        </w:rPr>
        <w:t xml:space="preserve">ot </w:t>
      </w:r>
      <w:r w:rsidR="0079648C" w:rsidRPr="000C5235">
        <w:rPr>
          <w:rStyle w:val="BodyTextChar"/>
          <w:rFonts w:eastAsiaTheme="majorEastAsia" w:cstheme="majorBidi"/>
        </w:rPr>
        <w:t>y</w:t>
      </w:r>
      <w:r w:rsidRPr="000C5235">
        <w:rPr>
          <w:rStyle w:val="BodyTextChar"/>
          <w:rFonts w:eastAsiaTheme="majorEastAsia" w:cstheme="majorBidi"/>
        </w:rPr>
        <w:t xml:space="preserve">et </w:t>
      </w:r>
      <w:r w:rsidR="0079648C" w:rsidRPr="000C5235">
        <w:rPr>
          <w:rStyle w:val="BodyTextChar"/>
          <w:rFonts w:eastAsiaTheme="majorEastAsia" w:cstheme="majorBidi"/>
        </w:rPr>
        <w:t>a</w:t>
      </w:r>
      <w:r w:rsidRPr="000C5235">
        <w:rPr>
          <w:rStyle w:val="BodyTextChar"/>
          <w:rFonts w:eastAsiaTheme="majorEastAsia" w:cstheme="majorBidi"/>
        </w:rPr>
        <w:t>nnounced</w:t>
      </w:r>
      <w:bookmarkEnd w:id="428"/>
    </w:p>
    <w:p w14:paraId="4468205E" w14:textId="77777777" w:rsidR="00FA0945" w:rsidRPr="000C5235" w:rsidRDefault="00FA0945" w:rsidP="000A7DEC">
      <w:pPr>
        <w:rPr>
          <w:rStyle w:val="BodyTextChar"/>
          <w:rFonts w:ascii="Arial" w:hAnsi="Arial"/>
          <w:bCs/>
          <w:iCs/>
          <w:color w:val="005A77"/>
          <w:spacing w:val="-6"/>
          <w:sz w:val="32"/>
          <w:szCs w:val="24"/>
        </w:rPr>
      </w:pPr>
      <w:r w:rsidRPr="000C5235">
        <w:rPr>
          <w:rStyle w:val="BodyTextChar"/>
        </w:rPr>
        <w:t xml:space="preserve">Where a measure was included in an economic statement as a “Decision taken but not yet announced” (DTBNYA) but has since been announced, it should generally be published in the next available budget statement following that announcement. </w:t>
      </w:r>
    </w:p>
    <w:p w14:paraId="69AE97C7" w14:textId="77777777" w:rsidR="00FA0945" w:rsidRPr="000C5235" w:rsidRDefault="00FA0945">
      <w:pPr>
        <w:pStyle w:val="Bullet1"/>
        <w:rPr>
          <w:rStyle w:val="BodyTextChar"/>
        </w:rPr>
      </w:pPr>
      <w:r w:rsidRPr="000C5235">
        <w:rPr>
          <w:rStyle w:val="BodyTextChar"/>
        </w:rPr>
        <w:t xml:space="preserve">The measure should be listed in Table 1.2 with its full measure title and </w:t>
      </w:r>
      <w:r w:rsidR="00F1623A" w:rsidRPr="000C5235">
        <w:rPr>
          <w:rStyle w:val="BodyTextChar"/>
        </w:rPr>
        <w:t xml:space="preserve">dashes ‘-‘ </w:t>
      </w:r>
      <w:r w:rsidR="00555C2A" w:rsidRPr="000C5235">
        <w:rPr>
          <w:rStyle w:val="BodyTextChar"/>
        </w:rPr>
        <w:t>for</w:t>
      </w:r>
      <w:r w:rsidR="00F1623A" w:rsidRPr="000C5235">
        <w:rPr>
          <w:rStyle w:val="BodyTextChar"/>
        </w:rPr>
        <w:t xml:space="preserve"> the financials</w:t>
      </w:r>
      <w:r w:rsidRPr="000C5235">
        <w:rPr>
          <w:rStyle w:val="BodyTextChar"/>
        </w:rPr>
        <w:t xml:space="preserve"> as these costs were previously included as an aggregate amount</w:t>
      </w:r>
      <w:r w:rsidR="00867A6D" w:rsidRPr="000C5235">
        <w:rPr>
          <w:rStyle w:val="BodyTextChar"/>
        </w:rPr>
        <w:t>.</w:t>
      </w:r>
    </w:p>
    <w:p w14:paraId="6A01A121" w14:textId="77777777" w:rsidR="00FA0945" w:rsidRPr="000C5235" w:rsidRDefault="00FA0945">
      <w:pPr>
        <w:pStyle w:val="Bullet1"/>
        <w:rPr>
          <w:rStyle w:val="BodyTextChar"/>
        </w:rPr>
      </w:pPr>
      <w:r w:rsidRPr="000C5235">
        <w:rPr>
          <w:rStyle w:val="BodyTextChar"/>
        </w:rPr>
        <w:t>A footnote will be required explaining the item such as “Decision taken but not yet announced in the 20XX-XX Budget/MYEFO, with the following impact: 20XX-XX $XX.XXX million; 20XX-XX $X.XXX million and 20XX-XX $X.XXX million”</w:t>
      </w:r>
      <w:r w:rsidR="00867A6D" w:rsidRPr="000C5235">
        <w:rPr>
          <w:rStyle w:val="BodyTextChar"/>
        </w:rPr>
        <w:t>.</w:t>
      </w:r>
    </w:p>
    <w:p w14:paraId="5B8F6825" w14:textId="77777777" w:rsidR="00FA0945" w:rsidRPr="000C5235" w:rsidRDefault="00FA0945">
      <w:pPr>
        <w:pStyle w:val="Bullet1"/>
        <w:rPr>
          <w:rStyle w:val="BodyTextChar"/>
        </w:rPr>
      </w:pPr>
      <w:r w:rsidRPr="000C5235">
        <w:rPr>
          <w:rStyle w:val="BodyTextChar"/>
        </w:rPr>
        <w:t>Where the measure has not been or will not be (</w:t>
      </w:r>
      <w:r w:rsidR="001754FC" w:rsidRPr="000C5235">
        <w:rPr>
          <w:rStyle w:val="BodyTextChar"/>
        </w:rPr>
        <w:t>ie</w:t>
      </w:r>
      <w:r w:rsidRPr="000C5235">
        <w:rPr>
          <w:rStyle w:val="BodyTextChar"/>
        </w:rPr>
        <w:t xml:space="preserve"> for national security reasons) announced </w:t>
      </w:r>
      <w:r w:rsidR="00823B27" w:rsidRPr="000C5235">
        <w:rPr>
          <w:rStyle w:val="BodyTextChar"/>
        </w:rPr>
        <w:t>publicly</w:t>
      </w:r>
      <w:r w:rsidRPr="000C5235">
        <w:rPr>
          <w:rStyle w:val="BodyTextChar"/>
        </w:rPr>
        <w:t xml:space="preserve"> at the release of the next budget statement, the costs for the measure should continue to be included as part of the “Decisions taken but not yet announced” total line at the bottom of Table 1.2. The measure title should not be listed separately.</w:t>
      </w:r>
    </w:p>
    <w:p w14:paraId="279B48A2" w14:textId="77777777" w:rsidR="001807A9" w:rsidRPr="000C5235" w:rsidRDefault="001807A9" w:rsidP="000A7DEC">
      <w:pPr>
        <w:rPr>
          <w:rStyle w:val="BodyTextChar"/>
        </w:rPr>
      </w:pPr>
      <w:r w:rsidRPr="000C5235">
        <w:rPr>
          <w:rStyle w:val="BodyTextChar"/>
        </w:rPr>
        <w:t>For further information the relevant AAU should be contacted in the first instance.</w:t>
      </w:r>
    </w:p>
    <w:p w14:paraId="0B3E25A1" w14:textId="77777777" w:rsidR="002078B6" w:rsidRPr="000C5235" w:rsidRDefault="002078B6">
      <w:pPr>
        <w:pStyle w:val="NormalTextRed"/>
      </w:pPr>
      <w:r w:rsidRPr="000C5235">
        <w:rPr>
          <w:u w:val="single"/>
        </w:rPr>
        <w:t>Note:</w:t>
      </w:r>
      <w:r w:rsidRPr="000C5235">
        <w:t xml:space="preserve"> Amounts in the </w:t>
      </w:r>
      <w:r w:rsidRPr="000C5235">
        <w:rPr>
          <w:b/>
        </w:rPr>
        <w:t xml:space="preserve">contingency reserve (CR) </w:t>
      </w:r>
      <w:r w:rsidRPr="000C5235">
        <w:t xml:space="preserve">must not be entered as estimates in </w:t>
      </w:r>
      <w:r w:rsidR="00D20692" w:rsidRPr="000C5235">
        <w:t>PBF</w:t>
      </w:r>
      <w:r w:rsidRPr="000C5235">
        <w:t xml:space="preserve"> for the relevant entity, whether they are intended to be appropriated as annual or special appropriations. While in the CR</w:t>
      </w:r>
      <w:r w:rsidR="00F1623A" w:rsidRPr="000C5235">
        <w:t>,</w:t>
      </w:r>
      <w:r w:rsidRPr="000C5235">
        <w:t xml:space="preserve"> these are not appropriated amounts.</w:t>
      </w:r>
    </w:p>
    <w:p w14:paraId="6A363C7F" w14:textId="77777777" w:rsidR="00FA0945" w:rsidRPr="000C5235" w:rsidRDefault="00FA0945" w:rsidP="000A7DEC">
      <w:pPr>
        <w:pStyle w:val="Heading2Numbered"/>
        <w:rPr>
          <w:rStyle w:val="BodyTextChar"/>
          <w:rFonts w:eastAsiaTheme="majorEastAsia" w:cstheme="majorBidi"/>
          <w:bCs w:val="0"/>
        </w:rPr>
      </w:pPr>
      <w:bookmarkStart w:id="429" w:name="_Toc47951234"/>
      <w:r w:rsidRPr="000C5235">
        <w:rPr>
          <w:rStyle w:val="BodyTextChar"/>
          <w:rFonts w:eastAsiaTheme="majorEastAsia" w:cstheme="majorBidi"/>
        </w:rPr>
        <w:t>Measures with indicative costs</w:t>
      </w:r>
      <w:bookmarkEnd w:id="429"/>
    </w:p>
    <w:p w14:paraId="3DBBB804" w14:textId="77777777" w:rsidR="00FA0945" w:rsidRPr="000C5235" w:rsidRDefault="00FA0945" w:rsidP="000A7DEC">
      <w:r w:rsidRPr="000C5235">
        <w:rPr>
          <w:rStyle w:val="BodyTextChar"/>
        </w:rPr>
        <w:t xml:space="preserve">Where measures are published in an economic statement with indicative costs, these measures should be listed in </w:t>
      </w:r>
      <w:r w:rsidRPr="000C5235">
        <w:rPr>
          <w:rStyle w:val="BodyTextChar"/>
          <w:i/>
        </w:rPr>
        <w:t>Table 1.2</w:t>
      </w:r>
      <w:r w:rsidRPr="000C5235">
        <w:rPr>
          <w:rStyle w:val="BodyTextChar"/>
        </w:rPr>
        <w:t xml:space="preserve"> </w:t>
      </w:r>
      <w:r w:rsidR="00EB7C6F" w:rsidRPr="000C5235">
        <w:rPr>
          <w:rStyle w:val="BodyTextChar"/>
        </w:rPr>
        <w:t xml:space="preserve">only </w:t>
      </w:r>
      <w:r w:rsidRPr="000C5235">
        <w:rPr>
          <w:rStyle w:val="BodyTextChar"/>
        </w:rPr>
        <w:t xml:space="preserve">where </w:t>
      </w:r>
      <w:r w:rsidR="00EB7C6F" w:rsidRPr="000C5235">
        <w:rPr>
          <w:rStyle w:val="BodyTextChar"/>
        </w:rPr>
        <w:t xml:space="preserve">the </w:t>
      </w:r>
      <w:r w:rsidRPr="000C5235">
        <w:rPr>
          <w:rStyle w:val="BodyTextChar"/>
        </w:rPr>
        <w:t xml:space="preserve">costs </w:t>
      </w:r>
      <w:r w:rsidR="00EB7C6F" w:rsidRPr="000C5235">
        <w:rPr>
          <w:rStyle w:val="BodyTextChar"/>
        </w:rPr>
        <w:t xml:space="preserve">are known </w:t>
      </w:r>
      <w:r w:rsidRPr="000C5235">
        <w:rPr>
          <w:rStyle w:val="BodyTextChar"/>
        </w:rPr>
        <w:t xml:space="preserve">for </w:t>
      </w:r>
      <w:r w:rsidR="00EB7C6F" w:rsidRPr="000C5235">
        <w:rPr>
          <w:rStyle w:val="BodyTextChar"/>
        </w:rPr>
        <w:t xml:space="preserve">an </w:t>
      </w:r>
      <w:r w:rsidRPr="000C5235">
        <w:rPr>
          <w:rStyle w:val="BodyTextChar"/>
        </w:rPr>
        <w:t>affected entity.</w:t>
      </w:r>
    </w:p>
    <w:p w14:paraId="658F5029" w14:textId="77777777" w:rsidR="00FA0945" w:rsidRPr="000C5235" w:rsidRDefault="00FA0945">
      <w:pPr>
        <w:pStyle w:val="Bullet1"/>
        <w:rPr>
          <w:rStyle w:val="BodyTextChar"/>
          <w:rFonts w:asciiTheme="minorHAnsi" w:hAnsiTheme="minorHAnsi"/>
        </w:rPr>
      </w:pPr>
      <w:r w:rsidRPr="000C5235">
        <w:rPr>
          <w:rStyle w:val="BodyTextChar"/>
        </w:rPr>
        <w:t xml:space="preserve">Once final costs have been agreed, entities may republish the measure in </w:t>
      </w:r>
      <w:r w:rsidRPr="000C5235">
        <w:rPr>
          <w:rStyle w:val="BodyTextChar"/>
          <w:i/>
        </w:rPr>
        <w:t>Table</w:t>
      </w:r>
      <w:r w:rsidR="00CD0900" w:rsidRPr="000C5235">
        <w:rPr>
          <w:rStyle w:val="BodyTextChar"/>
          <w:i/>
        </w:rPr>
        <w:t> </w:t>
      </w:r>
      <w:r w:rsidRPr="000C5235">
        <w:rPr>
          <w:rStyle w:val="BodyTextChar"/>
          <w:i/>
        </w:rPr>
        <w:t xml:space="preserve">1.2 </w:t>
      </w:r>
      <w:r w:rsidRPr="000C5235">
        <w:rPr>
          <w:rStyle w:val="BodyTextChar"/>
        </w:rPr>
        <w:t>of the PAES or PB Statements, and include a footnote stating that the measure was previously published in BP</w:t>
      </w:r>
      <w:r w:rsidR="00CD0900" w:rsidRPr="000C5235">
        <w:rPr>
          <w:rStyle w:val="BodyTextChar"/>
        </w:rPr>
        <w:t xml:space="preserve"> No.</w:t>
      </w:r>
      <w:r w:rsidR="00EE4AE2" w:rsidRPr="000C5235">
        <w:rPr>
          <w:rStyle w:val="BodyTextChar"/>
        </w:rPr>
        <w:t xml:space="preserve"> </w:t>
      </w:r>
      <w:r w:rsidRPr="000C5235">
        <w:rPr>
          <w:rStyle w:val="BodyTextChar"/>
        </w:rPr>
        <w:t>2/MYEFO/the relevant economic statement and the costs shown are now final</w:t>
      </w:r>
      <w:r w:rsidR="00867A6D" w:rsidRPr="000C5235">
        <w:rPr>
          <w:rStyle w:val="BodyTextChar"/>
        </w:rPr>
        <w:t>.</w:t>
      </w:r>
    </w:p>
    <w:p w14:paraId="46032583" w14:textId="77777777" w:rsidR="00FA0945" w:rsidRPr="000C5235" w:rsidRDefault="00FA0945">
      <w:pPr>
        <w:pStyle w:val="Bullet1"/>
        <w:rPr>
          <w:rStyle w:val="BodyTextChar"/>
        </w:rPr>
      </w:pPr>
      <w:r w:rsidRPr="000C5235">
        <w:rPr>
          <w:rStyle w:val="BodyTextChar"/>
        </w:rPr>
        <w:t xml:space="preserve">For cross-portfolio measures where final costs have now been agreed for each entity, the measure should be listed in </w:t>
      </w:r>
      <w:r w:rsidRPr="000C5235">
        <w:rPr>
          <w:rStyle w:val="BodyTextChar"/>
          <w:i/>
        </w:rPr>
        <w:t>Table 1.2</w:t>
      </w:r>
      <w:r w:rsidRPr="000C5235">
        <w:rPr>
          <w:rStyle w:val="BodyTextChar"/>
        </w:rPr>
        <w:t xml:space="preserve"> with the final agreed costs, with a footnote noting that it is a cross-portfolio measure previously published in BP</w:t>
      </w:r>
      <w:r w:rsidR="00CD0900" w:rsidRPr="000C5235">
        <w:rPr>
          <w:rStyle w:val="BodyTextChar"/>
        </w:rPr>
        <w:t> No.</w:t>
      </w:r>
      <w:r w:rsidR="00EE4AE2" w:rsidRPr="000C5235">
        <w:rPr>
          <w:rStyle w:val="BodyTextChar"/>
        </w:rPr>
        <w:t xml:space="preserve"> </w:t>
      </w:r>
      <w:r w:rsidRPr="000C5235">
        <w:rPr>
          <w:rStyle w:val="BodyTextChar"/>
        </w:rPr>
        <w:t xml:space="preserve">2/MYEFO/the relevant economic </w:t>
      </w:r>
      <w:r w:rsidR="00FD4BA3" w:rsidRPr="000C5235">
        <w:rPr>
          <w:rStyle w:val="BodyTextChar"/>
        </w:rPr>
        <w:t>statement and</w:t>
      </w:r>
      <w:r w:rsidRPr="000C5235">
        <w:rPr>
          <w:rStyle w:val="BodyTextChar"/>
        </w:rPr>
        <w:t xml:space="preserve"> naming the lead entity</w:t>
      </w:r>
      <w:r w:rsidR="00867A6D" w:rsidRPr="000C5235">
        <w:rPr>
          <w:rStyle w:val="BodyTextChar"/>
        </w:rPr>
        <w:t>.</w:t>
      </w:r>
    </w:p>
    <w:p w14:paraId="01C2ECA8" w14:textId="77777777" w:rsidR="00555C2A" w:rsidRPr="000C5235" w:rsidRDefault="00555C2A">
      <w:pPr>
        <w:pStyle w:val="Bullet1"/>
        <w:rPr>
          <w:rStyle w:val="BodyTextChar"/>
        </w:rPr>
      </w:pPr>
      <w:r w:rsidRPr="000C5235">
        <w:rPr>
          <w:rStyle w:val="BodyTextChar"/>
        </w:rPr>
        <w:t xml:space="preserve">The measure should be listed in </w:t>
      </w:r>
      <w:r w:rsidRPr="000C5235">
        <w:rPr>
          <w:rStyle w:val="BodyTextChar"/>
          <w:i/>
        </w:rPr>
        <w:t>Table 1.2</w:t>
      </w:r>
      <w:r w:rsidRPr="000C5235">
        <w:rPr>
          <w:rStyle w:val="BodyTextChar"/>
        </w:rPr>
        <w:t xml:space="preserve"> with its full measure title and dashes ‘-‘ for the financials as these costs have</w:t>
      </w:r>
      <w:r w:rsidR="006D03F9" w:rsidRPr="000C5235">
        <w:rPr>
          <w:rStyle w:val="BodyTextChar"/>
        </w:rPr>
        <w:t xml:space="preserve"> previously been allocated to the entity.</w:t>
      </w:r>
    </w:p>
    <w:p w14:paraId="2DFDA93F" w14:textId="77777777" w:rsidR="00FA0945" w:rsidRPr="000C5235" w:rsidRDefault="00FA0945" w:rsidP="000A7DEC">
      <w:pPr>
        <w:pStyle w:val="Heading2Numbered"/>
        <w:rPr>
          <w:rStyle w:val="BodyTextChar"/>
          <w:rFonts w:eastAsiaTheme="majorEastAsia" w:cstheme="majorBidi"/>
          <w:bCs w:val="0"/>
        </w:rPr>
      </w:pPr>
      <w:bookmarkStart w:id="430" w:name="_Toc47951235"/>
      <w:r w:rsidRPr="000C5235">
        <w:rPr>
          <w:rStyle w:val="BodyTextChar"/>
          <w:rFonts w:eastAsiaTheme="majorEastAsia" w:cstheme="majorBidi"/>
        </w:rPr>
        <w:t xml:space="preserve">Machinery of </w:t>
      </w:r>
      <w:r w:rsidR="0079648C" w:rsidRPr="000C5235">
        <w:rPr>
          <w:rStyle w:val="BodyTextChar"/>
          <w:rFonts w:eastAsiaTheme="majorEastAsia" w:cstheme="majorBidi"/>
        </w:rPr>
        <w:t>g</w:t>
      </w:r>
      <w:r w:rsidRPr="000C5235">
        <w:rPr>
          <w:rStyle w:val="BodyTextChar"/>
          <w:rFonts w:eastAsiaTheme="majorEastAsia" w:cstheme="majorBidi"/>
        </w:rPr>
        <w:t xml:space="preserve">overnment </w:t>
      </w:r>
      <w:r w:rsidR="0079648C" w:rsidRPr="000C5235">
        <w:rPr>
          <w:rStyle w:val="BodyTextChar"/>
          <w:rFonts w:eastAsiaTheme="majorEastAsia" w:cstheme="majorBidi"/>
        </w:rPr>
        <w:t>c</w:t>
      </w:r>
      <w:r w:rsidRPr="000C5235">
        <w:rPr>
          <w:rStyle w:val="BodyTextChar"/>
          <w:rFonts w:eastAsiaTheme="majorEastAsia" w:cstheme="majorBidi"/>
        </w:rPr>
        <w:t>hanges</w:t>
      </w:r>
      <w:bookmarkEnd w:id="430"/>
    </w:p>
    <w:p w14:paraId="7752A2EA" w14:textId="77777777" w:rsidR="001D5761" w:rsidRPr="000C5235" w:rsidRDefault="00FA0945" w:rsidP="001D5761">
      <w:pPr>
        <w:rPr>
          <w:rStyle w:val="BodyTextChar"/>
        </w:rPr>
      </w:pPr>
      <w:r w:rsidRPr="000C5235">
        <w:rPr>
          <w:rStyle w:val="BodyTextChar"/>
        </w:rPr>
        <w:t xml:space="preserve">Where there are Machinery of Government changes, </w:t>
      </w:r>
      <w:r w:rsidRPr="000C5235">
        <w:rPr>
          <w:rStyle w:val="BodyTextChar"/>
          <w:rFonts w:eastAsiaTheme="minorHAnsi" w:cstheme="minorBidi"/>
        </w:rPr>
        <w:t>the</w:t>
      </w:r>
      <w:r w:rsidRPr="000C5235">
        <w:rPr>
          <w:rStyle w:val="BodyTextChar"/>
        </w:rPr>
        <w:t xml:space="preserve"> gaining entity should publish any new measures relating to the function(s) being gained. </w:t>
      </w:r>
    </w:p>
    <w:p w14:paraId="3840D15C" w14:textId="77777777" w:rsidR="00FA0945" w:rsidRPr="000C5235" w:rsidRDefault="00FA0945" w:rsidP="001D5761">
      <w:pPr>
        <w:rPr>
          <w:rStyle w:val="BodyTextChar"/>
        </w:rPr>
      </w:pPr>
      <w:r w:rsidRPr="000C5235">
        <w:rPr>
          <w:rStyle w:val="BodyTextChar"/>
        </w:rPr>
        <w:t xml:space="preserve">For further information on showing Machinery of Government changes in the PB Statements, please refer to </w:t>
      </w:r>
      <w:r w:rsidR="00B64C25" w:rsidRPr="000C5235">
        <w:rPr>
          <w:rStyle w:val="BodyTextChar"/>
        </w:rPr>
        <w:t>chapter</w:t>
      </w:r>
      <w:r w:rsidR="00B932FB" w:rsidRPr="000C5235">
        <w:rPr>
          <w:rStyle w:val="BodyTextChar"/>
        </w:rPr>
        <w:t xml:space="preserve"> </w:t>
      </w:r>
      <w:r w:rsidR="00B932FB" w:rsidRPr="000C5235">
        <w:rPr>
          <w:rStyle w:val="BodyTextChar"/>
          <w:i/>
        </w:rPr>
        <w:fldChar w:fldCharType="begin"/>
      </w:r>
      <w:r w:rsidR="00B932FB" w:rsidRPr="000C5235">
        <w:rPr>
          <w:rStyle w:val="BodyTextChar"/>
          <w:i/>
        </w:rPr>
        <w:instrText xml:space="preserve"> REF _Ref29396037 \w \h  \* MERGEFORMAT </w:instrText>
      </w:r>
      <w:r w:rsidR="00B932FB" w:rsidRPr="000C5235">
        <w:rPr>
          <w:rStyle w:val="BodyTextChar"/>
          <w:i/>
        </w:rPr>
      </w:r>
      <w:r w:rsidR="00B932FB" w:rsidRPr="000C5235">
        <w:rPr>
          <w:rStyle w:val="BodyTextChar"/>
          <w:i/>
        </w:rPr>
        <w:fldChar w:fldCharType="separate"/>
      </w:r>
      <w:r w:rsidR="00FD0A7F" w:rsidRPr="000C5235">
        <w:rPr>
          <w:rStyle w:val="BodyTextChar"/>
          <w:i/>
        </w:rPr>
        <w:t>12.1</w:t>
      </w:r>
      <w:r w:rsidR="00B932FB" w:rsidRPr="000C5235">
        <w:rPr>
          <w:rStyle w:val="BodyTextChar"/>
          <w:i/>
        </w:rPr>
        <w:fldChar w:fldCharType="end"/>
      </w:r>
      <w:r w:rsidR="00B932FB" w:rsidRPr="000C5235">
        <w:rPr>
          <w:rStyle w:val="BodyTextChar"/>
          <w:i/>
        </w:rPr>
        <w:t xml:space="preserve"> </w:t>
      </w:r>
      <w:hyperlink w:anchor="_Machinery_of_Government" w:history="1">
        <w:r w:rsidR="00B932FB" w:rsidRPr="000C5235">
          <w:rPr>
            <w:rStyle w:val="Hyperlink"/>
            <w:rFonts w:asciiTheme="minorHAnsi" w:eastAsia="Cambria" w:hAnsiTheme="minorHAnsi" w:cs="Times New Roman"/>
            <w:i/>
          </w:rPr>
          <w:fldChar w:fldCharType="begin"/>
        </w:r>
        <w:r w:rsidR="00B932FB" w:rsidRPr="000C5235">
          <w:rPr>
            <w:rStyle w:val="Hyperlink"/>
            <w:rFonts w:asciiTheme="minorHAnsi" w:eastAsia="Cambria" w:hAnsiTheme="minorHAnsi" w:cs="Times New Roman"/>
            <w:i/>
          </w:rPr>
          <w:instrText xml:space="preserve"> REF _Ref29395943 \h  \* MERGEFORMAT </w:instrText>
        </w:r>
        <w:r w:rsidR="00B932FB" w:rsidRPr="000C5235">
          <w:rPr>
            <w:rStyle w:val="Hyperlink"/>
            <w:rFonts w:asciiTheme="minorHAnsi" w:eastAsia="Cambria" w:hAnsiTheme="minorHAnsi" w:cs="Times New Roman"/>
            <w:i/>
          </w:rPr>
        </w:r>
        <w:r w:rsidR="00B932FB" w:rsidRPr="000C5235">
          <w:rPr>
            <w:rStyle w:val="Hyperlink"/>
            <w:rFonts w:asciiTheme="minorHAnsi" w:eastAsia="Cambria" w:hAnsiTheme="minorHAnsi" w:cs="Times New Roman"/>
            <w:i/>
          </w:rPr>
          <w:fldChar w:fldCharType="separate"/>
        </w:r>
        <w:r w:rsidR="001D5761" w:rsidRPr="000C5235">
          <w:rPr>
            <w:i/>
          </w:rPr>
          <w:t>Machinery of Government changes</w:t>
        </w:r>
        <w:r w:rsidR="00B932FB" w:rsidRPr="000C5235">
          <w:rPr>
            <w:rStyle w:val="Hyperlink"/>
            <w:rFonts w:asciiTheme="minorHAnsi" w:eastAsia="Cambria" w:hAnsiTheme="minorHAnsi" w:cs="Times New Roman"/>
            <w:i/>
          </w:rPr>
          <w:fldChar w:fldCharType="end"/>
        </w:r>
      </w:hyperlink>
      <w:r w:rsidR="00B932FB" w:rsidRPr="000C5235">
        <w:rPr>
          <w:rStyle w:val="BodyTextChar"/>
        </w:rPr>
        <w:t xml:space="preserve"> </w:t>
      </w:r>
      <w:r w:rsidR="00B64C25" w:rsidRPr="000C5235">
        <w:rPr>
          <w:rStyle w:val="BodyTextChar"/>
        </w:rPr>
        <w:t>within</w:t>
      </w:r>
      <w:r w:rsidRPr="000C5235">
        <w:rPr>
          <w:rStyle w:val="BodyTextChar"/>
        </w:rPr>
        <w:t xml:space="preserve"> this guid</w:t>
      </w:r>
      <w:r w:rsidR="00B64C25" w:rsidRPr="000C5235">
        <w:rPr>
          <w:rStyle w:val="BodyTextChar"/>
        </w:rPr>
        <w:t>e</w:t>
      </w:r>
      <w:r w:rsidRPr="000C5235">
        <w:rPr>
          <w:rStyle w:val="BodyTextChar"/>
        </w:rPr>
        <w:t>.</w:t>
      </w:r>
    </w:p>
    <w:p w14:paraId="29AC950F" w14:textId="77777777" w:rsidR="00FA0945" w:rsidRPr="000C5235" w:rsidRDefault="00FA0945" w:rsidP="000A7DEC">
      <w:pPr>
        <w:pStyle w:val="Heading4nonumbers"/>
        <w:rPr>
          <w:rStyle w:val="BodyTextChar"/>
          <w:b/>
          <w:sz w:val="24"/>
        </w:rPr>
      </w:pPr>
      <w:r w:rsidRPr="000C5235">
        <w:rPr>
          <w:rStyle w:val="BodyTextChar"/>
        </w:rPr>
        <w:t>Source of information</w:t>
      </w:r>
    </w:p>
    <w:p w14:paraId="5CDF23BC" w14:textId="033A03DD" w:rsidR="00FA0945" w:rsidRPr="000C5235" w:rsidRDefault="007D3E5D" w:rsidP="00B066EC">
      <w:pPr>
        <w:pStyle w:val="Bullet1"/>
        <w:rPr>
          <w:rStyle w:val="BodyTextChar"/>
        </w:rPr>
      </w:pPr>
      <w:r w:rsidRPr="000C5235">
        <w:rPr>
          <w:rStyle w:val="BodyTextChar"/>
        </w:rPr>
        <w:t>T</w:t>
      </w:r>
      <w:r w:rsidR="00FA0945" w:rsidRPr="000C5235">
        <w:rPr>
          <w:rStyle w:val="BodyTextChar"/>
        </w:rPr>
        <w:t>o confirm the correct amounts, please refer to the costing agreement provided by your AAU</w:t>
      </w:r>
    </w:p>
    <w:p w14:paraId="776AC17B" w14:textId="77777777" w:rsidR="00FA0945" w:rsidRPr="000C5235" w:rsidRDefault="00FA0945">
      <w:pPr>
        <w:pStyle w:val="Bullet1"/>
        <w:rPr>
          <w:rStyle w:val="BodyTextChar"/>
        </w:rPr>
      </w:pPr>
      <w:r w:rsidRPr="000C5235">
        <w:rPr>
          <w:rStyle w:val="BodyTextChar"/>
        </w:rPr>
        <w:t>Information to be included in this table may also be taken from estimates adjustments for measures (</w:t>
      </w:r>
      <w:r w:rsidR="00E10C89" w:rsidRPr="000C5235">
        <w:rPr>
          <w:rStyle w:val="BodyTextChar"/>
        </w:rPr>
        <w:t>ie</w:t>
      </w:r>
      <w:r w:rsidRPr="000C5235">
        <w:rPr>
          <w:rStyle w:val="BodyTextChar"/>
        </w:rPr>
        <w:t xml:space="preserve"> those entered against the reason code “Government decision or measure”) in CBMS</w:t>
      </w:r>
    </w:p>
    <w:p w14:paraId="558D71E3" w14:textId="77777777" w:rsidR="00A01D1B" w:rsidRPr="000C5235" w:rsidRDefault="00FA0945">
      <w:pPr>
        <w:pStyle w:val="Bullet1"/>
        <w:rPr>
          <w:rStyle w:val="BodyTextChar"/>
        </w:rPr>
      </w:pPr>
      <w:r w:rsidRPr="000C5235">
        <w:rPr>
          <w:rStyle w:val="BodyTextChar"/>
        </w:rPr>
        <w:t>Titles of measures are to be confirmed against the final agreed measures list provided by Finance.</w:t>
      </w:r>
      <w:r w:rsidR="00DD3020" w:rsidRPr="000C5235">
        <w:rPr>
          <w:rStyle w:val="BodyTextChar"/>
        </w:rPr>
        <w:t xml:space="preserve"> </w:t>
      </w:r>
    </w:p>
    <w:p w14:paraId="2E56E204" w14:textId="77777777" w:rsidR="00755929" w:rsidRPr="000C5235" w:rsidRDefault="00755929" w:rsidP="000A7DEC">
      <w:r w:rsidRPr="000C5235">
        <w:br w:type="page"/>
      </w:r>
    </w:p>
    <w:p w14:paraId="5629710B" w14:textId="77777777" w:rsidR="00FA0945" w:rsidRPr="000C5235" w:rsidRDefault="00FA0945" w:rsidP="000A7DEC">
      <w:pPr>
        <w:pStyle w:val="Heading1Numbered"/>
      </w:pPr>
      <w:bookmarkStart w:id="431" w:name="_Toc534459664"/>
      <w:bookmarkStart w:id="432" w:name="_Toc534519159"/>
      <w:bookmarkStart w:id="433" w:name="_Toc534520069"/>
      <w:bookmarkStart w:id="434" w:name="_Toc534520339"/>
      <w:bookmarkStart w:id="435" w:name="_Toc534527551"/>
      <w:bookmarkStart w:id="436" w:name="_Toc534528281"/>
      <w:bookmarkStart w:id="437" w:name="_Toc534803502"/>
      <w:bookmarkStart w:id="438" w:name="_Toc534814193"/>
      <w:bookmarkStart w:id="439" w:name="_Toc536108566"/>
      <w:bookmarkStart w:id="440" w:name="_Toc534458876"/>
      <w:bookmarkStart w:id="441" w:name="_Toc534459665"/>
      <w:bookmarkStart w:id="442" w:name="_Toc534519160"/>
      <w:bookmarkStart w:id="443" w:name="_Toc534520070"/>
      <w:bookmarkStart w:id="444" w:name="_Toc534520340"/>
      <w:bookmarkStart w:id="445" w:name="_Toc534527552"/>
      <w:bookmarkStart w:id="446" w:name="_Toc534528282"/>
      <w:bookmarkStart w:id="447" w:name="_Toc534803503"/>
      <w:bookmarkStart w:id="448" w:name="_Toc534814194"/>
      <w:bookmarkStart w:id="449" w:name="_Toc536108567"/>
      <w:bookmarkStart w:id="450" w:name="_Toc411852679"/>
      <w:bookmarkStart w:id="451" w:name="_Toc534382559"/>
      <w:bookmarkStart w:id="452" w:name="_Toc47951236"/>
      <w:bookmarkStart w:id="453" w:name="OLE_LINK3"/>
      <w:bookmarkStart w:id="454" w:name="OLE_LINK4"/>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0C5235">
        <w:t>Outcomes and planned performance</w:t>
      </w:r>
      <w:bookmarkEnd w:id="450"/>
      <w:bookmarkEnd w:id="451"/>
      <w:bookmarkEnd w:id="452"/>
    </w:p>
    <w:p w14:paraId="0EE298AD" w14:textId="77777777" w:rsidR="00945BF5" w:rsidRPr="000C5235" w:rsidRDefault="00945BF5" w:rsidP="000A7DEC">
      <w:pPr>
        <w:pStyle w:val="Boxed2Text"/>
      </w:pPr>
      <w:r w:rsidRPr="000C5235">
        <w:rPr>
          <w:rStyle w:val="BodyTextChar"/>
        </w:rPr>
        <w:t xml:space="preserve">For </w:t>
      </w:r>
      <w:r w:rsidRPr="000C5235">
        <w:t>queries regarding performance reporting in the PB Statements, please contact the Accountability and Reporting Branch in Finance (</w:t>
      </w:r>
      <w:hyperlink r:id="rId56" w:history="1">
        <w:r w:rsidRPr="000C5235">
          <w:rPr>
            <w:rStyle w:val="Hyperlink"/>
            <w:szCs w:val="24"/>
          </w:rPr>
          <w:t>PGPA@finance.gov.au</w:t>
        </w:r>
      </w:hyperlink>
      <w:r w:rsidRPr="000C5235">
        <w:t xml:space="preserve">) or on </w:t>
      </w:r>
      <w:r w:rsidR="004978B4" w:rsidRPr="000C5235">
        <w:br/>
      </w:r>
      <w:r w:rsidRPr="000C5235">
        <w:t>(02) 6215 3130.</w:t>
      </w:r>
    </w:p>
    <w:p w14:paraId="2607EAFC" w14:textId="77777777" w:rsidR="00945BF5" w:rsidRPr="000C5235" w:rsidRDefault="00945BF5" w:rsidP="000A7DEC">
      <w:pPr>
        <w:pStyle w:val="Boxed2Text"/>
      </w:pPr>
      <w:r w:rsidRPr="000C5235">
        <w:t xml:space="preserve">For advice on changing outcome statements or programs, please contact your </w:t>
      </w:r>
      <w:r w:rsidR="00A671CE" w:rsidRPr="000C5235">
        <w:t>AAU</w:t>
      </w:r>
      <w:r w:rsidRPr="000C5235">
        <w:t xml:space="preserve"> in Finance in the first instance.</w:t>
      </w:r>
    </w:p>
    <w:p w14:paraId="18CE79A0" w14:textId="77777777" w:rsidR="00FA0945" w:rsidRPr="000C5235" w:rsidRDefault="00FA0945" w:rsidP="000A7DEC">
      <w:pPr>
        <w:rPr>
          <w:rStyle w:val="BodyTextChar"/>
        </w:rPr>
      </w:pPr>
      <w:r w:rsidRPr="000C5235">
        <w:rPr>
          <w:rStyle w:val="BodyTextChar"/>
        </w:rPr>
        <w:t xml:space="preserve">The </w:t>
      </w:r>
      <w:r w:rsidR="00B64C25" w:rsidRPr="000C5235">
        <w:rPr>
          <w:rStyle w:val="BodyTextChar"/>
        </w:rPr>
        <w:t xml:space="preserve">PBS </w:t>
      </w:r>
      <w:r w:rsidRPr="000C5235">
        <w:rPr>
          <w:rStyle w:val="BodyTextChar"/>
          <w:i/>
        </w:rPr>
        <w:t xml:space="preserve">Outcomes and </w:t>
      </w:r>
      <w:r w:rsidR="00E66432" w:rsidRPr="000C5235">
        <w:rPr>
          <w:rStyle w:val="BodyTextChar"/>
          <w:i/>
        </w:rPr>
        <w:t>p</w:t>
      </w:r>
      <w:r w:rsidRPr="000C5235">
        <w:rPr>
          <w:rStyle w:val="BodyTextChar"/>
          <w:i/>
        </w:rPr>
        <w:t xml:space="preserve">lanned </w:t>
      </w:r>
      <w:r w:rsidR="00E66432" w:rsidRPr="000C5235">
        <w:rPr>
          <w:rStyle w:val="BodyTextChar"/>
          <w:i/>
        </w:rPr>
        <w:t>p</w:t>
      </w:r>
      <w:r w:rsidRPr="000C5235">
        <w:rPr>
          <w:rStyle w:val="BodyTextChar"/>
          <w:i/>
        </w:rPr>
        <w:t>erformance</w:t>
      </w:r>
      <w:r w:rsidRPr="000C5235">
        <w:rPr>
          <w:rStyle w:val="BodyTextChar"/>
        </w:rPr>
        <w:t xml:space="preserve"> section (Section 2) details the expenses incurred in delivering the outcomes and programs of an entity, and the performance information that will be used by the Parliament and other key stakeholders to indicate the impact of this expenditure.</w:t>
      </w:r>
    </w:p>
    <w:p w14:paraId="441CABD1" w14:textId="77777777" w:rsidR="00FA0945" w:rsidRPr="000C5235" w:rsidRDefault="00FA0945" w:rsidP="000A7DEC">
      <w:pPr>
        <w:rPr>
          <w:rStyle w:val="BodyTextChar"/>
        </w:rPr>
      </w:pPr>
      <w:r w:rsidRPr="000C5235">
        <w:rPr>
          <w:rStyle w:val="BodyTextChar"/>
        </w:rPr>
        <w:t xml:space="preserve">The </w:t>
      </w:r>
      <w:r w:rsidR="006D03F9" w:rsidRPr="000C5235">
        <w:rPr>
          <w:rStyle w:val="BodyTextChar"/>
        </w:rPr>
        <w:t>2020-21</w:t>
      </w:r>
      <w:r w:rsidRPr="000C5235">
        <w:rPr>
          <w:rStyle w:val="BodyTextChar"/>
        </w:rPr>
        <w:t xml:space="preserve"> PB Statements are used to provide structured summary reporting of an entity’s intended performance, focusing on programs. The reporting structure allows entities to demonstrate their intended performance in a logical and consistent manner, indicating to the public and the Parliament the resourcing provided and the progress towards achieving Government policy objectives. </w:t>
      </w:r>
    </w:p>
    <w:p w14:paraId="1AF84FB6" w14:textId="77777777" w:rsidR="00FA0945" w:rsidRPr="000C5235" w:rsidRDefault="00FA0945" w:rsidP="000A7DEC">
      <w:pPr>
        <w:rPr>
          <w:rStyle w:val="BodyTextChar"/>
        </w:rPr>
      </w:pPr>
      <w:r w:rsidRPr="000C5235">
        <w:rPr>
          <w:rStyle w:val="BodyTextChar"/>
          <w:i/>
        </w:rPr>
        <w:t>Table 2.X.3:</w:t>
      </w:r>
      <w:r w:rsidRPr="000C5235">
        <w:rPr>
          <w:rStyle w:val="BodyTextChar"/>
        </w:rPr>
        <w:t xml:space="preserve"> </w:t>
      </w:r>
      <w:r w:rsidRPr="000C5235">
        <w:rPr>
          <w:rStyle w:val="BodyTextChar"/>
          <w:i/>
        </w:rPr>
        <w:t>Performance Criteria for Outcome X</w:t>
      </w:r>
      <w:r w:rsidRPr="000C5235">
        <w:rPr>
          <w:rStyle w:val="BodyTextChar"/>
        </w:rPr>
        <w:t xml:space="preserve"> takes into account the reporting requirements of the Commonwealth performance framework and </w:t>
      </w:r>
      <w:r w:rsidR="00CE4E65" w:rsidRPr="000C5235">
        <w:rPr>
          <w:rStyle w:val="BodyTextChar"/>
        </w:rPr>
        <w:t>the clear read principle (that is, that</w:t>
      </w:r>
      <w:r w:rsidRPr="000C5235">
        <w:rPr>
          <w:rStyle w:val="BodyTextChar"/>
        </w:rPr>
        <w:t xml:space="preserve"> performance information across reporting documents (PB Statements, corporate plans and annual </w:t>
      </w:r>
      <w:r w:rsidR="00CE4E65" w:rsidRPr="000C5235">
        <w:rPr>
          <w:rStyle w:val="BodyTextChar"/>
        </w:rPr>
        <w:t>reports</w:t>
      </w:r>
      <w:r w:rsidR="00984C77" w:rsidRPr="000C5235">
        <w:rPr>
          <w:rStyle w:val="BodyTextChar"/>
        </w:rPr>
        <w:t>)</w:t>
      </w:r>
      <w:r w:rsidR="00CE4E65" w:rsidRPr="000C5235">
        <w:rPr>
          <w:rStyle w:val="BodyTextChar"/>
        </w:rPr>
        <w:t xml:space="preserve"> should be presented clearly and consistently such that information is reconcilable between/across the documents</w:t>
      </w:r>
      <w:r w:rsidRPr="000C5235">
        <w:rPr>
          <w:rStyle w:val="BodyTextChar"/>
        </w:rPr>
        <w:t xml:space="preserve">. </w:t>
      </w:r>
    </w:p>
    <w:p w14:paraId="4316CA57" w14:textId="77777777" w:rsidR="00FA0945" w:rsidRPr="000C5235" w:rsidRDefault="00FA0945" w:rsidP="000A7DEC">
      <w:pPr>
        <w:rPr>
          <w:rStyle w:val="BodyTextChar"/>
        </w:rPr>
      </w:pPr>
      <w:r w:rsidRPr="000C5235">
        <w:rPr>
          <w:rStyle w:val="BodyTextChar"/>
        </w:rPr>
        <w:t>Further explanation of the relationship between these reporting documents is provided in a standard diagram, ‘Commonwealth Performance Framework – key components of relevant publications’, situated in the User Guide section of the PB Statement Word template. Links to the entity’s most recent corporate plan and annual performance statement are to be included in the standard note box situated in Section 2: Outcomes and</w:t>
      </w:r>
      <w:r w:rsidR="004D761E" w:rsidRPr="000C5235">
        <w:rPr>
          <w:rStyle w:val="BodyTextChar"/>
        </w:rPr>
        <w:t xml:space="preserve"> planned performance in the </w:t>
      </w:r>
      <w:r w:rsidR="008E4508" w:rsidRPr="000C5235">
        <w:rPr>
          <w:rStyle w:val="BodyTextChar"/>
        </w:rPr>
        <w:t>2020-21</w:t>
      </w:r>
      <w:r w:rsidRPr="000C5235">
        <w:rPr>
          <w:rStyle w:val="BodyTextChar"/>
        </w:rPr>
        <w:t xml:space="preserve"> PB Statements Word template.</w:t>
      </w:r>
    </w:p>
    <w:p w14:paraId="5C5D418C" w14:textId="77777777" w:rsidR="00FA0945" w:rsidRPr="000C5235" w:rsidRDefault="00FA0945" w:rsidP="003C0B9E">
      <w:pPr>
        <w:pStyle w:val="Heading2Numbered"/>
        <w:rPr>
          <w:rStyle w:val="BodyTextChar"/>
        </w:rPr>
      </w:pPr>
      <w:bookmarkStart w:id="455" w:name="_Toc534382560"/>
      <w:bookmarkStart w:id="456" w:name="_Toc47951237"/>
      <w:r w:rsidRPr="000C5235">
        <w:rPr>
          <w:rStyle w:val="BodyTextChar"/>
        </w:rPr>
        <w:t xml:space="preserve">Finance </w:t>
      </w:r>
      <w:r w:rsidR="00256EFC" w:rsidRPr="000C5235">
        <w:rPr>
          <w:rStyle w:val="BodyTextChar"/>
        </w:rPr>
        <w:t>S</w:t>
      </w:r>
      <w:r w:rsidRPr="000C5235">
        <w:rPr>
          <w:rStyle w:val="BodyTextChar"/>
        </w:rPr>
        <w:t xml:space="preserve">ecretary </w:t>
      </w:r>
      <w:r w:rsidR="00256EFC" w:rsidRPr="000C5235">
        <w:rPr>
          <w:rStyle w:val="BodyTextChar"/>
        </w:rPr>
        <w:t>D</w:t>
      </w:r>
      <w:r w:rsidRPr="000C5235">
        <w:rPr>
          <w:rStyle w:val="BodyTextChar"/>
        </w:rPr>
        <w:t>irection</w:t>
      </w:r>
      <w:bookmarkEnd w:id="455"/>
      <w:bookmarkEnd w:id="456"/>
    </w:p>
    <w:p w14:paraId="00A87ED1" w14:textId="77777777" w:rsidR="00E47F62" w:rsidRPr="000C5235" w:rsidRDefault="00FA0945" w:rsidP="00BD6313">
      <w:pPr>
        <w:rPr>
          <w:rStyle w:val="BodyTextChar"/>
          <w:rFonts w:asciiTheme="majorHAnsi" w:hAnsiTheme="majorHAnsi"/>
          <w:bCs/>
          <w:color w:val="1C1C1C" w:themeColor="text2"/>
          <w:sz w:val="34"/>
          <w:szCs w:val="26"/>
        </w:rPr>
      </w:pPr>
      <w:r w:rsidRPr="000C5235">
        <w:rPr>
          <w:rStyle w:val="BodyTextChar"/>
        </w:rPr>
        <w:t xml:space="preserve">The requirements for reporting program performance in PB Statements are set out in a direction issued by the Finance Secretary under </w:t>
      </w:r>
      <w:r w:rsidR="004D0115" w:rsidRPr="000C5235">
        <w:rPr>
          <w:rStyle w:val="BodyTextChar"/>
        </w:rPr>
        <w:t>subsection</w:t>
      </w:r>
      <w:r w:rsidRPr="000C5235">
        <w:rPr>
          <w:rStyle w:val="BodyTextChar"/>
        </w:rPr>
        <w:t> 36(3) of the</w:t>
      </w:r>
      <w:r w:rsidR="003416C7" w:rsidRPr="000C5235">
        <w:rPr>
          <w:rStyle w:val="BodyTextChar"/>
        </w:rPr>
        <w:t xml:space="preserve"> PGPA</w:t>
      </w:r>
      <w:r w:rsidR="00CD0900" w:rsidRPr="000C5235">
        <w:rPr>
          <w:rStyle w:val="BodyTextChar"/>
        </w:rPr>
        <w:t> </w:t>
      </w:r>
      <w:r w:rsidR="003416C7" w:rsidRPr="000C5235">
        <w:rPr>
          <w:rStyle w:val="BodyTextChar"/>
        </w:rPr>
        <w:t>Act</w:t>
      </w:r>
      <w:r w:rsidRPr="000C5235">
        <w:rPr>
          <w:rStyle w:val="BodyTextChar"/>
        </w:rPr>
        <w:t xml:space="preserve"> (available at </w:t>
      </w:r>
      <w:hyperlink r:id="rId57" w:history="1">
        <w:r w:rsidR="00B1636A" w:rsidRPr="000C5235">
          <w:rPr>
            <w:rStyle w:val="Hyperlink"/>
            <w:rFonts w:asciiTheme="minorHAnsi" w:hAnsiTheme="minorHAnsi" w:cs="Times New Roman"/>
          </w:rPr>
          <w:t>www.finance.gov.au/government/managing-commonwealth-resources/managing-money-property/managing-money/annual-appropriations/portfolio-budget-statements</w:t>
        </w:r>
      </w:hyperlink>
      <w:r w:rsidR="004978B4" w:rsidRPr="000C5235">
        <w:t>)</w:t>
      </w:r>
      <w:r w:rsidRPr="000C5235">
        <w:rPr>
          <w:rStyle w:val="BodyTextChar"/>
        </w:rPr>
        <w:t>. This direction sets out the minimum mandatory requirements for performance information to be included in PB Statements, and the links that this information has to corporate plans and annual performance statements.</w:t>
      </w:r>
      <w:r w:rsidR="00E47F62" w:rsidRPr="000C5235">
        <w:rPr>
          <w:rStyle w:val="BodyTextChar"/>
        </w:rPr>
        <w:br w:type="page"/>
      </w:r>
    </w:p>
    <w:p w14:paraId="5B15BB11" w14:textId="77777777" w:rsidR="00C25CF4" w:rsidRPr="000C5235" w:rsidRDefault="00FA0945">
      <w:pPr>
        <w:pStyle w:val="BodyText"/>
      </w:pPr>
      <w:r w:rsidRPr="000C5235">
        <w:rPr>
          <w:rStyle w:val="BodyTextChar"/>
        </w:rPr>
        <w:t xml:space="preserve">The </w:t>
      </w:r>
      <w:r w:rsidRPr="000C5235">
        <w:t>mandatory minimum requirements are that an entity must do the following in its PB</w:t>
      </w:r>
      <w:r w:rsidR="00A667A6" w:rsidRPr="000C5235">
        <w:t> </w:t>
      </w:r>
      <w:r w:rsidRPr="000C5235">
        <w:t>Statements:</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570"/>
        <w:gridCol w:w="7360"/>
      </w:tblGrid>
      <w:tr w:rsidR="00FA0945" w:rsidRPr="000C5235" w14:paraId="51232C9F" w14:textId="77777777" w:rsidTr="003E3C9D">
        <w:trPr>
          <w:tblHeader/>
          <w:jc w:val="center"/>
        </w:trPr>
        <w:tc>
          <w:tcPr>
            <w:tcW w:w="570" w:type="dxa"/>
          </w:tcPr>
          <w:p w14:paraId="6BB65C48" w14:textId="77777777" w:rsidR="00FA0945" w:rsidRPr="000C5235" w:rsidRDefault="00FA0945">
            <w:pPr>
              <w:pStyle w:val="BodyText"/>
              <w:rPr>
                <w:rStyle w:val="BodyTextChar"/>
              </w:rPr>
            </w:pPr>
            <w:r w:rsidRPr="000C5235">
              <w:rPr>
                <w:rStyle w:val="BodyTextChar"/>
              </w:rPr>
              <w:t>1.</w:t>
            </w:r>
          </w:p>
        </w:tc>
        <w:tc>
          <w:tcPr>
            <w:tcW w:w="7360" w:type="dxa"/>
          </w:tcPr>
          <w:p w14:paraId="4DFF2B0B" w14:textId="77777777" w:rsidR="00FA0945" w:rsidRPr="000C5235" w:rsidRDefault="00FA0945">
            <w:pPr>
              <w:pStyle w:val="BodyText"/>
              <w:rPr>
                <w:rStyle w:val="BodyTextChar"/>
              </w:rPr>
            </w:pPr>
            <w:r w:rsidRPr="000C5235">
              <w:rPr>
                <w:rStyle w:val="BodyTextChar"/>
              </w:rPr>
              <w:t>Map outcomes, programs and performance criteria to the entity’s purposes as expressed in its corporate plan.</w:t>
            </w:r>
          </w:p>
        </w:tc>
      </w:tr>
      <w:tr w:rsidR="00FA0945" w:rsidRPr="000C5235" w14:paraId="2D2FAB17" w14:textId="77777777" w:rsidTr="003E3C9D">
        <w:trPr>
          <w:jc w:val="center"/>
        </w:trPr>
        <w:tc>
          <w:tcPr>
            <w:tcW w:w="570" w:type="dxa"/>
          </w:tcPr>
          <w:p w14:paraId="4D73B19E" w14:textId="77777777" w:rsidR="00FA0945" w:rsidRPr="000C5235" w:rsidRDefault="00FA0945">
            <w:pPr>
              <w:pStyle w:val="BodyText"/>
              <w:rPr>
                <w:rStyle w:val="BodyTextChar"/>
              </w:rPr>
            </w:pPr>
            <w:r w:rsidRPr="000C5235">
              <w:rPr>
                <w:rStyle w:val="BodyTextChar"/>
              </w:rPr>
              <w:t>2.</w:t>
            </w:r>
          </w:p>
        </w:tc>
        <w:tc>
          <w:tcPr>
            <w:tcW w:w="7360" w:type="dxa"/>
          </w:tcPr>
          <w:p w14:paraId="6A71DCC7" w14:textId="77777777" w:rsidR="00FA0945" w:rsidRPr="000C5235" w:rsidRDefault="00FA0945">
            <w:pPr>
              <w:pStyle w:val="BodyText"/>
              <w:rPr>
                <w:rStyle w:val="BodyTextChar"/>
              </w:rPr>
            </w:pPr>
            <w:r w:rsidRPr="000C5235">
              <w:rPr>
                <w:rStyle w:val="BodyTextChar"/>
              </w:rPr>
              <w:t>For existing programs, include at least one high level performance criterion, as well as targets and expected dates of achievement.</w:t>
            </w:r>
          </w:p>
        </w:tc>
      </w:tr>
      <w:tr w:rsidR="00FA0945" w:rsidRPr="000C5235" w14:paraId="25670791" w14:textId="77777777" w:rsidTr="003E3C9D">
        <w:trPr>
          <w:jc w:val="center"/>
        </w:trPr>
        <w:tc>
          <w:tcPr>
            <w:tcW w:w="570" w:type="dxa"/>
          </w:tcPr>
          <w:p w14:paraId="18C3614F" w14:textId="77777777" w:rsidR="00FA0945" w:rsidRPr="000C5235" w:rsidRDefault="00FA0945">
            <w:pPr>
              <w:pStyle w:val="BodyText"/>
              <w:rPr>
                <w:rStyle w:val="BodyTextChar"/>
              </w:rPr>
            </w:pPr>
            <w:r w:rsidRPr="000C5235">
              <w:rPr>
                <w:rStyle w:val="BodyTextChar"/>
              </w:rPr>
              <w:t>3.</w:t>
            </w:r>
          </w:p>
        </w:tc>
        <w:tc>
          <w:tcPr>
            <w:tcW w:w="7360" w:type="dxa"/>
          </w:tcPr>
          <w:p w14:paraId="1A78BFE9" w14:textId="77777777" w:rsidR="00FA0945" w:rsidRPr="000C5235" w:rsidRDefault="00FA0945">
            <w:pPr>
              <w:pStyle w:val="BodyText"/>
              <w:rPr>
                <w:rStyle w:val="BodyTextChar"/>
              </w:rPr>
            </w:pPr>
            <w:r w:rsidRPr="000C5235">
              <w:rPr>
                <w:rStyle w:val="BodyTextChar"/>
              </w:rPr>
              <w:t>For new or materially changed existing programs, outline all performance criteria, targets and expected dates of achievement.</w:t>
            </w:r>
          </w:p>
        </w:tc>
      </w:tr>
      <w:tr w:rsidR="00FA0945" w:rsidRPr="000C5235" w14:paraId="06406AB9" w14:textId="77777777" w:rsidTr="003E3C9D">
        <w:trPr>
          <w:jc w:val="center"/>
        </w:trPr>
        <w:tc>
          <w:tcPr>
            <w:tcW w:w="570" w:type="dxa"/>
          </w:tcPr>
          <w:p w14:paraId="7C9A08CF" w14:textId="77777777" w:rsidR="00FA0945" w:rsidRPr="000C5235" w:rsidRDefault="00FA0945">
            <w:pPr>
              <w:pStyle w:val="BodyText"/>
              <w:rPr>
                <w:rStyle w:val="BodyTextChar"/>
              </w:rPr>
            </w:pPr>
            <w:r w:rsidRPr="000C5235">
              <w:rPr>
                <w:rStyle w:val="BodyTextChar"/>
              </w:rPr>
              <w:t>4.</w:t>
            </w:r>
          </w:p>
        </w:tc>
        <w:tc>
          <w:tcPr>
            <w:tcW w:w="7360" w:type="dxa"/>
          </w:tcPr>
          <w:p w14:paraId="3C50E3D0" w14:textId="77777777" w:rsidR="00FA0945" w:rsidRPr="000C5235" w:rsidRDefault="00FA0945">
            <w:pPr>
              <w:pStyle w:val="BodyText"/>
              <w:rPr>
                <w:rStyle w:val="BodyTextChar"/>
              </w:rPr>
            </w:pPr>
            <w:r w:rsidRPr="000C5235">
              <w:rPr>
                <w:rStyle w:val="BodyTextChar"/>
              </w:rPr>
              <w:t>Include forecasts of program performance against expected targets for the current financial year. For the budget year and the three forward estimate years, include program performance criteria and expected targets.</w:t>
            </w:r>
          </w:p>
        </w:tc>
      </w:tr>
      <w:tr w:rsidR="00FA0945" w:rsidRPr="000C5235" w14:paraId="292B31D6" w14:textId="77777777" w:rsidTr="003E3C9D">
        <w:trPr>
          <w:jc w:val="center"/>
        </w:trPr>
        <w:tc>
          <w:tcPr>
            <w:tcW w:w="570" w:type="dxa"/>
          </w:tcPr>
          <w:p w14:paraId="704AEB9C" w14:textId="77777777" w:rsidR="00FA0945" w:rsidRPr="000C5235" w:rsidRDefault="00FA0945">
            <w:pPr>
              <w:pStyle w:val="BodyText"/>
              <w:rPr>
                <w:rStyle w:val="BodyTextChar"/>
              </w:rPr>
            </w:pPr>
            <w:r w:rsidRPr="000C5235">
              <w:rPr>
                <w:rStyle w:val="BodyTextChar"/>
              </w:rPr>
              <w:t>5.</w:t>
            </w:r>
          </w:p>
        </w:tc>
        <w:tc>
          <w:tcPr>
            <w:tcW w:w="7360" w:type="dxa"/>
          </w:tcPr>
          <w:p w14:paraId="053DA68D" w14:textId="77777777" w:rsidR="00FA0945" w:rsidRPr="000C5235" w:rsidRDefault="00FA0945">
            <w:pPr>
              <w:pStyle w:val="BodyText"/>
              <w:rPr>
                <w:rStyle w:val="BodyTextChar"/>
              </w:rPr>
            </w:pPr>
            <w:r w:rsidRPr="000C5235">
              <w:rPr>
                <w:rStyle w:val="BodyTextChar"/>
              </w:rPr>
              <w:t>Report links with the programs and outcomes of other entities.</w:t>
            </w:r>
          </w:p>
        </w:tc>
      </w:tr>
    </w:tbl>
    <w:p w14:paraId="7923A492" w14:textId="77777777" w:rsidR="00FA0945" w:rsidRPr="000C5235" w:rsidRDefault="005819F3">
      <w:pPr>
        <w:rPr>
          <w:rStyle w:val="BodyTextChar"/>
        </w:rPr>
      </w:pPr>
      <w:r w:rsidRPr="000C5235">
        <w:rPr>
          <w:rStyle w:val="BodyTextChar"/>
        </w:rPr>
        <w:t xml:space="preserve">Subsection </w:t>
      </w:r>
      <w:r w:rsidR="00FA0945" w:rsidRPr="000C5235">
        <w:rPr>
          <w:rStyle w:val="BodyTextChar"/>
        </w:rPr>
        <w:t xml:space="preserve">36(3) of the PGPA Act requires the accountable authorities of all entities to comply with the Finance Secretary’s </w:t>
      </w:r>
      <w:r w:rsidRPr="000C5235">
        <w:rPr>
          <w:rStyle w:val="BodyTextChar"/>
        </w:rPr>
        <w:t>D</w:t>
      </w:r>
      <w:r w:rsidR="00FA0945" w:rsidRPr="000C5235">
        <w:rPr>
          <w:rStyle w:val="BodyTextChar"/>
        </w:rPr>
        <w:t>irection. The following guidance is intended to assist entities to comply with this Direction.</w:t>
      </w:r>
      <w:r w:rsidR="00B10AA9" w:rsidRPr="000C5235">
        <w:rPr>
          <w:rStyle w:val="BodyTextChar"/>
        </w:rPr>
        <w:t xml:space="preserve">  In respect to Requirement 4, ‘Include forecasts of program performance against expected targets for the current financial year’, as the 2020-21 Budget is being delivered after the 2019-20 financial year, entities should report the actual performance outcomes for each program for the 2019-20 period.  This should be consistent with the reporting of performance outcomes in the 2019-20 annual performance statements.</w:t>
      </w:r>
    </w:p>
    <w:p w14:paraId="676D8054" w14:textId="77777777" w:rsidR="00FA0945" w:rsidRPr="000C5235" w:rsidRDefault="00FA0945" w:rsidP="000A7DEC">
      <w:pPr>
        <w:pStyle w:val="Heading2Numbered"/>
        <w:rPr>
          <w:rFonts w:ascii="Arial" w:eastAsia="Times New Roman" w:hAnsi="Arial"/>
          <w:spacing w:val="-6"/>
          <w:szCs w:val="34"/>
        </w:rPr>
      </w:pPr>
      <w:bookmarkStart w:id="457" w:name="_Toc534382561"/>
      <w:bookmarkStart w:id="458" w:name="_Toc47951238"/>
      <w:r w:rsidRPr="000C5235">
        <w:rPr>
          <w:rFonts w:eastAsia="Times New Roman"/>
        </w:rPr>
        <w:t xml:space="preserve">Structure of </w:t>
      </w:r>
      <w:r w:rsidR="001A5C7F" w:rsidRPr="000C5235">
        <w:rPr>
          <w:rFonts w:eastAsia="Times New Roman"/>
        </w:rPr>
        <w:t>s</w:t>
      </w:r>
      <w:r w:rsidRPr="000C5235">
        <w:rPr>
          <w:rFonts w:eastAsia="Times New Roman"/>
        </w:rPr>
        <w:t>ection 2</w:t>
      </w:r>
      <w:bookmarkEnd w:id="457"/>
      <w:bookmarkEnd w:id="458"/>
    </w:p>
    <w:p w14:paraId="6EE10A21" w14:textId="77777777" w:rsidR="00C25CF4" w:rsidRPr="000C5235" w:rsidRDefault="00FA0945">
      <w:pPr>
        <w:rPr>
          <w:rStyle w:val="BodyTextChar"/>
        </w:rPr>
      </w:pPr>
      <w:r w:rsidRPr="000C5235">
        <w:rPr>
          <w:rStyle w:val="BodyTextChar"/>
        </w:rPr>
        <w:t xml:space="preserve">The following illustrates the recommended structure for Section 2 of the PB Statements. Each outcome is described in a </w:t>
      </w:r>
      <w:r w:rsidR="004D0115" w:rsidRPr="000C5235">
        <w:rPr>
          <w:rStyle w:val="BodyTextChar"/>
        </w:rPr>
        <w:t>subsection</w:t>
      </w:r>
      <w:r w:rsidRPr="000C5235">
        <w:rPr>
          <w:rStyle w:val="BodyTextChar"/>
        </w:rPr>
        <w:t xml:space="preserve"> 2.X as follows:</w:t>
      </w:r>
    </w:p>
    <w:tbl>
      <w:tblPr>
        <w:tblW w:w="0" w:type="auto"/>
        <w:jc w:val="center"/>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146"/>
      </w:tblGrid>
      <w:tr w:rsidR="00FA0945" w:rsidRPr="000C5235" w14:paraId="3F67BDDD" w14:textId="77777777" w:rsidTr="003E3C9D">
        <w:trPr>
          <w:tblHeader/>
          <w:jc w:val="center"/>
        </w:trPr>
        <w:tc>
          <w:tcPr>
            <w:tcW w:w="8146" w:type="dxa"/>
            <w:shd w:val="clear" w:color="auto" w:fill="DDF3FA"/>
          </w:tcPr>
          <w:p w14:paraId="4A4E783E" w14:textId="77777777" w:rsidR="00FA0945" w:rsidRPr="000C5235" w:rsidRDefault="00FA0945">
            <w:pPr>
              <w:pStyle w:val="BodyText"/>
            </w:pPr>
            <w:r w:rsidRPr="000C5235">
              <w:rPr>
                <w:u w:val="single"/>
              </w:rPr>
              <w:t>Example</w:t>
            </w:r>
            <w:r w:rsidRPr="000C5235">
              <w:t xml:space="preserve"> - Structure of Section 2</w:t>
            </w:r>
          </w:p>
        </w:tc>
      </w:tr>
      <w:tr w:rsidR="00FA0945" w:rsidRPr="000C5235" w14:paraId="4A3F4224" w14:textId="77777777" w:rsidTr="003E3C9D">
        <w:trPr>
          <w:jc w:val="center"/>
        </w:trPr>
        <w:tc>
          <w:tcPr>
            <w:tcW w:w="8146" w:type="dxa"/>
          </w:tcPr>
          <w:tbl>
            <w:tblPr>
              <w:tblW w:w="0" w:type="auto"/>
              <w:tblInd w:w="284" w:type="dxa"/>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371"/>
            </w:tblGrid>
            <w:tr w:rsidR="00FA0945" w:rsidRPr="000C5235" w14:paraId="2C3B60B5" w14:textId="77777777" w:rsidTr="00FA0945">
              <w:tc>
                <w:tcPr>
                  <w:tcW w:w="7371" w:type="dxa"/>
                  <w:tcBorders>
                    <w:bottom w:val="single" w:sz="2" w:space="0" w:color="A7B4BE"/>
                  </w:tcBorders>
                </w:tcPr>
                <w:p w14:paraId="09EB8AE0" w14:textId="77777777" w:rsidR="00FA0945" w:rsidRPr="000C5235" w:rsidRDefault="00FA0945">
                  <w:pPr>
                    <w:pStyle w:val="BodyText"/>
                    <w:rPr>
                      <w:rStyle w:val="BodyTextChar"/>
                      <w:b/>
                      <w:sz w:val="20"/>
                      <w:szCs w:val="20"/>
                    </w:rPr>
                  </w:pPr>
                  <w:r w:rsidRPr="000C5235">
                    <w:rPr>
                      <w:rStyle w:val="BodyTextChar"/>
                      <w:b/>
                      <w:sz w:val="20"/>
                      <w:szCs w:val="20"/>
                    </w:rPr>
                    <w:t>Outcome Statement X</w:t>
                  </w:r>
                </w:p>
              </w:tc>
            </w:tr>
            <w:tr w:rsidR="00FA0945" w:rsidRPr="000C5235" w14:paraId="177F5502" w14:textId="77777777" w:rsidTr="00FA0945">
              <w:trPr>
                <w:trHeight w:val="65"/>
              </w:trPr>
              <w:tc>
                <w:tcPr>
                  <w:tcW w:w="7371" w:type="dxa"/>
                  <w:tcBorders>
                    <w:left w:val="nil"/>
                    <w:right w:val="nil"/>
                  </w:tcBorders>
                </w:tcPr>
                <w:p w14:paraId="7CF9D578" w14:textId="77777777" w:rsidR="00FA0945" w:rsidRPr="000C5235" w:rsidRDefault="00FA0945">
                  <w:pPr>
                    <w:pStyle w:val="BodyText"/>
                    <w:rPr>
                      <w:rStyle w:val="BodyTextChar"/>
                      <w:sz w:val="4"/>
                      <w:szCs w:val="4"/>
                    </w:rPr>
                  </w:pPr>
                </w:p>
              </w:tc>
            </w:tr>
            <w:tr w:rsidR="00FA0945" w:rsidRPr="000C5235" w14:paraId="3BF2E04A" w14:textId="77777777" w:rsidTr="00FA0945">
              <w:tc>
                <w:tcPr>
                  <w:tcW w:w="7371" w:type="dxa"/>
                  <w:tcBorders>
                    <w:bottom w:val="single" w:sz="2" w:space="0" w:color="A7B4BE"/>
                  </w:tcBorders>
                </w:tcPr>
                <w:p w14:paraId="0AECDD4F" w14:textId="77777777" w:rsidR="00FA0945" w:rsidRPr="000C5235" w:rsidRDefault="00FA0945">
                  <w:pPr>
                    <w:pStyle w:val="BodyText"/>
                    <w:rPr>
                      <w:rStyle w:val="BodyTextChar"/>
                      <w:b/>
                      <w:sz w:val="20"/>
                      <w:szCs w:val="20"/>
                    </w:rPr>
                  </w:pPr>
                  <w:r w:rsidRPr="000C5235">
                    <w:rPr>
                      <w:rStyle w:val="BodyTextChar"/>
                      <w:b/>
                      <w:sz w:val="20"/>
                      <w:szCs w:val="20"/>
                    </w:rPr>
                    <w:t>Linked programs box</w:t>
                  </w:r>
                </w:p>
              </w:tc>
            </w:tr>
            <w:tr w:rsidR="00FA0945" w:rsidRPr="000C5235" w14:paraId="7F19F712" w14:textId="77777777" w:rsidTr="00FA0945">
              <w:trPr>
                <w:trHeight w:val="65"/>
              </w:trPr>
              <w:tc>
                <w:tcPr>
                  <w:tcW w:w="7371" w:type="dxa"/>
                  <w:tcBorders>
                    <w:left w:val="nil"/>
                    <w:right w:val="nil"/>
                  </w:tcBorders>
                </w:tcPr>
                <w:p w14:paraId="6F934063" w14:textId="77777777" w:rsidR="00FA0945" w:rsidRPr="000C5235" w:rsidRDefault="00FA0945">
                  <w:pPr>
                    <w:pStyle w:val="BodyText"/>
                    <w:rPr>
                      <w:rStyle w:val="BodyTextChar"/>
                      <w:sz w:val="4"/>
                      <w:szCs w:val="4"/>
                    </w:rPr>
                  </w:pPr>
                </w:p>
              </w:tc>
            </w:tr>
            <w:tr w:rsidR="00FA0945" w:rsidRPr="000C5235" w14:paraId="009D0B17" w14:textId="77777777" w:rsidTr="00FA0945">
              <w:tc>
                <w:tcPr>
                  <w:tcW w:w="7371" w:type="dxa"/>
                  <w:tcBorders>
                    <w:bottom w:val="single" w:sz="2" w:space="0" w:color="A7B4BE"/>
                  </w:tcBorders>
                </w:tcPr>
                <w:p w14:paraId="222856F7" w14:textId="77777777" w:rsidR="00FA0945" w:rsidRPr="000C5235" w:rsidRDefault="00FA0945">
                  <w:pPr>
                    <w:pStyle w:val="BodyText"/>
                    <w:rPr>
                      <w:rStyle w:val="BodyTextChar"/>
                      <w:b/>
                      <w:sz w:val="20"/>
                      <w:szCs w:val="20"/>
                    </w:rPr>
                  </w:pPr>
                  <w:r w:rsidRPr="000C5235">
                    <w:rPr>
                      <w:rStyle w:val="BodyTextChar"/>
                      <w:b/>
                      <w:sz w:val="20"/>
                      <w:szCs w:val="20"/>
                    </w:rPr>
                    <w:t>Table 2.X.1: Budgeted expenses for Outcome X</w:t>
                  </w:r>
                </w:p>
              </w:tc>
            </w:tr>
            <w:tr w:rsidR="00FA0945" w:rsidRPr="000C5235" w14:paraId="75F4FC8F" w14:textId="77777777" w:rsidTr="00FA0945">
              <w:tc>
                <w:tcPr>
                  <w:tcW w:w="7371" w:type="dxa"/>
                  <w:tcBorders>
                    <w:left w:val="nil"/>
                    <w:right w:val="nil"/>
                  </w:tcBorders>
                </w:tcPr>
                <w:p w14:paraId="23BF1E2A" w14:textId="77777777" w:rsidR="00FA0945" w:rsidRPr="000C5235" w:rsidRDefault="00FA0945">
                  <w:pPr>
                    <w:pStyle w:val="BodyText"/>
                    <w:rPr>
                      <w:rStyle w:val="BodyTextChar"/>
                      <w:sz w:val="4"/>
                      <w:szCs w:val="4"/>
                    </w:rPr>
                  </w:pPr>
                </w:p>
              </w:tc>
            </w:tr>
            <w:tr w:rsidR="00FA0945" w:rsidRPr="000C5235" w14:paraId="116FB5E7" w14:textId="77777777" w:rsidTr="00FA0945">
              <w:tc>
                <w:tcPr>
                  <w:tcW w:w="7371" w:type="dxa"/>
                  <w:tcBorders>
                    <w:bottom w:val="single" w:sz="2" w:space="0" w:color="A7B4BE"/>
                  </w:tcBorders>
                </w:tcPr>
                <w:p w14:paraId="5289F458" w14:textId="77777777" w:rsidR="00FA0945" w:rsidRPr="000C5235" w:rsidRDefault="00FA0945">
                  <w:pPr>
                    <w:pStyle w:val="BodyText"/>
                    <w:rPr>
                      <w:rStyle w:val="BodyTextChar"/>
                      <w:sz w:val="20"/>
                      <w:szCs w:val="20"/>
                    </w:rPr>
                  </w:pPr>
                  <w:r w:rsidRPr="000C5235">
                    <w:rPr>
                      <w:rStyle w:val="BodyTextChar"/>
                      <w:b/>
                      <w:sz w:val="20"/>
                      <w:szCs w:val="20"/>
                    </w:rPr>
                    <w:t>Table 2.X.2: Program components for Outcome X</w:t>
                  </w:r>
                  <w:r w:rsidRPr="000C5235">
                    <w:rPr>
                      <w:rStyle w:val="BodyTextChar"/>
                      <w:sz w:val="20"/>
                      <w:szCs w:val="20"/>
                    </w:rPr>
                    <w:t xml:space="preserve"> (optional)</w:t>
                  </w:r>
                </w:p>
              </w:tc>
            </w:tr>
            <w:tr w:rsidR="00FA0945" w:rsidRPr="000C5235" w14:paraId="37FB8398" w14:textId="77777777" w:rsidTr="00FA0945">
              <w:tc>
                <w:tcPr>
                  <w:tcW w:w="7371" w:type="dxa"/>
                  <w:tcBorders>
                    <w:left w:val="nil"/>
                    <w:right w:val="nil"/>
                  </w:tcBorders>
                </w:tcPr>
                <w:p w14:paraId="05A221E8" w14:textId="77777777" w:rsidR="00FA0945" w:rsidRPr="000C5235" w:rsidRDefault="00FA0945">
                  <w:pPr>
                    <w:pStyle w:val="BodyText"/>
                    <w:rPr>
                      <w:rStyle w:val="BodyTextChar"/>
                      <w:sz w:val="4"/>
                      <w:szCs w:val="4"/>
                    </w:rPr>
                  </w:pPr>
                </w:p>
              </w:tc>
            </w:tr>
            <w:tr w:rsidR="00FA0945" w:rsidRPr="000C5235" w14:paraId="20AA598C" w14:textId="77777777" w:rsidTr="00FA0945">
              <w:tc>
                <w:tcPr>
                  <w:tcW w:w="7371" w:type="dxa"/>
                </w:tcPr>
                <w:p w14:paraId="46F42E8B" w14:textId="77777777" w:rsidR="00FA0945" w:rsidRPr="000C5235" w:rsidRDefault="00FA0945">
                  <w:pPr>
                    <w:pStyle w:val="BodyText"/>
                    <w:rPr>
                      <w:rStyle w:val="BodyTextChar"/>
                      <w:b/>
                      <w:sz w:val="20"/>
                      <w:szCs w:val="20"/>
                    </w:rPr>
                  </w:pPr>
                  <w:r w:rsidRPr="000C5235">
                    <w:rPr>
                      <w:rStyle w:val="BodyTextChar"/>
                      <w:b/>
                      <w:sz w:val="20"/>
                      <w:szCs w:val="20"/>
                    </w:rPr>
                    <w:t>Table 2.X.3: Planned performance criteria for Outcome X</w:t>
                  </w:r>
                </w:p>
              </w:tc>
            </w:tr>
          </w:tbl>
          <w:p w14:paraId="423A1B8A" w14:textId="77777777" w:rsidR="00FA0945" w:rsidRPr="000C5235" w:rsidRDefault="00FA0945">
            <w:pPr>
              <w:rPr>
                <w:rStyle w:val="BodyTextChar"/>
              </w:rPr>
            </w:pPr>
          </w:p>
        </w:tc>
      </w:tr>
    </w:tbl>
    <w:p w14:paraId="77D94414" w14:textId="77777777" w:rsidR="00FA0945" w:rsidRPr="000C5235" w:rsidRDefault="00FA0945">
      <w:pPr>
        <w:rPr>
          <w:rStyle w:val="BodyTextChar"/>
        </w:rPr>
      </w:pPr>
      <w:r w:rsidRPr="000C5235">
        <w:rPr>
          <w:rStyle w:val="BodyTextChar"/>
        </w:rPr>
        <w:t>Entities with multiple outcomes would repeat subsection 2.X for each and every outcome (</w:t>
      </w:r>
      <w:r w:rsidR="00E10C89" w:rsidRPr="000C5235">
        <w:rPr>
          <w:rStyle w:val="BodyTextChar"/>
        </w:rPr>
        <w:t>ie</w:t>
      </w:r>
      <w:r w:rsidRPr="000C5235">
        <w:rPr>
          <w:rStyle w:val="BodyTextChar"/>
        </w:rPr>
        <w:t xml:space="preserve"> 2.1 for Outcome 1, 2.2 for Outcome 2, etc). Entities with a single outcome would include the elements shown above under a single subsection 2.1.</w:t>
      </w:r>
    </w:p>
    <w:p w14:paraId="6515ADC5" w14:textId="77777777" w:rsidR="00FA0945" w:rsidRPr="000C5235" w:rsidRDefault="00FA0945" w:rsidP="000A7DEC">
      <w:pPr>
        <w:rPr>
          <w:rStyle w:val="BodyTextChar"/>
        </w:rPr>
      </w:pPr>
      <w:r w:rsidRPr="000C5235">
        <w:rPr>
          <w:rStyle w:val="BodyTextChar"/>
        </w:rPr>
        <w:t xml:space="preserve">Entities should use the table numbering scheme shown in the above example. For example, </w:t>
      </w:r>
      <w:r w:rsidRPr="000C5235">
        <w:rPr>
          <w:rStyle w:val="BodyTextChar"/>
          <w:i/>
        </w:rPr>
        <w:t>Table 2.1.1 f</w:t>
      </w:r>
      <w:r w:rsidRPr="000C5235">
        <w:rPr>
          <w:rStyle w:val="BodyTextChar"/>
        </w:rPr>
        <w:t xml:space="preserve">or the Budgeted expenses for Outcome 1; </w:t>
      </w:r>
      <w:r w:rsidRPr="000C5235">
        <w:rPr>
          <w:rStyle w:val="BodyTextChar"/>
          <w:i/>
        </w:rPr>
        <w:t>Table 2.1.2</w:t>
      </w:r>
      <w:r w:rsidRPr="000C5235">
        <w:rPr>
          <w:rStyle w:val="BodyTextChar"/>
        </w:rPr>
        <w:t xml:space="preserve"> for program components related to Outcome 1(if included); and </w:t>
      </w:r>
      <w:r w:rsidRPr="000C5235">
        <w:rPr>
          <w:rStyle w:val="BodyTextChar"/>
          <w:i/>
        </w:rPr>
        <w:t>Table 2.1.3</w:t>
      </w:r>
      <w:r w:rsidRPr="000C5235">
        <w:rPr>
          <w:rStyle w:val="BodyTextChar"/>
        </w:rPr>
        <w:t xml:space="preserve"> for planned performance information for Outcome 1 (or </w:t>
      </w:r>
      <w:r w:rsidR="00334C6F" w:rsidRPr="000C5235">
        <w:rPr>
          <w:rStyle w:val="BodyTextChar"/>
          <w:i/>
        </w:rPr>
        <w:t>T</w:t>
      </w:r>
      <w:r w:rsidRPr="000C5235">
        <w:rPr>
          <w:rStyle w:val="BodyTextChar"/>
          <w:i/>
        </w:rPr>
        <w:t>able 2.1.2</w:t>
      </w:r>
      <w:r w:rsidRPr="000C5235">
        <w:rPr>
          <w:rStyle w:val="BodyTextChar"/>
        </w:rPr>
        <w:t xml:space="preserve"> if no program components are reported). For Outcome 2, these table numbers would run in the following sequence: </w:t>
      </w:r>
      <w:r w:rsidRPr="000C5235">
        <w:rPr>
          <w:rStyle w:val="BodyTextChar"/>
          <w:i/>
        </w:rPr>
        <w:t>Table 2.2.1; Table 2.2.2</w:t>
      </w:r>
      <w:r w:rsidRPr="000C5235">
        <w:rPr>
          <w:rStyle w:val="BodyTextChar"/>
        </w:rPr>
        <w:t xml:space="preserve"> and </w:t>
      </w:r>
      <w:r w:rsidRPr="000C5235">
        <w:rPr>
          <w:rStyle w:val="BodyTextChar"/>
          <w:i/>
        </w:rPr>
        <w:t>Table 2.2.3</w:t>
      </w:r>
      <w:r w:rsidRPr="000C5235">
        <w:rPr>
          <w:rStyle w:val="BodyTextChar"/>
        </w:rPr>
        <w:t>. This scheme is intended to make it easy for readers to refer to information and provide consistency across PB Statements tabled by different ministers.</w:t>
      </w:r>
    </w:p>
    <w:p w14:paraId="0BB85E2C" w14:textId="77777777" w:rsidR="00FA0945" w:rsidRPr="000C5235" w:rsidRDefault="00FA0945" w:rsidP="000A7DEC">
      <w:pPr>
        <w:pStyle w:val="Heading2Numbered"/>
        <w:rPr>
          <w:rFonts w:ascii="Arial" w:eastAsia="Times New Roman" w:hAnsi="Arial"/>
          <w:spacing w:val="-6"/>
          <w:szCs w:val="34"/>
        </w:rPr>
      </w:pPr>
      <w:bookmarkStart w:id="459" w:name="_Toc534382562"/>
      <w:bookmarkStart w:id="460" w:name="_Ref33520614"/>
      <w:bookmarkStart w:id="461" w:name="_Ref33520641"/>
      <w:bookmarkStart w:id="462" w:name="_Ref33520649"/>
      <w:bookmarkStart w:id="463" w:name="_Ref33521882"/>
      <w:bookmarkStart w:id="464" w:name="_Ref33521889"/>
      <w:bookmarkStart w:id="465" w:name="_Ref33521893"/>
      <w:bookmarkStart w:id="466" w:name="_Ref33522094"/>
      <w:bookmarkStart w:id="467" w:name="_Ref33522098"/>
      <w:bookmarkStart w:id="468" w:name="_Ref33522148"/>
      <w:bookmarkStart w:id="469" w:name="_Ref33522177"/>
      <w:bookmarkStart w:id="470" w:name="_Ref33522182"/>
      <w:bookmarkStart w:id="471" w:name="_Ref33522184"/>
      <w:bookmarkStart w:id="472" w:name="_Toc47951239"/>
      <w:r w:rsidRPr="000C5235">
        <w:rPr>
          <w:rFonts w:eastAsia="Times New Roman"/>
        </w:rPr>
        <w:t xml:space="preserve">Outcome </w:t>
      </w:r>
      <w:r w:rsidR="001A5C7F" w:rsidRPr="000C5235">
        <w:rPr>
          <w:rFonts w:eastAsia="Times New Roman"/>
        </w:rPr>
        <w:t>s</w:t>
      </w:r>
      <w:r w:rsidRPr="000C5235">
        <w:rPr>
          <w:rFonts w:eastAsia="Times New Roman"/>
        </w:rPr>
        <w:t>tatements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3B017E46" w14:textId="77777777" w:rsidR="00FA0945" w:rsidRPr="000C5235" w:rsidRDefault="00FA0945" w:rsidP="000A7DEC">
      <w:pPr>
        <w:rPr>
          <w:rStyle w:val="BodyTextChar"/>
          <w:rFonts w:ascii="Arial" w:hAnsi="Arial"/>
          <w:bCs/>
          <w:color w:val="1C1C1C" w:themeColor="text2"/>
          <w:spacing w:val="-6"/>
          <w:sz w:val="34"/>
          <w:szCs w:val="34"/>
        </w:rPr>
      </w:pPr>
      <w:r w:rsidRPr="000C5235">
        <w:rPr>
          <w:rStyle w:val="BodyTextChar"/>
        </w:rPr>
        <w:t xml:space="preserve">The </w:t>
      </w:r>
      <w:r w:rsidR="007E6DB9" w:rsidRPr="000C5235">
        <w:rPr>
          <w:rStyle w:val="BodyTextChar"/>
          <w:i/>
        </w:rPr>
        <w:t xml:space="preserve">Outcome </w:t>
      </w:r>
      <w:r w:rsidR="00E66432" w:rsidRPr="000C5235">
        <w:rPr>
          <w:rStyle w:val="BodyTextChar"/>
          <w:i/>
        </w:rPr>
        <w:t>s</w:t>
      </w:r>
      <w:r w:rsidRPr="000C5235">
        <w:rPr>
          <w:rStyle w:val="BodyTextChar"/>
          <w:i/>
        </w:rPr>
        <w:t>tatements</w:t>
      </w:r>
      <w:r w:rsidRPr="000C5235">
        <w:rPr>
          <w:rStyle w:val="BodyTextChar"/>
        </w:rPr>
        <w:t xml:space="preserve"> should repeat the wording approved by the Minister for Finance (as per the Outcome and Programs policy referred to below). Entities that wish to vary their outcome statements to reflect changes in government policy or its strategic environment should consult </w:t>
      </w:r>
      <w:r w:rsidR="00311A41" w:rsidRPr="000C5235">
        <w:rPr>
          <w:rStyle w:val="BodyTextChar"/>
        </w:rPr>
        <w:t xml:space="preserve">their relevant AAU in </w:t>
      </w:r>
      <w:r w:rsidRPr="000C5235">
        <w:rPr>
          <w:rStyle w:val="BodyTextChar"/>
        </w:rPr>
        <w:t xml:space="preserve">Finance well in advance of the preparation of </w:t>
      </w:r>
      <w:r w:rsidR="004D761E" w:rsidRPr="000C5235">
        <w:rPr>
          <w:rStyle w:val="BodyTextChar"/>
        </w:rPr>
        <w:t xml:space="preserve">the </w:t>
      </w:r>
      <w:r w:rsidR="00311A41" w:rsidRPr="000C5235">
        <w:rPr>
          <w:rStyle w:val="BodyTextChar"/>
        </w:rPr>
        <w:t>2020</w:t>
      </w:r>
      <w:r w:rsidR="00A667A6" w:rsidRPr="000C5235">
        <w:rPr>
          <w:rStyle w:val="BodyTextChar"/>
        </w:rPr>
        <w:noBreakHyphen/>
      </w:r>
      <w:r w:rsidR="00311A41" w:rsidRPr="000C5235">
        <w:rPr>
          <w:rStyle w:val="BodyTextChar"/>
        </w:rPr>
        <w:t>21</w:t>
      </w:r>
      <w:r w:rsidRPr="000C5235">
        <w:rPr>
          <w:rStyle w:val="BodyTextChar"/>
        </w:rPr>
        <w:t xml:space="preserve"> Budget Appropriation Bills (and PB Statements) to agree on the wording of any proposed revisions and to ensure they have the best prospects of obtaining the approval of the Minister for Finance.</w:t>
      </w:r>
    </w:p>
    <w:p w14:paraId="4356176D" w14:textId="77777777" w:rsidR="00FA0945" w:rsidRPr="000C5235" w:rsidRDefault="00FA0945" w:rsidP="000A7DEC">
      <w:pPr>
        <w:rPr>
          <w:rStyle w:val="BodyTextChar"/>
        </w:rPr>
      </w:pPr>
      <w:r w:rsidRPr="000C5235">
        <w:rPr>
          <w:rStyle w:val="BodyTextChar"/>
        </w:rPr>
        <w:t>As outlined in the Commonwealth’s Outcome Statements and Approval Policy (Outcomes policy), outcome statements articulate Government objectives and form an integral part of the appropriations framework. They:</w:t>
      </w:r>
    </w:p>
    <w:p w14:paraId="58CD7BD3" w14:textId="77777777" w:rsidR="00512B1D" w:rsidRPr="000C5235" w:rsidRDefault="00FA0945">
      <w:pPr>
        <w:pStyle w:val="Numbered"/>
        <w:numPr>
          <w:ilvl w:val="0"/>
          <w:numId w:val="229"/>
        </w:numPr>
        <w:rPr>
          <w:rStyle w:val="BodyTextChar"/>
          <w:rFonts w:eastAsiaTheme="minorHAnsi" w:cstheme="minorBidi"/>
        </w:rPr>
      </w:pPr>
      <w:r w:rsidRPr="000C5235">
        <w:rPr>
          <w:rStyle w:val="BodyTextChar"/>
          <w:rFonts w:eastAsiaTheme="minorHAnsi" w:cstheme="minorBidi"/>
        </w:rPr>
        <w:t>explain the purpose for which annual appropriations are approved by the Parliament for use by entities</w:t>
      </w:r>
    </w:p>
    <w:p w14:paraId="5E143594" w14:textId="77777777" w:rsidR="00FA0945" w:rsidRPr="000C5235" w:rsidRDefault="00FA0945">
      <w:pPr>
        <w:pStyle w:val="Numbered"/>
        <w:numPr>
          <w:ilvl w:val="0"/>
          <w:numId w:val="229"/>
        </w:numPr>
        <w:rPr>
          <w:rStyle w:val="BodyTextChar"/>
          <w:rFonts w:eastAsiaTheme="minorHAnsi" w:cstheme="minorBidi"/>
        </w:rPr>
      </w:pPr>
      <w:r w:rsidRPr="000C5235">
        <w:rPr>
          <w:rStyle w:val="BodyTextChar"/>
          <w:rFonts w:eastAsiaTheme="minorHAnsi" w:cstheme="minorBidi"/>
        </w:rPr>
        <w:t xml:space="preserve">provide a basis for budgeting and reporting against the use of appropriated funds </w:t>
      </w:r>
    </w:p>
    <w:p w14:paraId="48584622" w14:textId="77777777" w:rsidR="00FA0945" w:rsidRPr="000C5235" w:rsidRDefault="00FA0945" w:rsidP="006C2F6D">
      <w:r w:rsidRPr="000C5235">
        <w:rPr>
          <w:rStyle w:val="BodyTextChar"/>
          <w:rFonts w:eastAsiaTheme="minorHAnsi" w:cstheme="minorBidi"/>
        </w:rPr>
        <w:t>An outcome statement should provide an immediate impression of what success looks like. It should provide readers with a sense of what performance information is likely to be useful in assessing whether a specific outcome is delivered satisfactorily. Performance information described in PB Statements (for example, in section 2.</w:t>
      </w:r>
      <w:r w:rsidR="00C611D7" w:rsidRPr="000C5235">
        <w:rPr>
          <w:rStyle w:val="BodyTextChar"/>
          <w:rFonts w:eastAsiaTheme="minorHAnsi" w:cstheme="minorBidi"/>
        </w:rPr>
        <w:t>x.3</w:t>
      </w:r>
      <w:r w:rsidRPr="000C5235">
        <w:rPr>
          <w:rStyle w:val="BodyTextChar"/>
          <w:rFonts w:eastAsiaTheme="minorHAnsi" w:cstheme="minorBidi"/>
        </w:rPr>
        <w:t xml:space="preserve"> </w:t>
      </w:r>
      <w:r w:rsidR="00C611D7" w:rsidRPr="000C5235">
        <w:rPr>
          <w:rStyle w:val="BodyTextChar"/>
          <w:rFonts w:eastAsiaTheme="minorHAnsi" w:cstheme="minorBidi"/>
        </w:rPr>
        <w:t xml:space="preserve">and </w:t>
      </w:r>
      <w:r w:rsidRPr="000C5235">
        <w:rPr>
          <w:rStyle w:val="BodyTextChar"/>
          <w:rFonts w:eastAsiaTheme="minorHAnsi" w:cstheme="minorBidi"/>
        </w:rPr>
        <w:t xml:space="preserve">discussed </w:t>
      </w:r>
      <w:r w:rsidR="00C611D7" w:rsidRPr="000C5235">
        <w:rPr>
          <w:rStyle w:val="BodyTextChar"/>
          <w:rFonts w:eastAsiaTheme="minorHAnsi" w:cstheme="minorBidi"/>
        </w:rPr>
        <w:t xml:space="preserve">in section </w:t>
      </w:r>
      <w:r w:rsidR="00C611D7" w:rsidRPr="000C5235">
        <w:rPr>
          <w:i/>
          <w:color w:val="0070C0"/>
          <w:u w:val="single"/>
        </w:rPr>
        <w:fldChar w:fldCharType="begin"/>
      </w:r>
      <w:r w:rsidR="00C611D7" w:rsidRPr="000C5235">
        <w:rPr>
          <w:i/>
          <w:color w:val="0070C0"/>
          <w:u w:val="single"/>
        </w:rPr>
        <w:instrText xml:space="preserve"> REF _Ref33522765 \r \h  \* MERGEFORMAT </w:instrText>
      </w:r>
      <w:r w:rsidR="00C611D7" w:rsidRPr="000C5235">
        <w:rPr>
          <w:i/>
          <w:color w:val="0070C0"/>
          <w:u w:val="single"/>
        </w:rPr>
      </w:r>
      <w:r w:rsidR="00C611D7" w:rsidRPr="000C5235">
        <w:rPr>
          <w:i/>
          <w:color w:val="0070C0"/>
          <w:u w:val="single"/>
        </w:rPr>
        <w:fldChar w:fldCharType="separate"/>
      </w:r>
      <w:r w:rsidR="00C611D7" w:rsidRPr="000C5235">
        <w:rPr>
          <w:i/>
          <w:color w:val="0070C0"/>
          <w:u w:val="single"/>
        </w:rPr>
        <w:t>9.7</w:t>
      </w:r>
      <w:r w:rsidR="00C611D7" w:rsidRPr="000C5235">
        <w:rPr>
          <w:i/>
          <w:color w:val="0070C0"/>
          <w:u w:val="single"/>
        </w:rPr>
        <w:fldChar w:fldCharType="end"/>
      </w:r>
      <w:r w:rsidR="00C611D7" w:rsidRPr="000C5235">
        <w:rPr>
          <w:i/>
          <w:color w:val="0070C0"/>
          <w:u w:val="single"/>
        </w:rPr>
        <w:t> </w:t>
      </w:r>
      <w:r w:rsidR="00C611D7" w:rsidRPr="000C5235">
        <w:rPr>
          <w:i/>
          <w:color w:val="0070C0"/>
          <w:u w:val="single"/>
        </w:rPr>
        <w:fldChar w:fldCharType="begin"/>
      </w:r>
      <w:r w:rsidR="00C611D7" w:rsidRPr="000C5235">
        <w:rPr>
          <w:i/>
          <w:color w:val="0070C0"/>
          <w:u w:val="single"/>
        </w:rPr>
        <w:instrText xml:space="preserve"> REF _Ref33522777 \h  \* MERGEFORMAT </w:instrText>
      </w:r>
      <w:r w:rsidR="00C611D7" w:rsidRPr="000C5235">
        <w:rPr>
          <w:i/>
          <w:color w:val="0070C0"/>
          <w:u w:val="single"/>
        </w:rPr>
      </w:r>
      <w:r w:rsidR="00C611D7" w:rsidRPr="000C5235">
        <w:rPr>
          <w:i/>
          <w:color w:val="0070C0"/>
          <w:u w:val="single"/>
        </w:rPr>
        <w:fldChar w:fldCharType="separate"/>
      </w:r>
      <w:r w:rsidR="00C611D7" w:rsidRPr="000C5235">
        <w:rPr>
          <w:i/>
          <w:color w:val="0070C0"/>
          <w:u w:val="single"/>
        </w:rPr>
        <w:t>Overview of table 2.X.3 – performance information</w:t>
      </w:r>
      <w:r w:rsidR="00C611D7" w:rsidRPr="000C5235">
        <w:rPr>
          <w:i/>
          <w:color w:val="0070C0"/>
          <w:u w:val="single"/>
        </w:rPr>
        <w:fldChar w:fldCharType="end"/>
      </w:r>
      <w:r w:rsidR="006C2F6D" w:rsidRPr="000C5235">
        <w:rPr>
          <w:i/>
        </w:rPr>
        <w:t xml:space="preserve"> </w:t>
      </w:r>
      <w:r w:rsidR="00C611D7" w:rsidRPr="000C5235">
        <w:fldChar w:fldCharType="begin"/>
      </w:r>
      <w:r w:rsidR="00C611D7" w:rsidRPr="000C5235">
        <w:instrText xml:space="preserve"> REF _Ref33522783 \p \h  \* MERGEFORMAT </w:instrText>
      </w:r>
      <w:r w:rsidR="00C611D7" w:rsidRPr="000C5235">
        <w:fldChar w:fldCharType="separate"/>
      </w:r>
      <w:r w:rsidR="00C611D7" w:rsidRPr="000C5235">
        <w:t>below</w:t>
      </w:r>
      <w:r w:rsidR="00C611D7" w:rsidRPr="000C5235">
        <w:fldChar w:fldCharType="end"/>
      </w:r>
      <w:r w:rsidRPr="000C5235">
        <w:t>)</w:t>
      </w:r>
      <w:r w:rsidRPr="000C5235">
        <w:rPr>
          <w:i/>
        </w:rPr>
        <w:t xml:space="preserve"> </w:t>
      </w:r>
      <w:r w:rsidRPr="000C5235">
        <w:t>should relate to the expectation created by the relevant outcome statement.</w:t>
      </w:r>
    </w:p>
    <w:p w14:paraId="7D87583F" w14:textId="77777777" w:rsidR="00D815CA" w:rsidRPr="000C5235" w:rsidRDefault="00FA0945" w:rsidP="00BD6313">
      <w:pPr>
        <w:rPr>
          <w:rStyle w:val="Hyperlink"/>
          <w:color w:val="auto"/>
        </w:rPr>
      </w:pPr>
      <w:r w:rsidRPr="000C5235">
        <w:rPr>
          <w:rStyle w:val="BodyTextChar"/>
        </w:rPr>
        <w:t xml:space="preserve">For </w:t>
      </w:r>
      <w:r w:rsidRPr="000C5235">
        <w:t>information on</w:t>
      </w:r>
      <w:r w:rsidR="00CD0900" w:rsidRPr="000C5235">
        <w:t xml:space="preserve"> amending an entity’s existing Outcome S</w:t>
      </w:r>
      <w:r w:rsidRPr="000C5235">
        <w:t>tatement(s) or program structure, please refer to the Outcomes policy and Programs policy</w:t>
      </w:r>
      <w:r w:rsidR="00D815CA" w:rsidRPr="000C5235">
        <w:t>, both</w:t>
      </w:r>
      <w:r w:rsidR="00C25B7D" w:rsidRPr="000C5235">
        <w:t xml:space="preserve"> are</w:t>
      </w:r>
      <w:r w:rsidRPr="000C5235">
        <w:t xml:space="preserve"> available on the Finance website:</w:t>
      </w:r>
    </w:p>
    <w:p w14:paraId="4C51572E" w14:textId="77777777" w:rsidR="00D815CA" w:rsidRPr="000C5235" w:rsidRDefault="00A774B1" w:rsidP="000A7DEC">
      <w:pPr>
        <w:pStyle w:val="BodyText"/>
        <w:jc w:val="both"/>
        <w:rPr>
          <w:rStyle w:val="Hyperlink"/>
        </w:rPr>
      </w:pPr>
      <w:hyperlink r:id="rId58" w:history="1">
        <w:r w:rsidR="00B1636A" w:rsidRPr="000C5235">
          <w:rPr>
            <w:rStyle w:val="Hyperlink"/>
          </w:rPr>
          <w:t>www.finance.gov.au/sites/default/files/2019-11/outcome-statements-policy-and-approval-process_1.pdf</w:t>
        </w:r>
      </w:hyperlink>
      <w:r w:rsidR="00D815CA" w:rsidRPr="000C5235">
        <w:rPr>
          <w:rStyle w:val="Hyperlink"/>
        </w:rPr>
        <w:t xml:space="preserve"> </w:t>
      </w:r>
    </w:p>
    <w:p w14:paraId="678A67EF" w14:textId="2BF8DA3A" w:rsidR="000C42A6" w:rsidRPr="000C5235" w:rsidRDefault="00A774B1" w:rsidP="00D815CA">
      <w:pPr>
        <w:pStyle w:val="BodyText"/>
        <w:rPr>
          <w:rStyle w:val="Hyperlink"/>
        </w:rPr>
      </w:pPr>
      <w:hyperlink r:id="rId59" w:history="1">
        <w:r w:rsidR="00B1636A" w:rsidRPr="000C5235">
          <w:rPr>
            <w:rStyle w:val="Hyperlink"/>
          </w:rPr>
          <w:t>www.finance.gov.au/sites/default/files/2019-11/commonwealth-programmes-policy-and-approval-process.pdf</w:t>
        </w:r>
      </w:hyperlink>
    </w:p>
    <w:p w14:paraId="04D8A636" w14:textId="77777777" w:rsidR="000C42A6" w:rsidRPr="000C5235" w:rsidRDefault="000C42A6">
      <w:pPr>
        <w:suppressAutoHyphens w:val="0"/>
        <w:spacing w:before="0" w:after="120" w:line="440" w:lineRule="atLeast"/>
        <w:rPr>
          <w:rStyle w:val="Hyperlink"/>
          <w:rFonts w:eastAsia="Cambria"/>
        </w:rPr>
      </w:pPr>
      <w:r w:rsidRPr="000C5235">
        <w:rPr>
          <w:rStyle w:val="Hyperlink"/>
        </w:rPr>
        <w:br w:type="page"/>
      </w:r>
    </w:p>
    <w:p w14:paraId="43C22F10" w14:textId="77777777" w:rsidR="00FA0945" w:rsidRPr="000C5235" w:rsidRDefault="00FA0945">
      <w:pPr>
        <w:pStyle w:val="Heading2Numbered"/>
        <w:rPr>
          <w:rFonts w:ascii="Arial" w:eastAsia="Times New Roman" w:hAnsi="Arial"/>
          <w:spacing w:val="-6"/>
          <w:szCs w:val="34"/>
        </w:rPr>
      </w:pPr>
      <w:bookmarkStart w:id="473" w:name="_Toc47369890"/>
      <w:bookmarkStart w:id="474" w:name="_Toc534382563"/>
      <w:bookmarkStart w:id="475" w:name="_Toc47951240"/>
      <w:bookmarkEnd w:id="473"/>
      <w:r w:rsidRPr="000C5235">
        <w:rPr>
          <w:rFonts w:eastAsia="Times New Roman"/>
        </w:rPr>
        <w:t xml:space="preserve">Linked </w:t>
      </w:r>
      <w:r w:rsidR="001A5C7F" w:rsidRPr="000C5235">
        <w:rPr>
          <w:rFonts w:eastAsia="Times New Roman"/>
        </w:rPr>
        <w:t>p</w:t>
      </w:r>
      <w:r w:rsidRPr="000C5235">
        <w:rPr>
          <w:rFonts w:eastAsia="Times New Roman"/>
        </w:rPr>
        <w:t>rograms box</w:t>
      </w:r>
      <w:bookmarkEnd w:id="474"/>
      <w:bookmarkEnd w:id="475"/>
    </w:p>
    <w:p w14:paraId="0B946097" w14:textId="77777777" w:rsidR="006F2C96" w:rsidRPr="000C5235" w:rsidRDefault="00FA0945" w:rsidP="000A7DEC">
      <w:pPr>
        <w:rPr>
          <w:rStyle w:val="BodyTextChar"/>
        </w:rPr>
      </w:pPr>
      <w:r w:rsidRPr="000C5235">
        <w:rPr>
          <w:rStyle w:val="BodyTextChar"/>
        </w:rPr>
        <w:t xml:space="preserve">The </w:t>
      </w:r>
      <w:r w:rsidR="00E66432" w:rsidRPr="000C5235">
        <w:rPr>
          <w:rStyle w:val="BodyTextChar"/>
          <w:i/>
        </w:rPr>
        <w:t>l</w:t>
      </w:r>
      <w:r w:rsidR="007E6DB9" w:rsidRPr="000C5235">
        <w:rPr>
          <w:rStyle w:val="BodyTextChar"/>
          <w:i/>
        </w:rPr>
        <w:t xml:space="preserve">inked </w:t>
      </w:r>
      <w:r w:rsidR="00E66432" w:rsidRPr="000C5235">
        <w:rPr>
          <w:rStyle w:val="BodyTextChar"/>
          <w:i/>
        </w:rPr>
        <w:t>p</w:t>
      </w:r>
      <w:r w:rsidR="007E6DB9" w:rsidRPr="000C5235">
        <w:rPr>
          <w:rStyle w:val="BodyTextChar"/>
          <w:i/>
        </w:rPr>
        <w:t xml:space="preserve">rograms </w:t>
      </w:r>
      <w:r w:rsidR="00E66432" w:rsidRPr="000C5235">
        <w:rPr>
          <w:rStyle w:val="BodyTextChar"/>
          <w:i/>
        </w:rPr>
        <w:t>b</w:t>
      </w:r>
      <w:r w:rsidR="007E6DB9" w:rsidRPr="000C5235">
        <w:rPr>
          <w:rStyle w:val="BodyTextChar"/>
          <w:i/>
        </w:rPr>
        <w:t>ox</w:t>
      </w:r>
      <w:r w:rsidR="007E6DB9" w:rsidRPr="000C5235">
        <w:rPr>
          <w:rStyle w:val="BodyTextChar"/>
        </w:rPr>
        <w:t xml:space="preserve"> </w:t>
      </w:r>
      <w:r w:rsidRPr="000C5235">
        <w:rPr>
          <w:rStyle w:val="BodyTextChar"/>
        </w:rPr>
        <w:t xml:space="preserve">should appear immediately </w:t>
      </w:r>
      <w:r w:rsidR="00CD0900" w:rsidRPr="000C5235">
        <w:rPr>
          <w:rStyle w:val="BodyTextChar"/>
        </w:rPr>
        <w:t>after the Outcome S</w:t>
      </w:r>
      <w:r w:rsidRPr="000C5235">
        <w:rPr>
          <w:rStyle w:val="BodyTextChar"/>
        </w:rPr>
        <w:t>tatement in subsection 2.X relevant to Outcome X. The information in this box is intended to provide readers with a sense of how the programs under Outcome X join up with programs delivered by other Commonwealth entities to contribute to common government objectives.</w:t>
      </w:r>
    </w:p>
    <w:tbl>
      <w:tblPr>
        <w:tblW w:w="0" w:type="auto"/>
        <w:jc w:val="center"/>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146"/>
      </w:tblGrid>
      <w:tr w:rsidR="00FA0945" w:rsidRPr="000C5235" w14:paraId="7B10ACA8" w14:textId="77777777" w:rsidTr="003E3C9D">
        <w:trPr>
          <w:jc w:val="center"/>
        </w:trPr>
        <w:tc>
          <w:tcPr>
            <w:tcW w:w="8146" w:type="dxa"/>
            <w:shd w:val="clear" w:color="auto" w:fill="DDF3FA"/>
          </w:tcPr>
          <w:p w14:paraId="564A4A49" w14:textId="77777777" w:rsidR="00FA0945" w:rsidRPr="000C5235" w:rsidRDefault="00FA0945" w:rsidP="000A7DEC">
            <w:pPr>
              <w:pStyle w:val="TableText-Normal"/>
              <w:rPr>
                <w:rStyle w:val="BodyTextChar"/>
              </w:rPr>
            </w:pPr>
            <w:r w:rsidRPr="000C5235">
              <w:rPr>
                <w:rStyle w:val="BodyTextChar"/>
              </w:rPr>
              <w:t>Identifying linked programs</w:t>
            </w:r>
          </w:p>
        </w:tc>
      </w:tr>
      <w:tr w:rsidR="00FA0945" w:rsidRPr="000C5235" w14:paraId="62E974D2" w14:textId="77777777" w:rsidTr="003E3C9D">
        <w:trPr>
          <w:jc w:val="center"/>
        </w:trPr>
        <w:tc>
          <w:tcPr>
            <w:tcW w:w="8146" w:type="dxa"/>
          </w:tcPr>
          <w:p w14:paraId="49BC9693" w14:textId="77777777" w:rsidR="00FA0945" w:rsidRPr="000C5235" w:rsidRDefault="00FA0945" w:rsidP="000A7DEC">
            <w:pPr>
              <w:pStyle w:val="TableText-Normal"/>
              <w:rPr>
                <w:rStyle w:val="BodyTextChar"/>
              </w:rPr>
            </w:pPr>
            <w:r w:rsidRPr="000C5235">
              <w:rPr>
                <w:rStyle w:val="BodyTextChar"/>
              </w:rPr>
              <w:t>To identify linked programs, entities should consider whether one or more of its programs under an Outcome X has objectives in common with programs delivered by one or more other Commonwealth entities. Entities should work together to describe common objectives and ensure information in PB Statements is presented on a consistent basis.</w:t>
            </w:r>
          </w:p>
        </w:tc>
      </w:tr>
    </w:tbl>
    <w:p w14:paraId="313379F3" w14:textId="77777777" w:rsidR="00561307" w:rsidRPr="000C5235" w:rsidRDefault="00B319C8" w:rsidP="000A7DEC">
      <w:pPr>
        <w:rPr>
          <w:rStyle w:val="BodyTextChar"/>
        </w:rPr>
      </w:pPr>
      <w:r w:rsidRPr="000C5235">
        <w:rPr>
          <w:rStyle w:val="BodyTextChar"/>
        </w:rPr>
        <w:br/>
      </w:r>
      <w:r w:rsidR="00FA0945" w:rsidRPr="000C5235">
        <w:rPr>
          <w:rStyle w:val="BodyTextChar"/>
        </w:rPr>
        <w:t>The template for reporting linked programs is included under the “Linked Programs” heading in the Word template and, for convenience, is reproduced below. The red text provides a description of what information is to be provided in each row.</w:t>
      </w:r>
    </w:p>
    <w:p w14:paraId="1EDA3B11" w14:textId="77777777" w:rsidR="006F2C96" w:rsidRPr="000C5235" w:rsidRDefault="006518CB" w:rsidP="000A7DEC">
      <w:r w:rsidRPr="000C5235">
        <w:rPr>
          <w:u w:val="single"/>
        </w:rPr>
        <w:t>Example</w:t>
      </w:r>
      <w:r w:rsidRPr="000C5235">
        <w:t xml:space="preserve"> - Linked programs</w:t>
      </w:r>
    </w:p>
    <w:tbl>
      <w:tblPr>
        <w:tblpPr w:leftFromText="180" w:rightFromText="180" w:vertAnchor="text" w:horzAnchor="margin" w:tblpXSpec="center" w:tblpY="68"/>
        <w:tblOverlap w:val="never"/>
        <w:tblW w:w="0" w:type="auto"/>
        <w:tblBorders>
          <w:top w:val="single" w:sz="4" w:space="0" w:color="auto"/>
          <w:left w:val="single" w:sz="4" w:space="0" w:color="auto"/>
          <w:bottom w:val="single" w:sz="4" w:space="0" w:color="auto"/>
          <w:right w:val="single" w:sz="4" w:space="0" w:color="auto"/>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933"/>
      </w:tblGrid>
      <w:tr w:rsidR="006518CB" w:rsidRPr="000C5235" w14:paraId="11DF4C97" w14:textId="77777777" w:rsidTr="003E3C9D">
        <w:tc>
          <w:tcPr>
            <w:tcW w:w="7933" w:type="dxa"/>
          </w:tcPr>
          <w:p w14:paraId="3518C235" w14:textId="77777777" w:rsidR="006518CB" w:rsidRPr="000C5235" w:rsidRDefault="006518CB" w:rsidP="000A7DEC">
            <w:pPr>
              <w:pStyle w:val="TableText-Normal"/>
              <w:rPr>
                <w:rStyle w:val="BodyTextChar"/>
                <w:b/>
              </w:rPr>
            </w:pPr>
            <w:r w:rsidRPr="000C5235">
              <w:rPr>
                <w:rStyle w:val="BodyTextChar"/>
                <w:b/>
              </w:rPr>
              <w:t xml:space="preserve">Entity A </w:t>
            </w:r>
            <w:r w:rsidRPr="000C5235">
              <w:rPr>
                <w:rStyle w:val="BodyTextChar"/>
                <w:i/>
                <w:color w:val="FF0000"/>
              </w:rPr>
              <w:t>(insert the name of the entity with programs linked to Outcome X)</w:t>
            </w:r>
          </w:p>
        </w:tc>
      </w:tr>
      <w:tr w:rsidR="006518CB" w:rsidRPr="000C5235" w14:paraId="123C8032" w14:textId="77777777" w:rsidTr="003E3C9D">
        <w:tc>
          <w:tcPr>
            <w:tcW w:w="7933" w:type="dxa"/>
          </w:tcPr>
          <w:p w14:paraId="3E89EE75" w14:textId="77777777" w:rsidR="006518CB" w:rsidRPr="000C5235" w:rsidRDefault="006518CB" w:rsidP="000A7DEC">
            <w:pPr>
              <w:pStyle w:val="TableText-Normal"/>
              <w:rPr>
                <w:rStyle w:val="BodyTextChar"/>
                <w:b/>
              </w:rPr>
            </w:pPr>
            <w:r w:rsidRPr="000C5235">
              <w:rPr>
                <w:rStyle w:val="BodyTextChar"/>
                <w:b/>
              </w:rPr>
              <w:t>Programs</w:t>
            </w:r>
          </w:p>
          <w:p w14:paraId="4C8DE1C9" w14:textId="77777777" w:rsidR="006518CB" w:rsidRPr="000C5235" w:rsidRDefault="006518CB" w:rsidP="000A7DEC">
            <w:pPr>
              <w:pStyle w:val="TableText-Normal"/>
              <w:rPr>
                <w:rStyle w:val="BodyTextChar"/>
              </w:rPr>
            </w:pPr>
            <w:r w:rsidRPr="000C5235">
              <w:rPr>
                <w:rStyle w:val="BodyTextChar"/>
              </w:rPr>
              <w:t>•</w:t>
            </w:r>
            <w:r w:rsidRPr="000C5235">
              <w:rPr>
                <w:rStyle w:val="BodyTextChar"/>
              </w:rPr>
              <w:tab/>
              <w:t xml:space="preserve">Program X.X – </w:t>
            </w:r>
            <w:r w:rsidRPr="000C5235">
              <w:rPr>
                <w:rStyle w:val="BodyTextChar"/>
                <w:i/>
                <w:color w:val="FF0000"/>
              </w:rPr>
              <w:t>insert program name</w:t>
            </w:r>
          </w:p>
          <w:p w14:paraId="7A1BA958" w14:textId="77777777" w:rsidR="006518CB" w:rsidRPr="000C5235" w:rsidRDefault="006518CB" w:rsidP="000A7DEC">
            <w:pPr>
              <w:pStyle w:val="TableText-Normal"/>
              <w:rPr>
                <w:rStyle w:val="BodyTextChar"/>
              </w:rPr>
            </w:pPr>
            <w:r w:rsidRPr="000C5235">
              <w:rPr>
                <w:rStyle w:val="BodyTextChar"/>
              </w:rPr>
              <w:t>•</w:t>
            </w:r>
            <w:r w:rsidRPr="000C5235">
              <w:rPr>
                <w:rStyle w:val="BodyTextChar"/>
              </w:rPr>
              <w:tab/>
              <w:t xml:space="preserve">Program X.X – </w:t>
            </w:r>
            <w:r w:rsidRPr="000C5235">
              <w:rPr>
                <w:rStyle w:val="BodyTextChar"/>
                <w:i/>
                <w:color w:val="FF0000"/>
              </w:rPr>
              <w:t>insert program name</w:t>
            </w:r>
          </w:p>
        </w:tc>
      </w:tr>
      <w:tr w:rsidR="006518CB" w:rsidRPr="000C5235" w14:paraId="5BF93693" w14:textId="77777777" w:rsidTr="003E3C9D">
        <w:tc>
          <w:tcPr>
            <w:tcW w:w="7933" w:type="dxa"/>
          </w:tcPr>
          <w:p w14:paraId="360EAEF1" w14:textId="77777777" w:rsidR="006518CB" w:rsidRPr="000C5235" w:rsidRDefault="006518CB" w:rsidP="000A7DEC">
            <w:pPr>
              <w:pStyle w:val="TableText-Normal"/>
              <w:rPr>
                <w:rStyle w:val="BodyTextChar"/>
                <w:b/>
              </w:rPr>
            </w:pPr>
            <w:r w:rsidRPr="000C5235">
              <w:rPr>
                <w:rStyle w:val="BodyTextChar"/>
                <w:b/>
              </w:rPr>
              <w:t>Contribution to Outcome X made by linked programs</w:t>
            </w:r>
          </w:p>
          <w:p w14:paraId="6C5A36E7" w14:textId="77777777" w:rsidR="006518CB" w:rsidRPr="000C5235" w:rsidRDefault="006518CB" w:rsidP="000A7DEC">
            <w:pPr>
              <w:pStyle w:val="TableText-Normal"/>
              <w:rPr>
                <w:rStyle w:val="BodyTextChar"/>
                <w:b/>
              </w:rPr>
            </w:pPr>
            <w:r w:rsidRPr="000C5235">
              <w:rPr>
                <w:rStyle w:val="ExampletextCharChar"/>
                <w:rFonts w:eastAsia="Cambria"/>
                <w:lang w:val="en-AU"/>
              </w:rPr>
              <w:t>Insert one or two sentences on how Outcome X benefits from the linked programs.</w:t>
            </w:r>
          </w:p>
        </w:tc>
      </w:tr>
    </w:tbl>
    <w:p w14:paraId="02AF8C95" w14:textId="77777777" w:rsidR="006518CB" w:rsidRPr="000C5235" w:rsidRDefault="006518CB" w:rsidP="000A7DEC">
      <w:pPr>
        <w:rPr>
          <w:rStyle w:val="BodyTextChar"/>
        </w:rPr>
      </w:pPr>
    </w:p>
    <w:p w14:paraId="23B0E82D" w14:textId="77777777" w:rsidR="006518CB" w:rsidRPr="000C5235" w:rsidRDefault="006518CB" w:rsidP="000A7DEC">
      <w:pPr>
        <w:rPr>
          <w:rStyle w:val="BodyTextChar"/>
        </w:rPr>
      </w:pPr>
    </w:p>
    <w:p w14:paraId="54C7DB18" w14:textId="77777777" w:rsidR="006518CB" w:rsidRPr="000C5235" w:rsidRDefault="006518CB" w:rsidP="000A7DEC">
      <w:pPr>
        <w:rPr>
          <w:rStyle w:val="BodyTextChar"/>
        </w:rPr>
      </w:pPr>
    </w:p>
    <w:p w14:paraId="122D02E9" w14:textId="77777777" w:rsidR="006518CB" w:rsidRPr="000C5235" w:rsidRDefault="006518CB" w:rsidP="000A7DEC">
      <w:pPr>
        <w:rPr>
          <w:rStyle w:val="BodyTextChar"/>
        </w:rPr>
      </w:pPr>
    </w:p>
    <w:p w14:paraId="63D55A4B" w14:textId="77777777" w:rsidR="006518CB" w:rsidRPr="000C5235" w:rsidRDefault="006518CB" w:rsidP="000A7DEC">
      <w:pPr>
        <w:rPr>
          <w:rStyle w:val="BodyTextChar"/>
        </w:rPr>
      </w:pPr>
    </w:p>
    <w:p w14:paraId="0AF5CB30" w14:textId="77777777" w:rsidR="00FA0945" w:rsidRPr="000C5235" w:rsidRDefault="00B319C8" w:rsidP="000A7DEC">
      <w:r w:rsidRPr="000C5235">
        <w:br/>
      </w:r>
      <w:r w:rsidR="00FA0945" w:rsidRPr="000C5235">
        <w:t>The information included under the heading “Contribution to Outcome X made by linked programs” should provide the reader with an understanding of how the linked program makes a contribution to the successful delivery of the entity’s Outcome X. Where linked programs are covered by a cross-entity arrangement (</w:t>
      </w:r>
      <w:r w:rsidR="001754FC" w:rsidRPr="000C5235">
        <w:t>ie</w:t>
      </w:r>
      <w:r w:rsidR="00FA0945" w:rsidRPr="000C5235">
        <w:t xml:space="preserve"> a Memorandum of Understanding) or an intergovernmental agreement (</w:t>
      </w:r>
      <w:r w:rsidR="001754FC" w:rsidRPr="000C5235">
        <w:t>ie</w:t>
      </w:r>
      <w:r w:rsidR="00FA0945" w:rsidRPr="000C5235">
        <w:t xml:space="preserve"> a National Partnership Agreement) the name of this arrangement should be referenced in the contribution made by linked programs.</w:t>
      </w:r>
    </w:p>
    <w:p w14:paraId="12809F0C" w14:textId="77777777" w:rsidR="00FA0945" w:rsidRPr="000C5235" w:rsidRDefault="00FA0945" w:rsidP="000A7DEC">
      <w:r w:rsidRPr="000C5235">
        <w:t>Some entities will have an Outcome X that is linked to programs delivered by other entities simply because they manage transactions on behalf of those other entities (</w:t>
      </w:r>
      <w:r w:rsidR="001754FC" w:rsidRPr="000C5235">
        <w:t>ie</w:t>
      </w:r>
      <w:r w:rsidRPr="000C5235">
        <w:t xml:space="preserve"> payments to individuals under a range of programs or payments to other governments). In such cases, these entities should replace the “Contribution to Outcome X by linked Programs” with the heading “Contribution made by Outcome X” followed by a form of words similar to:</w:t>
      </w:r>
    </w:p>
    <w:p w14:paraId="6B624215" w14:textId="77777777" w:rsidR="00FA0945" w:rsidRPr="000C5235" w:rsidRDefault="00FA0945" w:rsidP="000A7DEC">
      <w:pPr>
        <w:rPr>
          <w:rStyle w:val="BodyTextChar"/>
          <w:i/>
        </w:rPr>
      </w:pPr>
      <w:r w:rsidRPr="000C5235">
        <w:rPr>
          <w:rStyle w:val="BodyTextChar"/>
          <w:i/>
        </w:rPr>
        <w:t>“Outcome X contributes to the linked programs above by making payments on behalf of the entities listed.”</w:t>
      </w:r>
    </w:p>
    <w:p w14:paraId="338E1EB5" w14:textId="77777777" w:rsidR="008D0D17" w:rsidRPr="000C5235" w:rsidRDefault="008D0D17">
      <w:pPr>
        <w:suppressAutoHyphens w:val="0"/>
        <w:spacing w:before="0" w:after="120" w:line="440" w:lineRule="atLeast"/>
        <w:rPr>
          <w:rStyle w:val="BodyTextChar"/>
        </w:rPr>
      </w:pPr>
      <w:r w:rsidRPr="000C5235">
        <w:rPr>
          <w:rStyle w:val="BodyTextChar"/>
        </w:rPr>
        <w:br w:type="page"/>
      </w:r>
    </w:p>
    <w:p w14:paraId="6E3CE1FD" w14:textId="77777777" w:rsidR="001A720C" w:rsidRPr="000C5235" w:rsidRDefault="00FA0945" w:rsidP="00790698">
      <w:pPr>
        <w:rPr>
          <w:rStyle w:val="BodyTextChar"/>
        </w:rPr>
      </w:pPr>
      <w:r w:rsidRPr="000C5235">
        <w:rPr>
          <w:rStyle w:val="BodyTextChar"/>
        </w:rPr>
        <w:t xml:space="preserve">The following provides an example of the linked program box relevant to Finance’s </w:t>
      </w:r>
      <w:r w:rsidR="00A671CE" w:rsidRPr="000C5235">
        <w:rPr>
          <w:rStyle w:val="BodyTextChar"/>
        </w:rPr>
        <w:t>Outcome </w:t>
      </w:r>
      <w:r w:rsidRPr="000C5235">
        <w:rPr>
          <w:rStyle w:val="BodyTextChar"/>
        </w:rPr>
        <w:t>2:</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8500"/>
      </w:tblGrid>
      <w:tr w:rsidR="00FA0945" w:rsidRPr="000C5235" w14:paraId="4BB82667" w14:textId="77777777" w:rsidTr="003E3C9D">
        <w:trPr>
          <w:trHeight w:val="5524"/>
          <w:tblHeader/>
          <w:jc w:val="center"/>
        </w:trPr>
        <w:tc>
          <w:tcPr>
            <w:tcW w:w="8500" w:type="dxa"/>
            <w:shd w:val="clear" w:color="auto" w:fill="F2F2F2" w:themeFill="background1" w:themeFillShade="F2"/>
          </w:tcPr>
          <w:tbl>
            <w:tblPr>
              <w:tblW w:w="0" w:type="auto"/>
              <w:tblInd w:w="142" w:type="dxa"/>
              <w:shd w:val="clear" w:color="auto" w:fill="D9D9D9" w:themeFill="background1" w:themeFillShade="D9"/>
              <w:tblCellMar>
                <w:left w:w="0" w:type="dxa"/>
                <w:right w:w="0" w:type="dxa"/>
              </w:tblCellMar>
              <w:tblLook w:val="04A0" w:firstRow="1" w:lastRow="0" w:firstColumn="1" w:lastColumn="0" w:noHBand="0" w:noVBand="1"/>
            </w:tblPr>
            <w:tblGrid>
              <w:gridCol w:w="8206"/>
            </w:tblGrid>
            <w:tr w:rsidR="00FA0945" w:rsidRPr="000C5235" w14:paraId="67E88FDE" w14:textId="77777777" w:rsidTr="003E3C9D">
              <w:tc>
                <w:tcPr>
                  <w:tcW w:w="8206" w:type="dxa"/>
                  <w:tcBorders>
                    <w:top w:val="single" w:sz="2" w:space="0" w:color="A7B4BE"/>
                    <w:left w:val="single" w:sz="2" w:space="0" w:color="A7B4BE"/>
                    <w:bottom w:val="single" w:sz="2" w:space="0" w:color="A7B4BE"/>
                    <w:right w:val="single" w:sz="2" w:space="0" w:color="A7B4BE"/>
                  </w:tcBorders>
                  <w:shd w:val="clear" w:color="auto" w:fill="D9D9D9" w:themeFill="background1" w:themeFillShade="D9"/>
                </w:tcPr>
                <w:p w14:paraId="30B697C1" w14:textId="77777777" w:rsidR="00FA0945" w:rsidRPr="000C5235" w:rsidRDefault="00FA0945" w:rsidP="000A7DEC">
                  <w:pPr>
                    <w:pStyle w:val="TableText-Normal"/>
                  </w:pPr>
                  <w:r w:rsidRPr="000C5235">
                    <w:rPr>
                      <w:u w:val="single"/>
                    </w:rPr>
                    <w:t>Outcome 2:</w:t>
                  </w:r>
                  <w:r w:rsidRPr="000C5235">
                    <w:t xml:space="preserve"> Support an efficient and high performing public sector through providing leadership to Commonwealth entities in ongoing improvements to public sector governance, including through systems, frameworks, policy advice and service delivery.</w:t>
                  </w:r>
                </w:p>
              </w:tc>
            </w:tr>
          </w:tbl>
          <w:p w14:paraId="5FE41FCC" w14:textId="77777777" w:rsidR="00FA0945" w:rsidRPr="000C5235" w:rsidRDefault="00FA0945" w:rsidP="000A7DEC">
            <w:pPr>
              <w:pStyle w:val="TableText-Normal"/>
            </w:pPr>
            <w:r w:rsidRPr="000C5235">
              <w:t>Linked Programs</w:t>
            </w:r>
          </w:p>
          <w:tbl>
            <w:tblPr>
              <w:tblW w:w="0" w:type="auto"/>
              <w:tblInd w:w="142" w:type="dxa"/>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8206"/>
            </w:tblGrid>
            <w:tr w:rsidR="00FA0945" w:rsidRPr="000C5235" w14:paraId="449B9223" w14:textId="77777777" w:rsidTr="003E3C9D">
              <w:tc>
                <w:tcPr>
                  <w:tcW w:w="8206" w:type="dxa"/>
                </w:tcPr>
                <w:p w14:paraId="4DA4C161" w14:textId="77777777" w:rsidR="00FA0945" w:rsidRPr="000C5235" w:rsidRDefault="00FA0945" w:rsidP="000A7DEC">
                  <w:pPr>
                    <w:pStyle w:val="TableText-Normal"/>
                  </w:pPr>
                  <w:r w:rsidRPr="000C5235">
                    <w:t xml:space="preserve">Commonwealth Superannuation Corporation </w:t>
                  </w:r>
                </w:p>
              </w:tc>
            </w:tr>
            <w:tr w:rsidR="00FA0945" w:rsidRPr="000C5235" w14:paraId="44B0903A" w14:textId="77777777" w:rsidTr="003E3C9D">
              <w:tc>
                <w:tcPr>
                  <w:tcW w:w="8206" w:type="dxa"/>
                </w:tcPr>
                <w:p w14:paraId="1F4211C6" w14:textId="77777777" w:rsidR="00FA0945" w:rsidRPr="000C5235" w:rsidRDefault="00FA0945" w:rsidP="000A7DEC">
                  <w:pPr>
                    <w:pStyle w:val="TableText-Normal"/>
                  </w:pPr>
                  <w:r w:rsidRPr="000C5235">
                    <w:t>Program 1.1 – Superannuation Scheme Governance</w:t>
                  </w:r>
                  <w:r w:rsidR="00B319C8" w:rsidRPr="000C5235">
                    <w:br/>
                  </w:r>
                </w:p>
              </w:tc>
            </w:tr>
            <w:tr w:rsidR="00FA0945" w:rsidRPr="000C5235" w14:paraId="5DBAAAF4" w14:textId="77777777" w:rsidTr="003E3C9D">
              <w:tc>
                <w:tcPr>
                  <w:tcW w:w="8206" w:type="dxa"/>
                </w:tcPr>
                <w:p w14:paraId="4499DCDC" w14:textId="77777777" w:rsidR="00FA0945" w:rsidRPr="000C5235" w:rsidRDefault="00FA0945" w:rsidP="000A7DEC">
                  <w:pPr>
                    <w:pStyle w:val="TableText-Normal"/>
                  </w:pPr>
                  <w:r w:rsidRPr="000C5235">
                    <w:t>Contribution to Outcome 2 by linked programs</w:t>
                  </w:r>
                </w:p>
              </w:tc>
            </w:tr>
            <w:tr w:rsidR="00FA0945" w:rsidRPr="000C5235" w14:paraId="0FFFAF6D" w14:textId="77777777" w:rsidTr="003E3C9D">
              <w:tc>
                <w:tcPr>
                  <w:tcW w:w="8206" w:type="dxa"/>
                </w:tcPr>
                <w:p w14:paraId="5D3D33F9" w14:textId="77777777" w:rsidR="00FA0945" w:rsidRPr="000C5235" w:rsidRDefault="00FA0945" w:rsidP="00A671CE">
                  <w:pPr>
                    <w:pStyle w:val="TableText-Normal"/>
                  </w:pPr>
                  <w:r w:rsidRPr="000C5235">
                    <w:t>The Commonwealth Superannuation Corporation works with Finance to ensure that the management of public sector superannuation is consistent with legislative obligations.</w:t>
                  </w:r>
                  <w:r w:rsidR="00B319C8" w:rsidRPr="000C5235">
                    <w:br/>
                  </w:r>
                </w:p>
              </w:tc>
            </w:tr>
            <w:tr w:rsidR="00FA0945" w:rsidRPr="000C5235" w14:paraId="2A4F8648" w14:textId="77777777" w:rsidTr="003E3C9D">
              <w:tc>
                <w:tcPr>
                  <w:tcW w:w="8206" w:type="dxa"/>
                </w:tcPr>
                <w:p w14:paraId="5EF9A583" w14:textId="77777777" w:rsidR="00FA0945" w:rsidRPr="000C5235" w:rsidRDefault="00FA0945" w:rsidP="000A7DEC">
                  <w:pPr>
                    <w:pStyle w:val="TableText-Normal"/>
                  </w:pPr>
                  <w:r w:rsidRPr="000C5235">
                    <w:t>Future Fund Management Agency</w:t>
                  </w:r>
                </w:p>
              </w:tc>
            </w:tr>
            <w:tr w:rsidR="00FA0945" w:rsidRPr="000C5235" w14:paraId="2EF25FB4" w14:textId="77777777" w:rsidTr="003E3C9D">
              <w:tc>
                <w:tcPr>
                  <w:tcW w:w="8206" w:type="dxa"/>
                </w:tcPr>
                <w:p w14:paraId="47DF3D04" w14:textId="77777777" w:rsidR="00FA0945" w:rsidRPr="000C5235" w:rsidRDefault="00FA0945" w:rsidP="000A7DEC">
                  <w:pPr>
                    <w:pStyle w:val="TableText-Normal"/>
                  </w:pPr>
                  <w:r w:rsidRPr="000C5235">
                    <w:t>Program 1.1 – Management of the investment of the Future Fund</w:t>
                  </w:r>
                </w:p>
                <w:p w14:paraId="5A349985" w14:textId="77777777" w:rsidR="00FA0945" w:rsidRPr="000C5235" w:rsidRDefault="00FA0945" w:rsidP="000A7DEC">
                  <w:pPr>
                    <w:pStyle w:val="TableText-Normal"/>
                  </w:pPr>
                  <w:r w:rsidRPr="000C5235">
                    <w:t>Program 1.2 – Management of the investment of the Nation Building Fund; Disability</w:t>
                  </w:r>
                  <w:r w:rsidR="00EB2E04" w:rsidRPr="000C5235">
                    <w:t xml:space="preserve"> </w:t>
                  </w:r>
                  <w:r w:rsidRPr="000C5235">
                    <w:t>Care Australia Funds; the Asset Recycling Fund; and the Medical Research Future Fund.</w:t>
                  </w:r>
                  <w:r w:rsidR="00B319C8" w:rsidRPr="000C5235">
                    <w:br/>
                  </w:r>
                </w:p>
              </w:tc>
            </w:tr>
            <w:tr w:rsidR="00FA0945" w:rsidRPr="000C5235" w14:paraId="0F184991" w14:textId="77777777" w:rsidTr="003E3C9D">
              <w:tc>
                <w:tcPr>
                  <w:tcW w:w="8206" w:type="dxa"/>
                </w:tcPr>
                <w:p w14:paraId="234E54CF" w14:textId="77777777" w:rsidR="00FA0945" w:rsidRPr="000C5235" w:rsidRDefault="00FA0945" w:rsidP="000A7DEC">
                  <w:pPr>
                    <w:pStyle w:val="TableText-Normal"/>
                  </w:pPr>
                  <w:r w:rsidRPr="000C5235">
                    <w:t>Contribution to Outcome 2 by linked programs</w:t>
                  </w:r>
                </w:p>
              </w:tc>
            </w:tr>
            <w:tr w:rsidR="00FA0945" w:rsidRPr="000C5235" w14:paraId="520A0EE6" w14:textId="77777777" w:rsidTr="003E3C9D">
              <w:tc>
                <w:tcPr>
                  <w:tcW w:w="8206" w:type="dxa"/>
                </w:tcPr>
                <w:p w14:paraId="31CAF447" w14:textId="77777777" w:rsidR="00FA0945" w:rsidRPr="000C5235" w:rsidRDefault="00FA0945" w:rsidP="00A671CE">
                  <w:pPr>
                    <w:pStyle w:val="TableText-Normal"/>
                  </w:pPr>
                  <w:r w:rsidRPr="000C5235">
                    <w:t>The Future Fund Management Agency works with Finance to ensure that there are provisions for meeting long-term liabilities of public sector superannuation, and to ensure that the management of Australian Government Investment Funds is consistent with legislation and maximises returns to taxpayers.</w:t>
                  </w:r>
                </w:p>
              </w:tc>
            </w:tr>
          </w:tbl>
          <w:p w14:paraId="66EA75DA" w14:textId="77777777" w:rsidR="00FA0945" w:rsidRPr="000C5235" w:rsidRDefault="00FA0945">
            <w:pPr>
              <w:pStyle w:val="BodyText"/>
              <w:rPr>
                <w:rStyle w:val="BodyTextChar"/>
              </w:rPr>
            </w:pPr>
          </w:p>
        </w:tc>
      </w:tr>
    </w:tbl>
    <w:p w14:paraId="72A62112" w14:textId="77777777" w:rsidR="006F2C96" w:rsidRPr="000C5235" w:rsidRDefault="008D0D17" w:rsidP="000A7DEC">
      <w:pPr>
        <w:rPr>
          <w:rStyle w:val="BodyTextChar"/>
        </w:rPr>
      </w:pPr>
      <w:r w:rsidRPr="000C5235">
        <w:rPr>
          <w:rStyle w:val="BodyTextChar"/>
        </w:rPr>
        <w:br/>
      </w:r>
      <w:r w:rsidR="00FA0945" w:rsidRPr="000C5235">
        <w:rPr>
          <w:rStyle w:val="BodyTextChar"/>
        </w:rPr>
        <w:t>In the above example, the linked programs box has been split into two boxes as the links between Finance’s Outcome 2 and programs delivered by other entities fall into two categories – one focussed on managing obligations to members of Commonwealth Superannuation Schemes and the other focussed on managing investments on behalf of the Government by the Future Fund Board of Guardians (which is supported by the Future Fund Management Agency).</w:t>
      </w:r>
    </w:p>
    <w:p w14:paraId="6A4F9FB4" w14:textId="77777777" w:rsidR="006F2C96" w:rsidRPr="000C5235" w:rsidRDefault="006F2C96" w:rsidP="000A7DEC">
      <w:pPr>
        <w:rPr>
          <w:rStyle w:val="BodyTextChar"/>
        </w:rPr>
      </w:pPr>
      <w:r w:rsidRPr="000C5235">
        <w:rPr>
          <w:rStyle w:val="BodyTextChar"/>
        </w:rPr>
        <w:br w:type="page"/>
      </w:r>
    </w:p>
    <w:p w14:paraId="0BAEB973" w14:textId="77777777" w:rsidR="00FA0945" w:rsidRPr="000C5235" w:rsidRDefault="00FA0945" w:rsidP="000A7DEC">
      <w:pPr>
        <w:pStyle w:val="Heading2Numbered"/>
        <w:rPr>
          <w:rFonts w:ascii="Arial" w:eastAsia="Times New Roman" w:hAnsi="Arial"/>
          <w:spacing w:val="-6"/>
          <w:szCs w:val="34"/>
        </w:rPr>
      </w:pPr>
      <w:bookmarkStart w:id="476" w:name="_Toc534458882"/>
      <w:bookmarkStart w:id="477" w:name="_Toc534459671"/>
      <w:bookmarkStart w:id="478" w:name="_Toc534519166"/>
      <w:bookmarkStart w:id="479" w:name="_Toc534520076"/>
      <w:bookmarkStart w:id="480" w:name="_Toc534520346"/>
      <w:bookmarkStart w:id="481" w:name="_Toc534527558"/>
      <w:bookmarkStart w:id="482" w:name="_Toc534528288"/>
      <w:bookmarkStart w:id="483" w:name="_Toc534803509"/>
      <w:bookmarkStart w:id="484" w:name="_Toc534814200"/>
      <w:bookmarkStart w:id="485" w:name="_Toc536108573"/>
      <w:bookmarkStart w:id="486" w:name="_Toc536802121"/>
      <w:bookmarkStart w:id="487" w:name="_Toc411852681"/>
      <w:bookmarkStart w:id="488" w:name="_Toc534382564"/>
      <w:bookmarkStart w:id="489" w:name="_Toc47951241"/>
      <w:bookmarkEnd w:id="476"/>
      <w:bookmarkEnd w:id="477"/>
      <w:bookmarkEnd w:id="478"/>
      <w:bookmarkEnd w:id="479"/>
      <w:bookmarkEnd w:id="480"/>
      <w:bookmarkEnd w:id="481"/>
      <w:bookmarkEnd w:id="482"/>
      <w:bookmarkEnd w:id="483"/>
      <w:bookmarkEnd w:id="484"/>
      <w:bookmarkEnd w:id="485"/>
      <w:bookmarkEnd w:id="486"/>
      <w:r w:rsidRPr="000C5235">
        <w:rPr>
          <w:rFonts w:eastAsia="Times New Roman"/>
        </w:rPr>
        <w:t xml:space="preserve">Budgeted </w:t>
      </w:r>
      <w:r w:rsidR="001A5C7F" w:rsidRPr="000C5235">
        <w:rPr>
          <w:rFonts w:eastAsia="Times New Roman"/>
        </w:rPr>
        <w:t>e</w:t>
      </w:r>
      <w:r w:rsidRPr="000C5235">
        <w:rPr>
          <w:rFonts w:eastAsia="Times New Roman"/>
        </w:rPr>
        <w:t xml:space="preserve">xpenses by </w:t>
      </w:r>
      <w:r w:rsidR="001A5C7F" w:rsidRPr="000C5235">
        <w:rPr>
          <w:rFonts w:eastAsia="Times New Roman"/>
        </w:rPr>
        <w:t>o</w:t>
      </w:r>
      <w:r w:rsidRPr="000C5235">
        <w:rPr>
          <w:rFonts w:eastAsia="Times New Roman"/>
        </w:rPr>
        <w:t xml:space="preserve">utcome </w:t>
      </w:r>
      <w:bookmarkEnd w:id="487"/>
      <w:r w:rsidRPr="000C5235">
        <w:rPr>
          <w:rFonts w:eastAsia="Times New Roman"/>
        </w:rPr>
        <w:t>table</w:t>
      </w:r>
      <w:bookmarkEnd w:id="488"/>
      <w:bookmarkEnd w:id="489"/>
    </w:p>
    <w:p w14:paraId="490D2A52" w14:textId="77777777" w:rsidR="00FA0945" w:rsidRPr="000C5235" w:rsidRDefault="00FA0945">
      <w:pPr>
        <w:pStyle w:val="NormalTextRed"/>
      </w:pPr>
      <w:r w:rsidRPr="000C5235">
        <w:t>The template for this table can be found in the “</w:t>
      </w:r>
      <w:r w:rsidRPr="000C5235">
        <w:rPr>
          <w:i/>
        </w:rPr>
        <w:t>Table 2.X.1</w:t>
      </w:r>
      <w:r w:rsidRPr="000C5235">
        <w:t>” tab</w:t>
      </w:r>
      <w:r w:rsidRPr="000C5235">
        <w:rPr>
          <w:rStyle w:val="BodyTextChar"/>
        </w:rPr>
        <w:t xml:space="preserve"> of the Excel Tables workbook (</w:t>
      </w:r>
      <w:r w:rsidR="00935A98" w:rsidRPr="000C5235">
        <w:rPr>
          <w:rStyle w:val="BodyTextChar"/>
          <w:u w:val="single"/>
        </w:rPr>
        <w:t xml:space="preserve">Attachment </w:t>
      </w:r>
      <w:r w:rsidR="006E5A47" w:rsidRPr="000C5235">
        <w:rPr>
          <w:rStyle w:val="BodyTextChar"/>
          <w:u w:val="single"/>
        </w:rPr>
        <w:t>B</w:t>
      </w:r>
      <w:r w:rsidR="006E5A47" w:rsidRPr="000C5235">
        <w:rPr>
          <w:rStyle w:val="BodyTextChar"/>
        </w:rPr>
        <w:t xml:space="preserve"> </w:t>
      </w:r>
      <w:r w:rsidR="00935A98" w:rsidRPr="000C5235">
        <w:rPr>
          <w:rStyle w:val="BodyTextChar"/>
        </w:rPr>
        <w:t>refers</w:t>
      </w:r>
      <w:r w:rsidRPr="000C5235">
        <w:rPr>
          <w:rStyle w:val="BodyTextChar"/>
        </w:rPr>
        <w:t>). There is a template for non-corporate Commonwealth entities (coloured green) and a template for corporate Commonwealth entities and Commonwealth companies (coloured red).</w:t>
      </w:r>
    </w:p>
    <w:p w14:paraId="191D78D0" w14:textId="77777777" w:rsidR="00FA0945" w:rsidRPr="000C5235" w:rsidRDefault="00FA0945" w:rsidP="000A7DEC">
      <w:r w:rsidRPr="000C5235">
        <w:rPr>
          <w:rStyle w:val="BodyTextChar"/>
        </w:rPr>
        <w:t>The</w:t>
      </w:r>
      <w:r w:rsidRPr="000C5235">
        <w:rPr>
          <w:rStyle w:val="BodyTextChar"/>
          <w:i/>
        </w:rPr>
        <w:t xml:space="preserve"> Budgeted expenses by Outcome table </w:t>
      </w:r>
      <w:r w:rsidRPr="000C5235">
        <w:rPr>
          <w:rStyle w:val="BodyTextChar"/>
        </w:rPr>
        <w:t xml:space="preserve">(Table 2.X.1) provides the reader with further detail of an entity’s </w:t>
      </w:r>
      <w:r w:rsidRPr="000C5235">
        <w:rPr>
          <w:rStyle w:val="BodyTextChar"/>
          <w:u w:val="single"/>
        </w:rPr>
        <w:t>programs</w:t>
      </w:r>
      <w:r w:rsidRPr="000C5235">
        <w:rPr>
          <w:rStyle w:val="BodyTextChar"/>
        </w:rPr>
        <w:t xml:space="preserve"> and </w:t>
      </w:r>
      <w:r w:rsidRPr="000C5235">
        <w:rPr>
          <w:rStyle w:val="BodyTextChar"/>
          <w:u w:val="single"/>
        </w:rPr>
        <w:t>expenses</w:t>
      </w:r>
      <w:r w:rsidRPr="000C5235">
        <w:rPr>
          <w:rStyle w:val="BodyTextChar"/>
        </w:rPr>
        <w:t xml:space="preserve">. In particular, this table shows the proposed </w:t>
      </w:r>
      <w:r w:rsidRPr="000C5235">
        <w:rPr>
          <w:rStyle w:val="BodyTextChar"/>
          <w:u w:val="single"/>
        </w:rPr>
        <w:t>use</w:t>
      </w:r>
      <w:r w:rsidRPr="000C5235">
        <w:rPr>
          <w:rStyle w:val="BodyTextChar"/>
        </w:rPr>
        <w:t xml:space="preserve"> of appropriations, and links this expenditure to the entity’s financial statements (specifically the income statement). It provides a breakdown of total expenses for each outcome by funding source, and a short description of each outcome and program. A separate table should be prepared for each outcome. </w:t>
      </w:r>
    </w:p>
    <w:p w14:paraId="1AB0820E" w14:textId="77777777" w:rsidR="00FA0945" w:rsidRPr="000C5235" w:rsidRDefault="00FA0945">
      <w:pPr>
        <w:pStyle w:val="Bullet1"/>
        <w:rPr>
          <w:rStyle w:val="BodyTextChar"/>
          <w:rFonts w:asciiTheme="minorHAnsi" w:hAnsiTheme="minorHAnsi"/>
        </w:rPr>
      </w:pPr>
      <w:r w:rsidRPr="000C5235">
        <w:rPr>
          <w:rStyle w:val="BodyTextChar"/>
        </w:rPr>
        <w:t xml:space="preserve">Where an entity wishes to describe a program in greater detail, for example, where it is made up of </w:t>
      </w:r>
      <w:r w:rsidR="00EB2E04" w:rsidRPr="000C5235">
        <w:rPr>
          <w:rStyle w:val="BodyTextChar"/>
        </w:rPr>
        <w:t>several</w:t>
      </w:r>
      <w:r w:rsidRPr="000C5235">
        <w:rPr>
          <w:rStyle w:val="BodyTextChar"/>
        </w:rPr>
        <w:t xml:space="preserve"> sub-components, this should be done in </w:t>
      </w:r>
      <w:r w:rsidRPr="000C5235">
        <w:rPr>
          <w:rStyle w:val="BodyTextChar"/>
          <w:i/>
        </w:rPr>
        <w:t>Table 2.X.2: Program components</w:t>
      </w:r>
      <w:r w:rsidRPr="000C5235">
        <w:rPr>
          <w:rStyle w:val="BodyTextChar"/>
        </w:rPr>
        <w:t xml:space="preserve"> (described in </w:t>
      </w:r>
      <w:r w:rsidR="006C2F6D" w:rsidRPr="000C5235">
        <w:rPr>
          <w:rStyle w:val="BodyTextChar"/>
        </w:rPr>
        <w:t>s</w:t>
      </w:r>
      <w:r w:rsidRPr="000C5235">
        <w:rPr>
          <w:rStyle w:val="BodyTextChar"/>
        </w:rPr>
        <w:t xml:space="preserve">ection </w:t>
      </w:r>
      <w:r w:rsidR="006C2F6D" w:rsidRPr="000C5235">
        <w:rPr>
          <w:rStyle w:val="BodyTextChar"/>
          <w:i/>
          <w:color w:val="0070C0"/>
          <w:u w:val="single"/>
        </w:rPr>
        <w:fldChar w:fldCharType="begin"/>
      </w:r>
      <w:r w:rsidR="006C2F6D" w:rsidRPr="000C5235">
        <w:rPr>
          <w:rStyle w:val="BodyTextChar"/>
          <w:i/>
          <w:color w:val="0070C0"/>
          <w:u w:val="single"/>
        </w:rPr>
        <w:instrText xml:space="preserve"> REF _Ref33523258 \r \h  \* MERGEFORMAT </w:instrText>
      </w:r>
      <w:r w:rsidR="006C2F6D" w:rsidRPr="000C5235">
        <w:rPr>
          <w:rStyle w:val="BodyTextChar"/>
          <w:i/>
          <w:color w:val="0070C0"/>
          <w:u w:val="single"/>
        </w:rPr>
      </w:r>
      <w:r w:rsidR="006C2F6D" w:rsidRPr="000C5235">
        <w:rPr>
          <w:rStyle w:val="BodyTextChar"/>
          <w:i/>
          <w:color w:val="0070C0"/>
          <w:u w:val="single"/>
        </w:rPr>
        <w:fldChar w:fldCharType="separate"/>
      </w:r>
      <w:r w:rsidR="006C2F6D" w:rsidRPr="000C5235">
        <w:rPr>
          <w:rStyle w:val="BodyTextChar"/>
          <w:i/>
          <w:color w:val="0070C0"/>
          <w:u w:val="single"/>
        </w:rPr>
        <w:t>9.6</w:t>
      </w:r>
      <w:r w:rsidR="006C2F6D" w:rsidRPr="000C5235">
        <w:rPr>
          <w:rStyle w:val="BodyTextChar"/>
          <w:i/>
          <w:color w:val="0070C0"/>
          <w:u w:val="single"/>
        </w:rPr>
        <w:fldChar w:fldCharType="end"/>
      </w:r>
      <w:r w:rsidR="006C2F6D" w:rsidRPr="000C5235">
        <w:rPr>
          <w:rStyle w:val="BodyTextChar"/>
          <w:i/>
          <w:color w:val="0070C0"/>
          <w:u w:val="single"/>
        </w:rPr>
        <w:t xml:space="preserve"> </w:t>
      </w:r>
      <w:r w:rsidR="006C2F6D" w:rsidRPr="000C5235">
        <w:rPr>
          <w:rStyle w:val="BodyTextChar"/>
          <w:i/>
          <w:color w:val="0070C0"/>
          <w:u w:val="single"/>
        </w:rPr>
        <w:fldChar w:fldCharType="begin"/>
      </w:r>
      <w:r w:rsidR="006C2F6D" w:rsidRPr="000C5235">
        <w:rPr>
          <w:rStyle w:val="BodyTextChar"/>
          <w:i/>
          <w:color w:val="0070C0"/>
          <w:u w:val="single"/>
        </w:rPr>
        <w:instrText xml:space="preserve"> REF _Ref33523261 \h  \* MERGEFORMAT </w:instrText>
      </w:r>
      <w:r w:rsidR="006C2F6D" w:rsidRPr="000C5235">
        <w:rPr>
          <w:rStyle w:val="BodyTextChar"/>
          <w:i/>
          <w:color w:val="0070C0"/>
          <w:u w:val="single"/>
        </w:rPr>
      </w:r>
      <w:r w:rsidR="006C2F6D" w:rsidRPr="000C5235">
        <w:rPr>
          <w:rStyle w:val="BodyTextChar"/>
          <w:i/>
          <w:color w:val="0070C0"/>
          <w:u w:val="single"/>
        </w:rPr>
        <w:fldChar w:fldCharType="separate"/>
      </w:r>
      <w:r w:rsidR="006C2F6D" w:rsidRPr="000C5235">
        <w:rPr>
          <w:rFonts w:eastAsia="Times New Roman"/>
          <w:i/>
          <w:color w:val="0070C0"/>
          <w:u w:val="single"/>
        </w:rPr>
        <w:t>Program components</w:t>
      </w:r>
      <w:r w:rsidR="006C2F6D" w:rsidRPr="000C5235">
        <w:rPr>
          <w:rStyle w:val="BodyTextChar"/>
          <w:i/>
          <w:color w:val="0070C0"/>
          <w:u w:val="single"/>
        </w:rPr>
        <w:fldChar w:fldCharType="end"/>
      </w:r>
      <w:r w:rsidR="006C2F6D" w:rsidRPr="000C5235">
        <w:rPr>
          <w:rStyle w:val="BodyTextChar"/>
        </w:rPr>
        <w:t xml:space="preserve"> </w:t>
      </w:r>
      <w:r w:rsidR="006C2F6D" w:rsidRPr="000C5235">
        <w:rPr>
          <w:rStyle w:val="BodyTextChar"/>
        </w:rPr>
        <w:fldChar w:fldCharType="begin"/>
      </w:r>
      <w:r w:rsidR="006C2F6D" w:rsidRPr="000C5235">
        <w:rPr>
          <w:rStyle w:val="BodyTextChar"/>
        </w:rPr>
        <w:instrText xml:space="preserve"> REF _Ref33523265 \p \h </w:instrText>
      </w:r>
      <w:r w:rsidR="008B029A" w:rsidRPr="000C5235">
        <w:rPr>
          <w:rStyle w:val="BodyTextChar"/>
        </w:rPr>
        <w:instrText xml:space="preserve"> \* MERGEFORMAT </w:instrText>
      </w:r>
      <w:r w:rsidR="006C2F6D" w:rsidRPr="000C5235">
        <w:rPr>
          <w:rStyle w:val="BodyTextChar"/>
        </w:rPr>
      </w:r>
      <w:r w:rsidR="006C2F6D" w:rsidRPr="000C5235">
        <w:rPr>
          <w:rStyle w:val="BodyTextChar"/>
        </w:rPr>
        <w:fldChar w:fldCharType="separate"/>
      </w:r>
      <w:r w:rsidR="006C2F6D" w:rsidRPr="000C5235">
        <w:rPr>
          <w:rStyle w:val="BodyTextChar"/>
        </w:rPr>
        <w:t>below</w:t>
      </w:r>
      <w:r w:rsidR="006C2F6D" w:rsidRPr="000C5235">
        <w:rPr>
          <w:rStyle w:val="BodyTextChar"/>
        </w:rPr>
        <w:fldChar w:fldCharType="end"/>
      </w:r>
      <w:r w:rsidRPr="000C5235">
        <w:rPr>
          <w:rStyle w:val="BodyTextChar"/>
        </w:rPr>
        <w:t xml:space="preserve">). </w:t>
      </w:r>
    </w:p>
    <w:p w14:paraId="007A194C" w14:textId="77777777" w:rsidR="00FA0945" w:rsidRPr="000C5235" w:rsidRDefault="00FA0945" w:rsidP="000A7DEC">
      <w:pPr>
        <w:rPr>
          <w:rStyle w:val="BodyTextChar"/>
          <w:rFonts w:ascii="Arial" w:hAnsi="Arial"/>
        </w:rPr>
      </w:pPr>
      <w:r w:rsidRPr="000C5235">
        <w:rPr>
          <w:rStyle w:val="BodyTextChar"/>
          <w:i/>
        </w:rPr>
        <w:t>Table 2.X.1</w:t>
      </w:r>
      <w:r w:rsidRPr="000C5235">
        <w:rPr>
          <w:rStyle w:val="BodyTextChar"/>
        </w:rPr>
        <w:t xml:space="preserve"> also provides an estimate of ASL by outcome for the budget and prior year. The total ASL figures across all outcomes should reconcile with the ASL figures to be published in BP No. 4 and the entity-level total included at the bottom of </w:t>
      </w:r>
      <w:r w:rsidRPr="000C5235">
        <w:rPr>
          <w:rStyle w:val="BodyTextChar"/>
          <w:i/>
        </w:rPr>
        <w:t>Table 1.1: Entity Resource Statement</w:t>
      </w:r>
      <w:r w:rsidRPr="000C5235">
        <w:rPr>
          <w:rStyle w:val="BodyTextChar"/>
        </w:rPr>
        <w:t>. Please refer to the latest Finance guidance on ASL</w:t>
      </w:r>
      <w:r w:rsidR="00935A98" w:rsidRPr="000C5235">
        <w:rPr>
          <w:rStyle w:val="BodyTextChar"/>
        </w:rPr>
        <w:t>.</w:t>
      </w:r>
      <w:r w:rsidRPr="000C5235">
        <w:rPr>
          <w:rStyle w:val="BodyTextChar"/>
        </w:rPr>
        <w:t xml:space="preserve"> </w:t>
      </w:r>
      <w:r w:rsidR="00935A98" w:rsidRPr="000C5235">
        <w:rPr>
          <w:rStyle w:val="BodyTextChar"/>
        </w:rPr>
        <w:t>F</w:t>
      </w:r>
      <w:r w:rsidRPr="000C5235">
        <w:rPr>
          <w:rStyle w:val="BodyTextChar"/>
        </w:rPr>
        <w:t>or more information on ASL reporting</w:t>
      </w:r>
      <w:r w:rsidR="00935A98" w:rsidRPr="000C5235">
        <w:rPr>
          <w:rStyle w:val="BodyTextChar"/>
        </w:rPr>
        <w:t>,</w:t>
      </w:r>
      <w:r w:rsidRPr="000C5235">
        <w:rPr>
          <w:rStyle w:val="BodyTextChar"/>
        </w:rPr>
        <w:t xml:space="preserve"> contacts are provided </w:t>
      </w:r>
      <w:r w:rsidR="00D45389" w:rsidRPr="000C5235">
        <w:rPr>
          <w:rStyle w:val="BodyTextChar"/>
        </w:rPr>
        <w:t>in Section 1</w:t>
      </w:r>
      <w:r w:rsidR="00C870EF" w:rsidRPr="000C5235">
        <w:rPr>
          <w:rStyle w:val="BodyTextChar"/>
        </w:rPr>
        <w:t>3</w:t>
      </w:r>
      <w:r w:rsidR="00D45389" w:rsidRPr="000C5235">
        <w:rPr>
          <w:rStyle w:val="BodyTextChar"/>
        </w:rPr>
        <w:t xml:space="preserve"> of this guide</w:t>
      </w:r>
      <w:r w:rsidRPr="000C5235">
        <w:rPr>
          <w:rStyle w:val="BodyTextChar"/>
        </w:rPr>
        <w:t xml:space="preserve">. </w:t>
      </w:r>
    </w:p>
    <w:p w14:paraId="672933A7" w14:textId="77777777" w:rsidR="00FA0945" w:rsidRPr="000C5235" w:rsidRDefault="00FA0945" w:rsidP="000A7DEC">
      <w:pPr>
        <w:rPr>
          <w:rStyle w:val="BodyTextChar"/>
        </w:rPr>
      </w:pPr>
      <w:r w:rsidRPr="000C5235">
        <w:rPr>
          <w:rStyle w:val="BodyTextChar"/>
          <w:i/>
        </w:rPr>
        <w:t>Table 2.X.1</w:t>
      </w:r>
      <w:r w:rsidRPr="000C5235">
        <w:rPr>
          <w:rStyle w:val="BodyTextChar"/>
        </w:rPr>
        <w:t xml:space="preserve"> also includes information on movement of administered funds agreed at an outcome and program-level.  This section details the amount of unexpended annual administered funding which the Government has agreed to reallocate from current or a prior financial years to the budget and forward </w:t>
      </w:r>
      <w:r w:rsidR="004D761E" w:rsidRPr="000C5235">
        <w:rPr>
          <w:rStyle w:val="BodyTextChar"/>
        </w:rPr>
        <w:t>years (</w:t>
      </w:r>
      <w:r w:rsidR="0052694E" w:rsidRPr="000C5235">
        <w:rPr>
          <w:rStyle w:val="BodyTextChar"/>
        </w:rPr>
        <w:t>2020-21</w:t>
      </w:r>
      <w:r w:rsidRPr="000C5235">
        <w:rPr>
          <w:rStyle w:val="BodyTextChar"/>
        </w:rPr>
        <w:t xml:space="preserve"> </w:t>
      </w:r>
      <w:r w:rsidR="004D761E" w:rsidRPr="000C5235">
        <w:rPr>
          <w:rStyle w:val="BodyTextChar"/>
        </w:rPr>
        <w:t>to 202</w:t>
      </w:r>
      <w:r w:rsidR="0052694E" w:rsidRPr="000C5235">
        <w:rPr>
          <w:rStyle w:val="BodyTextChar"/>
        </w:rPr>
        <w:t>1</w:t>
      </w:r>
      <w:r w:rsidR="004D761E" w:rsidRPr="000C5235">
        <w:rPr>
          <w:rStyle w:val="BodyTextChar"/>
        </w:rPr>
        <w:t>-2</w:t>
      </w:r>
      <w:r w:rsidR="0052694E" w:rsidRPr="000C5235">
        <w:rPr>
          <w:rStyle w:val="BodyTextChar"/>
        </w:rPr>
        <w:t>4</w:t>
      </w:r>
      <w:r w:rsidRPr="000C5235">
        <w:rPr>
          <w:rStyle w:val="BodyTextChar"/>
        </w:rPr>
        <w:t>).</w:t>
      </w:r>
    </w:p>
    <w:p w14:paraId="32AF6C9B" w14:textId="77777777" w:rsidR="00FA0945" w:rsidRPr="000C5235" w:rsidRDefault="00FA0945" w:rsidP="000A7DEC">
      <w:pPr>
        <w:rPr>
          <w:rStyle w:val="BodyTextChar"/>
        </w:rPr>
      </w:pPr>
      <w:r w:rsidRPr="000C5235">
        <w:rPr>
          <w:rStyle w:val="BodyTextChar"/>
          <w:i/>
        </w:rPr>
        <w:t>Table 2.X.1</w:t>
      </w:r>
      <w:r w:rsidRPr="000C5235">
        <w:rPr>
          <w:rStyle w:val="BodyTextChar"/>
        </w:rPr>
        <w:t xml:space="preserve"> complements the </w:t>
      </w:r>
      <w:r w:rsidRPr="000C5235">
        <w:rPr>
          <w:rStyle w:val="BodyTextChar"/>
          <w:i/>
        </w:rPr>
        <w:t>Table 1.1: Entity resource statement</w:t>
      </w:r>
      <w:r w:rsidRPr="000C5235">
        <w:rPr>
          <w:rStyle w:val="BodyTextChar"/>
        </w:rPr>
        <w:t>, which in contrast, provides a summary of funding sources</w:t>
      </w:r>
      <w:r w:rsidR="00995AA1" w:rsidRPr="000C5235">
        <w:rPr>
          <w:rStyle w:val="BodyTextChar"/>
        </w:rPr>
        <w:t xml:space="preserve"> but not forecast expenditure.</w:t>
      </w:r>
    </w:p>
    <w:p w14:paraId="0EE63A92" w14:textId="77777777" w:rsidR="00FA0945" w:rsidRPr="000C5235" w:rsidRDefault="00995AA1" w:rsidP="00995AA1">
      <w:pPr>
        <w:pStyle w:val="Heading3Numbered"/>
        <w:rPr>
          <w:rStyle w:val="BodyTextChar"/>
          <w:rFonts w:eastAsiaTheme="majorEastAsia" w:cstheme="majorBidi"/>
        </w:rPr>
      </w:pPr>
      <w:bookmarkStart w:id="490" w:name="_Toc47951242"/>
      <w:r w:rsidRPr="000C5235">
        <w:rPr>
          <w:rStyle w:val="BodyTextChar"/>
          <w:rFonts w:eastAsiaTheme="majorEastAsia" w:cstheme="majorBidi"/>
        </w:rPr>
        <w:t xml:space="preserve">Minimum </w:t>
      </w:r>
      <w:r w:rsidR="00B4424B" w:rsidRPr="000C5235">
        <w:rPr>
          <w:rStyle w:val="BodyTextChar"/>
          <w:rFonts w:eastAsiaTheme="majorEastAsia" w:cstheme="majorBidi"/>
        </w:rPr>
        <w:t>r</w:t>
      </w:r>
      <w:r w:rsidRPr="000C5235">
        <w:rPr>
          <w:rStyle w:val="BodyTextChar"/>
          <w:rFonts w:eastAsiaTheme="majorEastAsia" w:cstheme="majorBidi"/>
        </w:rPr>
        <w:t>eporting requirements</w:t>
      </w:r>
      <w:bookmarkEnd w:id="490"/>
    </w:p>
    <w:p w14:paraId="3161B8B9" w14:textId="77777777" w:rsidR="00FA0945" w:rsidRPr="000C5235" w:rsidRDefault="00FA0945">
      <w:pPr>
        <w:pStyle w:val="Bullet1"/>
        <w:rPr>
          <w:rStyle w:val="BodyTextChar"/>
        </w:rPr>
      </w:pPr>
      <w:r w:rsidRPr="000C5235">
        <w:rPr>
          <w:rStyle w:val="BodyTextChar"/>
        </w:rPr>
        <w:t>At a minimum, there should be a Table 2.X.1 for each outcome delivered by an entity (where X is “1” for Outcome 1, “2” for Outcome 2, etc)</w:t>
      </w:r>
    </w:p>
    <w:p w14:paraId="0CF86834" w14:textId="77777777" w:rsidR="00FA0945" w:rsidRPr="000C5235" w:rsidRDefault="00FA0945">
      <w:pPr>
        <w:pStyle w:val="Bullet1"/>
        <w:rPr>
          <w:rStyle w:val="BodyTextChar"/>
        </w:rPr>
      </w:pPr>
      <w:r w:rsidRPr="000C5235">
        <w:rPr>
          <w:rStyle w:val="BodyTextChar"/>
        </w:rPr>
        <w:t>The total budgeted expenses for all outcomes reported in Table 2.X.1 must equal the aggregate of total Departmental and Administered expenses as outlined in the Comprehensive income statement (Table 3.1) and Schedule of budgeted income and expenses administered on behalf of Government (Table 3.7)</w:t>
      </w:r>
    </w:p>
    <w:p w14:paraId="30C241F2" w14:textId="77777777" w:rsidR="00FA0945" w:rsidRPr="000C5235" w:rsidRDefault="00FA0945">
      <w:pPr>
        <w:pStyle w:val="Bullet1"/>
        <w:rPr>
          <w:rStyle w:val="BodyTextChar"/>
        </w:rPr>
      </w:pPr>
      <w:r w:rsidRPr="000C5235">
        <w:rPr>
          <w:rStyle w:val="BodyTextChar"/>
        </w:rPr>
        <w:t>Total expenses shown in Table 2.X.1 should reconcile to program and outcome expenses captured in CBMS</w:t>
      </w:r>
    </w:p>
    <w:p w14:paraId="2768BD74" w14:textId="77777777" w:rsidR="00FA0945" w:rsidRPr="000C5235" w:rsidRDefault="00FA0945">
      <w:pPr>
        <w:pStyle w:val="Bullet1"/>
        <w:rPr>
          <w:rStyle w:val="BodyTextChar"/>
        </w:rPr>
      </w:pPr>
      <w:r w:rsidRPr="000C5235">
        <w:rPr>
          <w:rStyle w:val="BodyTextChar"/>
        </w:rPr>
        <w:t>Where amounts are drawn down from an annual or special appropriation and credited to a special account, please ensure that the expenses are not double counted, for example, by only showing the final expenses against the special account rather than the annual appropriation. Entities may wish to include a footnote describing such transfers at a program-level</w:t>
      </w:r>
    </w:p>
    <w:p w14:paraId="7838CB20" w14:textId="77777777" w:rsidR="00FA0945" w:rsidRPr="000C5235" w:rsidRDefault="007E6DB9">
      <w:pPr>
        <w:pStyle w:val="Bullet1"/>
        <w:rPr>
          <w:rStyle w:val="BodyTextChar"/>
        </w:rPr>
      </w:pPr>
      <w:r w:rsidRPr="000C5235">
        <w:rPr>
          <w:rStyle w:val="BodyTextChar"/>
        </w:rPr>
        <w:t>For portfolio departments, payments made to corporate entities should be disclosed as a separate line item under the relevant outcome and program.</w:t>
      </w:r>
    </w:p>
    <w:p w14:paraId="35D58F79" w14:textId="77777777" w:rsidR="00FA0945" w:rsidRPr="000C5235" w:rsidRDefault="00FA0945">
      <w:pPr>
        <w:pStyle w:val="Bullet1"/>
        <w:rPr>
          <w:rStyle w:val="BodyTextChar"/>
        </w:rPr>
      </w:pPr>
      <w:r w:rsidRPr="000C5235">
        <w:rPr>
          <w:rStyle w:val="BodyTextChar"/>
        </w:rPr>
        <w:t>Entities are to report on the costs of delivering specific, administered programs – these are referred to as program support. As program support will typically include an apportionment of corporate/overhead expenses (in addition to direct costs), a reliable and consistent allocation methodology should be used by entities to produce accurate informatio</w:t>
      </w:r>
      <w:r w:rsidR="006D021E" w:rsidRPr="000C5235">
        <w:rPr>
          <w:rStyle w:val="BodyTextChar"/>
        </w:rPr>
        <w:t>n</w:t>
      </w:r>
    </w:p>
    <w:p w14:paraId="5CEDF0BE" w14:textId="77777777" w:rsidR="00FA0945" w:rsidRPr="000C5235" w:rsidRDefault="00FA0945">
      <w:pPr>
        <w:pStyle w:val="Bullet1"/>
        <w:rPr>
          <w:rStyle w:val="BodyTextChar"/>
        </w:rPr>
      </w:pPr>
      <w:r w:rsidRPr="000C5235">
        <w:rPr>
          <w:rStyle w:val="BodyTextChar"/>
        </w:rPr>
        <w:t>Expenses deemed to be “program support” are likely to be recorded against the “Other Departmental” program in CBMS. Where these expenses are apportioned as “program support”, entities should ensure that estimates presented in the Outcome expense tables overall reconcile to the data in CBMS.</w:t>
      </w:r>
    </w:p>
    <w:p w14:paraId="2F39966C" w14:textId="77777777" w:rsidR="00FA0945" w:rsidRPr="000C5235" w:rsidRDefault="00FA0945">
      <w:pPr>
        <w:pStyle w:val="Bullet2"/>
        <w:rPr>
          <w:rStyle w:val="BodyTextChar"/>
        </w:rPr>
      </w:pPr>
      <w:r w:rsidRPr="000C5235">
        <w:rPr>
          <w:rStyle w:val="BodyTextChar"/>
        </w:rPr>
        <w:t xml:space="preserve">“Other Departmental” must not be used as a program name in the </w:t>
      </w:r>
      <w:r w:rsidRPr="000C5235">
        <w:t>PB Statements</w:t>
      </w:r>
      <w:r w:rsidRPr="000C5235">
        <w:rPr>
          <w:rStyle w:val="BodyTextChar"/>
        </w:rPr>
        <w:t>. For CBMS programs named as “Other Departmental”, these should be reported in the PB Statements as either:</w:t>
      </w:r>
    </w:p>
    <w:p w14:paraId="4F4C6834" w14:textId="77777777" w:rsidR="00FA0945" w:rsidRPr="000C5235" w:rsidRDefault="00FA0945">
      <w:pPr>
        <w:pStyle w:val="Bullet3"/>
        <w:rPr>
          <w:rStyle w:val="BodyTextChar"/>
        </w:rPr>
      </w:pPr>
      <w:r w:rsidRPr="000C5235">
        <w:rPr>
          <w:rStyle w:val="BodyTextChar"/>
        </w:rPr>
        <w:t xml:space="preserve">“program support” or </w:t>
      </w:r>
    </w:p>
    <w:p w14:paraId="41466ADB" w14:textId="77777777" w:rsidR="00FA0945" w:rsidRPr="000C5235" w:rsidRDefault="00FA0945">
      <w:pPr>
        <w:pStyle w:val="Bullet3"/>
        <w:rPr>
          <w:rStyle w:val="BodyTextChar"/>
        </w:rPr>
      </w:pPr>
      <w:r w:rsidRPr="000C5235">
        <w:rPr>
          <w:rStyle w:val="BodyTextChar"/>
        </w:rPr>
        <w:t>where the entity only has one program and that funding covers the whole functions of the entity, against the entity’s name (</w:t>
      </w:r>
      <w:r w:rsidR="001754FC" w:rsidRPr="000C5235">
        <w:rPr>
          <w:rStyle w:val="BodyTextChar"/>
        </w:rPr>
        <w:t>ie</w:t>
      </w:r>
      <w:r w:rsidRPr="000C5235">
        <w:rPr>
          <w:rStyle w:val="BodyTextChar"/>
        </w:rPr>
        <w:t xml:space="preserve"> the Productivity Commission reports under a single program titled “Productivity Commission”).</w:t>
      </w:r>
    </w:p>
    <w:p w14:paraId="457E36D7" w14:textId="77777777" w:rsidR="00FA0945" w:rsidRPr="000C5235" w:rsidRDefault="00FA0945">
      <w:pPr>
        <w:pStyle w:val="Bullet1"/>
        <w:rPr>
          <w:rStyle w:val="BodyTextChar"/>
        </w:rPr>
      </w:pPr>
      <w:r w:rsidRPr="000C5235">
        <w:rPr>
          <w:rStyle w:val="BodyTextChar"/>
        </w:rPr>
        <w:t>Where relevant, entities may wish to include a footnote to relevant tables which explains that the allocation of departmental expenses to programs is notional only and based on attribution models maintained by entities.</w:t>
      </w:r>
    </w:p>
    <w:p w14:paraId="160AA36F" w14:textId="77777777" w:rsidR="00E02C97" w:rsidRPr="000C5235" w:rsidRDefault="00FA0945" w:rsidP="000A7DEC">
      <w:pPr>
        <w:rPr>
          <w:rStyle w:val="BodyTextChar"/>
        </w:rPr>
      </w:pPr>
      <w:r w:rsidRPr="000C5235">
        <w:rPr>
          <w:rStyle w:val="BodyTextChar"/>
        </w:rPr>
        <w:t xml:space="preserve">A summary of the relationship between </w:t>
      </w:r>
      <w:r w:rsidRPr="000C5235">
        <w:rPr>
          <w:rStyle w:val="BodyTextChar"/>
          <w:i/>
        </w:rPr>
        <w:t>Table 2.X.1</w:t>
      </w:r>
      <w:r w:rsidRPr="000C5235">
        <w:rPr>
          <w:rStyle w:val="BodyTextChar"/>
        </w:rPr>
        <w:t xml:space="preserve"> and the income statements is provided below:</w:t>
      </w:r>
    </w:p>
    <w:p w14:paraId="312C9E2F" w14:textId="77777777" w:rsidR="00FA0945" w:rsidRPr="000C5235" w:rsidRDefault="00FA0945">
      <w:pPr>
        <w:pStyle w:val="BodyText"/>
        <w:rPr>
          <w:rStyle w:val="BodyTextChar"/>
        </w:rPr>
      </w:pPr>
      <w:r w:rsidRPr="000C5235">
        <w:rPr>
          <w:rStyle w:val="BodyTextChar"/>
          <w:noProof/>
          <w:lang w:eastAsia="en-AU"/>
        </w:rPr>
        <mc:AlternateContent>
          <mc:Choice Requires="wpc">
            <w:drawing>
              <wp:inline distT="0" distB="0" distL="0" distR="0" wp14:anchorId="3C4F65CB" wp14:editId="4D00E068">
                <wp:extent cx="6248400" cy="2644775"/>
                <wp:effectExtent l="0" t="0" r="19050" b="22225"/>
                <wp:docPr id="37"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34" name="Text Box 20"/>
                        <wps:cNvSpPr txBox="1">
                          <a:spLocks noChangeArrowheads="1"/>
                        </wps:cNvSpPr>
                        <wps:spPr bwMode="auto">
                          <a:xfrm>
                            <a:off x="3514880" y="197108"/>
                            <a:ext cx="2640329" cy="2193395"/>
                          </a:xfrm>
                          <a:prstGeom prst="rect">
                            <a:avLst/>
                          </a:prstGeom>
                          <a:solidFill>
                            <a:schemeClr val="bg1"/>
                          </a:solidFill>
                          <a:ln w="9525">
                            <a:solidFill>
                              <a:srgbClr val="000000"/>
                            </a:solidFill>
                            <a:miter lim="800000"/>
                            <a:headEnd/>
                            <a:tailEnd/>
                          </a:ln>
                        </wps:spPr>
                        <wps:txbx>
                          <w:txbxContent>
                            <w:p w14:paraId="0EF73160" w14:textId="77777777" w:rsidR="00DD1634" w:rsidRPr="003E3C9D" w:rsidRDefault="00DD1634" w:rsidP="000A7DEC">
                              <w:bookmarkStart w:id="491" w:name="_Hlk410817650"/>
                              <w:r w:rsidRPr="003E3C9D">
                                <w:t>Table 3.1: Comprehensive income statement (Departmental)</w:t>
                              </w:r>
                            </w:p>
                            <w:p w14:paraId="3C2DF961" w14:textId="77777777" w:rsidR="00DD1634" w:rsidRPr="00CB2E1E" w:rsidRDefault="00DD1634">
                              <w:pPr>
                                <w:pStyle w:val="NormalTextRed"/>
                              </w:pPr>
                              <w:r w:rsidRPr="00A2522A">
                                <w:t>Total expenses</w:t>
                              </w:r>
                            </w:p>
                            <w:p w14:paraId="4AC4DF58" w14:textId="77777777" w:rsidR="00DD1634" w:rsidRPr="003E3C9D" w:rsidRDefault="00DD1634" w:rsidP="000A7DEC">
                              <w:pPr>
                                <w:rPr>
                                  <w:b/>
                                </w:rPr>
                              </w:pPr>
                              <w:r>
                                <w:t xml:space="preserve">                    </w:t>
                              </w:r>
                              <w:r w:rsidRPr="003E3C9D">
                                <w:rPr>
                                  <w:b/>
                                </w:rPr>
                                <w:t>+</w:t>
                              </w:r>
                            </w:p>
                            <w:p w14:paraId="7DB91C64" w14:textId="77777777" w:rsidR="00DD1634" w:rsidRPr="003E3C9D" w:rsidRDefault="00DD1634" w:rsidP="000A7DEC">
                              <w:r w:rsidRPr="003E3C9D">
                                <w:t>Table 3.7: Schedule of budgeted income and expenses administered on behalf of Government</w:t>
                              </w:r>
                            </w:p>
                            <w:p w14:paraId="418317F9" w14:textId="77777777" w:rsidR="00DD1634" w:rsidRPr="00466C28" w:rsidRDefault="00DD1634">
                              <w:pPr>
                                <w:pStyle w:val="NormalTextRed"/>
                              </w:pPr>
                              <w:r w:rsidRPr="00A2522A">
                                <w:t>Total expenses</w:t>
                              </w:r>
                              <w:bookmarkEnd w:id="491"/>
                            </w:p>
                          </w:txbxContent>
                        </wps:txbx>
                        <wps:bodyPr rot="0" vert="horz" wrap="square" lIns="91440" tIns="45720" rIns="91440" bIns="45720" anchor="t" anchorCtr="0" upright="1">
                          <a:noAutofit/>
                        </wps:bodyPr>
                      </wps:wsp>
                      <wps:wsp>
                        <wps:cNvPr id="35" name="Text Box 21"/>
                        <wps:cNvSpPr txBox="1">
                          <a:spLocks noChangeArrowheads="1"/>
                        </wps:cNvSpPr>
                        <wps:spPr bwMode="auto">
                          <a:xfrm>
                            <a:off x="86232" y="466677"/>
                            <a:ext cx="2932650" cy="1590724"/>
                          </a:xfrm>
                          <a:prstGeom prst="rect">
                            <a:avLst/>
                          </a:prstGeom>
                          <a:solidFill>
                            <a:schemeClr val="bg1"/>
                          </a:solidFill>
                          <a:ln w="9525">
                            <a:solidFill>
                              <a:srgbClr val="000000"/>
                            </a:solidFill>
                            <a:miter lim="800000"/>
                            <a:headEnd/>
                            <a:tailEnd/>
                          </a:ln>
                        </wps:spPr>
                        <wps:txbx>
                          <w:txbxContent>
                            <w:p w14:paraId="4D701D8F" w14:textId="77777777" w:rsidR="00DD1634" w:rsidRPr="003E3C9D" w:rsidRDefault="00DD1634" w:rsidP="000A7DEC">
                              <w:r w:rsidRPr="003E3C9D">
                                <w:t>Table 2.X.1: Budgeted expenses for Outcome X</w:t>
                              </w:r>
                            </w:p>
                            <w:p w14:paraId="612ADD3A" w14:textId="77777777" w:rsidR="00DD1634" w:rsidRPr="00CB2E1E" w:rsidRDefault="00DD1634">
                              <w:pPr>
                                <w:pStyle w:val="NormalTextRed"/>
                              </w:pPr>
                              <w:r w:rsidRPr="00A2522A">
                                <w:t>Total Departmental expenses</w:t>
                              </w:r>
                            </w:p>
                            <w:p w14:paraId="4475D196" w14:textId="77777777" w:rsidR="00DD1634" w:rsidRPr="003E3C9D" w:rsidRDefault="00DD1634">
                              <w:pPr>
                                <w:rPr>
                                  <w:b/>
                                </w:rPr>
                              </w:pPr>
                              <w:r>
                                <w:t xml:space="preserve">                    </w:t>
                              </w:r>
                              <w:r w:rsidRPr="003E3C9D">
                                <w:rPr>
                                  <w:b/>
                                </w:rPr>
                                <w:t>+</w:t>
                              </w:r>
                            </w:p>
                            <w:p w14:paraId="76F64753" w14:textId="77777777" w:rsidR="00DD1634" w:rsidRPr="00CB2E1E" w:rsidRDefault="00DD1634">
                              <w:pPr>
                                <w:pStyle w:val="NormalTextRed"/>
                              </w:pPr>
                              <w:r w:rsidRPr="00A2522A">
                                <w:t>Total Administered expenses</w:t>
                              </w:r>
                            </w:p>
                          </w:txbxContent>
                        </wps:txbx>
                        <wps:bodyPr rot="0" vert="horz" wrap="square" lIns="91440" tIns="45720" rIns="91440" bIns="45720" anchor="t" anchorCtr="0" upright="1">
                          <a:noAutofit/>
                        </wps:bodyPr>
                      </wps:wsp>
                      <wps:wsp>
                        <wps:cNvPr id="36" name="Text Box 22"/>
                        <wps:cNvSpPr txBox="1">
                          <a:spLocks noChangeArrowheads="1"/>
                        </wps:cNvSpPr>
                        <wps:spPr bwMode="auto">
                          <a:xfrm>
                            <a:off x="3089737" y="1058714"/>
                            <a:ext cx="307968" cy="458066"/>
                          </a:xfrm>
                          <a:prstGeom prst="rect">
                            <a:avLst/>
                          </a:prstGeom>
                          <a:solidFill>
                            <a:schemeClr val="bg1">
                              <a:lumMod val="85000"/>
                            </a:schemeClr>
                          </a:solidFill>
                          <a:ln>
                            <a:noFill/>
                          </a:ln>
                          <a:extLst/>
                        </wps:spPr>
                        <wps:txbx>
                          <w:txbxContent>
                            <w:p w14:paraId="68D5B103" w14:textId="77777777" w:rsidR="00DD1634" w:rsidRPr="003E3C9D" w:rsidRDefault="00DD1634">
                              <w:r w:rsidRPr="003E3C9D">
                                <w:t>=</w:t>
                              </w:r>
                            </w:p>
                          </w:txbxContent>
                        </wps:txbx>
                        <wps:bodyPr rot="0" vert="horz" wrap="square" lIns="91440" tIns="45720" rIns="91440" bIns="45720" anchor="t" anchorCtr="0" upright="1">
                          <a:noAutofit/>
                        </wps:bodyPr>
                      </wps:wsp>
                    </wpc:wpc>
                  </a:graphicData>
                </a:graphic>
              </wp:inline>
            </w:drawing>
          </mc:Choice>
          <mc:Fallback>
            <w:pict>
              <v:group w14:anchorId="3C4F65CB" id="Canvas 37" o:spid="_x0000_s1036" editas="canvas" style="width:492pt;height:208.25pt;mso-position-horizontal-relative:char;mso-position-vertical-relative:line" coordsize="62484,26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">
                <v:shape id="_x0000_s1037" type="#_x0000_t75" style="position:absolute;width:62484;height:26447;visibility:visible;mso-wrap-style:square" filled="t" fillcolor="#d8d8d8 [2732]" stroked="t" strokecolor="black [3213]">
                  <v:fill o:detectmouseclick="t"/>
                  <v:path o:connecttype="none"/>
                </v:shape>
                <v:shape id="Text Box 20" o:spid="_x0000_s1038" type="#_x0000_t202" style="position:absolute;left:35148;top:1971;width:26404;height:21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" fillcolor="white [3212]">
                  <v:textbox>
                    <w:txbxContent>
                      <w:p w14:paraId="0EF73160" w14:textId="77777777" w:rsidR="00DD1634" w:rsidRPr="003E3C9D" w:rsidRDefault="00DD1634" w:rsidP="000A7DEC">
                        <w:bookmarkStart w:id="498" w:name="_Hlk410817650"/>
                        <w:r w:rsidRPr="003E3C9D">
                          <w:t>Table 3.1: Comprehensive income statement (Departmental)</w:t>
                        </w:r>
                      </w:p>
                      <w:p w14:paraId="3C2DF961" w14:textId="77777777" w:rsidR="00DD1634" w:rsidRPr="00CB2E1E" w:rsidRDefault="00DD1634">
                        <w:pPr>
                          <w:pStyle w:val="NormalTextRed"/>
                        </w:pPr>
                        <w:r w:rsidRPr="00A2522A">
                          <w:t>Total expenses</w:t>
                        </w:r>
                      </w:p>
                      <w:p w14:paraId="4AC4DF58" w14:textId="77777777" w:rsidR="00DD1634" w:rsidRPr="003E3C9D" w:rsidRDefault="00DD1634" w:rsidP="000A7DEC">
                        <w:pPr>
                          <w:rPr>
                            <w:b/>
                          </w:rPr>
                        </w:pPr>
                        <w:r>
                          <w:t xml:space="preserve">                    </w:t>
                        </w:r>
                        <w:r w:rsidRPr="003E3C9D">
                          <w:rPr>
                            <w:b/>
                          </w:rPr>
                          <w:t>+</w:t>
                        </w:r>
                      </w:p>
                      <w:p w14:paraId="7DB91C64" w14:textId="77777777" w:rsidR="00DD1634" w:rsidRPr="003E3C9D" w:rsidRDefault="00DD1634" w:rsidP="000A7DEC">
                        <w:r w:rsidRPr="003E3C9D">
                          <w:t>Table 3.7: Schedule of budgeted income and expenses administered on behalf of Government</w:t>
                        </w:r>
                      </w:p>
                      <w:p w14:paraId="418317F9" w14:textId="77777777" w:rsidR="00DD1634" w:rsidRPr="00466C28" w:rsidRDefault="00DD1634">
                        <w:pPr>
                          <w:pStyle w:val="NormalTextRed"/>
                        </w:pPr>
                        <w:r w:rsidRPr="00A2522A">
                          <w:t>Total expenses</w:t>
                        </w:r>
                        <w:bookmarkEnd w:id="498"/>
                      </w:p>
                    </w:txbxContent>
                  </v:textbox>
                </v:shape>
                <v:shape id="Text Box 21" o:spid="_x0000_s1039" type="#_x0000_t202" style="position:absolute;left:862;top:4666;width:29326;height:15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" fillcolor="white [3212]">
                  <v:textbox>
                    <w:txbxContent>
                      <w:p w14:paraId="4D701D8F" w14:textId="77777777" w:rsidR="00DD1634" w:rsidRPr="003E3C9D" w:rsidRDefault="00DD1634" w:rsidP="000A7DEC">
                        <w:r w:rsidRPr="003E3C9D">
                          <w:t>Table 2.X.1: Budgeted expenses for Outcome X</w:t>
                        </w:r>
                      </w:p>
                      <w:p w14:paraId="612ADD3A" w14:textId="77777777" w:rsidR="00DD1634" w:rsidRPr="00CB2E1E" w:rsidRDefault="00DD1634">
                        <w:pPr>
                          <w:pStyle w:val="NormalTextRed"/>
                        </w:pPr>
                        <w:r w:rsidRPr="00A2522A">
                          <w:t>Total Departmental expenses</w:t>
                        </w:r>
                      </w:p>
                      <w:p w14:paraId="4475D196" w14:textId="77777777" w:rsidR="00DD1634" w:rsidRPr="003E3C9D" w:rsidRDefault="00DD1634">
                        <w:pPr>
                          <w:rPr>
                            <w:b/>
                          </w:rPr>
                        </w:pPr>
                        <w:r>
                          <w:t xml:space="preserve">                    </w:t>
                        </w:r>
                        <w:r w:rsidRPr="003E3C9D">
                          <w:rPr>
                            <w:b/>
                          </w:rPr>
                          <w:t>+</w:t>
                        </w:r>
                      </w:p>
                      <w:p w14:paraId="76F64753" w14:textId="77777777" w:rsidR="00DD1634" w:rsidRPr="00CB2E1E" w:rsidRDefault="00DD1634">
                        <w:pPr>
                          <w:pStyle w:val="NormalTextRed"/>
                        </w:pPr>
                        <w:r w:rsidRPr="00A2522A">
                          <w:t>Total Administered expenses</w:t>
                        </w:r>
                      </w:p>
                    </w:txbxContent>
                  </v:textbox>
                </v:shape>
                <v:shape id="Text Box 22" o:spid="_x0000_s1040" type="#_x0000_t202" style="position:absolute;left:30897;top:10587;width:3080;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" fillcolor="#d8d8d8 [2732]" stroked="f">
                  <v:textbox>
                    <w:txbxContent>
                      <w:p w14:paraId="68D5B103" w14:textId="77777777" w:rsidR="00DD1634" w:rsidRPr="003E3C9D" w:rsidRDefault="00DD1634">
                        <w:r w:rsidRPr="003E3C9D">
                          <w:t>=</w:t>
                        </w:r>
                      </w:p>
                    </w:txbxContent>
                  </v:textbox>
                </v:shape>
                <w10:anchorlock/>
              </v:group>
            </w:pict>
          </mc:Fallback>
        </mc:AlternateContent>
      </w:r>
    </w:p>
    <w:p w14:paraId="17BD4825" w14:textId="77777777" w:rsidR="000E69EB" w:rsidRPr="000C5235" w:rsidRDefault="000E69EB">
      <w:pPr>
        <w:suppressAutoHyphens w:val="0"/>
        <w:spacing w:before="0" w:after="120" w:line="440" w:lineRule="atLeast"/>
        <w:rPr>
          <w:rStyle w:val="BodyTextChar"/>
          <w:rFonts w:ascii="Arial" w:eastAsia="MS Gothic" w:hAnsi="Arial"/>
          <w:iCs/>
          <w:color w:val="005A77"/>
          <w:spacing w:val="-6"/>
          <w:sz w:val="32"/>
          <w:szCs w:val="24"/>
        </w:rPr>
      </w:pPr>
      <w:bookmarkStart w:id="492" w:name="_Toc26963584"/>
      <w:r w:rsidRPr="000C5235">
        <w:rPr>
          <w:rStyle w:val="BodyTextChar"/>
          <w:rFonts w:eastAsia="MS Gothic"/>
        </w:rPr>
        <w:br w:type="page"/>
      </w:r>
    </w:p>
    <w:p w14:paraId="53856977" w14:textId="77777777" w:rsidR="00DE5C35" w:rsidRPr="000C5235" w:rsidRDefault="00DE5C35" w:rsidP="000A7DEC">
      <w:pPr>
        <w:pStyle w:val="Heading3Numbered"/>
        <w:rPr>
          <w:rStyle w:val="BodyTextChar"/>
          <w:rFonts w:eastAsia="MS Gothic"/>
        </w:rPr>
      </w:pPr>
      <w:bookmarkStart w:id="493" w:name="_Toc47951243"/>
      <w:r w:rsidRPr="000C5235">
        <w:rPr>
          <w:rStyle w:val="BodyTextChar"/>
          <w:rFonts w:eastAsia="MS Gothic"/>
        </w:rPr>
        <w:t xml:space="preserve">Interest and </w:t>
      </w:r>
      <w:r w:rsidR="00B51040" w:rsidRPr="000C5235">
        <w:rPr>
          <w:rStyle w:val="BodyTextChar"/>
          <w:rFonts w:eastAsia="MS Gothic"/>
        </w:rPr>
        <w:t>d</w:t>
      </w:r>
      <w:r w:rsidRPr="000C5235">
        <w:rPr>
          <w:rStyle w:val="BodyTextChar"/>
          <w:rFonts w:eastAsia="MS Gothic"/>
        </w:rPr>
        <w:t xml:space="preserve">epreciation of </w:t>
      </w:r>
      <w:r w:rsidR="009F3C94" w:rsidRPr="000C5235">
        <w:rPr>
          <w:rStyle w:val="BodyTextChar"/>
          <w:rFonts w:eastAsia="MS Gothic"/>
        </w:rPr>
        <w:t xml:space="preserve">Right-of-Use </w:t>
      </w:r>
      <w:r w:rsidR="00B51040" w:rsidRPr="000C5235">
        <w:rPr>
          <w:rStyle w:val="BodyTextChar"/>
          <w:rFonts w:eastAsia="MS Gothic"/>
        </w:rPr>
        <w:t>a</w:t>
      </w:r>
      <w:r w:rsidRPr="000C5235">
        <w:rPr>
          <w:rStyle w:val="BodyTextChar"/>
          <w:rFonts w:eastAsia="MS Gothic"/>
        </w:rPr>
        <w:t xml:space="preserve">ssets reported as part of </w:t>
      </w:r>
      <w:r w:rsidR="00B51040" w:rsidRPr="000C5235">
        <w:rPr>
          <w:rStyle w:val="BodyTextChar"/>
          <w:rFonts w:eastAsia="MS Gothic"/>
        </w:rPr>
        <w:t>d</w:t>
      </w:r>
      <w:r w:rsidRPr="000C5235">
        <w:rPr>
          <w:rStyle w:val="BodyTextChar"/>
          <w:rFonts w:eastAsia="MS Gothic"/>
        </w:rPr>
        <w:t xml:space="preserve">epartmental </w:t>
      </w:r>
      <w:r w:rsidR="00B51040" w:rsidRPr="000C5235">
        <w:rPr>
          <w:rStyle w:val="BodyTextChar"/>
          <w:rFonts w:eastAsia="MS Gothic"/>
        </w:rPr>
        <w:t>a</w:t>
      </w:r>
      <w:r w:rsidRPr="000C5235">
        <w:rPr>
          <w:rStyle w:val="BodyTextChar"/>
          <w:rFonts w:eastAsia="MS Gothic"/>
        </w:rPr>
        <w:t xml:space="preserve">ppropriation </w:t>
      </w:r>
      <w:r w:rsidR="00B51040" w:rsidRPr="000C5235">
        <w:rPr>
          <w:rStyle w:val="BodyTextChar"/>
          <w:rFonts w:eastAsia="MS Gothic"/>
        </w:rPr>
        <w:t>e</w:t>
      </w:r>
      <w:r w:rsidRPr="000C5235">
        <w:rPr>
          <w:rStyle w:val="BodyTextChar"/>
          <w:rFonts w:eastAsia="MS Gothic"/>
        </w:rPr>
        <w:t>xpenses</w:t>
      </w:r>
      <w:bookmarkEnd w:id="492"/>
      <w:bookmarkEnd w:id="493"/>
    </w:p>
    <w:p w14:paraId="402BD2A5" w14:textId="77777777" w:rsidR="00DE5C35" w:rsidRPr="000C5235" w:rsidRDefault="00DE5C35">
      <w:r w:rsidRPr="000C5235">
        <w:t>There are three main leasing components that are required to be calculated and included as part of the table’s derivation</w:t>
      </w:r>
      <w:r w:rsidR="00641438" w:rsidRPr="000C5235">
        <w:t xml:space="preserve">. These </w:t>
      </w:r>
      <w:r w:rsidRPr="000C5235">
        <w:t xml:space="preserve">are the </w:t>
      </w:r>
      <w:r w:rsidRPr="000C5235">
        <w:rPr>
          <w:i/>
        </w:rPr>
        <w:t>Interest on R</w:t>
      </w:r>
      <w:r w:rsidR="00071DD0" w:rsidRPr="000C5235">
        <w:rPr>
          <w:i/>
        </w:rPr>
        <w:t>o</w:t>
      </w:r>
      <w:r w:rsidRPr="000C5235">
        <w:rPr>
          <w:i/>
        </w:rPr>
        <w:t>U,</w:t>
      </w:r>
      <w:r w:rsidRPr="000C5235">
        <w:t xml:space="preserve"> </w:t>
      </w:r>
      <w:r w:rsidRPr="000C5235">
        <w:rPr>
          <w:i/>
        </w:rPr>
        <w:t>Depreciation of R</w:t>
      </w:r>
      <w:r w:rsidR="00071DD0" w:rsidRPr="000C5235">
        <w:rPr>
          <w:i/>
        </w:rPr>
        <w:t>o</w:t>
      </w:r>
      <w:r w:rsidRPr="000C5235">
        <w:rPr>
          <w:i/>
        </w:rPr>
        <w:t>U</w:t>
      </w:r>
      <w:r w:rsidR="00071DD0" w:rsidRPr="000C5235">
        <w:rPr>
          <w:i/>
        </w:rPr>
        <w:t xml:space="preserve"> assets</w:t>
      </w:r>
      <w:r w:rsidRPr="000C5235">
        <w:t xml:space="preserve"> and the </w:t>
      </w:r>
      <w:r w:rsidRPr="000C5235">
        <w:rPr>
          <w:i/>
        </w:rPr>
        <w:t>Credit applied to rental supplier expenses</w:t>
      </w:r>
      <w:r w:rsidRPr="000C5235">
        <w:t>.</w:t>
      </w:r>
    </w:p>
    <w:p w14:paraId="6C3CEAAA" w14:textId="77777777" w:rsidR="00DE5C35" w:rsidRPr="000C5235" w:rsidRDefault="00DE5C35">
      <w:r w:rsidRPr="000C5235">
        <w:t>The following leasing components will be included in the Departmental appropriation expenses line:</w:t>
      </w:r>
    </w:p>
    <w:p w14:paraId="78037D15" w14:textId="77777777" w:rsidR="00DE5C35" w:rsidRPr="000C5235" w:rsidRDefault="00DE5C35">
      <w:r w:rsidRPr="000C5235">
        <w:rPr>
          <w:i/>
          <w:color w:val="0070C0"/>
        </w:rPr>
        <w:t>Interest on R</w:t>
      </w:r>
      <w:r w:rsidR="009F3C94" w:rsidRPr="000C5235">
        <w:rPr>
          <w:i/>
          <w:color w:val="0070C0"/>
        </w:rPr>
        <w:t>oU</w:t>
      </w:r>
      <w:r w:rsidRPr="000C5235">
        <w:rPr>
          <w:i/>
          <w:color w:val="0070C0"/>
        </w:rPr>
        <w:t xml:space="preserve"> </w:t>
      </w:r>
      <w:r w:rsidR="00B51040" w:rsidRPr="000C5235">
        <w:rPr>
          <w:i/>
          <w:color w:val="0070C0"/>
        </w:rPr>
        <w:t>a</w:t>
      </w:r>
      <w:r w:rsidRPr="000C5235">
        <w:rPr>
          <w:i/>
          <w:color w:val="0070C0"/>
        </w:rPr>
        <w:t>ssets -</w:t>
      </w:r>
      <w:r w:rsidRPr="000C5235">
        <w:t xml:space="preserve"> as the account is reported as part of the Comprehensive Income Statement this needs to be reported as part of the ‘Departmental appropriation expenses’.</w:t>
      </w:r>
    </w:p>
    <w:p w14:paraId="38E27C40" w14:textId="77777777" w:rsidR="00243657" w:rsidRPr="000C5235" w:rsidRDefault="00DE5C35">
      <w:r w:rsidRPr="000C5235">
        <w:rPr>
          <w:i/>
          <w:color w:val="0070C0"/>
        </w:rPr>
        <w:t xml:space="preserve">Depreciation/amortisation of </w:t>
      </w:r>
      <w:r w:rsidR="009F3C94" w:rsidRPr="000C5235">
        <w:rPr>
          <w:i/>
          <w:color w:val="0070C0"/>
        </w:rPr>
        <w:t>RoU</w:t>
      </w:r>
      <w:r w:rsidRPr="000C5235">
        <w:rPr>
          <w:i/>
          <w:color w:val="0070C0"/>
        </w:rPr>
        <w:t xml:space="preserve"> </w:t>
      </w:r>
      <w:r w:rsidR="00B51040" w:rsidRPr="000C5235">
        <w:rPr>
          <w:i/>
          <w:color w:val="0070C0"/>
        </w:rPr>
        <w:t>a</w:t>
      </w:r>
      <w:r w:rsidRPr="000C5235">
        <w:rPr>
          <w:i/>
          <w:color w:val="0070C0"/>
        </w:rPr>
        <w:t>sset</w:t>
      </w:r>
      <w:r w:rsidR="00FC0AF4" w:rsidRPr="000C5235">
        <w:rPr>
          <w:i/>
          <w:color w:val="0070C0"/>
        </w:rPr>
        <w:t xml:space="preserve"> </w:t>
      </w:r>
      <w:r w:rsidRPr="000C5235">
        <w:rPr>
          <w:color w:val="0070C0"/>
        </w:rPr>
        <w:t xml:space="preserve">- </w:t>
      </w:r>
      <w:r w:rsidRPr="000C5235">
        <w:t xml:space="preserve">for </w:t>
      </w:r>
      <w:r w:rsidRPr="000C5235">
        <w:rPr>
          <w:b/>
          <w:i/>
        </w:rPr>
        <w:t>Non-Corporate Commonwealth</w:t>
      </w:r>
      <w:r w:rsidRPr="000C5235">
        <w:rPr>
          <w:b/>
        </w:rPr>
        <w:t xml:space="preserve"> entities </w:t>
      </w:r>
      <w:r w:rsidRPr="000C5235">
        <w:t xml:space="preserve">who receive a DCB, will need to split their depreciation expenses between </w:t>
      </w:r>
      <w:r w:rsidR="009F3C94" w:rsidRPr="000C5235">
        <w:t>RoU</w:t>
      </w:r>
      <w:r w:rsidRPr="000C5235">
        <w:t xml:space="preserve"> </w:t>
      </w:r>
      <w:r w:rsidR="00071DD0" w:rsidRPr="000C5235">
        <w:t xml:space="preserve">assets </w:t>
      </w:r>
      <w:r w:rsidRPr="000C5235">
        <w:t>and Non</w:t>
      </w:r>
      <w:r w:rsidR="00071DD0" w:rsidRPr="000C5235">
        <w:noBreakHyphen/>
      </w:r>
      <w:r w:rsidR="009F3C94" w:rsidRPr="000C5235">
        <w:t>RoU</w:t>
      </w:r>
      <w:r w:rsidR="00071DD0" w:rsidRPr="000C5235">
        <w:t xml:space="preserve"> assets</w:t>
      </w:r>
      <w:r w:rsidRPr="000C5235">
        <w:t>. The latter Non-</w:t>
      </w:r>
      <w:r w:rsidR="009F3C94" w:rsidRPr="000C5235">
        <w:t>RoU</w:t>
      </w:r>
      <w:r w:rsidRPr="000C5235">
        <w:t xml:space="preserve"> depreciation will still be reported as </w:t>
      </w:r>
      <w:r w:rsidRPr="000C5235">
        <w:rPr>
          <w:i/>
        </w:rPr>
        <w:t>Expenses not requiring appropriation</w:t>
      </w:r>
      <w:r w:rsidRPr="000C5235">
        <w:t xml:space="preserve"> and the </w:t>
      </w:r>
      <w:r w:rsidR="009F3C94" w:rsidRPr="000C5235">
        <w:t>RoU</w:t>
      </w:r>
      <w:r w:rsidRPr="000C5235">
        <w:t xml:space="preserve"> depreciation included as part of the entity’s </w:t>
      </w:r>
      <w:r w:rsidRPr="000C5235">
        <w:rPr>
          <w:i/>
        </w:rPr>
        <w:t>Departmental appropriation expenses</w:t>
      </w:r>
      <w:r w:rsidRPr="000C5235">
        <w:t>.</w:t>
      </w:r>
    </w:p>
    <w:p w14:paraId="63C57332" w14:textId="77777777" w:rsidR="00DE5C35" w:rsidRPr="000C5235" w:rsidRDefault="00DE5C35">
      <w:r w:rsidRPr="000C5235">
        <w:t xml:space="preserve">For </w:t>
      </w:r>
      <w:r w:rsidRPr="000C5235">
        <w:rPr>
          <w:b/>
          <w:i/>
        </w:rPr>
        <w:t>Corporate Commonwealth Entities</w:t>
      </w:r>
      <w:r w:rsidRPr="000C5235">
        <w:t xml:space="preserve"> who are funded for depreciation</w:t>
      </w:r>
      <w:r w:rsidR="006037D8" w:rsidRPr="000C5235">
        <w:t>,</w:t>
      </w:r>
      <w:r w:rsidRPr="000C5235">
        <w:t xml:space="preserve"> there will be no change in how they will continue to report the Depreciation/Amortisation of </w:t>
      </w:r>
      <w:r w:rsidR="009F3C94" w:rsidRPr="000C5235">
        <w:t>RoU</w:t>
      </w:r>
      <w:r w:rsidR="00071DD0" w:rsidRPr="000C5235">
        <w:t xml:space="preserve"> assets</w:t>
      </w:r>
      <w:r w:rsidRPr="000C5235">
        <w:t xml:space="preserve"> in their program table as they should already report this as part of their </w:t>
      </w:r>
      <w:r w:rsidRPr="000C5235">
        <w:rPr>
          <w:i/>
        </w:rPr>
        <w:t>Departmental appropriation expenses</w:t>
      </w:r>
      <w:r w:rsidRPr="000C5235">
        <w:t>.</w:t>
      </w:r>
    </w:p>
    <w:p w14:paraId="28E13E1A" w14:textId="77777777" w:rsidR="00DE5C35" w:rsidRPr="000C5235" w:rsidRDefault="00DE5C35">
      <w:r w:rsidRPr="000C5235">
        <w:rPr>
          <w:i/>
          <w:color w:val="0070C0"/>
        </w:rPr>
        <w:t xml:space="preserve">Credit applied to rental / supplier expenses - </w:t>
      </w:r>
      <w:r w:rsidR="0077177D" w:rsidRPr="000C5235">
        <w:t>a</w:t>
      </w:r>
      <w:r w:rsidR="00F55069" w:rsidRPr="000C5235">
        <w:t>pplicable</w:t>
      </w:r>
      <w:r w:rsidR="0077177D" w:rsidRPr="000C5235">
        <w:t xml:space="preserve"> only to</w:t>
      </w:r>
      <w:r w:rsidR="0077177D" w:rsidRPr="000C5235">
        <w:rPr>
          <w:i/>
        </w:rPr>
        <w:t xml:space="preserve"> </w:t>
      </w:r>
      <w:r w:rsidR="00F55069" w:rsidRPr="000C5235">
        <w:t xml:space="preserve">entities upon </w:t>
      </w:r>
      <w:r w:rsidRPr="000C5235">
        <w:t xml:space="preserve">transitioning to the new standard AASB 16 </w:t>
      </w:r>
      <w:r w:rsidRPr="000C5235">
        <w:rPr>
          <w:i/>
        </w:rPr>
        <w:t>Leases,</w:t>
      </w:r>
      <w:r w:rsidRPr="000C5235">
        <w:t xml:space="preserve"> entities were required to reduce their rental / supplier expenses in order to debit their </w:t>
      </w:r>
      <w:r w:rsidRPr="000C5235">
        <w:rPr>
          <w:i/>
        </w:rPr>
        <w:t xml:space="preserve">Interest on </w:t>
      </w:r>
      <w:r w:rsidR="009F3C94" w:rsidRPr="000C5235">
        <w:rPr>
          <w:i/>
        </w:rPr>
        <w:t>RoU</w:t>
      </w:r>
      <w:r w:rsidR="00071DD0" w:rsidRPr="000C5235">
        <w:rPr>
          <w:i/>
        </w:rPr>
        <w:t xml:space="preserve"> </w:t>
      </w:r>
      <w:r w:rsidRPr="000C5235">
        <w:t xml:space="preserve">and </w:t>
      </w:r>
      <w:r w:rsidRPr="000C5235">
        <w:rPr>
          <w:i/>
        </w:rPr>
        <w:t xml:space="preserve">Principal repayment </w:t>
      </w:r>
      <w:r w:rsidRPr="000C5235">
        <w:t xml:space="preserve">component of their </w:t>
      </w:r>
      <w:r w:rsidR="00F55069" w:rsidRPr="000C5235">
        <w:t xml:space="preserve">previous </w:t>
      </w:r>
      <w:r w:rsidRPr="000C5235">
        <w:t xml:space="preserve">lease expenses. As appropriations have not changed and </w:t>
      </w:r>
      <w:r w:rsidRPr="000C5235">
        <w:rPr>
          <w:i/>
        </w:rPr>
        <w:t xml:space="preserve">Depreciation on </w:t>
      </w:r>
      <w:r w:rsidR="009F3C94" w:rsidRPr="000C5235">
        <w:rPr>
          <w:i/>
        </w:rPr>
        <w:t>RoU</w:t>
      </w:r>
      <w:r w:rsidRPr="000C5235">
        <w:rPr>
          <w:i/>
        </w:rPr>
        <w:t xml:space="preserve"> assets</w:t>
      </w:r>
      <w:r w:rsidRPr="000C5235">
        <w:t xml:space="preserve"> is a new program expense item, the components of the program expense table will need to be adjusted to reduce the impact that lease</w:t>
      </w:r>
      <w:r w:rsidR="00E424CA" w:rsidRPr="000C5235">
        <w:t>s</w:t>
      </w:r>
      <w:r w:rsidRPr="000C5235">
        <w:t xml:space="preserve"> has on the </w:t>
      </w:r>
      <w:r w:rsidRPr="000C5235">
        <w:rPr>
          <w:i/>
        </w:rPr>
        <w:t>Departmental appropriation expenses</w:t>
      </w:r>
      <w:r w:rsidRPr="000C5235">
        <w:t xml:space="preserve"> line item.</w:t>
      </w:r>
    </w:p>
    <w:p w14:paraId="6418255D" w14:textId="77777777" w:rsidR="00C1760E" w:rsidRPr="000C5235" w:rsidRDefault="00716285" w:rsidP="000A7DEC">
      <w:pPr>
        <w:pStyle w:val="Boxed2Text"/>
      </w:pPr>
      <w:r w:rsidRPr="000C5235">
        <w:t xml:space="preserve">Since the introduction of AASB 16 </w:t>
      </w:r>
      <w:r w:rsidRPr="000C5235">
        <w:rPr>
          <w:i/>
        </w:rPr>
        <w:t>Leases</w:t>
      </w:r>
      <w:r w:rsidR="00E7710D" w:rsidRPr="000C5235">
        <w:t xml:space="preserve">, the appropriation expenses reported by the </w:t>
      </w:r>
      <w:r w:rsidRPr="000C5235">
        <w:rPr>
          <w:i/>
        </w:rPr>
        <w:t xml:space="preserve">Table 2.x.1 Budgeted expenses for outcomes </w:t>
      </w:r>
      <w:r w:rsidR="0077177D" w:rsidRPr="000C5235">
        <w:t>should</w:t>
      </w:r>
      <w:r w:rsidR="00F53B86" w:rsidRPr="000C5235">
        <w:t xml:space="preserve"> </w:t>
      </w:r>
      <w:r w:rsidR="004712A9" w:rsidRPr="000C5235">
        <w:t xml:space="preserve">generally </w:t>
      </w:r>
      <w:r w:rsidR="00E7710D" w:rsidRPr="000C5235">
        <w:t xml:space="preserve">match </w:t>
      </w:r>
      <w:r w:rsidR="0077177D" w:rsidRPr="000C5235">
        <w:t xml:space="preserve">total expenses as reported in </w:t>
      </w:r>
      <w:r w:rsidR="00802A0B" w:rsidRPr="000C5235">
        <w:t xml:space="preserve">the comprehensive income statement </w:t>
      </w:r>
      <w:r w:rsidR="0077177D" w:rsidRPr="000C5235">
        <w:t>(</w:t>
      </w:r>
      <w:r w:rsidR="00D44DBC" w:rsidRPr="000C5235">
        <w:t xml:space="preserve">when </w:t>
      </w:r>
      <w:r w:rsidR="0077177D" w:rsidRPr="000C5235">
        <w:t xml:space="preserve">all outcomes are aggregated). </w:t>
      </w:r>
      <w:r w:rsidR="00C1760E" w:rsidRPr="000C5235">
        <w:br/>
      </w:r>
      <w:r w:rsidR="00C1760E" w:rsidRPr="000C5235">
        <w:br/>
        <w:t>Under the new standard</w:t>
      </w:r>
      <w:r w:rsidR="0077177D" w:rsidRPr="000C5235">
        <w:t>,</w:t>
      </w:r>
      <w:r w:rsidR="00C1760E" w:rsidRPr="000C5235">
        <w:t xml:space="preserve"> the principle repayments are </w:t>
      </w:r>
      <w:r w:rsidR="0077177D" w:rsidRPr="000C5235">
        <w:t xml:space="preserve">reported through </w:t>
      </w:r>
      <w:r w:rsidR="00C1760E" w:rsidRPr="000C5235">
        <w:t xml:space="preserve">the balance sheet </w:t>
      </w:r>
      <w:r w:rsidR="0077177D" w:rsidRPr="000C5235">
        <w:t xml:space="preserve">and cash-flow statement </w:t>
      </w:r>
      <w:r w:rsidR="00F53B86" w:rsidRPr="000C5235">
        <w:t>with</w:t>
      </w:r>
      <w:r w:rsidR="00C1760E" w:rsidRPr="000C5235">
        <w:t xml:space="preserve"> the </w:t>
      </w:r>
      <w:r w:rsidR="00F53B86" w:rsidRPr="000C5235">
        <w:t xml:space="preserve">deficits and </w:t>
      </w:r>
      <w:r w:rsidR="004712A9" w:rsidRPr="000C5235">
        <w:t>surplus</w:t>
      </w:r>
      <w:r w:rsidR="00F53B86" w:rsidRPr="000C5235">
        <w:t>es</w:t>
      </w:r>
      <w:r w:rsidR="004712A9" w:rsidRPr="000C5235">
        <w:t xml:space="preserve"> reported in </w:t>
      </w:r>
      <w:r w:rsidR="00F53B86" w:rsidRPr="000C5235">
        <w:t xml:space="preserve">an </w:t>
      </w:r>
      <w:r w:rsidR="004712A9" w:rsidRPr="000C5235">
        <w:t xml:space="preserve">entity's income statement </w:t>
      </w:r>
      <w:r w:rsidR="00F53B86" w:rsidRPr="000C5235">
        <w:t xml:space="preserve">correlating </w:t>
      </w:r>
      <w:r w:rsidR="00802A0B" w:rsidRPr="000C5235">
        <w:t>with</w:t>
      </w:r>
      <w:r w:rsidR="00F53B86" w:rsidRPr="000C5235">
        <w:t xml:space="preserve"> the </w:t>
      </w:r>
      <w:r w:rsidR="00C1760E" w:rsidRPr="000C5235">
        <w:t xml:space="preserve">non-funded </w:t>
      </w:r>
      <w:r w:rsidR="009F3C94" w:rsidRPr="000C5235">
        <w:t>RoU</w:t>
      </w:r>
      <w:r w:rsidR="00071DD0" w:rsidRPr="000C5235">
        <w:t xml:space="preserve"> assets</w:t>
      </w:r>
      <w:r w:rsidR="00C1760E" w:rsidRPr="000C5235">
        <w:t xml:space="preserve"> depreciation expenses.</w:t>
      </w:r>
      <w:r w:rsidR="00C1760E" w:rsidRPr="000C5235">
        <w:br/>
      </w:r>
      <w:r w:rsidR="00C1760E" w:rsidRPr="000C5235">
        <w:br/>
      </w:r>
      <w:r w:rsidR="00D44DBC" w:rsidRPr="000C5235">
        <w:t xml:space="preserve">This means the most consistent way to report Depreciation on </w:t>
      </w:r>
      <w:r w:rsidR="009F3C94" w:rsidRPr="000C5235">
        <w:t>RoU</w:t>
      </w:r>
      <w:r w:rsidR="00D44DBC" w:rsidRPr="000C5235">
        <w:t xml:space="preserve"> assets </w:t>
      </w:r>
      <w:r w:rsidR="00C1760E" w:rsidRPr="000C5235">
        <w:t xml:space="preserve">across government </w:t>
      </w:r>
      <w:r w:rsidR="00802A0B" w:rsidRPr="000C5235">
        <w:t xml:space="preserve">will be to </w:t>
      </w:r>
      <w:r w:rsidR="00D44DBC" w:rsidRPr="000C5235">
        <w:t xml:space="preserve">factor </w:t>
      </w:r>
      <w:r w:rsidR="0077177D" w:rsidRPr="000C5235">
        <w:t>th</w:t>
      </w:r>
      <w:r w:rsidR="009F3C94" w:rsidRPr="000C5235">
        <w:t>e</w:t>
      </w:r>
      <w:r w:rsidR="0077177D" w:rsidRPr="000C5235">
        <w:t xml:space="preserve"> line-item </w:t>
      </w:r>
      <w:r w:rsidR="00D44DBC" w:rsidRPr="000C5235">
        <w:t xml:space="preserve">as part of </w:t>
      </w:r>
      <w:r w:rsidR="00C1760E" w:rsidRPr="000C5235">
        <w:rPr>
          <w:i/>
        </w:rPr>
        <w:t>appropriation expenses</w:t>
      </w:r>
      <w:r w:rsidR="00C1760E" w:rsidRPr="000C5235">
        <w:t xml:space="preserve"> </w:t>
      </w:r>
      <w:r w:rsidR="00802A0B" w:rsidRPr="000C5235">
        <w:t xml:space="preserve">rather than </w:t>
      </w:r>
      <w:r w:rsidR="00802A0B" w:rsidRPr="000C5235">
        <w:rPr>
          <w:i/>
        </w:rPr>
        <w:t>expenses not requiring an appropriation</w:t>
      </w:r>
      <w:r w:rsidR="00802A0B" w:rsidRPr="000C5235">
        <w:t xml:space="preserve"> </w:t>
      </w:r>
      <w:r w:rsidR="00C52819" w:rsidRPr="000C5235">
        <w:t xml:space="preserve">as </w:t>
      </w:r>
      <w:r w:rsidR="009F3C94" w:rsidRPr="000C5235">
        <w:t xml:space="preserve">reported </w:t>
      </w:r>
      <w:r w:rsidR="00802A0B" w:rsidRPr="000C5235">
        <w:t xml:space="preserve">in </w:t>
      </w:r>
      <w:r w:rsidR="00D44DBC" w:rsidRPr="000C5235">
        <w:rPr>
          <w:i/>
        </w:rPr>
        <w:t>Table 2.x.1 Budgeted expenses for outcomes</w:t>
      </w:r>
      <w:r w:rsidR="00C1760E" w:rsidRPr="000C5235">
        <w:t>, as entities are still appropriated for the rental expenses/payments through appropriation Bill 1 ordinary annual services.</w:t>
      </w:r>
    </w:p>
    <w:p w14:paraId="0D5E4A4A" w14:textId="77777777" w:rsidR="00802A0B" w:rsidRPr="000C5235" w:rsidRDefault="00802A0B" w:rsidP="000A7DEC">
      <w:pPr>
        <w:pStyle w:val="Boxed2Text"/>
      </w:pPr>
      <w:r w:rsidRPr="000C5235">
        <w:t>Entities may notice assuming no other variables that the entity's Comprehensive income statement results for deficits reported in the first half of the lease's life balance with the surpluses reported in the later half.</w:t>
      </w:r>
    </w:p>
    <w:p w14:paraId="7554A2C4" w14:textId="77777777" w:rsidR="00DE5C35" w:rsidRPr="000C5235" w:rsidRDefault="00DE5C35">
      <w:r w:rsidRPr="000C5235">
        <w:t>An illustrative example has been provided below to demonstrate how to calculate depreciation appropriation expenses in the Budgeted expenses by outcome table.</w:t>
      </w:r>
    </w:p>
    <w:p w14:paraId="4AF527A6" w14:textId="77777777" w:rsidR="00261938" w:rsidRPr="000C5235" w:rsidRDefault="00DE5C35" w:rsidP="00C75597">
      <w:pPr>
        <w:pStyle w:val="NormalTextRed"/>
      </w:pPr>
      <w:r w:rsidRPr="000C5235">
        <w:rPr>
          <w:u w:val="single"/>
        </w:rPr>
        <w:t>Note:</w:t>
      </w:r>
      <w:r w:rsidRPr="000C5235">
        <w:t xml:space="preserve"> The text highlighted in </w:t>
      </w:r>
      <w:r w:rsidR="00016E16" w:rsidRPr="000C5235">
        <w:rPr>
          <w:i/>
        </w:rPr>
        <w:t>p</w:t>
      </w:r>
      <w:r w:rsidR="00975593" w:rsidRPr="000C5235">
        <w:rPr>
          <w:i/>
        </w:rPr>
        <w:t xml:space="preserve">ale </w:t>
      </w:r>
      <w:r w:rsidRPr="000C5235">
        <w:rPr>
          <w:i/>
        </w:rPr>
        <w:t>Yellow</w:t>
      </w:r>
      <w:r w:rsidRPr="000C5235">
        <w:t xml:space="preserve"> and in </w:t>
      </w:r>
      <w:r w:rsidR="00016E16" w:rsidRPr="000C5235">
        <w:rPr>
          <w:i/>
        </w:rPr>
        <w:t>p</w:t>
      </w:r>
      <w:r w:rsidRPr="000C5235">
        <w:rPr>
          <w:i/>
        </w:rPr>
        <w:t>ale Blue</w:t>
      </w:r>
      <w:r w:rsidRPr="000C5235">
        <w:t xml:space="preserve"> below are intended to show how the Departmental appropriation expenses line item is derived, they are not intended to be published as distinct separate line-items</w:t>
      </w:r>
      <w:r w:rsidR="004D7EA2" w:rsidRPr="000C5235">
        <w:t xml:space="preserve"> in the program table.</w:t>
      </w:r>
    </w:p>
    <w:tbl>
      <w:tblPr>
        <w:tblW w:w="8916" w:type="dxa"/>
        <w:tblLayout w:type="fixed"/>
        <w:tblLook w:val="04A0" w:firstRow="1" w:lastRow="0" w:firstColumn="1" w:lastColumn="0" w:noHBand="0" w:noVBand="1"/>
      </w:tblPr>
      <w:tblGrid>
        <w:gridCol w:w="3364"/>
        <w:gridCol w:w="1157"/>
        <w:gridCol w:w="993"/>
        <w:gridCol w:w="1134"/>
        <w:gridCol w:w="1134"/>
        <w:gridCol w:w="1134"/>
      </w:tblGrid>
      <w:tr w:rsidR="00261938" w:rsidRPr="000C5235" w14:paraId="012E1F30" w14:textId="77777777" w:rsidTr="000A7DEC">
        <w:trPr>
          <w:trHeight w:val="357"/>
        </w:trPr>
        <w:tc>
          <w:tcPr>
            <w:tcW w:w="8916" w:type="dxa"/>
            <w:gridSpan w:val="6"/>
            <w:tcBorders>
              <w:top w:val="single" w:sz="12" w:space="0" w:color="auto"/>
              <w:left w:val="single" w:sz="12" w:space="0" w:color="auto"/>
              <w:bottom w:val="nil"/>
              <w:right w:val="single" w:sz="12" w:space="0" w:color="auto"/>
            </w:tcBorders>
            <w:shd w:val="clear" w:color="000000" w:fill="FFFFFF"/>
            <w:noWrap/>
            <w:vAlign w:val="center"/>
            <w:hideMark/>
          </w:tcPr>
          <w:p w14:paraId="39FEDB41" w14:textId="77777777" w:rsidR="00261938" w:rsidRPr="000C5235" w:rsidRDefault="00261938" w:rsidP="000A7DEC">
            <w:pPr>
              <w:pStyle w:val="LeasingProgTableText"/>
              <w:spacing w:after="120" w:line="220" w:lineRule="atLeast"/>
              <w:rPr>
                <w:b/>
                <w:sz w:val="28"/>
              </w:rPr>
            </w:pPr>
            <w:r w:rsidRPr="000C5235">
              <w:rPr>
                <w:b/>
                <w:sz w:val="28"/>
              </w:rPr>
              <w:t>Program Table 2.x Budgeted expenses by outcome</w:t>
            </w:r>
          </w:p>
        </w:tc>
      </w:tr>
      <w:tr w:rsidR="001C70F1" w:rsidRPr="000C5235" w14:paraId="6BDC9C1B" w14:textId="77777777" w:rsidTr="000A7DEC">
        <w:trPr>
          <w:trHeight w:val="315"/>
        </w:trPr>
        <w:tc>
          <w:tcPr>
            <w:tcW w:w="3364" w:type="dxa"/>
            <w:tcBorders>
              <w:top w:val="nil"/>
              <w:left w:val="single" w:sz="12" w:space="0" w:color="auto"/>
              <w:bottom w:val="nil"/>
              <w:right w:val="nil"/>
            </w:tcBorders>
            <w:shd w:val="clear" w:color="000000" w:fill="FFFFFF"/>
            <w:noWrap/>
            <w:hideMark/>
          </w:tcPr>
          <w:p w14:paraId="616F2E5B" w14:textId="77777777" w:rsidR="00261938" w:rsidRPr="000C5235" w:rsidRDefault="00261938" w:rsidP="000A7DEC">
            <w:pPr>
              <w:pStyle w:val="LeasingProgTableText"/>
              <w:spacing w:line="220" w:lineRule="atLeast"/>
            </w:pPr>
          </w:p>
        </w:tc>
        <w:tc>
          <w:tcPr>
            <w:tcW w:w="1157" w:type="dxa"/>
            <w:tcBorders>
              <w:top w:val="nil"/>
              <w:left w:val="nil"/>
              <w:bottom w:val="single" w:sz="8" w:space="0" w:color="auto"/>
              <w:right w:val="nil"/>
            </w:tcBorders>
            <w:shd w:val="clear" w:color="000000" w:fill="FFFFFF"/>
            <w:vAlign w:val="center"/>
            <w:hideMark/>
          </w:tcPr>
          <w:p w14:paraId="01524290" w14:textId="77777777" w:rsidR="00261938" w:rsidRPr="000C5235" w:rsidRDefault="00261938" w:rsidP="000A7DEC">
            <w:pPr>
              <w:pStyle w:val="LeasingProgTableText"/>
              <w:spacing w:line="220" w:lineRule="atLeast"/>
            </w:pPr>
          </w:p>
        </w:tc>
        <w:tc>
          <w:tcPr>
            <w:tcW w:w="993" w:type="dxa"/>
            <w:tcBorders>
              <w:top w:val="nil"/>
              <w:left w:val="nil"/>
              <w:bottom w:val="single" w:sz="8" w:space="0" w:color="auto"/>
              <w:right w:val="nil"/>
            </w:tcBorders>
            <w:shd w:val="clear" w:color="000000" w:fill="FFFFFF"/>
            <w:noWrap/>
            <w:vAlign w:val="center"/>
            <w:hideMark/>
          </w:tcPr>
          <w:p w14:paraId="4BD043A9" w14:textId="77777777" w:rsidR="00261938" w:rsidRPr="000C5235" w:rsidRDefault="00261938" w:rsidP="000A7DEC">
            <w:pPr>
              <w:pStyle w:val="LeasingProgTableText"/>
              <w:spacing w:line="220" w:lineRule="atLeast"/>
            </w:pPr>
          </w:p>
        </w:tc>
        <w:tc>
          <w:tcPr>
            <w:tcW w:w="1134" w:type="dxa"/>
            <w:tcBorders>
              <w:top w:val="nil"/>
              <w:left w:val="nil"/>
              <w:bottom w:val="single" w:sz="8" w:space="0" w:color="auto"/>
              <w:right w:val="nil"/>
            </w:tcBorders>
            <w:shd w:val="clear" w:color="000000" w:fill="FFFFFF"/>
            <w:noWrap/>
            <w:vAlign w:val="center"/>
            <w:hideMark/>
          </w:tcPr>
          <w:p w14:paraId="0FC090D3" w14:textId="77777777" w:rsidR="00261938" w:rsidRPr="000C5235" w:rsidRDefault="00261938" w:rsidP="000A7DEC">
            <w:pPr>
              <w:pStyle w:val="LeasingProgTableText"/>
              <w:spacing w:line="220" w:lineRule="atLeast"/>
            </w:pPr>
          </w:p>
        </w:tc>
        <w:tc>
          <w:tcPr>
            <w:tcW w:w="1134" w:type="dxa"/>
            <w:tcBorders>
              <w:top w:val="nil"/>
              <w:left w:val="nil"/>
              <w:bottom w:val="single" w:sz="8" w:space="0" w:color="auto"/>
              <w:right w:val="nil"/>
            </w:tcBorders>
            <w:shd w:val="clear" w:color="000000" w:fill="FFFFFF"/>
            <w:noWrap/>
            <w:vAlign w:val="center"/>
            <w:hideMark/>
          </w:tcPr>
          <w:p w14:paraId="6980B934" w14:textId="77777777" w:rsidR="00261938" w:rsidRPr="000C5235" w:rsidRDefault="00261938" w:rsidP="000A7DEC">
            <w:pPr>
              <w:pStyle w:val="LeasingProgTableText"/>
              <w:spacing w:line="220" w:lineRule="atLeast"/>
            </w:pPr>
          </w:p>
        </w:tc>
        <w:tc>
          <w:tcPr>
            <w:tcW w:w="1134" w:type="dxa"/>
            <w:tcBorders>
              <w:top w:val="nil"/>
              <w:left w:val="nil"/>
              <w:bottom w:val="single" w:sz="8" w:space="0" w:color="auto"/>
              <w:right w:val="single" w:sz="12" w:space="0" w:color="auto"/>
            </w:tcBorders>
            <w:shd w:val="clear" w:color="000000" w:fill="FFFFFF"/>
            <w:noWrap/>
            <w:vAlign w:val="center"/>
            <w:hideMark/>
          </w:tcPr>
          <w:p w14:paraId="0A4DF5D5" w14:textId="77777777" w:rsidR="00261938" w:rsidRPr="000C5235" w:rsidRDefault="00261938" w:rsidP="000A7DEC">
            <w:pPr>
              <w:pStyle w:val="LeasingProgTableText"/>
              <w:spacing w:line="220" w:lineRule="atLeast"/>
            </w:pPr>
          </w:p>
        </w:tc>
      </w:tr>
      <w:tr w:rsidR="001C70F1" w:rsidRPr="000C5235" w14:paraId="1FCE1938" w14:textId="77777777" w:rsidTr="000A7DEC">
        <w:trPr>
          <w:trHeight w:val="312"/>
        </w:trPr>
        <w:tc>
          <w:tcPr>
            <w:tcW w:w="3364" w:type="dxa"/>
            <w:tcBorders>
              <w:top w:val="nil"/>
              <w:left w:val="single" w:sz="12" w:space="0" w:color="auto"/>
              <w:bottom w:val="nil"/>
              <w:right w:val="single" w:sz="8" w:space="0" w:color="auto"/>
            </w:tcBorders>
            <w:shd w:val="clear" w:color="000000" w:fill="FFFFFF"/>
            <w:noWrap/>
            <w:hideMark/>
          </w:tcPr>
          <w:p w14:paraId="095DACB3" w14:textId="77777777" w:rsidR="00261938" w:rsidRPr="000C5235" w:rsidRDefault="00261938"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000000" w:fill="FFFFFF"/>
            <w:vAlign w:val="center"/>
            <w:hideMark/>
          </w:tcPr>
          <w:p w14:paraId="69B7104A" w14:textId="77777777" w:rsidR="00261938" w:rsidRPr="000C5235" w:rsidRDefault="00261938" w:rsidP="000A7DEC">
            <w:pPr>
              <w:pStyle w:val="LeasingProgTableText"/>
              <w:spacing w:line="220" w:lineRule="atLeast"/>
              <w:jc w:val="right"/>
              <w:rPr>
                <w:szCs w:val="20"/>
              </w:rPr>
            </w:pPr>
            <w:r w:rsidRPr="000C5235">
              <w:rPr>
                <w:szCs w:val="20"/>
              </w:rPr>
              <w:t>20</w:t>
            </w:r>
            <w:r w:rsidR="00FC0AF4" w:rsidRPr="000C5235">
              <w:rPr>
                <w:szCs w:val="20"/>
              </w:rPr>
              <w:t>19</w:t>
            </w:r>
            <w:r w:rsidRPr="000C5235">
              <w:rPr>
                <w:szCs w:val="20"/>
              </w:rPr>
              <w:t>-</w:t>
            </w:r>
            <w:r w:rsidR="00FC0AF4" w:rsidRPr="000C5235">
              <w:rPr>
                <w:szCs w:val="20"/>
              </w:rPr>
              <w:t>20</w:t>
            </w:r>
          </w:p>
        </w:tc>
        <w:tc>
          <w:tcPr>
            <w:tcW w:w="993" w:type="dxa"/>
            <w:tcBorders>
              <w:top w:val="nil"/>
              <w:left w:val="nil"/>
              <w:bottom w:val="nil"/>
              <w:right w:val="single" w:sz="8" w:space="0" w:color="auto"/>
            </w:tcBorders>
            <w:shd w:val="clear" w:color="000000" w:fill="FFFFFF"/>
            <w:vAlign w:val="center"/>
            <w:hideMark/>
          </w:tcPr>
          <w:p w14:paraId="2EF8C8BE" w14:textId="77777777" w:rsidR="00261938" w:rsidRPr="000C5235" w:rsidRDefault="00261938" w:rsidP="000A7DEC">
            <w:pPr>
              <w:pStyle w:val="LeasingProgTableText"/>
              <w:spacing w:line="220" w:lineRule="atLeast"/>
              <w:jc w:val="right"/>
              <w:rPr>
                <w:szCs w:val="20"/>
              </w:rPr>
            </w:pPr>
            <w:r w:rsidRPr="000C5235">
              <w:rPr>
                <w:szCs w:val="20"/>
              </w:rPr>
              <w:t>20</w:t>
            </w:r>
            <w:r w:rsidR="00FC0AF4" w:rsidRPr="000C5235">
              <w:rPr>
                <w:szCs w:val="20"/>
              </w:rPr>
              <w:t>20</w:t>
            </w:r>
            <w:r w:rsidRPr="000C5235">
              <w:rPr>
                <w:szCs w:val="20"/>
              </w:rPr>
              <w:t>-2</w:t>
            </w:r>
            <w:r w:rsidR="00FC0AF4" w:rsidRPr="000C5235">
              <w:rPr>
                <w:szCs w:val="20"/>
              </w:rPr>
              <w:t>1</w:t>
            </w:r>
          </w:p>
        </w:tc>
        <w:tc>
          <w:tcPr>
            <w:tcW w:w="1134" w:type="dxa"/>
            <w:tcBorders>
              <w:top w:val="nil"/>
              <w:left w:val="nil"/>
              <w:bottom w:val="nil"/>
              <w:right w:val="single" w:sz="8" w:space="0" w:color="auto"/>
            </w:tcBorders>
            <w:shd w:val="clear" w:color="000000" w:fill="FFFFFF"/>
            <w:vAlign w:val="center"/>
            <w:hideMark/>
          </w:tcPr>
          <w:p w14:paraId="1939DD0B" w14:textId="77777777" w:rsidR="00261938" w:rsidRPr="000C5235" w:rsidRDefault="00261938" w:rsidP="000A7DEC">
            <w:pPr>
              <w:pStyle w:val="LeasingProgTableText"/>
              <w:spacing w:line="220" w:lineRule="atLeast"/>
              <w:jc w:val="right"/>
              <w:rPr>
                <w:szCs w:val="20"/>
              </w:rPr>
            </w:pPr>
            <w:r w:rsidRPr="000C5235">
              <w:rPr>
                <w:szCs w:val="20"/>
              </w:rPr>
              <w:t>202</w:t>
            </w:r>
            <w:r w:rsidR="00FC0AF4" w:rsidRPr="000C5235">
              <w:rPr>
                <w:szCs w:val="20"/>
              </w:rPr>
              <w:t>1</w:t>
            </w:r>
            <w:r w:rsidRPr="000C5235">
              <w:rPr>
                <w:szCs w:val="20"/>
              </w:rPr>
              <w:t>-2</w:t>
            </w:r>
            <w:r w:rsidR="00FC0AF4" w:rsidRPr="000C5235">
              <w:rPr>
                <w:szCs w:val="20"/>
              </w:rPr>
              <w:t>2</w:t>
            </w:r>
          </w:p>
        </w:tc>
        <w:tc>
          <w:tcPr>
            <w:tcW w:w="1134" w:type="dxa"/>
            <w:tcBorders>
              <w:top w:val="nil"/>
              <w:left w:val="nil"/>
              <w:bottom w:val="nil"/>
              <w:right w:val="single" w:sz="8" w:space="0" w:color="auto"/>
            </w:tcBorders>
            <w:shd w:val="clear" w:color="000000" w:fill="FFFFFF"/>
            <w:vAlign w:val="center"/>
            <w:hideMark/>
          </w:tcPr>
          <w:p w14:paraId="5BE1B56D" w14:textId="77777777" w:rsidR="00261938" w:rsidRPr="000C5235" w:rsidRDefault="00261938" w:rsidP="000A7DEC">
            <w:pPr>
              <w:pStyle w:val="LeasingProgTableText"/>
              <w:spacing w:line="220" w:lineRule="atLeast"/>
              <w:jc w:val="right"/>
              <w:rPr>
                <w:szCs w:val="20"/>
              </w:rPr>
            </w:pPr>
            <w:r w:rsidRPr="000C5235">
              <w:rPr>
                <w:szCs w:val="20"/>
              </w:rPr>
              <w:t>202</w:t>
            </w:r>
            <w:r w:rsidR="00FC0AF4" w:rsidRPr="000C5235">
              <w:rPr>
                <w:szCs w:val="20"/>
              </w:rPr>
              <w:t>2</w:t>
            </w:r>
            <w:r w:rsidRPr="000C5235">
              <w:rPr>
                <w:szCs w:val="20"/>
              </w:rPr>
              <w:t>-2</w:t>
            </w:r>
            <w:r w:rsidR="00FC0AF4" w:rsidRPr="000C5235">
              <w:rPr>
                <w:szCs w:val="20"/>
              </w:rPr>
              <w:t>3</w:t>
            </w:r>
          </w:p>
        </w:tc>
        <w:tc>
          <w:tcPr>
            <w:tcW w:w="1134" w:type="dxa"/>
            <w:tcBorders>
              <w:top w:val="nil"/>
              <w:left w:val="nil"/>
              <w:bottom w:val="nil"/>
              <w:right w:val="single" w:sz="12" w:space="0" w:color="auto"/>
            </w:tcBorders>
            <w:shd w:val="clear" w:color="000000" w:fill="FFFFFF"/>
            <w:vAlign w:val="center"/>
            <w:hideMark/>
          </w:tcPr>
          <w:p w14:paraId="7CFA0CE8" w14:textId="77777777" w:rsidR="00261938" w:rsidRPr="000C5235" w:rsidRDefault="00261938" w:rsidP="000A7DEC">
            <w:pPr>
              <w:pStyle w:val="LeasingProgTableText"/>
              <w:spacing w:line="220" w:lineRule="atLeast"/>
              <w:jc w:val="right"/>
              <w:rPr>
                <w:szCs w:val="20"/>
              </w:rPr>
            </w:pPr>
            <w:r w:rsidRPr="000C5235">
              <w:rPr>
                <w:szCs w:val="20"/>
              </w:rPr>
              <w:t>202</w:t>
            </w:r>
            <w:r w:rsidR="00FC0AF4" w:rsidRPr="000C5235">
              <w:rPr>
                <w:szCs w:val="20"/>
              </w:rPr>
              <w:t>3</w:t>
            </w:r>
            <w:r w:rsidRPr="000C5235">
              <w:rPr>
                <w:szCs w:val="20"/>
              </w:rPr>
              <w:t>-2</w:t>
            </w:r>
            <w:r w:rsidR="00FC0AF4" w:rsidRPr="000C5235">
              <w:rPr>
                <w:szCs w:val="20"/>
              </w:rPr>
              <w:t>4</w:t>
            </w:r>
          </w:p>
        </w:tc>
      </w:tr>
      <w:tr w:rsidR="001C70F1" w:rsidRPr="000C5235" w14:paraId="311AF638" w14:textId="77777777" w:rsidTr="000A7DEC">
        <w:trPr>
          <w:trHeight w:val="312"/>
        </w:trPr>
        <w:tc>
          <w:tcPr>
            <w:tcW w:w="3364" w:type="dxa"/>
            <w:tcBorders>
              <w:top w:val="nil"/>
              <w:left w:val="single" w:sz="12" w:space="0" w:color="auto"/>
              <w:bottom w:val="nil"/>
              <w:right w:val="single" w:sz="8" w:space="0" w:color="auto"/>
            </w:tcBorders>
            <w:shd w:val="clear" w:color="000000" w:fill="FFFFFF"/>
            <w:noWrap/>
            <w:hideMark/>
          </w:tcPr>
          <w:p w14:paraId="40AA336A" w14:textId="77777777" w:rsidR="00261938" w:rsidRPr="000C5235" w:rsidRDefault="00261938"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000000" w:fill="FFFFFF"/>
            <w:vAlign w:val="center"/>
            <w:hideMark/>
          </w:tcPr>
          <w:p w14:paraId="5C833A94" w14:textId="77777777" w:rsidR="00261938" w:rsidRPr="000C5235" w:rsidRDefault="00FC0AF4" w:rsidP="000A7DEC">
            <w:pPr>
              <w:pStyle w:val="LeasingProgTableText"/>
              <w:spacing w:line="220" w:lineRule="atLeast"/>
              <w:jc w:val="right"/>
              <w:rPr>
                <w:szCs w:val="20"/>
              </w:rPr>
            </w:pPr>
            <w:r w:rsidRPr="000C5235">
              <w:rPr>
                <w:szCs w:val="20"/>
              </w:rPr>
              <w:t>Estimated</w:t>
            </w:r>
          </w:p>
        </w:tc>
        <w:tc>
          <w:tcPr>
            <w:tcW w:w="993" w:type="dxa"/>
            <w:tcBorders>
              <w:top w:val="nil"/>
              <w:left w:val="nil"/>
              <w:bottom w:val="nil"/>
              <w:right w:val="single" w:sz="8" w:space="0" w:color="auto"/>
            </w:tcBorders>
            <w:shd w:val="clear" w:color="000000" w:fill="FFFFFF"/>
            <w:vAlign w:val="center"/>
            <w:hideMark/>
          </w:tcPr>
          <w:p w14:paraId="316B2E23" w14:textId="77777777" w:rsidR="00261938" w:rsidRPr="000C5235" w:rsidRDefault="00FC0AF4" w:rsidP="000A7DEC">
            <w:pPr>
              <w:pStyle w:val="LeasingProgTableText"/>
              <w:spacing w:line="220" w:lineRule="atLeast"/>
              <w:jc w:val="right"/>
              <w:rPr>
                <w:szCs w:val="20"/>
              </w:rPr>
            </w:pPr>
            <w:r w:rsidRPr="000C5235">
              <w:rPr>
                <w:szCs w:val="20"/>
              </w:rPr>
              <w:t>Budget</w:t>
            </w:r>
          </w:p>
        </w:tc>
        <w:tc>
          <w:tcPr>
            <w:tcW w:w="1134" w:type="dxa"/>
            <w:tcBorders>
              <w:top w:val="nil"/>
              <w:left w:val="nil"/>
              <w:bottom w:val="nil"/>
              <w:right w:val="single" w:sz="8" w:space="0" w:color="auto"/>
            </w:tcBorders>
            <w:shd w:val="clear" w:color="000000" w:fill="FFFFFF"/>
            <w:vAlign w:val="center"/>
            <w:hideMark/>
          </w:tcPr>
          <w:p w14:paraId="77D5BD8B" w14:textId="77777777" w:rsidR="00261938" w:rsidRPr="000C5235" w:rsidRDefault="00261938" w:rsidP="000A7DEC">
            <w:pPr>
              <w:pStyle w:val="LeasingProgTableText"/>
              <w:spacing w:line="220" w:lineRule="atLeast"/>
              <w:jc w:val="right"/>
              <w:rPr>
                <w:szCs w:val="20"/>
              </w:rPr>
            </w:pPr>
            <w:r w:rsidRPr="000C5235">
              <w:rPr>
                <w:szCs w:val="20"/>
              </w:rPr>
              <w:t>Forward</w:t>
            </w:r>
          </w:p>
        </w:tc>
        <w:tc>
          <w:tcPr>
            <w:tcW w:w="1134" w:type="dxa"/>
            <w:tcBorders>
              <w:top w:val="nil"/>
              <w:left w:val="nil"/>
              <w:bottom w:val="nil"/>
              <w:right w:val="single" w:sz="8" w:space="0" w:color="auto"/>
            </w:tcBorders>
            <w:shd w:val="clear" w:color="000000" w:fill="FFFFFF"/>
            <w:vAlign w:val="center"/>
            <w:hideMark/>
          </w:tcPr>
          <w:p w14:paraId="5DD56C9D" w14:textId="77777777" w:rsidR="00261938" w:rsidRPr="000C5235" w:rsidRDefault="00261938" w:rsidP="000A7DEC">
            <w:pPr>
              <w:pStyle w:val="LeasingProgTableText"/>
              <w:spacing w:line="220" w:lineRule="atLeast"/>
              <w:jc w:val="right"/>
              <w:rPr>
                <w:szCs w:val="20"/>
              </w:rPr>
            </w:pPr>
            <w:r w:rsidRPr="000C5235">
              <w:rPr>
                <w:szCs w:val="20"/>
              </w:rPr>
              <w:t>Forward</w:t>
            </w:r>
          </w:p>
        </w:tc>
        <w:tc>
          <w:tcPr>
            <w:tcW w:w="1134" w:type="dxa"/>
            <w:tcBorders>
              <w:top w:val="nil"/>
              <w:left w:val="nil"/>
              <w:bottom w:val="nil"/>
              <w:right w:val="single" w:sz="12" w:space="0" w:color="auto"/>
            </w:tcBorders>
            <w:shd w:val="clear" w:color="000000" w:fill="FFFFFF"/>
            <w:vAlign w:val="center"/>
            <w:hideMark/>
          </w:tcPr>
          <w:p w14:paraId="5FB4AB42" w14:textId="77777777" w:rsidR="00261938" w:rsidRPr="000C5235" w:rsidRDefault="00261938" w:rsidP="000A7DEC">
            <w:pPr>
              <w:pStyle w:val="LeasingProgTableText"/>
              <w:spacing w:line="220" w:lineRule="atLeast"/>
              <w:jc w:val="right"/>
              <w:rPr>
                <w:szCs w:val="20"/>
              </w:rPr>
            </w:pPr>
            <w:r w:rsidRPr="000C5235">
              <w:rPr>
                <w:szCs w:val="20"/>
              </w:rPr>
              <w:t>Forward</w:t>
            </w:r>
          </w:p>
        </w:tc>
      </w:tr>
      <w:tr w:rsidR="001C70F1" w:rsidRPr="000C5235" w14:paraId="4F179A43" w14:textId="77777777" w:rsidTr="000A7DEC">
        <w:trPr>
          <w:trHeight w:val="312"/>
        </w:trPr>
        <w:tc>
          <w:tcPr>
            <w:tcW w:w="3364" w:type="dxa"/>
            <w:tcBorders>
              <w:top w:val="nil"/>
              <w:left w:val="single" w:sz="12" w:space="0" w:color="auto"/>
              <w:bottom w:val="nil"/>
              <w:right w:val="single" w:sz="8" w:space="0" w:color="auto"/>
            </w:tcBorders>
            <w:shd w:val="clear" w:color="000000" w:fill="FFFFFF"/>
            <w:noWrap/>
            <w:hideMark/>
          </w:tcPr>
          <w:p w14:paraId="726483C1" w14:textId="77777777" w:rsidR="00261938" w:rsidRPr="000C5235" w:rsidRDefault="00261938"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000000" w:fill="FFFFFF"/>
            <w:vAlign w:val="center"/>
            <w:hideMark/>
          </w:tcPr>
          <w:p w14:paraId="151F72E9" w14:textId="77777777" w:rsidR="00261938" w:rsidRPr="000C5235" w:rsidRDefault="00FC0AF4" w:rsidP="000A7DEC">
            <w:pPr>
              <w:pStyle w:val="LeasingProgTableText"/>
              <w:spacing w:line="220" w:lineRule="atLeast"/>
              <w:jc w:val="right"/>
              <w:rPr>
                <w:szCs w:val="20"/>
              </w:rPr>
            </w:pPr>
            <w:r w:rsidRPr="000C5235">
              <w:rPr>
                <w:szCs w:val="20"/>
              </w:rPr>
              <w:t>Actual</w:t>
            </w:r>
            <w:r w:rsidR="00261938" w:rsidRPr="000C5235">
              <w:rPr>
                <w:szCs w:val="20"/>
              </w:rPr>
              <w:t xml:space="preserve"> *</w:t>
            </w:r>
          </w:p>
        </w:tc>
        <w:tc>
          <w:tcPr>
            <w:tcW w:w="993" w:type="dxa"/>
            <w:tcBorders>
              <w:top w:val="nil"/>
              <w:left w:val="nil"/>
              <w:bottom w:val="nil"/>
              <w:right w:val="single" w:sz="8" w:space="0" w:color="auto"/>
            </w:tcBorders>
            <w:shd w:val="clear" w:color="000000" w:fill="FFFFFF"/>
            <w:vAlign w:val="center"/>
            <w:hideMark/>
          </w:tcPr>
          <w:p w14:paraId="7288086B" w14:textId="77777777" w:rsidR="00261938" w:rsidRPr="000C5235" w:rsidRDefault="00261938" w:rsidP="000A7DEC">
            <w:pPr>
              <w:pStyle w:val="LeasingProgTableText"/>
              <w:spacing w:line="220" w:lineRule="atLeast"/>
              <w:rPr>
                <w:szCs w:val="20"/>
              </w:rPr>
            </w:pPr>
          </w:p>
        </w:tc>
        <w:tc>
          <w:tcPr>
            <w:tcW w:w="1134" w:type="dxa"/>
            <w:tcBorders>
              <w:top w:val="nil"/>
              <w:left w:val="nil"/>
              <w:bottom w:val="nil"/>
              <w:right w:val="single" w:sz="8" w:space="0" w:color="auto"/>
            </w:tcBorders>
            <w:shd w:val="clear" w:color="000000" w:fill="FFFFFF"/>
            <w:vAlign w:val="center"/>
            <w:hideMark/>
          </w:tcPr>
          <w:p w14:paraId="67B7DE6A" w14:textId="77777777" w:rsidR="00261938" w:rsidRPr="000C5235" w:rsidRDefault="00261938" w:rsidP="000A7DEC">
            <w:pPr>
              <w:pStyle w:val="LeasingProgTableText"/>
              <w:spacing w:line="220" w:lineRule="atLeast"/>
              <w:jc w:val="right"/>
              <w:rPr>
                <w:szCs w:val="20"/>
              </w:rPr>
            </w:pPr>
            <w:r w:rsidRPr="000C5235">
              <w:rPr>
                <w:szCs w:val="20"/>
              </w:rPr>
              <w:t>estimated</w:t>
            </w:r>
          </w:p>
        </w:tc>
        <w:tc>
          <w:tcPr>
            <w:tcW w:w="1134" w:type="dxa"/>
            <w:tcBorders>
              <w:top w:val="nil"/>
              <w:left w:val="nil"/>
              <w:bottom w:val="nil"/>
              <w:right w:val="single" w:sz="8" w:space="0" w:color="auto"/>
            </w:tcBorders>
            <w:shd w:val="clear" w:color="000000" w:fill="FFFFFF"/>
            <w:vAlign w:val="center"/>
            <w:hideMark/>
          </w:tcPr>
          <w:p w14:paraId="13DC77EE" w14:textId="77777777" w:rsidR="00261938" w:rsidRPr="000C5235" w:rsidRDefault="00261938" w:rsidP="000A7DEC">
            <w:pPr>
              <w:pStyle w:val="LeasingProgTableText"/>
              <w:spacing w:line="220" w:lineRule="atLeast"/>
              <w:jc w:val="right"/>
              <w:rPr>
                <w:szCs w:val="20"/>
              </w:rPr>
            </w:pPr>
            <w:r w:rsidRPr="000C5235">
              <w:rPr>
                <w:szCs w:val="20"/>
              </w:rPr>
              <w:t>estimated</w:t>
            </w:r>
          </w:p>
        </w:tc>
        <w:tc>
          <w:tcPr>
            <w:tcW w:w="1134" w:type="dxa"/>
            <w:tcBorders>
              <w:top w:val="nil"/>
              <w:left w:val="nil"/>
              <w:bottom w:val="nil"/>
              <w:right w:val="single" w:sz="12" w:space="0" w:color="auto"/>
            </w:tcBorders>
            <w:shd w:val="clear" w:color="000000" w:fill="FFFFFF"/>
            <w:vAlign w:val="center"/>
            <w:hideMark/>
          </w:tcPr>
          <w:p w14:paraId="0BF19CC3" w14:textId="77777777" w:rsidR="00261938" w:rsidRPr="000C5235" w:rsidRDefault="00261938" w:rsidP="000A7DEC">
            <w:pPr>
              <w:pStyle w:val="LeasingProgTableText"/>
              <w:spacing w:line="220" w:lineRule="atLeast"/>
              <w:jc w:val="right"/>
              <w:rPr>
                <w:szCs w:val="20"/>
              </w:rPr>
            </w:pPr>
            <w:r w:rsidRPr="000C5235">
              <w:rPr>
                <w:szCs w:val="20"/>
              </w:rPr>
              <w:t>estimated</w:t>
            </w:r>
          </w:p>
        </w:tc>
      </w:tr>
      <w:tr w:rsidR="001C70F1" w:rsidRPr="000C5235" w14:paraId="4E3EA4F1" w14:textId="77777777" w:rsidTr="000A7DEC">
        <w:trPr>
          <w:trHeight w:val="312"/>
        </w:trPr>
        <w:tc>
          <w:tcPr>
            <w:tcW w:w="3364" w:type="dxa"/>
            <w:tcBorders>
              <w:top w:val="nil"/>
              <w:left w:val="single" w:sz="12" w:space="0" w:color="auto"/>
              <w:bottom w:val="single" w:sz="8" w:space="0" w:color="auto"/>
              <w:right w:val="single" w:sz="8" w:space="0" w:color="auto"/>
            </w:tcBorders>
            <w:shd w:val="clear" w:color="000000" w:fill="FFFFFF"/>
            <w:noWrap/>
            <w:hideMark/>
          </w:tcPr>
          <w:p w14:paraId="5785E9BC" w14:textId="77777777" w:rsidR="00261938" w:rsidRPr="000C5235" w:rsidRDefault="00261938" w:rsidP="000A7DEC">
            <w:pPr>
              <w:pStyle w:val="LeasingProgTableText"/>
              <w:spacing w:line="220" w:lineRule="atLeast"/>
              <w:rPr>
                <w:szCs w:val="20"/>
              </w:rPr>
            </w:pPr>
          </w:p>
        </w:tc>
        <w:tc>
          <w:tcPr>
            <w:tcW w:w="1157" w:type="dxa"/>
            <w:tcBorders>
              <w:top w:val="nil"/>
              <w:left w:val="nil"/>
              <w:bottom w:val="single" w:sz="8" w:space="0" w:color="auto"/>
              <w:right w:val="single" w:sz="8" w:space="0" w:color="auto"/>
            </w:tcBorders>
            <w:shd w:val="clear" w:color="000000" w:fill="FFFFFF"/>
            <w:vAlign w:val="center"/>
            <w:hideMark/>
          </w:tcPr>
          <w:p w14:paraId="4764B2A1" w14:textId="77777777" w:rsidR="00261938" w:rsidRPr="000C5235" w:rsidRDefault="00261938" w:rsidP="000A7DEC">
            <w:pPr>
              <w:pStyle w:val="LeasingProgTableText"/>
              <w:spacing w:line="220" w:lineRule="atLeast"/>
              <w:jc w:val="right"/>
              <w:rPr>
                <w:szCs w:val="20"/>
              </w:rPr>
            </w:pPr>
          </w:p>
        </w:tc>
        <w:tc>
          <w:tcPr>
            <w:tcW w:w="993" w:type="dxa"/>
            <w:tcBorders>
              <w:top w:val="nil"/>
              <w:left w:val="nil"/>
              <w:bottom w:val="single" w:sz="8" w:space="0" w:color="auto"/>
              <w:right w:val="single" w:sz="8" w:space="0" w:color="auto"/>
            </w:tcBorders>
            <w:shd w:val="clear" w:color="000000" w:fill="FFFFFF"/>
            <w:vAlign w:val="center"/>
            <w:hideMark/>
          </w:tcPr>
          <w:p w14:paraId="7D25A273" w14:textId="77777777" w:rsidR="00261938" w:rsidRPr="000C5235" w:rsidRDefault="00261938" w:rsidP="000A7DEC">
            <w:pPr>
              <w:pStyle w:val="LeasingProgTableText"/>
              <w:spacing w:line="220" w:lineRule="atLeast"/>
              <w:jc w:val="right"/>
              <w:rPr>
                <w:szCs w:val="20"/>
              </w:rPr>
            </w:pPr>
          </w:p>
        </w:tc>
        <w:tc>
          <w:tcPr>
            <w:tcW w:w="1134" w:type="dxa"/>
            <w:tcBorders>
              <w:top w:val="nil"/>
              <w:left w:val="nil"/>
              <w:bottom w:val="single" w:sz="8" w:space="0" w:color="auto"/>
              <w:right w:val="single" w:sz="8" w:space="0" w:color="auto"/>
            </w:tcBorders>
            <w:shd w:val="clear" w:color="000000" w:fill="FFFFFF"/>
            <w:vAlign w:val="center"/>
            <w:hideMark/>
          </w:tcPr>
          <w:p w14:paraId="27D61F6C" w14:textId="77777777" w:rsidR="00261938" w:rsidRPr="000C5235" w:rsidRDefault="00261938" w:rsidP="000A7DEC">
            <w:pPr>
              <w:pStyle w:val="LeasingProgTableText"/>
              <w:spacing w:line="220" w:lineRule="atLeast"/>
              <w:jc w:val="right"/>
              <w:rPr>
                <w:szCs w:val="20"/>
              </w:rPr>
            </w:pPr>
            <w:r w:rsidRPr="000C5235">
              <w:rPr>
                <w:szCs w:val="20"/>
              </w:rPr>
              <w:t>expenses</w:t>
            </w:r>
          </w:p>
        </w:tc>
        <w:tc>
          <w:tcPr>
            <w:tcW w:w="1134" w:type="dxa"/>
            <w:tcBorders>
              <w:top w:val="nil"/>
              <w:left w:val="nil"/>
              <w:bottom w:val="single" w:sz="8" w:space="0" w:color="auto"/>
              <w:right w:val="single" w:sz="8" w:space="0" w:color="auto"/>
            </w:tcBorders>
            <w:shd w:val="clear" w:color="000000" w:fill="FFFFFF"/>
            <w:vAlign w:val="center"/>
            <w:hideMark/>
          </w:tcPr>
          <w:p w14:paraId="5C803FA2" w14:textId="77777777" w:rsidR="00261938" w:rsidRPr="000C5235" w:rsidRDefault="00261938" w:rsidP="000A7DEC">
            <w:pPr>
              <w:pStyle w:val="LeasingProgTableText"/>
              <w:spacing w:line="220" w:lineRule="atLeast"/>
              <w:jc w:val="right"/>
              <w:rPr>
                <w:szCs w:val="20"/>
              </w:rPr>
            </w:pPr>
            <w:r w:rsidRPr="000C5235">
              <w:rPr>
                <w:szCs w:val="20"/>
              </w:rPr>
              <w:t>expenses</w:t>
            </w:r>
          </w:p>
        </w:tc>
        <w:tc>
          <w:tcPr>
            <w:tcW w:w="1134" w:type="dxa"/>
            <w:tcBorders>
              <w:top w:val="nil"/>
              <w:left w:val="nil"/>
              <w:bottom w:val="single" w:sz="8" w:space="0" w:color="auto"/>
              <w:right w:val="single" w:sz="12" w:space="0" w:color="auto"/>
            </w:tcBorders>
            <w:shd w:val="clear" w:color="000000" w:fill="FFFFFF"/>
            <w:vAlign w:val="center"/>
            <w:hideMark/>
          </w:tcPr>
          <w:p w14:paraId="3F161C0B" w14:textId="77777777" w:rsidR="00261938" w:rsidRPr="000C5235" w:rsidRDefault="00261938" w:rsidP="000A7DEC">
            <w:pPr>
              <w:pStyle w:val="LeasingProgTableText"/>
              <w:spacing w:line="220" w:lineRule="atLeast"/>
              <w:jc w:val="right"/>
              <w:rPr>
                <w:szCs w:val="20"/>
              </w:rPr>
            </w:pPr>
            <w:r w:rsidRPr="000C5235">
              <w:rPr>
                <w:szCs w:val="20"/>
              </w:rPr>
              <w:t>expenses</w:t>
            </w:r>
          </w:p>
        </w:tc>
      </w:tr>
      <w:tr w:rsidR="00261938" w:rsidRPr="000C5235" w14:paraId="4D9AF420" w14:textId="77777777" w:rsidTr="000A7DEC">
        <w:trPr>
          <w:trHeight w:val="306"/>
        </w:trPr>
        <w:tc>
          <w:tcPr>
            <w:tcW w:w="8916" w:type="dxa"/>
            <w:gridSpan w:val="6"/>
            <w:tcBorders>
              <w:top w:val="nil"/>
              <w:left w:val="single" w:sz="12" w:space="0" w:color="auto"/>
              <w:bottom w:val="single" w:sz="8" w:space="0" w:color="auto"/>
              <w:right w:val="single" w:sz="12" w:space="0" w:color="auto"/>
            </w:tcBorders>
            <w:shd w:val="clear" w:color="000000" w:fill="D9D9D9"/>
            <w:noWrap/>
            <w:vAlign w:val="center"/>
            <w:hideMark/>
          </w:tcPr>
          <w:p w14:paraId="544A8E50" w14:textId="77777777" w:rsidR="00261938" w:rsidRPr="000C5235" w:rsidRDefault="00261938" w:rsidP="000A7DEC">
            <w:pPr>
              <w:pStyle w:val="LeasingProgTableText"/>
              <w:spacing w:line="220" w:lineRule="atLeast"/>
              <w:rPr>
                <w:szCs w:val="20"/>
              </w:rPr>
            </w:pPr>
            <w:r w:rsidRPr="000C5235">
              <w:rPr>
                <w:szCs w:val="20"/>
              </w:rPr>
              <w:t>Program 1.x (insert program name here)</w:t>
            </w:r>
          </w:p>
          <w:p w14:paraId="4B4267F5" w14:textId="77777777" w:rsidR="00261938" w:rsidRPr="000C5235" w:rsidRDefault="00261938" w:rsidP="000A7DEC">
            <w:pPr>
              <w:pStyle w:val="LeasingProgTableText"/>
              <w:spacing w:line="220" w:lineRule="atLeast"/>
              <w:rPr>
                <w:szCs w:val="20"/>
              </w:rPr>
            </w:pPr>
          </w:p>
        </w:tc>
      </w:tr>
      <w:tr w:rsidR="001C70F1" w:rsidRPr="000C5235" w14:paraId="5F5C3B3F" w14:textId="77777777" w:rsidTr="000A7DEC">
        <w:trPr>
          <w:trHeight w:val="293"/>
        </w:trPr>
        <w:tc>
          <w:tcPr>
            <w:tcW w:w="3364" w:type="dxa"/>
            <w:tcBorders>
              <w:top w:val="nil"/>
              <w:left w:val="single" w:sz="12" w:space="0" w:color="auto"/>
              <w:bottom w:val="nil"/>
              <w:right w:val="single" w:sz="8" w:space="0" w:color="auto"/>
            </w:tcBorders>
            <w:shd w:val="clear" w:color="auto" w:fill="auto"/>
            <w:noWrap/>
            <w:hideMark/>
          </w:tcPr>
          <w:p w14:paraId="4C944C76" w14:textId="77777777" w:rsidR="00261938" w:rsidRPr="000C5235" w:rsidRDefault="00261938" w:rsidP="000A7DEC">
            <w:pPr>
              <w:pStyle w:val="LeasingProgTableText"/>
              <w:spacing w:line="220" w:lineRule="atLeast"/>
              <w:rPr>
                <w:b/>
                <w:szCs w:val="20"/>
              </w:rPr>
            </w:pPr>
            <w:r w:rsidRPr="000C5235">
              <w:rPr>
                <w:b/>
                <w:szCs w:val="20"/>
              </w:rPr>
              <w:t>Departmental expenses</w:t>
            </w:r>
          </w:p>
        </w:tc>
        <w:tc>
          <w:tcPr>
            <w:tcW w:w="1157" w:type="dxa"/>
            <w:tcBorders>
              <w:top w:val="nil"/>
              <w:left w:val="nil"/>
              <w:bottom w:val="nil"/>
              <w:right w:val="single" w:sz="8" w:space="0" w:color="auto"/>
            </w:tcBorders>
            <w:shd w:val="clear" w:color="auto" w:fill="auto"/>
          </w:tcPr>
          <w:p w14:paraId="704626BA" w14:textId="77777777" w:rsidR="00261938" w:rsidRPr="000C5235" w:rsidRDefault="00261938" w:rsidP="000A7DEC">
            <w:pPr>
              <w:pStyle w:val="LeasingProgTableText"/>
              <w:spacing w:line="220" w:lineRule="atLeast"/>
              <w:rPr>
                <w:szCs w:val="20"/>
              </w:rPr>
            </w:pPr>
          </w:p>
        </w:tc>
        <w:tc>
          <w:tcPr>
            <w:tcW w:w="993" w:type="dxa"/>
            <w:tcBorders>
              <w:top w:val="nil"/>
              <w:left w:val="nil"/>
              <w:bottom w:val="nil"/>
              <w:right w:val="single" w:sz="8" w:space="0" w:color="auto"/>
            </w:tcBorders>
            <w:shd w:val="clear" w:color="000000" w:fill="FFFFFF"/>
            <w:noWrap/>
          </w:tcPr>
          <w:p w14:paraId="4E48A1EF" w14:textId="77777777" w:rsidR="00261938" w:rsidRPr="000C5235" w:rsidRDefault="00261938" w:rsidP="000A7DEC">
            <w:pPr>
              <w:pStyle w:val="LeasingProgTableText"/>
              <w:spacing w:line="220" w:lineRule="atLeast"/>
              <w:rPr>
                <w:szCs w:val="20"/>
              </w:rPr>
            </w:pPr>
          </w:p>
        </w:tc>
        <w:tc>
          <w:tcPr>
            <w:tcW w:w="1134" w:type="dxa"/>
            <w:tcBorders>
              <w:top w:val="nil"/>
              <w:left w:val="nil"/>
              <w:bottom w:val="nil"/>
              <w:right w:val="single" w:sz="8" w:space="0" w:color="auto"/>
            </w:tcBorders>
            <w:shd w:val="clear" w:color="000000" w:fill="FFFFFF"/>
            <w:noWrap/>
          </w:tcPr>
          <w:p w14:paraId="53792B1C" w14:textId="77777777" w:rsidR="00261938" w:rsidRPr="000C5235" w:rsidRDefault="00261938" w:rsidP="000A7DEC">
            <w:pPr>
              <w:pStyle w:val="LeasingProgTableText"/>
              <w:spacing w:line="220" w:lineRule="atLeast"/>
              <w:rPr>
                <w:szCs w:val="20"/>
              </w:rPr>
            </w:pPr>
          </w:p>
        </w:tc>
        <w:tc>
          <w:tcPr>
            <w:tcW w:w="1134" w:type="dxa"/>
            <w:tcBorders>
              <w:top w:val="nil"/>
              <w:left w:val="nil"/>
              <w:bottom w:val="nil"/>
              <w:right w:val="single" w:sz="8" w:space="0" w:color="auto"/>
            </w:tcBorders>
            <w:shd w:val="clear" w:color="000000" w:fill="FFFFFF"/>
            <w:noWrap/>
          </w:tcPr>
          <w:p w14:paraId="6A77B07A" w14:textId="77777777" w:rsidR="00261938" w:rsidRPr="000C5235" w:rsidRDefault="00261938" w:rsidP="000A7DEC">
            <w:pPr>
              <w:pStyle w:val="LeasingProgTableText"/>
              <w:spacing w:line="220" w:lineRule="atLeast"/>
              <w:rPr>
                <w:szCs w:val="20"/>
              </w:rPr>
            </w:pPr>
          </w:p>
        </w:tc>
        <w:tc>
          <w:tcPr>
            <w:tcW w:w="1134" w:type="dxa"/>
            <w:tcBorders>
              <w:top w:val="nil"/>
              <w:left w:val="nil"/>
              <w:bottom w:val="nil"/>
              <w:right w:val="single" w:sz="12" w:space="0" w:color="auto"/>
            </w:tcBorders>
            <w:shd w:val="clear" w:color="000000" w:fill="FFFFFF"/>
            <w:noWrap/>
          </w:tcPr>
          <w:p w14:paraId="0CBA3A53" w14:textId="77777777" w:rsidR="00261938" w:rsidRPr="000C5235" w:rsidRDefault="00261938" w:rsidP="000A7DEC">
            <w:pPr>
              <w:pStyle w:val="LeasingProgTableText"/>
              <w:spacing w:line="220" w:lineRule="atLeast"/>
              <w:rPr>
                <w:szCs w:val="20"/>
              </w:rPr>
            </w:pPr>
          </w:p>
        </w:tc>
      </w:tr>
      <w:tr w:rsidR="001C70F1" w:rsidRPr="000C5235" w14:paraId="14B1BFA1" w14:textId="77777777" w:rsidTr="000A7DEC">
        <w:trPr>
          <w:trHeight w:val="293"/>
        </w:trPr>
        <w:tc>
          <w:tcPr>
            <w:tcW w:w="3364" w:type="dxa"/>
            <w:tcBorders>
              <w:top w:val="nil"/>
              <w:left w:val="single" w:sz="12" w:space="0" w:color="auto"/>
              <w:bottom w:val="nil"/>
              <w:right w:val="single" w:sz="8" w:space="0" w:color="auto"/>
            </w:tcBorders>
            <w:shd w:val="clear" w:color="000000" w:fill="FFFFFF"/>
            <w:noWrap/>
            <w:hideMark/>
          </w:tcPr>
          <w:p w14:paraId="7059C975" w14:textId="77777777" w:rsidR="00B06390" w:rsidRPr="000C5235" w:rsidRDefault="00B06390" w:rsidP="000A7DEC">
            <w:pPr>
              <w:pStyle w:val="LeasingProgTableText"/>
              <w:spacing w:line="220" w:lineRule="atLeast"/>
              <w:rPr>
                <w:szCs w:val="20"/>
              </w:rPr>
            </w:pPr>
            <w:r w:rsidRPr="000C5235">
              <w:rPr>
                <w:szCs w:val="20"/>
              </w:rPr>
              <w:t>Departmental appropriation expenses *</w:t>
            </w:r>
          </w:p>
        </w:tc>
        <w:tc>
          <w:tcPr>
            <w:tcW w:w="1157" w:type="dxa"/>
            <w:tcBorders>
              <w:top w:val="nil"/>
              <w:left w:val="nil"/>
              <w:bottom w:val="nil"/>
              <w:right w:val="single" w:sz="8" w:space="0" w:color="auto"/>
            </w:tcBorders>
            <w:shd w:val="clear" w:color="000000" w:fill="FFFFFF"/>
            <w:hideMark/>
          </w:tcPr>
          <w:p w14:paraId="3F928B16" w14:textId="77777777" w:rsidR="00B06390" w:rsidRPr="000C5235" w:rsidRDefault="00B06390" w:rsidP="000A7DEC">
            <w:pPr>
              <w:pStyle w:val="LeasingProgTableText"/>
              <w:spacing w:line="220" w:lineRule="atLeast"/>
              <w:jc w:val="right"/>
              <w:rPr>
                <w:szCs w:val="20"/>
              </w:rPr>
            </w:pPr>
            <w:r w:rsidRPr="000C5235">
              <w:rPr>
                <w:szCs w:val="20"/>
              </w:rPr>
              <w:t>5,770</w:t>
            </w:r>
          </w:p>
        </w:tc>
        <w:tc>
          <w:tcPr>
            <w:tcW w:w="993" w:type="dxa"/>
            <w:tcBorders>
              <w:top w:val="nil"/>
              <w:left w:val="nil"/>
              <w:bottom w:val="nil"/>
              <w:right w:val="single" w:sz="8" w:space="0" w:color="auto"/>
            </w:tcBorders>
            <w:shd w:val="clear" w:color="000000" w:fill="FFFFFF"/>
            <w:noWrap/>
            <w:hideMark/>
          </w:tcPr>
          <w:p w14:paraId="73EE8EF3" w14:textId="77777777" w:rsidR="00B06390" w:rsidRPr="000C5235" w:rsidRDefault="00B06390" w:rsidP="000A7DEC">
            <w:pPr>
              <w:pStyle w:val="LeasingProgTableText"/>
              <w:spacing w:line="220" w:lineRule="atLeast"/>
              <w:jc w:val="right"/>
              <w:rPr>
                <w:szCs w:val="20"/>
              </w:rPr>
            </w:pPr>
            <w:r w:rsidRPr="000C5235">
              <w:rPr>
                <w:szCs w:val="20"/>
              </w:rPr>
              <w:t>6,010</w:t>
            </w:r>
          </w:p>
        </w:tc>
        <w:tc>
          <w:tcPr>
            <w:tcW w:w="1134" w:type="dxa"/>
            <w:tcBorders>
              <w:top w:val="nil"/>
              <w:left w:val="nil"/>
              <w:bottom w:val="nil"/>
              <w:right w:val="single" w:sz="8" w:space="0" w:color="auto"/>
            </w:tcBorders>
            <w:shd w:val="clear" w:color="000000" w:fill="FFFFFF"/>
            <w:noWrap/>
            <w:hideMark/>
          </w:tcPr>
          <w:p w14:paraId="21EEF6D1" w14:textId="77777777" w:rsidR="00B06390" w:rsidRPr="000C5235" w:rsidRDefault="00B06390" w:rsidP="000A7DEC">
            <w:pPr>
              <w:pStyle w:val="LeasingProgTableText"/>
              <w:spacing w:line="220" w:lineRule="atLeast"/>
              <w:jc w:val="right"/>
              <w:rPr>
                <w:szCs w:val="20"/>
              </w:rPr>
            </w:pPr>
            <w:r w:rsidRPr="000C5235">
              <w:rPr>
                <w:szCs w:val="20"/>
              </w:rPr>
              <w:t>6,100</w:t>
            </w:r>
          </w:p>
        </w:tc>
        <w:tc>
          <w:tcPr>
            <w:tcW w:w="1134" w:type="dxa"/>
            <w:tcBorders>
              <w:top w:val="nil"/>
              <w:left w:val="nil"/>
              <w:bottom w:val="nil"/>
              <w:right w:val="single" w:sz="8" w:space="0" w:color="auto"/>
            </w:tcBorders>
            <w:shd w:val="clear" w:color="000000" w:fill="FFFFFF"/>
            <w:noWrap/>
            <w:hideMark/>
          </w:tcPr>
          <w:p w14:paraId="677F7130" w14:textId="77777777" w:rsidR="00B06390" w:rsidRPr="000C5235" w:rsidRDefault="00B06390" w:rsidP="000A7DEC">
            <w:pPr>
              <w:pStyle w:val="LeasingProgTableText"/>
              <w:spacing w:line="220" w:lineRule="atLeast"/>
              <w:jc w:val="right"/>
              <w:rPr>
                <w:szCs w:val="20"/>
              </w:rPr>
            </w:pPr>
            <w:r w:rsidRPr="000C5235">
              <w:rPr>
                <w:szCs w:val="20"/>
              </w:rPr>
              <w:t>6,285</w:t>
            </w:r>
          </w:p>
        </w:tc>
        <w:tc>
          <w:tcPr>
            <w:tcW w:w="1134" w:type="dxa"/>
            <w:tcBorders>
              <w:top w:val="nil"/>
              <w:left w:val="nil"/>
              <w:bottom w:val="nil"/>
              <w:right w:val="single" w:sz="12" w:space="0" w:color="auto"/>
            </w:tcBorders>
            <w:shd w:val="clear" w:color="000000" w:fill="FFFFFF"/>
            <w:noWrap/>
            <w:hideMark/>
          </w:tcPr>
          <w:p w14:paraId="1F26204C" w14:textId="77777777" w:rsidR="00B06390" w:rsidRPr="000C5235" w:rsidRDefault="00B06390" w:rsidP="000A7DEC">
            <w:pPr>
              <w:pStyle w:val="LeasingProgTableText"/>
              <w:spacing w:line="220" w:lineRule="atLeast"/>
              <w:jc w:val="right"/>
              <w:rPr>
                <w:szCs w:val="20"/>
              </w:rPr>
            </w:pPr>
            <w:r w:rsidRPr="000C5235">
              <w:rPr>
                <w:sz w:val="20"/>
                <w:szCs w:val="20"/>
              </w:rPr>
              <w:t>6,</w:t>
            </w:r>
            <w:r w:rsidR="008C3275" w:rsidRPr="000C5235">
              <w:rPr>
                <w:szCs w:val="20"/>
              </w:rPr>
              <w:t>453</w:t>
            </w:r>
          </w:p>
        </w:tc>
      </w:tr>
      <w:tr w:rsidR="001C70F1" w:rsidRPr="000C5235" w14:paraId="4818C5A8" w14:textId="77777777" w:rsidTr="000A7DEC">
        <w:trPr>
          <w:trHeight w:val="293"/>
        </w:trPr>
        <w:tc>
          <w:tcPr>
            <w:tcW w:w="3364" w:type="dxa"/>
            <w:tcBorders>
              <w:top w:val="nil"/>
              <w:left w:val="single" w:sz="12" w:space="0" w:color="auto"/>
              <w:bottom w:val="nil"/>
              <w:right w:val="single" w:sz="8" w:space="0" w:color="auto"/>
            </w:tcBorders>
            <w:shd w:val="clear" w:color="auto" w:fill="FFE68F" w:themeFill="accent6" w:themeFillTint="66"/>
            <w:noWrap/>
            <w:hideMark/>
          </w:tcPr>
          <w:p w14:paraId="021149ED" w14:textId="77777777" w:rsidR="00B06390" w:rsidRPr="000C5235" w:rsidRDefault="00B06390" w:rsidP="000A7DEC">
            <w:pPr>
              <w:pStyle w:val="LeasingProgTableText"/>
              <w:spacing w:line="220" w:lineRule="atLeast"/>
              <w:ind w:left="165"/>
              <w:jc w:val="both"/>
              <w:rPr>
                <w:color w:val="0070C0"/>
                <w:szCs w:val="20"/>
                <w:u w:val="single"/>
              </w:rPr>
            </w:pPr>
            <w:r w:rsidRPr="000C5235">
              <w:rPr>
                <w:color w:val="0070C0"/>
                <w:szCs w:val="20"/>
                <w:u w:val="single"/>
              </w:rPr>
              <w:t>Consists of:</w:t>
            </w:r>
          </w:p>
        </w:tc>
        <w:tc>
          <w:tcPr>
            <w:tcW w:w="1157" w:type="dxa"/>
            <w:tcBorders>
              <w:top w:val="nil"/>
              <w:left w:val="nil"/>
              <w:bottom w:val="nil"/>
              <w:right w:val="single" w:sz="8" w:space="0" w:color="auto"/>
            </w:tcBorders>
            <w:shd w:val="clear" w:color="auto" w:fill="FFE68F" w:themeFill="accent6" w:themeFillTint="66"/>
          </w:tcPr>
          <w:p w14:paraId="6C4DB2AE" w14:textId="77777777" w:rsidR="00B06390" w:rsidRPr="000C5235"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auto" w:fill="FFE68F" w:themeFill="accent6" w:themeFillTint="66"/>
            <w:noWrap/>
          </w:tcPr>
          <w:p w14:paraId="7BCCB625"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7774A0CD"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5049BFF3"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auto" w:fill="FFE68F" w:themeFill="accent6" w:themeFillTint="66"/>
            <w:noWrap/>
          </w:tcPr>
          <w:p w14:paraId="3855A146" w14:textId="77777777" w:rsidR="00B06390" w:rsidRPr="000C5235" w:rsidRDefault="00B06390" w:rsidP="000A7DEC">
            <w:pPr>
              <w:pStyle w:val="LeasingProgTableText"/>
              <w:spacing w:line="220" w:lineRule="atLeast"/>
              <w:jc w:val="right"/>
              <w:rPr>
                <w:szCs w:val="20"/>
              </w:rPr>
            </w:pPr>
          </w:p>
        </w:tc>
      </w:tr>
      <w:tr w:rsidR="001C70F1" w:rsidRPr="000C5235" w14:paraId="00982901" w14:textId="77777777" w:rsidTr="000A7DEC">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7963A5F4" w14:textId="77777777" w:rsidR="00B06390" w:rsidRPr="000C5235" w:rsidRDefault="00B06390" w:rsidP="000A7DEC">
            <w:pPr>
              <w:pStyle w:val="LeasingProgTableText"/>
              <w:spacing w:line="220" w:lineRule="atLeast"/>
              <w:ind w:left="165"/>
              <w:rPr>
                <w:color w:val="0070C0"/>
                <w:szCs w:val="20"/>
              </w:rPr>
            </w:pPr>
            <w:r w:rsidRPr="000C5235">
              <w:rPr>
                <w:color w:val="0070C0"/>
                <w:szCs w:val="20"/>
              </w:rPr>
              <w:t>Other Expenses</w:t>
            </w:r>
          </w:p>
        </w:tc>
        <w:tc>
          <w:tcPr>
            <w:tcW w:w="1157" w:type="dxa"/>
            <w:tcBorders>
              <w:top w:val="nil"/>
              <w:left w:val="nil"/>
              <w:bottom w:val="nil"/>
              <w:right w:val="single" w:sz="8" w:space="0" w:color="auto"/>
            </w:tcBorders>
            <w:shd w:val="clear" w:color="auto" w:fill="FFE68F" w:themeFill="accent6" w:themeFillTint="66"/>
            <w:hideMark/>
          </w:tcPr>
          <w:p w14:paraId="7EE27F5E"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5,750</w:t>
            </w:r>
          </w:p>
        </w:tc>
        <w:tc>
          <w:tcPr>
            <w:tcW w:w="993" w:type="dxa"/>
            <w:tcBorders>
              <w:top w:val="nil"/>
              <w:left w:val="nil"/>
              <w:bottom w:val="nil"/>
              <w:right w:val="single" w:sz="8" w:space="0" w:color="auto"/>
            </w:tcBorders>
            <w:shd w:val="clear" w:color="000000" w:fill="FFE68F"/>
            <w:noWrap/>
            <w:hideMark/>
          </w:tcPr>
          <w:p w14:paraId="523D318F"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6,000</w:t>
            </w:r>
          </w:p>
        </w:tc>
        <w:tc>
          <w:tcPr>
            <w:tcW w:w="1134" w:type="dxa"/>
            <w:tcBorders>
              <w:top w:val="nil"/>
              <w:left w:val="nil"/>
              <w:bottom w:val="nil"/>
              <w:right w:val="single" w:sz="8" w:space="0" w:color="auto"/>
            </w:tcBorders>
            <w:shd w:val="clear" w:color="000000" w:fill="FFE68F"/>
            <w:noWrap/>
            <w:hideMark/>
          </w:tcPr>
          <w:p w14:paraId="10A310E5"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6,100</w:t>
            </w:r>
          </w:p>
        </w:tc>
        <w:tc>
          <w:tcPr>
            <w:tcW w:w="1134" w:type="dxa"/>
            <w:tcBorders>
              <w:top w:val="nil"/>
              <w:left w:val="nil"/>
              <w:bottom w:val="nil"/>
              <w:right w:val="single" w:sz="8" w:space="0" w:color="auto"/>
            </w:tcBorders>
            <w:shd w:val="clear" w:color="000000" w:fill="FFE68F"/>
            <w:noWrap/>
            <w:hideMark/>
          </w:tcPr>
          <w:p w14:paraId="5ACBE1C7"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6,300</w:t>
            </w:r>
          </w:p>
        </w:tc>
        <w:tc>
          <w:tcPr>
            <w:tcW w:w="1134" w:type="dxa"/>
            <w:tcBorders>
              <w:top w:val="nil"/>
              <w:left w:val="nil"/>
              <w:bottom w:val="nil"/>
              <w:right w:val="single" w:sz="12" w:space="0" w:color="auto"/>
            </w:tcBorders>
            <w:shd w:val="clear" w:color="000000" w:fill="FFE68F"/>
            <w:noWrap/>
            <w:hideMark/>
          </w:tcPr>
          <w:p w14:paraId="5AA17F29" w14:textId="77777777" w:rsidR="008C3275" w:rsidRPr="000C5235" w:rsidRDefault="00B06390" w:rsidP="000A7DEC">
            <w:pPr>
              <w:pStyle w:val="LeasingProgTableText"/>
              <w:spacing w:line="220" w:lineRule="atLeast"/>
              <w:jc w:val="right"/>
              <w:rPr>
                <w:color w:val="0070C0"/>
                <w:szCs w:val="20"/>
              </w:rPr>
            </w:pPr>
            <w:r w:rsidRPr="000C5235">
              <w:rPr>
                <w:color w:val="0070C0"/>
                <w:sz w:val="20"/>
                <w:szCs w:val="20"/>
              </w:rPr>
              <w:t>6,</w:t>
            </w:r>
            <w:r w:rsidR="008C3275" w:rsidRPr="000C5235">
              <w:rPr>
                <w:color w:val="0070C0"/>
                <w:szCs w:val="20"/>
              </w:rPr>
              <w:t>477</w:t>
            </w:r>
          </w:p>
        </w:tc>
      </w:tr>
      <w:tr w:rsidR="001C70F1" w:rsidRPr="000C5235" w14:paraId="39E532D3" w14:textId="77777777" w:rsidTr="000A7DEC">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6869CE6C" w14:textId="77777777" w:rsidR="00B06390" w:rsidRPr="000C5235" w:rsidRDefault="00B06390" w:rsidP="000A7DEC">
            <w:pPr>
              <w:pStyle w:val="LeasingProgTableText"/>
              <w:spacing w:line="220" w:lineRule="atLeast"/>
              <w:ind w:left="165"/>
              <w:rPr>
                <w:color w:val="0070C0"/>
                <w:szCs w:val="20"/>
              </w:rPr>
            </w:pPr>
            <w:r w:rsidRPr="000C5235">
              <w:rPr>
                <w:color w:val="0070C0"/>
                <w:szCs w:val="20"/>
              </w:rPr>
              <w:t xml:space="preserve">Interest on </w:t>
            </w:r>
            <w:r w:rsidR="009F3C94" w:rsidRPr="000C5235">
              <w:rPr>
                <w:color w:val="0070C0"/>
                <w:szCs w:val="20"/>
              </w:rPr>
              <w:t>RoU</w:t>
            </w:r>
            <w:r w:rsidRPr="000C5235">
              <w:rPr>
                <w:color w:val="0070C0"/>
                <w:szCs w:val="20"/>
              </w:rPr>
              <w:t xml:space="preserve"> a/c (2422020)</w:t>
            </w:r>
          </w:p>
        </w:tc>
        <w:tc>
          <w:tcPr>
            <w:tcW w:w="1157" w:type="dxa"/>
            <w:tcBorders>
              <w:top w:val="nil"/>
              <w:left w:val="nil"/>
              <w:bottom w:val="nil"/>
              <w:right w:val="single" w:sz="8" w:space="0" w:color="auto"/>
            </w:tcBorders>
            <w:shd w:val="clear" w:color="auto" w:fill="FFE68F" w:themeFill="accent6" w:themeFillTint="66"/>
            <w:hideMark/>
          </w:tcPr>
          <w:p w14:paraId="3E20F4E1"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16</w:t>
            </w:r>
          </w:p>
        </w:tc>
        <w:tc>
          <w:tcPr>
            <w:tcW w:w="993" w:type="dxa"/>
            <w:tcBorders>
              <w:top w:val="nil"/>
              <w:left w:val="nil"/>
              <w:bottom w:val="nil"/>
              <w:right w:val="single" w:sz="8" w:space="0" w:color="auto"/>
            </w:tcBorders>
            <w:shd w:val="clear" w:color="000000" w:fill="FFE68F"/>
            <w:noWrap/>
            <w:hideMark/>
          </w:tcPr>
          <w:p w14:paraId="115F3368"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14</w:t>
            </w:r>
          </w:p>
        </w:tc>
        <w:tc>
          <w:tcPr>
            <w:tcW w:w="1134" w:type="dxa"/>
            <w:tcBorders>
              <w:top w:val="nil"/>
              <w:left w:val="nil"/>
              <w:bottom w:val="nil"/>
              <w:right w:val="single" w:sz="8" w:space="0" w:color="auto"/>
            </w:tcBorders>
            <w:shd w:val="clear" w:color="000000" w:fill="FFE68F"/>
            <w:noWrap/>
            <w:hideMark/>
          </w:tcPr>
          <w:p w14:paraId="0C43E431"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12</w:t>
            </w:r>
          </w:p>
        </w:tc>
        <w:tc>
          <w:tcPr>
            <w:tcW w:w="1134" w:type="dxa"/>
            <w:tcBorders>
              <w:top w:val="nil"/>
              <w:left w:val="nil"/>
              <w:bottom w:val="nil"/>
              <w:right w:val="single" w:sz="8" w:space="0" w:color="auto"/>
            </w:tcBorders>
            <w:shd w:val="clear" w:color="000000" w:fill="FFE68F"/>
            <w:noWrap/>
            <w:hideMark/>
          </w:tcPr>
          <w:p w14:paraId="2395E340"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w:t>
            </w:r>
          </w:p>
        </w:tc>
        <w:tc>
          <w:tcPr>
            <w:tcW w:w="1134" w:type="dxa"/>
            <w:tcBorders>
              <w:top w:val="nil"/>
              <w:left w:val="nil"/>
              <w:bottom w:val="nil"/>
              <w:right w:val="single" w:sz="12" w:space="0" w:color="auto"/>
            </w:tcBorders>
            <w:shd w:val="clear" w:color="000000" w:fill="FFE68F"/>
            <w:noWrap/>
            <w:hideMark/>
          </w:tcPr>
          <w:p w14:paraId="483BD19C" w14:textId="77777777" w:rsidR="00B06390" w:rsidRPr="000C5235" w:rsidRDefault="008C3275" w:rsidP="000A7DEC">
            <w:pPr>
              <w:pStyle w:val="LeasingProgTableText"/>
              <w:spacing w:line="220" w:lineRule="atLeast"/>
              <w:jc w:val="right"/>
              <w:rPr>
                <w:color w:val="0070C0"/>
                <w:szCs w:val="20"/>
              </w:rPr>
            </w:pPr>
            <w:r w:rsidRPr="000C5235">
              <w:rPr>
                <w:color w:val="0070C0"/>
                <w:szCs w:val="20"/>
              </w:rPr>
              <w:t>8</w:t>
            </w:r>
          </w:p>
        </w:tc>
      </w:tr>
      <w:tr w:rsidR="001C70F1" w:rsidRPr="000C5235" w14:paraId="53AFB769" w14:textId="77777777" w:rsidTr="000A7DEC">
        <w:trPr>
          <w:trHeight w:val="293"/>
        </w:trPr>
        <w:tc>
          <w:tcPr>
            <w:tcW w:w="3364" w:type="dxa"/>
            <w:tcBorders>
              <w:top w:val="nil"/>
              <w:left w:val="single" w:sz="12" w:space="0" w:color="auto"/>
              <w:bottom w:val="nil"/>
              <w:right w:val="single" w:sz="8" w:space="0" w:color="auto"/>
            </w:tcBorders>
            <w:shd w:val="clear" w:color="000000" w:fill="FFE68F"/>
            <w:hideMark/>
          </w:tcPr>
          <w:p w14:paraId="28DBAABC" w14:textId="77777777" w:rsidR="00B06390" w:rsidRPr="000C5235" w:rsidRDefault="00B06390" w:rsidP="000A7DEC">
            <w:pPr>
              <w:pStyle w:val="LeasingProgTableText"/>
              <w:spacing w:line="220" w:lineRule="atLeast"/>
              <w:ind w:left="165"/>
              <w:rPr>
                <w:color w:val="0070C0"/>
                <w:szCs w:val="20"/>
              </w:rPr>
            </w:pPr>
            <w:r w:rsidRPr="000C5235">
              <w:rPr>
                <w:color w:val="0070C0"/>
                <w:szCs w:val="20"/>
              </w:rPr>
              <w:t xml:space="preserve">Depreciation on </w:t>
            </w:r>
            <w:r w:rsidR="009F3C94" w:rsidRPr="000C5235">
              <w:rPr>
                <w:color w:val="0070C0"/>
                <w:szCs w:val="20"/>
              </w:rPr>
              <w:t>RoU</w:t>
            </w:r>
            <w:r w:rsidR="00B51040" w:rsidRPr="000C5235">
              <w:rPr>
                <w:color w:val="0070C0"/>
                <w:szCs w:val="20"/>
              </w:rPr>
              <w:t xml:space="preserve"> assets</w:t>
            </w:r>
          </w:p>
        </w:tc>
        <w:tc>
          <w:tcPr>
            <w:tcW w:w="1157" w:type="dxa"/>
            <w:tcBorders>
              <w:top w:val="nil"/>
              <w:left w:val="nil"/>
              <w:bottom w:val="nil"/>
              <w:right w:val="single" w:sz="8" w:space="0" w:color="auto"/>
            </w:tcBorders>
            <w:shd w:val="clear" w:color="000000" w:fill="FFE68F"/>
            <w:hideMark/>
          </w:tcPr>
          <w:p w14:paraId="0E31BF39"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380</w:t>
            </w:r>
          </w:p>
        </w:tc>
        <w:tc>
          <w:tcPr>
            <w:tcW w:w="993" w:type="dxa"/>
            <w:tcBorders>
              <w:top w:val="nil"/>
              <w:left w:val="nil"/>
              <w:bottom w:val="nil"/>
              <w:right w:val="single" w:sz="8" w:space="0" w:color="auto"/>
            </w:tcBorders>
            <w:shd w:val="clear" w:color="000000" w:fill="FFE68F"/>
            <w:noWrap/>
            <w:hideMark/>
          </w:tcPr>
          <w:p w14:paraId="2581A7C7"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380</w:t>
            </w:r>
          </w:p>
        </w:tc>
        <w:tc>
          <w:tcPr>
            <w:tcW w:w="1134" w:type="dxa"/>
            <w:tcBorders>
              <w:top w:val="nil"/>
              <w:left w:val="nil"/>
              <w:bottom w:val="nil"/>
              <w:right w:val="single" w:sz="8" w:space="0" w:color="auto"/>
            </w:tcBorders>
            <w:shd w:val="clear" w:color="000000" w:fill="FFE68F"/>
            <w:noWrap/>
            <w:hideMark/>
          </w:tcPr>
          <w:p w14:paraId="7A0E4E5D"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380</w:t>
            </w:r>
          </w:p>
        </w:tc>
        <w:tc>
          <w:tcPr>
            <w:tcW w:w="1134" w:type="dxa"/>
            <w:tcBorders>
              <w:top w:val="nil"/>
              <w:left w:val="nil"/>
              <w:bottom w:val="nil"/>
              <w:right w:val="single" w:sz="8" w:space="0" w:color="auto"/>
            </w:tcBorders>
            <w:shd w:val="clear" w:color="000000" w:fill="FFE68F"/>
            <w:noWrap/>
            <w:hideMark/>
          </w:tcPr>
          <w:p w14:paraId="11E13428"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380</w:t>
            </w:r>
          </w:p>
        </w:tc>
        <w:tc>
          <w:tcPr>
            <w:tcW w:w="1134" w:type="dxa"/>
            <w:tcBorders>
              <w:top w:val="nil"/>
              <w:left w:val="nil"/>
              <w:bottom w:val="nil"/>
              <w:right w:val="single" w:sz="12" w:space="0" w:color="auto"/>
            </w:tcBorders>
            <w:shd w:val="clear" w:color="000000" w:fill="FFE68F"/>
            <w:noWrap/>
            <w:hideMark/>
          </w:tcPr>
          <w:p w14:paraId="079AAB71" w14:textId="77777777" w:rsidR="00B06390" w:rsidRPr="000C5235" w:rsidRDefault="00B06390" w:rsidP="000A7DEC">
            <w:pPr>
              <w:pStyle w:val="LeasingProgTableText"/>
              <w:spacing w:line="220" w:lineRule="atLeast"/>
              <w:jc w:val="right"/>
              <w:rPr>
                <w:color w:val="0070C0"/>
                <w:szCs w:val="20"/>
              </w:rPr>
            </w:pPr>
            <w:r w:rsidRPr="000C5235">
              <w:rPr>
                <w:color w:val="0070C0"/>
                <w:sz w:val="20"/>
                <w:szCs w:val="20"/>
              </w:rPr>
              <w:t>380</w:t>
            </w:r>
          </w:p>
        </w:tc>
      </w:tr>
      <w:tr w:rsidR="001C70F1" w:rsidRPr="000C5235" w14:paraId="414F85DD" w14:textId="77777777" w:rsidTr="000A7DEC">
        <w:trPr>
          <w:trHeight w:val="293"/>
        </w:trPr>
        <w:tc>
          <w:tcPr>
            <w:tcW w:w="3364" w:type="dxa"/>
            <w:tcBorders>
              <w:top w:val="nil"/>
              <w:left w:val="single" w:sz="12" w:space="0" w:color="auto"/>
              <w:bottom w:val="nil"/>
              <w:right w:val="single" w:sz="8" w:space="0" w:color="auto"/>
            </w:tcBorders>
            <w:shd w:val="clear" w:color="auto" w:fill="CCECFF"/>
          </w:tcPr>
          <w:p w14:paraId="171C1B2D" w14:textId="77777777" w:rsidR="00B06390" w:rsidRPr="000C5235" w:rsidRDefault="00B06390" w:rsidP="000A7DEC">
            <w:pPr>
              <w:pStyle w:val="LeasingProgTableText"/>
              <w:spacing w:line="220" w:lineRule="atLeast"/>
              <w:ind w:left="165"/>
              <w:rPr>
                <w:color w:val="0070C0"/>
                <w:szCs w:val="20"/>
              </w:rPr>
            </w:pPr>
            <w:r w:rsidRPr="000C5235">
              <w:rPr>
                <w:color w:val="0070C0"/>
                <w:szCs w:val="20"/>
              </w:rPr>
              <w:t>Credit applied to rental supplier expenses (rental payments)</w:t>
            </w:r>
          </w:p>
        </w:tc>
        <w:tc>
          <w:tcPr>
            <w:tcW w:w="1157" w:type="dxa"/>
            <w:tcBorders>
              <w:top w:val="nil"/>
              <w:left w:val="nil"/>
              <w:bottom w:val="nil"/>
              <w:right w:val="single" w:sz="8" w:space="0" w:color="auto"/>
            </w:tcBorders>
            <w:shd w:val="clear" w:color="auto" w:fill="CCECFF"/>
          </w:tcPr>
          <w:p w14:paraId="2C4B53A2" w14:textId="77777777" w:rsidR="00B06390" w:rsidRPr="000C5235" w:rsidRDefault="00B06390" w:rsidP="000A7DEC">
            <w:pPr>
              <w:pStyle w:val="LeasingProgTableText"/>
              <w:spacing w:line="220" w:lineRule="atLeast"/>
              <w:jc w:val="right"/>
              <w:rPr>
                <w:color w:val="FF0000"/>
                <w:szCs w:val="20"/>
              </w:rPr>
            </w:pPr>
            <w:r w:rsidRPr="000C5235">
              <w:rPr>
                <w:color w:val="FF0000"/>
                <w:szCs w:val="20"/>
              </w:rPr>
              <w:t>-376</w:t>
            </w:r>
          </w:p>
        </w:tc>
        <w:tc>
          <w:tcPr>
            <w:tcW w:w="993" w:type="dxa"/>
            <w:tcBorders>
              <w:top w:val="nil"/>
              <w:left w:val="nil"/>
              <w:bottom w:val="nil"/>
              <w:right w:val="single" w:sz="8" w:space="0" w:color="auto"/>
            </w:tcBorders>
            <w:shd w:val="clear" w:color="auto" w:fill="CCECFF"/>
            <w:noWrap/>
          </w:tcPr>
          <w:p w14:paraId="60D42FDD" w14:textId="77777777" w:rsidR="00B06390" w:rsidRPr="000C5235" w:rsidRDefault="00B06390" w:rsidP="000A7DEC">
            <w:pPr>
              <w:pStyle w:val="LeasingProgTableText"/>
              <w:spacing w:line="220" w:lineRule="atLeast"/>
              <w:jc w:val="right"/>
              <w:rPr>
                <w:color w:val="FF0000"/>
                <w:szCs w:val="20"/>
              </w:rPr>
            </w:pPr>
            <w:r w:rsidRPr="000C5235">
              <w:rPr>
                <w:color w:val="FF0000"/>
                <w:szCs w:val="20"/>
              </w:rPr>
              <w:t>-384</w:t>
            </w:r>
          </w:p>
        </w:tc>
        <w:tc>
          <w:tcPr>
            <w:tcW w:w="1134" w:type="dxa"/>
            <w:tcBorders>
              <w:top w:val="nil"/>
              <w:left w:val="nil"/>
              <w:bottom w:val="nil"/>
              <w:right w:val="single" w:sz="8" w:space="0" w:color="auto"/>
            </w:tcBorders>
            <w:shd w:val="clear" w:color="auto" w:fill="CCECFF"/>
            <w:noWrap/>
          </w:tcPr>
          <w:p w14:paraId="473D0C19" w14:textId="77777777" w:rsidR="00B06390" w:rsidRPr="000C5235" w:rsidRDefault="00B06390" w:rsidP="000A7DEC">
            <w:pPr>
              <w:pStyle w:val="LeasingProgTableText"/>
              <w:spacing w:line="220" w:lineRule="atLeast"/>
              <w:jc w:val="right"/>
              <w:rPr>
                <w:color w:val="FF0000"/>
                <w:szCs w:val="20"/>
              </w:rPr>
            </w:pPr>
            <w:r w:rsidRPr="000C5235">
              <w:rPr>
                <w:color w:val="FF0000"/>
                <w:szCs w:val="20"/>
              </w:rPr>
              <w:t>-392</w:t>
            </w:r>
          </w:p>
        </w:tc>
        <w:tc>
          <w:tcPr>
            <w:tcW w:w="1134" w:type="dxa"/>
            <w:tcBorders>
              <w:top w:val="nil"/>
              <w:left w:val="nil"/>
              <w:bottom w:val="nil"/>
              <w:right w:val="single" w:sz="8" w:space="0" w:color="auto"/>
            </w:tcBorders>
            <w:shd w:val="clear" w:color="auto" w:fill="CCECFF"/>
            <w:noWrap/>
          </w:tcPr>
          <w:p w14:paraId="0C05FA9E" w14:textId="77777777" w:rsidR="00B06390" w:rsidRPr="000C5235" w:rsidRDefault="00B06390" w:rsidP="000A7DEC">
            <w:pPr>
              <w:pStyle w:val="LeasingProgTableText"/>
              <w:spacing w:line="220" w:lineRule="atLeast"/>
              <w:jc w:val="right"/>
              <w:rPr>
                <w:color w:val="FF0000"/>
                <w:szCs w:val="20"/>
              </w:rPr>
            </w:pPr>
            <w:r w:rsidRPr="000C5235">
              <w:rPr>
                <w:color w:val="FF0000"/>
                <w:szCs w:val="20"/>
              </w:rPr>
              <w:t>-405</w:t>
            </w:r>
          </w:p>
        </w:tc>
        <w:tc>
          <w:tcPr>
            <w:tcW w:w="1134" w:type="dxa"/>
            <w:tcBorders>
              <w:top w:val="nil"/>
              <w:left w:val="nil"/>
              <w:bottom w:val="nil"/>
              <w:right w:val="single" w:sz="12" w:space="0" w:color="auto"/>
            </w:tcBorders>
            <w:shd w:val="clear" w:color="auto" w:fill="CCECFF"/>
            <w:noWrap/>
          </w:tcPr>
          <w:p w14:paraId="5C6C4993" w14:textId="77777777" w:rsidR="00B06390" w:rsidRPr="000C5235" w:rsidRDefault="00B06390" w:rsidP="000A7DEC">
            <w:pPr>
              <w:pStyle w:val="LeasingProgTableText"/>
              <w:spacing w:line="220" w:lineRule="atLeast"/>
              <w:jc w:val="right"/>
              <w:rPr>
                <w:color w:val="FF0000"/>
                <w:szCs w:val="20"/>
              </w:rPr>
            </w:pPr>
            <w:r w:rsidRPr="000C5235">
              <w:rPr>
                <w:color w:val="FF0000"/>
                <w:szCs w:val="20"/>
              </w:rPr>
              <w:t>-4</w:t>
            </w:r>
            <w:r w:rsidR="008C3275" w:rsidRPr="000C5235">
              <w:rPr>
                <w:color w:val="FF0000"/>
                <w:szCs w:val="20"/>
              </w:rPr>
              <w:t>12</w:t>
            </w:r>
          </w:p>
        </w:tc>
      </w:tr>
      <w:tr w:rsidR="001C70F1" w:rsidRPr="000C5235" w14:paraId="3D48BC7A" w14:textId="77777777" w:rsidTr="000A7DEC">
        <w:trPr>
          <w:trHeight w:val="293"/>
        </w:trPr>
        <w:tc>
          <w:tcPr>
            <w:tcW w:w="3364" w:type="dxa"/>
            <w:tcBorders>
              <w:top w:val="nil"/>
              <w:left w:val="single" w:sz="12" w:space="0" w:color="auto"/>
              <w:bottom w:val="nil"/>
              <w:right w:val="single" w:sz="8" w:space="0" w:color="auto"/>
            </w:tcBorders>
            <w:shd w:val="clear" w:color="000000" w:fill="FFFFFF"/>
            <w:hideMark/>
          </w:tcPr>
          <w:p w14:paraId="22CF339F" w14:textId="77777777" w:rsidR="00B06390" w:rsidRPr="000C5235" w:rsidRDefault="00B06390"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000000" w:fill="FFFFFF"/>
          </w:tcPr>
          <w:p w14:paraId="01FC276B" w14:textId="77777777" w:rsidR="00B06390" w:rsidRPr="000C5235"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000000" w:fill="FFFFFF"/>
            <w:noWrap/>
          </w:tcPr>
          <w:p w14:paraId="4180E061"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000000" w:fill="FFFFFF"/>
            <w:noWrap/>
          </w:tcPr>
          <w:p w14:paraId="082CBF0A"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000000" w:fill="FFFFFF"/>
            <w:noWrap/>
          </w:tcPr>
          <w:p w14:paraId="37A985ED"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000000" w:fill="FFFFFF"/>
            <w:noWrap/>
          </w:tcPr>
          <w:p w14:paraId="7D839DC6" w14:textId="77777777" w:rsidR="00B06390" w:rsidRPr="000C5235" w:rsidRDefault="00B06390" w:rsidP="000A7DEC">
            <w:pPr>
              <w:pStyle w:val="LeasingProgTableText"/>
              <w:spacing w:line="220" w:lineRule="atLeast"/>
              <w:jc w:val="right"/>
              <w:rPr>
                <w:szCs w:val="20"/>
              </w:rPr>
            </w:pPr>
          </w:p>
        </w:tc>
      </w:tr>
      <w:tr w:rsidR="001C70F1" w:rsidRPr="000C5235" w14:paraId="0AE179D1" w14:textId="77777777" w:rsidTr="000A7DEC">
        <w:trPr>
          <w:trHeight w:val="293"/>
        </w:trPr>
        <w:tc>
          <w:tcPr>
            <w:tcW w:w="3364" w:type="dxa"/>
            <w:tcBorders>
              <w:top w:val="nil"/>
              <w:left w:val="single" w:sz="12" w:space="0" w:color="auto"/>
              <w:bottom w:val="nil"/>
              <w:right w:val="single" w:sz="8" w:space="0" w:color="auto"/>
            </w:tcBorders>
            <w:shd w:val="clear" w:color="000000" w:fill="FFFFFF"/>
            <w:noWrap/>
            <w:hideMark/>
          </w:tcPr>
          <w:p w14:paraId="2A735E6D" w14:textId="77777777" w:rsidR="00B06390" w:rsidRPr="000C5235" w:rsidRDefault="00B06390" w:rsidP="000A7DEC">
            <w:pPr>
              <w:pStyle w:val="LeasingProgTableText"/>
              <w:spacing w:line="220" w:lineRule="atLeast"/>
              <w:rPr>
                <w:szCs w:val="20"/>
              </w:rPr>
            </w:pPr>
            <w:r w:rsidRPr="000C5235">
              <w:rPr>
                <w:szCs w:val="20"/>
              </w:rPr>
              <w:t>s74 External Revenue</w:t>
            </w:r>
          </w:p>
        </w:tc>
        <w:tc>
          <w:tcPr>
            <w:tcW w:w="1157" w:type="dxa"/>
            <w:tcBorders>
              <w:top w:val="nil"/>
              <w:left w:val="nil"/>
              <w:bottom w:val="nil"/>
              <w:right w:val="single" w:sz="8" w:space="0" w:color="auto"/>
            </w:tcBorders>
            <w:shd w:val="clear" w:color="000000" w:fill="FFFFFF"/>
            <w:hideMark/>
          </w:tcPr>
          <w:p w14:paraId="26FA47BA" w14:textId="77777777" w:rsidR="00B06390" w:rsidRPr="000C5235" w:rsidRDefault="00B06390" w:rsidP="000A7DEC">
            <w:pPr>
              <w:pStyle w:val="LeasingProgTableText"/>
              <w:spacing w:line="220" w:lineRule="atLeast"/>
              <w:jc w:val="right"/>
              <w:rPr>
                <w:szCs w:val="20"/>
              </w:rPr>
            </w:pPr>
            <w:r w:rsidRPr="000C5235">
              <w:rPr>
                <w:szCs w:val="20"/>
              </w:rPr>
              <w:t>30</w:t>
            </w:r>
          </w:p>
        </w:tc>
        <w:tc>
          <w:tcPr>
            <w:tcW w:w="993" w:type="dxa"/>
            <w:tcBorders>
              <w:top w:val="nil"/>
              <w:left w:val="nil"/>
              <w:bottom w:val="nil"/>
              <w:right w:val="single" w:sz="8" w:space="0" w:color="auto"/>
            </w:tcBorders>
            <w:shd w:val="clear" w:color="000000" w:fill="FFFFFF"/>
            <w:noWrap/>
            <w:hideMark/>
          </w:tcPr>
          <w:p w14:paraId="6A9E7306" w14:textId="77777777" w:rsidR="00B06390" w:rsidRPr="000C5235" w:rsidRDefault="00B06390" w:rsidP="000A7DEC">
            <w:pPr>
              <w:pStyle w:val="LeasingProgTableText"/>
              <w:spacing w:line="220" w:lineRule="atLeast"/>
              <w:jc w:val="right"/>
              <w:rPr>
                <w:szCs w:val="20"/>
              </w:rPr>
            </w:pPr>
            <w:r w:rsidRPr="000C5235">
              <w:rPr>
                <w:szCs w:val="20"/>
              </w:rPr>
              <w:t>30</w:t>
            </w:r>
          </w:p>
        </w:tc>
        <w:tc>
          <w:tcPr>
            <w:tcW w:w="1134" w:type="dxa"/>
            <w:tcBorders>
              <w:top w:val="nil"/>
              <w:left w:val="nil"/>
              <w:bottom w:val="nil"/>
              <w:right w:val="single" w:sz="8" w:space="0" w:color="auto"/>
            </w:tcBorders>
            <w:shd w:val="clear" w:color="000000" w:fill="FFFFFF"/>
            <w:noWrap/>
            <w:hideMark/>
          </w:tcPr>
          <w:p w14:paraId="5BAF9FD2" w14:textId="77777777" w:rsidR="00B06390" w:rsidRPr="000C5235" w:rsidRDefault="00B06390" w:rsidP="000A7DEC">
            <w:pPr>
              <w:pStyle w:val="LeasingProgTableText"/>
              <w:spacing w:line="220" w:lineRule="atLeast"/>
              <w:jc w:val="right"/>
              <w:rPr>
                <w:szCs w:val="20"/>
              </w:rPr>
            </w:pPr>
            <w:r w:rsidRPr="000C5235">
              <w:rPr>
                <w:szCs w:val="20"/>
              </w:rPr>
              <w:t>30</w:t>
            </w:r>
          </w:p>
        </w:tc>
        <w:tc>
          <w:tcPr>
            <w:tcW w:w="1134" w:type="dxa"/>
            <w:tcBorders>
              <w:top w:val="nil"/>
              <w:left w:val="nil"/>
              <w:bottom w:val="nil"/>
              <w:right w:val="single" w:sz="8" w:space="0" w:color="auto"/>
            </w:tcBorders>
            <w:shd w:val="clear" w:color="000000" w:fill="FFFFFF"/>
            <w:noWrap/>
            <w:hideMark/>
          </w:tcPr>
          <w:p w14:paraId="7B9311AE" w14:textId="77777777" w:rsidR="00B06390" w:rsidRPr="000C5235" w:rsidRDefault="00B06390" w:rsidP="000A7DEC">
            <w:pPr>
              <w:pStyle w:val="LeasingProgTableText"/>
              <w:spacing w:line="220" w:lineRule="atLeast"/>
              <w:jc w:val="right"/>
              <w:rPr>
                <w:szCs w:val="20"/>
              </w:rPr>
            </w:pPr>
            <w:r w:rsidRPr="000C5235">
              <w:rPr>
                <w:szCs w:val="20"/>
              </w:rPr>
              <w:t>30</w:t>
            </w:r>
          </w:p>
        </w:tc>
        <w:tc>
          <w:tcPr>
            <w:tcW w:w="1134" w:type="dxa"/>
            <w:tcBorders>
              <w:top w:val="nil"/>
              <w:left w:val="nil"/>
              <w:bottom w:val="nil"/>
              <w:right w:val="single" w:sz="12" w:space="0" w:color="auto"/>
            </w:tcBorders>
            <w:shd w:val="clear" w:color="000000" w:fill="FFFFFF"/>
            <w:noWrap/>
            <w:hideMark/>
          </w:tcPr>
          <w:p w14:paraId="541A2A9C" w14:textId="77777777" w:rsidR="00B06390" w:rsidRPr="000C5235" w:rsidRDefault="00B06390" w:rsidP="000A7DEC">
            <w:pPr>
              <w:pStyle w:val="LeasingProgTableText"/>
              <w:spacing w:line="220" w:lineRule="atLeast"/>
              <w:jc w:val="right"/>
              <w:rPr>
                <w:szCs w:val="20"/>
              </w:rPr>
            </w:pPr>
            <w:r w:rsidRPr="000C5235">
              <w:rPr>
                <w:szCs w:val="20"/>
              </w:rPr>
              <w:t>30</w:t>
            </w:r>
          </w:p>
        </w:tc>
      </w:tr>
      <w:tr w:rsidR="001C70F1" w:rsidRPr="000C5235" w14:paraId="0599F839" w14:textId="77777777" w:rsidTr="000A7DEC">
        <w:trPr>
          <w:trHeight w:val="293"/>
        </w:trPr>
        <w:tc>
          <w:tcPr>
            <w:tcW w:w="3364" w:type="dxa"/>
            <w:tcBorders>
              <w:top w:val="nil"/>
              <w:left w:val="single" w:sz="12" w:space="0" w:color="auto"/>
              <w:bottom w:val="nil"/>
              <w:right w:val="single" w:sz="8" w:space="0" w:color="auto"/>
            </w:tcBorders>
            <w:shd w:val="clear" w:color="000000" w:fill="FFFFFF"/>
            <w:hideMark/>
          </w:tcPr>
          <w:p w14:paraId="070B03EC" w14:textId="77777777" w:rsidR="00B06390" w:rsidRPr="000C5235" w:rsidRDefault="00B06390" w:rsidP="000A7DEC">
            <w:pPr>
              <w:pStyle w:val="LeasingProgTableText"/>
              <w:spacing w:line="220" w:lineRule="atLeast"/>
              <w:rPr>
                <w:szCs w:val="20"/>
              </w:rPr>
            </w:pPr>
          </w:p>
        </w:tc>
        <w:tc>
          <w:tcPr>
            <w:tcW w:w="1157" w:type="dxa"/>
            <w:tcBorders>
              <w:top w:val="nil"/>
              <w:left w:val="nil"/>
              <w:bottom w:val="nil"/>
              <w:right w:val="single" w:sz="8" w:space="0" w:color="auto"/>
            </w:tcBorders>
            <w:shd w:val="clear" w:color="000000" w:fill="FFFFFF"/>
          </w:tcPr>
          <w:p w14:paraId="4CA222AA" w14:textId="77777777" w:rsidR="00B06390" w:rsidRPr="000C5235"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000000" w:fill="FFFFFF"/>
            <w:noWrap/>
          </w:tcPr>
          <w:p w14:paraId="0318BADD"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000000" w:fill="FFFFFF"/>
            <w:noWrap/>
          </w:tcPr>
          <w:p w14:paraId="66C5615C"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000000" w:fill="FFFFFF"/>
            <w:noWrap/>
          </w:tcPr>
          <w:p w14:paraId="3D3505A7"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000000" w:fill="FFFFFF"/>
            <w:noWrap/>
          </w:tcPr>
          <w:p w14:paraId="3626B27B" w14:textId="77777777" w:rsidR="00B06390" w:rsidRPr="000C5235" w:rsidRDefault="00B06390" w:rsidP="000A7DEC">
            <w:pPr>
              <w:pStyle w:val="LeasingProgTableText"/>
              <w:spacing w:line="220" w:lineRule="atLeast"/>
              <w:jc w:val="right"/>
              <w:rPr>
                <w:szCs w:val="20"/>
              </w:rPr>
            </w:pPr>
          </w:p>
        </w:tc>
      </w:tr>
      <w:tr w:rsidR="001C70F1" w:rsidRPr="000C5235" w14:paraId="59B099EC" w14:textId="77777777" w:rsidTr="000A7DEC">
        <w:trPr>
          <w:trHeight w:val="459"/>
        </w:trPr>
        <w:tc>
          <w:tcPr>
            <w:tcW w:w="3364" w:type="dxa"/>
            <w:tcBorders>
              <w:top w:val="nil"/>
              <w:left w:val="single" w:sz="12" w:space="0" w:color="auto"/>
              <w:bottom w:val="nil"/>
              <w:right w:val="single" w:sz="8" w:space="0" w:color="auto"/>
            </w:tcBorders>
            <w:shd w:val="clear" w:color="000000" w:fill="FFFFFF"/>
            <w:hideMark/>
          </w:tcPr>
          <w:p w14:paraId="7ED44685" w14:textId="77777777" w:rsidR="00B06390" w:rsidRPr="000C5235" w:rsidRDefault="00B06390" w:rsidP="000A7DEC">
            <w:pPr>
              <w:pStyle w:val="LeasingProgTableText"/>
              <w:spacing w:line="220" w:lineRule="atLeast"/>
              <w:rPr>
                <w:szCs w:val="20"/>
              </w:rPr>
            </w:pPr>
            <w:r w:rsidRPr="000C5235">
              <w:rPr>
                <w:szCs w:val="20"/>
              </w:rPr>
              <w:t>Expenses not requiring appropriation in the Budget Year</w:t>
            </w:r>
          </w:p>
        </w:tc>
        <w:tc>
          <w:tcPr>
            <w:tcW w:w="1157" w:type="dxa"/>
            <w:tcBorders>
              <w:top w:val="nil"/>
              <w:left w:val="nil"/>
              <w:bottom w:val="nil"/>
              <w:right w:val="single" w:sz="8" w:space="0" w:color="auto"/>
            </w:tcBorders>
            <w:shd w:val="clear" w:color="000000" w:fill="FFFFFF"/>
            <w:hideMark/>
          </w:tcPr>
          <w:p w14:paraId="30A255C7" w14:textId="77777777" w:rsidR="00B06390" w:rsidRPr="000C5235" w:rsidRDefault="00B06390" w:rsidP="000A7DEC">
            <w:pPr>
              <w:pStyle w:val="LeasingProgTableText"/>
              <w:spacing w:line="220" w:lineRule="atLeast"/>
              <w:jc w:val="right"/>
              <w:rPr>
                <w:szCs w:val="20"/>
              </w:rPr>
            </w:pPr>
            <w:r w:rsidRPr="000C5235">
              <w:rPr>
                <w:szCs w:val="20"/>
              </w:rPr>
              <w:t>100</w:t>
            </w:r>
          </w:p>
        </w:tc>
        <w:tc>
          <w:tcPr>
            <w:tcW w:w="993" w:type="dxa"/>
            <w:tcBorders>
              <w:top w:val="nil"/>
              <w:left w:val="nil"/>
              <w:bottom w:val="nil"/>
              <w:right w:val="single" w:sz="8" w:space="0" w:color="auto"/>
            </w:tcBorders>
            <w:shd w:val="clear" w:color="000000" w:fill="FFFFFF"/>
            <w:noWrap/>
            <w:hideMark/>
          </w:tcPr>
          <w:p w14:paraId="5EC177B3" w14:textId="77777777" w:rsidR="00B06390" w:rsidRPr="000C5235" w:rsidRDefault="00B06390" w:rsidP="000A7DEC">
            <w:pPr>
              <w:pStyle w:val="LeasingProgTableText"/>
              <w:spacing w:line="220" w:lineRule="atLeast"/>
              <w:jc w:val="right"/>
              <w:rPr>
                <w:szCs w:val="20"/>
              </w:rPr>
            </w:pPr>
            <w:r w:rsidRPr="000C5235">
              <w:rPr>
                <w:szCs w:val="20"/>
              </w:rPr>
              <w:t>100</w:t>
            </w:r>
          </w:p>
        </w:tc>
        <w:tc>
          <w:tcPr>
            <w:tcW w:w="1134" w:type="dxa"/>
            <w:tcBorders>
              <w:top w:val="nil"/>
              <w:left w:val="nil"/>
              <w:bottom w:val="nil"/>
              <w:right w:val="single" w:sz="8" w:space="0" w:color="auto"/>
            </w:tcBorders>
            <w:shd w:val="clear" w:color="000000" w:fill="FFFFFF"/>
            <w:noWrap/>
            <w:hideMark/>
          </w:tcPr>
          <w:p w14:paraId="3F1A0803" w14:textId="77777777" w:rsidR="00B06390" w:rsidRPr="000C5235" w:rsidRDefault="00B06390" w:rsidP="000A7DEC">
            <w:pPr>
              <w:pStyle w:val="LeasingProgTableText"/>
              <w:spacing w:line="220" w:lineRule="atLeast"/>
              <w:jc w:val="right"/>
              <w:rPr>
                <w:szCs w:val="20"/>
              </w:rPr>
            </w:pPr>
            <w:r w:rsidRPr="000C5235">
              <w:rPr>
                <w:szCs w:val="20"/>
              </w:rPr>
              <w:t>100</w:t>
            </w:r>
          </w:p>
        </w:tc>
        <w:tc>
          <w:tcPr>
            <w:tcW w:w="1134" w:type="dxa"/>
            <w:tcBorders>
              <w:top w:val="nil"/>
              <w:left w:val="nil"/>
              <w:bottom w:val="nil"/>
              <w:right w:val="single" w:sz="8" w:space="0" w:color="auto"/>
            </w:tcBorders>
            <w:shd w:val="clear" w:color="000000" w:fill="FFFFFF"/>
            <w:noWrap/>
            <w:hideMark/>
          </w:tcPr>
          <w:p w14:paraId="64B229D6" w14:textId="77777777" w:rsidR="00B06390" w:rsidRPr="000C5235" w:rsidRDefault="00B06390" w:rsidP="000A7DEC">
            <w:pPr>
              <w:pStyle w:val="LeasingProgTableText"/>
              <w:spacing w:line="220" w:lineRule="atLeast"/>
              <w:jc w:val="right"/>
              <w:rPr>
                <w:szCs w:val="20"/>
              </w:rPr>
            </w:pPr>
            <w:r w:rsidRPr="000C5235">
              <w:rPr>
                <w:szCs w:val="20"/>
              </w:rPr>
              <w:t>100</w:t>
            </w:r>
          </w:p>
        </w:tc>
        <w:tc>
          <w:tcPr>
            <w:tcW w:w="1134" w:type="dxa"/>
            <w:tcBorders>
              <w:top w:val="nil"/>
              <w:left w:val="nil"/>
              <w:bottom w:val="nil"/>
              <w:right w:val="single" w:sz="12" w:space="0" w:color="auto"/>
            </w:tcBorders>
            <w:shd w:val="clear" w:color="000000" w:fill="FFFFFF"/>
            <w:noWrap/>
            <w:hideMark/>
          </w:tcPr>
          <w:p w14:paraId="21FBF346" w14:textId="77777777" w:rsidR="00B06390" w:rsidRPr="000C5235" w:rsidRDefault="00B06390" w:rsidP="000A7DEC">
            <w:pPr>
              <w:pStyle w:val="LeasingProgTableText"/>
              <w:spacing w:line="220" w:lineRule="atLeast"/>
              <w:jc w:val="right"/>
              <w:rPr>
                <w:szCs w:val="20"/>
              </w:rPr>
            </w:pPr>
            <w:r w:rsidRPr="000C5235">
              <w:rPr>
                <w:szCs w:val="20"/>
              </w:rPr>
              <w:t>100</w:t>
            </w:r>
          </w:p>
        </w:tc>
      </w:tr>
      <w:tr w:rsidR="001C70F1" w:rsidRPr="000C5235" w14:paraId="67A9BED2" w14:textId="77777777" w:rsidTr="000A7DEC">
        <w:trPr>
          <w:trHeight w:val="293"/>
        </w:trPr>
        <w:tc>
          <w:tcPr>
            <w:tcW w:w="3364" w:type="dxa"/>
            <w:tcBorders>
              <w:top w:val="nil"/>
              <w:left w:val="single" w:sz="12" w:space="0" w:color="auto"/>
              <w:bottom w:val="nil"/>
              <w:right w:val="single" w:sz="8" w:space="0" w:color="auto"/>
            </w:tcBorders>
            <w:shd w:val="clear" w:color="auto" w:fill="FFE68F" w:themeFill="accent6" w:themeFillTint="66"/>
            <w:hideMark/>
          </w:tcPr>
          <w:p w14:paraId="670DD63D" w14:textId="77777777" w:rsidR="00B06390" w:rsidRPr="000C5235" w:rsidRDefault="00B06390" w:rsidP="000A7DEC">
            <w:pPr>
              <w:pStyle w:val="LeasingProgTableText"/>
              <w:spacing w:line="220" w:lineRule="atLeast"/>
              <w:ind w:left="165"/>
              <w:rPr>
                <w:color w:val="0070C0"/>
                <w:szCs w:val="20"/>
                <w:u w:val="single"/>
              </w:rPr>
            </w:pPr>
            <w:r w:rsidRPr="000C5235">
              <w:rPr>
                <w:color w:val="0070C0"/>
                <w:szCs w:val="20"/>
                <w:u w:val="single"/>
              </w:rPr>
              <w:t>Consists of:</w:t>
            </w:r>
          </w:p>
        </w:tc>
        <w:tc>
          <w:tcPr>
            <w:tcW w:w="1157" w:type="dxa"/>
            <w:tcBorders>
              <w:top w:val="nil"/>
              <w:left w:val="nil"/>
              <w:bottom w:val="nil"/>
              <w:right w:val="single" w:sz="8" w:space="0" w:color="auto"/>
            </w:tcBorders>
            <w:shd w:val="clear" w:color="auto" w:fill="FFE68F" w:themeFill="accent6" w:themeFillTint="66"/>
          </w:tcPr>
          <w:p w14:paraId="18E0C465" w14:textId="77777777" w:rsidR="00B06390" w:rsidRPr="000C5235" w:rsidRDefault="00B06390" w:rsidP="000A7DEC">
            <w:pPr>
              <w:pStyle w:val="LeasingProgTableText"/>
              <w:spacing w:line="220" w:lineRule="atLeast"/>
              <w:jc w:val="right"/>
              <w:rPr>
                <w:szCs w:val="20"/>
              </w:rPr>
            </w:pPr>
          </w:p>
        </w:tc>
        <w:tc>
          <w:tcPr>
            <w:tcW w:w="993" w:type="dxa"/>
            <w:tcBorders>
              <w:top w:val="nil"/>
              <w:left w:val="nil"/>
              <w:bottom w:val="nil"/>
              <w:right w:val="single" w:sz="8" w:space="0" w:color="auto"/>
            </w:tcBorders>
            <w:shd w:val="clear" w:color="auto" w:fill="FFE68F" w:themeFill="accent6" w:themeFillTint="66"/>
            <w:noWrap/>
          </w:tcPr>
          <w:p w14:paraId="01DB0F31"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4BE27CA1"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8" w:space="0" w:color="auto"/>
            </w:tcBorders>
            <w:shd w:val="clear" w:color="auto" w:fill="FFE68F" w:themeFill="accent6" w:themeFillTint="66"/>
            <w:noWrap/>
          </w:tcPr>
          <w:p w14:paraId="4AD3FE50" w14:textId="77777777" w:rsidR="00B06390" w:rsidRPr="000C5235" w:rsidRDefault="00B06390"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auto" w:fill="FFE68F" w:themeFill="accent6" w:themeFillTint="66"/>
            <w:noWrap/>
          </w:tcPr>
          <w:p w14:paraId="41D01B07" w14:textId="77777777" w:rsidR="00B06390" w:rsidRPr="000C5235" w:rsidRDefault="00B06390" w:rsidP="000A7DEC">
            <w:pPr>
              <w:pStyle w:val="LeasingProgTableText"/>
              <w:spacing w:line="220" w:lineRule="atLeast"/>
              <w:jc w:val="right"/>
              <w:rPr>
                <w:szCs w:val="20"/>
              </w:rPr>
            </w:pPr>
          </w:p>
        </w:tc>
      </w:tr>
      <w:tr w:rsidR="001C70F1" w:rsidRPr="000C5235" w14:paraId="152D4021" w14:textId="77777777" w:rsidTr="000A7DEC">
        <w:trPr>
          <w:trHeight w:val="306"/>
        </w:trPr>
        <w:tc>
          <w:tcPr>
            <w:tcW w:w="3364" w:type="dxa"/>
            <w:tcBorders>
              <w:top w:val="nil"/>
              <w:left w:val="single" w:sz="12" w:space="0" w:color="auto"/>
              <w:bottom w:val="nil"/>
              <w:right w:val="single" w:sz="8" w:space="0" w:color="auto"/>
            </w:tcBorders>
            <w:shd w:val="clear" w:color="auto" w:fill="FFE68F" w:themeFill="accent6" w:themeFillTint="66"/>
            <w:hideMark/>
          </w:tcPr>
          <w:p w14:paraId="760A71FA" w14:textId="77777777" w:rsidR="00B06390" w:rsidRPr="000C5235" w:rsidRDefault="00B06390" w:rsidP="000A7DEC">
            <w:pPr>
              <w:pStyle w:val="LeasingProgTableText"/>
              <w:spacing w:line="220" w:lineRule="atLeast"/>
              <w:ind w:left="165"/>
              <w:rPr>
                <w:color w:val="0070C0"/>
                <w:szCs w:val="20"/>
              </w:rPr>
            </w:pPr>
            <w:r w:rsidRPr="000C5235">
              <w:rPr>
                <w:color w:val="0070C0"/>
                <w:szCs w:val="20"/>
              </w:rPr>
              <w:t>Other Depreciation</w:t>
            </w:r>
          </w:p>
        </w:tc>
        <w:tc>
          <w:tcPr>
            <w:tcW w:w="1157" w:type="dxa"/>
            <w:tcBorders>
              <w:top w:val="nil"/>
              <w:left w:val="nil"/>
              <w:bottom w:val="single" w:sz="8" w:space="0" w:color="auto"/>
              <w:right w:val="single" w:sz="8" w:space="0" w:color="auto"/>
            </w:tcBorders>
            <w:shd w:val="clear" w:color="auto" w:fill="FFE68F" w:themeFill="accent6" w:themeFillTint="66"/>
            <w:hideMark/>
          </w:tcPr>
          <w:p w14:paraId="09C36F0C"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100</w:t>
            </w:r>
          </w:p>
        </w:tc>
        <w:tc>
          <w:tcPr>
            <w:tcW w:w="993" w:type="dxa"/>
            <w:tcBorders>
              <w:top w:val="nil"/>
              <w:left w:val="nil"/>
              <w:bottom w:val="single" w:sz="8" w:space="0" w:color="auto"/>
              <w:right w:val="single" w:sz="8" w:space="0" w:color="auto"/>
            </w:tcBorders>
            <w:shd w:val="clear" w:color="auto" w:fill="FFE68F" w:themeFill="accent6" w:themeFillTint="66"/>
            <w:noWrap/>
            <w:hideMark/>
          </w:tcPr>
          <w:p w14:paraId="2987D024"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100</w:t>
            </w:r>
          </w:p>
        </w:tc>
        <w:tc>
          <w:tcPr>
            <w:tcW w:w="1134" w:type="dxa"/>
            <w:tcBorders>
              <w:top w:val="nil"/>
              <w:left w:val="nil"/>
              <w:bottom w:val="single" w:sz="8" w:space="0" w:color="auto"/>
              <w:right w:val="single" w:sz="8" w:space="0" w:color="auto"/>
            </w:tcBorders>
            <w:shd w:val="clear" w:color="auto" w:fill="FFE68F" w:themeFill="accent6" w:themeFillTint="66"/>
            <w:noWrap/>
            <w:hideMark/>
          </w:tcPr>
          <w:p w14:paraId="5A48B212"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100</w:t>
            </w:r>
          </w:p>
        </w:tc>
        <w:tc>
          <w:tcPr>
            <w:tcW w:w="1134" w:type="dxa"/>
            <w:tcBorders>
              <w:top w:val="nil"/>
              <w:left w:val="nil"/>
              <w:bottom w:val="single" w:sz="8" w:space="0" w:color="auto"/>
              <w:right w:val="single" w:sz="8" w:space="0" w:color="auto"/>
            </w:tcBorders>
            <w:shd w:val="clear" w:color="auto" w:fill="FFE68F" w:themeFill="accent6" w:themeFillTint="66"/>
            <w:noWrap/>
            <w:hideMark/>
          </w:tcPr>
          <w:p w14:paraId="31E430D6"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100</w:t>
            </w:r>
          </w:p>
        </w:tc>
        <w:tc>
          <w:tcPr>
            <w:tcW w:w="1134" w:type="dxa"/>
            <w:tcBorders>
              <w:top w:val="nil"/>
              <w:left w:val="nil"/>
              <w:bottom w:val="single" w:sz="8" w:space="0" w:color="auto"/>
              <w:right w:val="single" w:sz="12" w:space="0" w:color="auto"/>
            </w:tcBorders>
            <w:shd w:val="clear" w:color="auto" w:fill="FFE68F" w:themeFill="accent6" w:themeFillTint="66"/>
            <w:noWrap/>
            <w:hideMark/>
          </w:tcPr>
          <w:p w14:paraId="1A32427C" w14:textId="77777777" w:rsidR="00B06390" w:rsidRPr="000C5235" w:rsidRDefault="00B06390" w:rsidP="000A7DEC">
            <w:pPr>
              <w:pStyle w:val="LeasingProgTableText"/>
              <w:spacing w:line="220" w:lineRule="atLeast"/>
              <w:jc w:val="right"/>
              <w:rPr>
                <w:color w:val="0070C0"/>
                <w:szCs w:val="20"/>
              </w:rPr>
            </w:pPr>
            <w:r w:rsidRPr="000C5235">
              <w:rPr>
                <w:color w:val="0070C0"/>
                <w:szCs w:val="20"/>
              </w:rPr>
              <w:t>100</w:t>
            </w:r>
          </w:p>
        </w:tc>
      </w:tr>
      <w:tr w:rsidR="001C70F1" w:rsidRPr="000C5235" w14:paraId="653E1E99" w14:textId="77777777" w:rsidTr="000A7DEC">
        <w:trPr>
          <w:trHeight w:val="306"/>
        </w:trPr>
        <w:tc>
          <w:tcPr>
            <w:tcW w:w="3364" w:type="dxa"/>
            <w:tcBorders>
              <w:top w:val="nil"/>
              <w:left w:val="single" w:sz="12" w:space="0" w:color="auto"/>
              <w:bottom w:val="nil"/>
              <w:right w:val="single" w:sz="8" w:space="0" w:color="auto"/>
            </w:tcBorders>
            <w:shd w:val="clear" w:color="000000" w:fill="FFFFFF"/>
            <w:noWrap/>
            <w:hideMark/>
          </w:tcPr>
          <w:p w14:paraId="0401E47E" w14:textId="77777777" w:rsidR="00B06390" w:rsidRPr="000C5235" w:rsidRDefault="00B06390" w:rsidP="000A7DEC">
            <w:pPr>
              <w:pStyle w:val="LeasingProgTableText"/>
              <w:spacing w:line="220" w:lineRule="atLeast"/>
              <w:rPr>
                <w:szCs w:val="20"/>
              </w:rPr>
            </w:pPr>
            <w:r w:rsidRPr="000C5235">
              <w:rPr>
                <w:szCs w:val="20"/>
              </w:rPr>
              <w:t>Departmental program expenditure</w:t>
            </w:r>
          </w:p>
        </w:tc>
        <w:tc>
          <w:tcPr>
            <w:tcW w:w="1157" w:type="dxa"/>
            <w:tcBorders>
              <w:top w:val="nil"/>
              <w:left w:val="nil"/>
              <w:bottom w:val="double" w:sz="6" w:space="0" w:color="auto"/>
              <w:right w:val="single" w:sz="8" w:space="0" w:color="auto"/>
            </w:tcBorders>
            <w:shd w:val="clear" w:color="000000" w:fill="FFFFFF"/>
            <w:hideMark/>
          </w:tcPr>
          <w:p w14:paraId="57A77995" w14:textId="77777777" w:rsidR="00B06390" w:rsidRPr="000C5235" w:rsidRDefault="00B06390" w:rsidP="000A7DEC">
            <w:pPr>
              <w:pStyle w:val="LeasingProgTableText"/>
              <w:spacing w:line="220" w:lineRule="atLeast"/>
              <w:jc w:val="right"/>
              <w:rPr>
                <w:szCs w:val="20"/>
              </w:rPr>
            </w:pPr>
            <w:r w:rsidRPr="000C5235">
              <w:rPr>
                <w:szCs w:val="20"/>
              </w:rPr>
              <w:t>5,900</w:t>
            </w:r>
          </w:p>
        </w:tc>
        <w:tc>
          <w:tcPr>
            <w:tcW w:w="993" w:type="dxa"/>
            <w:tcBorders>
              <w:top w:val="nil"/>
              <w:left w:val="nil"/>
              <w:bottom w:val="double" w:sz="6" w:space="0" w:color="auto"/>
              <w:right w:val="single" w:sz="8" w:space="0" w:color="auto"/>
            </w:tcBorders>
            <w:shd w:val="clear" w:color="000000" w:fill="FFFFFF"/>
            <w:hideMark/>
          </w:tcPr>
          <w:p w14:paraId="4EF031BA" w14:textId="77777777" w:rsidR="00B06390" w:rsidRPr="000C5235" w:rsidRDefault="00B06390" w:rsidP="000A7DEC">
            <w:pPr>
              <w:pStyle w:val="LeasingProgTableText"/>
              <w:spacing w:line="220" w:lineRule="atLeast"/>
              <w:jc w:val="right"/>
              <w:rPr>
                <w:szCs w:val="20"/>
              </w:rPr>
            </w:pPr>
            <w:r w:rsidRPr="000C5235">
              <w:rPr>
                <w:szCs w:val="20"/>
              </w:rPr>
              <w:t>6,140</w:t>
            </w:r>
          </w:p>
        </w:tc>
        <w:tc>
          <w:tcPr>
            <w:tcW w:w="1134" w:type="dxa"/>
            <w:tcBorders>
              <w:top w:val="nil"/>
              <w:left w:val="nil"/>
              <w:bottom w:val="double" w:sz="6" w:space="0" w:color="auto"/>
              <w:right w:val="single" w:sz="8" w:space="0" w:color="auto"/>
            </w:tcBorders>
            <w:shd w:val="clear" w:color="000000" w:fill="FFFFFF"/>
            <w:hideMark/>
          </w:tcPr>
          <w:p w14:paraId="6FB09C49" w14:textId="77777777" w:rsidR="00B06390" w:rsidRPr="000C5235" w:rsidRDefault="00B06390" w:rsidP="000A7DEC">
            <w:pPr>
              <w:pStyle w:val="LeasingProgTableText"/>
              <w:spacing w:line="220" w:lineRule="atLeast"/>
              <w:jc w:val="right"/>
              <w:rPr>
                <w:szCs w:val="20"/>
              </w:rPr>
            </w:pPr>
            <w:r w:rsidRPr="000C5235">
              <w:rPr>
                <w:szCs w:val="20"/>
              </w:rPr>
              <w:t>6,230</w:t>
            </w:r>
          </w:p>
        </w:tc>
        <w:tc>
          <w:tcPr>
            <w:tcW w:w="1134" w:type="dxa"/>
            <w:tcBorders>
              <w:top w:val="nil"/>
              <w:left w:val="nil"/>
              <w:bottom w:val="double" w:sz="6" w:space="0" w:color="auto"/>
              <w:right w:val="single" w:sz="8" w:space="0" w:color="auto"/>
            </w:tcBorders>
            <w:shd w:val="clear" w:color="000000" w:fill="FFFFFF"/>
            <w:hideMark/>
          </w:tcPr>
          <w:p w14:paraId="6568960D" w14:textId="77777777" w:rsidR="00B06390" w:rsidRPr="000C5235" w:rsidRDefault="00B06390" w:rsidP="000A7DEC">
            <w:pPr>
              <w:pStyle w:val="LeasingProgTableText"/>
              <w:spacing w:line="220" w:lineRule="atLeast"/>
              <w:jc w:val="right"/>
              <w:rPr>
                <w:szCs w:val="20"/>
              </w:rPr>
            </w:pPr>
            <w:r w:rsidRPr="000C5235">
              <w:rPr>
                <w:szCs w:val="20"/>
              </w:rPr>
              <w:t>6,415</w:t>
            </w:r>
          </w:p>
        </w:tc>
        <w:tc>
          <w:tcPr>
            <w:tcW w:w="1134" w:type="dxa"/>
            <w:tcBorders>
              <w:top w:val="nil"/>
              <w:left w:val="nil"/>
              <w:bottom w:val="double" w:sz="6" w:space="0" w:color="auto"/>
              <w:right w:val="single" w:sz="12" w:space="0" w:color="auto"/>
            </w:tcBorders>
            <w:shd w:val="clear" w:color="000000" w:fill="FFFFFF"/>
            <w:hideMark/>
          </w:tcPr>
          <w:p w14:paraId="78516289" w14:textId="77777777" w:rsidR="00B06390" w:rsidRPr="000C5235" w:rsidRDefault="00B06390" w:rsidP="000A7DEC">
            <w:pPr>
              <w:pStyle w:val="LeasingProgTableText"/>
              <w:spacing w:line="220" w:lineRule="atLeast"/>
              <w:jc w:val="right"/>
              <w:rPr>
                <w:szCs w:val="20"/>
              </w:rPr>
            </w:pPr>
            <w:r w:rsidRPr="000C5235">
              <w:rPr>
                <w:sz w:val="20"/>
                <w:szCs w:val="20"/>
              </w:rPr>
              <w:t>6,5</w:t>
            </w:r>
            <w:r w:rsidR="00D65C98" w:rsidRPr="000C5235">
              <w:rPr>
                <w:szCs w:val="20"/>
              </w:rPr>
              <w:t>83</w:t>
            </w:r>
          </w:p>
        </w:tc>
      </w:tr>
      <w:tr w:rsidR="001C70F1" w:rsidRPr="000C5235" w14:paraId="766CE899" w14:textId="77777777" w:rsidTr="000A7DEC">
        <w:trPr>
          <w:trHeight w:val="306"/>
        </w:trPr>
        <w:tc>
          <w:tcPr>
            <w:tcW w:w="3364" w:type="dxa"/>
            <w:tcBorders>
              <w:top w:val="nil"/>
              <w:left w:val="single" w:sz="12" w:space="0" w:color="auto"/>
              <w:bottom w:val="nil"/>
              <w:right w:val="nil"/>
            </w:tcBorders>
            <w:shd w:val="clear" w:color="000000" w:fill="FFFFFF"/>
            <w:noWrap/>
            <w:hideMark/>
          </w:tcPr>
          <w:p w14:paraId="1B28C51A" w14:textId="77777777" w:rsidR="00261938" w:rsidRPr="000C5235" w:rsidRDefault="00261938" w:rsidP="000A7DEC">
            <w:pPr>
              <w:pStyle w:val="LeasingProgTableText"/>
              <w:spacing w:line="220" w:lineRule="atLeast"/>
              <w:rPr>
                <w:szCs w:val="20"/>
              </w:rPr>
            </w:pPr>
          </w:p>
        </w:tc>
        <w:tc>
          <w:tcPr>
            <w:tcW w:w="1157" w:type="dxa"/>
            <w:tcBorders>
              <w:top w:val="nil"/>
              <w:left w:val="nil"/>
              <w:bottom w:val="nil"/>
              <w:right w:val="nil"/>
            </w:tcBorders>
            <w:shd w:val="clear" w:color="000000" w:fill="FFFFFF"/>
            <w:vAlign w:val="center"/>
          </w:tcPr>
          <w:p w14:paraId="061E310B" w14:textId="77777777" w:rsidR="00261938" w:rsidRPr="000C5235" w:rsidRDefault="00261938" w:rsidP="000A7DEC">
            <w:pPr>
              <w:pStyle w:val="LeasingProgTableText"/>
              <w:spacing w:line="220" w:lineRule="atLeast"/>
              <w:jc w:val="right"/>
              <w:rPr>
                <w:szCs w:val="20"/>
              </w:rPr>
            </w:pPr>
          </w:p>
        </w:tc>
        <w:tc>
          <w:tcPr>
            <w:tcW w:w="993" w:type="dxa"/>
            <w:tcBorders>
              <w:top w:val="nil"/>
              <w:left w:val="nil"/>
              <w:bottom w:val="nil"/>
              <w:right w:val="nil"/>
            </w:tcBorders>
            <w:shd w:val="clear" w:color="000000" w:fill="FFFFFF"/>
            <w:noWrap/>
          </w:tcPr>
          <w:p w14:paraId="4F4C281F" w14:textId="77777777" w:rsidR="00261938" w:rsidRPr="000C5235" w:rsidRDefault="00261938" w:rsidP="000A7DEC">
            <w:pPr>
              <w:pStyle w:val="LeasingProgTableText"/>
              <w:spacing w:line="220" w:lineRule="atLeast"/>
              <w:jc w:val="right"/>
              <w:rPr>
                <w:szCs w:val="20"/>
              </w:rPr>
            </w:pPr>
          </w:p>
        </w:tc>
        <w:tc>
          <w:tcPr>
            <w:tcW w:w="1134" w:type="dxa"/>
            <w:tcBorders>
              <w:top w:val="nil"/>
              <w:left w:val="nil"/>
              <w:bottom w:val="nil"/>
              <w:right w:val="nil"/>
            </w:tcBorders>
            <w:shd w:val="clear" w:color="000000" w:fill="FFFFFF"/>
            <w:noWrap/>
          </w:tcPr>
          <w:p w14:paraId="37ABFEC9" w14:textId="77777777" w:rsidR="00261938" w:rsidRPr="000C5235" w:rsidRDefault="00261938" w:rsidP="000A7DEC">
            <w:pPr>
              <w:pStyle w:val="LeasingProgTableText"/>
              <w:spacing w:line="220" w:lineRule="atLeast"/>
              <w:jc w:val="right"/>
              <w:rPr>
                <w:szCs w:val="20"/>
              </w:rPr>
            </w:pPr>
          </w:p>
        </w:tc>
        <w:tc>
          <w:tcPr>
            <w:tcW w:w="1134" w:type="dxa"/>
            <w:tcBorders>
              <w:top w:val="nil"/>
              <w:left w:val="nil"/>
              <w:bottom w:val="nil"/>
              <w:right w:val="nil"/>
            </w:tcBorders>
            <w:shd w:val="clear" w:color="000000" w:fill="FFFFFF"/>
            <w:noWrap/>
          </w:tcPr>
          <w:p w14:paraId="5C5A3079" w14:textId="77777777" w:rsidR="00261938" w:rsidRPr="000C5235" w:rsidRDefault="00261938" w:rsidP="000A7DEC">
            <w:pPr>
              <w:pStyle w:val="LeasingProgTableText"/>
              <w:spacing w:line="220" w:lineRule="atLeast"/>
              <w:jc w:val="right"/>
              <w:rPr>
                <w:szCs w:val="20"/>
              </w:rPr>
            </w:pPr>
          </w:p>
        </w:tc>
        <w:tc>
          <w:tcPr>
            <w:tcW w:w="1134" w:type="dxa"/>
            <w:tcBorders>
              <w:top w:val="nil"/>
              <w:left w:val="nil"/>
              <w:bottom w:val="nil"/>
              <w:right w:val="single" w:sz="12" w:space="0" w:color="auto"/>
            </w:tcBorders>
            <w:shd w:val="clear" w:color="000000" w:fill="FFFFFF"/>
            <w:noWrap/>
          </w:tcPr>
          <w:p w14:paraId="0B02686E" w14:textId="77777777" w:rsidR="00261938" w:rsidRPr="000C5235" w:rsidRDefault="00261938" w:rsidP="000A7DEC">
            <w:pPr>
              <w:pStyle w:val="LeasingProgTableText"/>
              <w:spacing w:line="220" w:lineRule="atLeast"/>
              <w:jc w:val="right"/>
              <w:rPr>
                <w:szCs w:val="20"/>
              </w:rPr>
            </w:pPr>
          </w:p>
        </w:tc>
      </w:tr>
      <w:tr w:rsidR="00261938" w:rsidRPr="000C5235" w14:paraId="462A9D76" w14:textId="77777777" w:rsidTr="000A7DEC">
        <w:trPr>
          <w:trHeight w:val="293"/>
        </w:trPr>
        <w:tc>
          <w:tcPr>
            <w:tcW w:w="8916" w:type="dxa"/>
            <w:gridSpan w:val="6"/>
            <w:tcBorders>
              <w:top w:val="nil"/>
              <w:left w:val="single" w:sz="12" w:space="0" w:color="auto"/>
              <w:right w:val="single" w:sz="12" w:space="0" w:color="auto"/>
            </w:tcBorders>
            <w:shd w:val="clear" w:color="000000" w:fill="FFFFFF"/>
            <w:noWrap/>
            <w:vAlign w:val="center"/>
            <w:hideMark/>
          </w:tcPr>
          <w:p w14:paraId="4B242EF7" w14:textId="77777777" w:rsidR="00261938" w:rsidRPr="000C5235" w:rsidRDefault="00261938" w:rsidP="000A7DEC">
            <w:pPr>
              <w:pStyle w:val="LeasingProgTableText"/>
              <w:spacing w:line="220" w:lineRule="atLeast"/>
              <w:rPr>
                <w:b/>
                <w:bCs/>
                <w:i/>
                <w:szCs w:val="20"/>
              </w:rPr>
            </w:pPr>
            <w:r w:rsidRPr="000C5235">
              <w:rPr>
                <w:b/>
                <w:bCs/>
                <w:i/>
                <w:szCs w:val="20"/>
              </w:rPr>
              <w:t>*</w:t>
            </w:r>
            <w:r w:rsidRPr="000C5235">
              <w:rPr>
                <w:i/>
                <w:szCs w:val="20"/>
              </w:rPr>
              <w:t xml:space="preserve"> Reporting as per the new accounting standard AASB</w:t>
            </w:r>
            <w:r w:rsidR="00A250B5" w:rsidRPr="000C5235">
              <w:rPr>
                <w:i/>
                <w:szCs w:val="20"/>
              </w:rPr>
              <w:t xml:space="preserve"> </w:t>
            </w:r>
            <w:r w:rsidRPr="000C5235">
              <w:rPr>
                <w:i/>
                <w:szCs w:val="20"/>
              </w:rPr>
              <w:t>16 Leases came into effect for Commonwealth entities from 1 July 2019.</w:t>
            </w:r>
          </w:p>
        </w:tc>
      </w:tr>
      <w:tr w:rsidR="001C70F1" w:rsidRPr="000C5235" w14:paraId="24AE579A" w14:textId="77777777" w:rsidTr="000A7DEC">
        <w:trPr>
          <w:trHeight w:val="80"/>
        </w:trPr>
        <w:tc>
          <w:tcPr>
            <w:tcW w:w="3364" w:type="dxa"/>
            <w:tcBorders>
              <w:top w:val="nil"/>
              <w:left w:val="single" w:sz="12" w:space="0" w:color="auto"/>
              <w:bottom w:val="single" w:sz="12" w:space="0" w:color="auto"/>
              <w:right w:val="nil"/>
            </w:tcBorders>
            <w:shd w:val="clear" w:color="000000" w:fill="FFFFFF"/>
            <w:noWrap/>
            <w:vAlign w:val="center"/>
            <w:hideMark/>
          </w:tcPr>
          <w:p w14:paraId="6BE788A3" w14:textId="77777777" w:rsidR="00261938" w:rsidRPr="000C5235" w:rsidRDefault="00261938" w:rsidP="000A7DEC">
            <w:pPr>
              <w:pStyle w:val="LeasingProgTableText"/>
              <w:spacing w:line="220" w:lineRule="atLeast"/>
              <w:rPr>
                <w:szCs w:val="20"/>
              </w:rPr>
            </w:pPr>
          </w:p>
        </w:tc>
        <w:tc>
          <w:tcPr>
            <w:tcW w:w="1157" w:type="dxa"/>
            <w:tcBorders>
              <w:top w:val="nil"/>
              <w:left w:val="nil"/>
              <w:bottom w:val="single" w:sz="12" w:space="0" w:color="auto"/>
              <w:right w:val="nil"/>
            </w:tcBorders>
            <w:shd w:val="clear" w:color="000000" w:fill="FFFFFF"/>
            <w:vAlign w:val="center"/>
          </w:tcPr>
          <w:p w14:paraId="2C71CE13" w14:textId="77777777" w:rsidR="00261938" w:rsidRPr="000C5235" w:rsidRDefault="00261938" w:rsidP="000A7DEC">
            <w:pPr>
              <w:pStyle w:val="LeasingProgTableText"/>
              <w:spacing w:line="220" w:lineRule="atLeast"/>
              <w:rPr>
                <w:szCs w:val="20"/>
              </w:rPr>
            </w:pPr>
          </w:p>
        </w:tc>
        <w:tc>
          <w:tcPr>
            <w:tcW w:w="993" w:type="dxa"/>
            <w:tcBorders>
              <w:top w:val="nil"/>
              <w:left w:val="nil"/>
              <w:bottom w:val="single" w:sz="12" w:space="0" w:color="auto"/>
              <w:right w:val="nil"/>
            </w:tcBorders>
            <w:shd w:val="clear" w:color="000000" w:fill="FFFFFF"/>
            <w:noWrap/>
            <w:vAlign w:val="center"/>
          </w:tcPr>
          <w:p w14:paraId="24FB884B" w14:textId="77777777" w:rsidR="00261938" w:rsidRPr="000C5235" w:rsidRDefault="00261938" w:rsidP="000A7DEC">
            <w:pPr>
              <w:pStyle w:val="LeasingProgTableText"/>
              <w:spacing w:line="220" w:lineRule="atLeast"/>
              <w:rPr>
                <w:szCs w:val="20"/>
              </w:rPr>
            </w:pPr>
          </w:p>
        </w:tc>
        <w:tc>
          <w:tcPr>
            <w:tcW w:w="1134" w:type="dxa"/>
            <w:tcBorders>
              <w:top w:val="nil"/>
              <w:left w:val="nil"/>
              <w:bottom w:val="single" w:sz="12" w:space="0" w:color="auto"/>
              <w:right w:val="nil"/>
            </w:tcBorders>
            <w:shd w:val="clear" w:color="000000" w:fill="FFFFFF"/>
            <w:noWrap/>
            <w:vAlign w:val="center"/>
          </w:tcPr>
          <w:p w14:paraId="60A87378" w14:textId="77777777" w:rsidR="00261938" w:rsidRPr="000C5235" w:rsidRDefault="00261938" w:rsidP="000A7DEC">
            <w:pPr>
              <w:pStyle w:val="LeasingProgTableText"/>
              <w:spacing w:line="220" w:lineRule="atLeast"/>
              <w:rPr>
                <w:szCs w:val="20"/>
              </w:rPr>
            </w:pPr>
          </w:p>
        </w:tc>
        <w:tc>
          <w:tcPr>
            <w:tcW w:w="1134" w:type="dxa"/>
            <w:tcBorders>
              <w:top w:val="nil"/>
              <w:left w:val="nil"/>
              <w:bottom w:val="single" w:sz="12" w:space="0" w:color="auto"/>
              <w:right w:val="nil"/>
            </w:tcBorders>
            <w:shd w:val="clear" w:color="000000" w:fill="FFFFFF"/>
            <w:noWrap/>
            <w:vAlign w:val="center"/>
          </w:tcPr>
          <w:p w14:paraId="3962B4B6" w14:textId="77777777" w:rsidR="00261938" w:rsidRPr="000C5235" w:rsidRDefault="00261938" w:rsidP="000A7DEC">
            <w:pPr>
              <w:pStyle w:val="LeasingProgTableText"/>
              <w:spacing w:line="220" w:lineRule="atLeast"/>
              <w:rPr>
                <w:szCs w:val="20"/>
              </w:rPr>
            </w:pPr>
          </w:p>
        </w:tc>
        <w:tc>
          <w:tcPr>
            <w:tcW w:w="1134" w:type="dxa"/>
            <w:tcBorders>
              <w:top w:val="nil"/>
              <w:left w:val="nil"/>
              <w:bottom w:val="single" w:sz="12" w:space="0" w:color="auto"/>
              <w:right w:val="single" w:sz="12" w:space="0" w:color="auto"/>
            </w:tcBorders>
            <w:shd w:val="clear" w:color="000000" w:fill="FFFFFF"/>
            <w:noWrap/>
            <w:vAlign w:val="center"/>
          </w:tcPr>
          <w:p w14:paraId="1ABB7619" w14:textId="77777777" w:rsidR="00261938" w:rsidRPr="000C5235" w:rsidRDefault="00261938" w:rsidP="000A7DEC">
            <w:pPr>
              <w:pStyle w:val="LeasingProgTableText"/>
              <w:spacing w:line="220" w:lineRule="atLeast"/>
              <w:rPr>
                <w:szCs w:val="20"/>
              </w:rPr>
            </w:pPr>
          </w:p>
        </w:tc>
      </w:tr>
    </w:tbl>
    <w:p w14:paraId="4F638377" w14:textId="77777777" w:rsidR="005F4D5C" w:rsidRPr="000C5235" w:rsidRDefault="005F4D5C" w:rsidP="000A7DEC">
      <w:pPr>
        <w:pStyle w:val="Heading4nonumbers"/>
        <w:spacing w:before="240"/>
        <w:rPr>
          <w:rStyle w:val="BodyTextChar"/>
          <w:rFonts w:asciiTheme="minorHAnsi" w:hAnsiTheme="minorHAnsi"/>
          <w:bCs w:val="0"/>
          <w:iCs w:val="0"/>
          <w:color w:val="auto"/>
          <w:sz w:val="22"/>
          <w:szCs w:val="22"/>
        </w:rPr>
      </w:pPr>
      <w:bookmarkStart w:id="494" w:name="_Toc26351482"/>
      <w:bookmarkStart w:id="495" w:name="_Toc26353922"/>
      <w:bookmarkStart w:id="496" w:name="_Toc26351483"/>
      <w:bookmarkStart w:id="497" w:name="_Toc26353923"/>
      <w:bookmarkStart w:id="498" w:name="_Toc26351484"/>
      <w:bookmarkStart w:id="499" w:name="_Toc26353924"/>
      <w:bookmarkEnd w:id="494"/>
      <w:bookmarkEnd w:id="495"/>
      <w:bookmarkEnd w:id="496"/>
      <w:bookmarkEnd w:id="497"/>
      <w:bookmarkEnd w:id="498"/>
      <w:bookmarkEnd w:id="499"/>
      <w:r w:rsidRPr="000C5235">
        <w:rPr>
          <w:rStyle w:val="BodyTextChar"/>
          <w:rFonts w:eastAsia="MS Gothic"/>
        </w:rPr>
        <w:t>Source of information</w:t>
      </w:r>
    </w:p>
    <w:p w14:paraId="37B741E0" w14:textId="77777777" w:rsidR="004D761E" w:rsidRPr="000C5235" w:rsidRDefault="004D761E" w:rsidP="000A7DEC">
      <w:pPr>
        <w:rPr>
          <w:rStyle w:val="BodyTextChar"/>
        </w:rPr>
      </w:pPr>
      <w:r w:rsidRPr="000C5235">
        <w:rPr>
          <w:rStyle w:val="BodyTextChar"/>
        </w:rPr>
        <w:t>Data for Budgeted Expenses by Program (the tables in Section 2 of the document) can only be sourced from CBMS at a total level</w:t>
      </w:r>
      <w:r w:rsidR="00E10C89" w:rsidRPr="000C5235">
        <w:rPr>
          <w:rStyle w:val="BodyTextChar"/>
        </w:rPr>
        <w:t xml:space="preserve"> (ie</w:t>
      </w:r>
      <w:r w:rsidRPr="000C5235">
        <w:rPr>
          <w:rStyle w:val="BodyTextChar"/>
        </w:rPr>
        <w:t xml:space="preserve"> program-level expense information </w:t>
      </w:r>
      <w:r w:rsidR="00BE329A" w:rsidRPr="000C5235">
        <w:rPr>
          <w:rStyle w:val="BodyTextChar"/>
        </w:rPr>
        <w:t xml:space="preserve">by appropriation </w:t>
      </w:r>
      <w:r w:rsidRPr="000C5235">
        <w:rPr>
          <w:rStyle w:val="BodyTextChar"/>
        </w:rPr>
        <w:t>is not available</w:t>
      </w:r>
      <w:r w:rsidR="00E10C89" w:rsidRPr="000C5235">
        <w:rPr>
          <w:rStyle w:val="BodyTextChar"/>
        </w:rPr>
        <w:t>)</w:t>
      </w:r>
      <w:r w:rsidRPr="000C5235">
        <w:rPr>
          <w:rStyle w:val="BodyTextChar"/>
        </w:rPr>
        <w:t xml:space="preserve">. This data will need to be sourced from the Entity’s internal </w:t>
      </w:r>
      <w:r w:rsidR="00884D97" w:rsidRPr="000C5235">
        <w:rPr>
          <w:rStyle w:val="BodyTextChar"/>
        </w:rPr>
        <w:t>FMIS.</w:t>
      </w:r>
    </w:p>
    <w:p w14:paraId="0C66F975" w14:textId="77777777" w:rsidR="004D4C93" w:rsidRPr="000C5235" w:rsidRDefault="004D4C93">
      <w:r w:rsidRPr="000C5235">
        <w:t>The system generated reports are located at:</w:t>
      </w:r>
    </w:p>
    <w:p w14:paraId="657CB121" w14:textId="77777777" w:rsidR="00ED0B88" w:rsidRPr="000C5235" w:rsidRDefault="004D4C93" w:rsidP="000A7DEC">
      <w:pPr>
        <w:pStyle w:val="CBMSReportPath"/>
        <w:rPr>
          <w:rStyle w:val="BodyTextChar"/>
          <w:rFonts w:eastAsiaTheme="minorHAnsi" w:cstheme="minorBidi"/>
        </w:rPr>
      </w:pPr>
      <w:r w:rsidRPr="000C5235">
        <w:t xml:space="preserve">Reports  </w:t>
      </w:r>
      <w:r w:rsidRPr="000C5235">
        <w:sym w:font="Wingdings" w:char="F0E0"/>
      </w:r>
      <w:r w:rsidRPr="000C5235">
        <w:t xml:space="preserve"> CBMS Reporting </w:t>
      </w:r>
      <w:r w:rsidRPr="000C5235">
        <w:sym w:font="Wingdings" w:char="F0E0"/>
      </w:r>
      <w:r w:rsidRPr="000C5235">
        <w:t xml:space="preserve">  Statutory Reports  </w:t>
      </w:r>
      <w:r w:rsidRPr="000C5235">
        <w:sym w:font="Wingdings" w:char="F0E0"/>
      </w:r>
      <w:r w:rsidRPr="000C5235">
        <w:t xml:space="preserve">  PBS  </w:t>
      </w:r>
      <w:r w:rsidRPr="000C5235">
        <w:sym w:font="Wingdings" w:char="F0E0"/>
      </w:r>
      <w:r w:rsidRPr="000C5235">
        <w:t xml:space="preserve"> PBS.T2.1</w:t>
      </w:r>
      <w:r w:rsidR="00862D17" w:rsidRPr="000C5235">
        <w:t xml:space="preserve"> Budget</w:t>
      </w:r>
      <w:r w:rsidR="00E1734F" w:rsidRPr="000C5235">
        <w:t>ed</w:t>
      </w:r>
      <w:r w:rsidR="00862D17" w:rsidRPr="000C5235">
        <w:t xml:space="preserve"> Expenses for Outcomes</w:t>
      </w:r>
      <w:r w:rsidRPr="000C5235">
        <w:t xml:space="preserve"> </w:t>
      </w:r>
    </w:p>
    <w:p w14:paraId="7BA41E98" w14:textId="77777777" w:rsidR="00FA0945" w:rsidRPr="000C5235" w:rsidRDefault="00FA0945">
      <w:pPr>
        <w:pStyle w:val="Bullet1"/>
        <w:rPr>
          <w:rStyle w:val="BodyTextChar"/>
        </w:rPr>
      </w:pPr>
      <w:r w:rsidRPr="000C5235">
        <w:rPr>
          <w:rStyle w:val="BodyTextChar"/>
        </w:rPr>
        <w:t>The “Expenses not requiring appropriation in Budget year” line is to be used by entities</w:t>
      </w:r>
      <w:r w:rsidR="00ED0B88" w:rsidRPr="000C5235">
        <w:rPr>
          <w:rStyle w:val="BodyTextChar"/>
        </w:rPr>
        <w:t xml:space="preserve"> </w:t>
      </w:r>
      <w:r w:rsidRPr="000C5235">
        <w:rPr>
          <w:rStyle w:val="BodyTextChar"/>
        </w:rPr>
        <w:t>where there is a government policy not to fund those expenses within the year; where the funding has been provided in a prior year but the expense will be incurred in the current year; or where the expenses reflect the usage of services provided free of charg</w:t>
      </w:r>
      <w:r w:rsidR="006D021E" w:rsidRPr="000C5235">
        <w:rPr>
          <w:rStyle w:val="BodyTextChar"/>
        </w:rPr>
        <w:t>e</w:t>
      </w:r>
    </w:p>
    <w:p w14:paraId="6236A4BA" w14:textId="77777777" w:rsidR="00FA0945" w:rsidRPr="000C5235" w:rsidRDefault="00FA0945">
      <w:pPr>
        <w:pStyle w:val="Bullet2"/>
        <w:rPr>
          <w:rStyle w:val="BodyTextChar"/>
        </w:rPr>
      </w:pPr>
      <w:r w:rsidRPr="000C5235">
        <w:rPr>
          <w:rStyle w:val="BodyTextChar"/>
        </w:rPr>
        <w:t xml:space="preserve">For example, depreciation expenses which the Government has provided a separate capital budget/Collection Development Acquisition Budget should be shown in this line, along with expenses associated with audit services provided by the </w:t>
      </w:r>
      <w:r w:rsidR="00A81B39" w:rsidRPr="000C5235">
        <w:rPr>
          <w:rStyle w:val="BodyTextChar"/>
        </w:rPr>
        <w:t>ANAO</w:t>
      </w:r>
      <w:r w:rsidRPr="000C5235">
        <w:rPr>
          <w:rStyle w:val="BodyTextChar"/>
        </w:rPr>
        <w:t>, and non-cash expenses for which the entity has received operating loss approval</w:t>
      </w:r>
    </w:p>
    <w:p w14:paraId="655A68FB" w14:textId="77777777" w:rsidR="00FA0945" w:rsidRPr="000C5235" w:rsidRDefault="00FA0945">
      <w:pPr>
        <w:pStyle w:val="Bullet2"/>
        <w:rPr>
          <w:rStyle w:val="BodyTextChar"/>
        </w:rPr>
      </w:pPr>
      <w:r w:rsidRPr="000C5235">
        <w:rPr>
          <w:rStyle w:val="BodyTextChar"/>
        </w:rPr>
        <w:t>Items which do not or will not involve a cash flow impact (such as bad debt expenses) are also considered “expenses not requiring appropriation”.</w:t>
      </w:r>
    </w:p>
    <w:p w14:paraId="587A5739" w14:textId="77777777" w:rsidR="00ED0B88" w:rsidRPr="000C5235" w:rsidRDefault="00FA0945">
      <w:pPr>
        <w:pStyle w:val="Bullet1"/>
        <w:rPr>
          <w:rStyle w:val="BodyTextChar"/>
          <w:rFonts w:asciiTheme="minorHAnsi" w:hAnsiTheme="minorHAnsi"/>
        </w:rPr>
      </w:pPr>
      <w:r w:rsidRPr="000C5235">
        <w:rPr>
          <w:rStyle w:val="BodyTextChar"/>
        </w:rPr>
        <w:t>A</w:t>
      </w:r>
      <w:r w:rsidR="008555BE" w:rsidRPr="000C5235">
        <w:rPr>
          <w:rStyle w:val="BodyTextChar"/>
        </w:rPr>
        <w:t xml:space="preserve">SL </w:t>
      </w:r>
      <w:r w:rsidRPr="000C5235">
        <w:rPr>
          <w:rStyle w:val="BodyTextChar"/>
        </w:rPr>
        <w:t xml:space="preserve">figures across all outcomes should be discussed with Finance (please refer to </w:t>
      </w:r>
      <w:r w:rsidR="00F328AB" w:rsidRPr="000C5235">
        <w:rPr>
          <w:rStyle w:val="BodyTextChar"/>
        </w:rPr>
        <w:t>s</w:t>
      </w:r>
      <w:r w:rsidR="00D45389" w:rsidRPr="000C5235">
        <w:rPr>
          <w:rStyle w:val="BodyTextChar"/>
        </w:rPr>
        <w:t xml:space="preserve">ection </w:t>
      </w:r>
      <w:r w:rsidR="009B0701" w:rsidRPr="000C5235">
        <w:rPr>
          <w:rStyle w:val="BodyTextChar"/>
          <w:i/>
          <w:color w:val="0070C0"/>
          <w:u w:val="single"/>
        </w:rPr>
        <w:fldChar w:fldCharType="begin"/>
      </w:r>
      <w:r w:rsidR="009B0701" w:rsidRPr="000C5235">
        <w:rPr>
          <w:rStyle w:val="BodyTextChar"/>
          <w:i/>
          <w:color w:val="0070C0"/>
          <w:u w:val="single"/>
        </w:rPr>
        <w:instrText xml:space="preserve"> REF _Ref33523372 \r \h  \* MERGEFORMAT </w:instrText>
      </w:r>
      <w:r w:rsidR="009B0701" w:rsidRPr="000C5235">
        <w:rPr>
          <w:rStyle w:val="BodyTextChar"/>
          <w:i/>
          <w:color w:val="0070C0"/>
          <w:u w:val="single"/>
        </w:rPr>
      </w:r>
      <w:r w:rsidR="009B0701" w:rsidRPr="000C5235">
        <w:rPr>
          <w:rStyle w:val="BodyTextChar"/>
          <w:i/>
          <w:color w:val="0070C0"/>
          <w:u w:val="single"/>
        </w:rPr>
        <w:fldChar w:fldCharType="separate"/>
      </w:r>
      <w:r w:rsidR="00FD0A7F" w:rsidRPr="000C5235">
        <w:rPr>
          <w:rStyle w:val="BodyTextChar"/>
          <w:i/>
          <w:color w:val="0070C0"/>
          <w:u w:val="single"/>
        </w:rPr>
        <w:t>14</w:t>
      </w:r>
      <w:r w:rsidR="009B0701" w:rsidRPr="000C5235">
        <w:rPr>
          <w:rStyle w:val="BodyTextChar"/>
          <w:i/>
          <w:color w:val="0070C0"/>
          <w:u w:val="single"/>
        </w:rPr>
        <w:fldChar w:fldCharType="end"/>
      </w:r>
      <w:r w:rsidR="009B0701" w:rsidRPr="000C5235">
        <w:rPr>
          <w:rStyle w:val="BodyTextChar"/>
          <w:i/>
          <w:color w:val="0070C0"/>
          <w:u w:val="single"/>
        </w:rPr>
        <w:t xml:space="preserve"> </w:t>
      </w:r>
      <w:r w:rsidR="009B0701" w:rsidRPr="000C5235">
        <w:rPr>
          <w:rStyle w:val="BodyTextChar"/>
          <w:i/>
          <w:color w:val="0070C0"/>
          <w:u w:val="single"/>
        </w:rPr>
        <w:fldChar w:fldCharType="begin"/>
      </w:r>
      <w:r w:rsidR="009B0701" w:rsidRPr="000C5235">
        <w:rPr>
          <w:rStyle w:val="BodyTextChar"/>
          <w:i/>
          <w:color w:val="0070C0"/>
          <w:u w:val="single"/>
        </w:rPr>
        <w:instrText xml:space="preserve"> REF _Ref33523377 \h  \* MERGEFORMAT </w:instrText>
      </w:r>
      <w:r w:rsidR="009B0701" w:rsidRPr="000C5235">
        <w:rPr>
          <w:rStyle w:val="BodyTextChar"/>
          <w:i/>
          <w:color w:val="0070C0"/>
          <w:u w:val="single"/>
        </w:rPr>
      </w:r>
      <w:r w:rsidR="009B0701" w:rsidRPr="000C5235">
        <w:rPr>
          <w:rStyle w:val="BodyTextChar"/>
          <w:i/>
          <w:color w:val="0070C0"/>
          <w:u w:val="single"/>
        </w:rPr>
        <w:fldChar w:fldCharType="separate"/>
      </w:r>
      <w:r w:rsidR="00FD0A7F" w:rsidRPr="000C5235">
        <w:rPr>
          <w:i/>
          <w:color w:val="0070C0"/>
          <w:u w:val="single"/>
        </w:rPr>
        <w:t>Contacts</w:t>
      </w:r>
      <w:r w:rsidR="009B0701" w:rsidRPr="000C5235">
        <w:rPr>
          <w:rStyle w:val="BodyTextChar"/>
          <w:i/>
          <w:color w:val="0070C0"/>
          <w:u w:val="single"/>
        </w:rPr>
        <w:fldChar w:fldCharType="end"/>
      </w:r>
      <w:r w:rsidR="009B0701" w:rsidRPr="000C5235">
        <w:rPr>
          <w:rStyle w:val="BodyTextChar"/>
        </w:rPr>
        <w:t xml:space="preserve"> </w:t>
      </w:r>
      <w:r w:rsidR="009B0701" w:rsidRPr="000C5235">
        <w:rPr>
          <w:rStyle w:val="BodyTextChar"/>
        </w:rPr>
        <w:fldChar w:fldCharType="begin"/>
      </w:r>
      <w:r w:rsidR="009B0701" w:rsidRPr="000C5235">
        <w:rPr>
          <w:rStyle w:val="BodyTextChar"/>
        </w:rPr>
        <w:instrText xml:space="preserve"> REF _Ref33523382 \p \h </w:instrText>
      </w:r>
      <w:r w:rsidR="008B029A" w:rsidRPr="000C5235">
        <w:rPr>
          <w:rStyle w:val="BodyTextChar"/>
        </w:rPr>
        <w:instrText xml:space="preserve"> \* MERGEFORMAT </w:instrText>
      </w:r>
      <w:r w:rsidR="009B0701" w:rsidRPr="000C5235">
        <w:rPr>
          <w:rStyle w:val="BodyTextChar"/>
        </w:rPr>
      </w:r>
      <w:r w:rsidR="009B0701" w:rsidRPr="000C5235">
        <w:rPr>
          <w:rStyle w:val="BodyTextChar"/>
        </w:rPr>
        <w:fldChar w:fldCharType="separate"/>
      </w:r>
      <w:r w:rsidR="009B0701" w:rsidRPr="000C5235">
        <w:rPr>
          <w:rStyle w:val="BodyTextChar"/>
        </w:rPr>
        <w:t>below</w:t>
      </w:r>
      <w:r w:rsidR="009B0701" w:rsidRPr="000C5235">
        <w:rPr>
          <w:rStyle w:val="BodyTextChar"/>
        </w:rPr>
        <w:fldChar w:fldCharType="end"/>
      </w:r>
      <w:r w:rsidR="00D45389" w:rsidRPr="000C5235">
        <w:rPr>
          <w:rStyle w:val="BodyTextChar"/>
        </w:rPr>
        <w:t xml:space="preserve"> of this guide</w:t>
      </w:r>
      <w:r w:rsidR="00FD4BA3" w:rsidRPr="000C5235">
        <w:rPr>
          <w:rStyle w:val="BodyTextChar"/>
        </w:rPr>
        <w:t>) and</w:t>
      </w:r>
      <w:r w:rsidRPr="000C5235">
        <w:rPr>
          <w:rStyle w:val="BodyTextChar"/>
        </w:rPr>
        <w:t xml:space="preserve"> match the figures to be published in BP No. 4 and at the bottom of Table 1.1: Entity resource statement. Please refer to the latest Finance guidance on ASL for more information on ASL reporting</w:t>
      </w:r>
      <w:r w:rsidR="008555BE" w:rsidRPr="000C5235">
        <w:rPr>
          <w:rStyle w:val="BodyTextChar"/>
        </w:rPr>
        <w:t>.</w:t>
      </w:r>
    </w:p>
    <w:p w14:paraId="68711114" w14:textId="77777777" w:rsidR="00FA0945" w:rsidRPr="000C5235" w:rsidRDefault="00FA0945">
      <w:pPr>
        <w:pStyle w:val="Bullet1"/>
        <w:rPr>
          <w:rStyle w:val="BodyTextChar"/>
        </w:rPr>
      </w:pPr>
      <w:r w:rsidRPr="000C5235">
        <w:rPr>
          <w:rStyle w:val="BodyTextChar"/>
        </w:rPr>
        <w:t>Information on Movements of Funds should be sourced from approved movement of funds requests (as detailed in correspondence from the Minister for Finance) and/or adjustments in CBMS against the reason code “Movement of Funds”.</w:t>
      </w:r>
    </w:p>
    <w:p w14:paraId="54A91145" w14:textId="77777777" w:rsidR="00FA0945" w:rsidRPr="000C5235" w:rsidRDefault="00FA0945">
      <w:pPr>
        <w:pStyle w:val="Bullet2"/>
        <w:rPr>
          <w:rStyle w:val="BodyTextChar"/>
        </w:rPr>
      </w:pPr>
      <w:r w:rsidRPr="000C5235">
        <w:rPr>
          <w:rStyle w:val="BodyTextChar"/>
        </w:rPr>
        <w:t>For information on the Movement of Funds process, please contact your AAU.</w:t>
      </w:r>
    </w:p>
    <w:p w14:paraId="75085835" w14:textId="77777777" w:rsidR="00FA0945" w:rsidRPr="000C5235" w:rsidRDefault="00FA0945" w:rsidP="000A7DEC">
      <w:pPr>
        <w:pStyle w:val="Heading2Numbered"/>
        <w:rPr>
          <w:rFonts w:eastAsia="Times New Roman"/>
          <w:spacing w:val="-6"/>
          <w:szCs w:val="34"/>
        </w:rPr>
      </w:pPr>
      <w:bookmarkStart w:id="500" w:name="_Toc411852685"/>
      <w:bookmarkStart w:id="501" w:name="_Toc534382565"/>
      <w:bookmarkStart w:id="502" w:name="_Ref33523258"/>
      <w:bookmarkStart w:id="503" w:name="_Ref33523261"/>
      <w:bookmarkStart w:id="504" w:name="_Ref33523265"/>
      <w:bookmarkStart w:id="505" w:name="_Toc47951244"/>
      <w:r w:rsidRPr="000C5235">
        <w:rPr>
          <w:rFonts w:eastAsia="Times New Roman"/>
        </w:rPr>
        <w:t xml:space="preserve">Program </w:t>
      </w:r>
      <w:r w:rsidR="00511DF0" w:rsidRPr="000C5235">
        <w:rPr>
          <w:rFonts w:eastAsia="Times New Roman"/>
        </w:rPr>
        <w:t>c</w:t>
      </w:r>
      <w:r w:rsidRPr="000C5235">
        <w:rPr>
          <w:rFonts w:eastAsia="Times New Roman"/>
        </w:rPr>
        <w:t>omponents</w:t>
      </w:r>
      <w:bookmarkEnd w:id="500"/>
      <w:bookmarkEnd w:id="501"/>
      <w:bookmarkEnd w:id="502"/>
      <w:bookmarkEnd w:id="503"/>
      <w:bookmarkEnd w:id="504"/>
      <w:bookmarkEnd w:id="505"/>
    </w:p>
    <w:p w14:paraId="5C2CE8C8" w14:textId="77777777" w:rsidR="00FA0945" w:rsidRPr="000C5235" w:rsidRDefault="00233EB4">
      <w:pPr>
        <w:pStyle w:val="NormalTextRed"/>
      </w:pPr>
      <w:r w:rsidRPr="000C5235">
        <w:t xml:space="preserve">The template for the </w:t>
      </w:r>
      <w:r w:rsidRPr="000C5235">
        <w:rPr>
          <w:i/>
        </w:rPr>
        <w:t>Program components</w:t>
      </w:r>
      <w:r w:rsidR="00FA0945" w:rsidRPr="000C5235">
        <w:t xml:space="preserve"> table can be found in the “</w:t>
      </w:r>
      <w:r w:rsidR="00FA0945" w:rsidRPr="000C5235">
        <w:rPr>
          <w:i/>
        </w:rPr>
        <w:t>Table 2.X.2 Program Components</w:t>
      </w:r>
      <w:r w:rsidR="00FA0945" w:rsidRPr="000C5235">
        <w:t>” tab</w:t>
      </w:r>
      <w:r w:rsidR="00FA0945" w:rsidRPr="000C5235">
        <w:rPr>
          <w:rStyle w:val="BodyTextChar"/>
        </w:rPr>
        <w:t xml:space="preserve"> of the Excel Tables workbook (</w:t>
      </w:r>
      <w:r w:rsidR="00E1734F" w:rsidRPr="000C5235">
        <w:rPr>
          <w:rStyle w:val="BodyTextChar"/>
          <w:u w:val="single"/>
        </w:rPr>
        <w:t xml:space="preserve">Attachment </w:t>
      </w:r>
      <w:r w:rsidR="006E5A47" w:rsidRPr="000C5235">
        <w:rPr>
          <w:rStyle w:val="BodyTextChar"/>
          <w:u w:val="single"/>
        </w:rPr>
        <w:t>B</w:t>
      </w:r>
      <w:r w:rsidR="006E5A47" w:rsidRPr="000C5235">
        <w:rPr>
          <w:rStyle w:val="BodyTextChar"/>
        </w:rPr>
        <w:t xml:space="preserve"> </w:t>
      </w:r>
      <w:r w:rsidR="00E1734F" w:rsidRPr="000C5235">
        <w:rPr>
          <w:rStyle w:val="BodyTextChar"/>
        </w:rPr>
        <w:t>refers</w:t>
      </w:r>
      <w:r w:rsidR="00FA0945" w:rsidRPr="000C5235">
        <w:rPr>
          <w:rStyle w:val="BodyTextChar"/>
        </w:rPr>
        <w:t xml:space="preserve">). </w:t>
      </w:r>
    </w:p>
    <w:p w14:paraId="41EB207D" w14:textId="77777777" w:rsidR="00FA0945" w:rsidRPr="000C5235" w:rsidRDefault="00FA0945" w:rsidP="000A7DEC">
      <w:pPr>
        <w:rPr>
          <w:rStyle w:val="BodyTextChar"/>
          <w:color w:val="FF0000"/>
        </w:rPr>
      </w:pPr>
      <w:r w:rsidRPr="000C5235">
        <w:rPr>
          <w:rStyle w:val="BodyTextChar"/>
        </w:rPr>
        <w:t>Entities are not required to provide reporting below the program level.</w:t>
      </w:r>
    </w:p>
    <w:p w14:paraId="744A4176" w14:textId="77777777" w:rsidR="00FA0945" w:rsidRPr="000C5235" w:rsidRDefault="00FA0945" w:rsidP="000A7DEC">
      <w:pPr>
        <w:rPr>
          <w:rStyle w:val="BodyTextChar"/>
        </w:rPr>
      </w:pPr>
      <w:r w:rsidRPr="000C5235">
        <w:rPr>
          <w:rStyle w:val="BodyTextChar"/>
        </w:rPr>
        <w:t>Program component reporting is a subset of program-level reporting, and program components can be funded through administered and departmental appropriations. If entities choose to provide program components, these should be clearly identified as components and not described as a program. An example of a program component that an entity chooses to report on could be an item of special public interest or political sensitivity.</w:t>
      </w:r>
    </w:p>
    <w:p w14:paraId="5FBE34D7" w14:textId="77777777" w:rsidR="006F2C96" w:rsidRPr="000C5235" w:rsidRDefault="00FA0945" w:rsidP="000A7DEC">
      <w:pPr>
        <w:rPr>
          <w:rStyle w:val="BodyTextChar"/>
        </w:rPr>
      </w:pPr>
      <w:r w:rsidRPr="000C5235">
        <w:rPr>
          <w:rStyle w:val="BodyTextChar"/>
        </w:rPr>
        <w:t xml:space="preserve">Should entities choose to report on program components, a program component expense table should be provided for each and every program with more than one component. The full program expenses must still be shown in </w:t>
      </w:r>
      <w:r w:rsidRPr="000C5235">
        <w:rPr>
          <w:rStyle w:val="BodyTextChar"/>
          <w:i/>
        </w:rPr>
        <w:t xml:space="preserve">the Budgeted expenses by Outcome X </w:t>
      </w:r>
      <w:r w:rsidR="00710BF8" w:rsidRPr="000C5235">
        <w:rPr>
          <w:rStyle w:val="BodyTextChar"/>
          <w:i/>
        </w:rPr>
        <w:t>T</w:t>
      </w:r>
      <w:r w:rsidRPr="000C5235">
        <w:rPr>
          <w:rStyle w:val="BodyTextChar"/>
          <w:i/>
        </w:rPr>
        <w:t>able (Table 2.X.1)</w:t>
      </w:r>
      <w:r w:rsidRPr="000C5235">
        <w:rPr>
          <w:rStyle w:val="BodyTextChar"/>
        </w:rPr>
        <w:t xml:space="preserve">. The itemised sub-set of expenses is then provided for each relevant program component. Sub-program expenses must reconcile with the relevant program total. </w:t>
      </w:r>
    </w:p>
    <w:p w14:paraId="1EFE0861" w14:textId="77777777" w:rsidR="006F2C96" w:rsidRPr="000C5235" w:rsidRDefault="006F2C96" w:rsidP="000A7DEC">
      <w:pPr>
        <w:rPr>
          <w:rStyle w:val="BodyTextChar"/>
        </w:rPr>
      </w:pPr>
      <w:r w:rsidRPr="000C5235">
        <w:rPr>
          <w:rStyle w:val="BodyTextChar"/>
        </w:rPr>
        <w:br w:type="page"/>
      </w:r>
    </w:p>
    <w:p w14:paraId="129436C6" w14:textId="77777777" w:rsidR="00FA0945" w:rsidRPr="000C5235" w:rsidRDefault="00FA0945" w:rsidP="000A7DEC">
      <w:pPr>
        <w:pStyle w:val="Heading2Numbered"/>
        <w:rPr>
          <w:rFonts w:ascii="Arial" w:eastAsia="Times New Roman" w:hAnsi="Arial"/>
          <w:spacing w:val="-6"/>
          <w:szCs w:val="34"/>
        </w:rPr>
      </w:pPr>
      <w:bookmarkStart w:id="506" w:name="_Toc534458885"/>
      <w:bookmarkStart w:id="507" w:name="_Toc534459674"/>
      <w:bookmarkStart w:id="508" w:name="_Toc534519169"/>
      <w:bookmarkStart w:id="509" w:name="_Toc534520079"/>
      <w:bookmarkStart w:id="510" w:name="_Toc534520349"/>
      <w:bookmarkStart w:id="511" w:name="_Toc534527561"/>
      <w:bookmarkStart w:id="512" w:name="_Toc534528291"/>
      <w:bookmarkStart w:id="513" w:name="_Toc534803512"/>
      <w:bookmarkStart w:id="514" w:name="_Toc534814203"/>
      <w:bookmarkStart w:id="515" w:name="_Toc536108576"/>
      <w:bookmarkStart w:id="516" w:name="_Toc534382566"/>
      <w:bookmarkStart w:id="517" w:name="_Ref33522765"/>
      <w:bookmarkStart w:id="518" w:name="_Ref33522777"/>
      <w:bookmarkStart w:id="519" w:name="_Ref33522783"/>
      <w:bookmarkStart w:id="520" w:name="_Toc47951245"/>
      <w:bookmarkEnd w:id="506"/>
      <w:bookmarkEnd w:id="507"/>
      <w:bookmarkEnd w:id="508"/>
      <w:bookmarkEnd w:id="509"/>
      <w:bookmarkEnd w:id="510"/>
      <w:bookmarkEnd w:id="511"/>
      <w:bookmarkEnd w:id="512"/>
      <w:bookmarkEnd w:id="513"/>
      <w:bookmarkEnd w:id="514"/>
      <w:bookmarkEnd w:id="515"/>
      <w:r w:rsidRPr="000C5235">
        <w:rPr>
          <w:rFonts w:eastAsia="Times New Roman"/>
        </w:rPr>
        <w:t xml:space="preserve">Overview of </w:t>
      </w:r>
      <w:r w:rsidR="00511DF0" w:rsidRPr="000C5235">
        <w:rPr>
          <w:rFonts w:eastAsia="Times New Roman"/>
        </w:rPr>
        <w:t>t</w:t>
      </w:r>
      <w:r w:rsidRPr="000C5235">
        <w:rPr>
          <w:rFonts w:eastAsia="Times New Roman"/>
        </w:rPr>
        <w:t>able 2.X.3 – performance information</w:t>
      </w:r>
      <w:bookmarkEnd w:id="516"/>
      <w:bookmarkEnd w:id="517"/>
      <w:bookmarkEnd w:id="518"/>
      <w:bookmarkEnd w:id="519"/>
      <w:bookmarkEnd w:id="520"/>
    </w:p>
    <w:p w14:paraId="5B0612FC" w14:textId="77777777" w:rsidR="00FA0945" w:rsidRPr="000C5235" w:rsidRDefault="00FA0945">
      <w:pPr>
        <w:pStyle w:val="NormalTextRed"/>
        <w:rPr>
          <w:rStyle w:val="BodyTextChar"/>
          <w:rFonts w:ascii="Arial" w:hAnsi="Arial"/>
          <w:color w:val="auto"/>
          <w:spacing w:val="-6"/>
          <w:sz w:val="34"/>
          <w:szCs w:val="34"/>
        </w:rPr>
      </w:pPr>
      <w:r w:rsidRPr="000C5235">
        <w:rPr>
          <w:rStyle w:val="BodyTextChar"/>
        </w:rPr>
        <w:t xml:space="preserve">The template for </w:t>
      </w:r>
      <w:r w:rsidRPr="000C5235">
        <w:rPr>
          <w:rStyle w:val="BodyTextChar"/>
          <w:i/>
        </w:rPr>
        <w:t>Table 2.X.3</w:t>
      </w:r>
      <w:r w:rsidRPr="000C5235">
        <w:rPr>
          <w:rStyle w:val="BodyTextChar"/>
        </w:rPr>
        <w:t xml:space="preserve"> can be found in the Word template</w:t>
      </w:r>
      <w:r w:rsidR="00884D97" w:rsidRPr="000C5235">
        <w:rPr>
          <w:rStyle w:val="BodyTextChar"/>
        </w:rPr>
        <w:t xml:space="preserve"> (</w:t>
      </w:r>
      <w:r w:rsidR="0072052F" w:rsidRPr="000C5235">
        <w:rPr>
          <w:rStyle w:val="BodyTextChar"/>
          <w:u w:val="single"/>
        </w:rPr>
        <w:t xml:space="preserve">Attachment </w:t>
      </w:r>
      <w:r w:rsidR="006E5A47" w:rsidRPr="000C5235">
        <w:rPr>
          <w:rStyle w:val="BodyTextChar"/>
          <w:u w:val="single"/>
        </w:rPr>
        <w:t>C</w:t>
      </w:r>
      <w:r w:rsidR="006E5A47" w:rsidRPr="000C5235">
        <w:rPr>
          <w:rStyle w:val="BodyTextChar"/>
        </w:rPr>
        <w:t xml:space="preserve"> </w:t>
      </w:r>
      <w:r w:rsidR="0072052F" w:rsidRPr="000C5235">
        <w:rPr>
          <w:rStyle w:val="BodyTextChar"/>
        </w:rPr>
        <w:t>refers</w:t>
      </w:r>
      <w:r w:rsidR="00884D97" w:rsidRPr="000C5235">
        <w:rPr>
          <w:rStyle w:val="BodyTextChar"/>
        </w:rPr>
        <w:t xml:space="preserve">). </w:t>
      </w:r>
    </w:p>
    <w:p w14:paraId="13132B36" w14:textId="77777777" w:rsidR="00905D4E" w:rsidRPr="000C5235" w:rsidRDefault="00FA0945" w:rsidP="000A7DEC">
      <w:r w:rsidRPr="000C5235">
        <w:t xml:space="preserve">The illustration below summarises the components of </w:t>
      </w:r>
      <w:r w:rsidRPr="000C5235">
        <w:rPr>
          <w:i/>
        </w:rPr>
        <w:t>Table 2.X.3</w:t>
      </w:r>
      <w:r w:rsidRPr="000C5235">
        <w:t xml:space="preserve"> and their relationship to each other. Information for each program associated with an Outcome X begins with the program title, a brief description of the program objective and how it contributes to the wider objectives of Outcome X</w:t>
      </w:r>
      <w:r w:rsidR="006D021E" w:rsidRPr="000C5235">
        <w:t>.</w:t>
      </w:r>
    </w:p>
    <w:p w14:paraId="616D6C0A" w14:textId="77777777" w:rsidR="00FA0945" w:rsidRPr="000C5235" w:rsidRDefault="00FA0945">
      <w:pPr>
        <w:pStyle w:val="Bullet1"/>
      </w:pPr>
      <w:r w:rsidRPr="000C5235">
        <w:t xml:space="preserve">The “Delivery” cell in </w:t>
      </w:r>
      <w:r w:rsidRPr="000C5235">
        <w:rPr>
          <w:i/>
        </w:rPr>
        <w:t>Table 2.X.3</w:t>
      </w:r>
      <w:r w:rsidRPr="000C5235">
        <w:t xml:space="preserve"> will include information on how the program is delivered (</w:t>
      </w:r>
      <w:r w:rsidR="001754FC" w:rsidRPr="000C5235">
        <w:t>ie</w:t>
      </w:r>
      <w:r w:rsidRPr="000C5235">
        <w:t xml:space="preserve"> through payments to eligible individuals) and the group/s targeted</w:t>
      </w:r>
    </w:p>
    <w:p w14:paraId="3DD6A907" w14:textId="77777777" w:rsidR="00FA0945" w:rsidRPr="000C5235" w:rsidRDefault="00FA0945">
      <w:pPr>
        <w:pStyle w:val="Bullet1"/>
      </w:pPr>
      <w:r w:rsidRPr="000C5235">
        <w:t xml:space="preserve">The performance criteria cell in </w:t>
      </w:r>
      <w:r w:rsidRPr="000C5235">
        <w:rPr>
          <w:i/>
        </w:rPr>
        <w:t>Table 2.X.3</w:t>
      </w:r>
      <w:r w:rsidRPr="000C5235">
        <w:t xml:space="preserve"> includes reporting on estimated performance </w:t>
      </w:r>
      <w:r w:rsidR="00A81B39" w:rsidRPr="000C5235">
        <w:t xml:space="preserve">results for </w:t>
      </w:r>
      <w:r w:rsidR="00282468" w:rsidRPr="000C5235">
        <w:t>2019-20</w:t>
      </w:r>
      <w:r w:rsidRPr="000C5235">
        <w:t xml:space="preserve"> and p</w:t>
      </w:r>
      <w:r w:rsidR="00A81B39" w:rsidRPr="000C5235">
        <w:t xml:space="preserve">erformance expectations for </w:t>
      </w:r>
      <w:r w:rsidR="00282468" w:rsidRPr="000C5235">
        <w:t>2020-21</w:t>
      </w:r>
      <w:r w:rsidRPr="000C5235">
        <w:t xml:space="preserve"> and over the forward estimates</w:t>
      </w:r>
    </w:p>
    <w:p w14:paraId="6F1F52DF" w14:textId="77777777" w:rsidR="00FA0945" w:rsidRPr="000C5235" w:rsidRDefault="00FA0945">
      <w:pPr>
        <w:pStyle w:val="Bullet1"/>
      </w:pPr>
      <w:r w:rsidRPr="000C5235">
        <w:t xml:space="preserve">The “Purposes” cell in </w:t>
      </w:r>
      <w:r w:rsidRPr="000C5235">
        <w:rPr>
          <w:i/>
        </w:rPr>
        <w:t>Table 2.X.3</w:t>
      </w:r>
      <w:r w:rsidRPr="000C5235">
        <w:t xml:space="preserve"> indicates how a program is linked to purposes described in an entity’s corporate plan.</w:t>
      </w:r>
    </w:p>
    <w:p w14:paraId="1FBB3358" w14:textId="77777777" w:rsidR="000E69EB" w:rsidRPr="000C5235" w:rsidRDefault="000E69EB" w:rsidP="000A7DEC"/>
    <w:bookmarkEnd w:id="453"/>
    <w:bookmarkEnd w:id="454"/>
    <w:p w14:paraId="6BAD7408" w14:textId="77777777" w:rsidR="00FA0945" w:rsidRPr="000C5235" w:rsidRDefault="00FA0945">
      <w:pPr>
        <w:pStyle w:val="BodyText"/>
      </w:pPr>
      <w:r w:rsidRPr="000C5235">
        <w:rPr>
          <w:rStyle w:val="BodyTextChar"/>
          <w:noProof/>
          <w:lang w:eastAsia="en-AU"/>
        </w:rPr>
        <mc:AlternateContent>
          <mc:Choice Requires="wpc">
            <w:drawing>
              <wp:inline distT="0" distB="0" distL="0" distR="0" wp14:anchorId="35ADD072" wp14:editId="68227702">
                <wp:extent cx="5886450" cy="3707765"/>
                <wp:effectExtent l="0" t="0" r="19050" b="2603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a:solidFill>
                            <a:schemeClr val="tx1"/>
                          </a:solidFill>
                        </a:ln>
                      </wpc:whole>
                      <wps:wsp>
                        <wps:cNvPr id="19" name="Text Box 4"/>
                        <wps:cNvSpPr txBox="1">
                          <a:spLocks noChangeArrowheads="1"/>
                        </wps:cNvSpPr>
                        <wps:spPr bwMode="auto">
                          <a:xfrm>
                            <a:off x="1812346" y="104763"/>
                            <a:ext cx="1865813" cy="809638"/>
                          </a:xfrm>
                          <a:prstGeom prst="rect">
                            <a:avLst/>
                          </a:prstGeom>
                          <a:solidFill>
                            <a:srgbClr val="FFFFFF"/>
                          </a:solidFill>
                          <a:ln w="9525">
                            <a:solidFill>
                              <a:srgbClr val="000000"/>
                            </a:solidFill>
                            <a:miter lim="800000"/>
                            <a:headEnd/>
                            <a:tailEnd/>
                          </a:ln>
                        </wps:spPr>
                        <wps:txbx>
                          <w:txbxContent>
                            <w:p w14:paraId="0F98F966" w14:textId="77777777" w:rsidR="00DD1634" w:rsidRPr="002406F9" w:rsidRDefault="00DD1634" w:rsidP="000A7DEC">
                              <w:pPr>
                                <w:pStyle w:val="TableText-Small"/>
                                <w:ind w:left="0"/>
                              </w:pPr>
                              <w:r w:rsidRPr="00EF6ACB">
                                <w:t>2020-21</w:t>
                              </w:r>
                              <w:r w:rsidRPr="00155B83">
                                <w:t xml:space="preserve"> BUDGET MEASURES</w:t>
                              </w:r>
                            </w:p>
                            <w:p w14:paraId="7AA4659D" w14:textId="77777777" w:rsidR="00DD1634" w:rsidRPr="000A7DEC" w:rsidRDefault="00DD1634">
                              <w:pPr>
                                <w:rPr>
                                  <w:sz w:val="18"/>
                                  <w:szCs w:val="18"/>
                                </w:rPr>
                              </w:pPr>
                              <w:r w:rsidRPr="000A7DEC">
                                <w:rPr>
                                  <w:sz w:val="18"/>
                                  <w:szCs w:val="18"/>
                                </w:rPr>
                                <w:t>New programs or material impact on existing programs</w:t>
                              </w:r>
                            </w:p>
                          </w:txbxContent>
                        </wps:txbx>
                        <wps:bodyPr rot="0" vert="horz" wrap="square" lIns="91440" tIns="45720" rIns="91440" bIns="45720" anchor="t" anchorCtr="0" upright="1">
                          <a:noAutofit/>
                        </wps:bodyPr>
                      </wps:wsp>
                      <wps:wsp>
                        <wps:cNvPr id="20" name="Text Box 5"/>
                        <wps:cNvSpPr txBox="1">
                          <a:spLocks noChangeArrowheads="1"/>
                        </wps:cNvSpPr>
                        <wps:spPr bwMode="auto">
                          <a:xfrm>
                            <a:off x="134061" y="1304527"/>
                            <a:ext cx="1195040" cy="2233256"/>
                          </a:xfrm>
                          <a:prstGeom prst="rect">
                            <a:avLst/>
                          </a:prstGeom>
                          <a:solidFill>
                            <a:srgbClr val="FFFFFF"/>
                          </a:solidFill>
                          <a:ln w="9525">
                            <a:solidFill>
                              <a:srgbClr val="000000"/>
                            </a:solidFill>
                            <a:miter lim="800000"/>
                            <a:headEnd/>
                            <a:tailEnd/>
                          </a:ln>
                        </wps:spPr>
                        <wps:txbx>
                          <w:txbxContent>
                            <w:p w14:paraId="677F541D" w14:textId="77777777" w:rsidR="00DD1634" w:rsidRPr="00905D4E" w:rsidRDefault="00DD1634">
                              <w:pPr>
                                <w:pStyle w:val="TableText-Small"/>
                              </w:pPr>
                              <w:r w:rsidRPr="00905D4E">
                                <w:t>PROGRAM TITLE AND DESCRIPTION</w:t>
                              </w:r>
                              <w:r>
                                <w:br/>
                              </w:r>
                            </w:p>
                            <w:p w14:paraId="1ACAC2E4" w14:textId="77777777" w:rsidR="00DD1634" w:rsidRPr="00905D4E" w:rsidRDefault="00DD1634">
                              <w:pPr>
                                <w:pStyle w:val="TableText-Small"/>
                              </w:pPr>
                              <w:r w:rsidRPr="00905D4E">
                                <w:t>Objective</w:t>
                              </w:r>
                            </w:p>
                            <w:p w14:paraId="6FA35CF2" w14:textId="77777777" w:rsidR="00DD1634" w:rsidRPr="00905D4E" w:rsidRDefault="00DD1634">
                              <w:pPr>
                                <w:pStyle w:val="TableText-Small"/>
                              </w:pPr>
                              <w:r w:rsidRPr="00905D4E">
                                <w:t>What impact?</w:t>
                              </w:r>
                            </w:p>
                            <w:p w14:paraId="6931B1FD" w14:textId="77777777" w:rsidR="00DD1634" w:rsidRPr="00905D4E" w:rsidRDefault="00DD1634">
                              <w:pPr>
                                <w:pStyle w:val="TableText-Small"/>
                              </w:pPr>
                              <w:r w:rsidRPr="00905D4E">
                                <w:t>Contribution to Outcome X</w:t>
                              </w:r>
                            </w:p>
                            <w:p w14:paraId="32861D57" w14:textId="77777777" w:rsidR="00DD1634" w:rsidRPr="00905D4E" w:rsidRDefault="00DD1634">
                              <w:pPr>
                                <w:pStyle w:val="TableText-Small"/>
                              </w:pPr>
                              <w:r w:rsidRPr="00905D4E">
                                <w:t>How does the program help contribute to Outcome X?</w:t>
                              </w:r>
                            </w:p>
                          </w:txbxContent>
                        </wps:txbx>
                        <wps:bodyPr rot="0" vert="horz" wrap="square" lIns="91440" tIns="45720" rIns="91440" bIns="45720" anchor="t" anchorCtr="0" upright="1">
                          <a:noAutofit/>
                        </wps:bodyPr>
                      </wps:wsp>
                      <wps:wsp>
                        <wps:cNvPr id="21" name="Text Box 6"/>
                        <wps:cNvSpPr txBox="1">
                          <a:spLocks noChangeArrowheads="1"/>
                        </wps:cNvSpPr>
                        <wps:spPr bwMode="auto">
                          <a:xfrm>
                            <a:off x="1481454" y="1298326"/>
                            <a:ext cx="1080770" cy="2233150"/>
                          </a:xfrm>
                          <a:prstGeom prst="rect">
                            <a:avLst/>
                          </a:prstGeom>
                          <a:solidFill>
                            <a:srgbClr val="FFFFFF"/>
                          </a:solidFill>
                          <a:ln w="9525">
                            <a:solidFill>
                              <a:srgbClr val="000000"/>
                            </a:solidFill>
                            <a:miter lim="800000"/>
                            <a:headEnd/>
                            <a:tailEnd/>
                          </a:ln>
                        </wps:spPr>
                        <wps:txbx>
                          <w:txbxContent>
                            <w:p w14:paraId="18EAF142" w14:textId="77777777" w:rsidR="00DD1634" w:rsidRDefault="00DD1634" w:rsidP="000A7DEC">
                              <w:pPr>
                                <w:pStyle w:val="TableText-Small"/>
                              </w:pPr>
                              <w:r w:rsidRPr="00314AE9">
                                <w:t>DELIVERY</w:t>
                              </w:r>
                              <w:r>
                                <w:br/>
                              </w:r>
                              <w:r>
                                <w:br/>
                              </w:r>
                              <w:r>
                                <w:br/>
                              </w:r>
                            </w:p>
                            <w:p w14:paraId="0836316B" w14:textId="77777777" w:rsidR="00DD1634" w:rsidRPr="00DA25E5" w:rsidRDefault="00DD1634" w:rsidP="000A7DEC">
                              <w:pPr>
                                <w:pStyle w:val="TableText-Small"/>
                              </w:pPr>
                              <w:r w:rsidRPr="0008587A">
                                <w:t xml:space="preserve">What mechanisms (or activities)? </w:t>
                              </w:r>
                            </w:p>
                            <w:p w14:paraId="22129171" w14:textId="77777777" w:rsidR="00DD1634" w:rsidRPr="00DA25E5" w:rsidRDefault="00DD1634" w:rsidP="000A7DEC">
                              <w:pPr>
                                <w:pStyle w:val="TableText-Small"/>
                              </w:pPr>
                              <w:r w:rsidRPr="00DA25E5">
                                <w:t xml:space="preserve">Target group? </w:t>
                              </w:r>
                            </w:p>
                            <w:p w14:paraId="3D625F0A" w14:textId="77777777" w:rsidR="00DD1634" w:rsidRPr="00314AE9" w:rsidRDefault="00DD1634" w:rsidP="000A7DEC">
                              <w:pPr>
                                <w:pStyle w:val="TableText-Small"/>
                              </w:pPr>
                              <w:r w:rsidRPr="004C1DA7">
                                <w:t>Who benefits?</w:t>
                              </w:r>
                            </w:p>
                          </w:txbxContent>
                        </wps:txbx>
                        <wps:bodyPr rot="0" vert="horz" wrap="square" lIns="91440" tIns="45720" rIns="91440" bIns="45720" anchor="t" anchorCtr="0" upright="1">
                          <a:noAutofit/>
                        </wps:bodyPr>
                      </wps:wsp>
                      <wps:wsp>
                        <wps:cNvPr id="22" name="Text Box 7"/>
                        <wps:cNvSpPr txBox="1">
                          <a:spLocks noChangeArrowheads="1"/>
                        </wps:cNvSpPr>
                        <wps:spPr bwMode="auto">
                          <a:xfrm>
                            <a:off x="2745664" y="1297248"/>
                            <a:ext cx="1679154" cy="2227922"/>
                          </a:xfrm>
                          <a:prstGeom prst="rect">
                            <a:avLst/>
                          </a:prstGeom>
                          <a:solidFill>
                            <a:srgbClr val="FFFFFF"/>
                          </a:solidFill>
                          <a:ln w="9525">
                            <a:solidFill>
                              <a:srgbClr val="000000"/>
                            </a:solidFill>
                            <a:miter lim="800000"/>
                            <a:headEnd/>
                            <a:tailEnd/>
                          </a:ln>
                        </wps:spPr>
                        <wps:txbx>
                          <w:txbxContent>
                            <w:p w14:paraId="4064483D" w14:textId="77777777" w:rsidR="00DD1634" w:rsidRPr="00DA485B" w:rsidRDefault="00DD1634" w:rsidP="000A7DEC">
                              <w:pPr>
                                <w:pStyle w:val="TableText-Small"/>
                              </w:pPr>
                              <w:r w:rsidRPr="00314AE9">
                                <w:t>PLANNED PERFORMANCE CRITERIA</w:t>
                              </w:r>
                              <w:r>
                                <w:br/>
                              </w:r>
                            </w:p>
                            <w:p w14:paraId="62341B36" w14:textId="77777777" w:rsidR="00DD1634" w:rsidRPr="00DA25E5" w:rsidRDefault="00DD1634" w:rsidP="000A7DEC">
                              <w:pPr>
                                <w:pStyle w:val="TableText-Small"/>
                              </w:pPr>
                              <w:r w:rsidRPr="0008587A">
                                <w:t>What does success look like during:</w:t>
                              </w:r>
                            </w:p>
                            <w:p w14:paraId="0404C94D" w14:textId="77777777" w:rsidR="00DD1634" w:rsidRPr="000C42A6" w:rsidRDefault="00DD1634" w:rsidP="00A250B5">
                              <w:pPr>
                                <w:pStyle w:val="TableText-Bullets-Compact"/>
                              </w:pPr>
                              <w:r w:rsidRPr="00A250B5">
                                <w:t>2019-</w:t>
                              </w:r>
                              <w:r w:rsidRPr="000C42A6">
                                <w:t>20 Actuals</w:t>
                              </w:r>
                            </w:p>
                            <w:p w14:paraId="46AB4AEA" w14:textId="77777777" w:rsidR="00DD1634" w:rsidRPr="00A250B5" w:rsidRDefault="00DD1634" w:rsidP="00A250B5">
                              <w:pPr>
                                <w:pStyle w:val="TableText-Bullets-Compact"/>
                              </w:pPr>
                              <w:r w:rsidRPr="00A250B5">
                                <w:t>2020-21 Budget</w:t>
                              </w:r>
                            </w:p>
                            <w:p w14:paraId="3465D8D6" w14:textId="77777777" w:rsidR="00DD1634" w:rsidRPr="00A250B5" w:rsidRDefault="00DD1634" w:rsidP="00A250B5">
                              <w:pPr>
                                <w:pStyle w:val="TableText-Bullets-Compact"/>
                              </w:pPr>
                              <w:r w:rsidRPr="00A250B5">
                                <w:t>2021-22 and beyond</w:t>
                              </w:r>
                            </w:p>
                            <w:p w14:paraId="423C5DD0" w14:textId="77777777" w:rsidR="00DD1634" w:rsidRPr="00A250B5" w:rsidRDefault="00DD1634" w:rsidP="00A250B5">
                              <w:pPr>
                                <w:pStyle w:val="TableText-Bullets-Compact"/>
                              </w:pPr>
                              <w:r w:rsidRPr="00A250B5">
                                <w:t xml:space="preserve">Targets </w:t>
                              </w:r>
                            </w:p>
                            <w:p w14:paraId="20E7C6C3" w14:textId="77777777" w:rsidR="00DD1634" w:rsidRPr="000E692C" w:rsidRDefault="00DD1634" w:rsidP="000A7DEC">
                              <w:pPr>
                                <w:pStyle w:val="TableText-Small"/>
                              </w:pPr>
                              <w:r w:rsidRPr="000E692C">
                                <w:t>(</w:t>
                              </w:r>
                              <w:r>
                                <w:t>ie</w:t>
                              </w:r>
                              <w:r w:rsidRPr="000E692C">
                                <w:t xml:space="preserve"> milestones, standards, extent)</w:t>
                              </w:r>
                            </w:p>
                          </w:txbxContent>
                        </wps:txbx>
                        <wps:bodyPr rot="0" vert="horz" wrap="square" lIns="91440" tIns="45720" rIns="91440" bIns="45720" anchor="t" anchorCtr="0" upright="1">
                          <a:noAutofit/>
                        </wps:bodyPr>
                      </wps:wsp>
                      <wps:wsp>
                        <wps:cNvPr id="23" name="Text Box 8"/>
                        <wps:cNvSpPr txBox="1">
                          <a:spLocks noChangeArrowheads="1"/>
                        </wps:cNvSpPr>
                        <wps:spPr bwMode="auto">
                          <a:xfrm>
                            <a:off x="4607984" y="1298080"/>
                            <a:ext cx="1182589" cy="2227010"/>
                          </a:xfrm>
                          <a:prstGeom prst="rect">
                            <a:avLst/>
                          </a:prstGeom>
                          <a:solidFill>
                            <a:srgbClr val="FFFFFF"/>
                          </a:solidFill>
                          <a:ln w="9525">
                            <a:solidFill>
                              <a:srgbClr val="000000"/>
                            </a:solidFill>
                            <a:miter lim="800000"/>
                            <a:headEnd/>
                            <a:tailEnd/>
                          </a:ln>
                        </wps:spPr>
                        <wps:txbx>
                          <w:txbxContent>
                            <w:p w14:paraId="610275E5" w14:textId="77777777" w:rsidR="00DD1634" w:rsidRPr="0008587A" w:rsidRDefault="00DD1634" w:rsidP="000A7DEC">
                              <w:pPr>
                                <w:pStyle w:val="TableText-Small"/>
                              </w:pPr>
                              <w:r w:rsidRPr="00314AE9">
                                <w:t>PURPOSES</w:t>
                              </w:r>
                              <w:r>
                                <w:br/>
                              </w:r>
                              <w:r>
                                <w:br/>
                              </w:r>
                              <w:r>
                                <w:br/>
                              </w:r>
                            </w:p>
                            <w:p w14:paraId="3671C701" w14:textId="77777777" w:rsidR="00DD1634" w:rsidRPr="00DA25E5" w:rsidRDefault="00DD1634" w:rsidP="000A7DEC">
                              <w:pPr>
                                <w:pStyle w:val="TableText-Small"/>
                              </w:pPr>
                              <w:r w:rsidRPr="00DA25E5">
                                <w:t>Link to the broader context and performance framework described in an entity’s current corporate plan</w:t>
                              </w:r>
                            </w:p>
                          </w:txbxContent>
                        </wps:txbx>
                        <wps:bodyPr rot="0" vert="horz" wrap="square" lIns="91440" tIns="45720" rIns="91440" bIns="45720" anchor="t" anchorCtr="0" upright="1">
                          <a:noAutofit/>
                        </wps:bodyPr>
                      </wps:wsp>
                      <wpg:wgp>
                        <wpg:cNvPr id="24" name="Group 9" descr="Arrow showing 2016-17 Budget measures modify Performance Criteria. "/>
                        <wpg:cNvGrpSpPr>
                          <a:grpSpLocks/>
                        </wpg:cNvGrpSpPr>
                        <wpg:grpSpPr bwMode="auto">
                          <a:xfrm>
                            <a:off x="3678159" y="472112"/>
                            <a:ext cx="1098053" cy="826216"/>
                            <a:chOff x="7357" y="7859"/>
                            <a:chExt cx="1388" cy="1759"/>
                          </a:xfrm>
                        </wpg:grpSpPr>
                        <wps:wsp>
                          <wps:cNvPr id="25" name="AutoShape 10" descr="Modifies"/>
                          <wps:cNvCnPr>
                            <a:cxnSpLocks noChangeShapeType="1"/>
                          </wps:cNvCnPr>
                          <wps:spPr bwMode="auto">
                            <a:xfrm rot="16200000" flipH="1">
                              <a:off x="6676" y="8540"/>
                              <a:ext cx="1759" cy="397"/>
                            </a:xfrm>
                            <a:prstGeom prst="bentConnector3">
                              <a:avLst>
                                <a:gd name="adj1" fmla="val 529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Text Box 11"/>
                          <wps:cNvSpPr txBox="1">
                            <a:spLocks noChangeArrowheads="1"/>
                          </wps:cNvSpPr>
                          <wps:spPr bwMode="auto">
                            <a:xfrm>
                              <a:off x="7718" y="8344"/>
                              <a:ext cx="1027" cy="72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136FCC" w14:textId="77777777" w:rsidR="00DD1634" w:rsidRPr="00877B45" w:rsidRDefault="00DD1634">
                                <w:r w:rsidRPr="00877B45">
                                  <w:t>Modifies</w:t>
                                </w:r>
                              </w:p>
                            </w:txbxContent>
                          </wps:txbx>
                          <wps:bodyPr rot="0" vert="horz" wrap="square" lIns="91440" tIns="45720" rIns="91440" bIns="45720" anchor="t" anchorCtr="0" upright="1">
                            <a:noAutofit/>
                          </wps:bodyPr>
                        </wps:wsp>
                      </wpg:wgp>
                      <wpg:wgp>
                        <wpg:cNvPr id="27" name="Group 12" descr="Arrow showing 2016-17 Budget measures modify Delivery. "/>
                        <wpg:cNvGrpSpPr>
                          <a:grpSpLocks/>
                        </wpg:cNvGrpSpPr>
                        <wpg:grpSpPr bwMode="auto">
                          <a:xfrm>
                            <a:off x="800531" y="509570"/>
                            <a:ext cx="1558958" cy="777837"/>
                            <a:chOff x="3942" y="8420"/>
                            <a:chExt cx="1191" cy="1112"/>
                          </a:xfrm>
                        </wpg:grpSpPr>
                        <wps:wsp>
                          <wps:cNvPr id="28" name="AutoShape 13" descr="Modifies"/>
                          <wps:cNvCnPr>
                            <a:cxnSpLocks noChangeShapeType="1"/>
                            <a:stCxn id="19" idx="1"/>
                          </wps:cNvCnPr>
                          <wps:spPr bwMode="auto">
                            <a:xfrm rot="10800000" flipV="1">
                              <a:off x="4518" y="8420"/>
                              <a:ext cx="197" cy="111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Text Box 14"/>
                          <wps:cNvSpPr txBox="1">
                            <a:spLocks noChangeArrowheads="1"/>
                          </wps:cNvSpPr>
                          <wps:spPr bwMode="auto">
                            <a:xfrm>
                              <a:off x="3942" y="8692"/>
                              <a:ext cx="1191" cy="7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87D611" w14:textId="77777777" w:rsidR="00DD1634" w:rsidRPr="00877B45" w:rsidRDefault="00DD1634">
                                <w:r w:rsidRPr="00877B45">
                                  <w:t>Modifies</w:t>
                                </w:r>
                              </w:p>
                            </w:txbxContent>
                          </wps:txbx>
                          <wps:bodyPr rot="0" vert="horz" wrap="square" lIns="91440" tIns="45720" rIns="91440" bIns="45720" anchor="t" anchorCtr="0" upright="1">
                            <a:noAutofit/>
                          </wps:bodyPr>
                        </wps:wsp>
                      </wpg:wgp>
                      <wps:wsp>
                        <wps:cNvPr id="30" name="AutoShape 15" descr="Arrow from Program Title and Description to Delivery"/>
                        <wps:cNvCnPr>
                          <a:cxnSpLocks noChangeShapeType="1"/>
                          <a:stCxn id="20" idx="3"/>
                          <a:endCxn id="21" idx="1"/>
                        </wps:cNvCnPr>
                        <wps:spPr bwMode="auto">
                          <a:xfrm flipV="1">
                            <a:off x="1329101" y="2414901"/>
                            <a:ext cx="152353" cy="625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16" descr="Arrow from Delivery to Performance Criteria"/>
                        <wps:cNvCnPr>
                          <a:cxnSpLocks noChangeShapeType="1"/>
                          <a:stCxn id="21" idx="3"/>
                          <a:endCxn id="22" idx="1"/>
                        </wps:cNvCnPr>
                        <wps:spPr bwMode="auto">
                          <a:xfrm flipV="1">
                            <a:off x="2562224" y="2411209"/>
                            <a:ext cx="183440" cy="3692"/>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17" descr="Arrow from Performance Criteria to Purposes"/>
                        <wps:cNvCnPr>
                          <a:cxnSpLocks noChangeShapeType="1"/>
                          <a:stCxn id="22" idx="3"/>
                          <a:endCxn id="23" idx="1"/>
                        </wps:cNvCnPr>
                        <wps:spPr bwMode="auto">
                          <a:xfrm>
                            <a:off x="4424818" y="2411209"/>
                            <a:ext cx="183166" cy="37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5ADD072" id="Canvas 33" o:spid="_x0000_s1041" editas="canvas" style="width:463.5pt;height:291.95pt;mso-position-horizontal-relative:char;mso-position-vertical-relative:line" coordsize="58864,37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">
                <v:shape id="_x0000_s1042" type="#_x0000_t75" style="position:absolute;width:58864;height:37077;visibility:visible;mso-wrap-style:square" filled="t" fillcolor="#d8d8d8 [2732]" stroked="t" strokecolor="black [3213]">
                  <v:fill o:detectmouseclick="t"/>
                  <v:path o:connecttype="none"/>
                </v:shape>
                <v:shape id="Text Box 4" o:spid="_x0000_s1043" type="#_x0000_t202" style="position:absolute;left:18123;top:1047;width:18658;height: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F98F966" w14:textId="77777777" w:rsidR="00DD1634" w:rsidRPr="002406F9" w:rsidRDefault="00DD1634" w:rsidP="000A7DEC">
                        <w:pPr>
                          <w:pStyle w:val="TableText-Small"/>
                          <w:ind w:left="0"/>
                        </w:pPr>
                        <w:r w:rsidRPr="00EF6ACB">
                          <w:t>2020-21</w:t>
                        </w:r>
                        <w:r w:rsidRPr="00155B83">
                          <w:t xml:space="preserve"> BUDGET MEASURES</w:t>
                        </w:r>
                      </w:p>
                      <w:p w14:paraId="7AA4659D" w14:textId="77777777" w:rsidR="00DD1634" w:rsidRPr="000A7DEC" w:rsidRDefault="00DD1634">
                        <w:pPr>
                          <w:rPr>
                            <w:sz w:val="18"/>
                            <w:szCs w:val="18"/>
                          </w:rPr>
                        </w:pPr>
                        <w:r w:rsidRPr="000A7DEC">
                          <w:rPr>
                            <w:sz w:val="18"/>
                            <w:szCs w:val="18"/>
                          </w:rPr>
                          <w:t>New programs or material impact on existing programs</w:t>
                        </w:r>
                      </w:p>
                    </w:txbxContent>
                  </v:textbox>
                </v:shape>
                <v:shape id="Text Box 5" o:spid="_x0000_s1044" type="#_x0000_t202" style="position:absolute;left:1340;top:13045;width:11951;height:2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677F541D" w14:textId="77777777" w:rsidR="00DD1634" w:rsidRPr="00905D4E" w:rsidRDefault="00DD1634">
                        <w:pPr>
                          <w:pStyle w:val="TableText-Small"/>
                        </w:pPr>
                        <w:r w:rsidRPr="00905D4E">
                          <w:t>PROGRAM TITLE AND DESCRIPTION</w:t>
                        </w:r>
                        <w:r>
                          <w:br/>
                        </w:r>
                      </w:p>
                      <w:p w14:paraId="1ACAC2E4" w14:textId="77777777" w:rsidR="00DD1634" w:rsidRPr="00905D4E" w:rsidRDefault="00DD1634">
                        <w:pPr>
                          <w:pStyle w:val="TableText-Small"/>
                        </w:pPr>
                        <w:r w:rsidRPr="00905D4E">
                          <w:t>Objective</w:t>
                        </w:r>
                      </w:p>
                      <w:p w14:paraId="6FA35CF2" w14:textId="77777777" w:rsidR="00DD1634" w:rsidRPr="00905D4E" w:rsidRDefault="00DD1634">
                        <w:pPr>
                          <w:pStyle w:val="TableText-Small"/>
                        </w:pPr>
                        <w:r w:rsidRPr="00905D4E">
                          <w:t>What impact?</w:t>
                        </w:r>
                      </w:p>
                      <w:p w14:paraId="6931B1FD" w14:textId="77777777" w:rsidR="00DD1634" w:rsidRPr="00905D4E" w:rsidRDefault="00DD1634">
                        <w:pPr>
                          <w:pStyle w:val="TableText-Small"/>
                        </w:pPr>
                        <w:r w:rsidRPr="00905D4E">
                          <w:t>Contribution to Outcome X</w:t>
                        </w:r>
                      </w:p>
                      <w:p w14:paraId="32861D57" w14:textId="77777777" w:rsidR="00DD1634" w:rsidRPr="00905D4E" w:rsidRDefault="00DD1634">
                        <w:pPr>
                          <w:pStyle w:val="TableText-Small"/>
                        </w:pPr>
                        <w:r w:rsidRPr="00905D4E">
                          <w:t>How does the program help contribute to Outcome X?</w:t>
                        </w:r>
                      </w:p>
                    </w:txbxContent>
                  </v:textbox>
                </v:shape>
                <v:shape id="Text Box 6" o:spid="_x0000_s1045" type="#_x0000_t202" style="position:absolute;left:14814;top:12983;width:10808;height:2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18EAF142" w14:textId="77777777" w:rsidR="00DD1634" w:rsidRDefault="00DD1634" w:rsidP="000A7DEC">
                        <w:pPr>
                          <w:pStyle w:val="TableText-Small"/>
                        </w:pPr>
                        <w:r w:rsidRPr="00314AE9">
                          <w:t>DELIVERY</w:t>
                        </w:r>
                        <w:r>
                          <w:br/>
                        </w:r>
                        <w:r>
                          <w:br/>
                        </w:r>
                        <w:r>
                          <w:br/>
                        </w:r>
                      </w:p>
                      <w:p w14:paraId="0836316B" w14:textId="77777777" w:rsidR="00DD1634" w:rsidRPr="00DA25E5" w:rsidRDefault="00DD1634" w:rsidP="000A7DEC">
                        <w:pPr>
                          <w:pStyle w:val="TableText-Small"/>
                        </w:pPr>
                        <w:r w:rsidRPr="0008587A">
                          <w:t xml:space="preserve">What mechanisms (or activities)? </w:t>
                        </w:r>
                      </w:p>
                      <w:p w14:paraId="22129171" w14:textId="77777777" w:rsidR="00DD1634" w:rsidRPr="00DA25E5" w:rsidRDefault="00DD1634" w:rsidP="000A7DEC">
                        <w:pPr>
                          <w:pStyle w:val="TableText-Small"/>
                        </w:pPr>
                        <w:r w:rsidRPr="00DA25E5">
                          <w:t xml:space="preserve">Target group? </w:t>
                        </w:r>
                      </w:p>
                      <w:p w14:paraId="3D625F0A" w14:textId="77777777" w:rsidR="00DD1634" w:rsidRPr="00314AE9" w:rsidRDefault="00DD1634" w:rsidP="000A7DEC">
                        <w:pPr>
                          <w:pStyle w:val="TableText-Small"/>
                        </w:pPr>
                        <w:r w:rsidRPr="004C1DA7">
                          <w:t>Who benefits?</w:t>
                        </w:r>
                      </w:p>
                    </w:txbxContent>
                  </v:textbox>
                </v:shape>
                <v:shape id="Text Box 7" o:spid="_x0000_s1046" type="#_x0000_t202" style="position:absolute;left:27456;top:12972;width:16792;height:2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4064483D" w14:textId="77777777" w:rsidR="00DD1634" w:rsidRPr="00DA485B" w:rsidRDefault="00DD1634" w:rsidP="000A7DEC">
                        <w:pPr>
                          <w:pStyle w:val="TableText-Small"/>
                        </w:pPr>
                        <w:r w:rsidRPr="00314AE9">
                          <w:t>PLANNED PERFORMANCE CRITERIA</w:t>
                        </w:r>
                        <w:r>
                          <w:br/>
                        </w:r>
                      </w:p>
                      <w:p w14:paraId="62341B36" w14:textId="77777777" w:rsidR="00DD1634" w:rsidRPr="00DA25E5" w:rsidRDefault="00DD1634" w:rsidP="000A7DEC">
                        <w:pPr>
                          <w:pStyle w:val="TableText-Small"/>
                        </w:pPr>
                        <w:r w:rsidRPr="0008587A">
                          <w:t xml:space="preserve">What does success look like </w:t>
                        </w:r>
                        <w:proofErr w:type="gramStart"/>
                        <w:r w:rsidRPr="0008587A">
                          <w:t>during:</w:t>
                        </w:r>
                        <w:proofErr w:type="gramEnd"/>
                      </w:p>
                      <w:p w14:paraId="0404C94D" w14:textId="77777777" w:rsidR="00DD1634" w:rsidRPr="000C42A6" w:rsidRDefault="00DD1634" w:rsidP="00A250B5">
                        <w:pPr>
                          <w:pStyle w:val="TableText-Bullets-Compact"/>
                        </w:pPr>
                        <w:r w:rsidRPr="00A250B5">
                          <w:t>2019-</w:t>
                        </w:r>
                        <w:r w:rsidRPr="000C42A6">
                          <w:t>20 Actuals</w:t>
                        </w:r>
                      </w:p>
                      <w:p w14:paraId="46AB4AEA" w14:textId="77777777" w:rsidR="00DD1634" w:rsidRPr="00A250B5" w:rsidRDefault="00DD1634" w:rsidP="00A250B5">
                        <w:pPr>
                          <w:pStyle w:val="TableText-Bullets-Compact"/>
                        </w:pPr>
                        <w:r w:rsidRPr="00A250B5">
                          <w:t>2020-21 Budget</w:t>
                        </w:r>
                      </w:p>
                      <w:p w14:paraId="3465D8D6" w14:textId="77777777" w:rsidR="00DD1634" w:rsidRPr="00A250B5" w:rsidRDefault="00DD1634" w:rsidP="00A250B5">
                        <w:pPr>
                          <w:pStyle w:val="TableText-Bullets-Compact"/>
                        </w:pPr>
                        <w:r w:rsidRPr="00A250B5">
                          <w:t>2021-22 and beyond</w:t>
                        </w:r>
                      </w:p>
                      <w:p w14:paraId="423C5DD0" w14:textId="77777777" w:rsidR="00DD1634" w:rsidRPr="00A250B5" w:rsidRDefault="00DD1634" w:rsidP="00A250B5">
                        <w:pPr>
                          <w:pStyle w:val="TableText-Bullets-Compact"/>
                        </w:pPr>
                        <w:r w:rsidRPr="00A250B5">
                          <w:t xml:space="preserve">Targets </w:t>
                        </w:r>
                      </w:p>
                      <w:p w14:paraId="20E7C6C3" w14:textId="77777777" w:rsidR="00DD1634" w:rsidRPr="000E692C" w:rsidRDefault="00DD1634" w:rsidP="000A7DEC">
                        <w:pPr>
                          <w:pStyle w:val="TableText-Small"/>
                        </w:pPr>
                        <w:r w:rsidRPr="000E692C">
                          <w:t>(</w:t>
                        </w:r>
                        <w:proofErr w:type="spellStart"/>
                        <w:proofErr w:type="gramStart"/>
                        <w:r>
                          <w:t>ie</w:t>
                        </w:r>
                        <w:proofErr w:type="spellEnd"/>
                        <w:proofErr w:type="gramEnd"/>
                        <w:r w:rsidRPr="000E692C">
                          <w:t xml:space="preserve"> milestones, standards, extent)</w:t>
                        </w:r>
                      </w:p>
                    </w:txbxContent>
                  </v:textbox>
                </v:shape>
                <v:shape id="Text Box 8" o:spid="_x0000_s1047" type="#_x0000_t202" style="position:absolute;left:46079;top:12980;width:11826;height:2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610275E5" w14:textId="77777777" w:rsidR="00DD1634" w:rsidRPr="0008587A" w:rsidRDefault="00DD1634" w:rsidP="000A7DEC">
                        <w:pPr>
                          <w:pStyle w:val="TableText-Small"/>
                        </w:pPr>
                        <w:r w:rsidRPr="00314AE9">
                          <w:t>PURPOSES</w:t>
                        </w:r>
                        <w:r>
                          <w:br/>
                        </w:r>
                        <w:r>
                          <w:br/>
                        </w:r>
                        <w:r>
                          <w:br/>
                        </w:r>
                      </w:p>
                      <w:p w14:paraId="3671C701" w14:textId="77777777" w:rsidR="00DD1634" w:rsidRPr="00DA25E5" w:rsidRDefault="00DD1634" w:rsidP="000A7DEC">
                        <w:pPr>
                          <w:pStyle w:val="TableText-Small"/>
                        </w:pPr>
                        <w:r w:rsidRPr="00DA25E5">
                          <w:t>Link to the broader context and performance framework described in an entity’s current corporate plan</w:t>
                        </w:r>
                      </w:p>
                    </w:txbxContent>
                  </v:textbox>
                </v:shape>
                <v:group id="Group 9" o:spid="_x0000_s1048" alt="Arrow showing 2016-17 Budget measures modify Performance Criteria. " style="position:absolute;left:36781;top:4721;width:10981;height:8262" coordorigin="7357,7859" coordsize="1388,1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49" type="#_x0000_t34" alt="Modifies" style="position:absolute;left:6676;top:8540;width:1759;height:39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" adj="1143">
                    <v:stroke endarrow="block"/>
                  </v:shape>
                  <v:shape id="Text Box 11" o:spid="_x0000_s1050" type="#_x0000_t202" style="position:absolute;left:7718;top:8344;width:102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6136FCC" w14:textId="77777777" w:rsidR="00DD1634" w:rsidRPr="00877B45" w:rsidRDefault="00DD1634">
                          <w:r w:rsidRPr="00877B45">
                            <w:t>Modifies</w:t>
                          </w:r>
                        </w:p>
                      </w:txbxContent>
                    </v:textbox>
                  </v:shape>
                </v:group>
                <v:group id="Group 12" o:spid="_x0000_s1051" alt="Arrow showing 2016-17 Budget measures modify Delivery. " style="position:absolute;left:8005;top:5095;width:15589;height:7779" coordorigin="3942,8420" coordsize="119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33" coordsize="21600,21600" o:spt="33" o:oned="t" path="m,l21600,r,21600e" filled="f">
                    <v:stroke joinstyle="miter"/>
                    <v:path arrowok="t" fillok="f" o:connecttype="none"/>
                    <o:lock v:ext="edit" shapetype="t"/>
                  </v:shapetype>
                  <v:shape id="AutoShape 13" o:spid="_x0000_s1052" type="#_x0000_t33" alt="Modifies" style="position:absolute;left:4518;top:8420;width:197;height:111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">
                    <v:stroke endarrow="block"/>
                  </v:shape>
                  <v:shape id="Text Box 14" o:spid="_x0000_s1053" type="#_x0000_t202" style="position:absolute;left:3942;top:8692;width:1191;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687D611" w14:textId="77777777" w:rsidR="00DD1634" w:rsidRPr="00877B45" w:rsidRDefault="00DD1634">
                          <w:r w:rsidRPr="00877B45">
                            <w:t>Modifies</w:t>
                          </w:r>
                        </w:p>
                      </w:txbxContent>
                    </v:textbox>
                  </v:shape>
                </v:group>
                <v:shape id="AutoShape 15" o:spid="_x0000_s1054" type="#_x0000_t32" alt="Arrow from Program Title and Description to Delivery" style="position:absolute;left:13291;top:24149;width:1523;height: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v:shape id="AutoShape 16" o:spid="_x0000_s1055" type="#_x0000_t32" alt="Arrow from Delivery to Performance Criteria" style="position:absolute;left:25622;top:24112;width:1834;height: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">
                  <v:stroke endarrow="block"/>
                </v:shape>
                <v:shape id="AutoShape 17" o:spid="_x0000_s1056" type="#_x0000_t32" alt="Arrow from Performance Criteria to Purposes" style="position:absolute;left:44248;top:24112;width:1831;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w10:anchorlock/>
              </v:group>
            </w:pict>
          </mc:Fallback>
        </mc:AlternateContent>
      </w:r>
      <w:r w:rsidRPr="000C5235">
        <w:br w:type="page"/>
        <w:t>Table 2.X.3: Performance criteria for Outcome X</w:t>
      </w:r>
    </w:p>
    <w:tbl>
      <w:tblPr>
        <w:tblW w:w="9211" w:type="dxa"/>
        <w:jc w:val="center"/>
        <w:tblCellMar>
          <w:left w:w="0" w:type="dxa"/>
          <w:right w:w="0" w:type="dxa"/>
        </w:tblCellMar>
        <w:tblLook w:val="04A0" w:firstRow="1" w:lastRow="0" w:firstColumn="1" w:lastColumn="0" w:noHBand="0" w:noVBand="1"/>
      </w:tblPr>
      <w:tblGrid>
        <w:gridCol w:w="1809"/>
        <w:gridCol w:w="3475"/>
        <w:gridCol w:w="3927"/>
      </w:tblGrid>
      <w:tr w:rsidR="00FA0945" w:rsidRPr="000C5235" w14:paraId="30D63C8A" w14:textId="77777777" w:rsidTr="008D0F6F">
        <w:trPr>
          <w:jc w:val="center"/>
        </w:trPr>
        <w:tc>
          <w:tcPr>
            <w:tcW w:w="9211" w:type="dxa"/>
            <w:gridSpan w:val="3"/>
            <w:tcBorders>
              <w:top w:val="single" w:sz="2" w:space="0" w:color="auto"/>
              <w:left w:val="single" w:sz="2" w:space="0" w:color="auto"/>
              <w:bottom w:val="single" w:sz="2" w:space="0" w:color="auto"/>
              <w:right w:val="single" w:sz="2" w:space="0" w:color="auto"/>
            </w:tcBorders>
            <w:shd w:val="clear" w:color="auto" w:fill="D2D2D2"/>
          </w:tcPr>
          <w:p w14:paraId="78495887" w14:textId="77777777" w:rsidR="00FA0945" w:rsidRPr="000C5235" w:rsidRDefault="00FA0945" w:rsidP="000A7DEC">
            <w:pPr>
              <w:pStyle w:val="TableText-Normal"/>
            </w:pPr>
            <w:r w:rsidRPr="000C5235">
              <w:rPr>
                <w:b/>
              </w:rPr>
              <w:t xml:space="preserve">Outcome X </w:t>
            </w:r>
            <w:r w:rsidRPr="000C5235">
              <w:t>– Repeat relevant outcome statement for Outcome X</w:t>
            </w:r>
          </w:p>
        </w:tc>
      </w:tr>
      <w:tr w:rsidR="00FA0945" w:rsidRPr="000C5235" w14:paraId="32F776A7" w14:textId="77777777" w:rsidTr="008D0F6F">
        <w:trPr>
          <w:jc w:val="center"/>
        </w:trPr>
        <w:tc>
          <w:tcPr>
            <w:tcW w:w="9211" w:type="dxa"/>
            <w:gridSpan w:val="3"/>
            <w:tcBorders>
              <w:top w:val="single" w:sz="2" w:space="0" w:color="auto"/>
              <w:left w:val="single" w:sz="2" w:space="0" w:color="auto"/>
              <w:bottom w:val="single" w:sz="2" w:space="0" w:color="auto"/>
              <w:right w:val="single" w:sz="2" w:space="0" w:color="auto"/>
            </w:tcBorders>
            <w:shd w:val="clear" w:color="auto" w:fill="D2D2D2"/>
          </w:tcPr>
          <w:p w14:paraId="25DD3999" w14:textId="77777777" w:rsidR="00FA0945" w:rsidRPr="000C5235" w:rsidRDefault="00FA0945" w:rsidP="000A7DEC">
            <w:pPr>
              <w:pStyle w:val="TableText-Normal"/>
            </w:pPr>
            <w:r w:rsidRPr="000C5235">
              <w:rPr>
                <w:b/>
              </w:rPr>
              <w:t>Program X.1</w:t>
            </w:r>
            <w:r w:rsidRPr="000C5235">
              <w:t xml:space="preserve"> – Brief description of Program X.1 (objective and how it contributes to delivering Outcome X)</w:t>
            </w:r>
          </w:p>
        </w:tc>
      </w:tr>
      <w:tr w:rsidR="00FA0945" w:rsidRPr="000C5235" w14:paraId="4D46EA19" w14:textId="77777777" w:rsidTr="008D0F6F">
        <w:trPr>
          <w:jc w:val="center"/>
        </w:trPr>
        <w:tc>
          <w:tcPr>
            <w:tcW w:w="1809" w:type="dxa"/>
            <w:tcBorders>
              <w:top w:val="single" w:sz="2" w:space="0" w:color="auto"/>
              <w:left w:val="single" w:sz="2" w:space="0" w:color="auto"/>
              <w:bottom w:val="double" w:sz="4" w:space="0" w:color="auto"/>
              <w:right w:val="single" w:sz="2" w:space="0" w:color="auto"/>
            </w:tcBorders>
          </w:tcPr>
          <w:p w14:paraId="5A8FB6DD" w14:textId="77777777" w:rsidR="00FA0945" w:rsidRPr="000C5235" w:rsidRDefault="00FA0945" w:rsidP="000A7DEC">
            <w:pPr>
              <w:pStyle w:val="TableText-Normal"/>
            </w:pPr>
            <w:r w:rsidRPr="000C5235">
              <w:t>Delivery</w:t>
            </w:r>
          </w:p>
        </w:tc>
        <w:tc>
          <w:tcPr>
            <w:tcW w:w="7402" w:type="dxa"/>
            <w:gridSpan w:val="2"/>
            <w:tcBorders>
              <w:top w:val="single" w:sz="2" w:space="0" w:color="auto"/>
              <w:left w:val="single" w:sz="2" w:space="0" w:color="auto"/>
              <w:bottom w:val="double" w:sz="4" w:space="0" w:color="auto"/>
              <w:right w:val="single" w:sz="2" w:space="0" w:color="auto"/>
            </w:tcBorders>
          </w:tcPr>
          <w:p w14:paraId="56672017" w14:textId="77777777" w:rsidR="00FA0945" w:rsidRPr="000C5235" w:rsidRDefault="00FA0945" w:rsidP="000A7DEC">
            <w:pPr>
              <w:pStyle w:val="TableText-Normal"/>
            </w:pPr>
            <w:r w:rsidRPr="000C5235">
              <w:t>Insert a brief description of the mechanisms through which Program X.1 will be delivered (</w:t>
            </w:r>
            <w:r w:rsidR="001754FC" w:rsidRPr="000C5235">
              <w:t>ie</w:t>
            </w:r>
            <w:r w:rsidRPr="000C5235">
              <w:t xml:space="preserve"> the high-level activities) and the target group to be impacted.</w:t>
            </w:r>
          </w:p>
        </w:tc>
      </w:tr>
      <w:tr w:rsidR="00FA0945" w:rsidRPr="000C5235" w14:paraId="027F5532" w14:textId="77777777" w:rsidTr="008D0F6F">
        <w:trPr>
          <w:jc w:val="center"/>
        </w:trPr>
        <w:tc>
          <w:tcPr>
            <w:tcW w:w="9211" w:type="dxa"/>
            <w:gridSpan w:val="3"/>
            <w:tcBorders>
              <w:top w:val="double" w:sz="4" w:space="0" w:color="auto"/>
              <w:left w:val="single" w:sz="2" w:space="0" w:color="auto"/>
              <w:bottom w:val="double" w:sz="4" w:space="0" w:color="auto"/>
              <w:right w:val="single" w:sz="2" w:space="0" w:color="auto"/>
            </w:tcBorders>
          </w:tcPr>
          <w:p w14:paraId="348F8F75" w14:textId="77777777" w:rsidR="00FA0945" w:rsidRPr="000C5235" w:rsidRDefault="00FA0945" w:rsidP="000A7DEC">
            <w:pPr>
              <w:pStyle w:val="TableText-Normal"/>
            </w:pPr>
            <w:r w:rsidRPr="000C5235">
              <w:t>Performance information</w:t>
            </w:r>
          </w:p>
        </w:tc>
      </w:tr>
      <w:tr w:rsidR="00FA0945" w:rsidRPr="000C5235" w14:paraId="72D02D19" w14:textId="77777777" w:rsidTr="008D0F6F">
        <w:trPr>
          <w:jc w:val="center"/>
        </w:trPr>
        <w:tc>
          <w:tcPr>
            <w:tcW w:w="1809" w:type="dxa"/>
            <w:tcBorders>
              <w:top w:val="double" w:sz="4" w:space="0" w:color="auto"/>
              <w:left w:val="single" w:sz="2" w:space="0" w:color="auto"/>
              <w:bottom w:val="single" w:sz="2" w:space="0" w:color="auto"/>
              <w:right w:val="single" w:sz="2" w:space="0" w:color="auto"/>
            </w:tcBorders>
          </w:tcPr>
          <w:p w14:paraId="69F422E6" w14:textId="77777777" w:rsidR="00FA0945" w:rsidRPr="000C5235" w:rsidRDefault="00FA0945" w:rsidP="000A7DEC">
            <w:pPr>
              <w:pStyle w:val="TableText-Normal"/>
            </w:pPr>
            <w:r w:rsidRPr="000C5235">
              <w:t>Year</w:t>
            </w:r>
          </w:p>
        </w:tc>
        <w:tc>
          <w:tcPr>
            <w:tcW w:w="3475" w:type="dxa"/>
            <w:tcBorders>
              <w:top w:val="double" w:sz="4" w:space="0" w:color="auto"/>
              <w:left w:val="single" w:sz="2" w:space="0" w:color="auto"/>
              <w:bottom w:val="single" w:sz="2" w:space="0" w:color="auto"/>
              <w:right w:val="single" w:sz="2" w:space="0" w:color="auto"/>
            </w:tcBorders>
          </w:tcPr>
          <w:p w14:paraId="55EBB330" w14:textId="77777777" w:rsidR="00FA0945" w:rsidRPr="000C5235" w:rsidRDefault="00FA0945" w:rsidP="000A7DEC">
            <w:pPr>
              <w:pStyle w:val="TableText-Normal"/>
            </w:pPr>
            <w:r w:rsidRPr="000C5235">
              <w:t>Performance criteria (a)</w:t>
            </w:r>
          </w:p>
        </w:tc>
        <w:tc>
          <w:tcPr>
            <w:tcW w:w="3927" w:type="dxa"/>
            <w:tcBorders>
              <w:top w:val="double" w:sz="4" w:space="0" w:color="auto"/>
              <w:left w:val="single" w:sz="2" w:space="0" w:color="auto"/>
              <w:bottom w:val="single" w:sz="2" w:space="0" w:color="auto"/>
              <w:right w:val="single" w:sz="2" w:space="0" w:color="auto"/>
            </w:tcBorders>
          </w:tcPr>
          <w:p w14:paraId="4E461CEA" w14:textId="77777777" w:rsidR="00FA0945" w:rsidRPr="000C5235" w:rsidRDefault="009A6E92" w:rsidP="000A7DEC">
            <w:pPr>
              <w:pStyle w:val="TableText-Normal"/>
            </w:pPr>
            <w:r w:rsidRPr="000C5235">
              <w:t>2019-20 Actual Achievement/Targets</w:t>
            </w:r>
          </w:p>
        </w:tc>
      </w:tr>
      <w:tr w:rsidR="00FA0945" w:rsidRPr="000C5235" w14:paraId="53E88B57" w14:textId="77777777" w:rsidTr="008D0F6F">
        <w:trPr>
          <w:trHeight w:val="60"/>
          <w:jc w:val="center"/>
        </w:trPr>
        <w:tc>
          <w:tcPr>
            <w:tcW w:w="1809" w:type="dxa"/>
            <w:tcBorders>
              <w:top w:val="single" w:sz="2" w:space="0" w:color="auto"/>
              <w:left w:val="single" w:sz="2" w:space="0" w:color="auto"/>
              <w:bottom w:val="dotted" w:sz="4" w:space="0" w:color="auto"/>
              <w:right w:val="single" w:sz="2" w:space="0" w:color="auto"/>
            </w:tcBorders>
          </w:tcPr>
          <w:p w14:paraId="375F0E18" w14:textId="77777777" w:rsidR="00FA0945" w:rsidRPr="000C5235" w:rsidRDefault="00282468" w:rsidP="000A7DEC">
            <w:pPr>
              <w:pStyle w:val="TableText-Normal"/>
            </w:pPr>
            <w:r w:rsidRPr="000C5235">
              <w:t>2019-20</w:t>
            </w:r>
          </w:p>
        </w:tc>
        <w:tc>
          <w:tcPr>
            <w:tcW w:w="3475" w:type="dxa"/>
            <w:tcBorders>
              <w:top w:val="single" w:sz="2" w:space="0" w:color="auto"/>
              <w:left w:val="single" w:sz="2" w:space="0" w:color="auto"/>
              <w:bottom w:val="dotted" w:sz="4" w:space="0" w:color="auto"/>
              <w:right w:val="single" w:sz="2" w:space="0" w:color="auto"/>
            </w:tcBorders>
          </w:tcPr>
          <w:p w14:paraId="54AC8BDB" w14:textId="77777777" w:rsidR="00FA0945" w:rsidRPr="000C5235" w:rsidRDefault="009A6E92" w:rsidP="000A7DEC">
            <w:pPr>
              <w:pStyle w:val="TableText-Normal"/>
            </w:pPr>
            <w:r w:rsidRPr="000C5235">
              <w:t>P</w:t>
            </w:r>
            <w:r w:rsidR="00A81B39" w:rsidRPr="000C5235">
              <w:t xml:space="preserve">erformance criteria for </w:t>
            </w:r>
            <w:r w:rsidR="00282468" w:rsidRPr="000C5235">
              <w:t>2019-20</w:t>
            </w:r>
            <w:r w:rsidR="00A81B39" w:rsidRPr="000C5235">
              <w:t xml:space="preserve"> described in </w:t>
            </w:r>
            <w:r w:rsidR="00282468" w:rsidRPr="000C5235">
              <w:t>2019-20</w:t>
            </w:r>
            <w:r w:rsidR="00FA0945" w:rsidRPr="000C5235">
              <w:t xml:space="preserve"> Portfolio Budget Statements</w:t>
            </w:r>
          </w:p>
        </w:tc>
        <w:tc>
          <w:tcPr>
            <w:tcW w:w="3927" w:type="dxa"/>
            <w:tcBorders>
              <w:top w:val="single" w:sz="2" w:space="0" w:color="auto"/>
              <w:left w:val="single" w:sz="2" w:space="0" w:color="auto"/>
              <w:bottom w:val="dotted" w:sz="4" w:space="0" w:color="auto"/>
              <w:right w:val="single" w:sz="2" w:space="0" w:color="auto"/>
            </w:tcBorders>
          </w:tcPr>
          <w:p w14:paraId="7A7E21ED" w14:textId="77777777" w:rsidR="00FA0945" w:rsidRPr="000C5235" w:rsidRDefault="009A6E92" w:rsidP="000A7DEC">
            <w:pPr>
              <w:pStyle w:val="TableText-Normal"/>
            </w:pPr>
            <w:r w:rsidRPr="000C5235">
              <w:t>Actual performance against targets for 2019-20 described in 2019-20 Portfolio Budget Statements.</w:t>
            </w:r>
          </w:p>
        </w:tc>
      </w:tr>
      <w:tr w:rsidR="00FA0945" w:rsidRPr="000C5235" w14:paraId="260E1246" w14:textId="77777777" w:rsidTr="008D0F6F">
        <w:trPr>
          <w:jc w:val="center"/>
        </w:trPr>
        <w:tc>
          <w:tcPr>
            <w:tcW w:w="1809" w:type="dxa"/>
            <w:tcBorders>
              <w:top w:val="dotted" w:sz="4" w:space="0" w:color="auto"/>
              <w:left w:val="single" w:sz="2" w:space="0" w:color="auto"/>
              <w:bottom w:val="dotted" w:sz="4" w:space="0" w:color="auto"/>
              <w:right w:val="single" w:sz="2" w:space="0" w:color="auto"/>
            </w:tcBorders>
          </w:tcPr>
          <w:p w14:paraId="1B366764" w14:textId="77777777" w:rsidR="00FA0945" w:rsidRPr="000C5235" w:rsidRDefault="00282468" w:rsidP="000A7DEC">
            <w:pPr>
              <w:pStyle w:val="TableText-Normal"/>
            </w:pPr>
            <w:r w:rsidRPr="000C5235">
              <w:t>2020-21</w:t>
            </w:r>
          </w:p>
        </w:tc>
        <w:tc>
          <w:tcPr>
            <w:tcW w:w="3475" w:type="dxa"/>
            <w:tcBorders>
              <w:top w:val="dotted" w:sz="4" w:space="0" w:color="auto"/>
              <w:left w:val="single" w:sz="2" w:space="0" w:color="auto"/>
              <w:bottom w:val="dotted" w:sz="4" w:space="0" w:color="auto"/>
              <w:right w:val="single" w:sz="2" w:space="0" w:color="auto"/>
            </w:tcBorders>
          </w:tcPr>
          <w:p w14:paraId="1129388E" w14:textId="77777777" w:rsidR="00FA0945" w:rsidRPr="000C5235" w:rsidRDefault="00FA0945" w:rsidP="000A7DEC">
            <w:pPr>
              <w:pStyle w:val="TableText-Normal"/>
            </w:pPr>
            <w:r w:rsidRPr="000C5235">
              <w:t>Criteria f</w:t>
            </w:r>
            <w:r w:rsidR="00A81B39" w:rsidRPr="000C5235">
              <w:t xml:space="preserve">or assessing performance in </w:t>
            </w:r>
            <w:r w:rsidR="00282468" w:rsidRPr="000C5235">
              <w:t>2020-21</w:t>
            </w:r>
          </w:p>
          <w:p w14:paraId="756B4F2A" w14:textId="77777777" w:rsidR="00FA0945" w:rsidRPr="000C5235" w:rsidRDefault="00FA0945" w:rsidP="000A7DEC">
            <w:pPr>
              <w:pStyle w:val="TableText-Normal"/>
            </w:pPr>
            <w:r w:rsidRPr="000C5235">
              <w:t>[Note – performance criteria that ref</w:t>
            </w:r>
            <w:r w:rsidR="00A81B39" w:rsidRPr="000C5235">
              <w:t xml:space="preserve">lect the material impact of </w:t>
            </w:r>
            <w:r w:rsidR="00282468" w:rsidRPr="000C5235">
              <w:t>2020-21</w:t>
            </w:r>
            <w:r w:rsidRPr="000C5235">
              <w:t xml:space="preserve"> Budget measures should be italicised]</w:t>
            </w:r>
          </w:p>
        </w:tc>
        <w:tc>
          <w:tcPr>
            <w:tcW w:w="3927" w:type="dxa"/>
            <w:tcBorders>
              <w:top w:val="dotted" w:sz="4" w:space="0" w:color="auto"/>
              <w:left w:val="single" w:sz="2" w:space="0" w:color="auto"/>
              <w:bottom w:val="dotted" w:sz="4" w:space="0" w:color="auto"/>
              <w:right w:val="single" w:sz="2" w:space="0" w:color="auto"/>
            </w:tcBorders>
          </w:tcPr>
          <w:p w14:paraId="30C8E536" w14:textId="77777777" w:rsidR="00FA0945" w:rsidRPr="000C5235" w:rsidRDefault="00FA0945" w:rsidP="000A7DEC">
            <w:pPr>
              <w:pStyle w:val="TableText-Normal"/>
            </w:pPr>
            <w:r w:rsidRPr="000C5235">
              <w:t>Insert description of each t</w:t>
            </w:r>
            <w:r w:rsidR="00A81B39" w:rsidRPr="000C5235">
              <w:t xml:space="preserve">arget and value aimed at in </w:t>
            </w:r>
            <w:r w:rsidR="00282468" w:rsidRPr="000C5235">
              <w:t>2020-21</w:t>
            </w:r>
            <w:r w:rsidRPr="000C5235">
              <w:t>.</w:t>
            </w:r>
          </w:p>
        </w:tc>
      </w:tr>
      <w:tr w:rsidR="00FA0945" w:rsidRPr="000C5235" w14:paraId="03FD5389" w14:textId="77777777" w:rsidTr="008D0F6F">
        <w:trPr>
          <w:jc w:val="center"/>
        </w:trPr>
        <w:tc>
          <w:tcPr>
            <w:tcW w:w="1809" w:type="dxa"/>
            <w:tcBorders>
              <w:top w:val="dotted" w:sz="4" w:space="0" w:color="auto"/>
              <w:left w:val="single" w:sz="2" w:space="0" w:color="auto"/>
              <w:bottom w:val="single" w:sz="2" w:space="0" w:color="auto"/>
              <w:right w:val="single" w:sz="2" w:space="0" w:color="auto"/>
            </w:tcBorders>
          </w:tcPr>
          <w:p w14:paraId="04DFD01D" w14:textId="77777777" w:rsidR="00FA0945" w:rsidRPr="000C5235" w:rsidRDefault="00282468" w:rsidP="000A7DEC">
            <w:pPr>
              <w:pStyle w:val="TableText-Normal"/>
            </w:pPr>
            <w:r w:rsidRPr="000C5235">
              <w:t>2021-22</w:t>
            </w:r>
            <w:r w:rsidR="00FA0945" w:rsidRPr="000C5235">
              <w:t xml:space="preserve"> and </w:t>
            </w:r>
            <w:r w:rsidRPr="000C5235">
              <w:br/>
            </w:r>
            <w:r w:rsidR="00FA0945" w:rsidRPr="000C5235">
              <w:t>beyond</w:t>
            </w:r>
          </w:p>
        </w:tc>
        <w:tc>
          <w:tcPr>
            <w:tcW w:w="3475" w:type="dxa"/>
            <w:tcBorders>
              <w:top w:val="dotted" w:sz="4" w:space="0" w:color="auto"/>
              <w:left w:val="single" w:sz="2" w:space="0" w:color="auto"/>
              <w:bottom w:val="single" w:sz="2" w:space="0" w:color="auto"/>
              <w:right w:val="single" w:sz="2" w:space="0" w:color="auto"/>
            </w:tcBorders>
          </w:tcPr>
          <w:p w14:paraId="193FA35B" w14:textId="77777777" w:rsidR="00FA0945" w:rsidRPr="000C5235" w:rsidRDefault="00FA0945" w:rsidP="000A7DEC">
            <w:pPr>
              <w:pStyle w:val="TableText-Normal"/>
            </w:pPr>
            <w:r w:rsidRPr="000C5235">
              <w:t>Criteria for assessing performance over the forward estimates</w:t>
            </w:r>
          </w:p>
          <w:p w14:paraId="396AA417" w14:textId="77777777" w:rsidR="00FA0945" w:rsidRPr="000C5235" w:rsidRDefault="00FA0945" w:rsidP="000A7DEC">
            <w:pPr>
              <w:pStyle w:val="TableText-Normal"/>
            </w:pPr>
            <w:r w:rsidRPr="000C5235">
              <w:t>[</w:t>
            </w:r>
            <w:r w:rsidRPr="000C5235">
              <w:rPr>
                <w:b/>
              </w:rPr>
              <w:t>Note</w:t>
            </w:r>
            <w:r w:rsidRPr="000C5235">
              <w:t xml:space="preserve"> – if same criteria as </w:t>
            </w:r>
            <w:r w:rsidR="00282468" w:rsidRPr="000C5235">
              <w:t>2020-21</w:t>
            </w:r>
            <w:r w:rsidR="00A81B39" w:rsidRPr="000C5235">
              <w:t xml:space="preserve">, use “As per </w:t>
            </w:r>
            <w:r w:rsidR="00282468" w:rsidRPr="000C5235">
              <w:t>2020-21</w:t>
            </w:r>
            <w:r w:rsidRPr="000C5235">
              <w:t>”.]</w:t>
            </w:r>
          </w:p>
        </w:tc>
        <w:tc>
          <w:tcPr>
            <w:tcW w:w="3927" w:type="dxa"/>
            <w:tcBorders>
              <w:top w:val="dotted" w:sz="4" w:space="0" w:color="auto"/>
              <w:left w:val="single" w:sz="2" w:space="0" w:color="auto"/>
              <w:bottom w:val="single" w:sz="2" w:space="0" w:color="auto"/>
              <w:right w:val="single" w:sz="2" w:space="0" w:color="auto"/>
            </w:tcBorders>
          </w:tcPr>
          <w:p w14:paraId="4B25CB84" w14:textId="77777777" w:rsidR="00FA0945" w:rsidRPr="000C5235" w:rsidRDefault="00FA0945" w:rsidP="000A7DEC">
            <w:pPr>
              <w:pStyle w:val="TableText-Normal"/>
            </w:pPr>
            <w:r w:rsidRPr="000C5235">
              <w:t xml:space="preserve">Insert description of each target and value aimed at over </w:t>
            </w:r>
            <w:r w:rsidR="00E86D01" w:rsidRPr="000C5235">
              <w:t>2021-22</w:t>
            </w:r>
            <w:r w:rsidR="00A81B39" w:rsidRPr="000C5235">
              <w:t xml:space="preserve"> to </w:t>
            </w:r>
            <w:r w:rsidR="00E86D01" w:rsidRPr="000C5235">
              <w:t>2023-24</w:t>
            </w:r>
          </w:p>
        </w:tc>
      </w:tr>
      <w:tr w:rsidR="00FA0945" w:rsidRPr="000C5235" w14:paraId="614C43AC" w14:textId="77777777" w:rsidTr="008D0F6F">
        <w:trPr>
          <w:jc w:val="center"/>
        </w:trPr>
        <w:tc>
          <w:tcPr>
            <w:tcW w:w="1809" w:type="dxa"/>
            <w:tcBorders>
              <w:top w:val="single" w:sz="2" w:space="0" w:color="auto"/>
              <w:left w:val="single" w:sz="2" w:space="0" w:color="auto"/>
              <w:bottom w:val="single" w:sz="2" w:space="0" w:color="auto"/>
              <w:right w:val="single" w:sz="2" w:space="0" w:color="auto"/>
            </w:tcBorders>
          </w:tcPr>
          <w:p w14:paraId="287A544F" w14:textId="77777777" w:rsidR="00FA0945" w:rsidRPr="000C5235" w:rsidRDefault="00FA0945" w:rsidP="000A7DEC">
            <w:pPr>
              <w:pStyle w:val="TableText-Normal"/>
            </w:pPr>
            <w:r w:rsidRPr="000C5235">
              <w:t>Purposes (b)</w:t>
            </w:r>
          </w:p>
        </w:tc>
        <w:tc>
          <w:tcPr>
            <w:tcW w:w="7402" w:type="dxa"/>
            <w:gridSpan w:val="2"/>
            <w:tcBorders>
              <w:top w:val="single" w:sz="2" w:space="0" w:color="auto"/>
              <w:left w:val="single" w:sz="2" w:space="0" w:color="auto"/>
              <w:bottom w:val="single" w:sz="2" w:space="0" w:color="auto"/>
              <w:right w:val="single" w:sz="2" w:space="0" w:color="auto"/>
            </w:tcBorders>
          </w:tcPr>
          <w:p w14:paraId="7801349C" w14:textId="77777777" w:rsidR="00FA0945" w:rsidRPr="000C5235" w:rsidRDefault="00FA0945" w:rsidP="000A7DEC">
            <w:pPr>
              <w:pStyle w:val="TableText-Normal"/>
            </w:pPr>
            <w:r w:rsidRPr="000C5235">
              <w:t>Purpose statement – as it appears in current corporate plan – for each and every purpose to which Program X.1 contributes.</w:t>
            </w:r>
          </w:p>
        </w:tc>
      </w:tr>
      <w:tr w:rsidR="00FA0945" w:rsidRPr="000C5235" w14:paraId="509AFA9F" w14:textId="77777777" w:rsidTr="008D0F6F">
        <w:trPr>
          <w:trHeight w:val="1050"/>
          <w:jc w:val="center"/>
        </w:trPr>
        <w:tc>
          <w:tcPr>
            <w:tcW w:w="9211" w:type="dxa"/>
            <w:gridSpan w:val="3"/>
            <w:tcBorders>
              <w:top w:val="single" w:sz="2" w:space="0" w:color="auto"/>
              <w:left w:val="single" w:sz="2" w:space="0" w:color="auto"/>
              <w:bottom w:val="single" w:sz="2" w:space="0" w:color="auto"/>
              <w:right w:val="single" w:sz="2" w:space="0" w:color="auto"/>
            </w:tcBorders>
          </w:tcPr>
          <w:p w14:paraId="45CD1931" w14:textId="77777777" w:rsidR="00FA0945" w:rsidRPr="000C5235" w:rsidRDefault="00FA0945">
            <w:r w:rsidRPr="000C5235">
              <w:t>Material changes to Program X.1 resulting from the following measures:</w:t>
            </w:r>
          </w:p>
          <w:p w14:paraId="684C425E" w14:textId="77777777" w:rsidR="00FA0945" w:rsidRPr="000C5235" w:rsidRDefault="00FA0945" w:rsidP="000A7DEC">
            <w:r w:rsidRPr="000C5235">
              <w:t>Measure title – XXXX  (Insert  title of each measure that creates or materially impacts Program X.1)</w:t>
            </w:r>
          </w:p>
        </w:tc>
      </w:tr>
    </w:tbl>
    <w:p w14:paraId="648D83DF" w14:textId="77777777" w:rsidR="00FA0945" w:rsidRPr="000C5235" w:rsidRDefault="00FA0945" w:rsidP="000A7DEC">
      <w:pPr>
        <w:pStyle w:val="ChartandTableFootnote"/>
        <w:numPr>
          <w:ilvl w:val="0"/>
          <w:numId w:val="47"/>
        </w:numPr>
        <w:rPr>
          <w:lang w:val="en-AU"/>
        </w:rPr>
      </w:pPr>
      <w:r w:rsidRPr="000C5235">
        <w:rPr>
          <w:lang w:val="en-AU"/>
        </w:rPr>
        <w:t>New or modified performance criteria that reflect new or materially changed programs are shown in italics. Where new prog</w:t>
      </w:r>
      <w:r w:rsidR="00A81B39" w:rsidRPr="000C5235">
        <w:rPr>
          <w:lang w:val="en-AU"/>
        </w:rPr>
        <w:t xml:space="preserve">rams are established in the </w:t>
      </w:r>
      <w:r w:rsidR="00E86D01" w:rsidRPr="000C5235">
        <w:rPr>
          <w:lang w:val="en-AU"/>
        </w:rPr>
        <w:t>2020-21</w:t>
      </w:r>
      <w:r w:rsidRPr="000C5235">
        <w:rPr>
          <w:lang w:val="en-AU"/>
        </w:rPr>
        <w:t xml:space="preserve"> Budget, all of the performance criteria related to that program need to be shown. </w:t>
      </w:r>
    </w:p>
    <w:p w14:paraId="2408E13F" w14:textId="77777777" w:rsidR="00FA0945" w:rsidRPr="000C5235" w:rsidRDefault="00FA0945" w:rsidP="000A7DEC">
      <w:pPr>
        <w:pStyle w:val="ChartandTableFootnote"/>
        <w:numPr>
          <w:ilvl w:val="0"/>
          <w:numId w:val="47"/>
        </w:numPr>
        <w:rPr>
          <w:lang w:val="en-AU"/>
        </w:rPr>
      </w:pPr>
      <w:r w:rsidRPr="000C5235">
        <w:rPr>
          <w:lang w:val="en-AU"/>
        </w:rPr>
        <w:t xml:space="preserve">Insert footnote if purposes </w:t>
      </w:r>
      <w:r w:rsidR="00A81B39" w:rsidRPr="000C5235">
        <w:rPr>
          <w:lang w:val="en-AU"/>
        </w:rPr>
        <w:t xml:space="preserve">have been updated since the </w:t>
      </w:r>
      <w:r w:rsidR="00E86D01" w:rsidRPr="000C5235">
        <w:rPr>
          <w:lang w:val="en-AU"/>
        </w:rPr>
        <w:t>2019-20</w:t>
      </w:r>
      <w:r w:rsidRPr="000C5235">
        <w:rPr>
          <w:lang w:val="en-AU"/>
        </w:rPr>
        <w:t xml:space="preserve"> Corporate Plan (</w:t>
      </w:r>
      <w:r w:rsidR="001754FC" w:rsidRPr="000C5235">
        <w:rPr>
          <w:lang w:val="en-AU"/>
        </w:rPr>
        <w:t>ie</w:t>
      </w:r>
      <w:r w:rsidRPr="000C5235">
        <w:rPr>
          <w:lang w:val="en-AU"/>
        </w:rPr>
        <w:t xml:space="preserve"> a form of words similar to “Refers to updated purposes that will be reflected in the </w:t>
      </w:r>
      <w:r w:rsidR="00E86D01" w:rsidRPr="000C5235">
        <w:rPr>
          <w:lang w:val="en-AU"/>
        </w:rPr>
        <w:t>2020-21</w:t>
      </w:r>
      <w:r w:rsidRPr="000C5235">
        <w:rPr>
          <w:lang w:val="en-AU"/>
        </w:rPr>
        <w:t xml:space="preserve"> Corporate Plan).</w:t>
      </w:r>
    </w:p>
    <w:p w14:paraId="03B6028F" w14:textId="77777777" w:rsidR="00E02C97" w:rsidRPr="000C5235" w:rsidRDefault="00E02C97">
      <w:pPr>
        <w:pStyle w:val="BodyText"/>
        <w:rPr>
          <w:i/>
        </w:rPr>
      </w:pPr>
    </w:p>
    <w:p w14:paraId="788CE52A" w14:textId="77777777" w:rsidR="006F2C96" w:rsidRPr="000C5235" w:rsidRDefault="00FA0945">
      <w:pPr>
        <w:pStyle w:val="BodyText"/>
      </w:pPr>
      <w:r w:rsidRPr="000C5235">
        <w:rPr>
          <w:i/>
        </w:rPr>
        <w:t>Table 2.X.3</w:t>
      </w:r>
      <w:r w:rsidRPr="000C5235">
        <w:t xml:space="preserve"> also includes a lis</w:t>
      </w:r>
      <w:r w:rsidR="00DD132C" w:rsidRPr="000C5235">
        <w:t xml:space="preserve">t of new Budget measures in </w:t>
      </w:r>
      <w:r w:rsidR="00E86D01" w:rsidRPr="000C5235">
        <w:t>2020-21</w:t>
      </w:r>
      <w:r w:rsidRPr="000C5235">
        <w:t xml:space="preserve"> that either create new programs or materially impact on existing programs (in addition to the list of Budget measures in </w:t>
      </w:r>
      <w:r w:rsidRPr="000C5235">
        <w:rPr>
          <w:i/>
        </w:rPr>
        <w:t>Table 1.2</w:t>
      </w:r>
      <w:r w:rsidRPr="000C5235">
        <w:t xml:space="preserve">). Advice on assessing whether a new Budget measure impacts on an existing program and how to account for these impacts in </w:t>
      </w:r>
      <w:r w:rsidRPr="000C5235">
        <w:rPr>
          <w:i/>
        </w:rPr>
        <w:t>Table 2.X.3</w:t>
      </w:r>
      <w:r w:rsidRPr="000C5235">
        <w:t xml:space="preserve"> is provided below.</w:t>
      </w:r>
    </w:p>
    <w:p w14:paraId="50406575" w14:textId="77777777" w:rsidR="00FA0945" w:rsidRPr="000C5235" w:rsidRDefault="00FA0945" w:rsidP="000A7DEC">
      <w:pPr>
        <w:pStyle w:val="Heading3Numbered"/>
      </w:pPr>
      <w:bookmarkStart w:id="521" w:name="_Toc534458887"/>
      <w:bookmarkStart w:id="522" w:name="_Toc534459676"/>
      <w:bookmarkStart w:id="523" w:name="_Toc534519171"/>
      <w:bookmarkStart w:id="524" w:name="_Toc534520081"/>
      <w:bookmarkStart w:id="525" w:name="_Toc534520351"/>
      <w:bookmarkStart w:id="526" w:name="_Toc534527563"/>
      <w:bookmarkStart w:id="527" w:name="_Toc534528293"/>
      <w:bookmarkStart w:id="528" w:name="_Toc534803514"/>
      <w:bookmarkStart w:id="529" w:name="_Toc534814205"/>
      <w:bookmarkStart w:id="530" w:name="_Toc536108578"/>
      <w:bookmarkStart w:id="531" w:name="_Toc536802125"/>
      <w:bookmarkStart w:id="532" w:name="_Toc422724"/>
      <w:bookmarkStart w:id="533" w:name="_Toc534382567"/>
      <w:bookmarkStart w:id="534" w:name="_Toc47951246"/>
      <w:bookmarkEnd w:id="521"/>
      <w:bookmarkEnd w:id="522"/>
      <w:bookmarkEnd w:id="523"/>
      <w:bookmarkEnd w:id="524"/>
      <w:bookmarkEnd w:id="525"/>
      <w:bookmarkEnd w:id="526"/>
      <w:bookmarkEnd w:id="527"/>
      <w:bookmarkEnd w:id="528"/>
      <w:bookmarkEnd w:id="529"/>
      <w:bookmarkEnd w:id="530"/>
      <w:bookmarkEnd w:id="531"/>
      <w:bookmarkEnd w:id="532"/>
      <w:r w:rsidRPr="000C5235">
        <w:t>Program title and brief description</w:t>
      </w:r>
      <w:bookmarkEnd w:id="533"/>
      <w:bookmarkEnd w:id="534"/>
    </w:p>
    <w:p w14:paraId="5181143E" w14:textId="77777777" w:rsidR="00FA0945" w:rsidRPr="000C5235" w:rsidRDefault="00FA0945" w:rsidP="000A7DEC">
      <w:r w:rsidRPr="000C5235">
        <w:t xml:space="preserve">The program titles inserted in </w:t>
      </w:r>
      <w:r w:rsidR="00710BF8" w:rsidRPr="000C5235">
        <w:rPr>
          <w:i/>
        </w:rPr>
        <w:t>T</w:t>
      </w:r>
      <w:r w:rsidRPr="000C5235">
        <w:rPr>
          <w:i/>
        </w:rPr>
        <w:t>able 2.X.3</w:t>
      </w:r>
      <w:r w:rsidRPr="000C5235">
        <w:t xml:space="preserve"> should be the same as they appear in CBMS for the relevant program. </w:t>
      </w:r>
    </w:p>
    <w:p w14:paraId="5FF26716" w14:textId="77777777" w:rsidR="00FA0945" w:rsidRPr="000C5235" w:rsidRDefault="00FA0945" w:rsidP="000A7DEC">
      <w:r w:rsidRPr="000C5235">
        <w:t>Program titles should be followed by a brief description that includes the:</w:t>
      </w:r>
    </w:p>
    <w:p w14:paraId="7169ABA7" w14:textId="77777777" w:rsidR="00FA0945" w:rsidRPr="000C5235" w:rsidRDefault="00FA0945">
      <w:pPr>
        <w:pStyle w:val="Bullet1"/>
      </w:pPr>
      <w:r w:rsidRPr="000C5235">
        <w:t>objective of the program (</w:t>
      </w:r>
      <w:r w:rsidR="001754FC" w:rsidRPr="000C5235">
        <w:t>ie</w:t>
      </w:r>
      <w:r w:rsidRPr="000C5235">
        <w:t xml:space="preserve"> the difference it aims to make, the intended results, etc)</w:t>
      </w:r>
    </w:p>
    <w:p w14:paraId="7DEB1EC0" w14:textId="77777777" w:rsidR="00FA0945" w:rsidRPr="000C5235" w:rsidRDefault="00FA0945">
      <w:pPr>
        <w:pStyle w:val="Bullet1"/>
      </w:pPr>
      <w:r w:rsidRPr="000C5235">
        <w:t>contribution it makes to achieving Outcome X (or why Outcome X cannot be delivered successfully without the program).</w:t>
      </w:r>
    </w:p>
    <w:p w14:paraId="400799F8" w14:textId="77777777" w:rsidR="00FA0945" w:rsidRPr="000C5235" w:rsidRDefault="00FA0945" w:rsidP="000A7DEC">
      <w:r w:rsidRPr="000C5235">
        <w:t>Program descriptions should be concise. It is anticipated that a program description will be no more than a few sentences (</w:t>
      </w:r>
      <w:r w:rsidR="001754FC" w:rsidRPr="000C5235">
        <w:t>ie</w:t>
      </w:r>
      <w:r w:rsidRPr="000C5235">
        <w:t xml:space="preserve"> two or three). For example, a program that provides payments to assist rural families might be described along the following lines:</w:t>
      </w:r>
    </w:p>
    <w:p w14:paraId="7EAAA06C" w14:textId="77777777" w:rsidR="00FA0945" w:rsidRPr="000C5235" w:rsidRDefault="00FA0945" w:rsidP="000A7DEC">
      <w:r w:rsidRPr="000C5235">
        <w:t>“Program X.1 – to support rural families facing hardship through payments that allow them to adjust to structural changes in their local economy and benefit from the broader set of initiatives to deliver a sustainable regional Australia.”</w:t>
      </w:r>
    </w:p>
    <w:p w14:paraId="72D94D90" w14:textId="77777777" w:rsidR="00FA0945" w:rsidRPr="000C5235" w:rsidRDefault="00FA0945" w:rsidP="000A7DEC">
      <w:r w:rsidRPr="000C5235">
        <w:t>In this hypothetical example</w:t>
      </w:r>
      <w:r w:rsidR="00B652BC" w:rsidRPr="000C5235">
        <w:t>,</w:t>
      </w:r>
      <w:r w:rsidRPr="000C5235">
        <w:t xml:space="preserve"> it is clear that the object of Program X.1 is to make payments to eligible families, and that it sits under an outcome that seeks to improve the economic sustainability of regional Australia.  </w:t>
      </w:r>
    </w:p>
    <w:p w14:paraId="158170BF" w14:textId="77777777" w:rsidR="00FA0945" w:rsidRPr="000C5235" w:rsidRDefault="00FA0945" w:rsidP="000A7DEC">
      <w:pPr>
        <w:pStyle w:val="Heading3Numbered"/>
      </w:pPr>
      <w:bookmarkStart w:id="535" w:name="_Toc534382568"/>
      <w:bookmarkStart w:id="536" w:name="_Toc47951247"/>
      <w:r w:rsidRPr="000C5235">
        <w:t>Delivery</w:t>
      </w:r>
      <w:bookmarkEnd w:id="535"/>
      <w:bookmarkEnd w:id="536"/>
    </w:p>
    <w:p w14:paraId="21CF045D" w14:textId="77777777" w:rsidR="00FA0945" w:rsidRPr="000C5235" w:rsidRDefault="00FA0945" w:rsidP="000A7DEC">
      <w:r w:rsidRPr="000C5235">
        <w:t xml:space="preserve">Entities should enter Delivery details in </w:t>
      </w:r>
      <w:r w:rsidRPr="000C5235">
        <w:rPr>
          <w:i/>
        </w:rPr>
        <w:t>Table 2.X.3</w:t>
      </w:r>
      <w:r w:rsidRPr="000C5235">
        <w:t xml:space="preserve"> for each program associated with each Outcome X. </w:t>
      </w:r>
    </w:p>
    <w:p w14:paraId="1DE7275F" w14:textId="77777777" w:rsidR="00FA0945" w:rsidRPr="000C5235" w:rsidRDefault="00FA0945">
      <w:pPr>
        <w:pStyle w:val="Bullet1"/>
      </w:pPr>
      <w:r w:rsidRPr="000C5235">
        <w:t xml:space="preserve">The </w:t>
      </w:r>
      <w:r w:rsidRPr="000C5235">
        <w:rPr>
          <w:u w:val="single"/>
        </w:rPr>
        <w:t>mechanism</w:t>
      </w:r>
      <w:r w:rsidRPr="000C5235">
        <w:t xml:space="preserve"> (or “the how”) through which the program is delivered – the primary high-level activities undertaken by an entity to deliver a program. For the regional assistance example this could be:</w:t>
      </w:r>
    </w:p>
    <w:p w14:paraId="47DE3B35" w14:textId="77777777" w:rsidR="00FA0945" w:rsidRPr="000C5235" w:rsidRDefault="00FA0945">
      <w:pPr>
        <w:pStyle w:val="Bullet2"/>
      </w:pPr>
      <w:r w:rsidRPr="000C5235">
        <w:t>administering legislated criteria that allows eligible recipients to be identified and payment levels to be determined</w:t>
      </w:r>
    </w:p>
    <w:p w14:paraId="339235F9" w14:textId="77777777" w:rsidR="00FA0945" w:rsidRPr="000C5235" w:rsidRDefault="00FA0945">
      <w:pPr>
        <w:pStyle w:val="Bullet2"/>
      </w:pPr>
      <w:r w:rsidRPr="000C5235">
        <w:t>managing application processes and making the payments</w:t>
      </w:r>
    </w:p>
    <w:p w14:paraId="0B2D6382" w14:textId="77777777" w:rsidR="00FA0945" w:rsidRPr="000C5235" w:rsidRDefault="00FA0945">
      <w:pPr>
        <w:pStyle w:val="Bullet2"/>
      </w:pPr>
      <w:r w:rsidRPr="000C5235">
        <w:t>public awareness campaigns to ensure that eligible recipients are aware of the opportunities to receive assistance.</w:t>
      </w:r>
    </w:p>
    <w:p w14:paraId="674F21BB" w14:textId="77777777" w:rsidR="00FA0945" w:rsidRPr="000C5235" w:rsidRDefault="00FA0945">
      <w:pPr>
        <w:pStyle w:val="Bullet1"/>
      </w:pPr>
      <w:r w:rsidRPr="000C5235">
        <w:t xml:space="preserve">The </w:t>
      </w:r>
      <w:r w:rsidRPr="000C5235">
        <w:rPr>
          <w:u w:val="single"/>
        </w:rPr>
        <w:t>target group</w:t>
      </w:r>
      <w:r w:rsidRPr="000C5235">
        <w:t xml:space="preserve"> (or “the who”) – the people who are to be benefited and/or those whose behaviour is to be influenced. For example, the target group for the illustrative regional assistance program would be rural families who are to benefit. An anti-smoking campaign may target those that smoke to encourage them to quit, or it may target young people to dissuade them from commencing.  </w:t>
      </w:r>
    </w:p>
    <w:p w14:paraId="61CDE2EA" w14:textId="77777777" w:rsidR="00FA0945" w:rsidRPr="000C5235" w:rsidRDefault="00FA0945" w:rsidP="000A7DEC">
      <w:r w:rsidRPr="000C5235">
        <w:t>When using information from previous PB Statements, enti</w:t>
      </w:r>
      <w:r w:rsidR="00DD132C" w:rsidRPr="000C5235">
        <w:t xml:space="preserve">ties should ensure that the </w:t>
      </w:r>
      <w:r w:rsidR="006D021E" w:rsidRPr="000C5235">
        <w:t xml:space="preserve">                     </w:t>
      </w:r>
      <w:r w:rsidR="00CF50AD" w:rsidRPr="000C5235">
        <w:t>2020-21</w:t>
      </w:r>
      <w:r w:rsidRPr="000C5235">
        <w:t xml:space="preserve"> PB Statements take into account material changes th</w:t>
      </w:r>
      <w:r w:rsidR="00DD132C" w:rsidRPr="000C5235">
        <w:t xml:space="preserve">at have occurred during the </w:t>
      </w:r>
      <w:r w:rsidR="00CF50AD" w:rsidRPr="000C5235">
        <w:t>2019-20</w:t>
      </w:r>
      <w:r w:rsidRPr="000C5235">
        <w:t xml:space="preserve"> Budget year. </w:t>
      </w:r>
    </w:p>
    <w:p w14:paraId="32871EFF" w14:textId="77777777" w:rsidR="00FA0945" w:rsidRPr="000C5235" w:rsidRDefault="00FA0945" w:rsidP="000A7DEC">
      <w:r w:rsidRPr="000C5235">
        <w:t xml:space="preserve">The assessment of whether a material change has occurred to a program will, in the first instance, depend on how a program was described in an entity’s </w:t>
      </w:r>
      <w:r w:rsidR="00CF50AD" w:rsidRPr="000C5235">
        <w:t>2019-20</w:t>
      </w:r>
      <w:r w:rsidRPr="000C5235">
        <w:t xml:space="preserve"> PB Statements. If a decision was taken at</w:t>
      </w:r>
      <w:r w:rsidR="00C126E5" w:rsidRPr="000C5235">
        <w:t xml:space="preserve"> some other time during the </w:t>
      </w:r>
      <w:r w:rsidR="00CF50AD" w:rsidRPr="000C5235">
        <w:t>2019-20</w:t>
      </w:r>
      <w:r w:rsidR="00C126E5" w:rsidRPr="000C5235">
        <w:t xml:space="preserve"> Budget year (</w:t>
      </w:r>
      <w:r w:rsidR="001754FC" w:rsidRPr="000C5235">
        <w:t>ie</w:t>
      </w:r>
      <w:r w:rsidR="00C126E5" w:rsidRPr="000C5235">
        <w:t xml:space="preserve"> at MYEFO </w:t>
      </w:r>
      <w:r w:rsidR="00CF50AD" w:rsidRPr="000C5235">
        <w:t>2019-20</w:t>
      </w:r>
      <w:r w:rsidRPr="000C5235">
        <w:t>), then reporting in relevant budget documents will form the basis for ma</w:t>
      </w:r>
      <w:r w:rsidR="00C126E5" w:rsidRPr="000C5235">
        <w:t xml:space="preserve">king a judgement on whether </w:t>
      </w:r>
      <w:r w:rsidR="00CF50AD" w:rsidRPr="000C5235">
        <w:t>2020-21</w:t>
      </w:r>
      <w:r w:rsidRPr="000C5235">
        <w:t xml:space="preserve"> Budget measures materially affect a program.</w:t>
      </w:r>
    </w:p>
    <w:p w14:paraId="04BCFD60" w14:textId="77777777" w:rsidR="002754DF" w:rsidRPr="000C5235" w:rsidRDefault="002754DF">
      <w:r w:rsidRPr="000C5235">
        <w:br w:type="page"/>
      </w:r>
    </w:p>
    <w:tbl>
      <w:tblPr>
        <w:tblW w:w="0" w:type="auto"/>
        <w:jc w:val="center"/>
        <w:tblBorders>
          <w:top w:val="single" w:sz="2" w:space="0" w:color="A7B4BE"/>
          <w:left w:val="single" w:sz="2" w:space="0" w:color="A7B4BE"/>
          <w:bottom w:val="single" w:sz="2" w:space="0" w:color="A7B4BE"/>
          <w:right w:val="single" w:sz="2" w:space="0" w:color="A7B4BE"/>
        </w:tblBorders>
        <w:tblCellMar>
          <w:left w:w="0" w:type="dxa"/>
          <w:right w:w="0" w:type="dxa"/>
        </w:tblCellMar>
        <w:tblLook w:val="04A0" w:firstRow="1" w:lastRow="0" w:firstColumn="1" w:lastColumn="0" w:noHBand="0" w:noVBand="1"/>
      </w:tblPr>
      <w:tblGrid>
        <w:gridCol w:w="7936"/>
      </w:tblGrid>
      <w:tr w:rsidR="00FA0945" w:rsidRPr="000C5235" w14:paraId="787E329A" w14:textId="77777777" w:rsidTr="003E3C9D">
        <w:trPr>
          <w:jc w:val="center"/>
        </w:trPr>
        <w:tc>
          <w:tcPr>
            <w:tcW w:w="7936" w:type="dxa"/>
            <w:shd w:val="clear" w:color="auto" w:fill="DDF3FA"/>
          </w:tcPr>
          <w:p w14:paraId="6150EC18" w14:textId="77777777" w:rsidR="00FA0945" w:rsidRPr="000C5235" w:rsidRDefault="00FA0945" w:rsidP="000A7DEC">
            <w:pPr>
              <w:pStyle w:val="TableText-Normal"/>
            </w:pPr>
            <w:r w:rsidRPr="000C5235">
              <w:t>Identifying material changes</w:t>
            </w:r>
          </w:p>
        </w:tc>
      </w:tr>
      <w:tr w:rsidR="00FA0945" w:rsidRPr="000C5235" w14:paraId="546DE226" w14:textId="77777777" w:rsidTr="003E3C9D">
        <w:trPr>
          <w:jc w:val="center"/>
        </w:trPr>
        <w:tc>
          <w:tcPr>
            <w:tcW w:w="7936" w:type="dxa"/>
          </w:tcPr>
          <w:p w14:paraId="1C682EA4" w14:textId="77777777" w:rsidR="00FA0945" w:rsidRPr="000C5235" w:rsidRDefault="00FA0945" w:rsidP="000A7DEC">
            <w:pPr>
              <w:pStyle w:val="TableText-Normal"/>
            </w:pPr>
            <w:r w:rsidRPr="000C5235">
              <w:t>Material changes will typically result from Budge</w:t>
            </w:r>
            <w:r w:rsidR="00C126E5" w:rsidRPr="000C5235">
              <w:t xml:space="preserve">t measures announced in the </w:t>
            </w:r>
            <w:r w:rsidR="005F39A5" w:rsidRPr="000C5235">
              <w:t>2020-21</w:t>
            </w:r>
            <w:r w:rsidRPr="000C5235">
              <w:t xml:space="preserve"> Budget or major government init</w:t>
            </w:r>
            <w:r w:rsidR="00C126E5" w:rsidRPr="000C5235">
              <w:t xml:space="preserve">iatives announced since the </w:t>
            </w:r>
            <w:r w:rsidR="005F39A5" w:rsidRPr="000C5235">
              <w:t>2019-20</w:t>
            </w:r>
            <w:r w:rsidRPr="000C5235">
              <w:t xml:space="preserve"> Budget. </w:t>
            </w:r>
          </w:p>
          <w:p w14:paraId="63D2043F" w14:textId="77777777" w:rsidR="00FB71B6" w:rsidRPr="000C5235" w:rsidRDefault="00FB71B6" w:rsidP="000A7DEC">
            <w:pPr>
              <w:pStyle w:val="TableText-Normal"/>
            </w:pPr>
          </w:p>
          <w:p w14:paraId="0AF9C759" w14:textId="77777777" w:rsidR="00472232" w:rsidRPr="000C5235" w:rsidRDefault="00472232" w:rsidP="000A7DEC">
            <w:pPr>
              <w:pStyle w:val="TableText-Normal"/>
            </w:pPr>
            <w:r w:rsidRPr="000C5235">
              <w:t>When asses</w:t>
            </w:r>
            <w:r w:rsidR="00CD0900" w:rsidRPr="000C5235">
              <w:t>sing if a new B</w:t>
            </w:r>
            <w:r w:rsidRPr="000C5235">
              <w:t>udget measure or government initiative materially impacts on a program, entities should consider if the following has happened:</w:t>
            </w:r>
          </w:p>
          <w:p w14:paraId="2B61485F" w14:textId="77777777" w:rsidR="00472232" w:rsidRPr="000C5235" w:rsidRDefault="00472232" w:rsidP="000A7DEC">
            <w:pPr>
              <w:pStyle w:val="TableText-Normal-DotPoint"/>
            </w:pPr>
            <w:r w:rsidRPr="000C5235">
              <w:t>the objective or intended impact of the program has changed;</w:t>
            </w:r>
          </w:p>
          <w:p w14:paraId="4E223057" w14:textId="77777777" w:rsidR="00472232" w:rsidRPr="000C5235" w:rsidRDefault="00472232" w:rsidP="000A7DEC">
            <w:pPr>
              <w:pStyle w:val="TableText-Normal-DotPoint"/>
            </w:pPr>
            <w:r w:rsidRPr="000C5235">
              <w:t>the mechanism(s) through which the program is delivered has changed; and/or</w:t>
            </w:r>
          </w:p>
          <w:p w14:paraId="10A54C8E" w14:textId="77777777" w:rsidR="00472232" w:rsidRPr="000C5235" w:rsidRDefault="00472232" w:rsidP="000A7DEC">
            <w:pPr>
              <w:pStyle w:val="TableText-Normal-DotPoint"/>
            </w:pPr>
            <w:r w:rsidRPr="000C5235">
              <w:t>the target group or those to be influenced has been changed.</w:t>
            </w:r>
          </w:p>
          <w:p w14:paraId="307699FC" w14:textId="77777777" w:rsidR="00FB71B6" w:rsidRPr="000C5235" w:rsidRDefault="00FB71B6" w:rsidP="000A7DEC">
            <w:pPr>
              <w:pStyle w:val="TableText-Normal"/>
            </w:pPr>
          </w:p>
          <w:p w14:paraId="50FE2D71" w14:textId="77777777" w:rsidR="00472232" w:rsidRPr="000C5235" w:rsidRDefault="00472232" w:rsidP="000A7DEC">
            <w:pPr>
              <w:pStyle w:val="TableText-Normal"/>
            </w:pPr>
            <w:r w:rsidRPr="000C5235">
              <w:t xml:space="preserve">The changes in the appropriations allocated to a program do not form the only basis for identifying material changes to a program. </w:t>
            </w:r>
          </w:p>
          <w:p w14:paraId="42221A2C" w14:textId="77777777" w:rsidR="00FB71B6" w:rsidRPr="000C5235" w:rsidRDefault="00FB71B6" w:rsidP="000A7DEC">
            <w:pPr>
              <w:pStyle w:val="TableText-Normal"/>
            </w:pPr>
          </w:p>
          <w:p w14:paraId="3152E6D2" w14:textId="77777777" w:rsidR="00FA0945" w:rsidRPr="000C5235" w:rsidRDefault="00FA0945" w:rsidP="000A7DEC">
            <w:pPr>
              <w:pStyle w:val="TableText-Normal"/>
            </w:pPr>
            <w:r w:rsidRPr="000C5235">
              <w:t>A significant change to appropriation may also serve as a flag for reconsidering how a program is described in PB Statements</w:t>
            </w:r>
            <w:r w:rsidR="003B3DEC" w:rsidRPr="000C5235">
              <w:t xml:space="preserve"> b</w:t>
            </w:r>
            <w:r w:rsidR="00FD4BA3" w:rsidRPr="000C5235">
              <w:t>ut</w:t>
            </w:r>
            <w:r w:rsidRPr="000C5235">
              <w:t xml:space="preserve"> it will be variations in the nature of the program (</w:t>
            </w:r>
            <w:r w:rsidR="001754FC" w:rsidRPr="000C5235">
              <w:t>ie</w:t>
            </w:r>
            <w:r w:rsidRPr="000C5235">
              <w:t xml:space="preserve"> the delivery mechanism, objective or target group) as a result of funding decisions that should be used as the ultimate indicator of material changes.</w:t>
            </w:r>
          </w:p>
        </w:tc>
      </w:tr>
    </w:tbl>
    <w:tbl>
      <w:tblPr>
        <w:tblpPr w:leftFromText="180" w:rightFromText="180" w:vertAnchor="text" w:horzAnchor="page" w:tblpX="1988" w:tblpY="613"/>
        <w:tblW w:w="0" w:type="auto"/>
        <w:tblBorders>
          <w:top w:val="single" w:sz="2" w:space="0" w:color="A7B4BE"/>
          <w:left w:val="single" w:sz="2" w:space="0" w:color="A7B4BE"/>
          <w:bottom w:val="single" w:sz="2" w:space="0" w:color="A7B4BE"/>
          <w:right w:val="single" w:sz="2" w:space="0" w:color="A7B4BE"/>
          <w:insideH w:val="single" w:sz="2" w:space="0" w:color="A7B4BE"/>
          <w:insideV w:val="single" w:sz="2" w:space="0" w:color="A7B4BE"/>
        </w:tblBorders>
        <w:tblCellMar>
          <w:left w:w="0" w:type="dxa"/>
          <w:right w:w="0" w:type="dxa"/>
        </w:tblCellMar>
        <w:tblLook w:val="04A0" w:firstRow="1" w:lastRow="0" w:firstColumn="1" w:lastColumn="0" w:noHBand="0" w:noVBand="1"/>
      </w:tblPr>
      <w:tblGrid>
        <w:gridCol w:w="7924"/>
      </w:tblGrid>
      <w:tr w:rsidR="00472232" w:rsidRPr="000C5235" w14:paraId="3D9E0ED5" w14:textId="77777777" w:rsidTr="00DB312F">
        <w:tc>
          <w:tcPr>
            <w:tcW w:w="7924" w:type="dxa"/>
            <w:shd w:val="clear" w:color="auto" w:fill="DDF3FA"/>
          </w:tcPr>
          <w:p w14:paraId="1689C02C" w14:textId="77777777" w:rsidR="00472232" w:rsidRPr="000C5235" w:rsidRDefault="00472232" w:rsidP="00E02C97">
            <w:pPr>
              <w:pStyle w:val="TableText-Normal"/>
            </w:pPr>
            <w:r w:rsidRPr="000C5235">
              <w:rPr>
                <w:u w:val="single"/>
              </w:rPr>
              <w:t>Example</w:t>
            </w:r>
            <w:r w:rsidRPr="000C5235">
              <w:t xml:space="preserve"> – material change</w:t>
            </w:r>
          </w:p>
        </w:tc>
      </w:tr>
      <w:tr w:rsidR="00472232" w:rsidRPr="000C5235" w14:paraId="6903BF61" w14:textId="77777777" w:rsidTr="00DB312F">
        <w:tc>
          <w:tcPr>
            <w:tcW w:w="7924" w:type="dxa"/>
          </w:tcPr>
          <w:p w14:paraId="73ABD9B7" w14:textId="77777777" w:rsidR="00472232" w:rsidRPr="000C5235" w:rsidRDefault="00472232" w:rsidP="00E02C97">
            <w:pPr>
              <w:pStyle w:val="TableText-Normal"/>
            </w:pPr>
            <w:r w:rsidRPr="000C5235">
              <w:t>Consider the example of a program to dissuade young people from taking up smoking:</w:t>
            </w:r>
          </w:p>
          <w:p w14:paraId="22CC479B" w14:textId="77777777" w:rsidR="00472232" w:rsidRPr="000C5235" w:rsidRDefault="00CD0900" w:rsidP="00E02C97">
            <w:pPr>
              <w:pStyle w:val="Bullet1"/>
              <w:tabs>
                <w:tab w:val="clear" w:pos="360"/>
              </w:tabs>
              <w:ind w:left="490"/>
            </w:pPr>
            <w:r w:rsidRPr="000C5235">
              <w:t>If a B</w:t>
            </w:r>
            <w:r w:rsidR="00472232" w:rsidRPr="000C5235">
              <w:t xml:space="preserve">udget measure increased funding for an advertising campaign to increase the number of people informed of the ill-effect of smoking it is unlikely to result in a material change in the program. The mode of delivery (government advertising) and the target group (young people) remain the same. </w:t>
            </w:r>
          </w:p>
          <w:p w14:paraId="11E3BE2F" w14:textId="77777777" w:rsidR="00472232" w:rsidRPr="000C5235" w:rsidRDefault="00CD0900" w:rsidP="00E02C97">
            <w:pPr>
              <w:pStyle w:val="Bullet1"/>
              <w:tabs>
                <w:tab w:val="clear" w:pos="360"/>
              </w:tabs>
              <w:ind w:left="490"/>
            </w:pPr>
            <w:r w:rsidRPr="000C5235">
              <w:t>However, a new B</w:t>
            </w:r>
            <w:r w:rsidR="00472232" w:rsidRPr="000C5235">
              <w:t>udget measure to substitute advertising to include the ill</w:t>
            </w:r>
            <w:r w:rsidR="00472232" w:rsidRPr="000C5235">
              <w:noBreakHyphen/>
              <w:t>effects of smoking in school curricula would be a material change. The target group and object of the program remains unchanged, but the delivery mechanism has changed. There will be a need to alter how “Delivery” (and other) information is described in Table 2.X.3.</w:t>
            </w:r>
          </w:p>
        </w:tc>
      </w:tr>
    </w:tbl>
    <w:p w14:paraId="4FD1CFD1" w14:textId="77777777" w:rsidR="006F2C96" w:rsidRPr="000C5235" w:rsidRDefault="006F2C96">
      <w:bookmarkStart w:id="537" w:name="_Toc534382569"/>
    </w:p>
    <w:p w14:paraId="3F1E6E20" w14:textId="77777777" w:rsidR="00E02C97" w:rsidRPr="000C5235" w:rsidRDefault="00E02C97"/>
    <w:p w14:paraId="0D739C5E" w14:textId="77777777" w:rsidR="00E02C97" w:rsidRPr="000C5235" w:rsidRDefault="00E02C97"/>
    <w:p w14:paraId="2742745A" w14:textId="77777777" w:rsidR="006F2C96" w:rsidRPr="000C5235" w:rsidRDefault="006F2C96"/>
    <w:p w14:paraId="3B766EFF" w14:textId="77777777" w:rsidR="006F2C96" w:rsidRPr="000C5235" w:rsidRDefault="006F2C96"/>
    <w:p w14:paraId="498CFF5B" w14:textId="77777777" w:rsidR="006F2C96" w:rsidRPr="000C5235" w:rsidRDefault="006F2C96"/>
    <w:p w14:paraId="412D3447" w14:textId="77777777" w:rsidR="006F2C96" w:rsidRPr="000C5235" w:rsidRDefault="006F2C96"/>
    <w:p w14:paraId="7E3B690C" w14:textId="77777777" w:rsidR="006F2C96" w:rsidRPr="000C5235" w:rsidRDefault="006F2C96"/>
    <w:p w14:paraId="4839E8B8" w14:textId="77777777" w:rsidR="006F2C96" w:rsidRPr="000C5235" w:rsidRDefault="006F2C96"/>
    <w:p w14:paraId="70A1C251" w14:textId="77777777" w:rsidR="006F2C96" w:rsidRPr="000C5235" w:rsidRDefault="006F2C96"/>
    <w:p w14:paraId="08A897B6" w14:textId="77777777" w:rsidR="006F2C96" w:rsidRPr="000C5235" w:rsidRDefault="006F2C96"/>
    <w:p w14:paraId="46D0E560" w14:textId="77777777" w:rsidR="006F2C96" w:rsidRPr="000C5235" w:rsidRDefault="006F2C96"/>
    <w:p w14:paraId="56FC7FEC" w14:textId="77777777" w:rsidR="006F2C96" w:rsidRPr="000C5235" w:rsidRDefault="006F2C96"/>
    <w:p w14:paraId="2FC457BA" w14:textId="77777777" w:rsidR="006F2C96" w:rsidRPr="000C5235" w:rsidRDefault="006F2C96" w:rsidP="000A7DEC">
      <w:pPr>
        <w:rPr>
          <w:rFonts w:ascii="Arial" w:eastAsia="Times New Roman" w:hAnsi="Arial" w:cs="Times New Roman"/>
          <w:spacing w:val="-6"/>
          <w:sz w:val="36"/>
          <w:szCs w:val="34"/>
        </w:rPr>
      </w:pPr>
      <w:r w:rsidRPr="000C5235">
        <w:br w:type="page"/>
      </w:r>
    </w:p>
    <w:p w14:paraId="1A664FFE" w14:textId="77777777" w:rsidR="00FA0945" w:rsidRPr="000C5235" w:rsidRDefault="00FA0945" w:rsidP="000A7DEC">
      <w:pPr>
        <w:pStyle w:val="Heading3Numbered"/>
      </w:pPr>
      <w:bookmarkStart w:id="538" w:name="_Toc47951248"/>
      <w:r w:rsidRPr="000C5235">
        <w:t>Performance criteria</w:t>
      </w:r>
      <w:bookmarkEnd w:id="537"/>
      <w:bookmarkEnd w:id="538"/>
    </w:p>
    <w:p w14:paraId="62177972" w14:textId="77777777" w:rsidR="00CF269C" w:rsidRPr="000C5235" w:rsidRDefault="00FA0945" w:rsidP="000A7DEC">
      <w:r w:rsidRPr="000C5235">
        <w:t xml:space="preserve">Entities should enter performance criteria in </w:t>
      </w:r>
      <w:r w:rsidRPr="000C5235">
        <w:rPr>
          <w:i/>
        </w:rPr>
        <w:t>Table 2.X.3</w:t>
      </w:r>
      <w:r w:rsidRPr="000C5235">
        <w:t xml:space="preserve"> for each program associated with each Outcome X.</w:t>
      </w:r>
    </w:p>
    <w:p w14:paraId="399AF0C4" w14:textId="77777777" w:rsidR="00CF269C" w:rsidRPr="000C5235" w:rsidRDefault="00CF269C" w:rsidP="000A7DEC">
      <w:pPr>
        <w:pStyle w:val="Boxed2Text"/>
      </w:pPr>
      <w:r w:rsidRPr="000C5235">
        <w:t xml:space="preserve">The Finance Secretary Direction under subsection 36(3) of the PGPA Act requires there is at </w:t>
      </w:r>
      <w:r w:rsidRPr="000C5235">
        <w:rPr>
          <w:b/>
          <w:color w:val="FF0000"/>
        </w:rPr>
        <w:t>least one performance criterion</w:t>
      </w:r>
      <w:r w:rsidRPr="000C5235">
        <w:t xml:space="preserve"> for each program.</w:t>
      </w:r>
    </w:p>
    <w:p w14:paraId="08136DB1" w14:textId="77777777" w:rsidR="00FA0945" w:rsidRPr="000C5235" w:rsidRDefault="00FA0945" w:rsidP="000A7DEC">
      <w:r w:rsidRPr="000C5235">
        <w:t xml:space="preserve">Performance criteria included in Table 2.X.3 need to indicate how an entity will assess whether a program objective has been achieved, and whether the specific program makes the intended contribution to the overall outcome with which it is associated. </w:t>
      </w:r>
    </w:p>
    <w:p w14:paraId="6C63D4A6" w14:textId="77777777" w:rsidR="00FA0945" w:rsidRPr="000C5235" w:rsidRDefault="00FA0945" w:rsidP="000A7DEC">
      <w:r w:rsidRPr="000C5235">
        <w:t>Entities should include the following performance criteria for the following reporting periods:</w:t>
      </w:r>
    </w:p>
    <w:p w14:paraId="4CE1CABB" w14:textId="77777777" w:rsidR="00FA0945" w:rsidRPr="000C5235" w:rsidRDefault="003D2E67">
      <w:pPr>
        <w:pStyle w:val="Bullet1"/>
      </w:pPr>
      <w:r w:rsidRPr="000C5235">
        <w:rPr>
          <w:b/>
        </w:rPr>
        <w:t>2019-20</w:t>
      </w:r>
      <w:r w:rsidR="00FA0945" w:rsidRPr="000C5235">
        <w:t xml:space="preserve"> </w:t>
      </w:r>
      <w:r w:rsidR="00FA0945" w:rsidRPr="000C5235">
        <w:rPr>
          <w:i/>
        </w:rPr>
        <w:t>(</w:t>
      </w:r>
      <w:r w:rsidR="009A6E92" w:rsidRPr="000C5235">
        <w:rPr>
          <w:i/>
        </w:rPr>
        <w:t xml:space="preserve">Last </w:t>
      </w:r>
      <w:r w:rsidR="00FA0945" w:rsidRPr="000C5235">
        <w:rPr>
          <w:i/>
        </w:rPr>
        <w:t>Budget Year)</w:t>
      </w:r>
      <w:r w:rsidR="00FA0945" w:rsidRPr="000C5235">
        <w:t xml:space="preserve"> – </w:t>
      </w:r>
      <w:r w:rsidR="009A6E92" w:rsidRPr="000C5235">
        <w:t>actual performance against targets for 2019-20 described in 2019-20 Portfolio Budget Statements</w:t>
      </w:r>
    </w:p>
    <w:p w14:paraId="0D2B4D77" w14:textId="77777777" w:rsidR="00FA0945" w:rsidRPr="000C5235" w:rsidRDefault="003D2E67">
      <w:pPr>
        <w:pStyle w:val="Bullet1"/>
      </w:pPr>
      <w:r w:rsidRPr="000C5235">
        <w:rPr>
          <w:b/>
        </w:rPr>
        <w:t>2020-21</w:t>
      </w:r>
      <w:r w:rsidR="00FA0945" w:rsidRPr="000C5235">
        <w:t xml:space="preserve"> </w:t>
      </w:r>
      <w:r w:rsidR="00FA0945" w:rsidRPr="000C5235">
        <w:rPr>
          <w:i/>
        </w:rPr>
        <w:t>(New Budget Year)</w:t>
      </w:r>
      <w:r w:rsidR="00FA0945" w:rsidRPr="000C5235">
        <w:t xml:space="preserve"> – a description of what criteria will be used to assess whether a specific program de</w:t>
      </w:r>
      <w:r w:rsidR="00611E25" w:rsidRPr="000C5235">
        <w:t xml:space="preserve">livers on its objectives in </w:t>
      </w:r>
      <w:r w:rsidRPr="000C5235">
        <w:t>2020-21</w:t>
      </w:r>
    </w:p>
    <w:p w14:paraId="5147866D" w14:textId="77777777" w:rsidR="00FA0945" w:rsidRPr="000C5235" w:rsidRDefault="003D2E67">
      <w:pPr>
        <w:pStyle w:val="Bullet1"/>
      </w:pPr>
      <w:r w:rsidRPr="000C5235">
        <w:rPr>
          <w:b/>
        </w:rPr>
        <w:t>2021-22</w:t>
      </w:r>
      <w:r w:rsidR="00FA0945" w:rsidRPr="000C5235">
        <w:rPr>
          <w:b/>
        </w:rPr>
        <w:t xml:space="preserve"> and beyond</w:t>
      </w:r>
      <w:r w:rsidR="00FA0945" w:rsidRPr="000C5235">
        <w:t xml:space="preserve"> </w:t>
      </w:r>
      <w:r w:rsidR="00FA0945" w:rsidRPr="000C5235">
        <w:rPr>
          <w:i/>
        </w:rPr>
        <w:t>(Forward Estimates)</w:t>
      </w:r>
      <w:r w:rsidR="00FA0945" w:rsidRPr="000C5235">
        <w:t xml:space="preserve"> – a description of what criteria will be used to assess whether a specific program delivers on its objectives for each</w:t>
      </w:r>
      <w:r w:rsidR="00611E25" w:rsidRPr="000C5235">
        <w:t xml:space="preserve"> forward estimate (</w:t>
      </w:r>
      <w:r w:rsidR="00E10C89" w:rsidRPr="000C5235">
        <w:t>ie</w:t>
      </w:r>
      <w:r w:rsidR="00611E25" w:rsidRPr="000C5235">
        <w:t xml:space="preserve"> </w:t>
      </w:r>
      <w:r w:rsidRPr="000C5235">
        <w:t>2021-22</w:t>
      </w:r>
      <w:r w:rsidR="00611E25" w:rsidRPr="000C5235">
        <w:t xml:space="preserve">, </w:t>
      </w:r>
      <w:r w:rsidRPr="000C5235">
        <w:t>2022-23</w:t>
      </w:r>
      <w:r w:rsidR="00611E25" w:rsidRPr="000C5235">
        <w:t xml:space="preserve"> and </w:t>
      </w:r>
      <w:r w:rsidRPr="000C5235">
        <w:t>2023-24</w:t>
      </w:r>
      <w:r w:rsidR="00FA0945" w:rsidRPr="000C5235">
        <w:t>).</w:t>
      </w:r>
    </w:p>
    <w:p w14:paraId="3FFCE647" w14:textId="77777777" w:rsidR="00FA0945" w:rsidRPr="000C5235" w:rsidRDefault="00FA0945">
      <w:pPr>
        <w:pStyle w:val="NormalTextRed"/>
      </w:pPr>
      <w:r w:rsidRPr="000C5235">
        <w:rPr>
          <w:u w:val="single"/>
        </w:rPr>
        <w:t>Note</w:t>
      </w:r>
      <w:r w:rsidR="006F2C96" w:rsidRPr="000C5235">
        <w:rPr>
          <w:u w:val="single"/>
        </w:rPr>
        <w:t>:</w:t>
      </w:r>
      <w:r w:rsidRPr="000C5235">
        <w:t xml:space="preserve"> if the performance criteria to be applied during </w:t>
      </w:r>
      <w:r w:rsidR="003D2E67" w:rsidRPr="000C5235">
        <w:t>2020-21</w:t>
      </w:r>
      <w:r w:rsidR="00611E25" w:rsidRPr="000C5235">
        <w:t xml:space="preserve"> and beyond are the same as </w:t>
      </w:r>
      <w:r w:rsidR="003D2E67" w:rsidRPr="000C5235">
        <w:t>2019-20</w:t>
      </w:r>
      <w:r w:rsidRPr="000C5235">
        <w:t>, entities may wi</w:t>
      </w:r>
      <w:r w:rsidR="00611E25" w:rsidRPr="000C5235">
        <w:t xml:space="preserve">sh to describe them “as per </w:t>
      </w:r>
      <w:r w:rsidR="003D2E67" w:rsidRPr="000C5235">
        <w:t>2019-20</w:t>
      </w:r>
      <w:r w:rsidRPr="000C5235">
        <w:t>” to avoid duplicating text.</w:t>
      </w:r>
    </w:p>
    <w:p w14:paraId="641B1419" w14:textId="77777777" w:rsidR="00FA0945" w:rsidRPr="000C5235" w:rsidRDefault="00FA0945" w:rsidP="000A7DEC">
      <w:r w:rsidRPr="000C5235">
        <w:t>Performance criteri</w:t>
      </w:r>
      <w:r w:rsidR="00611E25" w:rsidRPr="000C5235">
        <w:t xml:space="preserve">a included in </w:t>
      </w:r>
      <w:r w:rsidR="003D2E67" w:rsidRPr="000C5235">
        <w:t>2020-21</w:t>
      </w:r>
      <w:r w:rsidRPr="000C5235">
        <w:t xml:space="preserve"> PB Statements should be </w:t>
      </w:r>
      <w:r w:rsidR="00A30D01" w:rsidRPr="000C5235">
        <w:t xml:space="preserve">focused on the impact of programs. </w:t>
      </w:r>
    </w:p>
    <w:p w14:paraId="7DDEE8E8" w14:textId="77777777" w:rsidR="00FA0945" w:rsidRPr="000C5235" w:rsidRDefault="00FA0945" w:rsidP="000A7DEC">
      <w:r w:rsidRPr="000C5235">
        <w:t xml:space="preserve">The performance criteria reported in </w:t>
      </w:r>
      <w:r w:rsidRPr="000C5235">
        <w:rPr>
          <w:i/>
        </w:rPr>
        <w:t>Table 2.X.3</w:t>
      </w:r>
      <w:r w:rsidRPr="000C5235">
        <w:t xml:space="preserve"> must make sense within the context of the broader set of performance information in corporate plans, annual performance statements and any other public reporting under legislation or required by government. Information across these documents </w:t>
      </w:r>
      <w:r w:rsidR="00071D4D" w:rsidRPr="000C5235">
        <w:t xml:space="preserve">should </w:t>
      </w:r>
      <w:r w:rsidRPr="000C5235">
        <w:t xml:space="preserve">form an integrated set that allows readers to understand an entity’s </w:t>
      </w:r>
      <w:r w:rsidR="00071D4D" w:rsidRPr="000C5235">
        <w:t xml:space="preserve">planned and actual </w:t>
      </w:r>
      <w:r w:rsidRPr="000C5235">
        <w:t>performance story, including the links between programs described in PB Statements and their relationship to purposes described in the entity’s corporate plan.</w:t>
      </w:r>
    </w:p>
    <w:p w14:paraId="6B9A06B6" w14:textId="77777777" w:rsidR="00CF269C" w:rsidRPr="000C5235" w:rsidRDefault="00FA0945">
      <w:r w:rsidRPr="000C5235">
        <w:t xml:space="preserve">Entities should note advice provided in </w:t>
      </w:r>
      <w:r w:rsidRPr="000C5235">
        <w:rPr>
          <w:i/>
        </w:rPr>
        <w:t>RMG 131 – Developing good performance information</w:t>
      </w:r>
      <w:r w:rsidR="00391B0E" w:rsidRPr="000C5235">
        <w:t xml:space="preserve"> and </w:t>
      </w:r>
      <w:r w:rsidR="00391B0E" w:rsidRPr="000C5235">
        <w:rPr>
          <w:i/>
        </w:rPr>
        <w:t>RMG 131A – Developing performance measures</w:t>
      </w:r>
      <w:r w:rsidR="00E47F62" w:rsidRPr="000C5235">
        <w:t xml:space="preserve"> </w:t>
      </w:r>
      <w:hyperlink r:id="rId60" w:history="1">
        <w:r w:rsidR="0012362E" w:rsidRPr="000C5235">
          <w:rPr>
            <w:rStyle w:val="Hyperlink"/>
            <w:rFonts w:asciiTheme="minorHAnsi" w:hAnsiTheme="minorHAnsi" w:cstheme="minorBidi"/>
          </w:rPr>
          <w:t>https://www.finance.gov.au/publications/resource-management-guides</w:t>
        </w:r>
      </w:hyperlink>
      <w:r w:rsidRPr="000C5235">
        <w:t xml:space="preserve"> </w:t>
      </w:r>
      <w:r w:rsidR="00071D4D" w:rsidRPr="000C5235">
        <w:t xml:space="preserve">when developing performance measures. </w:t>
      </w:r>
    </w:p>
    <w:p w14:paraId="0F006CD4" w14:textId="77777777" w:rsidR="00CF269C" w:rsidRPr="000C5235" w:rsidRDefault="00CF269C">
      <w:pPr>
        <w:suppressAutoHyphens w:val="0"/>
        <w:spacing w:before="0" w:after="120" w:line="440" w:lineRule="atLeast"/>
      </w:pPr>
      <w:r w:rsidRPr="000C5235">
        <w:br w:type="page"/>
      </w:r>
    </w:p>
    <w:p w14:paraId="1E5BCC79" w14:textId="77777777" w:rsidR="00CF269C" w:rsidRPr="000C5235" w:rsidRDefault="00FA0945" w:rsidP="00CF269C">
      <w:r w:rsidRPr="000C5235">
        <w:t xml:space="preserve">The Finance Secretary Direction under </w:t>
      </w:r>
      <w:r w:rsidR="004D0115" w:rsidRPr="000C5235">
        <w:t>subsection</w:t>
      </w:r>
      <w:r w:rsidRPr="000C5235">
        <w:t xml:space="preserve"> 36(3) of the PGPA Act</w:t>
      </w:r>
      <w:r w:rsidRPr="000C5235">
        <w:rPr>
          <w:i/>
        </w:rPr>
        <w:t xml:space="preserve"> </w:t>
      </w:r>
      <w:r w:rsidRPr="000C5235">
        <w:t xml:space="preserve">requires PB Statements to include targets. Such targets are expected to complement descriptions of performance criteria </w:t>
      </w:r>
      <w:r w:rsidR="00611E25" w:rsidRPr="000C5235">
        <w:t xml:space="preserve">used to assess a program in </w:t>
      </w:r>
      <w:r w:rsidR="000041E1" w:rsidRPr="000C5235">
        <w:t>2020-21</w:t>
      </w:r>
      <w:r w:rsidRPr="000C5235">
        <w:t xml:space="preserve"> and across the forward estimates. Targets are to be included in </w:t>
      </w:r>
      <w:r w:rsidRPr="000C5235">
        <w:rPr>
          <w:i/>
        </w:rPr>
        <w:t>Table 2.X.3</w:t>
      </w:r>
      <w:r w:rsidRPr="000C5235">
        <w:t xml:space="preserve"> following the description of performance criteria for relevant years.</w:t>
      </w:r>
      <w:r w:rsidR="00CF269C" w:rsidRPr="000C5235">
        <w:t xml:space="preserve"> </w:t>
      </w:r>
    </w:p>
    <w:p w14:paraId="42BFEE10" w14:textId="77777777" w:rsidR="00CF269C" w:rsidRPr="000C5235" w:rsidRDefault="00CF269C" w:rsidP="00CF269C">
      <w:r w:rsidRPr="000C5235">
        <w:t>Targets will typically help readers understand the standard to which certain aspects of program delivery will be achieved or the extent to which it is achieved (ie the reach of a government advertising campaign). For example, targets may be benchmarks that identify ideal performance or milestones that indicate progress to longer-term outcomes.</w:t>
      </w:r>
    </w:p>
    <w:p w14:paraId="581CA6D1" w14:textId="77777777" w:rsidR="00CF269C" w:rsidRPr="000C5235" w:rsidRDefault="00CF269C" w:rsidP="000A7DEC">
      <w:pPr>
        <w:pStyle w:val="Boxed2Text"/>
      </w:pPr>
      <w:r w:rsidRPr="000C5235">
        <w:t>As noted above, targets complement performance criteria.</w:t>
      </w:r>
    </w:p>
    <w:p w14:paraId="5E3872F2" w14:textId="77777777" w:rsidR="00CF269C" w:rsidRPr="000C5235" w:rsidRDefault="00CF269C" w:rsidP="000A7DEC">
      <w:pPr>
        <w:pStyle w:val="Boxed2Text"/>
        <w:spacing w:after="240"/>
      </w:pPr>
      <w:r w:rsidRPr="000C5235">
        <w:t xml:space="preserve">Because targets are likely to be quantitative (ie number of transactions completed, satisfaction ratings or cost per output) they will tend to provide useful information on how a program is delivered. Judgements on the impact of this delivery should be supported by other information, which will often draw on a mix of quantitative and qualitative sources.  For further information, refer to </w:t>
      </w:r>
      <w:r w:rsidR="00CC0203" w:rsidRPr="000C5235">
        <w:rPr>
          <w:i/>
        </w:rPr>
        <w:t>RMG 131 – Developing good performance information</w:t>
      </w:r>
      <w:r w:rsidR="00D2735C" w:rsidRPr="000C5235">
        <w:t xml:space="preserve"> and </w:t>
      </w:r>
      <w:r w:rsidR="00D2735C" w:rsidRPr="000C5235">
        <w:rPr>
          <w:i/>
        </w:rPr>
        <w:t>RMG 131A Developing performance measures</w:t>
      </w:r>
      <w:r w:rsidR="00CC0203" w:rsidRPr="000C5235">
        <w:t xml:space="preserve"> </w:t>
      </w:r>
      <w:hyperlink r:id="rId61" w:history="1">
        <w:r w:rsidR="00CC0203" w:rsidRPr="000C5235">
          <w:rPr>
            <w:rStyle w:val="Hyperlink"/>
            <w:rFonts w:asciiTheme="minorHAnsi" w:hAnsiTheme="minorHAnsi" w:cstheme="minorBidi"/>
          </w:rPr>
          <w:t>https://www.finance.gov.au/publications/resource-management-guides</w:t>
        </w:r>
      </w:hyperlink>
      <w:r w:rsidR="00CC0203" w:rsidRPr="000C5235">
        <w:t>.</w:t>
      </w:r>
    </w:p>
    <w:p w14:paraId="369E91A5" w14:textId="77777777" w:rsidR="00FA0945" w:rsidRPr="000C5235" w:rsidRDefault="00FA0945" w:rsidP="000A7DEC">
      <w:pPr>
        <w:pStyle w:val="Heading3Numbered"/>
      </w:pPr>
      <w:bookmarkStart w:id="539" w:name="_Toc33099408"/>
      <w:bookmarkStart w:id="540" w:name="_Toc33196033"/>
      <w:bookmarkStart w:id="541" w:name="_Toc33196335"/>
      <w:bookmarkStart w:id="542" w:name="_Toc33099409"/>
      <w:bookmarkStart w:id="543" w:name="_Toc33196034"/>
      <w:bookmarkStart w:id="544" w:name="_Toc33196336"/>
      <w:bookmarkStart w:id="545" w:name="_Toc534382570"/>
      <w:bookmarkStart w:id="546" w:name="_Toc47951249"/>
      <w:bookmarkEnd w:id="539"/>
      <w:bookmarkEnd w:id="540"/>
      <w:bookmarkEnd w:id="541"/>
      <w:bookmarkEnd w:id="542"/>
      <w:bookmarkEnd w:id="543"/>
      <w:bookmarkEnd w:id="544"/>
      <w:r w:rsidRPr="000C5235">
        <w:t>Presentation of new or modified performance criteria</w:t>
      </w:r>
      <w:bookmarkEnd w:id="545"/>
      <w:bookmarkEnd w:id="546"/>
    </w:p>
    <w:p w14:paraId="7C4637B6" w14:textId="77777777" w:rsidR="00FA0945" w:rsidRPr="000C5235" w:rsidRDefault="00FA0945" w:rsidP="000A7DEC">
      <w:r w:rsidRPr="000C5235">
        <w:t>As discusse</w:t>
      </w:r>
      <w:r w:rsidR="00611E25" w:rsidRPr="000C5235">
        <w:t xml:space="preserve">d, an entity’s </w:t>
      </w:r>
      <w:r w:rsidR="000041E1" w:rsidRPr="000C5235">
        <w:t>2020-21</w:t>
      </w:r>
      <w:r w:rsidRPr="000C5235">
        <w:t xml:space="preserve"> PB Statements shoul</w:t>
      </w:r>
      <w:r w:rsidR="00611E25" w:rsidRPr="000C5235">
        <w:t xml:space="preserve">d reflect changes since the </w:t>
      </w:r>
      <w:r w:rsidR="000041E1" w:rsidRPr="000C5235">
        <w:t>2019</w:t>
      </w:r>
      <w:r w:rsidR="00A667A6" w:rsidRPr="000C5235">
        <w:noBreakHyphen/>
      </w:r>
      <w:r w:rsidR="000041E1" w:rsidRPr="000C5235">
        <w:t>20</w:t>
      </w:r>
      <w:r w:rsidR="00A667A6" w:rsidRPr="000C5235">
        <w:t> </w:t>
      </w:r>
      <w:r w:rsidRPr="000C5235">
        <w:t xml:space="preserve">Budget that have </w:t>
      </w:r>
      <w:r w:rsidR="00E67D07" w:rsidRPr="000C5235">
        <w:t xml:space="preserve">had a </w:t>
      </w:r>
      <w:r w:rsidRPr="000C5235">
        <w:t>material impact on a program</w:t>
      </w:r>
      <w:r w:rsidR="00611E25" w:rsidRPr="000C5235">
        <w:t xml:space="preserve"> (</w:t>
      </w:r>
      <w:r w:rsidR="001754FC" w:rsidRPr="000C5235">
        <w:t>ie</w:t>
      </w:r>
      <w:r w:rsidR="00611E25" w:rsidRPr="000C5235">
        <w:t xml:space="preserve"> as a result of a new </w:t>
      </w:r>
      <w:r w:rsidR="000041E1" w:rsidRPr="000C5235">
        <w:t>2020</w:t>
      </w:r>
      <w:r w:rsidR="00A667A6" w:rsidRPr="000C5235">
        <w:noBreakHyphen/>
      </w:r>
      <w:r w:rsidR="000041E1" w:rsidRPr="000C5235">
        <w:t>21</w:t>
      </w:r>
      <w:r w:rsidRPr="000C5235">
        <w:t xml:space="preserve"> Budget measure or announcement of government initiative). </w:t>
      </w:r>
    </w:p>
    <w:p w14:paraId="2CD439FA" w14:textId="77777777" w:rsidR="00FA0945" w:rsidRPr="000C5235" w:rsidRDefault="00FA0945" w:rsidP="000A7DEC">
      <w:r w:rsidRPr="000C5235">
        <w:t xml:space="preserve">Performance criteria that have been modified or added to reflect such changes should be presented </w:t>
      </w:r>
      <w:r w:rsidRPr="000C5235">
        <w:rPr>
          <w:u w:val="single"/>
        </w:rPr>
        <w:t>underlined</w:t>
      </w:r>
      <w:r w:rsidRPr="000C5235">
        <w:t xml:space="preserve"> and in </w:t>
      </w:r>
      <w:r w:rsidRPr="000C5235">
        <w:rPr>
          <w:i/>
        </w:rPr>
        <w:t>italics</w:t>
      </w:r>
      <w:r w:rsidRPr="000C5235">
        <w:t xml:space="preserve"> in the Performance Criteria section of </w:t>
      </w:r>
      <w:r w:rsidRPr="000C5235">
        <w:rPr>
          <w:i/>
        </w:rPr>
        <w:t>Table 2.X.3</w:t>
      </w:r>
      <w:r w:rsidRPr="000C5235">
        <w:t xml:space="preserve"> for the relevant program. </w:t>
      </w:r>
    </w:p>
    <w:p w14:paraId="64C10535" w14:textId="77777777" w:rsidR="00FA0945" w:rsidRPr="000C5235" w:rsidRDefault="00FA0945" w:rsidP="000A7DEC">
      <w:r w:rsidRPr="000C5235">
        <w:t xml:space="preserve">Presenting new or modified performance criteria </w:t>
      </w:r>
      <w:r w:rsidRPr="000C5235">
        <w:rPr>
          <w:u w:val="single"/>
        </w:rPr>
        <w:t>underlined</w:t>
      </w:r>
      <w:r w:rsidRPr="000C5235">
        <w:t xml:space="preserve"> and in </w:t>
      </w:r>
      <w:r w:rsidRPr="000C5235">
        <w:rPr>
          <w:i/>
        </w:rPr>
        <w:t>italics</w:t>
      </w:r>
      <w:r w:rsidRPr="000C5235">
        <w:t xml:space="preserve"> will indicate to readers that the program has materially changed (</w:t>
      </w:r>
      <w:r w:rsidR="001754FC" w:rsidRPr="000C5235">
        <w:t>ie</w:t>
      </w:r>
      <w:r w:rsidRPr="000C5235">
        <w:t xml:space="preserve"> because </w:t>
      </w:r>
      <w:r w:rsidR="00A250B5" w:rsidRPr="000C5235">
        <w:t>its</w:t>
      </w:r>
      <w:r w:rsidRPr="000C5235">
        <w:t xml:space="preserve"> objective, delivery mechanism and/or target group has changed) and the way success is assessed has been adjusted appropriately. Where new prog</w:t>
      </w:r>
      <w:r w:rsidR="00611E25" w:rsidRPr="000C5235">
        <w:t xml:space="preserve">rams are established in the </w:t>
      </w:r>
      <w:r w:rsidR="000041E1" w:rsidRPr="000C5235">
        <w:t>2020-21</w:t>
      </w:r>
      <w:r w:rsidRPr="000C5235">
        <w:t xml:space="preserve"> Budget, all of the performance criteria related to that program need to be shown. </w:t>
      </w:r>
    </w:p>
    <w:p w14:paraId="5BF1B6D7" w14:textId="77777777" w:rsidR="00FA0945" w:rsidRPr="000C5235" w:rsidRDefault="00FA0945" w:rsidP="000A7DEC">
      <w:pPr>
        <w:pStyle w:val="Heading3Numbered"/>
      </w:pPr>
      <w:bookmarkStart w:id="547" w:name="_Toc534382571"/>
      <w:bookmarkStart w:id="548" w:name="_Toc47951250"/>
      <w:r w:rsidRPr="000C5235">
        <w:t>Purposes</w:t>
      </w:r>
      <w:bookmarkEnd w:id="547"/>
      <w:bookmarkEnd w:id="548"/>
    </w:p>
    <w:p w14:paraId="63004838" w14:textId="77777777" w:rsidR="00FA0945" w:rsidRPr="000C5235" w:rsidRDefault="00FA0945" w:rsidP="000A7DEC">
      <w:r w:rsidRPr="000C5235">
        <w:rPr>
          <w:i/>
        </w:rPr>
        <w:t>Table 2.X.3</w:t>
      </w:r>
      <w:r w:rsidRPr="000C5235">
        <w:t xml:space="preserve"> should indicate the relationship between each program and the purposes described in an entity’s current corporate plan – prepared in accordance with requirements set out in the Public Governance, Performance and Accountability Rule 2014 (the PGPA Rule).</w:t>
      </w:r>
    </w:p>
    <w:p w14:paraId="1CDF7EB0" w14:textId="77777777" w:rsidR="00FA0945" w:rsidRPr="000C5235" w:rsidRDefault="00F61D99" w:rsidP="000A7DEC">
      <w:r w:rsidRPr="000C5235">
        <w:rPr>
          <w:noProof/>
          <w:lang w:eastAsia="en-AU"/>
        </w:rPr>
        <mc:AlternateContent>
          <mc:Choice Requires="wpc">
            <w:drawing>
              <wp:anchor distT="0" distB="0" distL="114300" distR="114300" simplePos="0" relativeHeight="251658240" behindDoc="1" locked="0" layoutInCell="1" allowOverlap="1" wp14:anchorId="0D3C8084" wp14:editId="651AF3EF">
                <wp:simplePos x="0" y="0"/>
                <wp:positionH relativeFrom="margin">
                  <wp:posOffset>-6350</wp:posOffset>
                </wp:positionH>
                <wp:positionV relativeFrom="paragraph">
                  <wp:posOffset>582295</wp:posOffset>
                </wp:positionV>
                <wp:extent cx="5446395" cy="2585085"/>
                <wp:effectExtent l="0" t="0" r="20955" b="24765"/>
                <wp:wrapTopAndBottom/>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85000"/>
                          </a:schemeClr>
                        </a:solidFill>
                      </wpc:bg>
                      <wpc:whole>
                        <a:ln w="9525">
                          <a:solidFill>
                            <a:schemeClr val="tx1"/>
                          </a:solidFill>
                        </a:ln>
                      </wpc:whole>
                      <wps:wsp>
                        <wps:cNvPr id="9" name="Text Box 35"/>
                        <wps:cNvSpPr txBox="1">
                          <a:spLocks noChangeArrowheads="1"/>
                        </wps:cNvSpPr>
                        <wps:spPr bwMode="auto">
                          <a:xfrm>
                            <a:off x="2636551" y="146112"/>
                            <a:ext cx="2639340" cy="91301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09A3A3" w14:textId="77777777" w:rsidR="00DD1634" w:rsidRPr="00047731" w:rsidRDefault="00DD1634" w:rsidP="000A7DEC">
                              <w:pPr>
                                <w:pStyle w:val="TableText"/>
                              </w:pPr>
                              <w:r w:rsidRPr="00047731">
                                <w:rPr>
                                  <w:b/>
                                </w:rPr>
                                <w:t>Purpose:</w:t>
                              </w:r>
                              <w:r w:rsidRPr="00047731">
                                <w:t xml:space="preserve"> </w:t>
                              </w:r>
                              <w:r w:rsidRPr="00047731">
                                <w:rPr>
                                  <w:i/>
                                </w:rPr>
                                <w:t>Budget and financial advice, management and reporting</w:t>
                              </w:r>
                              <w:r>
                                <w:rPr>
                                  <w:i/>
                                </w:rPr>
                                <w:t xml:space="preserve"> </w:t>
                              </w:r>
                              <w:r w:rsidRPr="00047731">
                                <w:t>– support the government to deliver its fiscal target and policy objectives.</w:t>
                              </w:r>
                            </w:p>
                          </w:txbxContent>
                        </wps:txbx>
                        <wps:bodyPr rot="0" vert="horz" wrap="square" lIns="91440" tIns="45720" rIns="91440" bIns="45720" anchor="t" anchorCtr="0" upright="1">
                          <a:noAutofit/>
                        </wps:bodyPr>
                      </wps:wsp>
                      <wps:wsp>
                        <wps:cNvPr id="10" name="Text Box 36"/>
                        <wps:cNvSpPr txBox="1">
                          <a:spLocks noChangeArrowheads="1"/>
                        </wps:cNvSpPr>
                        <wps:spPr bwMode="auto">
                          <a:xfrm>
                            <a:off x="2636550" y="1147587"/>
                            <a:ext cx="2639342" cy="49701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8AD91B" w14:textId="77777777" w:rsidR="00DD1634" w:rsidRPr="00047731" w:rsidRDefault="00DD1634" w:rsidP="000A7DEC">
                              <w:pPr>
                                <w:pStyle w:val="TableText"/>
                              </w:pPr>
                              <w:r w:rsidRPr="00047731">
                                <w:rPr>
                                  <w:b/>
                                </w:rPr>
                                <w:t>Purpose:</w:t>
                              </w:r>
                              <w:r w:rsidRPr="00047731">
                                <w:t xml:space="preserve"> </w:t>
                              </w:r>
                              <w:r w:rsidRPr="00047731">
                                <w:rPr>
                                  <w:i/>
                                </w:rPr>
                                <w:t>Governance</w:t>
                              </w:r>
                              <w:r w:rsidRPr="00047731">
                                <w:t xml:space="preserve"> – foster leading public sector</w:t>
                              </w:r>
                              <w:r>
                                <w:t xml:space="preserve"> </w:t>
                              </w:r>
                              <w:r w:rsidRPr="00047731">
                                <w:t>practice.</w:t>
                              </w:r>
                            </w:p>
                          </w:txbxContent>
                        </wps:txbx>
                        <wps:bodyPr rot="0" vert="horz" wrap="square" lIns="91440" tIns="45720" rIns="91440" bIns="45720" anchor="t" anchorCtr="0" upright="1">
                          <a:noAutofit/>
                        </wps:bodyPr>
                      </wps:wsp>
                      <wps:wsp>
                        <wps:cNvPr id="11" name="Text Box 37"/>
                        <wps:cNvSpPr txBox="1">
                          <a:spLocks noChangeArrowheads="1"/>
                        </wps:cNvSpPr>
                        <wps:spPr bwMode="auto">
                          <a:xfrm>
                            <a:off x="2629350" y="1801453"/>
                            <a:ext cx="2646542" cy="59309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5E29D" w14:textId="77777777" w:rsidR="00DD1634" w:rsidRPr="00047731" w:rsidRDefault="00DD1634" w:rsidP="000A7DEC">
                              <w:pPr>
                                <w:pStyle w:val="TableText"/>
                              </w:pPr>
                              <w:r w:rsidRPr="00047731">
                                <w:rPr>
                                  <w:b/>
                                </w:rPr>
                                <w:t>Purpose:</w:t>
                              </w:r>
                              <w:r w:rsidRPr="00047731">
                                <w:t xml:space="preserve"> </w:t>
                              </w:r>
                              <w:r w:rsidRPr="00047731">
                                <w:rPr>
                                  <w:i/>
                                </w:rPr>
                                <w:t>Services</w:t>
                              </w:r>
                              <w:r w:rsidRPr="00047731">
                                <w:t xml:space="preserve"> – manage efficient, cost-effective services to, and for, the government.</w:t>
                              </w:r>
                            </w:p>
                          </w:txbxContent>
                        </wps:txbx>
                        <wps:bodyPr rot="0" vert="horz" wrap="square" lIns="91440" tIns="45720" rIns="91440" bIns="45720" anchor="t" anchorCtr="0" upright="1">
                          <a:noAutofit/>
                        </wps:bodyPr>
                      </wps:wsp>
                      <wps:wsp>
                        <wps:cNvPr id="12" name="Text Box 38"/>
                        <wps:cNvSpPr txBox="1">
                          <a:spLocks noChangeArrowheads="1"/>
                        </wps:cNvSpPr>
                        <wps:spPr bwMode="auto">
                          <a:xfrm>
                            <a:off x="157882" y="373896"/>
                            <a:ext cx="2050042" cy="49478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506527" w14:textId="77777777" w:rsidR="00DD1634" w:rsidRPr="0068762E" w:rsidRDefault="00DD1634" w:rsidP="000A7DEC">
                              <w:pPr>
                                <w:pStyle w:val="TableText-Small"/>
                                <w:ind w:left="0"/>
                              </w:pPr>
                              <w:r w:rsidRPr="00877B45">
                                <w:rPr>
                                  <w:b/>
                                </w:rPr>
                                <w:t>Program 1.1:</w:t>
                              </w:r>
                              <w:r w:rsidRPr="00877B45">
                                <w:t xml:space="preserve"> Budget and</w:t>
                              </w:r>
                              <w:r>
                                <w:br/>
                              </w:r>
                              <w:r w:rsidRPr="00877B45">
                                <w:t>Financial</w:t>
                              </w:r>
                              <w:r>
                                <w:t xml:space="preserve"> </w:t>
                              </w:r>
                              <w:r w:rsidRPr="00877B45">
                                <w:t>Management</w:t>
                              </w:r>
                            </w:p>
                          </w:txbxContent>
                        </wps:txbx>
                        <wps:bodyPr rot="0" vert="horz" wrap="square" lIns="91440" tIns="45720" rIns="91440" bIns="45720" anchor="ctr" anchorCtr="0" upright="1">
                          <a:noAutofit/>
                        </wps:bodyPr>
                      </wps:wsp>
                      <wps:wsp>
                        <wps:cNvPr id="13" name="Text Box 39"/>
                        <wps:cNvSpPr txBox="1">
                          <a:spLocks noChangeArrowheads="1"/>
                        </wps:cNvSpPr>
                        <wps:spPr bwMode="auto">
                          <a:xfrm>
                            <a:off x="157881" y="1486636"/>
                            <a:ext cx="2049817" cy="52793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916A0" w14:textId="77777777" w:rsidR="00DD1634" w:rsidRPr="00877B45" w:rsidRDefault="00DD1634" w:rsidP="000A7DEC">
                              <w:pPr>
                                <w:pStyle w:val="TableText"/>
                              </w:pPr>
                              <w:r w:rsidRPr="00877B45">
                                <w:rPr>
                                  <w:b/>
                                </w:rPr>
                                <w:t>Program 2.1:</w:t>
                              </w:r>
                              <w:r w:rsidRPr="00877B45">
                                <w:t xml:space="preserve"> Public Sector Governance</w:t>
                              </w:r>
                            </w:p>
                          </w:txbxContent>
                        </wps:txbx>
                        <wps:bodyPr rot="0" vert="horz" wrap="square" lIns="91440" tIns="45720" rIns="91440" bIns="45720" anchor="ctr" anchorCtr="0" upright="1">
                          <a:noAutofit/>
                        </wps:bodyPr>
                      </wps:wsp>
                      <wps:wsp>
                        <wps:cNvPr id="14" name="AutoShape 40" descr="Arrow from Program 2.1 Budget and Financial Management to Purpose: Budget and financial advice, management and reporting"/>
                        <wps:cNvCnPr>
                          <a:cxnSpLocks noChangeShapeType="1"/>
                          <a:stCxn id="12" idx="3"/>
                        </wps:cNvCnPr>
                        <wps:spPr bwMode="auto">
                          <a:xfrm>
                            <a:off x="2207924" y="621288"/>
                            <a:ext cx="421426"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15" name="Group 41" descr="Arrow from Program 2.1 Public Sector Governance to Purpose: Governance and Purpose: Services"/>
                        <wpg:cNvGrpSpPr>
                          <a:grpSpLocks/>
                        </wpg:cNvGrpSpPr>
                        <wpg:grpSpPr bwMode="auto">
                          <a:xfrm>
                            <a:off x="2207924" y="1396265"/>
                            <a:ext cx="428625" cy="701734"/>
                            <a:chOff x="5685" y="4464"/>
                            <a:chExt cx="675" cy="1159"/>
                          </a:xfrm>
                        </wpg:grpSpPr>
                        <wps:wsp>
                          <wps:cNvPr id="16" name="AutoShape 42"/>
                          <wps:cNvCnPr>
                            <a:cxnSpLocks noChangeShapeType="1"/>
                            <a:stCxn id="10" idx="1"/>
                            <a:endCxn id="11" idx="1"/>
                          </wps:cNvCnPr>
                          <wps:spPr bwMode="auto">
                            <a:xfrm rot="10800000" flipV="1">
                              <a:off x="6349" y="4464"/>
                              <a:ext cx="11" cy="1159"/>
                            </a:xfrm>
                            <a:prstGeom prst="bentConnector3">
                              <a:avLst>
                                <a:gd name="adj1" fmla="val 3275000"/>
                              </a:avLst>
                            </a:prstGeom>
                            <a:noFill/>
                            <a:ln w="9525">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43"/>
                          <wps:cNvCnPr>
                            <a:cxnSpLocks noChangeShapeType="1"/>
                            <a:stCxn id="13" idx="3"/>
                          </wps:cNvCnPr>
                          <wps:spPr bwMode="auto">
                            <a:xfrm flipV="1">
                              <a:off x="5685" y="5049"/>
                              <a:ext cx="311"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c:wpc>
                  </a:graphicData>
                </a:graphic>
                <wp14:sizeRelH relativeFrom="margin">
                  <wp14:pctWidth>0</wp14:pctWidth>
                </wp14:sizeRelH>
                <wp14:sizeRelV relativeFrom="margin">
                  <wp14:pctHeight>0</wp14:pctHeight>
                </wp14:sizeRelV>
              </wp:anchor>
            </w:drawing>
          </mc:Choice>
          <mc:Fallback>
            <w:pict>
              <v:group w14:anchorId="0D3C8084" id="Canvas 18" o:spid="_x0000_s1057" editas="canvas" style="position:absolute;margin-left:-.5pt;margin-top:45.85pt;width:428.85pt;height:203.55pt;z-index:-251658240;mso-position-horizontal-relative:margin;mso-position-vertical-relative:text;mso-width-relative:margin;mso-height-relative:margin" coordsize="54463,2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">
                <v:shape id="_x0000_s1058" type="#_x0000_t75" style="position:absolute;width:54463;height:25850;visibility:visible;mso-wrap-style:square" filled="t" fillcolor="#d8d8d8 [2732]" stroked="t" strokecolor="black [3213]">
                  <v:fill o:detectmouseclick="t"/>
                  <v:path o:connecttype="none"/>
                </v:shape>
                <v:shape id="Text Box 35" o:spid="_x0000_s1059" type="#_x0000_t202" style="position:absolute;left:26365;top:1461;width:26393;height:9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2E09A3A3" w14:textId="77777777" w:rsidR="00DD1634" w:rsidRPr="00047731" w:rsidRDefault="00DD1634" w:rsidP="000A7DEC">
                        <w:pPr>
                          <w:pStyle w:val="TableText"/>
                        </w:pPr>
                        <w:r w:rsidRPr="00047731">
                          <w:rPr>
                            <w:b/>
                          </w:rPr>
                          <w:t>Purpose:</w:t>
                        </w:r>
                        <w:r w:rsidRPr="00047731">
                          <w:t xml:space="preserve"> </w:t>
                        </w:r>
                        <w:r w:rsidRPr="00047731">
                          <w:rPr>
                            <w:i/>
                          </w:rPr>
                          <w:t>Budget and financial advice, management and reporting</w:t>
                        </w:r>
                        <w:r>
                          <w:rPr>
                            <w:i/>
                          </w:rPr>
                          <w:t xml:space="preserve"> </w:t>
                        </w:r>
                        <w:r w:rsidRPr="00047731">
                          <w:t>– support the government to deliver its fiscal target and policy objectives.</w:t>
                        </w:r>
                      </w:p>
                    </w:txbxContent>
                  </v:textbox>
                </v:shape>
                <v:shape id="Text Box 36" o:spid="_x0000_s1060" type="#_x0000_t202" style="position:absolute;left:26365;top:11475;width:26393;height:4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C8AD91B" w14:textId="77777777" w:rsidR="00DD1634" w:rsidRPr="00047731" w:rsidRDefault="00DD1634" w:rsidP="000A7DEC">
                        <w:pPr>
                          <w:pStyle w:val="TableText"/>
                        </w:pPr>
                        <w:r w:rsidRPr="00047731">
                          <w:rPr>
                            <w:b/>
                          </w:rPr>
                          <w:t>Purpose:</w:t>
                        </w:r>
                        <w:r w:rsidRPr="00047731">
                          <w:t xml:space="preserve"> </w:t>
                        </w:r>
                        <w:r w:rsidRPr="00047731">
                          <w:rPr>
                            <w:i/>
                          </w:rPr>
                          <w:t>Governance</w:t>
                        </w:r>
                        <w:r w:rsidRPr="00047731">
                          <w:t xml:space="preserve"> – foster leading public sector</w:t>
                        </w:r>
                        <w:r>
                          <w:t xml:space="preserve"> </w:t>
                        </w:r>
                        <w:r w:rsidRPr="00047731">
                          <w:t>practice.</w:t>
                        </w:r>
                      </w:p>
                    </w:txbxContent>
                  </v:textbox>
                </v:shape>
                <v:shape id="Text Box 37" o:spid="_x0000_s1061" type="#_x0000_t202" style="position:absolute;left:26293;top:18014;width:26465;height:5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765E29D" w14:textId="77777777" w:rsidR="00DD1634" w:rsidRPr="00047731" w:rsidRDefault="00DD1634" w:rsidP="000A7DEC">
                        <w:pPr>
                          <w:pStyle w:val="TableText"/>
                        </w:pPr>
                        <w:r w:rsidRPr="00047731">
                          <w:rPr>
                            <w:b/>
                          </w:rPr>
                          <w:t>Purpose:</w:t>
                        </w:r>
                        <w:r w:rsidRPr="00047731">
                          <w:t xml:space="preserve"> </w:t>
                        </w:r>
                        <w:r w:rsidRPr="00047731">
                          <w:rPr>
                            <w:i/>
                          </w:rPr>
                          <w:t>Services</w:t>
                        </w:r>
                        <w:r w:rsidRPr="00047731">
                          <w:t xml:space="preserve"> – manage efficient, cost-effective services to, and for, the government.</w:t>
                        </w:r>
                      </w:p>
                    </w:txbxContent>
                  </v:textbox>
                </v:shape>
                <v:shape id="Text Box 38" o:spid="_x0000_s1062" type="#_x0000_t202" style="position:absolute;left:1578;top:3738;width:20501;height:4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">
                  <v:textbox>
                    <w:txbxContent>
                      <w:p w14:paraId="7E506527" w14:textId="77777777" w:rsidR="00DD1634" w:rsidRPr="0068762E" w:rsidRDefault="00DD1634" w:rsidP="000A7DEC">
                        <w:pPr>
                          <w:pStyle w:val="TableText-Small"/>
                          <w:ind w:left="0"/>
                        </w:pPr>
                        <w:r w:rsidRPr="00877B45">
                          <w:rPr>
                            <w:b/>
                          </w:rPr>
                          <w:t>Program 1.1:</w:t>
                        </w:r>
                        <w:r w:rsidRPr="00877B45">
                          <w:t xml:space="preserve"> Budget and</w:t>
                        </w:r>
                        <w:r>
                          <w:br/>
                        </w:r>
                        <w:r w:rsidRPr="00877B45">
                          <w:t>Financial</w:t>
                        </w:r>
                        <w:r>
                          <w:t xml:space="preserve"> </w:t>
                        </w:r>
                        <w:r w:rsidRPr="00877B45">
                          <w:t>Management</w:t>
                        </w:r>
                      </w:p>
                    </w:txbxContent>
                  </v:textbox>
                </v:shape>
                <v:shape id="Text Box 39" o:spid="_x0000_s1063" type="#_x0000_t202" style="position:absolute;left:1578;top:14866;width:20498;height:5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">
                  <v:textbox>
                    <w:txbxContent>
                      <w:p w14:paraId="1F6916A0" w14:textId="77777777" w:rsidR="00DD1634" w:rsidRPr="00877B45" w:rsidRDefault="00DD1634" w:rsidP="000A7DEC">
                        <w:pPr>
                          <w:pStyle w:val="TableText"/>
                        </w:pPr>
                        <w:r w:rsidRPr="00877B45">
                          <w:rPr>
                            <w:b/>
                          </w:rPr>
                          <w:t>Program 2.1:</w:t>
                        </w:r>
                        <w:r w:rsidRPr="00877B45">
                          <w:t xml:space="preserve"> Public Sector Governance</w:t>
                        </w:r>
                      </w:p>
                    </w:txbxContent>
                  </v:textbox>
                </v:shape>
                <v:shape id="AutoShape 40" o:spid="_x0000_s1064" type="#_x0000_t32" alt="Arrow from Program 2.1 Budget and Financial Management to Purpose: Budget and financial advice, management and reporting" style="position:absolute;left:22079;top:6212;width:42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group id="Group 41" o:spid="_x0000_s1065" alt="Arrow from Program 2.1 Public Sector Governance to Purpose: Governance and Purpose: Services" style="position:absolute;left:22079;top:13962;width:4286;height:7017" coordorigin="5685,4464" coordsize="675,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42" o:spid="_x0000_s1066" type="#_x0000_t34" style="position:absolute;left:6349;top:4464;width:11;height:115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" adj="707400">
                    <v:stroke startarrow="block" endarrow="block"/>
                  </v:shape>
                  <v:shape id="AutoShape 43" o:spid="_x0000_s1067" type="#_x0000_t32" style="position:absolute;left:5685;top:5049;width:311;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"/>
                </v:group>
                <w10:wrap type="topAndBottom" anchorx="margin"/>
              </v:group>
            </w:pict>
          </mc:Fallback>
        </mc:AlternateContent>
      </w:r>
      <w:r w:rsidR="00FA0945" w:rsidRPr="000C5235">
        <w:t>How a program maps to purposes described in a corporate plan will depend on an entity’s specific circumstance. Programs may map to more than one purpose.</w:t>
      </w:r>
    </w:p>
    <w:p w14:paraId="450BE075" w14:textId="77777777" w:rsidR="00FA0945" w:rsidRPr="000C5235" w:rsidRDefault="00E02C97" w:rsidP="000A7DEC">
      <w:r w:rsidRPr="000C5235">
        <w:br/>
      </w:r>
      <w:r w:rsidR="0039310C" w:rsidRPr="000C5235">
        <w:t>If entities revise their purposes,</w:t>
      </w:r>
      <w:r w:rsidR="00FA0945" w:rsidRPr="000C5235">
        <w:t xml:space="preserve"> they should include a footnote indicating the purposes ha</w:t>
      </w:r>
      <w:r w:rsidR="00611E25" w:rsidRPr="000C5235">
        <w:t xml:space="preserve">ve been changed since their </w:t>
      </w:r>
      <w:r w:rsidR="000041E1" w:rsidRPr="000C5235">
        <w:t>2019-20</w:t>
      </w:r>
      <w:r w:rsidR="00FA0945" w:rsidRPr="000C5235">
        <w:t xml:space="preserve"> corporate plan was published, and the new purpos</w:t>
      </w:r>
      <w:r w:rsidR="00611E25" w:rsidRPr="000C5235">
        <w:t xml:space="preserve">es will be reflected in the </w:t>
      </w:r>
      <w:r w:rsidR="000A0A1E" w:rsidRPr="000C5235">
        <w:t>2020-21</w:t>
      </w:r>
      <w:r w:rsidR="00FA0945" w:rsidRPr="000C5235">
        <w:t xml:space="preserve"> corporate plan to be published by 31</w:t>
      </w:r>
      <w:r w:rsidR="003276FB" w:rsidRPr="000C5235">
        <w:t> </w:t>
      </w:r>
      <w:r w:rsidR="00FA0945" w:rsidRPr="000C5235">
        <w:t>August</w:t>
      </w:r>
      <w:r w:rsidR="003276FB" w:rsidRPr="000C5235">
        <w:t> </w:t>
      </w:r>
      <w:r w:rsidR="000A0A1E" w:rsidRPr="000C5235">
        <w:t>2020.</w:t>
      </w:r>
    </w:p>
    <w:p w14:paraId="73AEBD05" w14:textId="77777777" w:rsidR="00CF269C" w:rsidRPr="000C5235" w:rsidRDefault="0039310C" w:rsidP="000A7DEC">
      <w:r w:rsidRPr="000C5235">
        <w:t>For further information on purposes, refer to</w:t>
      </w:r>
      <w:r w:rsidRPr="000C5235">
        <w:rPr>
          <w:i/>
        </w:rPr>
        <w:t xml:space="preserve"> RMG 132: Corporate plans for Commonwealth entities</w:t>
      </w:r>
      <w:r w:rsidRPr="000C5235">
        <w:t xml:space="preserve"> </w:t>
      </w:r>
      <w:hyperlink r:id="rId62" w:history="1">
        <w:r w:rsidR="00591FAF" w:rsidRPr="000C5235">
          <w:rPr>
            <w:rStyle w:val="Hyperlink"/>
          </w:rPr>
          <w:t>https://www.finance.gov.au/publications/resource-management-guides</w:t>
        </w:r>
      </w:hyperlink>
      <w:r w:rsidRPr="000C5235">
        <w:t>.</w:t>
      </w:r>
    </w:p>
    <w:p w14:paraId="119664D3" w14:textId="77777777" w:rsidR="00CF269C" w:rsidRPr="000C5235" w:rsidRDefault="00CF269C" w:rsidP="000A7DEC">
      <w:pPr>
        <w:pStyle w:val="Boxed2Text"/>
      </w:pPr>
      <w:r w:rsidRPr="000C5235">
        <w:t>Performance information should be presented clearly and consistently (and be reconcilable) between an entity’s PB Statements, corporate plan and annual report within a reporting cycle.</w:t>
      </w:r>
    </w:p>
    <w:p w14:paraId="51A6BDCE" w14:textId="77777777" w:rsidR="003276FB" w:rsidRPr="000C5235" w:rsidRDefault="00CF269C" w:rsidP="000A7DEC">
      <w:pPr>
        <w:pStyle w:val="Boxed2Text"/>
      </w:pPr>
      <w:r w:rsidRPr="000C5235">
        <w:t>A clear read across reporting documents allows performance information in different places—and different levels of granularity—to be combined to provide stakeholders a complete picture of an entity’s planned and actual performance.</w:t>
      </w:r>
    </w:p>
    <w:p w14:paraId="04CC68CC" w14:textId="77777777" w:rsidR="00ED598B" w:rsidRPr="000C5235" w:rsidRDefault="00FA0945" w:rsidP="000A7DEC">
      <w:r w:rsidRPr="000C5235">
        <w:t xml:space="preserve">Entities are reminded that there is an expectation that corporate plans </w:t>
      </w:r>
      <w:r w:rsidR="009B490C" w:rsidRPr="000C5235">
        <w:t>will be</w:t>
      </w:r>
      <w:r w:rsidRPr="000C5235">
        <w:t xml:space="preserve"> updated and published as soon as practical following any material changes that affect their purposes, how these purposes are fulfilled or the </w:t>
      </w:r>
      <w:r w:rsidR="009B490C" w:rsidRPr="000C5235">
        <w:t xml:space="preserve">operating context </w:t>
      </w:r>
      <w:r w:rsidRPr="000C5235">
        <w:t>in which the entity operates. Such material changes are likely to include any changes noted in PB Statements that create new programs or modify significant existing programs.</w:t>
      </w:r>
    </w:p>
    <w:p w14:paraId="30DD0F3C" w14:textId="77777777" w:rsidR="00ED598B" w:rsidRPr="000C5235" w:rsidRDefault="00ED598B">
      <w:pPr>
        <w:suppressAutoHyphens w:val="0"/>
        <w:spacing w:before="0" w:after="120" w:line="440" w:lineRule="atLeast"/>
      </w:pPr>
      <w:r w:rsidRPr="000C5235">
        <w:br w:type="page"/>
      </w:r>
    </w:p>
    <w:p w14:paraId="2B9E4252" w14:textId="77777777" w:rsidR="00FA0945" w:rsidRPr="000C5235" w:rsidRDefault="00FA0945" w:rsidP="000A7DEC">
      <w:pPr>
        <w:pStyle w:val="Heading1Numbered"/>
        <w:rPr>
          <w:rFonts w:ascii="Arial" w:eastAsia="Times New Roman" w:hAnsi="Arial"/>
          <w:spacing w:val="-6"/>
          <w:szCs w:val="34"/>
        </w:rPr>
      </w:pPr>
      <w:bookmarkStart w:id="549" w:name="_Toc47369902"/>
      <w:bookmarkStart w:id="550" w:name="_Toc534519177"/>
      <w:bookmarkStart w:id="551" w:name="_Toc534520087"/>
      <w:bookmarkStart w:id="552" w:name="_Toc534520357"/>
      <w:bookmarkStart w:id="553" w:name="_Toc534527569"/>
      <w:bookmarkStart w:id="554" w:name="_Toc534528299"/>
      <w:bookmarkStart w:id="555" w:name="_Toc534803520"/>
      <w:bookmarkStart w:id="556" w:name="_Toc534814211"/>
      <w:bookmarkStart w:id="557" w:name="_Toc536108584"/>
      <w:bookmarkStart w:id="558" w:name="_Toc534519178"/>
      <w:bookmarkStart w:id="559" w:name="_Toc534520088"/>
      <w:bookmarkStart w:id="560" w:name="_Toc534520358"/>
      <w:bookmarkStart w:id="561" w:name="_Toc534527570"/>
      <w:bookmarkStart w:id="562" w:name="_Toc534528300"/>
      <w:bookmarkStart w:id="563" w:name="_Toc534803521"/>
      <w:bookmarkStart w:id="564" w:name="_Toc534814212"/>
      <w:bookmarkStart w:id="565" w:name="_Toc536108585"/>
      <w:bookmarkStart w:id="566" w:name="_Toc29980701"/>
      <w:bookmarkStart w:id="567" w:name="_Toc30405589"/>
      <w:bookmarkStart w:id="568" w:name="_Toc30581330"/>
      <w:bookmarkStart w:id="569" w:name="_Toc32829992"/>
      <w:bookmarkStart w:id="570" w:name="_Toc32917499"/>
      <w:bookmarkStart w:id="571" w:name="_Toc32918305"/>
      <w:bookmarkStart w:id="572" w:name="_Toc32999688"/>
      <w:bookmarkStart w:id="573" w:name="_Toc33099412"/>
      <w:bookmarkStart w:id="574" w:name="_Toc33196037"/>
      <w:bookmarkStart w:id="575" w:name="_Toc33196339"/>
      <w:bookmarkStart w:id="576" w:name="_Toc29980702"/>
      <w:bookmarkStart w:id="577" w:name="_Toc30405590"/>
      <w:bookmarkStart w:id="578" w:name="_Toc30581331"/>
      <w:bookmarkStart w:id="579" w:name="_Toc32829993"/>
      <w:bookmarkStart w:id="580" w:name="_Toc32917500"/>
      <w:bookmarkStart w:id="581" w:name="_Toc32918306"/>
      <w:bookmarkStart w:id="582" w:name="_Toc32999689"/>
      <w:bookmarkStart w:id="583" w:name="_Toc33099413"/>
      <w:bookmarkStart w:id="584" w:name="_Toc33196038"/>
      <w:bookmarkStart w:id="585" w:name="_Toc33196340"/>
      <w:bookmarkStart w:id="586" w:name="_Toc29980703"/>
      <w:bookmarkStart w:id="587" w:name="_Toc30405591"/>
      <w:bookmarkStart w:id="588" w:name="_Toc30581332"/>
      <w:bookmarkStart w:id="589" w:name="_Toc32829994"/>
      <w:bookmarkStart w:id="590" w:name="_Toc32917501"/>
      <w:bookmarkStart w:id="591" w:name="_Toc32918307"/>
      <w:bookmarkStart w:id="592" w:name="_Toc32999690"/>
      <w:bookmarkStart w:id="593" w:name="_Toc33099414"/>
      <w:bookmarkStart w:id="594" w:name="_Toc33196039"/>
      <w:bookmarkStart w:id="595" w:name="_Toc33196341"/>
      <w:bookmarkStart w:id="596" w:name="_Toc29980704"/>
      <w:bookmarkStart w:id="597" w:name="_Toc30405592"/>
      <w:bookmarkStart w:id="598" w:name="_Toc30581333"/>
      <w:bookmarkStart w:id="599" w:name="_Toc32829995"/>
      <w:bookmarkStart w:id="600" w:name="_Toc32917502"/>
      <w:bookmarkStart w:id="601" w:name="_Toc32918308"/>
      <w:bookmarkStart w:id="602" w:name="_Toc32999691"/>
      <w:bookmarkStart w:id="603" w:name="_Toc33099415"/>
      <w:bookmarkStart w:id="604" w:name="_Toc33196040"/>
      <w:bookmarkStart w:id="605" w:name="_Toc33196342"/>
      <w:bookmarkStart w:id="606" w:name="_Toc29980705"/>
      <w:bookmarkStart w:id="607" w:name="_Toc30405593"/>
      <w:bookmarkStart w:id="608" w:name="_Toc30581334"/>
      <w:bookmarkStart w:id="609" w:name="_Toc32829996"/>
      <w:bookmarkStart w:id="610" w:name="_Toc32917503"/>
      <w:bookmarkStart w:id="611" w:name="_Toc32918309"/>
      <w:bookmarkStart w:id="612" w:name="_Toc32999692"/>
      <w:bookmarkStart w:id="613" w:name="_Toc33099416"/>
      <w:bookmarkStart w:id="614" w:name="_Toc33196041"/>
      <w:bookmarkStart w:id="615" w:name="_Toc33196343"/>
      <w:bookmarkStart w:id="616" w:name="_Toc29980706"/>
      <w:bookmarkStart w:id="617" w:name="_Toc30405594"/>
      <w:bookmarkStart w:id="618" w:name="_Toc30581335"/>
      <w:bookmarkStart w:id="619" w:name="_Toc32829997"/>
      <w:bookmarkStart w:id="620" w:name="_Toc32917504"/>
      <w:bookmarkStart w:id="621" w:name="_Toc32918310"/>
      <w:bookmarkStart w:id="622" w:name="_Toc32999693"/>
      <w:bookmarkStart w:id="623" w:name="_Toc33099417"/>
      <w:bookmarkStart w:id="624" w:name="_Toc33196042"/>
      <w:bookmarkStart w:id="625" w:name="_Toc33196344"/>
      <w:bookmarkStart w:id="626" w:name="_Toc29980707"/>
      <w:bookmarkStart w:id="627" w:name="_Toc30405595"/>
      <w:bookmarkStart w:id="628" w:name="_Toc30581336"/>
      <w:bookmarkStart w:id="629" w:name="_Toc32829998"/>
      <w:bookmarkStart w:id="630" w:name="_Toc32917505"/>
      <w:bookmarkStart w:id="631" w:name="_Toc32918311"/>
      <w:bookmarkStart w:id="632" w:name="_Toc32999694"/>
      <w:bookmarkStart w:id="633" w:name="_Toc33099418"/>
      <w:bookmarkStart w:id="634" w:name="_Toc33196043"/>
      <w:bookmarkStart w:id="635" w:name="_Toc33196345"/>
      <w:bookmarkStart w:id="636" w:name="_Toc29980708"/>
      <w:bookmarkStart w:id="637" w:name="_Toc30405596"/>
      <w:bookmarkStart w:id="638" w:name="_Toc30581337"/>
      <w:bookmarkStart w:id="639" w:name="_Toc32829999"/>
      <w:bookmarkStart w:id="640" w:name="_Toc32917506"/>
      <w:bookmarkStart w:id="641" w:name="_Toc32918312"/>
      <w:bookmarkStart w:id="642" w:name="_Toc32999695"/>
      <w:bookmarkStart w:id="643" w:name="_Toc33099419"/>
      <w:bookmarkStart w:id="644" w:name="_Toc33196044"/>
      <w:bookmarkStart w:id="645" w:name="_Toc33196346"/>
      <w:bookmarkStart w:id="646" w:name="_Toc29980709"/>
      <w:bookmarkStart w:id="647" w:name="_Toc30405597"/>
      <w:bookmarkStart w:id="648" w:name="_Toc30581338"/>
      <w:bookmarkStart w:id="649" w:name="_Toc32830000"/>
      <w:bookmarkStart w:id="650" w:name="_Toc32917507"/>
      <w:bookmarkStart w:id="651" w:name="_Toc32918313"/>
      <w:bookmarkStart w:id="652" w:name="_Toc32999696"/>
      <w:bookmarkStart w:id="653" w:name="_Toc33099420"/>
      <w:bookmarkStart w:id="654" w:name="_Toc33196045"/>
      <w:bookmarkStart w:id="655" w:name="_Toc33196347"/>
      <w:bookmarkStart w:id="656" w:name="_Toc29980710"/>
      <w:bookmarkStart w:id="657" w:name="_Toc30405598"/>
      <w:bookmarkStart w:id="658" w:name="_Toc30581339"/>
      <w:bookmarkStart w:id="659" w:name="_Toc32830001"/>
      <w:bookmarkStart w:id="660" w:name="_Toc32917508"/>
      <w:bookmarkStart w:id="661" w:name="_Toc32918314"/>
      <w:bookmarkStart w:id="662" w:name="_Toc32999697"/>
      <w:bookmarkStart w:id="663" w:name="_Toc33099421"/>
      <w:bookmarkStart w:id="664" w:name="_Toc33196046"/>
      <w:bookmarkStart w:id="665" w:name="_Toc33196348"/>
      <w:bookmarkStart w:id="666" w:name="_Toc29980711"/>
      <w:bookmarkStart w:id="667" w:name="_Toc30405599"/>
      <w:bookmarkStart w:id="668" w:name="_Toc30581340"/>
      <w:bookmarkStart w:id="669" w:name="_Toc32830002"/>
      <w:bookmarkStart w:id="670" w:name="_Toc32917509"/>
      <w:bookmarkStart w:id="671" w:name="_Toc32918315"/>
      <w:bookmarkStart w:id="672" w:name="_Toc32999698"/>
      <w:bookmarkStart w:id="673" w:name="_Toc33099422"/>
      <w:bookmarkStart w:id="674" w:name="_Toc33196047"/>
      <w:bookmarkStart w:id="675" w:name="_Toc33196349"/>
      <w:bookmarkStart w:id="676" w:name="_Toc29980712"/>
      <w:bookmarkStart w:id="677" w:name="_Toc30405600"/>
      <w:bookmarkStart w:id="678" w:name="_Toc30581341"/>
      <w:bookmarkStart w:id="679" w:name="_Toc32830003"/>
      <w:bookmarkStart w:id="680" w:name="_Toc32917510"/>
      <w:bookmarkStart w:id="681" w:name="_Toc32918316"/>
      <w:bookmarkStart w:id="682" w:name="_Toc32999699"/>
      <w:bookmarkStart w:id="683" w:name="_Toc33099423"/>
      <w:bookmarkStart w:id="684" w:name="_Toc33196048"/>
      <w:bookmarkStart w:id="685" w:name="_Toc33196350"/>
      <w:bookmarkStart w:id="686" w:name="_Toc29980713"/>
      <w:bookmarkStart w:id="687" w:name="_Toc30405601"/>
      <w:bookmarkStart w:id="688" w:name="_Toc30581342"/>
      <w:bookmarkStart w:id="689" w:name="_Toc32830004"/>
      <w:bookmarkStart w:id="690" w:name="_Toc32917511"/>
      <w:bookmarkStart w:id="691" w:name="_Toc32918317"/>
      <w:bookmarkStart w:id="692" w:name="_Toc32999700"/>
      <w:bookmarkStart w:id="693" w:name="_Toc33099424"/>
      <w:bookmarkStart w:id="694" w:name="_Toc33196049"/>
      <w:bookmarkStart w:id="695" w:name="_Toc33196351"/>
      <w:bookmarkStart w:id="696" w:name="_Toc29980714"/>
      <w:bookmarkStart w:id="697" w:name="_Toc30405602"/>
      <w:bookmarkStart w:id="698" w:name="_Toc30581343"/>
      <w:bookmarkStart w:id="699" w:name="_Toc32830005"/>
      <w:bookmarkStart w:id="700" w:name="_Toc32917512"/>
      <w:bookmarkStart w:id="701" w:name="_Toc32918318"/>
      <w:bookmarkStart w:id="702" w:name="_Toc32999701"/>
      <w:bookmarkStart w:id="703" w:name="_Toc33099425"/>
      <w:bookmarkStart w:id="704" w:name="_Toc33196050"/>
      <w:bookmarkStart w:id="705" w:name="_Toc33196352"/>
      <w:bookmarkStart w:id="706" w:name="_Toc29980715"/>
      <w:bookmarkStart w:id="707" w:name="_Toc30405603"/>
      <w:bookmarkStart w:id="708" w:name="_Toc30581344"/>
      <w:bookmarkStart w:id="709" w:name="_Toc32830006"/>
      <w:bookmarkStart w:id="710" w:name="_Toc32917513"/>
      <w:bookmarkStart w:id="711" w:name="_Toc32918319"/>
      <w:bookmarkStart w:id="712" w:name="_Toc32999702"/>
      <w:bookmarkStart w:id="713" w:name="_Toc33099426"/>
      <w:bookmarkStart w:id="714" w:name="_Toc33196051"/>
      <w:bookmarkStart w:id="715" w:name="_Toc33196353"/>
      <w:bookmarkStart w:id="716" w:name="_Toc29980716"/>
      <w:bookmarkStart w:id="717" w:name="_Toc30405604"/>
      <w:bookmarkStart w:id="718" w:name="_Toc30581345"/>
      <w:bookmarkStart w:id="719" w:name="_Toc32830007"/>
      <w:bookmarkStart w:id="720" w:name="_Toc32917514"/>
      <w:bookmarkStart w:id="721" w:name="_Toc32918320"/>
      <w:bookmarkStart w:id="722" w:name="_Toc32999703"/>
      <w:bookmarkStart w:id="723" w:name="_Toc33099427"/>
      <w:bookmarkStart w:id="724" w:name="_Toc33196052"/>
      <w:bookmarkStart w:id="725" w:name="_Toc33196354"/>
      <w:bookmarkStart w:id="726" w:name="_Toc29980717"/>
      <w:bookmarkStart w:id="727" w:name="_Toc30405605"/>
      <w:bookmarkStart w:id="728" w:name="_Toc30581346"/>
      <w:bookmarkStart w:id="729" w:name="_Toc32830008"/>
      <w:bookmarkStart w:id="730" w:name="_Toc32917515"/>
      <w:bookmarkStart w:id="731" w:name="_Toc32918321"/>
      <w:bookmarkStart w:id="732" w:name="_Toc32999704"/>
      <w:bookmarkStart w:id="733" w:name="_Toc33099428"/>
      <w:bookmarkStart w:id="734" w:name="_Toc33196053"/>
      <w:bookmarkStart w:id="735" w:name="_Toc33196355"/>
      <w:bookmarkStart w:id="736" w:name="_Toc29980718"/>
      <w:bookmarkStart w:id="737" w:name="_Toc30405606"/>
      <w:bookmarkStart w:id="738" w:name="_Toc30581347"/>
      <w:bookmarkStart w:id="739" w:name="_Toc32830009"/>
      <w:bookmarkStart w:id="740" w:name="_Toc32917516"/>
      <w:bookmarkStart w:id="741" w:name="_Toc32918322"/>
      <w:bookmarkStart w:id="742" w:name="_Toc32999705"/>
      <w:bookmarkStart w:id="743" w:name="_Toc33099429"/>
      <w:bookmarkStart w:id="744" w:name="_Toc33196054"/>
      <w:bookmarkStart w:id="745" w:name="_Toc33196356"/>
      <w:bookmarkStart w:id="746" w:name="_Toc29980719"/>
      <w:bookmarkStart w:id="747" w:name="_Toc30405607"/>
      <w:bookmarkStart w:id="748" w:name="_Toc30581348"/>
      <w:bookmarkStart w:id="749" w:name="_Toc32830010"/>
      <w:bookmarkStart w:id="750" w:name="_Toc32917517"/>
      <w:bookmarkStart w:id="751" w:name="_Toc32918323"/>
      <w:bookmarkStart w:id="752" w:name="_Toc32999706"/>
      <w:bookmarkStart w:id="753" w:name="_Toc33099430"/>
      <w:bookmarkStart w:id="754" w:name="_Toc33196055"/>
      <w:bookmarkStart w:id="755" w:name="_Toc33196357"/>
      <w:bookmarkStart w:id="756" w:name="_Toc29980720"/>
      <w:bookmarkStart w:id="757" w:name="_Toc30405608"/>
      <w:bookmarkStart w:id="758" w:name="_Toc30581349"/>
      <w:bookmarkStart w:id="759" w:name="_Toc32830011"/>
      <w:bookmarkStart w:id="760" w:name="_Toc32917518"/>
      <w:bookmarkStart w:id="761" w:name="_Toc32918324"/>
      <w:bookmarkStart w:id="762" w:name="_Toc32999707"/>
      <w:bookmarkStart w:id="763" w:name="_Toc33099431"/>
      <w:bookmarkStart w:id="764" w:name="_Toc33196056"/>
      <w:bookmarkStart w:id="765" w:name="_Toc33196358"/>
      <w:bookmarkStart w:id="766" w:name="_Toc29980721"/>
      <w:bookmarkStart w:id="767" w:name="_Toc30405609"/>
      <w:bookmarkStart w:id="768" w:name="_Toc30581350"/>
      <w:bookmarkStart w:id="769" w:name="_Toc32830012"/>
      <w:bookmarkStart w:id="770" w:name="_Toc32917519"/>
      <w:bookmarkStart w:id="771" w:name="_Toc32918325"/>
      <w:bookmarkStart w:id="772" w:name="_Toc32999708"/>
      <w:bookmarkStart w:id="773" w:name="_Toc33099432"/>
      <w:bookmarkStart w:id="774" w:name="_Toc33196057"/>
      <w:bookmarkStart w:id="775" w:name="_Toc33196359"/>
      <w:bookmarkStart w:id="776" w:name="_Toc29980722"/>
      <w:bookmarkStart w:id="777" w:name="_Toc30405610"/>
      <w:bookmarkStart w:id="778" w:name="_Toc30581351"/>
      <w:bookmarkStart w:id="779" w:name="_Toc32830013"/>
      <w:bookmarkStart w:id="780" w:name="_Toc32917520"/>
      <w:bookmarkStart w:id="781" w:name="_Toc32918326"/>
      <w:bookmarkStart w:id="782" w:name="_Toc32999709"/>
      <w:bookmarkStart w:id="783" w:name="_Toc33099433"/>
      <w:bookmarkStart w:id="784" w:name="_Toc33196058"/>
      <w:bookmarkStart w:id="785" w:name="_Toc33196360"/>
      <w:bookmarkStart w:id="786" w:name="_Toc29980723"/>
      <w:bookmarkStart w:id="787" w:name="_Toc30405611"/>
      <w:bookmarkStart w:id="788" w:name="_Toc30581352"/>
      <w:bookmarkStart w:id="789" w:name="_Toc32830014"/>
      <w:bookmarkStart w:id="790" w:name="_Toc32917521"/>
      <w:bookmarkStart w:id="791" w:name="_Toc32918327"/>
      <w:bookmarkStart w:id="792" w:name="_Toc32999710"/>
      <w:bookmarkStart w:id="793" w:name="_Toc33099434"/>
      <w:bookmarkStart w:id="794" w:name="_Toc33196059"/>
      <w:bookmarkStart w:id="795" w:name="_Toc33196361"/>
      <w:bookmarkStart w:id="796" w:name="_Toc29980724"/>
      <w:bookmarkStart w:id="797" w:name="_Toc30405612"/>
      <w:bookmarkStart w:id="798" w:name="_Toc30581353"/>
      <w:bookmarkStart w:id="799" w:name="_Toc32830015"/>
      <w:bookmarkStart w:id="800" w:name="_Toc32917522"/>
      <w:bookmarkStart w:id="801" w:name="_Toc32918328"/>
      <w:bookmarkStart w:id="802" w:name="_Toc32999711"/>
      <w:bookmarkStart w:id="803" w:name="_Toc33099435"/>
      <w:bookmarkStart w:id="804" w:name="_Toc33196060"/>
      <w:bookmarkStart w:id="805" w:name="_Toc33196362"/>
      <w:bookmarkStart w:id="806" w:name="_Toc534458894"/>
      <w:bookmarkStart w:id="807" w:name="_Toc534459683"/>
      <w:bookmarkStart w:id="808" w:name="_Toc534519180"/>
      <w:bookmarkStart w:id="809" w:name="_Toc534520090"/>
      <w:bookmarkStart w:id="810" w:name="_Toc534520360"/>
      <w:bookmarkStart w:id="811" w:name="_Toc534527572"/>
      <w:bookmarkStart w:id="812" w:name="_Toc534528302"/>
      <w:bookmarkStart w:id="813" w:name="_Toc534803523"/>
      <w:bookmarkStart w:id="814" w:name="_Toc534814214"/>
      <w:bookmarkStart w:id="815" w:name="_Toc536108587"/>
      <w:bookmarkStart w:id="816" w:name="_Toc536802132"/>
      <w:bookmarkStart w:id="817" w:name="_Toc422731"/>
      <w:bookmarkStart w:id="818" w:name="_Toc411852692"/>
      <w:bookmarkStart w:id="819" w:name="_Toc534382573"/>
      <w:bookmarkStart w:id="820" w:name="_Toc47951251"/>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0C5235">
        <w:rPr>
          <w:rFonts w:eastAsia="Times New Roman"/>
        </w:rPr>
        <w:t>Budgeted financial statements</w:t>
      </w:r>
      <w:bookmarkEnd w:id="818"/>
      <w:bookmarkEnd w:id="819"/>
      <w:bookmarkEnd w:id="820"/>
    </w:p>
    <w:p w14:paraId="71630F3D" w14:textId="77777777" w:rsidR="00DF675F" w:rsidRPr="000C5235" w:rsidRDefault="00FA0945" w:rsidP="000A7DEC">
      <w:r w:rsidRPr="000C5235">
        <w:t>The budgeted financial statements section of the PB Statements provides readers with financial information about the entity’s operations over the budget and three forward years. They also include estimated actual information for the current financial year.</w:t>
      </w:r>
    </w:p>
    <w:p w14:paraId="004C93FF" w14:textId="77777777" w:rsidR="006541D7" w:rsidRPr="000C5235" w:rsidRDefault="006541D7" w:rsidP="006541D7">
      <w:r w:rsidRPr="000C5235">
        <w:t>Section 3 also provides a linkage between an entity’s forecast resources and its forecast expenditure in achieving its outcomes.</w:t>
      </w:r>
    </w:p>
    <w:p w14:paraId="14D6426E" w14:textId="77777777" w:rsidR="006541D7" w:rsidRPr="000C5235" w:rsidRDefault="006541D7" w:rsidP="006541D7">
      <w:r w:rsidRPr="000C5235">
        <w:t>Readers are also able to compare information in the Budgeted financial statements to the financial statements published in an entity’s annual report to form a view on the financial performance of the entity.</w:t>
      </w:r>
    </w:p>
    <w:p w14:paraId="7ABF308E" w14:textId="77777777" w:rsidR="00FA0945" w:rsidRPr="000C5235" w:rsidRDefault="00FA0945" w:rsidP="000A7DEC">
      <w:r w:rsidRPr="000C5235">
        <w:t xml:space="preserve">Entities should, to the extent that it is possible in an estimates context, be consistent in preparing their budgeted financial statements, applying the same accounting assumptions and processes that they used at Budget and expect to use in preparing the financial statements to be included in the </w:t>
      </w:r>
      <w:r w:rsidR="004D3574" w:rsidRPr="000C5235">
        <w:t>2020-21</w:t>
      </w:r>
      <w:r w:rsidRPr="000C5235">
        <w:t xml:space="preserve"> Annual Report.</w:t>
      </w:r>
    </w:p>
    <w:p w14:paraId="13B6A172" w14:textId="77777777" w:rsidR="00FA0945" w:rsidRPr="000C5235" w:rsidRDefault="00FA0945" w:rsidP="000A7DEC">
      <w:r w:rsidRPr="000C5235">
        <w:t xml:space="preserve">Entities are to refer to, and follow the Public Governance, Performance and Accountability (Financial Reporting) Rule 2015, the </w:t>
      </w:r>
      <w:r w:rsidR="004D3574" w:rsidRPr="000C5235">
        <w:rPr>
          <w:i/>
        </w:rPr>
        <w:t xml:space="preserve">RMG 125 </w:t>
      </w:r>
      <w:r w:rsidRPr="000C5235">
        <w:rPr>
          <w:i/>
        </w:rPr>
        <w:t>Commonwealth Entities Financial Statement</w:t>
      </w:r>
      <w:r w:rsidR="004D3574" w:rsidRPr="000C5235">
        <w:rPr>
          <w:i/>
        </w:rPr>
        <w:t>s</w:t>
      </w:r>
      <w:r w:rsidRPr="000C5235">
        <w:rPr>
          <w:i/>
        </w:rPr>
        <w:t xml:space="preserve"> Guide</w:t>
      </w:r>
      <w:r w:rsidRPr="000C5235">
        <w:t xml:space="preserve"> and the </w:t>
      </w:r>
      <w:r w:rsidR="00BC0625" w:rsidRPr="000C5235">
        <w:rPr>
          <w:i/>
        </w:rPr>
        <w:t>Primary Reporting and Information Management Aid (</w:t>
      </w:r>
      <w:r w:rsidRPr="000C5235">
        <w:rPr>
          <w:i/>
        </w:rPr>
        <w:t>PRIMA</w:t>
      </w:r>
      <w:r w:rsidR="00BC0625" w:rsidRPr="000C5235">
        <w:rPr>
          <w:i/>
        </w:rPr>
        <w:t>)</w:t>
      </w:r>
      <w:r w:rsidRPr="000C5235">
        <w:t xml:space="preserve"> Forms of Financial Statements when preparing their budgeted financial statements. These documents are available at</w:t>
      </w:r>
      <w:r w:rsidR="004D3574" w:rsidRPr="000C5235">
        <w:t xml:space="preserve">: </w:t>
      </w:r>
      <w:hyperlink r:id="rId63" w:history="1">
        <w:r w:rsidR="005C3ABA" w:rsidRPr="000C5235">
          <w:rPr>
            <w:rStyle w:val="Hyperlink"/>
            <w:rFonts w:asciiTheme="minorHAnsi" w:hAnsiTheme="minorHAnsi" w:cstheme="minorBidi"/>
          </w:rPr>
          <w:t>www.finance.gov.au/government/financial-reporting-accounting-policy/financial-reporting-commonwealth-entities</w:t>
        </w:r>
      </w:hyperlink>
    </w:p>
    <w:p w14:paraId="605C40A5" w14:textId="77777777" w:rsidR="00FA0945" w:rsidRPr="000C5235" w:rsidRDefault="00823B27" w:rsidP="000A7DEC">
      <w:pPr>
        <w:pStyle w:val="NormalTextRed"/>
      </w:pPr>
      <w:r w:rsidRPr="000C5235">
        <w:t>N</w:t>
      </w:r>
      <w:r w:rsidR="00FA0945" w:rsidRPr="000C5235">
        <w:t>ote:</w:t>
      </w:r>
      <w:r w:rsidR="00C87A78" w:rsidRPr="000C5235">
        <w:t xml:space="preserve"> </w:t>
      </w:r>
      <w:r w:rsidR="00FA0945" w:rsidRPr="000C5235">
        <w:t>For administered financial statements, entities should not report an administered appropriation receivable balance. This is consistent with Division 4 of the Financial Reporting Rule available in the link above.</w:t>
      </w:r>
    </w:p>
    <w:p w14:paraId="4E28D68D" w14:textId="77777777" w:rsidR="00FA0945" w:rsidRPr="000C5235" w:rsidRDefault="00FA0945" w:rsidP="000A7DEC">
      <w:r w:rsidRPr="000C5235">
        <w:t>Information in the budgeted financial statements must be sourced from CBMS, with the exception of the Impact of Net Cash Appropriation Arrangements note in Table 3.1 and the certain sections of the Capital Budget Statement (Table 3.5 and 3.10) and Asset Movement Table (Table 3.6 and 3.11).</w:t>
      </w:r>
    </w:p>
    <w:p w14:paraId="0FBBCC8C" w14:textId="19AA8BA9" w:rsidR="00FF5B29" w:rsidRPr="000C5235" w:rsidRDefault="00014DCE" w:rsidP="00DB312F">
      <w:pPr>
        <w:pStyle w:val="Boxed2Text"/>
      </w:pPr>
      <w:r w:rsidRPr="000C5235">
        <w:t>W</w:t>
      </w:r>
      <w:r w:rsidR="00FF5B29" w:rsidRPr="000C5235">
        <w:t xml:space="preserve">here applicable, Appropriation Bills 5 and 6 </w:t>
      </w:r>
      <w:r w:rsidR="00301442" w:rsidRPr="000C5235">
        <w:t xml:space="preserve">will be included in the data extracted from CBMS.  </w:t>
      </w:r>
      <w:r w:rsidR="00FC4C9C" w:rsidRPr="000C5235">
        <w:t xml:space="preserve">When the </w:t>
      </w:r>
      <w:r w:rsidR="005A0C9C" w:rsidRPr="000C5235">
        <w:t xml:space="preserve">Appropriation Bills 5 &amp; 6 </w:t>
      </w:r>
      <w:r w:rsidR="00301442" w:rsidRPr="000C5235">
        <w:t>are produced, the financial impacts of these statements are reflected in the PB</w:t>
      </w:r>
      <w:r w:rsidR="00CD3E53" w:rsidRPr="000C5235">
        <w:t> </w:t>
      </w:r>
      <w:r w:rsidR="00301442" w:rsidRPr="000C5235">
        <w:t>S</w:t>
      </w:r>
      <w:r w:rsidR="00CD3E53" w:rsidRPr="000C5235">
        <w:t>tatements</w:t>
      </w:r>
      <w:r w:rsidR="00301442" w:rsidRPr="000C5235">
        <w:t>.</w:t>
      </w:r>
    </w:p>
    <w:p w14:paraId="32A2CADC" w14:textId="77777777" w:rsidR="000069A6" w:rsidRPr="000C5235" w:rsidRDefault="000069A6">
      <w:pPr>
        <w:suppressAutoHyphens w:val="0"/>
        <w:spacing w:before="0" w:after="120" w:line="440" w:lineRule="atLeast"/>
        <w:rPr>
          <w:rFonts w:asciiTheme="majorHAnsi" w:eastAsiaTheme="majorEastAsia" w:hAnsiTheme="majorHAnsi" w:cstheme="majorBidi"/>
          <w:bCs/>
          <w:color w:val="1C1C1C" w:themeColor="text2"/>
          <w:sz w:val="34"/>
          <w:szCs w:val="26"/>
        </w:rPr>
      </w:pPr>
      <w:r w:rsidRPr="000C5235">
        <w:br w:type="page"/>
      </w:r>
    </w:p>
    <w:p w14:paraId="2A4D3603" w14:textId="77777777" w:rsidR="006541D7" w:rsidRPr="000C5235" w:rsidRDefault="006541D7" w:rsidP="000A7DEC">
      <w:pPr>
        <w:pStyle w:val="Heading2Numbered"/>
      </w:pPr>
      <w:bookmarkStart w:id="821" w:name="_Toc47951252"/>
      <w:r w:rsidRPr="000C5235">
        <w:t xml:space="preserve">Tables </w:t>
      </w:r>
      <w:r w:rsidR="000069A6" w:rsidRPr="000C5235">
        <w:t>c</w:t>
      </w:r>
      <w:r w:rsidRPr="000C5235">
        <w:t xml:space="preserve">onstituting the </w:t>
      </w:r>
      <w:r w:rsidR="000069A6" w:rsidRPr="000C5235">
        <w:t>b</w:t>
      </w:r>
      <w:r w:rsidRPr="000C5235">
        <w:t xml:space="preserve">udgeted </w:t>
      </w:r>
      <w:r w:rsidR="000069A6" w:rsidRPr="000C5235">
        <w:t>f</w:t>
      </w:r>
      <w:r w:rsidRPr="000C5235">
        <w:t>inancial Statements</w:t>
      </w:r>
      <w:bookmarkEnd w:id="821"/>
    </w:p>
    <w:p w14:paraId="6F1DCDA1" w14:textId="77777777" w:rsidR="006541D7" w:rsidRPr="000C5235" w:rsidRDefault="006541D7" w:rsidP="000A7DEC">
      <w:r w:rsidRPr="000C5235">
        <w:t>The following tables form part of the budgeted financial statements for both Departmental and Administered appropriations.</w:t>
      </w:r>
    </w:p>
    <w:p w14:paraId="656690B2" w14:textId="77777777" w:rsidR="006541D7" w:rsidRPr="000C5235" w:rsidRDefault="006541D7" w:rsidP="006541D7">
      <w:pPr>
        <w:rPr>
          <w:u w:val="single"/>
        </w:rPr>
      </w:pPr>
      <w:r w:rsidRPr="000C5235">
        <w:rPr>
          <w:u w:val="single"/>
        </w:rPr>
        <w:t>Departmental</w:t>
      </w:r>
    </w:p>
    <w:p w14:paraId="2AC9FC91" w14:textId="77777777" w:rsidR="006541D7" w:rsidRPr="000C5235" w:rsidRDefault="006541D7">
      <w:pPr>
        <w:pStyle w:val="Bullet1"/>
      </w:pPr>
      <w:r w:rsidRPr="000C5235">
        <w:t>Table 3.1: Comprehensive income statement (showing Net Cost of Services) for the period ended 30 June</w:t>
      </w:r>
    </w:p>
    <w:p w14:paraId="21EB22D7" w14:textId="77777777" w:rsidR="006541D7" w:rsidRPr="000C5235" w:rsidRDefault="006541D7">
      <w:pPr>
        <w:pStyle w:val="Bullet1"/>
      </w:pPr>
      <w:r w:rsidRPr="000C5235">
        <w:t>Table 3.2: Budgeted departmental balance sheet (as at 30 June)</w:t>
      </w:r>
    </w:p>
    <w:p w14:paraId="54A4559D" w14:textId="77777777" w:rsidR="006541D7" w:rsidRPr="000C5235" w:rsidRDefault="006541D7">
      <w:pPr>
        <w:pStyle w:val="Bullet1"/>
      </w:pPr>
      <w:r w:rsidRPr="000C5235">
        <w:t>Table 3.3: Departmental statement of changes in equity – summary of movement (Budget year 2020-21)</w:t>
      </w:r>
    </w:p>
    <w:p w14:paraId="3F755B20" w14:textId="77777777" w:rsidR="006541D7" w:rsidRPr="000C5235" w:rsidRDefault="006541D7">
      <w:pPr>
        <w:pStyle w:val="Bullet1"/>
      </w:pPr>
      <w:r w:rsidRPr="000C5235">
        <w:t>Table 3.4: Budgeted departmental statement of cash flows (for the period ended 30</w:t>
      </w:r>
      <w:r w:rsidR="00A667A6" w:rsidRPr="000C5235">
        <w:t> </w:t>
      </w:r>
      <w:r w:rsidRPr="000C5235">
        <w:t>June)</w:t>
      </w:r>
    </w:p>
    <w:p w14:paraId="1435B478" w14:textId="77777777" w:rsidR="006541D7" w:rsidRPr="000C5235" w:rsidRDefault="006541D7">
      <w:pPr>
        <w:pStyle w:val="Bullet1"/>
      </w:pPr>
      <w:r w:rsidRPr="000C5235">
        <w:t>Table 3.5: Departmental capital budget statement (for the period ended 30 June)</w:t>
      </w:r>
    </w:p>
    <w:p w14:paraId="6B590AE6" w14:textId="77777777" w:rsidR="006541D7" w:rsidRPr="000C5235" w:rsidRDefault="006541D7">
      <w:pPr>
        <w:pStyle w:val="Bullet1"/>
      </w:pPr>
      <w:r w:rsidRPr="000C5235">
        <w:t>Table 3.6: Statement of asset movements (2020-21)</w:t>
      </w:r>
    </w:p>
    <w:p w14:paraId="5204194F" w14:textId="77777777" w:rsidR="006541D7" w:rsidRPr="000C5235" w:rsidRDefault="006541D7" w:rsidP="006541D7">
      <w:pPr>
        <w:rPr>
          <w:u w:val="single"/>
        </w:rPr>
      </w:pPr>
      <w:r w:rsidRPr="000C5235">
        <w:rPr>
          <w:u w:val="single"/>
        </w:rPr>
        <w:t>Administered (where applicable):</w:t>
      </w:r>
    </w:p>
    <w:p w14:paraId="024BBA01" w14:textId="77777777" w:rsidR="006541D7" w:rsidRPr="000C5235" w:rsidRDefault="006541D7">
      <w:pPr>
        <w:pStyle w:val="Bullet1"/>
      </w:pPr>
      <w:r w:rsidRPr="000C5235">
        <w:t>Table 3.7: Schedule of Budgeted income and expenses administered on behalf of Government (for the period ended 30 June)</w:t>
      </w:r>
    </w:p>
    <w:p w14:paraId="2E2B64B9" w14:textId="77777777" w:rsidR="006541D7" w:rsidRPr="000C5235" w:rsidRDefault="006541D7">
      <w:pPr>
        <w:pStyle w:val="Bullet1"/>
      </w:pPr>
      <w:r w:rsidRPr="000C5235">
        <w:t>Table 3.8: Schedule of budgeted assets and liabilities administered on behalf of Government (as at 30 June)</w:t>
      </w:r>
    </w:p>
    <w:p w14:paraId="51C3D511" w14:textId="77777777" w:rsidR="006541D7" w:rsidRPr="000C5235" w:rsidRDefault="006541D7">
      <w:pPr>
        <w:pStyle w:val="Bullet1"/>
      </w:pPr>
      <w:r w:rsidRPr="000C5235">
        <w:t>Table 3.9: Schedule of budgeted administered cash flows (for the period ended 30 June)</w:t>
      </w:r>
    </w:p>
    <w:p w14:paraId="60D1BF12" w14:textId="77777777" w:rsidR="006541D7" w:rsidRPr="000C5235" w:rsidRDefault="006541D7">
      <w:pPr>
        <w:pStyle w:val="Bullet1"/>
      </w:pPr>
      <w:r w:rsidRPr="000C5235">
        <w:t>Table 3.10: Schedule of administered capital budget statement (for the period ended 30 June)</w:t>
      </w:r>
    </w:p>
    <w:p w14:paraId="699C03D5" w14:textId="77777777" w:rsidR="006541D7" w:rsidRPr="000C5235" w:rsidRDefault="006541D7" w:rsidP="000A7DEC">
      <w:pPr>
        <w:pStyle w:val="Bullet1"/>
      </w:pPr>
      <w:r w:rsidRPr="000C5235">
        <w:t>Table 3.11: Statement of administered asset movements (2020-21)</w:t>
      </w:r>
    </w:p>
    <w:p w14:paraId="214BEA9B" w14:textId="77777777" w:rsidR="00FA0945" w:rsidRPr="000C5235" w:rsidRDefault="00FA0945" w:rsidP="000A7DEC">
      <w:pPr>
        <w:pStyle w:val="Heading2Numbered"/>
      </w:pPr>
      <w:bookmarkStart w:id="822" w:name="_Toc47951253"/>
      <w:r w:rsidRPr="000C5235">
        <w:t xml:space="preserve">AASB 1055 </w:t>
      </w:r>
      <w:r w:rsidR="000069A6" w:rsidRPr="000C5235">
        <w:t>l</w:t>
      </w:r>
      <w:r w:rsidR="006541D7" w:rsidRPr="000C5235">
        <w:t xml:space="preserve">ink to </w:t>
      </w:r>
      <w:r w:rsidR="00511DF0" w:rsidRPr="000C5235">
        <w:t>b</w:t>
      </w:r>
      <w:r w:rsidRPr="000C5235">
        <w:t xml:space="preserve">udgetary </w:t>
      </w:r>
      <w:r w:rsidR="00511DF0" w:rsidRPr="000C5235">
        <w:t>r</w:t>
      </w:r>
      <w:r w:rsidRPr="000C5235">
        <w:t>eporting</w:t>
      </w:r>
      <w:bookmarkEnd w:id="822"/>
    </w:p>
    <w:p w14:paraId="7874092F" w14:textId="77777777" w:rsidR="00FA0945" w:rsidRPr="000C5235" w:rsidRDefault="00FA0945" w:rsidP="000A7DEC">
      <w:r w:rsidRPr="000C5235">
        <w:t xml:space="preserve">The accounting standard AASB 1055 Budgetary Reporting requires entities to provide in their annual departmental and administered financial statements a comparison and explanations of major variances between their annual financial statements and the corresponding original budget amounts (from the PB Statements). These explanations will be audited by the ANAO as part of their audit of the annual financial statements. Prior year budget comparatives are not required. Entities may also choose to include revised budget information (from the PAES) as part of their variance explanations, however this is not compulsory. </w:t>
      </w:r>
    </w:p>
    <w:p w14:paraId="169137DA" w14:textId="77777777" w:rsidR="00FA0945" w:rsidRPr="000C5235" w:rsidRDefault="00991ECE" w:rsidP="000A7DEC">
      <w:r w:rsidRPr="000C5235">
        <w:rPr>
          <w:u w:val="single"/>
        </w:rPr>
        <w:t>N</w:t>
      </w:r>
      <w:r w:rsidR="00FA0945" w:rsidRPr="000C5235">
        <w:rPr>
          <w:u w:val="single"/>
        </w:rPr>
        <w:t>ote:</w:t>
      </w:r>
      <w:r w:rsidR="00FA0945" w:rsidRPr="000C5235">
        <w:t xml:space="preserve"> Entities are reminded of the importance of maintaining internal documentation in order to substantiate the basis of the estimates included in the PB Statements. Appropriate documentation would include CBMS reconciliations, CFO sign-offs and Budget allocation authority. Entities also are reminded that PB Statement numbers must reconcile with those in CBMS.</w:t>
      </w:r>
    </w:p>
    <w:p w14:paraId="5C186FB3" w14:textId="77777777" w:rsidR="00DD3020" w:rsidRPr="000C5235" w:rsidRDefault="00FA0945" w:rsidP="000A7DEC">
      <w:r w:rsidRPr="000C5235">
        <w:t>For further information on the AASB</w:t>
      </w:r>
      <w:r w:rsidR="00C37129" w:rsidRPr="000C5235">
        <w:t xml:space="preserve"> </w:t>
      </w:r>
      <w:r w:rsidRPr="000C5235">
        <w:t>1055 reporting requirements, please refer to RMG</w:t>
      </w:r>
      <w:r w:rsidR="00427A89" w:rsidRPr="000C5235">
        <w:t xml:space="preserve"> </w:t>
      </w:r>
      <w:r w:rsidRPr="000C5235">
        <w:t>125: Commonwealth Entities Financial Statements Guide and the PRIMA Forms of Financial Statements</w:t>
      </w:r>
      <w:r w:rsidR="00FC4C9C" w:rsidRPr="000C5235">
        <w:t xml:space="preserve">. </w:t>
      </w:r>
      <w:r w:rsidRPr="000C5235">
        <w:t>Questions or concerns relating to the application of AASB 1055 to entities’ financial statements can be directed to the Accounting Policy Team (</w:t>
      </w:r>
      <w:hyperlink r:id="rId64" w:history="1">
        <w:r w:rsidRPr="000C5235">
          <w:rPr>
            <w:rStyle w:val="Hyperlink"/>
          </w:rPr>
          <w:t>accountingpolicy@finance.gov.au</w:t>
        </w:r>
      </w:hyperlink>
      <w:r w:rsidRPr="000C5235">
        <w:t>).</w:t>
      </w:r>
    </w:p>
    <w:p w14:paraId="30820723" w14:textId="77777777" w:rsidR="00FF5B29" w:rsidRPr="000C5235" w:rsidRDefault="00FF5B29" w:rsidP="000A7DEC">
      <w:pPr>
        <w:pStyle w:val="Heading4nonumbers"/>
      </w:pPr>
      <w:r w:rsidRPr="000C5235">
        <w:t>Sources of information</w:t>
      </w:r>
    </w:p>
    <w:p w14:paraId="07588CC8" w14:textId="77777777" w:rsidR="00FF5B29" w:rsidRPr="000C5235" w:rsidRDefault="006314AE" w:rsidP="000A7DEC">
      <w:r w:rsidRPr="000C5235">
        <w:t>S</w:t>
      </w:r>
      <w:r w:rsidR="00FF5B29" w:rsidRPr="000C5235">
        <w:t>ystem generated</w:t>
      </w:r>
      <w:r w:rsidRPr="000C5235">
        <w:t xml:space="preserve"> </w:t>
      </w:r>
      <w:r w:rsidR="00FF5B29" w:rsidRPr="000C5235">
        <w:t>Section 3 PB</w:t>
      </w:r>
      <w:r w:rsidR="00CD3E53" w:rsidRPr="000C5235">
        <w:t> </w:t>
      </w:r>
      <w:r w:rsidR="00FF5B29" w:rsidRPr="000C5235">
        <w:t>S</w:t>
      </w:r>
      <w:r w:rsidR="00CD3E53" w:rsidRPr="000C5235">
        <w:t>tatement</w:t>
      </w:r>
      <w:r w:rsidR="00FF5B29" w:rsidRPr="000C5235">
        <w:t xml:space="preserve"> tables for the Budgeted Financial Statements can be generated directly from CBMS through:</w:t>
      </w:r>
    </w:p>
    <w:p w14:paraId="6B1D7792" w14:textId="77777777" w:rsidR="00FF5B29" w:rsidRPr="000C5235" w:rsidRDefault="00FF5B29" w:rsidP="000A7DEC">
      <w:pPr>
        <w:pStyle w:val="Reports2"/>
        <w:numPr>
          <w:ilvl w:val="0"/>
          <w:numId w:val="0"/>
        </w:numPr>
        <w:ind w:left="425"/>
      </w:pPr>
      <w:r w:rsidRPr="000C5235">
        <w:t xml:space="preserve">Reports </w:t>
      </w:r>
      <w:r w:rsidR="00684C96" w:rsidRPr="000C5235">
        <w:sym w:font="Wingdings" w:char="F0E0"/>
      </w:r>
      <w:r w:rsidRPr="000C5235">
        <w:t xml:space="preserve"> CBMS Reporting </w:t>
      </w:r>
      <w:r w:rsidR="00684C96" w:rsidRPr="000C5235">
        <w:sym w:font="Wingdings" w:char="F0E0"/>
      </w:r>
      <w:r w:rsidRPr="000C5235">
        <w:t xml:space="preserve"> Statutory Reports </w:t>
      </w:r>
      <w:r w:rsidR="00684C96" w:rsidRPr="000C5235">
        <w:sym w:font="Wingdings" w:char="F0E0"/>
      </w:r>
      <w:r w:rsidRPr="000C5235">
        <w:t xml:space="preserve"> PBS </w:t>
      </w:r>
      <w:r w:rsidR="00684C96" w:rsidRPr="000C5235">
        <w:sym w:font="Wingdings" w:char="F0E0"/>
      </w:r>
      <w:r w:rsidRPr="000C5235">
        <w:t xml:space="preserve"> Table 3.1 etc.</w:t>
      </w:r>
    </w:p>
    <w:p w14:paraId="64810E9A" w14:textId="77777777" w:rsidR="00330E0D" w:rsidRPr="000C5235" w:rsidRDefault="006314AE" w:rsidP="00995AA1">
      <w:pPr>
        <w:pStyle w:val="TableText-NormalRed"/>
      </w:pPr>
      <w:r w:rsidRPr="000C5235">
        <w:rPr>
          <w:u w:val="single"/>
        </w:rPr>
        <w:t>Note:</w:t>
      </w:r>
      <w:r w:rsidRPr="000C5235">
        <w:t xml:space="preserve"> The PB Statement reports available from CBMS have not yet been updated to align with the new leasing account codes created. Therefore</w:t>
      </w:r>
      <w:r w:rsidR="00087771" w:rsidRPr="000C5235">
        <w:t xml:space="preserve">, </w:t>
      </w:r>
      <w:r w:rsidRPr="000C5235">
        <w:t xml:space="preserve">entities will be required to manually derive the leasing components. A </w:t>
      </w:r>
      <w:r w:rsidR="00C975E7" w:rsidRPr="000C5235">
        <w:t xml:space="preserve">user guide </w:t>
      </w:r>
      <w:r w:rsidRPr="000C5235">
        <w:t>exists that provides suggested mappings to derive tables</w:t>
      </w:r>
      <w:r w:rsidR="00C975E7" w:rsidRPr="000C5235">
        <w:t xml:space="preserve"> this </w:t>
      </w:r>
      <w:r w:rsidR="00330E0D" w:rsidRPr="000C5235">
        <w:t>can be obtained from:</w:t>
      </w:r>
    </w:p>
    <w:p w14:paraId="461A1FCF" w14:textId="77777777" w:rsidR="006314AE" w:rsidRPr="000C5235" w:rsidRDefault="006314AE" w:rsidP="000A7DEC">
      <w:pPr>
        <w:pStyle w:val="Reports2"/>
        <w:numPr>
          <w:ilvl w:val="0"/>
          <w:numId w:val="0"/>
        </w:numPr>
        <w:ind w:left="425"/>
      </w:pPr>
      <w:r w:rsidRPr="000C5235">
        <w:t xml:space="preserve">CBMS User Reference Material </w:t>
      </w:r>
      <w:r w:rsidRPr="000C5235">
        <w:sym w:font="Wingdings" w:char="F0E0"/>
      </w:r>
      <w:r w:rsidRPr="000C5235">
        <w:t xml:space="preserve"> 09. Reference Material </w:t>
      </w:r>
      <w:r w:rsidRPr="000C5235">
        <w:sym w:font="Wingdings" w:char="F0E0"/>
      </w:r>
      <w:r w:rsidRPr="000C5235">
        <w:t xml:space="preserve"> CBMS </w:t>
      </w:r>
      <w:r w:rsidRPr="000C5235">
        <w:sym w:font="Wingdings" w:char="F0E0"/>
      </w:r>
      <w:r w:rsidRPr="000C5235">
        <w:t xml:space="preserve"> Annual Estimates </w:t>
      </w:r>
      <w:r w:rsidRPr="000C5235">
        <w:sym w:font="Wingdings" w:char="F0E0"/>
      </w:r>
      <w:r w:rsidRPr="000C5235">
        <w:t xml:space="preserve"> PBS, PAES &amp; PSAES Mappings</w:t>
      </w:r>
    </w:p>
    <w:p w14:paraId="73431752" w14:textId="77777777" w:rsidR="00FF5B29" w:rsidRPr="000C5235" w:rsidRDefault="00FF5B29" w:rsidP="000A7DEC">
      <w:r w:rsidRPr="000C5235">
        <w:t>Entities are encouraged to use these reports and become familiar with their use to improve entity processes in checking and completing their PBS tables.</w:t>
      </w:r>
    </w:p>
    <w:p w14:paraId="6FE29DCC" w14:textId="77777777" w:rsidR="00FF5B29" w:rsidRPr="000C5235" w:rsidRDefault="00FF5B29" w:rsidP="000A7DEC">
      <w:r w:rsidRPr="000C5235">
        <w:t xml:space="preserve">Entities must use the Excel templates in </w:t>
      </w:r>
      <w:r w:rsidRPr="000C5235">
        <w:rPr>
          <w:u w:val="single"/>
        </w:rPr>
        <w:t xml:space="preserve">Attachment </w:t>
      </w:r>
      <w:r w:rsidR="006E5A47" w:rsidRPr="000C5235">
        <w:rPr>
          <w:u w:val="single"/>
        </w:rPr>
        <w:t>B</w:t>
      </w:r>
      <w:r w:rsidR="006E5A47" w:rsidRPr="000C5235">
        <w:t xml:space="preserve"> </w:t>
      </w:r>
      <w:r w:rsidRPr="000C5235">
        <w:t>to prepare their PBS document for publication.</w:t>
      </w:r>
    </w:p>
    <w:p w14:paraId="63CC826F" w14:textId="77777777" w:rsidR="00FF5B29" w:rsidRPr="000C5235" w:rsidRDefault="00FF5B29" w:rsidP="000A7DEC">
      <w:r w:rsidRPr="000C5235">
        <w:t>The following report contains transaction-level and can be used to cross-check / verify data sourced from other reports:</w:t>
      </w:r>
    </w:p>
    <w:p w14:paraId="37B4C8BF" w14:textId="77777777" w:rsidR="00FF5B29" w:rsidRPr="000C5235" w:rsidRDefault="00FF5B29" w:rsidP="000A7DEC">
      <w:pPr>
        <w:pStyle w:val="Reports2"/>
        <w:numPr>
          <w:ilvl w:val="0"/>
          <w:numId w:val="0"/>
        </w:numPr>
        <w:ind w:left="425"/>
      </w:pPr>
      <w:r w:rsidRPr="000C5235">
        <w:t xml:space="preserve">Reports </w:t>
      </w:r>
      <w:r w:rsidR="00684C96" w:rsidRPr="000C5235">
        <w:sym w:font="Wingdings" w:char="F0E0"/>
      </w:r>
      <w:r w:rsidRPr="000C5235">
        <w:t xml:space="preserve"> CBMS Reporting </w:t>
      </w:r>
      <w:r w:rsidR="00684C96" w:rsidRPr="000C5235">
        <w:sym w:font="Wingdings" w:char="F0E0"/>
      </w:r>
      <w:r w:rsidRPr="000C5235">
        <w:t xml:space="preserve"> Operational Reports </w:t>
      </w:r>
      <w:r w:rsidR="00684C96" w:rsidRPr="000C5235">
        <w:sym w:font="Wingdings" w:char="F0E0"/>
      </w:r>
      <w:r w:rsidRPr="000C5235">
        <w:t xml:space="preserve"> Estimates </w:t>
      </w:r>
      <w:r w:rsidR="00684C96" w:rsidRPr="000C5235">
        <w:sym w:font="Wingdings" w:char="F0E0"/>
      </w:r>
      <w:r w:rsidRPr="000C5235">
        <w:t xml:space="preserve"> Annual Estimates </w:t>
      </w:r>
      <w:r w:rsidR="00684C96" w:rsidRPr="000C5235">
        <w:sym w:font="Wingdings" w:char="F0E0"/>
      </w:r>
      <w:r w:rsidRPr="000C5235">
        <w:t xml:space="preserve"> AE.OR.13 Annual Estimates Detail Listing AEIFRS Report</w:t>
      </w:r>
      <w:r w:rsidR="00A57306" w:rsidRPr="000C5235">
        <w:t xml:space="preserve"> (PBF)</w:t>
      </w:r>
    </w:p>
    <w:p w14:paraId="2D861ADC" w14:textId="77777777" w:rsidR="00FA0945" w:rsidRPr="000C5235" w:rsidRDefault="00FA0945" w:rsidP="000A7DEC">
      <w:pPr>
        <w:pStyle w:val="Heading2Numbered"/>
      </w:pPr>
      <w:bookmarkStart w:id="823" w:name="_Toc411852693"/>
      <w:bookmarkStart w:id="824" w:name="_Toc534382574"/>
      <w:bookmarkStart w:id="825" w:name="_Toc47951254"/>
      <w:r w:rsidRPr="000C5235">
        <w:t>Departmental comprehensive income statement (showing net cost of services)</w:t>
      </w:r>
      <w:bookmarkEnd w:id="823"/>
      <w:bookmarkEnd w:id="824"/>
      <w:bookmarkEnd w:id="825"/>
      <w:r w:rsidRPr="000C5235">
        <w:t xml:space="preserve"> </w:t>
      </w:r>
    </w:p>
    <w:p w14:paraId="0CC12ABD" w14:textId="77777777" w:rsidR="00FA0945" w:rsidRPr="000C5235" w:rsidRDefault="00FA0945" w:rsidP="000A7DEC">
      <w:r w:rsidRPr="000C5235">
        <w:t>The template for th</w:t>
      </w:r>
      <w:r w:rsidR="00233EB4" w:rsidRPr="000C5235">
        <w:t>e Departmental comprehensive income statement (showing net cost of services)</w:t>
      </w:r>
      <w:r w:rsidRPr="000C5235">
        <w:t xml:space="preserve"> table can be found in the “Table 3.1” tab of the Excel Tables workbook (available </w:t>
      </w:r>
      <w:r w:rsidR="00735F2B" w:rsidRPr="000C5235">
        <w:t>from CBMS User Reference Material in</w:t>
      </w:r>
      <w:r w:rsidRPr="000C5235">
        <w:t xml:space="preserve"> CBMS). </w:t>
      </w:r>
    </w:p>
    <w:p w14:paraId="69914CB4" w14:textId="77777777" w:rsidR="00396F99" w:rsidRPr="000C5235" w:rsidRDefault="00FA0945" w:rsidP="000A7DEC">
      <w:r w:rsidRPr="000C5235">
        <w:t>This statement depicts the entity’s estimated income and expenses in relation to its departmental operations over the financial year</w:t>
      </w:r>
      <w:r w:rsidR="00AE6EBC" w:rsidRPr="000C5235">
        <w:t>.</w:t>
      </w:r>
    </w:p>
    <w:p w14:paraId="06389080" w14:textId="77777777" w:rsidR="00396F99" w:rsidRPr="000C5235" w:rsidRDefault="00396F99" w:rsidP="000A7DEC">
      <w:pPr>
        <w:pStyle w:val="Heading4nonumbers"/>
      </w:pPr>
      <w:r w:rsidRPr="000C5235">
        <w:t>Source of information</w:t>
      </w:r>
    </w:p>
    <w:p w14:paraId="430C42AF" w14:textId="77777777" w:rsidR="00396F99" w:rsidRPr="000C5235" w:rsidRDefault="00396F99" w:rsidP="000A7DEC">
      <w:r w:rsidRPr="000C5235">
        <w:t>Information for these tables should also be sourced and cross-checked from the following CBMS operational reports:</w:t>
      </w:r>
    </w:p>
    <w:p w14:paraId="486718A7" w14:textId="77777777" w:rsidR="00396F99" w:rsidRPr="000C5235" w:rsidRDefault="00396F99" w:rsidP="000A7DEC">
      <w:pPr>
        <w:pStyle w:val="Reports2"/>
        <w:numPr>
          <w:ilvl w:val="0"/>
          <w:numId w:val="0"/>
        </w:numPr>
        <w:ind w:left="425"/>
      </w:pPr>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AE.OR.01 Annual Estimates Financial Statements</w:t>
      </w:r>
    </w:p>
    <w:p w14:paraId="362999C8" w14:textId="77777777" w:rsidR="00396F99" w:rsidRPr="000C5235" w:rsidRDefault="00396F99" w:rsidP="00995AA1">
      <w:pPr>
        <w:pStyle w:val="TableText-NormalRed"/>
      </w:pPr>
      <w:r w:rsidRPr="000C5235">
        <w:rPr>
          <w:u w:val="single"/>
        </w:rPr>
        <w:t>Note</w:t>
      </w:r>
      <w:r w:rsidR="00A81E9A" w:rsidRPr="000C5235">
        <w:rPr>
          <w:u w:val="single"/>
        </w:rPr>
        <w:t>:</w:t>
      </w:r>
      <w:r w:rsidR="00A81E9A" w:rsidRPr="000C5235">
        <w:t xml:space="preserve"> </w:t>
      </w:r>
      <w:r w:rsidRPr="000C5235">
        <w:t>that all Account Hierarchies should be expanded (by right clicking on one of the Account Hierarchy items and selecting</w:t>
      </w:r>
      <w:r w:rsidRPr="000C5235">
        <w:rPr>
          <w:i/>
        </w:rPr>
        <w:t xml:space="preserve"> </w:t>
      </w:r>
      <w:r w:rsidRPr="000C5235">
        <w:rPr>
          <w:i/>
          <w:color w:val="0070C0"/>
        </w:rPr>
        <w:t xml:space="preserve">Hierarchical Navigation </w:t>
      </w:r>
      <w:r w:rsidR="004B76F7" w:rsidRPr="000C5235">
        <w:rPr>
          <w:i/>
          <w:color w:val="0070C0"/>
        </w:rPr>
        <w:sym w:font="Wingdings" w:char="F0E0"/>
      </w:r>
      <w:r w:rsidRPr="000C5235">
        <w:rPr>
          <w:i/>
          <w:color w:val="0070C0"/>
        </w:rPr>
        <w:t xml:space="preserve"> All </w:t>
      </w:r>
      <w:r w:rsidR="004B76F7" w:rsidRPr="000C5235">
        <w:rPr>
          <w:i/>
          <w:color w:val="0070C0"/>
        </w:rPr>
        <w:sym w:font="Wingdings" w:char="F0E0"/>
      </w:r>
      <w:r w:rsidRPr="000C5235">
        <w:rPr>
          <w:i/>
          <w:color w:val="0070C0"/>
        </w:rPr>
        <w:t xml:space="preserve"> Expand all </w:t>
      </w:r>
      <w:r w:rsidRPr="000C5235">
        <w:t>hierarchies) prior to downloading reports</w:t>
      </w:r>
    </w:p>
    <w:p w14:paraId="74FD62B2" w14:textId="77777777" w:rsidR="00396F99" w:rsidRPr="000C5235" w:rsidRDefault="00396F99" w:rsidP="000A7DEC">
      <w:pPr>
        <w:pStyle w:val="Reports2"/>
        <w:numPr>
          <w:ilvl w:val="0"/>
          <w:numId w:val="0"/>
        </w:numPr>
        <w:ind w:left="425"/>
      </w:pPr>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AE.OR.02 Annual Estimates and Equity Report</w:t>
      </w:r>
    </w:p>
    <w:p w14:paraId="37C04D16" w14:textId="77777777" w:rsidR="00AE6EBC" w:rsidRPr="000C5235" w:rsidRDefault="00396F99" w:rsidP="000A7DEC">
      <w:pPr>
        <w:pStyle w:val="Reports2"/>
        <w:numPr>
          <w:ilvl w:val="0"/>
          <w:numId w:val="0"/>
        </w:numPr>
        <w:ind w:left="425"/>
      </w:pPr>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AE.OR.06 Capital Budget Statement Report</w:t>
      </w:r>
    </w:p>
    <w:p w14:paraId="675A19BC" w14:textId="77777777" w:rsidR="00FA0945" w:rsidRPr="000C5235" w:rsidRDefault="00FA0945" w:rsidP="00E97117">
      <w:r w:rsidRPr="000C5235">
        <w:t xml:space="preserve">In preparing the “Note: Impact of Net Cash Appropriation Arrangements”, please refer to the similar note at the bottom of the CBMS Income Statement and also refer to </w:t>
      </w:r>
      <w:r w:rsidRPr="000C5235">
        <w:rPr>
          <w:i/>
        </w:rPr>
        <w:t>RMG 125: Commonwealth Entities Financial Statements Guide</w:t>
      </w:r>
      <w:r w:rsidRPr="000C5235">
        <w:t xml:space="preserve"> from which figures should be shown in the “Depreciation/amortisation expenses previously funded through revenue appropriations” line. RMG 12</w:t>
      </w:r>
      <w:r w:rsidR="00427A89" w:rsidRPr="000C5235">
        <w:t>5</w:t>
      </w:r>
      <w:r w:rsidRPr="000C5235">
        <w:t xml:space="preserve"> is available at </w:t>
      </w:r>
      <w:hyperlink r:id="rId65" w:history="1">
        <w:r w:rsidR="0012362E" w:rsidRPr="000C5235">
          <w:rPr>
            <w:rStyle w:val="Hyperlink"/>
            <w:rFonts w:asciiTheme="minorHAnsi" w:hAnsiTheme="minorHAnsi" w:cstheme="minorBidi"/>
          </w:rPr>
          <w:t>https://www.finance.gov.au/publications/resource-management-guides</w:t>
        </w:r>
      </w:hyperlink>
      <w:r w:rsidR="00E97117" w:rsidRPr="000C5235">
        <w:t xml:space="preserve"> </w:t>
      </w:r>
      <w:r w:rsidR="0064398E" w:rsidRPr="000C5235">
        <w:t xml:space="preserve">(note this is manually derived). </w:t>
      </w:r>
    </w:p>
    <w:p w14:paraId="069A2BD9" w14:textId="77777777" w:rsidR="00FA0945" w:rsidRPr="000C5235" w:rsidRDefault="00FA0945" w:rsidP="000A7DEC">
      <w:pPr>
        <w:pStyle w:val="Heading2Numbered"/>
        <w:rPr>
          <w:rFonts w:ascii="Arial" w:eastAsia="Times New Roman" w:hAnsi="Arial"/>
          <w:spacing w:val="-6"/>
          <w:szCs w:val="34"/>
        </w:rPr>
      </w:pPr>
      <w:bookmarkStart w:id="826" w:name="_Toc411852694"/>
      <w:bookmarkStart w:id="827" w:name="_Toc534382575"/>
      <w:bookmarkStart w:id="828" w:name="_Toc47951255"/>
      <w:r w:rsidRPr="000C5235">
        <w:rPr>
          <w:rFonts w:eastAsia="Times New Roman"/>
        </w:rPr>
        <w:t>Budgeted departmental balance sheet</w:t>
      </w:r>
      <w:bookmarkEnd w:id="826"/>
      <w:bookmarkEnd w:id="827"/>
      <w:bookmarkEnd w:id="828"/>
    </w:p>
    <w:p w14:paraId="6390E28C" w14:textId="77777777" w:rsidR="00FA0945" w:rsidRPr="000C5235" w:rsidRDefault="00233EB4" w:rsidP="000A7DEC">
      <w:r w:rsidRPr="000C5235">
        <w:t>The template for the Budgeted departmental balance sheet</w:t>
      </w:r>
      <w:r w:rsidR="00FA0945" w:rsidRPr="000C5235">
        <w:t xml:space="preserve"> table can be found in the </w:t>
      </w:r>
      <w:r w:rsidR="006D021E" w:rsidRPr="000C5235">
        <w:t xml:space="preserve">               </w:t>
      </w:r>
      <w:r w:rsidR="00FA0945" w:rsidRPr="000C5235">
        <w:t xml:space="preserve">“Table 3.2” tab of the Excel Tables workbook (available from </w:t>
      </w:r>
      <w:r w:rsidR="00015F15" w:rsidRPr="000C5235">
        <w:t>User Reference Material</w:t>
      </w:r>
      <w:r w:rsidR="00FA0945" w:rsidRPr="000C5235">
        <w:t xml:space="preserve"> in CBMS). </w:t>
      </w:r>
    </w:p>
    <w:p w14:paraId="484FEFF9" w14:textId="77777777" w:rsidR="00AE6EBC" w:rsidRPr="000C5235" w:rsidRDefault="00AE6EBC" w:rsidP="00995AA1">
      <w:pPr>
        <w:pStyle w:val="TableText-NormalRed"/>
      </w:pPr>
      <w:r w:rsidRPr="000C5235">
        <w:rPr>
          <w:u w:val="single"/>
        </w:rPr>
        <w:t>Note</w:t>
      </w:r>
      <w:r w:rsidR="00427A89" w:rsidRPr="000C5235">
        <w:rPr>
          <w:u w:val="single"/>
        </w:rPr>
        <w:t>:</w:t>
      </w:r>
      <w:r w:rsidRPr="000C5235">
        <w:t xml:space="preserve"> all references to reports hereunto can be sourced from User Reference Material in CBMS. </w:t>
      </w:r>
    </w:p>
    <w:p w14:paraId="3DB5F880" w14:textId="77777777" w:rsidR="00FA0945" w:rsidRPr="000C5235" w:rsidRDefault="00FA0945" w:rsidP="000A7DEC">
      <w:r w:rsidRPr="000C5235">
        <w:t xml:space="preserve">This statement depicts the entity’s estimated assets and liabilities in relation to its departmental operations at the end of the financial year. </w:t>
      </w:r>
    </w:p>
    <w:p w14:paraId="090B2690" w14:textId="77777777" w:rsidR="00FA0945" w:rsidRPr="000C5235" w:rsidRDefault="00FA0945" w:rsidP="000A7DEC">
      <w:pPr>
        <w:pStyle w:val="Heading4nonumbers"/>
      </w:pPr>
      <w:r w:rsidRPr="000C5235">
        <w:t>Source of information</w:t>
      </w:r>
    </w:p>
    <w:p w14:paraId="0BD3108C" w14:textId="77777777" w:rsidR="00FA0945" w:rsidRPr="000C5235" w:rsidRDefault="00FA0945" w:rsidP="000A7DEC">
      <w:r w:rsidRPr="000C5235">
        <w:t>The following report from CBMS should be used to prepare Table 3.2:</w:t>
      </w:r>
    </w:p>
    <w:p w14:paraId="3B2E811C" w14:textId="77777777" w:rsidR="00891079" w:rsidRPr="000C5235" w:rsidRDefault="00015F15" w:rsidP="000A7DEC">
      <w:pPr>
        <w:pStyle w:val="Reports2"/>
        <w:numPr>
          <w:ilvl w:val="0"/>
          <w:numId w:val="0"/>
        </w:numPr>
        <w:ind w:left="425"/>
      </w:pPr>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AE.OR.01 Annual Estimates Financial Statements</w:t>
      </w:r>
    </w:p>
    <w:p w14:paraId="021BD622" w14:textId="77777777" w:rsidR="00FA0945" w:rsidRPr="000C5235" w:rsidRDefault="00891079" w:rsidP="000A7DEC">
      <w:r w:rsidRPr="000C5235">
        <w:t>S</w:t>
      </w:r>
      <w:r w:rsidR="00FA0945" w:rsidRPr="000C5235">
        <w:t xml:space="preserve">elect “Departmental” as the control </w:t>
      </w:r>
      <w:r w:rsidR="00D00240" w:rsidRPr="000C5235">
        <w:t>type and</w:t>
      </w:r>
      <w:r w:rsidR="00015F15" w:rsidRPr="000C5235">
        <w:t xml:space="preserve"> go to “Program View”</w:t>
      </w:r>
      <w:r w:rsidR="00FA0945" w:rsidRPr="000C5235">
        <w:t xml:space="preserve">. </w:t>
      </w:r>
    </w:p>
    <w:p w14:paraId="00F28A5B" w14:textId="77777777" w:rsidR="00FA0945" w:rsidRPr="000C5235" w:rsidRDefault="00FA0945" w:rsidP="000A7DEC">
      <w:pPr>
        <w:pStyle w:val="Heading2Numbered"/>
      </w:pPr>
      <w:bookmarkStart w:id="829" w:name="_Toc411852695"/>
      <w:bookmarkStart w:id="830" w:name="_Toc534382576"/>
      <w:bookmarkStart w:id="831" w:name="_Toc47951256"/>
      <w:r w:rsidRPr="000C5235">
        <w:t>Departmental statement of changes in equity</w:t>
      </w:r>
      <w:bookmarkEnd w:id="829"/>
      <w:bookmarkEnd w:id="830"/>
      <w:bookmarkEnd w:id="831"/>
    </w:p>
    <w:p w14:paraId="73B27AC8" w14:textId="77777777" w:rsidR="00FA0945" w:rsidRPr="000C5235" w:rsidRDefault="00233EB4" w:rsidP="000A7DEC">
      <w:r w:rsidRPr="000C5235">
        <w:t>The template for the Departmental statement of changes in equity</w:t>
      </w:r>
      <w:r w:rsidR="00FA0945" w:rsidRPr="000C5235">
        <w:t xml:space="preserve"> table can be found in the “Table 3.3” tab of the Excel Tables workbook</w:t>
      </w:r>
      <w:r w:rsidR="00AE6EBC" w:rsidRPr="000C5235">
        <w:t>.</w:t>
      </w:r>
      <w:r w:rsidR="00FA0945" w:rsidRPr="000C5235">
        <w:t xml:space="preserve"> </w:t>
      </w:r>
    </w:p>
    <w:p w14:paraId="211D4490" w14:textId="77777777" w:rsidR="00FA0945" w:rsidRPr="000C5235" w:rsidRDefault="00FA0945" w:rsidP="000A7DEC">
      <w:r w:rsidRPr="000C5235">
        <w:t>This statement depicts the forecast movement in the entity’s equity position over the financial year (</w:t>
      </w:r>
      <w:r w:rsidR="00E10C89" w:rsidRPr="000C5235">
        <w:t>ie</w:t>
      </w:r>
      <w:r w:rsidRPr="000C5235">
        <w:t xml:space="preserve"> the change in the Government’s ownership interests in the entity).</w:t>
      </w:r>
    </w:p>
    <w:p w14:paraId="7ADBFCFC" w14:textId="77777777" w:rsidR="00FA0945" w:rsidRPr="000C5235" w:rsidRDefault="00FA0945" w:rsidP="000A7DEC">
      <w:pPr>
        <w:pStyle w:val="Heading4nonumbers"/>
      </w:pPr>
      <w:r w:rsidRPr="000C5235">
        <w:t>Source of information</w:t>
      </w:r>
    </w:p>
    <w:p w14:paraId="648543FC" w14:textId="77777777" w:rsidR="00FA0945" w:rsidRPr="000C5235" w:rsidRDefault="00FA0945" w:rsidP="000A7DEC">
      <w:r w:rsidRPr="000C5235">
        <w:t>The following report from CBMS should be used to prepare Table 3.3:</w:t>
      </w:r>
    </w:p>
    <w:p w14:paraId="678DFEE0" w14:textId="77777777" w:rsidR="00891079" w:rsidRPr="000C5235" w:rsidRDefault="00015F15" w:rsidP="000A7DEC">
      <w:pPr>
        <w:pStyle w:val="Reports2"/>
        <w:numPr>
          <w:ilvl w:val="0"/>
          <w:numId w:val="0"/>
        </w:numPr>
        <w:ind w:left="425"/>
      </w:pPr>
      <w:bookmarkStart w:id="832" w:name="_Toc411852696"/>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AE.OR.02 Annual Estimates and Equity Report</w:t>
      </w:r>
    </w:p>
    <w:p w14:paraId="4D77B988" w14:textId="77777777" w:rsidR="00015F15" w:rsidRPr="000C5235" w:rsidRDefault="00891079" w:rsidP="000A7DEC">
      <w:r w:rsidRPr="000C5235">
        <w:t>S</w:t>
      </w:r>
      <w:r w:rsidR="00015F15" w:rsidRPr="000C5235">
        <w:t>elect</w:t>
      </w:r>
      <w:r w:rsidRPr="000C5235">
        <w:t xml:space="preserve"> “</w:t>
      </w:r>
      <w:r w:rsidR="00271B87" w:rsidRPr="000C5235">
        <w:t>2019-20</w:t>
      </w:r>
      <w:r w:rsidR="00015F15" w:rsidRPr="000C5235">
        <w:t>” as the financial year and “Departmental” as the control type.</w:t>
      </w:r>
    </w:p>
    <w:p w14:paraId="05156E4D" w14:textId="77777777" w:rsidR="00FA0945" w:rsidRPr="000C5235" w:rsidRDefault="00FA0945" w:rsidP="000A7DEC">
      <w:pPr>
        <w:pStyle w:val="Heading2Numbered"/>
        <w:rPr>
          <w:rFonts w:ascii="Arial" w:eastAsia="Times New Roman" w:hAnsi="Arial"/>
          <w:color w:val="auto"/>
          <w:spacing w:val="-6"/>
          <w:szCs w:val="34"/>
        </w:rPr>
      </w:pPr>
      <w:bookmarkStart w:id="833" w:name="_Toc534382577"/>
      <w:bookmarkStart w:id="834" w:name="_Toc47951257"/>
      <w:r w:rsidRPr="000C5235">
        <w:rPr>
          <w:rFonts w:eastAsia="Times New Roman"/>
        </w:rPr>
        <w:t>Budgeted departmental statement of cash flows</w:t>
      </w:r>
      <w:bookmarkEnd w:id="832"/>
      <w:bookmarkEnd w:id="833"/>
      <w:bookmarkEnd w:id="834"/>
    </w:p>
    <w:p w14:paraId="223535EC" w14:textId="77777777" w:rsidR="00FA0945" w:rsidRPr="000C5235" w:rsidRDefault="00233EB4" w:rsidP="000A7DEC">
      <w:r w:rsidRPr="000C5235">
        <w:t>The template for the Budgeted departmental statement of cash flows</w:t>
      </w:r>
      <w:r w:rsidR="00FA0945" w:rsidRPr="000C5235">
        <w:t xml:space="preserve"> table can be found in the “Table 3.4” tab of the Excel Tables workbook</w:t>
      </w:r>
      <w:r w:rsidR="00AE6EBC" w:rsidRPr="000C5235">
        <w:t>.</w:t>
      </w:r>
    </w:p>
    <w:p w14:paraId="6E62702E" w14:textId="77777777" w:rsidR="00FA0945" w:rsidRPr="000C5235" w:rsidRDefault="00FA0945" w:rsidP="000A7DEC">
      <w:r w:rsidRPr="000C5235">
        <w:t>This statement depicts the entity’s estimated cash flows over the financial year.</w:t>
      </w:r>
    </w:p>
    <w:p w14:paraId="51767F8F" w14:textId="77777777" w:rsidR="00FA0945" w:rsidRPr="000C5235" w:rsidRDefault="00FA0945" w:rsidP="000A7DEC">
      <w:pPr>
        <w:pStyle w:val="Heading4nonumbers"/>
      </w:pPr>
      <w:r w:rsidRPr="000C5235">
        <w:t>Source of information</w:t>
      </w:r>
    </w:p>
    <w:p w14:paraId="4A086BB0" w14:textId="77777777" w:rsidR="00FA0945" w:rsidRPr="000C5235" w:rsidRDefault="00FA0945" w:rsidP="000A7DEC">
      <w:r w:rsidRPr="000C5235">
        <w:t>The following report from CBMS should be used to prepare Table 3.4:</w:t>
      </w:r>
    </w:p>
    <w:p w14:paraId="40181781" w14:textId="77777777" w:rsidR="00DA25E5" w:rsidRPr="000C5235" w:rsidRDefault="00F415C5" w:rsidP="000A7DEC">
      <w:pPr>
        <w:pStyle w:val="Reports2"/>
        <w:numPr>
          <w:ilvl w:val="0"/>
          <w:numId w:val="0"/>
        </w:numPr>
        <w:ind w:left="425"/>
      </w:pPr>
      <w:r w:rsidRPr="000C5235">
        <w:t xml:space="preserve">Reports </w:t>
      </w:r>
      <w:r w:rsidR="004B76F7" w:rsidRPr="000C5235">
        <w:sym w:font="Wingdings" w:char="F0E0"/>
      </w:r>
      <w:r w:rsidRPr="000C5235">
        <w:t xml:space="preserve"> CBMS Reporting </w:t>
      </w:r>
      <w:r w:rsidR="004B76F7" w:rsidRPr="000C5235">
        <w:sym w:font="Wingdings" w:char="F0E0"/>
      </w:r>
      <w:r w:rsidRPr="000C5235">
        <w:t xml:space="preserve"> Operational Reports </w:t>
      </w:r>
      <w:r w:rsidR="004B76F7" w:rsidRPr="000C5235">
        <w:sym w:font="Wingdings" w:char="F0E0"/>
      </w:r>
      <w:r w:rsidRPr="000C5235">
        <w:t xml:space="preserve"> Estimates </w:t>
      </w:r>
      <w:r w:rsidR="004B76F7" w:rsidRPr="000C5235">
        <w:sym w:font="Wingdings" w:char="F0E0"/>
      </w:r>
      <w:r w:rsidRPr="000C5235">
        <w:t xml:space="preserve"> Annual Estimates </w:t>
      </w:r>
      <w:r w:rsidR="004B76F7" w:rsidRPr="000C5235">
        <w:sym w:font="Wingdings" w:char="F0E0"/>
      </w:r>
      <w:r w:rsidRPr="000C5235">
        <w:t xml:space="preserve"> AE.OR.01 Annual Estimates Financial Statements</w:t>
      </w:r>
    </w:p>
    <w:p w14:paraId="774A7E29" w14:textId="77777777" w:rsidR="007B5CC5" w:rsidRPr="000C5235" w:rsidRDefault="00DA25E5" w:rsidP="000A7DEC">
      <w:r w:rsidRPr="000C5235">
        <w:t>S</w:t>
      </w:r>
      <w:r w:rsidR="00FA0945" w:rsidRPr="000C5235">
        <w:t xml:space="preserve">elect “Departmental” as the control </w:t>
      </w:r>
      <w:r w:rsidR="00D00240" w:rsidRPr="000C5235">
        <w:t>type and</w:t>
      </w:r>
      <w:r w:rsidR="00F415C5" w:rsidRPr="000C5235">
        <w:t xml:space="preserve"> look up “Program View”.</w:t>
      </w:r>
    </w:p>
    <w:p w14:paraId="7FD6E3FA" w14:textId="77777777" w:rsidR="00FA0945" w:rsidRPr="000C5235" w:rsidRDefault="00FA0945" w:rsidP="000A7DEC">
      <w:pPr>
        <w:pStyle w:val="Heading2Numbered"/>
        <w:rPr>
          <w:rFonts w:ascii="Arial" w:hAnsi="Arial"/>
          <w:color w:val="auto"/>
          <w:spacing w:val="-6"/>
          <w:szCs w:val="34"/>
        </w:rPr>
      </w:pPr>
      <w:bookmarkStart w:id="835" w:name="_Toc534458900"/>
      <w:bookmarkStart w:id="836" w:name="_Toc534459689"/>
      <w:bookmarkStart w:id="837" w:name="_Toc534519186"/>
      <w:bookmarkStart w:id="838" w:name="_Toc534520096"/>
      <w:bookmarkStart w:id="839" w:name="_Toc534520366"/>
      <w:bookmarkStart w:id="840" w:name="_Toc534527578"/>
      <w:bookmarkStart w:id="841" w:name="_Toc534528308"/>
      <w:bookmarkStart w:id="842" w:name="_Toc534803529"/>
      <w:bookmarkStart w:id="843" w:name="_Toc534814220"/>
      <w:bookmarkStart w:id="844" w:name="_Toc536108593"/>
      <w:bookmarkStart w:id="845" w:name="_Toc536802138"/>
      <w:bookmarkStart w:id="846" w:name="_Toc411852697"/>
      <w:bookmarkStart w:id="847" w:name="_Toc534382578"/>
      <w:bookmarkStart w:id="848" w:name="_Toc47951258"/>
      <w:bookmarkEnd w:id="835"/>
      <w:bookmarkEnd w:id="836"/>
      <w:bookmarkEnd w:id="837"/>
      <w:bookmarkEnd w:id="838"/>
      <w:bookmarkEnd w:id="839"/>
      <w:bookmarkEnd w:id="840"/>
      <w:bookmarkEnd w:id="841"/>
      <w:bookmarkEnd w:id="842"/>
      <w:bookmarkEnd w:id="843"/>
      <w:bookmarkEnd w:id="844"/>
      <w:bookmarkEnd w:id="845"/>
      <w:r w:rsidRPr="000C5235">
        <w:rPr>
          <w:rFonts w:eastAsia="Times New Roman"/>
        </w:rPr>
        <w:t>Departmental capital budget statement</w:t>
      </w:r>
      <w:bookmarkEnd w:id="846"/>
      <w:bookmarkEnd w:id="847"/>
      <w:bookmarkEnd w:id="848"/>
    </w:p>
    <w:p w14:paraId="71F4DC0A" w14:textId="77777777" w:rsidR="00FA0945" w:rsidRPr="000C5235" w:rsidRDefault="00233EB4" w:rsidP="000A7DEC">
      <w:r w:rsidRPr="000C5235">
        <w:t>The template for the Departmental capital budget statement</w:t>
      </w:r>
      <w:r w:rsidR="00FA0945" w:rsidRPr="000C5235">
        <w:t xml:space="preserve"> table can be found in the “Table 3.5” tab of the Excel Tables workbook</w:t>
      </w:r>
      <w:r w:rsidR="00AE6EBC" w:rsidRPr="000C5235">
        <w:t>.</w:t>
      </w:r>
    </w:p>
    <w:p w14:paraId="59AA4CF7" w14:textId="77777777" w:rsidR="00FA0945" w:rsidRPr="000C5235" w:rsidRDefault="00FA0945" w:rsidP="000A7DEC">
      <w:r w:rsidRPr="000C5235">
        <w:t xml:space="preserve">This statement outlines the entity’s capital appropriations that will be provided through Appropriation Bills (No.1 and 2) and the purpose for which they were provided (either to purchase assets, or for departmental supplementation), compared to their forecast capital expenditure. </w:t>
      </w:r>
    </w:p>
    <w:p w14:paraId="755777C5" w14:textId="77777777" w:rsidR="00FA0945" w:rsidRPr="000C5235" w:rsidRDefault="00FA0945" w:rsidP="000A7DEC">
      <w:pPr>
        <w:pStyle w:val="Heading4nonumbers"/>
      </w:pPr>
      <w:r w:rsidRPr="000C5235">
        <w:t>Source of information</w:t>
      </w:r>
    </w:p>
    <w:p w14:paraId="379AAAD1" w14:textId="77777777" w:rsidR="00FA0945" w:rsidRPr="000C5235" w:rsidRDefault="00FA0945" w:rsidP="000A7DEC">
      <w:r w:rsidRPr="000C5235">
        <w:t>The following report from CBMS should be used to prepare Table 3.5:</w:t>
      </w:r>
    </w:p>
    <w:p w14:paraId="4397DD48" w14:textId="77777777" w:rsidR="00DA25E5" w:rsidRPr="000C5235" w:rsidRDefault="00F415C5" w:rsidP="000A7DEC">
      <w:pPr>
        <w:pStyle w:val="Reports2"/>
        <w:numPr>
          <w:ilvl w:val="0"/>
          <w:numId w:val="0"/>
        </w:numPr>
        <w:ind w:left="425"/>
      </w:pPr>
      <w:r w:rsidRPr="000C5235">
        <w:t xml:space="preserve">Reports </w:t>
      </w:r>
      <w:r w:rsidR="00887163" w:rsidRPr="000C5235">
        <w:sym w:font="Wingdings" w:char="F0E0"/>
      </w:r>
      <w:r w:rsidRPr="000C5235">
        <w:t xml:space="preserve"> CBMS Reporting </w:t>
      </w:r>
      <w:r w:rsidR="00887163" w:rsidRPr="000C5235">
        <w:sym w:font="Wingdings" w:char="F0E0"/>
      </w:r>
      <w:r w:rsidRPr="000C5235">
        <w:t xml:space="preserve"> Operational Reports </w:t>
      </w:r>
      <w:r w:rsidR="00887163" w:rsidRPr="000C5235">
        <w:sym w:font="Wingdings" w:char="F0E0"/>
      </w:r>
      <w:r w:rsidRPr="000C5235">
        <w:t xml:space="preserve"> Estimates </w:t>
      </w:r>
      <w:r w:rsidR="00887163" w:rsidRPr="000C5235">
        <w:sym w:font="Wingdings" w:char="F0E0"/>
      </w:r>
      <w:r w:rsidRPr="000C5235">
        <w:t xml:space="preserve"> Annual Estimates </w:t>
      </w:r>
      <w:r w:rsidR="00887163" w:rsidRPr="000C5235">
        <w:sym w:font="Wingdings" w:char="F0E0"/>
      </w:r>
      <w:r w:rsidRPr="000C5235">
        <w:t xml:space="preserve"> AE.OR.06 Capital Budget Statement Report</w:t>
      </w:r>
    </w:p>
    <w:p w14:paraId="3410E654" w14:textId="77777777" w:rsidR="00FA0945" w:rsidRPr="000C5235" w:rsidRDefault="00DA25E5" w:rsidP="000A7DEC">
      <w:r w:rsidRPr="000C5235">
        <w:t>S</w:t>
      </w:r>
      <w:r w:rsidR="00FA0945" w:rsidRPr="000C5235">
        <w:t xml:space="preserve">elect “Departmental” as the control type. </w:t>
      </w:r>
    </w:p>
    <w:p w14:paraId="0760EFD3" w14:textId="77777777" w:rsidR="00FA0945" w:rsidRPr="000C5235" w:rsidRDefault="00FA0945" w:rsidP="000A7DEC">
      <w:r w:rsidRPr="000C5235">
        <w:t xml:space="preserve">Information to be included in the “Reconciliation of cash used to acquire assets to Asset Movement Table” should be sourced from the cash flow statement (Table 3.4) and the entity’s FMIS. </w:t>
      </w:r>
    </w:p>
    <w:p w14:paraId="2CDD13D2" w14:textId="77777777" w:rsidR="00FA0945" w:rsidRPr="000C5235" w:rsidRDefault="00FA0945" w:rsidP="000A7DEC">
      <w:pPr>
        <w:pStyle w:val="Heading2Numbered"/>
        <w:rPr>
          <w:rFonts w:ascii="Arial" w:hAnsi="Arial"/>
          <w:spacing w:val="-6"/>
          <w:szCs w:val="34"/>
        </w:rPr>
      </w:pPr>
      <w:bookmarkStart w:id="849" w:name="_Toc411852698"/>
      <w:bookmarkStart w:id="850" w:name="_Toc534382579"/>
      <w:bookmarkStart w:id="851" w:name="_Toc47951259"/>
      <w:r w:rsidRPr="000C5235">
        <w:rPr>
          <w:rFonts w:eastAsia="Times New Roman"/>
        </w:rPr>
        <w:t>Departmental statement of asset movements</w:t>
      </w:r>
      <w:bookmarkEnd w:id="849"/>
      <w:bookmarkEnd w:id="850"/>
      <w:bookmarkEnd w:id="851"/>
    </w:p>
    <w:p w14:paraId="384E3289" w14:textId="77777777" w:rsidR="00FA0945" w:rsidRPr="000C5235" w:rsidRDefault="00233EB4" w:rsidP="000A7DEC">
      <w:r w:rsidRPr="000C5235">
        <w:t>The template for the Departmental statement of asset movements</w:t>
      </w:r>
      <w:r w:rsidR="00FA0945" w:rsidRPr="000C5235">
        <w:t xml:space="preserve"> table can be found in the “Table 3.6” tab of the Excel Tables workbook</w:t>
      </w:r>
      <w:r w:rsidR="00AE6EBC" w:rsidRPr="000C5235">
        <w:t>.</w:t>
      </w:r>
      <w:r w:rsidR="00FA0945" w:rsidRPr="000C5235">
        <w:t xml:space="preserve"> </w:t>
      </w:r>
    </w:p>
    <w:p w14:paraId="2AF5840B" w14:textId="77777777" w:rsidR="00FA0945" w:rsidRPr="000C5235" w:rsidRDefault="00FA0945" w:rsidP="000A7DEC">
      <w:r w:rsidRPr="000C5235">
        <w:t xml:space="preserve">This statement outlines the movements in the entity’s asset holdings, such as the acquisition of new or replacement assets, disposals, revaluations or depreciation. </w:t>
      </w:r>
    </w:p>
    <w:p w14:paraId="27D75E68" w14:textId="77777777" w:rsidR="006D1908" w:rsidRPr="000C5235" w:rsidRDefault="006D1908" w:rsidP="000A7DEC">
      <w:r w:rsidRPr="000C5235">
        <w:t>This statement now includes new line-items dealing with AASB 16 Leases (RoU Assets).</w:t>
      </w:r>
    </w:p>
    <w:p w14:paraId="0C4D8F68" w14:textId="77777777" w:rsidR="00FA0945" w:rsidRPr="000C5235" w:rsidRDefault="00FA0945" w:rsidP="000A7DEC">
      <w:pPr>
        <w:pStyle w:val="Heading4nonumbers"/>
      </w:pPr>
      <w:r w:rsidRPr="000C5235">
        <w:t>Source of information</w:t>
      </w:r>
    </w:p>
    <w:p w14:paraId="1683312C" w14:textId="77777777" w:rsidR="00FA0945" w:rsidRPr="000C5235" w:rsidRDefault="00FA0945" w:rsidP="000A7DEC">
      <w:r w:rsidRPr="000C5235">
        <w:t>The following report from CBMS should be used to prepare Table 3.6:</w:t>
      </w:r>
    </w:p>
    <w:p w14:paraId="420214CA" w14:textId="77777777" w:rsidR="00DA25E5" w:rsidRPr="000C5235" w:rsidRDefault="00F415C5" w:rsidP="000A7DEC">
      <w:pPr>
        <w:pStyle w:val="Reports2"/>
        <w:numPr>
          <w:ilvl w:val="0"/>
          <w:numId w:val="0"/>
        </w:numPr>
        <w:ind w:left="425"/>
      </w:pPr>
      <w:r w:rsidRPr="000C5235">
        <w:t xml:space="preserve">Reports </w:t>
      </w:r>
      <w:r w:rsidR="00887163" w:rsidRPr="000C5235">
        <w:sym w:font="Wingdings" w:char="F0E0"/>
      </w:r>
      <w:r w:rsidRPr="000C5235">
        <w:t xml:space="preserve"> CBMS Reporting </w:t>
      </w:r>
      <w:r w:rsidR="00887163" w:rsidRPr="000C5235">
        <w:sym w:font="Wingdings" w:char="F0E0"/>
      </w:r>
      <w:r w:rsidRPr="000C5235">
        <w:t xml:space="preserve"> Operational Reports </w:t>
      </w:r>
      <w:r w:rsidR="00887163" w:rsidRPr="000C5235">
        <w:sym w:font="Wingdings" w:char="F0E0"/>
      </w:r>
      <w:r w:rsidRPr="000C5235">
        <w:t xml:space="preserve"> Estimates </w:t>
      </w:r>
      <w:r w:rsidR="00887163" w:rsidRPr="000C5235">
        <w:sym w:font="Wingdings" w:char="F0E0"/>
      </w:r>
      <w:r w:rsidRPr="000C5235">
        <w:t xml:space="preserve"> Annual Estimates </w:t>
      </w:r>
      <w:r w:rsidR="00887163" w:rsidRPr="000C5235">
        <w:sym w:font="Wingdings" w:char="F0E0"/>
      </w:r>
      <w:r w:rsidRPr="000C5235">
        <w:t xml:space="preserve"> AE.OR.02 Annual Estimates and Equity Report </w:t>
      </w:r>
    </w:p>
    <w:p w14:paraId="64E45EE0" w14:textId="77777777" w:rsidR="00FA0945" w:rsidRPr="000C5235" w:rsidRDefault="00DA25E5" w:rsidP="000A7DEC">
      <w:r w:rsidRPr="000C5235">
        <w:t>S</w:t>
      </w:r>
      <w:r w:rsidR="00FA0945" w:rsidRPr="000C5235">
        <w:t>elect “</w:t>
      </w:r>
      <w:r w:rsidR="0072052F" w:rsidRPr="000C5235">
        <w:t>2020-21</w:t>
      </w:r>
      <w:r w:rsidR="00FA0945" w:rsidRPr="000C5235">
        <w:t xml:space="preserve">” as the financial year and “Departmental” as the control type. </w:t>
      </w:r>
    </w:p>
    <w:p w14:paraId="28189AE2" w14:textId="77777777" w:rsidR="00FA0945" w:rsidRPr="000C5235" w:rsidRDefault="00FA0945" w:rsidP="000A7DEC">
      <w:r w:rsidRPr="000C5235">
        <w:t xml:space="preserve">Information to be included in the “Estimated expenditure on new or replacement assets” should be consistent with information included in an entity’s Departmental Capital Management Plan and information contained in their FMIS. </w:t>
      </w:r>
    </w:p>
    <w:p w14:paraId="52FA8BF8" w14:textId="77777777" w:rsidR="007B5CC5" w:rsidRPr="000C5235" w:rsidRDefault="007B5CC5" w:rsidP="000A7DEC">
      <w:bookmarkStart w:id="852" w:name="_Toc411852699"/>
      <w:bookmarkStart w:id="853" w:name="_Toc534382580"/>
      <w:r w:rsidRPr="000C5235">
        <w:br w:type="page"/>
      </w:r>
    </w:p>
    <w:p w14:paraId="70D887F3" w14:textId="77777777" w:rsidR="00FA0945" w:rsidRPr="000C5235" w:rsidRDefault="00FA0945" w:rsidP="000A7DEC">
      <w:pPr>
        <w:pStyle w:val="Heading2Numbered"/>
        <w:rPr>
          <w:rFonts w:ascii="Arial" w:hAnsi="Arial"/>
          <w:spacing w:val="-6"/>
          <w:szCs w:val="34"/>
        </w:rPr>
      </w:pPr>
      <w:bookmarkStart w:id="854" w:name="_Toc47951260"/>
      <w:r w:rsidRPr="000C5235">
        <w:rPr>
          <w:rFonts w:eastAsia="Times New Roman"/>
        </w:rPr>
        <w:t>Administered financial statements</w:t>
      </w:r>
      <w:bookmarkEnd w:id="852"/>
      <w:r w:rsidRPr="000C5235">
        <w:rPr>
          <w:rFonts w:eastAsia="Times New Roman"/>
        </w:rPr>
        <w:t xml:space="preserve"> (Tables 3.7 to 3.11)</w:t>
      </w:r>
      <w:bookmarkEnd w:id="853"/>
      <w:bookmarkEnd w:id="854"/>
    </w:p>
    <w:p w14:paraId="3DE473D5" w14:textId="77777777" w:rsidR="00FA0945" w:rsidRPr="000C5235" w:rsidRDefault="00233EB4" w:rsidP="000A7DEC">
      <w:r w:rsidRPr="000C5235">
        <w:t>The templates for the Administered financial statements (Tables 3.7 to 3.11)</w:t>
      </w:r>
      <w:r w:rsidR="00FA0945" w:rsidRPr="000C5235">
        <w:t xml:space="preserve"> tables can be found in the Excel Tables workbook</w:t>
      </w:r>
      <w:r w:rsidR="00AE6EBC" w:rsidRPr="000C5235">
        <w:t>.</w:t>
      </w:r>
    </w:p>
    <w:p w14:paraId="003C8448" w14:textId="77777777" w:rsidR="00FA0945" w:rsidRPr="000C5235" w:rsidRDefault="00FA0945" w:rsidP="000A7DEC">
      <w:r w:rsidRPr="000C5235">
        <w:t xml:space="preserve">These statements describe the resources managed by the entity on behalf of the Government and the public. </w:t>
      </w:r>
    </w:p>
    <w:p w14:paraId="2CAB5FBA" w14:textId="77777777" w:rsidR="00FA0945" w:rsidRPr="000C5235" w:rsidRDefault="00FA0945" w:rsidP="000A7DEC">
      <w:pPr>
        <w:pStyle w:val="Heading4nonumbers"/>
        <w:rPr>
          <w:rFonts w:ascii="Arial" w:hAnsi="Arial"/>
          <w:spacing w:val="-6"/>
        </w:rPr>
      </w:pPr>
      <w:r w:rsidRPr="000C5235">
        <w:t>Source of information</w:t>
      </w:r>
    </w:p>
    <w:p w14:paraId="4584246F" w14:textId="77777777" w:rsidR="00FA0945" w:rsidRPr="000C5235" w:rsidRDefault="00FA0945" w:rsidP="000A7DEC">
      <w:r w:rsidRPr="000C5235">
        <w:t xml:space="preserve">Information for these tables can be sourced by running the same CBMS reports as Table 3.1 to 3.6 (see Sections </w:t>
      </w:r>
      <w:r w:rsidR="00C870EF" w:rsidRPr="000C5235">
        <w:t>10</w:t>
      </w:r>
      <w:r w:rsidRPr="000C5235">
        <w:t>.</w:t>
      </w:r>
      <w:r w:rsidR="00C870EF" w:rsidRPr="000C5235">
        <w:t>2</w:t>
      </w:r>
      <w:r w:rsidRPr="000C5235">
        <w:t xml:space="preserve"> to </w:t>
      </w:r>
      <w:r w:rsidR="00C870EF" w:rsidRPr="000C5235">
        <w:t>10</w:t>
      </w:r>
      <w:r w:rsidRPr="000C5235">
        <w:t>.7 above</w:t>
      </w:r>
      <w:r w:rsidR="00FD4BA3" w:rsidRPr="000C5235">
        <w:t>) but</w:t>
      </w:r>
      <w:r w:rsidRPr="000C5235">
        <w:t xml:space="preserve"> changing the control type to “Administered”.</w:t>
      </w:r>
    </w:p>
    <w:p w14:paraId="79769195" w14:textId="77777777" w:rsidR="00FA0945" w:rsidRPr="000C5235" w:rsidRDefault="00AF3133" w:rsidP="000A7DEC">
      <w:r w:rsidRPr="000C5235">
        <w:t>T</w:t>
      </w:r>
      <w:r w:rsidR="00FA0945" w:rsidRPr="000C5235">
        <w:t xml:space="preserve">he “net cash appropriation arrangements” note does not apply to Table 3.7: Schedule of budgeted income and expenses administered on behalf of Government, even though it may appear on the CBMS report. </w:t>
      </w:r>
    </w:p>
    <w:p w14:paraId="54BC0A79" w14:textId="77777777" w:rsidR="00FA0945" w:rsidRPr="000C5235" w:rsidRDefault="00FA0945" w:rsidP="000A7DEC">
      <w:pPr>
        <w:pStyle w:val="Heading1Numbered"/>
      </w:pPr>
      <w:r w:rsidRPr="000C5235">
        <w:br w:type="page"/>
      </w:r>
      <w:bookmarkStart w:id="855" w:name="_Toc411852704"/>
      <w:bookmarkStart w:id="856" w:name="_Toc534382581"/>
      <w:bookmarkStart w:id="857" w:name="_Toc47951261"/>
      <w:r w:rsidRPr="000C5235">
        <w:rPr>
          <w:rFonts w:eastAsia="Times New Roman"/>
        </w:rPr>
        <w:t>Related issues</w:t>
      </w:r>
      <w:bookmarkEnd w:id="855"/>
      <w:bookmarkEnd w:id="856"/>
      <w:bookmarkEnd w:id="857"/>
    </w:p>
    <w:p w14:paraId="4CEA9BD9" w14:textId="77777777" w:rsidR="00FA0945" w:rsidRPr="000C5235" w:rsidRDefault="00FA0945" w:rsidP="000A7DEC">
      <w:pPr>
        <w:pStyle w:val="Heading2Numbered"/>
      </w:pPr>
      <w:bookmarkStart w:id="858" w:name="_Machinery_of_Government"/>
      <w:bookmarkStart w:id="859" w:name="_Toc411852705"/>
      <w:bookmarkStart w:id="860" w:name="_Toc534382582"/>
      <w:bookmarkStart w:id="861" w:name="_Ref29395814"/>
      <w:bookmarkStart w:id="862" w:name="_Ref29395943"/>
      <w:bookmarkStart w:id="863" w:name="_Ref29395998"/>
      <w:bookmarkStart w:id="864" w:name="_Ref29396029"/>
      <w:bookmarkStart w:id="865" w:name="_Ref29396037"/>
      <w:bookmarkStart w:id="866" w:name="_Toc47951262"/>
      <w:bookmarkEnd w:id="858"/>
      <w:r w:rsidRPr="000C5235">
        <w:t>Machinery of Government changes</w:t>
      </w:r>
      <w:bookmarkEnd w:id="859"/>
      <w:bookmarkEnd w:id="860"/>
      <w:bookmarkEnd w:id="861"/>
      <w:bookmarkEnd w:id="862"/>
      <w:bookmarkEnd w:id="863"/>
      <w:bookmarkEnd w:id="864"/>
      <w:bookmarkEnd w:id="865"/>
      <w:bookmarkEnd w:id="866"/>
    </w:p>
    <w:p w14:paraId="5F69B024" w14:textId="77777777" w:rsidR="00FA0945" w:rsidRPr="000C5235" w:rsidRDefault="00FA0945" w:rsidP="000A7DEC">
      <w:r w:rsidRPr="000C5235">
        <w:t>Transfers of appropriations under section 75 of the PGPA Act as a result of Administrative Arrangement Order (AAO) changes must be reported in PB Statements and/or PAES.</w:t>
      </w:r>
    </w:p>
    <w:p w14:paraId="74974CE3" w14:textId="77777777" w:rsidR="00FA0945" w:rsidRPr="000C5235" w:rsidRDefault="00FA0945" w:rsidP="000A7DEC">
      <w:r w:rsidRPr="000C5235">
        <w:t>Where section 75 transfers have not been agreed in time to be reported in the PB Statements, entities should note in their PB Statements that further details of the AAO changes will be reported in the next budget statement (</w:t>
      </w:r>
      <w:r w:rsidR="00E10C89" w:rsidRPr="000C5235">
        <w:t>ie</w:t>
      </w:r>
      <w:r w:rsidRPr="000C5235">
        <w:t xml:space="preserve"> PAES).</w:t>
      </w:r>
    </w:p>
    <w:p w14:paraId="6B6D8B4F" w14:textId="77777777" w:rsidR="00FA0945" w:rsidRPr="000C5235" w:rsidRDefault="00FA0945" w:rsidP="000A7DEC">
      <w:r w:rsidRPr="000C5235">
        <w:t xml:space="preserve">Affected entities should use explanatory footnotes to provide more detail and context wherever AAO changes apply. </w:t>
      </w:r>
    </w:p>
    <w:p w14:paraId="648656CC" w14:textId="77777777" w:rsidR="00FA0945" w:rsidRPr="000C5235" w:rsidRDefault="00FA0945" w:rsidP="000A7DEC">
      <w:r w:rsidRPr="000C5235">
        <w:t xml:space="preserve">Further information on implementing AAO changes can be found on the Australian Public Service Commission’s website </w:t>
      </w:r>
      <w:hyperlink r:id="rId66" w:history="1">
        <w:r w:rsidR="008A3667" w:rsidRPr="000C5235">
          <w:rPr>
            <w:rStyle w:val="Hyperlink"/>
          </w:rPr>
          <w:t>www.apsc.gov.au/publications-and-media/current-publications/machinery-of-government</w:t>
        </w:r>
      </w:hyperlink>
      <w:r w:rsidR="002E150F" w:rsidRPr="000C5235">
        <w:t>.</w:t>
      </w:r>
    </w:p>
    <w:p w14:paraId="10BCCF1E" w14:textId="77777777" w:rsidR="00FA0945" w:rsidRPr="000C5235" w:rsidRDefault="00FA0945" w:rsidP="000A7DEC">
      <w:pPr>
        <w:pStyle w:val="Heading3Numbered"/>
      </w:pPr>
      <w:bookmarkStart w:id="867" w:name="_Toc47951263"/>
      <w:r w:rsidRPr="000C5235">
        <w:t xml:space="preserve">Entity </w:t>
      </w:r>
      <w:r w:rsidR="0079648C" w:rsidRPr="000C5235">
        <w:t>r</w:t>
      </w:r>
      <w:r w:rsidRPr="000C5235">
        <w:t xml:space="preserve">esource </w:t>
      </w:r>
      <w:r w:rsidR="0079648C" w:rsidRPr="000C5235">
        <w:t>s</w:t>
      </w:r>
      <w:r w:rsidRPr="000C5235">
        <w:t>tatement (Table 1.1)</w:t>
      </w:r>
      <w:bookmarkEnd w:id="867"/>
    </w:p>
    <w:p w14:paraId="366260CE" w14:textId="77777777" w:rsidR="00FA0945" w:rsidRPr="000C5235" w:rsidRDefault="00FA0945" w:rsidP="000A7DEC">
      <w:r w:rsidRPr="000C5235">
        <w:t xml:space="preserve">The Entity </w:t>
      </w:r>
      <w:r w:rsidR="00FD4BA3" w:rsidRPr="000C5235">
        <w:t>R</w:t>
      </w:r>
      <w:r w:rsidRPr="000C5235">
        <w:t xml:space="preserve">esource </w:t>
      </w:r>
      <w:r w:rsidR="00FD4BA3" w:rsidRPr="000C5235">
        <w:t>S</w:t>
      </w:r>
      <w:r w:rsidRPr="000C5235">
        <w:t xml:space="preserve">tatement should explain by way of footnote for each affected entity the resourcing impact of functions that are gained and/or transferred, and from/to which entity it was transferred. </w:t>
      </w:r>
    </w:p>
    <w:p w14:paraId="77288D6F" w14:textId="77777777" w:rsidR="00FA0945" w:rsidRPr="000C5235" w:rsidRDefault="00FA0945" w:rsidP="000A7DEC">
      <w:r w:rsidRPr="000C5235">
        <w:t xml:space="preserve">The </w:t>
      </w:r>
      <w:r w:rsidR="00FD4BA3" w:rsidRPr="000C5235">
        <w:t>T</w:t>
      </w:r>
      <w:r w:rsidRPr="000C5235">
        <w:t xml:space="preserve">hird </w:t>
      </w:r>
      <w:r w:rsidR="00FD4BA3" w:rsidRPr="000C5235">
        <w:t>P</w:t>
      </w:r>
      <w:r w:rsidRPr="000C5235">
        <w:t>arty payments section should also reflect functions transferred between portfolios.  Entities should include a footnote describing the changes and the amounts transferred.</w:t>
      </w:r>
    </w:p>
    <w:p w14:paraId="69C6C9EB" w14:textId="77777777" w:rsidR="00FA0945" w:rsidRPr="000C5235" w:rsidRDefault="00FA0945" w:rsidP="000A7DEC">
      <w:pPr>
        <w:pStyle w:val="Heading4nonumbers"/>
      </w:pPr>
      <w:r w:rsidRPr="000C5235">
        <w:t>Gaining entities</w:t>
      </w:r>
    </w:p>
    <w:p w14:paraId="0A3D1A1C" w14:textId="77777777" w:rsidR="00FA0945" w:rsidRPr="000C5235" w:rsidRDefault="00FA0945" w:rsidP="000A7DEC">
      <w:r w:rsidRPr="000C5235">
        <w:t>These are entities that gain functions under the new AAOs.</w:t>
      </w:r>
    </w:p>
    <w:p w14:paraId="651F6090" w14:textId="77777777" w:rsidR="00FA0945" w:rsidRPr="000C5235" w:rsidRDefault="00FA0945">
      <w:pPr>
        <w:pStyle w:val="Bullet1"/>
      </w:pPr>
      <w:r w:rsidRPr="000C5235">
        <w:t>The “201</w:t>
      </w:r>
      <w:r w:rsidR="004932F4" w:rsidRPr="000C5235">
        <w:t>9</w:t>
      </w:r>
      <w:r w:rsidR="00F415C5" w:rsidRPr="000C5235">
        <w:t>-</w:t>
      </w:r>
      <w:r w:rsidR="004932F4" w:rsidRPr="000C5235">
        <w:t>20</w:t>
      </w:r>
      <w:r w:rsidRPr="000C5235">
        <w:t xml:space="preserve"> </w:t>
      </w:r>
      <w:r w:rsidR="00960812" w:rsidRPr="000C5235">
        <w:t>E</w:t>
      </w:r>
      <w:r w:rsidRPr="000C5235">
        <w:t>stimate</w:t>
      </w:r>
      <w:r w:rsidR="00960812" w:rsidRPr="000C5235">
        <w:t>d Actual</w:t>
      </w:r>
      <w:r w:rsidRPr="000C5235">
        <w:t xml:space="preserve">” column should reflect all the resources available to the entity, </w:t>
      </w:r>
      <w:r w:rsidRPr="000C5235">
        <w:rPr>
          <w:u w:val="single"/>
        </w:rPr>
        <w:t>including</w:t>
      </w:r>
      <w:r w:rsidRPr="000C5235">
        <w:t xml:space="preserve"> resourcing for those functions it has gained</w:t>
      </w:r>
    </w:p>
    <w:p w14:paraId="7FC85D95" w14:textId="77777777" w:rsidR="00FA0945" w:rsidRPr="000C5235" w:rsidRDefault="00FA0945">
      <w:pPr>
        <w:pStyle w:val="Bullet2"/>
      </w:pPr>
      <w:r w:rsidRPr="000C5235">
        <w:t>Where the AAO changes occur part-way through a financial year, the gaining entity should only show those resources available from the agreed date of effect of the AAO changes onwards</w:t>
      </w:r>
    </w:p>
    <w:p w14:paraId="44BB2533" w14:textId="77777777" w:rsidR="00FA0945" w:rsidRPr="000C5235" w:rsidRDefault="00FA0945">
      <w:pPr>
        <w:pStyle w:val="Bullet1"/>
      </w:pPr>
      <w:r w:rsidRPr="000C5235">
        <w:t xml:space="preserve">Entities should include a footnote to </w:t>
      </w:r>
      <w:r w:rsidRPr="000C5235">
        <w:rPr>
          <w:i/>
        </w:rPr>
        <w:t>Table 1.1</w:t>
      </w:r>
      <w:r w:rsidRPr="000C5235">
        <w:t xml:space="preserve"> detailing the effects of the AAO changes.</w:t>
      </w:r>
    </w:p>
    <w:p w14:paraId="5A8EE9F8" w14:textId="77777777" w:rsidR="00FA0945" w:rsidRPr="000C5235" w:rsidRDefault="00FA0945" w:rsidP="000A7DEC">
      <w:pPr>
        <w:pStyle w:val="Heading4nonumbers"/>
      </w:pPr>
      <w:r w:rsidRPr="000C5235">
        <w:t>Losing entities</w:t>
      </w:r>
    </w:p>
    <w:p w14:paraId="37B2C422" w14:textId="77777777" w:rsidR="00FA0945" w:rsidRPr="000C5235" w:rsidRDefault="00FA0945" w:rsidP="000A7DEC">
      <w:r w:rsidRPr="000C5235">
        <w:t>These are entities that lose functions under the new AAOs.</w:t>
      </w:r>
    </w:p>
    <w:p w14:paraId="601B1B8D" w14:textId="77777777" w:rsidR="00FA0945" w:rsidRPr="000C5235" w:rsidRDefault="00FA0945">
      <w:pPr>
        <w:pStyle w:val="Bullet1"/>
      </w:pPr>
      <w:r w:rsidRPr="000C5235">
        <w:t>The “</w:t>
      </w:r>
      <w:r w:rsidR="00F415C5" w:rsidRPr="000C5235">
        <w:t>201</w:t>
      </w:r>
      <w:r w:rsidR="004932F4" w:rsidRPr="000C5235">
        <w:t>9</w:t>
      </w:r>
      <w:r w:rsidR="00F415C5" w:rsidRPr="000C5235">
        <w:t>-</w:t>
      </w:r>
      <w:r w:rsidR="004932F4" w:rsidRPr="000C5235">
        <w:t>20</w:t>
      </w:r>
      <w:r w:rsidRPr="000C5235">
        <w:t xml:space="preserve"> </w:t>
      </w:r>
      <w:r w:rsidR="00511313" w:rsidRPr="000C5235">
        <w:t>E</w:t>
      </w:r>
      <w:r w:rsidRPr="000C5235">
        <w:t>stimate</w:t>
      </w:r>
      <w:r w:rsidR="00511313" w:rsidRPr="000C5235">
        <w:t>d Actual</w:t>
      </w:r>
      <w:r w:rsidRPr="000C5235">
        <w:t xml:space="preserve">” column should reflect all the resources available to the entity, </w:t>
      </w:r>
      <w:r w:rsidRPr="000C5235">
        <w:rPr>
          <w:u w:val="single"/>
        </w:rPr>
        <w:t>excluding</w:t>
      </w:r>
      <w:r w:rsidRPr="000C5235">
        <w:t xml:space="preserve"> those functions it has lost</w:t>
      </w:r>
    </w:p>
    <w:p w14:paraId="0AFCC9D7" w14:textId="77777777" w:rsidR="00FA0945" w:rsidRPr="000C5235" w:rsidRDefault="00FA0945">
      <w:pPr>
        <w:pStyle w:val="Bullet2"/>
      </w:pPr>
      <w:bookmarkStart w:id="868" w:name="_Toc411852706"/>
      <w:r w:rsidRPr="000C5235">
        <w:t>Where the AAO changes occur part-way through a financial year, the losing entity should only show those resources available up to the agreed date of effect of the AAO changes</w:t>
      </w:r>
    </w:p>
    <w:p w14:paraId="1ED7F9E0" w14:textId="77777777" w:rsidR="00FA0945" w:rsidRPr="000C5235" w:rsidRDefault="00FA0945">
      <w:pPr>
        <w:pStyle w:val="Bullet1"/>
      </w:pPr>
      <w:r w:rsidRPr="000C5235">
        <w:t xml:space="preserve">Entities should include a footnote to </w:t>
      </w:r>
      <w:r w:rsidRPr="000C5235">
        <w:rPr>
          <w:i/>
        </w:rPr>
        <w:t>Table 1.1</w:t>
      </w:r>
      <w:r w:rsidRPr="000C5235">
        <w:t xml:space="preserve"> detailing the effects of the AAO changes.</w:t>
      </w:r>
    </w:p>
    <w:p w14:paraId="5E99C5C3" w14:textId="77777777" w:rsidR="00FA0945" w:rsidRPr="000C5235" w:rsidRDefault="00FA0945" w:rsidP="000A7DEC">
      <w:pPr>
        <w:pStyle w:val="Heading3Numbered"/>
      </w:pPr>
      <w:bookmarkStart w:id="869" w:name="_Toc47951264"/>
      <w:r w:rsidRPr="000C5235">
        <w:t>Outcome information</w:t>
      </w:r>
      <w:bookmarkEnd w:id="869"/>
    </w:p>
    <w:p w14:paraId="4C44BD4E" w14:textId="77777777" w:rsidR="00FA0945" w:rsidRPr="000C5235" w:rsidRDefault="00FA0945" w:rsidP="000A7DEC">
      <w:r w:rsidRPr="000C5235">
        <w:t>Entities should describe any changes to outcome and program structures as a result of AAO changes to Section 2 of their PB Statements, including information on functions/entities transferred and to/from whom.</w:t>
      </w:r>
    </w:p>
    <w:p w14:paraId="041F2FA8" w14:textId="77777777" w:rsidR="00FA0945" w:rsidRPr="000C5235" w:rsidRDefault="00FA0945">
      <w:pPr>
        <w:pStyle w:val="Bullet1"/>
      </w:pPr>
      <w:r w:rsidRPr="000C5235">
        <w:t>Outcome statements presented must be those approved by the Minister for Finance (or his delegate), and program names/structures must be those approved by Finance and as reported in CBMS.</w:t>
      </w:r>
    </w:p>
    <w:p w14:paraId="3B73FD19" w14:textId="77777777" w:rsidR="00FA0945" w:rsidRPr="000C5235" w:rsidRDefault="00FA0945">
      <w:pPr>
        <w:pStyle w:val="Bullet2"/>
      </w:pPr>
      <w:r w:rsidRPr="000C5235">
        <w:t xml:space="preserve">An optional template for showing outcome and program changes is included in the “Table 2 optional” tab of the Excel Tables workbook (available from </w:t>
      </w:r>
      <w:r w:rsidR="00F415C5" w:rsidRPr="000C5235">
        <w:t>CBMS User Reference Material</w:t>
      </w:r>
      <w:r w:rsidRPr="000C5235">
        <w:t xml:space="preserve"> in CBMS). Entities may choose to show outcome and program changes in an alternative table or pictorial format – the presentation chosen will depend on the scope of the changes. </w:t>
      </w:r>
    </w:p>
    <w:p w14:paraId="6BC18358" w14:textId="77777777" w:rsidR="00FA0945" w:rsidRPr="000C5235" w:rsidRDefault="00FA0945">
      <w:pPr>
        <w:pStyle w:val="Bullet1"/>
      </w:pPr>
      <w:r w:rsidRPr="000C5235">
        <w:t xml:space="preserve">Previous year actuals figures reported in </w:t>
      </w:r>
      <w:r w:rsidRPr="000C5235">
        <w:rPr>
          <w:i/>
        </w:rPr>
        <w:t>Table 2.X.1 (Budgeted expenses by Outcome X)</w:t>
      </w:r>
      <w:r w:rsidRPr="000C5235">
        <w:t xml:space="preserve"> should match expense figures captured in CBMS. </w:t>
      </w:r>
    </w:p>
    <w:p w14:paraId="79D8A9F2" w14:textId="77777777" w:rsidR="00FA0945" w:rsidRPr="000C5235" w:rsidRDefault="00FA0945">
      <w:pPr>
        <w:pStyle w:val="Bullet2"/>
      </w:pPr>
      <w:r w:rsidRPr="000C5235">
        <w:t>Gaining entities are not required to report prior year actual (</w:t>
      </w:r>
      <w:r w:rsidR="00E10C89" w:rsidRPr="000C5235">
        <w:t>ie</w:t>
      </w:r>
      <w:r w:rsidRPr="000C5235">
        <w:t xml:space="preserve"> </w:t>
      </w:r>
      <w:r w:rsidR="00FB16C1" w:rsidRPr="000C5235">
        <w:t>2018-19</w:t>
      </w:r>
      <w:r w:rsidRPr="000C5235">
        <w:t xml:space="preserve">) for functions gained in the </w:t>
      </w:r>
      <w:r w:rsidR="00927D41" w:rsidRPr="000C5235">
        <w:t xml:space="preserve">previous </w:t>
      </w:r>
      <w:r w:rsidR="00F415C5" w:rsidRPr="000C5235">
        <w:t>financial year (</w:t>
      </w:r>
      <w:r w:rsidR="00E10C89" w:rsidRPr="000C5235">
        <w:t>ie</w:t>
      </w:r>
      <w:r w:rsidR="00F415C5" w:rsidRPr="000C5235">
        <w:t xml:space="preserve"> </w:t>
      </w:r>
      <w:r w:rsidR="00511313" w:rsidRPr="000C5235">
        <w:t>2019-20</w:t>
      </w:r>
      <w:r w:rsidRPr="000C5235">
        <w:t>) – they should however include a reference to the losing entity’s PAES and/or upcoming annual report for further information</w:t>
      </w:r>
    </w:p>
    <w:p w14:paraId="07FCA72C" w14:textId="77777777" w:rsidR="00FA0945" w:rsidRPr="000C5235" w:rsidRDefault="00FA0945">
      <w:pPr>
        <w:pStyle w:val="Bullet2"/>
      </w:pPr>
      <w:r w:rsidRPr="000C5235">
        <w:t>Losing entities should show</w:t>
      </w:r>
      <w:r w:rsidR="00F415C5" w:rsidRPr="000C5235">
        <w:t xml:space="preserve"> prior year actual (</w:t>
      </w:r>
      <w:r w:rsidR="00E10C89" w:rsidRPr="000C5235">
        <w:t>ie</w:t>
      </w:r>
      <w:r w:rsidR="00F415C5" w:rsidRPr="000C5235">
        <w:t xml:space="preserve"> </w:t>
      </w:r>
      <w:r w:rsidR="00511313" w:rsidRPr="000C5235">
        <w:t>2018-19</w:t>
      </w:r>
      <w:r w:rsidRPr="000C5235">
        <w:t xml:space="preserve">) for functions lost in the </w:t>
      </w:r>
      <w:r w:rsidR="00927D41" w:rsidRPr="000C5235">
        <w:t xml:space="preserve">previous </w:t>
      </w:r>
      <w:r w:rsidR="00F415C5" w:rsidRPr="000C5235">
        <w:t>financial year (</w:t>
      </w:r>
      <w:r w:rsidR="00E10C89" w:rsidRPr="000C5235">
        <w:t>ie</w:t>
      </w:r>
      <w:r w:rsidR="00F415C5" w:rsidRPr="000C5235">
        <w:t xml:space="preserve"> </w:t>
      </w:r>
      <w:r w:rsidR="00511313" w:rsidRPr="000C5235">
        <w:t>2019-20</w:t>
      </w:r>
      <w:r w:rsidRPr="000C5235">
        <w:t>), or describe where such information can be found, for example, in the entity’s PAES and/or upcoming annual report</w:t>
      </w:r>
    </w:p>
    <w:p w14:paraId="02A5F903" w14:textId="77777777" w:rsidR="00FA0945" w:rsidRPr="000C5235" w:rsidRDefault="00FA0945">
      <w:pPr>
        <w:pStyle w:val="Bullet2"/>
      </w:pPr>
      <w:r w:rsidRPr="000C5235">
        <w:t xml:space="preserve">Further information on reporting AAO changes in financial statements can be found at </w:t>
      </w:r>
      <w:hyperlink r:id="rId67" w:history="1">
        <w:r w:rsidR="00E02C97" w:rsidRPr="000C5235">
          <w:rPr>
            <w:rStyle w:val="Hyperlink"/>
            <w:rFonts w:cs="Times New Roman"/>
          </w:rPr>
          <w:t>www.finance.gov.au/publications/resource-management-guides/commonwealth-entities-financial-statements-guide-rmg-125</w:t>
        </w:r>
      </w:hyperlink>
      <w:r w:rsidR="00427A89" w:rsidRPr="000C5235">
        <w:t>. For enquiries</w:t>
      </w:r>
      <w:r w:rsidR="00FB16C1" w:rsidRPr="000C5235">
        <w:t>, please</w:t>
      </w:r>
      <w:r w:rsidR="00427A89" w:rsidRPr="000C5235">
        <w:t xml:space="preserve"> contact your AAU in the first instance. </w:t>
      </w:r>
    </w:p>
    <w:p w14:paraId="344E9A25" w14:textId="77777777" w:rsidR="00FA0945" w:rsidRPr="000C5235" w:rsidRDefault="00FA0945" w:rsidP="000A7DEC">
      <w:pPr>
        <w:pStyle w:val="Heading3Numbered"/>
      </w:pPr>
      <w:bookmarkStart w:id="870" w:name="_Toc47951265"/>
      <w:r w:rsidRPr="000C5235">
        <w:t>Budgeted financial statements</w:t>
      </w:r>
      <w:bookmarkEnd w:id="870"/>
    </w:p>
    <w:p w14:paraId="467C3DCF" w14:textId="77777777" w:rsidR="00FA0945" w:rsidRPr="000C5235" w:rsidRDefault="00FA0945" w:rsidP="000A7DEC">
      <w:r w:rsidRPr="000C5235">
        <w:t>Entities’ financial statements should reflect the financial impact of functions/activities/programs transferred.</w:t>
      </w:r>
    </w:p>
    <w:p w14:paraId="275BF9CE" w14:textId="77777777" w:rsidR="00FA0945" w:rsidRPr="000C5235" w:rsidRDefault="00FA0945">
      <w:pPr>
        <w:pStyle w:val="Bullet1"/>
      </w:pPr>
      <w:r w:rsidRPr="000C5235">
        <w:t>Gaining entities should report the financial impact of the AAO changes from the agreed date of transfer onwards</w:t>
      </w:r>
    </w:p>
    <w:p w14:paraId="0E8B11E1" w14:textId="77777777" w:rsidR="00FA0945" w:rsidRPr="000C5235" w:rsidRDefault="00FA0945">
      <w:pPr>
        <w:pStyle w:val="Bullet1"/>
      </w:pPr>
      <w:r w:rsidRPr="000C5235">
        <w:t>Losing entities should report the financial impact of the AAO changes up to the agreed date of transfer.</w:t>
      </w:r>
    </w:p>
    <w:p w14:paraId="0839A781" w14:textId="77777777" w:rsidR="00BD51B0" w:rsidRPr="000C5235" w:rsidRDefault="00BD51B0" w:rsidP="000A7DEC">
      <w:pPr>
        <w:pStyle w:val="Heading3Numbered"/>
      </w:pPr>
      <w:bookmarkStart w:id="871" w:name="_Toc47951266"/>
      <w:r w:rsidRPr="000C5235">
        <w:t>Other important information</w:t>
      </w:r>
      <w:bookmarkEnd w:id="871"/>
    </w:p>
    <w:p w14:paraId="26DBAD46" w14:textId="77777777" w:rsidR="00FA0945" w:rsidRPr="000C5235" w:rsidRDefault="00FA0945" w:rsidP="000A7DEC">
      <w:pPr>
        <w:pStyle w:val="Heading4nonumbers"/>
      </w:pPr>
      <w:bookmarkStart w:id="872" w:name="Review_AAOs_Other_important_Info"/>
      <w:bookmarkEnd w:id="872"/>
      <w:r w:rsidRPr="000C5235">
        <w:t>Subsequent AAO changes following the PB Statements</w:t>
      </w:r>
    </w:p>
    <w:p w14:paraId="54930CC0" w14:textId="77777777" w:rsidR="00FA0945" w:rsidRPr="000C5235" w:rsidRDefault="00FA0945" w:rsidP="000A7DEC">
      <w:r w:rsidRPr="000C5235">
        <w:t>AAO changes can be announced at any time. This can occasionally be after the preparation of the Appropriation Bills has commenced or after the PB Statements have been completed but not yet tabled in Parliament.</w:t>
      </w:r>
    </w:p>
    <w:p w14:paraId="285D160A" w14:textId="77777777" w:rsidR="004215DD" w:rsidRPr="000C5235" w:rsidRDefault="00FA0945" w:rsidP="000A7DEC">
      <w:pPr>
        <w:rPr>
          <w:rFonts w:eastAsia="Cambria" w:cs="Times New Roman"/>
        </w:rPr>
      </w:pPr>
      <w:r w:rsidRPr="000C5235">
        <w:t>If changes are announced so close to the presentation of the Appropriation Bills to Parliament that neither the Bills nor the budget statements can reflect the announced changes, these should be explained in the next budget statements and subsequently in the entity’s annual report.</w:t>
      </w:r>
    </w:p>
    <w:p w14:paraId="162353E1" w14:textId="77777777" w:rsidR="00FA0945" w:rsidRPr="000C5235" w:rsidRDefault="00FA0945" w:rsidP="000A7DEC">
      <w:pPr>
        <w:pStyle w:val="Heading4nonumbers"/>
      </w:pPr>
      <w:bookmarkStart w:id="873" w:name="_Toc536108599"/>
      <w:bookmarkStart w:id="874" w:name="_Toc534382583"/>
      <w:bookmarkEnd w:id="873"/>
      <w:r w:rsidRPr="000C5235">
        <w:t>Program and outcome changes</w:t>
      </w:r>
      <w:bookmarkEnd w:id="868"/>
      <w:bookmarkEnd w:id="874"/>
    </w:p>
    <w:p w14:paraId="645594D6" w14:textId="77777777" w:rsidR="00FA0945" w:rsidRPr="000C5235" w:rsidRDefault="00FA0945" w:rsidP="000A7DEC">
      <w:r w:rsidRPr="000C5235">
        <w:t>Changes to outcomes and programs cannot be reflected in the PB Statements until the requisite approval from Finance and/or the Minister has been received.</w:t>
      </w:r>
    </w:p>
    <w:p w14:paraId="423BB520" w14:textId="77777777" w:rsidR="000B4CED" w:rsidRPr="000C5235" w:rsidRDefault="00FA0945" w:rsidP="000A7DEC">
      <w:r w:rsidRPr="000C5235">
        <w:t xml:space="preserve">For information on changing programs and/or outcomes, please refer to </w:t>
      </w:r>
      <w:r w:rsidR="000B4CED" w:rsidRPr="000C5235">
        <w:t xml:space="preserve">the latest EM on </w:t>
      </w:r>
      <w:r w:rsidRPr="000C5235">
        <w:t xml:space="preserve">the Outcome Statements </w:t>
      </w:r>
      <w:r w:rsidR="000B4CED" w:rsidRPr="000C5235">
        <w:t>and Programs.</w:t>
      </w:r>
    </w:p>
    <w:p w14:paraId="07A06F3C" w14:textId="77777777" w:rsidR="00B06B0D" w:rsidRPr="000C5235" w:rsidRDefault="000B4CED" w:rsidP="002F164F">
      <w:pPr>
        <w:rPr>
          <w:rStyle w:val="Hyperlink"/>
          <w:color w:val="auto"/>
          <w:u w:val="none"/>
        </w:rPr>
      </w:pPr>
      <w:r w:rsidRPr="000C5235">
        <w:t>The p</w:t>
      </w:r>
      <w:r w:rsidR="00FA0945" w:rsidRPr="000C5235">
        <w:t xml:space="preserve">olicy and </w:t>
      </w:r>
      <w:r w:rsidRPr="000C5235">
        <w:t>a</w:t>
      </w:r>
      <w:r w:rsidR="00FA0945" w:rsidRPr="000C5235">
        <w:t xml:space="preserve">pproval </w:t>
      </w:r>
      <w:r w:rsidR="00CC3256" w:rsidRPr="000C5235">
        <w:t>p</w:t>
      </w:r>
      <w:r w:rsidR="00FA0945" w:rsidRPr="000C5235">
        <w:t xml:space="preserve">rocess </w:t>
      </w:r>
      <w:r w:rsidRPr="000C5235">
        <w:t xml:space="preserve">for outcomes and programs </w:t>
      </w:r>
      <w:r w:rsidR="00B06B0D" w:rsidRPr="000C5235">
        <w:t>changes please refer to</w:t>
      </w:r>
      <w:r w:rsidR="002F164F" w:rsidRPr="000C5235">
        <w:t xml:space="preserve"> section </w:t>
      </w:r>
      <w:r w:rsidR="002F164F" w:rsidRPr="000C5235">
        <w:rPr>
          <w:i/>
          <w:color w:val="0070C0"/>
          <w:u w:val="single"/>
        </w:rPr>
        <w:fldChar w:fldCharType="begin"/>
      </w:r>
      <w:r w:rsidR="002F164F" w:rsidRPr="000C5235">
        <w:rPr>
          <w:i/>
          <w:color w:val="0070C0"/>
          <w:u w:val="single"/>
        </w:rPr>
        <w:instrText xml:space="preserve"> REF _Ref33522177 \r \h  \* MERGEFORMAT </w:instrText>
      </w:r>
      <w:r w:rsidR="002F164F" w:rsidRPr="000C5235">
        <w:rPr>
          <w:i/>
          <w:color w:val="0070C0"/>
          <w:u w:val="single"/>
        </w:rPr>
      </w:r>
      <w:r w:rsidR="002F164F" w:rsidRPr="000C5235">
        <w:rPr>
          <w:i/>
          <w:color w:val="0070C0"/>
          <w:u w:val="single"/>
        </w:rPr>
        <w:fldChar w:fldCharType="separate"/>
      </w:r>
      <w:r w:rsidR="00FD0A7F" w:rsidRPr="000C5235">
        <w:rPr>
          <w:i/>
          <w:color w:val="0070C0"/>
          <w:u w:val="single"/>
        </w:rPr>
        <w:t>10.3</w:t>
      </w:r>
      <w:r w:rsidR="002F164F" w:rsidRPr="000C5235">
        <w:rPr>
          <w:i/>
          <w:color w:val="0070C0"/>
          <w:u w:val="single"/>
        </w:rPr>
        <w:fldChar w:fldCharType="end"/>
      </w:r>
      <w:r w:rsidR="002F164F" w:rsidRPr="000C5235">
        <w:rPr>
          <w:i/>
          <w:color w:val="0070C0"/>
          <w:u w:val="single"/>
        </w:rPr>
        <w:t xml:space="preserve"> </w:t>
      </w:r>
      <w:r w:rsidR="002F164F" w:rsidRPr="000C5235">
        <w:rPr>
          <w:i/>
          <w:color w:val="0070C0"/>
          <w:u w:val="single"/>
        </w:rPr>
        <w:fldChar w:fldCharType="begin"/>
      </w:r>
      <w:r w:rsidR="002F164F" w:rsidRPr="000C5235">
        <w:rPr>
          <w:i/>
          <w:color w:val="0070C0"/>
          <w:u w:val="single"/>
        </w:rPr>
        <w:instrText xml:space="preserve"> REF _Ref33522182 \h  \* MERGEFORMAT </w:instrText>
      </w:r>
      <w:r w:rsidR="002F164F" w:rsidRPr="000C5235">
        <w:rPr>
          <w:i/>
          <w:color w:val="0070C0"/>
          <w:u w:val="single"/>
        </w:rPr>
      </w:r>
      <w:r w:rsidR="002F164F" w:rsidRPr="000C5235">
        <w:rPr>
          <w:i/>
          <w:color w:val="0070C0"/>
          <w:u w:val="single"/>
        </w:rPr>
        <w:fldChar w:fldCharType="separate"/>
      </w:r>
      <w:r w:rsidR="00FD0A7F" w:rsidRPr="000C5235">
        <w:rPr>
          <w:rFonts w:eastAsia="Times New Roman"/>
          <w:i/>
          <w:color w:val="0070C0"/>
          <w:u w:val="single"/>
        </w:rPr>
        <w:t>Outcome statements</w:t>
      </w:r>
      <w:r w:rsidR="002F164F" w:rsidRPr="000C5235">
        <w:rPr>
          <w:i/>
          <w:color w:val="0070C0"/>
          <w:u w:val="single"/>
        </w:rPr>
        <w:fldChar w:fldCharType="end"/>
      </w:r>
      <w:r w:rsidR="002F164F" w:rsidRPr="000C5235">
        <w:t xml:space="preserve"> </w:t>
      </w:r>
      <w:r w:rsidR="002F164F" w:rsidRPr="000C5235">
        <w:fldChar w:fldCharType="begin"/>
      </w:r>
      <w:r w:rsidR="002F164F" w:rsidRPr="000C5235">
        <w:instrText xml:space="preserve"> REF _Ref33522184 \p \h </w:instrText>
      </w:r>
      <w:r w:rsidR="008B029A" w:rsidRPr="000C5235">
        <w:instrText xml:space="preserve"> \* MERGEFORMAT </w:instrText>
      </w:r>
      <w:r w:rsidR="002F164F" w:rsidRPr="000C5235">
        <w:fldChar w:fldCharType="separate"/>
      </w:r>
      <w:r w:rsidR="002F164F" w:rsidRPr="000C5235">
        <w:t>above</w:t>
      </w:r>
      <w:r w:rsidR="002F164F" w:rsidRPr="000C5235">
        <w:fldChar w:fldCharType="end"/>
      </w:r>
      <w:r w:rsidR="002F164F" w:rsidRPr="000C5235">
        <w:t xml:space="preserve"> </w:t>
      </w:r>
      <w:r w:rsidR="00B06B0D" w:rsidRPr="000C5235">
        <w:t>of this guidance for further information on outcome and program changes.</w:t>
      </w:r>
    </w:p>
    <w:p w14:paraId="30D805C6" w14:textId="388F4BF8" w:rsidR="00FA0945" w:rsidRPr="000C5235" w:rsidRDefault="00FA0945" w:rsidP="000A7DEC">
      <w:pPr>
        <w:pStyle w:val="Heading1Numbered"/>
      </w:pPr>
      <w:bookmarkStart w:id="875" w:name="_Toc29394574"/>
      <w:bookmarkStart w:id="876" w:name="_Toc29394872"/>
      <w:bookmarkStart w:id="877" w:name="_Toc29394999"/>
      <w:bookmarkStart w:id="878" w:name="_Toc29395396"/>
      <w:bookmarkStart w:id="879" w:name="_Toc29395483"/>
      <w:bookmarkStart w:id="880" w:name="_Toc29396914"/>
      <w:bookmarkStart w:id="881" w:name="_Toc29478156"/>
      <w:bookmarkStart w:id="882" w:name="_Toc29481894"/>
      <w:bookmarkStart w:id="883" w:name="_Toc29544198"/>
      <w:bookmarkStart w:id="884" w:name="_Toc29544785"/>
      <w:bookmarkStart w:id="885" w:name="_Toc29544860"/>
      <w:bookmarkStart w:id="886" w:name="_Toc29546724"/>
      <w:bookmarkStart w:id="887" w:name="_Toc29980741"/>
      <w:bookmarkStart w:id="888" w:name="_Toc30405629"/>
      <w:bookmarkStart w:id="889" w:name="_Toc30581370"/>
      <w:bookmarkStart w:id="890" w:name="_Toc32830032"/>
      <w:bookmarkStart w:id="891" w:name="_Toc32917539"/>
      <w:bookmarkStart w:id="892" w:name="_Toc32918345"/>
      <w:bookmarkStart w:id="893" w:name="_Toc32999728"/>
      <w:bookmarkStart w:id="894" w:name="_Toc33099452"/>
      <w:bookmarkStart w:id="895" w:name="_Toc33196077"/>
      <w:bookmarkStart w:id="896" w:name="_Toc33196379"/>
      <w:bookmarkStart w:id="897" w:name="_Toc411852707"/>
      <w:bookmarkStart w:id="898" w:name="_Toc534382584"/>
      <w:bookmarkStart w:id="899" w:name="_Toc47951267"/>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r w:rsidRPr="000C5235">
        <w:t xml:space="preserve">Working with </w:t>
      </w:r>
      <w:bookmarkEnd w:id="5"/>
      <w:bookmarkEnd w:id="897"/>
      <w:r w:rsidRPr="000C5235">
        <w:t>the templates</w:t>
      </w:r>
      <w:bookmarkEnd w:id="898"/>
      <w:bookmarkEnd w:id="899"/>
    </w:p>
    <w:p w14:paraId="6A624083" w14:textId="20F44BAA" w:rsidR="00FA0945" w:rsidRPr="000C5235" w:rsidRDefault="00FA0945" w:rsidP="000A7DEC">
      <w:pPr>
        <w:pStyle w:val="Heading2Numbered"/>
      </w:pPr>
      <w:bookmarkStart w:id="900" w:name="_Toc47951268"/>
      <w:r w:rsidRPr="000C5235">
        <w:t>Saving the files</w:t>
      </w:r>
      <w:bookmarkEnd w:id="900"/>
    </w:p>
    <w:p w14:paraId="5651DBA6" w14:textId="77777777" w:rsidR="00FA0945" w:rsidRPr="000C5235" w:rsidRDefault="00FA0945" w:rsidP="000A7DEC">
      <w:r w:rsidRPr="000C5235">
        <w:rPr>
          <w:u w:val="single"/>
        </w:rPr>
        <w:t>Do not</w:t>
      </w:r>
      <w:r w:rsidRPr="000C5235">
        <w:t xml:space="preserve"> open and save the files.  Use your email program to save the attachments. For example, using Outlook 2016:</w:t>
      </w:r>
    </w:p>
    <w:p w14:paraId="1D644506" w14:textId="77777777" w:rsidR="00FA0945" w:rsidRPr="000C5235" w:rsidRDefault="00FA0945" w:rsidP="005D722E">
      <w:pPr>
        <w:pStyle w:val="Numbered"/>
        <w:numPr>
          <w:ilvl w:val="0"/>
          <w:numId w:val="207"/>
        </w:numPr>
      </w:pPr>
      <w:r w:rsidRPr="000C5235">
        <w:t>Select the email containing the attachments</w:t>
      </w:r>
    </w:p>
    <w:p w14:paraId="2AB8C93A" w14:textId="77777777" w:rsidR="00FA0945" w:rsidRPr="000C5235" w:rsidRDefault="00FA0945" w:rsidP="005D722E">
      <w:pPr>
        <w:pStyle w:val="Numbered"/>
        <w:numPr>
          <w:ilvl w:val="0"/>
          <w:numId w:val="207"/>
        </w:numPr>
      </w:pPr>
      <w:r w:rsidRPr="000C5235">
        <w:t>Click File and select Save Attachments.</w:t>
      </w:r>
    </w:p>
    <w:p w14:paraId="0E0C8BF1" w14:textId="686CA58D" w:rsidR="00FA0945" w:rsidRPr="000C5235" w:rsidRDefault="00FA0945" w:rsidP="000A7DEC">
      <w:pPr>
        <w:pStyle w:val="Heading2Numbered"/>
      </w:pPr>
      <w:bookmarkStart w:id="901" w:name="_Toc47951269"/>
      <w:r w:rsidRPr="000C5235">
        <w:t>Excel table specifications</w:t>
      </w:r>
      <w:bookmarkEnd w:id="901"/>
    </w:p>
    <w:p w14:paraId="1261562C" w14:textId="77777777" w:rsidR="004B345F" w:rsidRPr="000C5235" w:rsidRDefault="00FA0945" w:rsidP="000A7DEC">
      <w:r w:rsidRPr="000C5235">
        <w:t>The Excel Tables have been formatted to B5 size. Should you need to reformat any of the tables, please use the following specifications: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0" w:type="dxa"/>
          <w:right w:w="0" w:type="dxa"/>
        </w:tblCellMar>
        <w:tblLook w:val="01E0" w:firstRow="1" w:lastRow="1" w:firstColumn="1" w:lastColumn="1" w:noHBand="0" w:noVBand="0"/>
      </w:tblPr>
      <w:tblGrid>
        <w:gridCol w:w="3397"/>
        <w:gridCol w:w="2386"/>
        <w:gridCol w:w="2576"/>
      </w:tblGrid>
      <w:tr w:rsidR="00FA0945" w:rsidRPr="000C5235" w14:paraId="10CFF45E" w14:textId="77777777" w:rsidTr="00DB312F">
        <w:tc>
          <w:tcPr>
            <w:tcW w:w="3397" w:type="dxa"/>
            <w:shd w:val="clear" w:color="auto" w:fill="F2F2F2" w:themeFill="background1" w:themeFillShade="F2"/>
          </w:tcPr>
          <w:p w14:paraId="3B33A39C" w14:textId="77777777" w:rsidR="00FA0945" w:rsidRPr="000C5235" w:rsidRDefault="00FA0945" w:rsidP="00DB312F">
            <w:pPr>
              <w:pStyle w:val="TableText-Medium"/>
            </w:pPr>
            <w:r w:rsidRPr="000C5235">
              <w:t>Font name</w:t>
            </w:r>
          </w:p>
        </w:tc>
        <w:tc>
          <w:tcPr>
            <w:tcW w:w="4962" w:type="dxa"/>
            <w:gridSpan w:val="2"/>
            <w:shd w:val="clear" w:color="auto" w:fill="F2F2F2" w:themeFill="background1" w:themeFillShade="F2"/>
          </w:tcPr>
          <w:p w14:paraId="47187867" w14:textId="77777777" w:rsidR="00FA0945" w:rsidRPr="000C5235" w:rsidRDefault="00FA0945" w:rsidP="00DB312F">
            <w:pPr>
              <w:pStyle w:val="TableText-Medium"/>
            </w:pPr>
            <w:r w:rsidRPr="000C5235">
              <w:t>Arial</w:t>
            </w:r>
          </w:p>
        </w:tc>
      </w:tr>
      <w:tr w:rsidR="00FA0945" w:rsidRPr="000C5235" w14:paraId="1CA21599" w14:textId="77777777" w:rsidTr="00DB312F">
        <w:tc>
          <w:tcPr>
            <w:tcW w:w="3397" w:type="dxa"/>
            <w:shd w:val="clear" w:color="auto" w:fill="F2F2F2" w:themeFill="background1" w:themeFillShade="F2"/>
          </w:tcPr>
          <w:p w14:paraId="14DE71AC" w14:textId="77777777" w:rsidR="00FA0945" w:rsidRPr="000C5235" w:rsidRDefault="00FA0945" w:rsidP="00DB312F">
            <w:pPr>
              <w:pStyle w:val="TableText-Medium"/>
            </w:pPr>
            <w:r w:rsidRPr="000C5235">
              <w:t>Font size</w:t>
            </w:r>
          </w:p>
        </w:tc>
        <w:tc>
          <w:tcPr>
            <w:tcW w:w="4962" w:type="dxa"/>
            <w:gridSpan w:val="2"/>
            <w:shd w:val="clear" w:color="auto" w:fill="F2F2F2" w:themeFill="background1" w:themeFillShade="F2"/>
          </w:tcPr>
          <w:p w14:paraId="34BB9DD0" w14:textId="77777777" w:rsidR="00FA0945" w:rsidRPr="000C5235" w:rsidRDefault="00AE6EBC" w:rsidP="00DB312F">
            <w:pPr>
              <w:pStyle w:val="TableText-Medium"/>
            </w:pPr>
            <w:r w:rsidRPr="000C5235">
              <w:t>8</w:t>
            </w:r>
            <w:r w:rsidR="00FA0945" w:rsidRPr="000C5235">
              <w:t xml:space="preserve"> pts (colour = Black not automatic)</w:t>
            </w:r>
          </w:p>
        </w:tc>
      </w:tr>
      <w:tr w:rsidR="00FA0945" w:rsidRPr="000C5235" w14:paraId="79520573" w14:textId="77777777" w:rsidTr="00DB312F">
        <w:trPr>
          <w:trHeight w:val="900"/>
        </w:trPr>
        <w:tc>
          <w:tcPr>
            <w:tcW w:w="3397" w:type="dxa"/>
            <w:shd w:val="clear" w:color="auto" w:fill="F2F2F2" w:themeFill="background1" w:themeFillShade="F2"/>
          </w:tcPr>
          <w:p w14:paraId="11234AAD" w14:textId="77777777" w:rsidR="00FA0945" w:rsidRPr="000C5235" w:rsidRDefault="00FA0945" w:rsidP="00DB312F">
            <w:pPr>
              <w:pStyle w:val="TableText-Medium"/>
            </w:pPr>
            <w:r w:rsidRPr="000C5235">
              <w:t>Height/width dimensions</w:t>
            </w:r>
          </w:p>
          <w:p w14:paraId="11F49C40" w14:textId="77777777" w:rsidR="00FA0945" w:rsidRPr="000C5235" w:rsidRDefault="00FA0945" w:rsidP="00DB312F">
            <w:pPr>
              <w:pStyle w:val="TableText-Medium"/>
            </w:pPr>
            <w:r w:rsidRPr="000C5235">
              <w:t>Portrait tables</w:t>
            </w:r>
          </w:p>
        </w:tc>
        <w:tc>
          <w:tcPr>
            <w:tcW w:w="4962" w:type="dxa"/>
            <w:gridSpan w:val="2"/>
            <w:shd w:val="clear" w:color="auto" w:fill="F2F2F2" w:themeFill="background1" w:themeFillShade="F2"/>
          </w:tcPr>
          <w:p w14:paraId="701B0F13" w14:textId="77777777" w:rsidR="00FA0945" w:rsidRPr="000C5235" w:rsidRDefault="00FA0945" w:rsidP="00DB312F">
            <w:pPr>
              <w:pStyle w:val="TableText-Medium"/>
            </w:pPr>
            <w:r w:rsidRPr="000C5235">
              <w:t>Width 13.6 cm (13 cm in a shaded cell)</w:t>
            </w:r>
          </w:p>
          <w:p w14:paraId="591E4536" w14:textId="77777777" w:rsidR="00FA0945" w:rsidRPr="000C5235" w:rsidRDefault="00FA0945" w:rsidP="00DB312F">
            <w:pPr>
              <w:pStyle w:val="TableText-Medium"/>
            </w:pPr>
            <w:r w:rsidRPr="000C5235">
              <w:t>Height 21 cm</w:t>
            </w:r>
          </w:p>
        </w:tc>
      </w:tr>
      <w:tr w:rsidR="00FA0945" w:rsidRPr="000C5235" w14:paraId="1213DDE9" w14:textId="77777777" w:rsidTr="00DB312F">
        <w:trPr>
          <w:trHeight w:val="600"/>
        </w:trPr>
        <w:tc>
          <w:tcPr>
            <w:tcW w:w="3397" w:type="dxa"/>
            <w:shd w:val="clear" w:color="auto" w:fill="F2F2F2" w:themeFill="background1" w:themeFillShade="F2"/>
          </w:tcPr>
          <w:p w14:paraId="5AA80F00" w14:textId="77777777" w:rsidR="00FA0945" w:rsidRPr="000C5235" w:rsidRDefault="00FA0945" w:rsidP="00DB312F">
            <w:pPr>
              <w:pStyle w:val="TableText-Medium"/>
            </w:pPr>
            <w:r w:rsidRPr="000C5235">
              <w:t>Landscape</w:t>
            </w:r>
          </w:p>
        </w:tc>
        <w:tc>
          <w:tcPr>
            <w:tcW w:w="4962" w:type="dxa"/>
            <w:gridSpan w:val="2"/>
            <w:shd w:val="clear" w:color="auto" w:fill="F2F2F2" w:themeFill="background1" w:themeFillShade="F2"/>
          </w:tcPr>
          <w:p w14:paraId="7C546783" w14:textId="77777777" w:rsidR="00FA0945" w:rsidRPr="000C5235" w:rsidRDefault="00FA0945" w:rsidP="00DB312F">
            <w:pPr>
              <w:pStyle w:val="TableText-Medium"/>
            </w:pPr>
            <w:r w:rsidRPr="000C5235">
              <w:t>Width 21 cm</w:t>
            </w:r>
          </w:p>
          <w:p w14:paraId="4D13F7BD" w14:textId="77777777" w:rsidR="00FA0945" w:rsidRPr="000C5235" w:rsidRDefault="00FA0945" w:rsidP="00DB312F">
            <w:pPr>
              <w:pStyle w:val="TableText-Medium"/>
            </w:pPr>
            <w:r w:rsidRPr="000C5235">
              <w:t>Height 13.6 cm</w:t>
            </w:r>
          </w:p>
        </w:tc>
      </w:tr>
      <w:tr w:rsidR="00FA0945" w:rsidRPr="000C5235" w14:paraId="444D1EF7" w14:textId="77777777" w:rsidTr="00DB312F">
        <w:trPr>
          <w:trHeight w:val="600"/>
        </w:trPr>
        <w:tc>
          <w:tcPr>
            <w:tcW w:w="3397" w:type="dxa"/>
            <w:shd w:val="clear" w:color="auto" w:fill="F2F2F2" w:themeFill="background1" w:themeFillShade="F2"/>
          </w:tcPr>
          <w:p w14:paraId="1F34FBBA" w14:textId="77777777" w:rsidR="00FA0945" w:rsidRPr="000C5235" w:rsidRDefault="00FA0945" w:rsidP="00DB312F">
            <w:pPr>
              <w:pStyle w:val="TableText-Medium"/>
            </w:pPr>
            <w:r w:rsidRPr="000C5235">
              <w:t>Row height</w:t>
            </w:r>
          </w:p>
          <w:p w14:paraId="4EA9DE5E" w14:textId="77777777" w:rsidR="00FA0945" w:rsidRPr="000C5235" w:rsidRDefault="00FA0945" w:rsidP="00DB312F">
            <w:pPr>
              <w:pStyle w:val="TableText-Medium"/>
            </w:pPr>
            <w:r w:rsidRPr="000C5235">
              <w:t>Text and numbers in the body of table (8pt font size)</w:t>
            </w:r>
          </w:p>
        </w:tc>
        <w:tc>
          <w:tcPr>
            <w:tcW w:w="4962" w:type="dxa"/>
            <w:gridSpan w:val="2"/>
            <w:shd w:val="clear" w:color="auto" w:fill="F2F2F2" w:themeFill="background1" w:themeFillShade="F2"/>
          </w:tcPr>
          <w:p w14:paraId="65C4A725" w14:textId="77777777" w:rsidR="00FA0945" w:rsidRPr="000C5235" w:rsidRDefault="00FA0945" w:rsidP="00DB312F">
            <w:pPr>
              <w:pStyle w:val="TableText-Medium"/>
            </w:pPr>
            <w:r w:rsidRPr="000C5235">
              <w:t xml:space="preserve">Set row height to 11.25 pts </w:t>
            </w:r>
            <w:r w:rsidRPr="000C5235">
              <w:br/>
              <w:t>(Table Row Height button on the Treasury ribbon)</w:t>
            </w:r>
          </w:p>
        </w:tc>
      </w:tr>
      <w:tr w:rsidR="00FA0945" w:rsidRPr="000C5235" w14:paraId="64F075CD" w14:textId="77777777" w:rsidTr="00DB312F">
        <w:trPr>
          <w:trHeight w:val="1050"/>
        </w:trPr>
        <w:tc>
          <w:tcPr>
            <w:tcW w:w="3397" w:type="dxa"/>
            <w:shd w:val="clear" w:color="auto" w:fill="F2F2F2" w:themeFill="background1" w:themeFillShade="F2"/>
          </w:tcPr>
          <w:p w14:paraId="5DA9D27B" w14:textId="77777777" w:rsidR="0082509B" w:rsidRPr="000C5235" w:rsidRDefault="00FA0945" w:rsidP="00DB312F">
            <w:pPr>
              <w:pStyle w:val="TableText-Medium"/>
            </w:pPr>
            <w:r w:rsidRPr="000C5235">
              <w:t>If you need to squeeze a table onto one page, you can reduce the font size in the table to 7.5 pts.</w:t>
            </w:r>
          </w:p>
          <w:p w14:paraId="56FC8FF9" w14:textId="77777777" w:rsidR="00FA0945" w:rsidRPr="000C5235" w:rsidRDefault="0082509B" w:rsidP="00DB312F">
            <w:pPr>
              <w:pStyle w:val="TableText-Medium"/>
            </w:pPr>
            <w:r w:rsidRPr="000C5235">
              <w:rPr>
                <w:color w:val="FF0000"/>
                <w:u w:val="single"/>
              </w:rPr>
              <w:t>N</w:t>
            </w:r>
            <w:r w:rsidR="00FA0945" w:rsidRPr="000C5235">
              <w:rPr>
                <w:color w:val="FF0000"/>
                <w:u w:val="single"/>
              </w:rPr>
              <w:t>ote</w:t>
            </w:r>
            <w:r w:rsidRPr="000C5235">
              <w:rPr>
                <w:color w:val="FF0000"/>
                <w:u w:val="single"/>
              </w:rPr>
              <w:t>:</w:t>
            </w:r>
            <w:r w:rsidR="00FA0945" w:rsidRPr="000C5235">
              <w:rPr>
                <w:color w:val="FF0000"/>
              </w:rPr>
              <w:t xml:space="preserve"> fonts cannot be reduced any smaller than 7.5 pts.</w:t>
            </w:r>
          </w:p>
        </w:tc>
        <w:tc>
          <w:tcPr>
            <w:tcW w:w="4962" w:type="dxa"/>
            <w:gridSpan w:val="2"/>
            <w:shd w:val="clear" w:color="auto" w:fill="F2F2F2" w:themeFill="background1" w:themeFillShade="F2"/>
          </w:tcPr>
          <w:p w14:paraId="322C34C0" w14:textId="77777777" w:rsidR="00FA0945" w:rsidRPr="000C5235" w:rsidRDefault="00FA0945" w:rsidP="00DB312F">
            <w:pPr>
              <w:pStyle w:val="TableText-Medium"/>
            </w:pPr>
            <w:r w:rsidRPr="000C5235">
              <w:t>Set row height to 10.5 pts</w:t>
            </w:r>
          </w:p>
        </w:tc>
      </w:tr>
      <w:tr w:rsidR="00FA0945" w:rsidRPr="000C5235" w14:paraId="1D10FEE8" w14:textId="77777777" w:rsidTr="00DB312F">
        <w:trPr>
          <w:trHeight w:val="285"/>
        </w:trPr>
        <w:tc>
          <w:tcPr>
            <w:tcW w:w="3397" w:type="dxa"/>
            <w:vMerge w:val="restart"/>
            <w:shd w:val="clear" w:color="auto" w:fill="F2F2F2" w:themeFill="background1" w:themeFillShade="F2"/>
          </w:tcPr>
          <w:p w14:paraId="77E42152" w14:textId="77777777" w:rsidR="00FA0945" w:rsidRPr="000C5235" w:rsidRDefault="00FA0945" w:rsidP="00DB312F">
            <w:pPr>
              <w:pStyle w:val="TableText-Medium"/>
            </w:pPr>
            <w:r w:rsidRPr="000C5235">
              <w:t>Table cell alignment</w:t>
            </w:r>
          </w:p>
          <w:p w14:paraId="05DF3D8E" w14:textId="77777777" w:rsidR="00FA0945" w:rsidRPr="000C5235" w:rsidRDefault="00FA0945" w:rsidP="00DB312F">
            <w:pPr>
              <w:pStyle w:val="TableText-Medium"/>
            </w:pPr>
            <w:r w:rsidRPr="000C5235">
              <w:t>Text</w:t>
            </w:r>
          </w:p>
        </w:tc>
        <w:tc>
          <w:tcPr>
            <w:tcW w:w="2386" w:type="dxa"/>
            <w:shd w:val="clear" w:color="auto" w:fill="F2F2F2" w:themeFill="background1" w:themeFillShade="F2"/>
          </w:tcPr>
          <w:p w14:paraId="60492050" w14:textId="77777777" w:rsidR="00FA0945" w:rsidRPr="000C5235" w:rsidRDefault="00FA0945" w:rsidP="00DB312F">
            <w:pPr>
              <w:pStyle w:val="TableText-Medium"/>
            </w:pPr>
            <w:r w:rsidRPr="000C5235">
              <w:t>Horizontal</w:t>
            </w:r>
          </w:p>
        </w:tc>
        <w:tc>
          <w:tcPr>
            <w:tcW w:w="2576" w:type="dxa"/>
            <w:shd w:val="clear" w:color="auto" w:fill="F2F2F2" w:themeFill="background1" w:themeFillShade="F2"/>
          </w:tcPr>
          <w:p w14:paraId="706991F3" w14:textId="77777777" w:rsidR="00FA0945" w:rsidRPr="000C5235" w:rsidRDefault="00FA0945" w:rsidP="00DB312F">
            <w:pPr>
              <w:pStyle w:val="TableText-Medium"/>
            </w:pPr>
            <w:r w:rsidRPr="000C5235">
              <w:t>Vertical</w:t>
            </w:r>
          </w:p>
        </w:tc>
      </w:tr>
      <w:tr w:rsidR="00FA0945" w:rsidRPr="000C5235" w14:paraId="75D35649" w14:textId="77777777" w:rsidTr="00DB312F">
        <w:trPr>
          <w:trHeight w:val="330"/>
        </w:trPr>
        <w:tc>
          <w:tcPr>
            <w:tcW w:w="3397" w:type="dxa"/>
            <w:vMerge/>
            <w:shd w:val="clear" w:color="auto" w:fill="F2F2F2" w:themeFill="background1" w:themeFillShade="F2"/>
          </w:tcPr>
          <w:p w14:paraId="300FC5DA" w14:textId="77777777" w:rsidR="00FA0945" w:rsidRPr="000C5235" w:rsidRDefault="00FA0945" w:rsidP="00DB312F">
            <w:pPr>
              <w:pStyle w:val="TableText-Medium"/>
            </w:pPr>
          </w:p>
        </w:tc>
        <w:tc>
          <w:tcPr>
            <w:tcW w:w="2386" w:type="dxa"/>
            <w:shd w:val="clear" w:color="auto" w:fill="F2F2F2" w:themeFill="background1" w:themeFillShade="F2"/>
          </w:tcPr>
          <w:p w14:paraId="6825FF2E" w14:textId="77777777" w:rsidR="00FA0945" w:rsidRPr="000C5235" w:rsidRDefault="00FA0945" w:rsidP="00DB312F">
            <w:pPr>
              <w:pStyle w:val="TableText-Medium"/>
            </w:pPr>
            <w:r w:rsidRPr="000C5235">
              <w:t>Left align</w:t>
            </w:r>
          </w:p>
        </w:tc>
        <w:tc>
          <w:tcPr>
            <w:tcW w:w="2576" w:type="dxa"/>
            <w:shd w:val="clear" w:color="auto" w:fill="F2F2F2" w:themeFill="background1" w:themeFillShade="F2"/>
          </w:tcPr>
          <w:p w14:paraId="14BB7064" w14:textId="77777777" w:rsidR="00FA0945" w:rsidRPr="000C5235" w:rsidRDefault="00FA0945" w:rsidP="00DB312F">
            <w:pPr>
              <w:pStyle w:val="TableText-Medium"/>
            </w:pPr>
            <w:r w:rsidRPr="000C5235">
              <w:t>Centre</w:t>
            </w:r>
          </w:p>
        </w:tc>
      </w:tr>
      <w:tr w:rsidR="00FA0945" w:rsidRPr="000C5235" w14:paraId="32ACF9E8" w14:textId="77777777" w:rsidTr="00DB312F">
        <w:trPr>
          <w:trHeight w:val="270"/>
        </w:trPr>
        <w:tc>
          <w:tcPr>
            <w:tcW w:w="3397" w:type="dxa"/>
            <w:shd w:val="clear" w:color="auto" w:fill="F2F2F2" w:themeFill="background1" w:themeFillShade="F2"/>
          </w:tcPr>
          <w:p w14:paraId="47A223EF" w14:textId="77777777" w:rsidR="00FA0945" w:rsidRPr="000C5235" w:rsidRDefault="00FA0945" w:rsidP="00DB312F">
            <w:pPr>
              <w:pStyle w:val="TableText-Medium"/>
            </w:pPr>
            <w:r w:rsidRPr="000C5235">
              <w:t>Numbers</w:t>
            </w:r>
            <w:r w:rsidR="00782273" w:rsidRPr="000C5235">
              <w:t xml:space="preserve"> (use ROUND function)</w:t>
            </w:r>
          </w:p>
        </w:tc>
        <w:tc>
          <w:tcPr>
            <w:tcW w:w="2386" w:type="dxa"/>
            <w:shd w:val="clear" w:color="auto" w:fill="F2F2F2" w:themeFill="background1" w:themeFillShade="F2"/>
          </w:tcPr>
          <w:p w14:paraId="32495394" w14:textId="77777777" w:rsidR="00FA0945" w:rsidRPr="000C5235" w:rsidRDefault="00FA0945" w:rsidP="00DB312F">
            <w:pPr>
              <w:pStyle w:val="TableText-Medium"/>
            </w:pPr>
            <w:r w:rsidRPr="000C5235">
              <w:t>Right align</w:t>
            </w:r>
          </w:p>
        </w:tc>
        <w:tc>
          <w:tcPr>
            <w:tcW w:w="2576" w:type="dxa"/>
            <w:shd w:val="clear" w:color="auto" w:fill="F2F2F2" w:themeFill="background1" w:themeFillShade="F2"/>
          </w:tcPr>
          <w:p w14:paraId="421820BE" w14:textId="77777777" w:rsidR="00FA0945" w:rsidRPr="000C5235" w:rsidRDefault="00FA0945" w:rsidP="00DB312F">
            <w:pPr>
              <w:pStyle w:val="TableText-Medium"/>
            </w:pPr>
            <w:r w:rsidRPr="000C5235">
              <w:t>Centre</w:t>
            </w:r>
          </w:p>
        </w:tc>
      </w:tr>
      <w:tr w:rsidR="00FA0945" w:rsidRPr="000C5235" w14:paraId="066C94D0" w14:textId="77777777" w:rsidTr="00DB312F">
        <w:trPr>
          <w:trHeight w:val="495"/>
        </w:trPr>
        <w:tc>
          <w:tcPr>
            <w:tcW w:w="3397" w:type="dxa"/>
            <w:shd w:val="clear" w:color="auto" w:fill="F2F2F2" w:themeFill="background1" w:themeFillShade="F2"/>
          </w:tcPr>
          <w:p w14:paraId="30FC0DCD" w14:textId="77777777" w:rsidR="00FA0945" w:rsidRPr="000C5235" w:rsidRDefault="00FA0945" w:rsidP="00DB312F">
            <w:pPr>
              <w:pStyle w:val="TableText-Medium"/>
            </w:pPr>
            <w:r w:rsidRPr="000C5235">
              <w:t>Braced column headings</w:t>
            </w:r>
          </w:p>
        </w:tc>
        <w:tc>
          <w:tcPr>
            <w:tcW w:w="2386" w:type="dxa"/>
            <w:shd w:val="clear" w:color="auto" w:fill="F2F2F2" w:themeFill="background1" w:themeFillShade="F2"/>
          </w:tcPr>
          <w:p w14:paraId="50AA471D" w14:textId="77777777" w:rsidR="00FA0945" w:rsidRPr="000C5235" w:rsidRDefault="00FA0945" w:rsidP="00DB312F">
            <w:pPr>
              <w:pStyle w:val="TableText-Medium"/>
            </w:pPr>
            <w:r w:rsidRPr="000C5235">
              <w:t>Centre</w:t>
            </w:r>
          </w:p>
        </w:tc>
        <w:tc>
          <w:tcPr>
            <w:tcW w:w="2576" w:type="dxa"/>
            <w:shd w:val="clear" w:color="auto" w:fill="F2F2F2" w:themeFill="background1" w:themeFillShade="F2"/>
          </w:tcPr>
          <w:p w14:paraId="2F7714FA" w14:textId="77777777" w:rsidR="00FA0945" w:rsidRPr="000C5235" w:rsidRDefault="00FA0945" w:rsidP="00DB312F">
            <w:pPr>
              <w:pStyle w:val="TableText-Medium"/>
            </w:pPr>
            <w:r w:rsidRPr="000C5235">
              <w:t>Centre</w:t>
            </w:r>
          </w:p>
        </w:tc>
      </w:tr>
      <w:tr w:rsidR="00FA0945" w:rsidRPr="000C5235" w14:paraId="4453CB4E" w14:textId="77777777" w:rsidTr="00DB312F">
        <w:tc>
          <w:tcPr>
            <w:tcW w:w="3397" w:type="dxa"/>
            <w:shd w:val="clear" w:color="auto" w:fill="F2F2F2" w:themeFill="background1" w:themeFillShade="F2"/>
          </w:tcPr>
          <w:p w14:paraId="0E95A8D0" w14:textId="77777777" w:rsidR="00FA0945" w:rsidRPr="000C5235" w:rsidRDefault="00FA0945" w:rsidP="00DB312F">
            <w:pPr>
              <w:pStyle w:val="TableText-Medium"/>
            </w:pPr>
            <w:r w:rsidRPr="000C5235">
              <w:t>Borders</w:t>
            </w:r>
          </w:p>
        </w:tc>
        <w:tc>
          <w:tcPr>
            <w:tcW w:w="4962" w:type="dxa"/>
            <w:gridSpan w:val="2"/>
            <w:shd w:val="clear" w:color="auto" w:fill="F2F2F2" w:themeFill="background1" w:themeFillShade="F2"/>
          </w:tcPr>
          <w:p w14:paraId="1E79DE59" w14:textId="77777777" w:rsidR="00FA0945" w:rsidRPr="000C5235" w:rsidRDefault="00FA0945" w:rsidP="00DB312F">
            <w:pPr>
              <w:pStyle w:val="TableText-Medium"/>
            </w:pPr>
            <w:r w:rsidRPr="000C5235">
              <w:t>Colour = Black, hairline weight (first option in list, not the default)</w:t>
            </w:r>
            <w:r w:rsidRPr="000C5235">
              <w:br/>
              <w:t>(Apply Table Border button on the Treasury ribbon)</w:t>
            </w:r>
          </w:p>
        </w:tc>
      </w:tr>
      <w:tr w:rsidR="00FA0945" w:rsidRPr="000C5235" w14:paraId="632D5D0E" w14:textId="77777777" w:rsidTr="00DB312F">
        <w:tc>
          <w:tcPr>
            <w:tcW w:w="3397" w:type="dxa"/>
            <w:shd w:val="clear" w:color="auto" w:fill="F2F2F2" w:themeFill="background1" w:themeFillShade="F2"/>
          </w:tcPr>
          <w:p w14:paraId="5DAB5A68" w14:textId="77777777" w:rsidR="00FA0945" w:rsidRPr="000C5235" w:rsidRDefault="00FA0945" w:rsidP="00DB312F">
            <w:pPr>
              <w:pStyle w:val="TableText-Medium"/>
            </w:pPr>
            <w:r w:rsidRPr="000C5235">
              <w:t>Column width</w:t>
            </w:r>
          </w:p>
        </w:tc>
        <w:tc>
          <w:tcPr>
            <w:tcW w:w="4962" w:type="dxa"/>
            <w:gridSpan w:val="2"/>
            <w:shd w:val="clear" w:color="auto" w:fill="F2F2F2" w:themeFill="background1" w:themeFillShade="F2"/>
          </w:tcPr>
          <w:p w14:paraId="11B83747" w14:textId="77777777" w:rsidR="00FA0945" w:rsidRPr="000C5235" w:rsidRDefault="00FA0945" w:rsidP="00DB312F">
            <w:pPr>
              <w:pStyle w:val="TableText-Medium"/>
            </w:pPr>
            <w:r w:rsidRPr="000C5235">
              <w:t>Be consistent particularly if there are similar tables on the one page</w:t>
            </w:r>
          </w:p>
        </w:tc>
      </w:tr>
      <w:tr w:rsidR="00FA0945" w:rsidRPr="000C5235" w14:paraId="239D3761" w14:textId="77777777" w:rsidTr="00DB312F">
        <w:trPr>
          <w:trHeight w:val="1125"/>
        </w:trPr>
        <w:tc>
          <w:tcPr>
            <w:tcW w:w="3397" w:type="dxa"/>
            <w:shd w:val="clear" w:color="auto" w:fill="F2F2F2" w:themeFill="background1" w:themeFillShade="F2"/>
          </w:tcPr>
          <w:p w14:paraId="5E57E01D" w14:textId="77777777" w:rsidR="00FA0945" w:rsidRPr="000C5235" w:rsidRDefault="00FA0945" w:rsidP="00DB312F">
            <w:pPr>
              <w:pStyle w:val="TableText-Medium"/>
            </w:pPr>
            <w:r w:rsidRPr="000C5235">
              <w:t>Blank columns and rows</w:t>
            </w:r>
          </w:p>
          <w:p w14:paraId="6C3DA64D" w14:textId="77777777" w:rsidR="00FA0945" w:rsidRPr="000C5235" w:rsidRDefault="00FA0945" w:rsidP="00DB312F">
            <w:pPr>
              <w:pStyle w:val="TableText-Medium"/>
            </w:pPr>
            <w:r w:rsidRPr="000C5235">
              <w:t>Columns</w:t>
            </w:r>
          </w:p>
          <w:p w14:paraId="1421DC26" w14:textId="77777777" w:rsidR="00FA0945" w:rsidRPr="000C5235" w:rsidRDefault="00FA0945" w:rsidP="00DB312F">
            <w:pPr>
              <w:pStyle w:val="TableText-Medium"/>
            </w:pPr>
            <w:r w:rsidRPr="000C5235">
              <w:t>To separate columns where braced headings have been used</w:t>
            </w:r>
          </w:p>
        </w:tc>
        <w:tc>
          <w:tcPr>
            <w:tcW w:w="4962" w:type="dxa"/>
            <w:gridSpan w:val="2"/>
            <w:shd w:val="clear" w:color="auto" w:fill="F2F2F2" w:themeFill="background1" w:themeFillShade="F2"/>
          </w:tcPr>
          <w:p w14:paraId="7207612A" w14:textId="77777777" w:rsidR="00FA0945" w:rsidRPr="000C5235" w:rsidRDefault="00FA0945" w:rsidP="00DB312F">
            <w:pPr>
              <w:pStyle w:val="TableText-Medium"/>
            </w:pPr>
            <w:r w:rsidRPr="000C5235">
              <w:t>Set column width to .5</w:t>
            </w:r>
          </w:p>
          <w:p w14:paraId="20276D6A" w14:textId="77777777" w:rsidR="00FA0945" w:rsidRPr="000C5235" w:rsidRDefault="00FA0945" w:rsidP="00DB312F">
            <w:pPr>
              <w:pStyle w:val="TableText-Medium"/>
            </w:pPr>
            <w:r w:rsidRPr="000C5235">
              <w:t>Remove the bottom border for blank columns (see example table 1)</w:t>
            </w:r>
          </w:p>
        </w:tc>
      </w:tr>
      <w:tr w:rsidR="00FA0945" w:rsidRPr="000C5235" w14:paraId="500B1D3B" w14:textId="77777777" w:rsidTr="00DB312F">
        <w:trPr>
          <w:trHeight w:val="539"/>
        </w:trPr>
        <w:tc>
          <w:tcPr>
            <w:tcW w:w="3397" w:type="dxa"/>
            <w:shd w:val="clear" w:color="auto" w:fill="F2F2F2" w:themeFill="background1" w:themeFillShade="F2"/>
          </w:tcPr>
          <w:p w14:paraId="61623CBC" w14:textId="77777777" w:rsidR="00FA0945" w:rsidRPr="000C5235" w:rsidRDefault="00FA0945" w:rsidP="00DB312F">
            <w:pPr>
              <w:pStyle w:val="TableText-Medium"/>
            </w:pPr>
            <w:r w:rsidRPr="000C5235">
              <w:t>Rows</w:t>
            </w:r>
          </w:p>
        </w:tc>
        <w:tc>
          <w:tcPr>
            <w:tcW w:w="4962" w:type="dxa"/>
            <w:gridSpan w:val="2"/>
            <w:shd w:val="clear" w:color="auto" w:fill="F2F2F2" w:themeFill="background1" w:themeFillShade="F2"/>
          </w:tcPr>
          <w:p w14:paraId="10C0D07E" w14:textId="77777777" w:rsidR="00FA0945" w:rsidRPr="000C5235" w:rsidRDefault="00FA0945" w:rsidP="00DB312F">
            <w:pPr>
              <w:pStyle w:val="TableText-Medium"/>
            </w:pPr>
            <w:r w:rsidRPr="000C5235">
              <w:t>Set row height to 3 pts</w:t>
            </w:r>
            <w:r w:rsidRPr="000C5235">
              <w:br/>
              <w:t>(Table Row Height button on the Treasury ribbon)</w:t>
            </w:r>
          </w:p>
        </w:tc>
      </w:tr>
    </w:tbl>
    <w:p w14:paraId="556D47C2" w14:textId="77777777" w:rsidR="00FA0945" w:rsidRPr="000C5235" w:rsidRDefault="00FA0945">
      <w:pPr>
        <w:pStyle w:val="NormalTextRed"/>
      </w:pPr>
      <w:r w:rsidRPr="000C5235">
        <w:rPr>
          <w:u w:val="single"/>
        </w:rPr>
        <w:t>Note</w:t>
      </w:r>
      <w:r w:rsidRPr="000C5235">
        <w:t xml:space="preserve">: Please use minimal capitalisation. </w:t>
      </w:r>
      <w:r w:rsidRPr="000C5235">
        <w:rPr>
          <w:u w:val="single"/>
        </w:rPr>
        <w:t>Wrap text</w:t>
      </w:r>
      <w:r w:rsidRPr="000C5235">
        <w:t xml:space="preserve"> if text goes over a column width. </w:t>
      </w:r>
    </w:p>
    <w:p w14:paraId="5C66C9D2" w14:textId="3B98E54A" w:rsidR="00FA0945" w:rsidRPr="000C5235" w:rsidRDefault="00FA0945" w:rsidP="000A7DEC">
      <w:pPr>
        <w:pStyle w:val="Heading3Numbered"/>
      </w:pPr>
      <w:bookmarkStart w:id="902" w:name="_Toc47951270"/>
      <w:r w:rsidRPr="000C5235">
        <w:t>Formatting an existing table to budget standards</w:t>
      </w:r>
      <w:bookmarkEnd w:id="902"/>
    </w:p>
    <w:p w14:paraId="6E597027" w14:textId="77777777" w:rsidR="00FA0945" w:rsidRPr="000C5235" w:rsidRDefault="00FA0945" w:rsidP="000A7DEC">
      <w:r w:rsidRPr="000C5235">
        <w:t>To create an Excel table which fits into a Budget word document’s set margins.</w:t>
      </w:r>
    </w:p>
    <w:p w14:paraId="78307376" w14:textId="283A13D8" w:rsidR="00FA0945" w:rsidRPr="000C5235" w:rsidRDefault="00FA0945" w:rsidP="000A7DEC">
      <w:pPr>
        <w:pStyle w:val="Heading5"/>
      </w:pPr>
      <w:bookmarkStart w:id="903" w:name="_Ref45028756"/>
      <w:r w:rsidRPr="000C5235">
        <w:t>Portrait tables</w:t>
      </w:r>
      <w:bookmarkEnd w:id="903"/>
    </w:p>
    <w:p w14:paraId="75CA7A43" w14:textId="77777777" w:rsidR="00FA0945" w:rsidRPr="000C5235" w:rsidRDefault="00FA0945" w:rsidP="005D722E">
      <w:pPr>
        <w:pStyle w:val="Numbered"/>
        <w:numPr>
          <w:ilvl w:val="0"/>
          <w:numId w:val="230"/>
        </w:numPr>
      </w:pPr>
      <w:r w:rsidRPr="000C5235">
        <w:t xml:space="preserve">In Excel from “Page Layout” ribbon select Page Layout </w:t>
      </w:r>
      <w:r w:rsidR="004B76F7" w:rsidRPr="000C5235">
        <w:sym w:font="Wingdings" w:char="F0E0"/>
      </w:r>
      <w:r w:rsidRPr="000C5235">
        <w:t xml:space="preserve"> Margins </w:t>
      </w:r>
      <w:r w:rsidR="004B76F7" w:rsidRPr="000C5235">
        <w:sym w:font="Wingdings" w:char="F0E0"/>
      </w:r>
      <w:r w:rsidRPr="000C5235">
        <w:t xml:space="preserve"> Custom Margins</w:t>
      </w:r>
    </w:p>
    <w:p w14:paraId="73C15B0A" w14:textId="77777777" w:rsidR="00FA0945" w:rsidRPr="000C5235" w:rsidRDefault="00FA0945" w:rsidP="005D722E">
      <w:pPr>
        <w:pStyle w:val="Numbered"/>
        <w:numPr>
          <w:ilvl w:val="0"/>
          <w:numId w:val="230"/>
        </w:numPr>
      </w:pPr>
      <w:r w:rsidRPr="000C5235">
        <w:t>Click on the “Page” tab, select “Portrait orientation”</w:t>
      </w:r>
    </w:p>
    <w:p w14:paraId="5BCE94D4" w14:textId="77777777" w:rsidR="00FA0945" w:rsidRPr="000C5235" w:rsidRDefault="00FA0945" w:rsidP="005D722E">
      <w:pPr>
        <w:pStyle w:val="Numbered"/>
        <w:numPr>
          <w:ilvl w:val="0"/>
          <w:numId w:val="230"/>
        </w:numPr>
      </w:pPr>
      <w:r w:rsidRPr="000C5235">
        <w:t>Ensure the Scaling is set to 100% normal size</w:t>
      </w:r>
    </w:p>
    <w:p w14:paraId="1F306F25" w14:textId="77777777" w:rsidR="00FA0945" w:rsidRPr="000C5235" w:rsidRDefault="00FA0945" w:rsidP="005D722E">
      <w:pPr>
        <w:pStyle w:val="Numbered"/>
        <w:numPr>
          <w:ilvl w:val="0"/>
          <w:numId w:val="230"/>
        </w:numPr>
      </w:pPr>
      <w:r w:rsidRPr="000C5235">
        <w:t>Click on the “Margins tab” and set margins to:</w:t>
      </w:r>
    </w:p>
    <w:p w14:paraId="2024A806" w14:textId="77777777" w:rsidR="00FA0945" w:rsidRPr="000C5235" w:rsidRDefault="00FA0945" w:rsidP="000A7DEC">
      <w:pPr>
        <w:pStyle w:val="Bullet2"/>
      </w:pPr>
      <w:r w:rsidRPr="000C5235">
        <w:t>Left and right</w:t>
      </w:r>
      <w:r w:rsidRPr="000C5235">
        <w:tab/>
      </w:r>
      <w:r w:rsidR="004D0115" w:rsidRPr="000C5235">
        <w:tab/>
      </w:r>
      <w:r w:rsidR="004D0115" w:rsidRPr="000C5235">
        <w:rPr>
          <w:color w:val="0070C0"/>
        </w:rPr>
        <w:t xml:space="preserve">= </w:t>
      </w:r>
      <w:r w:rsidRPr="000C5235">
        <w:rPr>
          <w:color w:val="0070C0"/>
        </w:rPr>
        <w:t>3.7</w:t>
      </w:r>
      <w:r w:rsidR="004D0115" w:rsidRPr="000C5235">
        <w:rPr>
          <w:color w:val="0070C0"/>
        </w:rPr>
        <w:t>cm</w:t>
      </w:r>
    </w:p>
    <w:p w14:paraId="394EAFE4" w14:textId="77777777" w:rsidR="00FA0945" w:rsidRPr="000C5235" w:rsidRDefault="00FA0945" w:rsidP="000A7DEC">
      <w:pPr>
        <w:pStyle w:val="Bullet2"/>
      </w:pPr>
      <w:r w:rsidRPr="000C5235">
        <w:t>Top and bottom</w:t>
      </w:r>
      <w:r w:rsidRPr="000C5235">
        <w:tab/>
      </w:r>
      <w:r w:rsidR="004D0115" w:rsidRPr="000C5235">
        <w:rPr>
          <w:color w:val="0070C0"/>
        </w:rPr>
        <w:t xml:space="preserve">= </w:t>
      </w:r>
      <w:r w:rsidRPr="000C5235">
        <w:rPr>
          <w:color w:val="0070C0"/>
        </w:rPr>
        <w:t>4.3</w:t>
      </w:r>
      <w:r w:rsidR="004D0115" w:rsidRPr="000C5235">
        <w:rPr>
          <w:color w:val="0070C0"/>
        </w:rPr>
        <w:t>cm</w:t>
      </w:r>
    </w:p>
    <w:p w14:paraId="1ABEA322" w14:textId="77777777" w:rsidR="00FA0945" w:rsidRPr="000C5235" w:rsidRDefault="00FA0945" w:rsidP="000A7DEC">
      <w:pPr>
        <w:pStyle w:val="Bullet2"/>
      </w:pPr>
      <w:r w:rsidRPr="000C5235">
        <w:t>Landscape tables</w:t>
      </w:r>
    </w:p>
    <w:p w14:paraId="1E851902" w14:textId="77777777" w:rsidR="00FA0945" w:rsidRPr="000C5235" w:rsidRDefault="00FA0945" w:rsidP="005D722E">
      <w:pPr>
        <w:pStyle w:val="Numbered"/>
        <w:numPr>
          <w:ilvl w:val="0"/>
          <w:numId w:val="230"/>
        </w:numPr>
      </w:pPr>
      <w:r w:rsidRPr="000C5235">
        <w:t xml:space="preserve">In Excel from the “Page Layout” ribbon, select Page Layout </w:t>
      </w:r>
      <w:r w:rsidR="004B76F7" w:rsidRPr="000C5235">
        <w:sym w:font="Wingdings" w:char="F0E0"/>
      </w:r>
      <w:r w:rsidRPr="000C5235">
        <w:t xml:space="preserve"> Margins </w:t>
      </w:r>
      <w:r w:rsidR="004B76F7" w:rsidRPr="000C5235">
        <w:sym w:font="Wingdings" w:char="F0E0"/>
      </w:r>
      <w:r w:rsidRPr="000C5235">
        <w:t xml:space="preserve"> Custom Margins.</w:t>
      </w:r>
    </w:p>
    <w:p w14:paraId="731D2A67" w14:textId="77777777" w:rsidR="00FA0945" w:rsidRPr="000C5235" w:rsidRDefault="00FA0945" w:rsidP="005D722E">
      <w:pPr>
        <w:pStyle w:val="Numbered"/>
        <w:numPr>
          <w:ilvl w:val="0"/>
          <w:numId w:val="230"/>
        </w:numPr>
      </w:pPr>
      <w:r w:rsidRPr="000C5235">
        <w:t>Click on the “Page” tab, select “Landscape orientation”</w:t>
      </w:r>
    </w:p>
    <w:p w14:paraId="40F0B8F7" w14:textId="77777777" w:rsidR="00FA0945" w:rsidRPr="000C5235" w:rsidRDefault="00FA0945" w:rsidP="005D722E">
      <w:pPr>
        <w:pStyle w:val="Numbered"/>
        <w:numPr>
          <w:ilvl w:val="0"/>
          <w:numId w:val="230"/>
        </w:numPr>
      </w:pPr>
      <w:r w:rsidRPr="000C5235">
        <w:t>Ensure the Scaling is set to 100% normal size</w:t>
      </w:r>
    </w:p>
    <w:p w14:paraId="6DF4A5D5" w14:textId="77777777" w:rsidR="00FA0945" w:rsidRPr="000C5235" w:rsidRDefault="00FA0945" w:rsidP="005D722E">
      <w:pPr>
        <w:pStyle w:val="Numbered"/>
        <w:numPr>
          <w:ilvl w:val="0"/>
          <w:numId w:val="230"/>
        </w:numPr>
      </w:pPr>
      <w:r w:rsidRPr="000C5235">
        <w:t>Click on the “Margins” tab.</w:t>
      </w:r>
    </w:p>
    <w:p w14:paraId="5D8ACEDE" w14:textId="77777777" w:rsidR="00FA0945" w:rsidRPr="000C5235" w:rsidRDefault="00FA0945" w:rsidP="000A7DEC">
      <w:pPr>
        <w:pStyle w:val="Bullet2"/>
      </w:pPr>
      <w:r w:rsidRPr="000C5235">
        <w:t>Left and right</w:t>
      </w:r>
      <w:r w:rsidRPr="000C5235">
        <w:tab/>
      </w:r>
      <w:r w:rsidR="00444045" w:rsidRPr="000C5235">
        <w:tab/>
      </w:r>
      <w:r w:rsidR="004D0115" w:rsidRPr="000C5235">
        <w:rPr>
          <w:color w:val="0070C0"/>
        </w:rPr>
        <w:t xml:space="preserve">= </w:t>
      </w:r>
      <w:r w:rsidRPr="000C5235">
        <w:rPr>
          <w:color w:val="0070C0"/>
        </w:rPr>
        <w:t>4.3</w:t>
      </w:r>
      <w:r w:rsidR="004D0115" w:rsidRPr="000C5235">
        <w:rPr>
          <w:color w:val="0070C0"/>
        </w:rPr>
        <w:t>cm</w:t>
      </w:r>
    </w:p>
    <w:p w14:paraId="312F0978" w14:textId="77777777" w:rsidR="00655600" w:rsidRPr="000C5235" w:rsidRDefault="00FA0945" w:rsidP="000A7DEC">
      <w:pPr>
        <w:pStyle w:val="Bullet2"/>
        <w:rPr>
          <w:rFonts w:asciiTheme="majorHAnsi" w:eastAsiaTheme="majorEastAsia" w:hAnsiTheme="majorHAnsi" w:cstheme="majorBidi"/>
          <w:szCs w:val="26"/>
        </w:rPr>
      </w:pPr>
      <w:r w:rsidRPr="000C5235">
        <w:t>Top and bottom</w:t>
      </w:r>
      <w:r w:rsidRPr="000C5235">
        <w:tab/>
      </w:r>
      <w:r w:rsidR="004D0115" w:rsidRPr="000C5235">
        <w:rPr>
          <w:color w:val="0070C0"/>
        </w:rPr>
        <w:t xml:space="preserve">= </w:t>
      </w:r>
      <w:r w:rsidRPr="000C5235">
        <w:rPr>
          <w:color w:val="0070C0"/>
        </w:rPr>
        <w:t>3.7</w:t>
      </w:r>
      <w:r w:rsidR="004D0115" w:rsidRPr="000C5235">
        <w:rPr>
          <w:color w:val="0070C0"/>
        </w:rPr>
        <w:t>cm</w:t>
      </w:r>
    </w:p>
    <w:p w14:paraId="748B0CDE" w14:textId="2DBBC755" w:rsidR="00FA0945" w:rsidRPr="000C5235" w:rsidRDefault="00FA0945" w:rsidP="000A7DEC">
      <w:pPr>
        <w:pStyle w:val="Heading3Numbered"/>
      </w:pPr>
      <w:bookmarkStart w:id="904" w:name="_Toc47951271"/>
      <w:r w:rsidRPr="000C5235">
        <w:t>Setting font and text alignment</w:t>
      </w:r>
      <w:bookmarkEnd w:id="904"/>
    </w:p>
    <w:p w14:paraId="36506E42" w14:textId="7194C58F" w:rsidR="000C42A6" w:rsidRPr="000C5235" w:rsidRDefault="00FA0945" w:rsidP="000C42A6">
      <w:pPr>
        <w:pStyle w:val="Numbered"/>
        <w:numPr>
          <w:ilvl w:val="0"/>
          <w:numId w:val="231"/>
        </w:numPr>
      </w:pPr>
      <w:r w:rsidRPr="000C5235">
        <w:t>Click the select all button in the upper left corner of the worksheet (where the row and column headings meet)</w:t>
      </w:r>
      <w:r w:rsidR="004C0DE8" w:rsidRPr="000C5235">
        <w:br/>
      </w:r>
      <w:r w:rsidRPr="000C5235">
        <w:rPr>
          <w:noProof/>
          <w:lang w:eastAsia="en-AU"/>
        </w:rPr>
        <w:drawing>
          <wp:inline distT="0" distB="0" distL="0" distR="0" wp14:anchorId="560D0990" wp14:editId="4D34CF2D">
            <wp:extent cx="935355" cy="478155"/>
            <wp:effectExtent l="19050" t="19050" r="17145" b="17145"/>
            <wp:docPr id="8" name="Picture 8" descr="&quot;Select all&quot; button in a Microsoft Excel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ot;Select all&quot; button in a Microsoft Excel worksheet."/>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35355" cy="478155"/>
                    </a:xfrm>
                    <a:prstGeom prst="rect">
                      <a:avLst/>
                    </a:prstGeom>
                    <a:noFill/>
                    <a:ln>
                      <a:solidFill>
                        <a:schemeClr val="tx1"/>
                      </a:solidFill>
                    </a:ln>
                  </pic:spPr>
                </pic:pic>
              </a:graphicData>
            </a:graphic>
          </wp:inline>
        </w:drawing>
      </w:r>
      <w:r w:rsidR="001E43CA" w:rsidRPr="000C5235">
        <w:br/>
      </w:r>
      <w:r w:rsidR="000C42A6" w:rsidRPr="000C5235">
        <w:br w:type="page"/>
      </w:r>
    </w:p>
    <w:p w14:paraId="759862E3" w14:textId="77777777" w:rsidR="00FA0945" w:rsidRPr="000C5235" w:rsidRDefault="00FA0945" w:rsidP="005D722E">
      <w:pPr>
        <w:pStyle w:val="Numbered"/>
        <w:numPr>
          <w:ilvl w:val="0"/>
          <w:numId w:val="231"/>
        </w:numPr>
      </w:pPr>
      <w:r w:rsidRPr="000C5235">
        <w:t>From the “Home” ribbon, on the “Font” tab set font to 8 pts Arial</w:t>
      </w:r>
    </w:p>
    <w:p w14:paraId="7216A2EF" w14:textId="7D3AA54C" w:rsidR="00FA0945" w:rsidRPr="000C5235" w:rsidRDefault="00FA0945" w:rsidP="005D722E">
      <w:pPr>
        <w:pStyle w:val="Numbered"/>
        <w:numPr>
          <w:ilvl w:val="0"/>
          <w:numId w:val="231"/>
        </w:numPr>
      </w:pPr>
      <w:r w:rsidRPr="000C5235">
        <w:t>Select the “Alignment” tab set the Vertical text alignment to “Centre”</w:t>
      </w:r>
      <w:r w:rsidR="004C0DE8" w:rsidRPr="000C5235">
        <w:br/>
      </w:r>
      <w:r w:rsidR="004C0DE8" w:rsidRPr="000C5235">
        <w:br/>
      </w:r>
      <w:r w:rsidRPr="000C5235">
        <w:rPr>
          <w:noProof/>
          <w:lang w:eastAsia="en-AU"/>
        </w:rPr>
        <w:drawing>
          <wp:inline distT="0" distB="0" distL="0" distR="0" wp14:anchorId="7DFCC078" wp14:editId="6470B49A">
            <wp:extent cx="4045585" cy="789940"/>
            <wp:effectExtent l="19050" t="19050" r="12065" b="10160"/>
            <wp:docPr id="7" name="Picture 7" descr="Alignment group on the Microsoft Excel Home ribb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ignment group on the Microsoft Excel Home ribbon. "/>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45585" cy="789940"/>
                    </a:xfrm>
                    <a:prstGeom prst="rect">
                      <a:avLst/>
                    </a:prstGeom>
                    <a:noFill/>
                    <a:ln>
                      <a:solidFill>
                        <a:schemeClr val="tx1"/>
                      </a:solidFill>
                    </a:ln>
                  </pic:spPr>
                </pic:pic>
              </a:graphicData>
            </a:graphic>
          </wp:inline>
        </w:drawing>
      </w:r>
    </w:p>
    <w:p w14:paraId="6975B06B" w14:textId="0F5D81E4" w:rsidR="00FA0945" w:rsidRPr="000C5235" w:rsidRDefault="00FA0945" w:rsidP="000A7DEC">
      <w:pPr>
        <w:pStyle w:val="Heading3Numbered"/>
      </w:pPr>
      <w:bookmarkStart w:id="905" w:name="_Toc47951272"/>
      <w:r w:rsidRPr="000C5235">
        <w:t>Row height</w:t>
      </w:r>
      <w:bookmarkEnd w:id="905"/>
    </w:p>
    <w:p w14:paraId="62FDF3FA" w14:textId="77777777" w:rsidR="00FA0945" w:rsidRPr="000C5235" w:rsidRDefault="00FA0945" w:rsidP="005D722E">
      <w:pPr>
        <w:pStyle w:val="Numbered"/>
        <w:numPr>
          <w:ilvl w:val="0"/>
          <w:numId w:val="232"/>
        </w:numPr>
      </w:pPr>
      <w:r w:rsidRPr="000C5235">
        <w:t>Select the rows to be adjusted</w:t>
      </w:r>
    </w:p>
    <w:p w14:paraId="4385A85E" w14:textId="2342BD3F" w:rsidR="00FA0945" w:rsidRPr="000C5235" w:rsidRDefault="00FA0945" w:rsidP="005D722E">
      <w:pPr>
        <w:pStyle w:val="Numbered"/>
        <w:numPr>
          <w:ilvl w:val="0"/>
          <w:numId w:val="232"/>
        </w:numPr>
      </w:pPr>
      <w:r w:rsidRPr="000C5235">
        <w:t xml:space="preserve">From the “Home” ribbon, in the “Cells” group select “Format” and then “Row height” </w:t>
      </w:r>
      <w:r w:rsidR="004C0DE8" w:rsidRPr="000C5235">
        <w:br/>
      </w:r>
      <w:r w:rsidR="004C0DE8" w:rsidRPr="000C5235">
        <w:br/>
      </w:r>
      <w:r w:rsidRPr="000C5235">
        <w:rPr>
          <w:noProof/>
          <w:lang w:eastAsia="en-AU"/>
        </w:rPr>
        <w:drawing>
          <wp:inline distT="0" distB="0" distL="0" distR="0" wp14:anchorId="52CD5F45" wp14:editId="2BCCC66A">
            <wp:extent cx="1717675" cy="1524000"/>
            <wp:effectExtent l="19050" t="19050" r="15875" b="19050"/>
            <wp:docPr id="5" name="Picture 5" descr="&quot;Row height&quot; command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ot;Row height&quot; command on the Microsoft Excel Home ribbon."/>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717675" cy="1524000"/>
                    </a:xfrm>
                    <a:prstGeom prst="rect">
                      <a:avLst/>
                    </a:prstGeom>
                    <a:noFill/>
                    <a:ln>
                      <a:solidFill>
                        <a:schemeClr val="tx1"/>
                      </a:solidFill>
                    </a:ln>
                  </pic:spPr>
                </pic:pic>
              </a:graphicData>
            </a:graphic>
          </wp:inline>
        </w:drawing>
      </w:r>
    </w:p>
    <w:p w14:paraId="79990339" w14:textId="77777777" w:rsidR="00E23D4B" w:rsidRPr="000C5235" w:rsidRDefault="00FA0945" w:rsidP="005D722E">
      <w:pPr>
        <w:pStyle w:val="Numbered"/>
        <w:numPr>
          <w:ilvl w:val="0"/>
          <w:numId w:val="232"/>
        </w:numPr>
      </w:pPr>
      <w:r w:rsidRPr="000C5235">
        <w:t>Enter 11.25 and then click OK</w:t>
      </w:r>
    </w:p>
    <w:p w14:paraId="7E1DA32E" w14:textId="77777777" w:rsidR="00FA0945" w:rsidRPr="000C5235" w:rsidRDefault="00FA0945" w:rsidP="00E23D4B">
      <w:pPr>
        <w:ind w:left="425"/>
      </w:pPr>
      <w:r w:rsidRPr="000C5235">
        <w:rPr>
          <w:u w:val="single"/>
        </w:rPr>
        <w:t>Tip</w:t>
      </w:r>
      <w:r w:rsidRPr="000C5235">
        <w:rPr>
          <w:b/>
        </w:rPr>
        <w:t>:</w:t>
      </w:r>
      <w:r w:rsidRPr="000C5235">
        <w:t xml:space="preserve"> If a table is difficult to fit onto a Word page the row height can be reduced. In Word check the printed page to ensure that numbers and text are not cut off.</w:t>
      </w:r>
    </w:p>
    <w:p w14:paraId="520A171E" w14:textId="2CAD0FEF" w:rsidR="00FA0945" w:rsidRPr="000C5235" w:rsidRDefault="00FA0945" w:rsidP="000A7DEC">
      <w:pPr>
        <w:pStyle w:val="Heading3Numbered"/>
      </w:pPr>
      <w:bookmarkStart w:id="906" w:name="_Toc47951273"/>
      <w:r w:rsidRPr="000C5235">
        <w:t>Table borders</w:t>
      </w:r>
      <w:bookmarkEnd w:id="906"/>
    </w:p>
    <w:p w14:paraId="6825BA08" w14:textId="77777777" w:rsidR="00FA0945" w:rsidRPr="000C5235" w:rsidRDefault="00FA0945" w:rsidP="005D722E">
      <w:pPr>
        <w:pStyle w:val="Numbered"/>
        <w:numPr>
          <w:ilvl w:val="0"/>
          <w:numId w:val="233"/>
        </w:numPr>
      </w:pPr>
      <w:r w:rsidRPr="000C5235">
        <w:t>Select the row to contain the ruled line</w:t>
      </w:r>
    </w:p>
    <w:p w14:paraId="0A5EA079" w14:textId="77777777" w:rsidR="00FA0945" w:rsidRPr="000C5235" w:rsidRDefault="00FA0945" w:rsidP="005D722E">
      <w:pPr>
        <w:pStyle w:val="Numbered"/>
        <w:numPr>
          <w:ilvl w:val="0"/>
          <w:numId w:val="233"/>
        </w:numPr>
      </w:pPr>
      <w:r w:rsidRPr="000C5235">
        <w:t>From the “Home” ribbon, select the “Font” tab</w:t>
      </w:r>
      <w:r w:rsidR="004C0DE8" w:rsidRPr="000C5235">
        <w:br/>
      </w:r>
      <w:r w:rsidRPr="000C5235">
        <w:rPr>
          <w:noProof/>
          <w:lang w:eastAsia="en-AU"/>
        </w:rPr>
        <w:drawing>
          <wp:inline distT="0" distB="0" distL="0" distR="0" wp14:anchorId="69E49D02" wp14:editId="02684107">
            <wp:extent cx="1911985" cy="817245"/>
            <wp:effectExtent l="19050" t="19050" r="12065" b="20955"/>
            <wp:docPr id="4" name="Picture 4" descr="Font group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nt group on the Microsoft Excel Home ribbo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11985" cy="817245"/>
                    </a:xfrm>
                    <a:prstGeom prst="rect">
                      <a:avLst/>
                    </a:prstGeom>
                    <a:noFill/>
                    <a:ln>
                      <a:solidFill>
                        <a:schemeClr val="tx1"/>
                      </a:solidFill>
                    </a:ln>
                  </pic:spPr>
                </pic:pic>
              </a:graphicData>
            </a:graphic>
          </wp:inline>
        </w:drawing>
      </w:r>
      <w:r w:rsidR="004E58F5" w:rsidRPr="000C5235">
        <w:br/>
      </w:r>
    </w:p>
    <w:p w14:paraId="6B3EF415" w14:textId="77777777" w:rsidR="003E05CE" w:rsidRPr="000C5235" w:rsidRDefault="003E05CE">
      <w:pPr>
        <w:suppressAutoHyphens w:val="0"/>
        <w:spacing w:before="0" w:after="120" w:line="440" w:lineRule="atLeast"/>
        <w:rPr>
          <w:rFonts w:eastAsia="Cambria" w:cstheme="minorHAnsi"/>
        </w:rPr>
      </w:pPr>
      <w:r w:rsidRPr="000C5235">
        <w:br w:type="page"/>
      </w:r>
    </w:p>
    <w:p w14:paraId="6926B752" w14:textId="77777777" w:rsidR="00FA0945" w:rsidRPr="000C5235" w:rsidRDefault="00FA0945" w:rsidP="005D722E">
      <w:pPr>
        <w:pStyle w:val="Numbered"/>
        <w:numPr>
          <w:ilvl w:val="0"/>
          <w:numId w:val="233"/>
        </w:numPr>
      </w:pPr>
      <w:r w:rsidRPr="000C5235">
        <w:t>Select the “Border” tab</w:t>
      </w:r>
      <w:r w:rsidR="004C0DE8" w:rsidRPr="000C5235">
        <w:br/>
      </w:r>
      <w:r w:rsidRPr="000C5235">
        <w:rPr>
          <w:noProof/>
          <w:lang w:eastAsia="en-AU"/>
        </w:rPr>
        <w:drawing>
          <wp:inline distT="0" distB="0" distL="0" distR="0" wp14:anchorId="74936136" wp14:editId="5505533F">
            <wp:extent cx="2988000" cy="2026800"/>
            <wp:effectExtent l="19050" t="19050" r="22225" b="12065"/>
            <wp:docPr id="3" name="Picture 3" descr="&quot;Format Cells&quot; pop up menu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quot;Format Cells&quot; pop up menu in Excel."/>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88000" cy="2026800"/>
                    </a:xfrm>
                    <a:prstGeom prst="rect">
                      <a:avLst/>
                    </a:prstGeom>
                    <a:noFill/>
                    <a:ln>
                      <a:solidFill>
                        <a:schemeClr val="tx1"/>
                      </a:solidFill>
                    </a:ln>
                  </pic:spPr>
                </pic:pic>
              </a:graphicData>
            </a:graphic>
          </wp:inline>
        </w:drawing>
      </w:r>
      <w:r w:rsidR="004E58F5" w:rsidRPr="000C5235">
        <w:br/>
      </w:r>
    </w:p>
    <w:p w14:paraId="0D53C1FF" w14:textId="77777777" w:rsidR="00E23D4B" w:rsidRPr="000C5235" w:rsidRDefault="00FA0945" w:rsidP="005D722E">
      <w:pPr>
        <w:pStyle w:val="Numbered"/>
        <w:numPr>
          <w:ilvl w:val="0"/>
          <w:numId w:val="233"/>
        </w:numPr>
      </w:pPr>
      <w:r w:rsidRPr="000C5235">
        <w:t>Select the first weight (first in list) and Colour = Black</w:t>
      </w:r>
    </w:p>
    <w:p w14:paraId="61461B1E" w14:textId="77777777" w:rsidR="00FE449B" w:rsidRPr="000C5235" w:rsidRDefault="00AF3133" w:rsidP="005D722E">
      <w:pPr>
        <w:pStyle w:val="Numbered"/>
        <w:numPr>
          <w:ilvl w:val="0"/>
          <w:numId w:val="0"/>
        </w:numPr>
        <w:ind w:left="360"/>
      </w:pPr>
      <w:r w:rsidRPr="000C5235">
        <w:rPr>
          <w:u w:val="single"/>
        </w:rPr>
        <w:t>N</w:t>
      </w:r>
      <w:r w:rsidR="00FA0945" w:rsidRPr="000C5235">
        <w:rPr>
          <w:u w:val="single"/>
        </w:rPr>
        <w:t>ote:</w:t>
      </w:r>
      <w:r w:rsidR="00FA0945" w:rsidRPr="000C5235">
        <w:t xml:space="preserve"> though the line appears to be broken it will appear as solid when linked in Word</w:t>
      </w:r>
      <w:r w:rsidR="00FE449B" w:rsidRPr="000C5235">
        <w:t>.</w:t>
      </w:r>
    </w:p>
    <w:p w14:paraId="598B32AD" w14:textId="77777777" w:rsidR="00FA0945" w:rsidRPr="000C5235" w:rsidRDefault="00FA0945" w:rsidP="005D722E">
      <w:pPr>
        <w:pStyle w:val="Numbered"/>
        <w:numPr>
          <w:ilvl w:val="0"/>
          <w:numId w:val="233"/>
        </w:numPr>
      </w:pPr>
      <w:r w:rsidRPr="000C5235">
        <w:t>Click OK.</w:t>
      </w:r>
    </w:p>
    <w:p w14:paraId="4C23FC73" w14:textId="77777777" w:rsidR="00FA0945" w:rsidRPr="000C5235" w:rsidRDefault="00FA0945" w:rsidP="00E23D4B">
      <w:pPr>
        <w:ind w:left="425"/>
      </w:pPr>
      <w:r w:rsidRPr="000C5235">
        <w:rPr>
          <w:u w:val="single"/>
        </w:rPr>
        <w:t>Tip:</w:t>
      </w:r>
      <w:r w:rsidRPr="000C5235">
        <w:t xml:space="preserve"> Only apply borders to the row with the description and values, not the row above or below </w:t>
      </w:r>
    </w:p>
    <w:p w14:paraId="1B98AD4F" w14:textId="46C5DC1C" w:rsidR="00FA0945" w:rsidRPr="000C5235" w:rsidRDefault="00FA0945" w:rsidP="000A7DEC">
      <w:pPr>
        <w:pStyle w:val="Heading3Numbered"/>
      </w:pPr>
      <w:bookmarkStart w:id="907" w:name="_Toc47951274"/>
      <w:r w:rsidRPr="000C5235">
        <w:t>Shading</w:t>
      </w:r>
      <w:bookmarkEnd w:id="907"/>
    </w:p>
    <w:p w14:paraId="4B3D67E5" w14:textId="77777777" w:rsidR="00FA0945" w:rsidRPr="000C5235" w:rsidRDefault="00FA0945" w:rsidP="005D722E">
      <w:pPr>
        <w:pStyle w:val="Numbered"/>
        <w:numPr>
          <w:ilvl w:val="0"/>
          <w:numId w:val="234"/>
        </w:numPr>
      </w:pPr>
      <w:r w:rsidRPr="000C5235">
        <w:t>Select the cells to be shaded</w:t>
      </w:r>
    </w:p>
    <w:p w14:paraId="0DC79EE0" w14:textId="77777777" w:rsidR="00FE449B" w:rsidRPr="000C5235" w:rsidRDefault="00FA0945" w:rsidP="005D722E">
      <w:pPr>
        <w:pStyle w:val="Numbered"/>
        <w:numPr>
          <w:ilvl w:val="0"/>
          <w:numId w:val="234"/>
        </w:numPr>
      </w:pPr>
      <w:r w:rsidRPr="000C5235">
        <w:t>Select the “Fill” tab from the “Font” group</w:t>
      </w:r>
    </w:p>
    <w:p w14:paraId="3E26B351" w14:textId="77777777" w:rsidR="00FE449B" w:rsidRPr="000C5235" w:rsidRDefault="00FA0945" w:rsidP="005D722E">
      <w:pPr>
        <w:pStyle w:val="Numbered"/>
        <w:numPr>
          <w:ilvl w:val="0"/>
          <w:numId w:val="234"/>
        </w:numPr>
      </w:pPr>
      <w:r w:rsidRPr="000C5235">
        <w:t>Select “More colours”</w:t>
      </w:r>
    </w:p>
    <w:p w14:paraId="6DBA1040" w14:textId="77777777" w:rsidR="00FE449B" w:rsidRPr="000C5235" w:rsidRDefault="00FA0945" w:rsidP="005D722E">
      <w:pPr>
        <w:pStyle w:val="Numbered"/>
        <w:numPr>
          <w:ilvl w:val="0"/>
          <w:numId w:val="234"/>
        </w:numPr>
      </w:pPr>
      <w:r w:rsidRPr="000C5235">
        <w:t>Select the “Custom” tab</w:t>
      </w:r>
    </w:p>
    <w:p w14:paraId="160E61B0" w14:textId="77777777" w:rsidR="00FA0945" w:rsidRPr="000C5235" w:rsidRDefault="00FA0945" w:rsidP="005D722E">
      <w:pPr>
        <w:pStyle w:val="Numbered"/>
        <w:numPr>
          <w:ilvl w:val="0"/>
          <w:numId w:val="234"/>
        </w:numPr>
      </w:pPr>
      <w:r w:rsidRPr="000C5235">
        <w:t>Set as: Red – 235, Green – 235 and Blue – 235.</w:t>
      </w:r>
    </w:p>
    <w:p w14:paraId="40C648EC" w14:textId="489BDEF8" w:rsidR="00FA0945" w:rsidRPr="000C5235" w:rsidRDefault="00FA0945" w:rsidP="000A7DEC">
      <w:pPr>
        <w:pStyle w:val="Heading3Numbered"/>
      </w:pPr>
      <w:bookmarkStart w:id="908" w:name="_Toc47951275"/>
      <w:r w:rsidRPr="000C5235">
        <w:t>Indenting text</w:t>
      </w:r>
      <w:bookmarkEnd w:id="908"/>
    </w:p>
    <w:p w14:paraId="11E8511E" w14:textId="77777777" w:rsidR="00FA0945" w:rsidRPr="000C5235" w:rsidRDefault="00FA0945" w:rsidP="000A7DEC">
      <w:r w:rsidRPr="000C5235">
        <w:t xml:space="preserve">Use the “Right Indent” button to indent text in columns. Do not create a second column to indent text or use spaces to indent text. </w:t>
      </w:r>
    </w:p>
    <w:p w14:paraId="187C9509" w14:textId="07B1F939" w:rsidR="00FA0945" w:rsidRPr="000C5235" w:rsidRDefault="00FA0945">
      <w:pPr>
        <w:pStyle w:val="BodyText"/>
      </w:pPr>
      <w:r w:rsidRPr="000C5235">
        <w:rPr>
          <w:noProof/>
          <w:lang w:eastAsia="en-AU"/>
        </w:rPr>
        <w:drawing>
          <wp:inline distT="0" distB="0" distL="0" distR="0" wp14:anchorId="485787C1" wp14:editId="60FFD838">
            <wp:extent cx="1537970" cy="803275"/>
            <wp:effectExtent l="19050" t="19050" r="24130" b="15875"/>
            <wp:docPr id="2" name="Picture 2" descr="&quot;Right indent&quot; button on the Microsoft Excel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quot;Right indent&quot; button on the Microsoft Excel Home ribbo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37970" cy="803275"/>
                    </a:xfrm>
                    <a:prstGeom prst="rect">
                      <a:avLst/>
                    </a:prstGeom>
                    <a:noFill/>
                    <a:ln>
                      <a:solidFill>
                        <a:schemeClr val="tx1"/>
                      </a:solidFill>
                    </a:ln>
                  </pic:spPr>
                </pic:pic>
              </a:graphicData>
            </a:graphic>
          </wp:inline>
        </w:drawing>
      </w:r>
    </w:p>
    <w:p w14:paraId="7E6E4964" w14:textId="2C77554B" w:rsidR="00FA0945" w:rsidRPr="000C5235" w:rsidRDefault="00FA0945" w:rsidP="000A7DEC">
      <w:pPr>
        <w:pStyle w:val="Heading3Numbered"/>
      </w:pPr>
      <w:bookmarkStart w:id="909" w:name="_Toc47951276"/>
      <w:r w:rsidRPr="000C5235">
        <w:t xml:space="preserve">Inserting linked </w:t>
      </w:r>
      <w:r w:rsidR="0079648C" w:rsidRPr="000C5235">
        <w:t>e</w:t>
      </w:r>
      <w:r w:rsidRPr="000C5235">
        <w:t xml:space="preserve">xcel tables into the </w:t>
      </w:r>
      <w:r w:rsidR="0079648C" w:rsidRPr="000C5235">
        <w:t>w</w:t>
      </w:r>
      <w:r w:rsidRPr="000C5235">
        <w:t>ord template</w:t>
      </w:r>
      <w:bookmarkEnd w:id="909"/>
    </w:p>
    <w:p w14:paraId="68027A56" w14:textId="77777777" w:rsidR="00FA0945" w:rsidRPr="000C5235" w:rsidRDefault="00FA0945" w:rsidP="000A7DEC">
      <w:r w:rsidRPr="000C5235">
        <w:t>The standard practice for preparing Budget documentation is to link tables and charts from Excel into Word. There are a number of reasons for this:</w:t>
      </w:r>
    </w:p>
    <w:p w14:paraId="421C1C92" w14:textId="77777777" w:rsidR="00FA0945" w:rsidRPr="000C5235" w:rsidRDefault="00FA0945">
      <w:pPr>
        <w:pStyle w:val="Bullet1"/>
      </w:pPr>
      <w:r w:rsidRPr="000C5235">
        <w:t>When the Excel tables are updated, the Word template can be easily updated by pressing the F9 key in Word</w:t>
      </w:r>
    </w:p>
    <w:p w14:paraId="4B80D306" w14:textId="77777777" w:rsidR="00FA0945" w:rsidRPr="000C5235" w:rsidRDefault="00FA0945">
      <w:pPr>
        <w:pStyle w:val="Bullet1"/>
      </w:pPr>
      <w:r w:rsidRPr="000C5235">
        <w:t>Placing a linked object into a document helps to keep the file size smaller. An unlinked object increases the document size</w:t>
      </w:r>
    </w:p>
    <w:p w14:paraId="282C59AF" w14:textId="77777777" w:rsidR="00FA0945" w:rsidRPr="000C5235" w:rsidRDefault="00FA0945">
      <w:pPr>
        <w:pStyle w:val="Bullet1"/>
      </w:pPr>
      <w:r w:rsidRPr="000C5235">
        <w:t>When you double click on a linked object in Word you cannot open a copy of the Excel workbook (unless you have access to the Excel file).</w:t>
      </w:r>
    </w:p>
    <w:p w14:paraId="48795382" w14:textId="77777777" w:rsidR="00FA0945" w:rsidRPr="000C5235" w:rsidRDefault="00FA0945" w:rsidP="000A7DEC">
      <w:pPr>
        <w:pStyle w:val="Heading5"/>
      </w:pPr>
      <w:r w:rsidRPr="000C5235">
        <w:t>To insert a linked Excel table into the Word template:</w:t>
      </w:r>
    </w:p>
    <w:p w14:paraId="71858042" w14:textId="77777777" w:rsidR="00FA0945" w:rsidRPr="000C5235" w:rsidRDefault="00FA0945" w:rsidP="005D722E">
      <w:pPr>
        <w:pStyle w:val="Numbered"/>
        <w:numPr>
          <w:ilvl w:val="0"/>
          <w:numId w:val="235"/>
        </w:numPr>
      </w:pPr>
      <w:r w:rsidRPr="000C5235">
        <w:t>In Excel, format the table to budget standards (see page 5</w:t>
      </w:r>
      <w:r w:rsidR="003A289D" w:rsidRPr="000C5235">
        <w:t>9</w:t>
      </w:r>
      <w:r w:rsidRPr="000C5235">
        <w:t>)</w:t>
      </w:r>
    </w:p>
    <w:p w14:paraId="2996629B" w14:textId="77777777" w:rsidR="00FA0945" w:rsidRPr="000C5235" w:rsidRDefault="00FA0945" w:rsidP="005D722E">
      <w:pPr>
        <w:pStyle w:val="Numbered"/>
        <w:numPr>
          <w:ilvl w:val="0"/>
          <w:numId w:val="235"/>
        </w:numPr>
      </w:pPr>
      <w:r w:rsidRPr="000C5235">
        <w:t>In Excel, select and copy the table</w:t>
      </w:r>
    </w:p>
    <w:p w14:paraId="0951AD41" w14:textId="77777777" w:rsidR="00FA0945" w:rsidRPr="000C5235" w:rsidRDefault="00FA0945" w:rsidP="005D722E">
      <w:pPr>
        <w:pStyle w:val="Numbered"/>
        <w:numPr>
          <w:ilvl w:val="0"/>
          <w:numId w:val="235"/>
        </w:numPr>
      </w:pPr>
      <w:r w:rsidRPr="000C5235">
        <w:t>In Word, enter the appropriate heading and apply the Table Heading format to the text</w:t>
      </w:r>
    </w:p>
    <w:p w14:paraId="1D703B08" w14:textId="77777777" w:rsidR="00FA0945" w:rsidRPr="000C5235" w:rsidRDefault="00FA0945" w:rsidP="005D722E">
      <w:pPr>
        <w:pStyle w:val="Numbered"/>
        <w:numPr>
          <w:ilvl w:val="0"/>
          <w:numId w:val="235"/>
        </w:numPr>
      </w:pPr>
      <w:r w:rsidRPr="000C5235">
        <w:t>In Word, select “Paste Special”, choose “Paste Link – Excel Object” and click “OK”</w:t>
      </w:r>
    </w:p>
    <w:p w14:paraId="75956005" w14:textId="77777777" w:rsidR="00FA0945" w:rsidRPr="000C5235" w:rsidRDefault="00FA0945" w:rsidP="005D722E">
      <w:pPr>
        <w:pStyle w:val="Numbered"/>
        <w:numPr>
          <w:ilvl w:val="0"/>
          <w:numId w:val="235"/>
        </w:numPr>
      </w:pPr>
      <w:r w:rsidRPr="000C5235">
        <w:t>In Word, type in the footnotes and other text</w:t>
      </w:r>
    </w:p>
    <w:p w14:paraId="7E918FE8" w14:textId="77777777" w:rsidR="00FA0945" w:rsidRPr="000C5235" w:rsidRDefault="00FA0945" w:rsidP="005D722E">
      <w:pPr>
        <w:pStyle w:val="Numbered"/>
        <w:numPr>
          <w:ilvl w:val="0"/>
          <w:numId w:val="235"/>
        </w:numPr>
      </w:pPr>
      <w:r w:rsidRPr="000C5235">
        <w:t xml:space="preserve">In Word lock the links by right clicking the linked table and choosing Linked Worksheet Object </w:t>
      </w:r>
      <w:r w:rsidR="00160EE4" w:rsidRPr="000C5235">
        <w:t xml:space="preserve"> </w:t>
      </w:r>
      <w:r w:rsidR="004B76F7" w:rsidRPr="000C5235">
        <w:sym w:font="Wingdings" w:char="F0E0"/>
      </w:r>
      <w:r w:rsidRPr="000C5235">
        <w:t xml:space="preserve"> Links and then checking the “Locked” tick box, then click “OK”.</w:t>
      </w:r>
    </w:p>
    <w:p w14:paraId="314AAD4B" w14:textId="77777777" w:rsidR="00FA0945" w:rsidRPr="000C5235" w:rsidRDefault="00FA0945" w:rsidP="000A7DEC">
      <w:pPr>
        <w:pStyle w:val="Heading5"/>
      </w:pPr>
      <w:r w:rsidRPr="000C5235">
        <w:t>To update linked tables</w:t>
      </w:r>
    </w:p>
    <w:p w14:paraId="18E6F362" w14:textId="77777777" w:rsidR="00FA0945" w:rsidRPr="000C5235" w:rsidRDefault="00FA0945" w:rsidP="005D722E">
      <w:pPr>
        <w:pStyle w:val="Numbered"/>
        <w:numPr>
          <w:ilvl w:val="0"/>
          <w:numId w:val="236"/>
        </w:numPr>
      </w:pPr>
      <w:r w:rsidRPr="000C5235">
        <w:t>In Excel, open the source workbook to update the table</w:t>
      </w:r>
    </w:p>
    <w:p w14:paraId="6F13C7F9" w14:textId="77777777" w:rsidR="00FA0945" w:rsidRPr="000C5235" w:rsidRDefault="00FA0945" w:rsidP="005D722E">
      <w:pPr>
        <w:pStyle w:val="Numbered"/>
        <w:numPr>
          <w:ilvl w:val="0"/>
          <w:numId w:val="236"/>
        </w:numPr>
      </w:pPr>
      <w:r w:rsidRPr="000C5235">
        <w:t xml:space="preserve">To update the table, in Word, right click the table and select Linked Worksheet Object </w:t>
      </w:r>
      <w:r w:rsidR="004B76F7" w:rsidRPr="000C5235">
        <w:sym w:font="Wingdings" w:char="F0E0"/>
      </w:r>
      <w:r w:rsidRPr="000C5235">
        <w:t xml:space="preserve"> Links. Uncheck the “Locked” tick box, then select update now, then re-check the “Locked” tick box, then click “OK”</w:t>
      </w:r>
    </w:p>
    <w:p w14:paraId="64EB7F56" w14:textId="77777777" w:rsidR="00FA0945" w:rsidRPr="000C5235" w:rsidRDefault="00FA0945" w:rsidP="005D722E">
      <w:pPr>
        <w:pStyle w:val="Numbered"/>
        <w:numPr>
          <w:ilvl w:val="0"/>
          <w:numId w:val="236"/>
        </w:numPr>
      </w:pPr>
      <w:r w:rsidRPr="000C5235">
        <w:t xml:space="preserve">If you have not locked the tables, press F9 to update the table in the Word document. </w:t>
      </w:r>
    </w:p>
    <w:p w14:paraId="3980E507" w14:textId="570B7778" w:rsidR="00FA0945" w:rsidRPr="000C5235" w:rsidRDefault="00FA0945" w:rsidP="000A7DEC">
      <w:pPr>
        <w:pStyle w:val="Heading2Numbered"/>
      </w:pPr>
      <w:bookmarkStart w:id="910" w:name="_Toc534382585"/>
      <w:bookmarkStart w:id="911" w:name="_Toc47951277"/>
      <w:r w:rsidRPr="000C5235">
        <w:t xml:space="preserve">Preparing the </w:t>
      </w:r>
      <w:r w:rsidR="0079648C" w:rsidRPr="000C5235">
        <w:t>w</w:t>
      </w:r>
      <w:r w:rsidRPr="000C5235">
        <w:t>ord template for printing</w:t>
      </w:r>
      <w:bookmarkEnd w:id="910"/>
      <w:bookmarkEnd w:id="911"/>
    </w:p>
    <w:p w14:paraId="20DF0EC4" w14:textId="77777777" w:rsidR="00FA0945" w:rsidRPr="000C5235" w:rsidRDefault="00FA0945">
      <w:pPr>
        <w:pStyle w:val="BodyText"/>
      </w:pPr>
      <w:r w:rsidRPr="000C5235">
        <w:t>To prepare the Word template for printing, the links to the Excel template should be broken. To break the links:</w:t>
      </w:r>
    </w:p>
    <w:p w14:paraId="28464B26" w14:textId="77777777" w:rsidR="00FA0945" w:rsidRPr="000C5235" w:rsidRDefault="00FA0945" w:rsidP="005D722E">
      <w:pPr>
        <w:pStyle w:val="Numbered"/>
        <w:numPr>
          <w:ilvl w:val="0"/>
          <w:numId w:val="237"/>
        </w:numPr>
      </w:pPr>
      <w:r w:rsidRPr="000C5235">
        <w:t>In Word, click the Office button, then “Prepare” and then “Edit Links to Files”</w:t>
      </w:r>
      <w:r w:rsidR="00BC09E0" w:rsidRPr="000C5235">
        <w:t>.</w:t>
      </w:r>
    </w:p>
    <w:p w14:paraId="2BBDB165" w14:textId="77777777" w:rsidR="00FA0945" w:rsidRPr="000C5235" w:rsidRDefault="00FA0945" w:rsidP="005D722E">
      <w:pPr>
        <w:pStyle w:val="Numbered"/>
        <w:numPr>
          <w:ilvl w:val="0"/>
          <w:numId w:val="237"/>
        </w:numPr>
      </w:pPr>
      <w:r w:rsidRPr="000C5235">
        <w:t>For each link listed, click “Break Link”</w:t>
      </w:r>
      <w:r w:rsidR="00BC09E0" w:rsidRPr="000C5235">
        <w:t>.</w:t>
      </w:r>
    </w:p>
    <w:p w14:paraId="274B3933" w14:textId="77777777" w:rsidR="00FA0945" w:rsidRPr="000C5235" w:rsidRDefault="00FA0945" w:rsidP="005D722E">
      <w:pPr>
        <w:pStyle w:val="Numbered"/>
        <w:numPr>
          <w:ilvl w:val="0"/>
          <w:numId w:val="237"/>
        </w:numPr>
      </w:pPr>
      <w:r w:rsidRPr="000C5235">
        <w:t xml:space="preserve">Save the file and if required by your publisher, convert to Adobe PDF format for printing. </w:t>
      </w:r>
    </w:p>
    <w:p w14:paraId="0BDE1446" w14:textId="6FA8D539" w:rsidR="00FA0945" w:rsidRPr="000C5235" w:rsidRDefault="00FA0945" w:rsidP="000A7DEC">
      <w:pPr>
        <w:pStyle w:val="Heading2Numbered"/>
      </w:pPr>
      <w:bookmarkStart w:id="912" w:name="_Toc534382586"/>
      <w:bookmarkStart w:id="913" w:name="_Toc47951278"/>
      <w:r w:rsidRPr="000C5235">
        <w:t xml:space="preserve">Preparing the </w:t>
      </w:r>
      <w:r w:rsidR="0079648C" w:rsidRPr="000C5235">
        <w:t>w</w:t>
      </w:r>
      <w:r w:rsidRPr="000C5235">
        <w:t>ord template for online publication</w:t>
      </w:r>
      <w:bookmarkEnd w:id="912"/>
      <w:bookmarkEnd w:id="913"/>
    </w:p>
    <w:p w14:paraId="61BC847D" w14:textId="77777777" w:rsidR="00FA0945" w:rsidRPr="000C5235" w:rsidRDefault="00FA0945">
      <w:pPr>
        <w:pStyle w:val="BodyText"/>
      </w:pPr>
      <w:r w:rsidRPr="000C5235">
        <w:t>In order to prepare the Word template for online publication and to ensure they are web accessible, entities will need to re-paste the Excel tables into the Word document in HTML format:</w:t>
      </w:r>
    </w:p>
    <w:p w14:paraId="18339F0E" w14:textId="77777777" w:rsidR="00FA0945" w:rsidRPr="000C5235" w:rsidRDefault="00FA0945" w:rsidP="005D722E">
      <w:pPr>
        <w:pStyle w:val="Numbered"/>
        <w:numPr>
          <w:ilvl w:val="0"/>
          <w:numId w:val="238"/>
        </w:numPr>
      </w:pPr>
      <w:r w:rsidRPr="000C5235">
        <w:t>In Excel, select and copy the table</w:t>
      </w:r>
    </w:p>
    <w:p w14:paraId="0F69A84B" w14:textId="77777777" w:rsidR="00FA0945" w:rsidRPr="000C5235" w:rsidRDefault="00FA0945" w:rsidP="005D722E">
      <w:pPr>
        <w:pStyle w:val="Numbered"/>
        <w:numPr>
          <w:ilvl w:val="0"/>
          <w:numId w:val="238"/>
        </w:numPr>
      </w:pPr>
      <w:r w:rsidRPr="000C5235">
        <w:t>In Word, select “Paste Special”, choose “Paste – HTML Format” and click “OK”</w:t>
      </w:r>
    </w:p>
    <w:p w14:paraId="6369EE4E" w14:textId="77777777" w:rsidR="00FA0945" w:rsidRPr="000C5235" w:rsidRDefault="00FA0945" w:rsidP="005D722E">
      <w:pPr>
        <w:pStyle w:val="Numbered"/>
        <w:numPr>
          <w:ilvl w:val="0"/>
          <w:numId w:val="238"/>
        </w:numPr>
      </w:pPr>
      <w:r w:rsidRPr="000C5235">
        <w:t xml:space="preserve">Save the file. It is now ready for conversion into Adobe PDF or HTML format by your Web Publishing area. </w:t>
      </w:r>
    </w:p>
    <w:p w14:paraId="71E814DA" w14:textId="6BC8C4BD" w:rsidR="00FA0945" w:rsidRPr="000C5235" w:rsidRDefault="00FA0945" w:rsidP="000A7DEC">
      <w:pPr>
        <w:pStyle w:val="Heading2Numbered"/>
      </w:pPr>
      <w:bookmarkStart w:id="914" w:name="_Toc534382587"/>
      <w:bookmarkStart w:id="915" w:name="_Toc47951279"/>
      <w:r w:rsidRPr="000C5235">
        <w:t>Web accessibility requirements</w:t>
      </w:r>
      <w:bookmarkEnd w:id="914"/>
      <w:bookmarkEnd w:id="915"/>
    </w:p>
    <w:p w14:paraId="6F74EC53" w14:textId="77777777" w:rsidR="00FA0945" w:rsidRPr="000C5235" w:rsidRDefault="00FA0945" w:rsidP="000A7DEC">
      <w:r w:rsidRPr="000C5235">
        <w:t xml:space="preserve">Entities must ensure web content published on government websites meets the mandatory accessibility standard ‘Web Content Accessibility Guidelines Version 2.0’. Details of the standard and associated policy advice can be found online at </w:t>
      </w:r>
      <w:hyperlink r:id="rId74" w:history="1">
        <w:r w:rsidR="00F415C5" w:rsidRPr="000C5235">
          <w:rPr>
            <w:rStyle w:val="Hyperlink"/>
            <w:rFonts w:asciiTheme="minorHAnsi" w:hAnsiTheme="minorHAnsi" w:cs="Times New Roman"/>
          </w:rPr>
          <w:t>https://guides.service.gov.au/content-guide/accessibility-inclusivity/</w:t>
        </w:r>
      </w:hyperlink>
      <w:r w:rsidR="00F415C5" w:rsidRPr="000C5235">
        <w:t>.</w:t>
      </w:r>
    </w:p>
    <w:p w14:paraId="739B132D" w14:textId="77777777" w:rsidR="00FA0945" w:rsidRPr="000C5235" w:rsidRDefault="00FA0945" w:rsidP="000A7DEC">
      <w:r w:rsidRPr="000C5235">
        <w:t>The tables for the PB Statements and PAES have been reformatted to improve accessibility for users with a disability. Changes to improve the accessibility of the tables include:</w:t>
      </w:r>
    </w:p>
    <w:p w14:paraId="1F3B9C43" w14:textId="77777777" w:rsidR="00FA0945" w:rsidRPr="000C5235" w:rsidRDefault="00FA0945">
      <w:pPr>
        <w:pStyle w:val="Bullet1"/>
      </w:pPr>
      <w:r w:rsidRPr="000C5235">
        <w:t>Removal of blank cells and rows so text-to-speech reader software can read tables</w:t>
      </w:r>
    </w:p>
    <w:p w14:paraId="4CE67401" w14:textId="77777777" w:rsidR="00FA0945" w:rsidRPr="000C5235" w:rsidRDefault="00FA0945">
      <w:pPr>
        <w:pStyle w:val="Bullet1"/>
      </w:pPr>
      <w:r w:rsidRPr="000C5235">
        <w:t>Wrapping text so that entire phrases, titles or sentences appear in the one cell, rather than being split over several lines</w:t>
      </w:r>
    </w:p>
    <w:p w14:paraId="3FFD3702" w14:textId="77777777" w:rsidR="00FA0945" w:rsidRPr="000C5235" w:rsidRDefault="00FA0945">
      <w:pPr>
        <w:pStyle w:val="Bullet1"/>
      </w:pPr>
      <w:r w:rsidRPr="000C5235">
        <w:t>Using “soft returns” in cells so headings in the electronic version can be read by text-to-speech reader software but headings are formatted correctly in the printed version and</w:t>
      </w:r>
    </w:p>
    <w:p w14:paraId="70343019" w14:textId="77777777" w:rsidR="00FA0945" w:rsidRPr="000C5235" w:rsidRDefault="00FA0945">
      <w:pPr>
        <w:pStyle w:val="Bullet1"/>
      </w:pPr>
      <w:r w:rsidRPr="000C5235">
        <w:t xml:space="preserve">More consistent capitalisation so sighted users can differentiate between new cells versus new lines within a cell/row. </w:t>
      </w:r>
    </w:p>
    <w:p w14:paraId="1D263043" w14:textId="3BD946A0" w:rsidR="00FA0945" w:rsidRPr="000C5235" w:rsidRDefault="00FA0945" w:rsidP="000A7DEC">
      <w:pPr>
        <w:pStyle w:val="Heading3Numbered"/>
      </w:pPr>
      <w:bookmarkStart w:id="916" w:name="_Toc47951280"/>
      <w:r w:rsidRPr="000C5235">
        <w:t>Guide to making accessible soft copy documents</w:t>
      </w:r>
      <w:bookmarkEnd w:id="916"/>
    </w:p>
    <w:p w14:paraId="5D163382" w14:textId="77777777" w:rsidR="00FA0945" w:rsidRPr="000C5235" w:rsidRDefault="00FA0945" w:rsidP="000A7DEC">
      <w:r w:rsidRPr="000C5235">
        <w:t>Entities are responsible for making their documents accessible and it is recommended entities contact their publishing or web teams early to ensure requirements are met.</w:t>
      </w:r>
    </w:p>
    <w:p w14:paraId="37C2F2C5" w14:textId="77777777" w:rsidR="00FA0945" w:rsidRPr="000C5235" w:rsidRDefault="00FA0945" w:rsidP="005D722E">
      <w:pPr>
        <w:pStyle w:val="Numbered"/>
        <w:numPr>
          <w:ilvl w:val="0"/>
          <w:numId w:val="217"/>
        </w:numPr>
      </w:pPr>
      <w:r w:rsidRPr="000C5235">
        <w:t>Content structure — use styles:</w:t>
      </w:r>
    </w:p>
    <w:p w14:paraId="4CE842A9" w14:textId="77777777" w:rsidR="00FA0945" w:rsidRPr="000C5235" w:rsidRDefault="00FA0945">
      <w:pPr>
        <w:pStyle w:val="Bullet2"/>
      </w:pPr>
      <w:r w:rsidRPr="000C5235">
        <w:t>Using styles such as heading types, bullet point lists and numbered lists makes it easier for users with disabilities to navigate through a document.</w:t>
      </w:r>
    </w:p>
    <w:p w14:paraId="05523819" w14:textId="77777777" w:rsidR="00FA0945" w:rsidRPr="000C5235" w:rsidRDefault="00FA0945">
      <w:pPr>
        <w:pStyle w:val="Bullet2"/>
      </w:pPr>
      <w:r w:rsidRPr="000C5235">
        <w:t>Use the styles that are available on the Office ribbon under the Home tab or through the Styles window (Alt</w:t>
      </w:r>
      <w:r w:rsidR="00C37129" w:rsidRPr="000C5235">
        <w:t xml:space="preserve"> </w:t>
      </w:r>
      <w:r w:rsidRPr="000C5235">
        <w:t>+</w:t>
      </w:r>
      <w:r w:rsidR="00C37129" w:rsidRPr="000C5235">
        <w:t xml:space="preserve"> </w:t>
      </w:r>
      <w:r w:rsidRPr="000C5235">
        <w:t>Ctrl</w:t>
      </w:r>
      <w:r w:rsidR="00C37129" w:rsidRPr="000C5235">
        <w:t xml:space="preserve"> </w:t>
      </w:r>
      <w:r w:rsidRPr="000C5235">
        <w:t>+</w:t>
      </w:r>
      <w:r w:rsidR="00C37129" w:rsidRPr="000C5235">
        <w:t xml:space="preserve"> </w:t>
      </w:r>
      <w:r w:rsidRPr="000C5235">
        <w:t>Shift</w:t>
      </w:r>
      <w:r w:rsidR="00C37129" w:rsidRPr="000C5235">
        <w:t xml:space="preserve"> </w:t>
      </w:r>
      <w:r w:rsidRPr="000C5235">
        <w:t>+</w:t>
      </w:r>
      <w:r w:rsidR="00C37129" w:rsidRPr="000C5235">
        <w:t xml:space="preserve"> </w:t>
      </w:r>
      <w:r w:rsidRPr="000C5235">
        <w:t>S)</w:t>
      </w:r>
      <w:r w:rsidR="00E10C89" w:rsidRPr="000C5235">
        <w:t xml:space="preserve"> (ie</w:t>
      </w:r>
      <w:r w:rsidRPr="000C5235">
        <w:t xml:space="preserve"> Heading 1, Heading 2, Heading 3, Heading 4, Normal etc</w:t>
      </w:r>
      <w:r w:rsidR="00E10C89" w:rsidRPr="000C5235">
        <w:t>)</w:t>
      </w:r>
      <w:r w:rsidRPr="000C5235">
        <w:t>.</w:t>
      </w:r>
      <w:r w:rsidR="003911FC" w:rsidRPr="000C5235">
        <w:br/>
      </w:r>
      <w:r w:rsidR="003911FC" w:rsidRPr="000C5235">
        <w:br/>
      </w:r>
      <w:r w:rsidRPr="000C5235">
        <w:rPr>
          <w:noProof/>
          <w:lang w:eastAsia="en-AU"/>
        </w:rPr>
        <w:drawing>
          <wp:inline distT="0" distB="0" distL="0" distR="0" wp14:anchorId="5216C5C4" wp14:editId="4EADDFD9">
            <wp:extent cx="4862830" cy="873125"/>
            <wp:effectExtent l="19050" t="19050" r="13970" b="22225"/>
            <wp:docPr id="1" name="Picture 1" descr="&quot;Styles&quot; group on the Microsoft Word Home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ot;Styles&quot; group on the Microsoft Word Home ribbon."/>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62830" cy="873125"/>
                    </a:xfrm>
                    <a:prstGeom prst="rect">
                      <a:avLst/>
                    </a:prstGeom>
                    <a:noFill/>
                    <a:ln>
                      <a:solidFill>
                        <a:schemeClr val="tx1"/>
                      </a:solidFill>
                    </a:ln>
                  </pic:spPr>
                </pic:pic>
              </a:graphicData>
            </a:graphic>
          </wp:inline>
        </w:drawing>
      </w:r>
      <w:r w:rsidR="004E58F5" w:rsidRPr="000C5235">
        <w:br/>
      </w:r>
    </w:p>
    <w:p w14:paraId="3E3EBD5F" w14:textId="77777777" w:rsidR="00FA0945" w:rsidRPr="000C5235" w:rsidRDefault="00FA0945">
      <w:pPr>
        <w:pStyle w:val="Bullet2"/>
      </w:pPr>
      <w:r w:rsidRPr="000C5235">
        <w:t>Use heading styles to apply a logical structure to your document. Headings will allow screen reader users to navigate through the page easily and will make the page more usable for everyone. Use the Outline view to see the hierarchy of styles</w:t>
      </w:r>
    </w:p>
    <w:p w14:paraId="07F3B863" w14:textId="77777777" w:rsidR="00FA0945" w:rsidRPr="000C5235" w:rsidRDefault="00FA0945">
      <w:pPr>
        <w:pStyle w:val="Bullet2"/>
      </w:pPr>
      <w:r w:rsidRPr="000C5235">
        <w:t>Do not skip any heading level — this may affect the logical reading order of the document when used by a screen reader</w:t>
      </w:r>
    </w:p>
    <w:p w14:paraId="2BF55D65" w14:textId="77777777" w:rsidR="00FA0945" w:rsidRPr="000C5235" w:rsidRDefault="00FA0945">
      <w:pPr>
        <w:pStyle w:val="Bullet2"/>
      </w:pPr>
      <w:r w:rsidRPr="000C5235">
        <w:t>Make a page break to move text to the next page to ensure there is no blank space for screen reader audio.</w:t>
      </w:r>
    </w:p>
    <w:p w14:paraId="7F0CC4B4" w14:textId="77777777" w:rsidR="00FA0945" w:rsidRPr="000C5235" w:rsidRDefault="00FA0945" w:rsidP="005D722E">
      <w:pPr>
        <w:pStyle w:val="Numbered"/>
        <w:numPr>
          <w:ilvl w:val="0"/>
          <w:numId w:val="238"/>
        </w:numPr>
      </w:pPr>
      <w:r w:rsidRPr="000C5235">
        <w:t>Alternative text:</w:t>
      </w:r>
    </w:p>
    <w:p w14:paraId="27E32581" w14:textId="77777777" w:rsidR="00FA0945" w:rsidRPr="000C5235" w:rsidRDefault="00FA0945">
      <w:pPr>
        <w:pStyle w:val="Bullet2"/>
      </w:pPr>
      <w:r w:rsidRPr="000C5235">
        <w:t>Charts and images all need to have alternative text, this text will be read by a screen reader in a Word file and will remain intact when exported to HTML or PDF</w:t>
      </w:r>
    </w:p>
    <w:p w14:paraId="50227FEF" w14:textId="77777777" w:rsidR="00FA0945" w:rsidRPr="000C5235" w:rsidRDefault="00FA0945">
      <w:pPr>
        <w:pStyle w:val="Bullet2"/>
      </w:pPr>
      <w:r w:rsidRPr="000C5235">
        <w:t>You must always provide an alternative text (ALT Text) description for all non-text objects and should communicate the essential content of the image as efficiently as possible</w:t>
      </w:r>
    </w:p>
    <w:p w14:paraId="5692C4E5" w14:textId="77777777" w:rsidR="00FA0945" w:rsidRPr="000C5235" w:rsidRDefault="00FA0945">
      <w:pPr>
        <w:pStyle w:val="Bullet2"/>
      </w:pPr>
      <w:r w:rsidRPr="000C5235">
        <w:t>To enter in ALT text right click on the image, select Format Picture/Shape and then select the ALT text tab to enter in the title and description.</w:t>
      </w:r>
    </w:p>
    <w:p w14:paraId="5798738F" w14:textId="77777777" w:rsidR="00FA0945" w:rsidRPr="000C5235" w:rsidRDefault="00FA0945" w:rsidP="002754DF">
      <w:pPr>
        <w:pStyle w:val="Numbered"/>
        <w:numPr>
          <w:ilvl w:val="0"/>
          <w:numId w:val="238"/>
        </w:numPr>
      </w:pPr>
      <w:r w:rsidRPr="000C5235">
        <w:t>Use the accessibility checker:</w:t>
      </w:r>
    </w:p>
    <w:p w14:paraId="0E962425" w14:textId="77777777" w:rsidR="00FA0945" w:rsidRPr="000C5235" w:rsidRDefault="00FA0945">
      <w:pPr>
        <w:pStyle w:val="Bullet2"/>
      </w:pPr>
      <w:r w:rsidRPr="000C5235">
        <w:t xml:space="preserve">If you wish to check the accessibility of your document or template (see Technique 1, above), Word 2016 offers an “Accessibility Checker” to review your document against a set of possible issues that users with disabilities may experience in your file: </w:t>
      </w:r>
    </w:p>
    <w:p w14:paraId="30F56833" w14:textId="77777777" w:rsidR="00FA0945" w:rsidRPr="000C5235" w:rsidRDefault="00FA0945">
      <w:pPr>
        <w:pStyle w:val="Bullet3"/>
      </w:pPr>
      <w:r w:rsidRPr="000C5235">
        <w:t xml:space="preserve">Select File </w:t>
      </w:r>
      <w:r w:rsidR="004B76F7" w:rsidRPr="000C5235">
        <w:sym w:font="Wingdings" w:char="F0E0"/>
      </w:r>
      <w:r w:rsidRPr="000C5235">
        <w:t xml:space="preserve"> Info</w:t>
      </w:r>
    </w:p>
    <w:p w14:paraId="51AB2E50" w14:textId="77777777" w:rsidR="00FA0945" w:rsidRPr="000C5235" w:rsidRDefault="00FA0945">
      <w:pPr>
        <w:pStyle w:val="Bullet3"/>
      </w:pPr>
      <w:r w:rsidRPr="000C5235">
        <w:t xml:space="preserve">Select ‘Check for Issues’ </w:t>
      </w:r>
      <w:r w:rsidR="004B76F7" w:rsidRPr="000C5235">
        <w:sym w:font="Wingdings" w:char="F0E0"/>
      </w:r>
      <w:r w:rsidRPr="000C5235">
        <w:t xml:space="preserve"> ‘Check Accessibility’.</w:t>
      </w:r>
    </w:p>
    <w:p w14:paraId="2F1C9F56" w14:textId="77777777" w:rsidR="00FA0945" w:rsidRPr="000C5235" w:rsidRDefault="00FA0945" w:rsidP="00C75597">
      <w:pPr>
        <w:pStyle w:val="Numbered"/>
        <w:numPr>
          <w:ilvl w:val="0"/>
          <w:numId w:val="238"/>
        </w:numPr>
      </w:pPr>
      <w:r w:rsidRPr="000C5235">
        <w:t>Convert Word documents to tagged PDF files</w:t>
      </w:r>
    </w:p>
    <w:p w14:paraId="78196BC6" w14:textId="77777777" w:rsidR="00FA0945" w:rsidRPr="000C5235" w:rsidRDefault="00FA0945">
      <w:pPr>
        <w:pStyle w:val="Bullet2"/>
      </w:pPr>
      <w:r w:rsidRPr="000C5235">
        <w:t>Microsoft Office 2016 allows you to create tagged PDF files. If you want to verify the accessibility of the PDF or edit the tags that are created, you will still need Acrobat Professional (your web team can help).</w:t>
      </w:r>
    </w:p>
    <w:p w14:paraId="02487A5A" w14:textId="77777777" w:rsidR="00FA0945" w:rsidRPr="000C5235" w:rsidRDefault="00FA0945">
      <w:pPr>
        <w:pStyle w:val="Bullet3"/>
      </w:pPr>
      <w:r w:rsidRPr="000C5235">
        <w:t xml:space="preserve">Select File </w:t>
      </w:r>
      <w:r w:rsidR="004B76F7" w:rsidRPr="000C5235">
        <w:sym w:font="Wingdings" w:char="F0E0"/>
      </w:r>
      <w:r w:rsidRPr="000C5235">
        <w:t xml:space="preserve"> Save As</w:t>
      </w:r>
    </w:p>
    <w:p w14:paraId="318A8612" w14:textId="77777777" w:rsidR="00FA0945" w:rsidRPr="000C5235" w:rsidRDefault="00FA0945">
      <w:pPr>
        <w:pStyle w:val="Bullet3"/>
      </w:pPr>
      <w:r w:rsidRPr="000C5235">
        <w:t>Under ‘Save as’ type: select PDF. Before you save the file, select ‘Options’ and ensure that the ‘Document structure tags for accessibility’ option is selected.</w:t>
      </w:r>
    </w:p>
    <w:p w14:paraId="2A461CEF" w14:textId="77777777" w:rsidR="00FA0945" w:rsidRPr="000C5235" w:rsidRDefault="00FA0945" w:rsidP="00C75597">
      <w:pPr>
        <w:pStyle w:val="Numbered"/>
        <w:numPr>
          <w:ilvl w:val="0"/>
          <w:numId w:val="238"/>
        </w:numPr>
      </w:pPr>
      <w:r w:rsidRPr="000C5235">
        <w:t>Making Excel tables accessible</w:t>
      </w:r>
    </w:p>
    <w:p w14:paraId="5ED0D6BD" w14:textId="77777777" w:rsidR="00FA0945" w:rsidRPr="000C5235" w:rsidRDefault="00FA0945">
      <w:pPr>
        <w:pStyle w:val="Bullet2"/>
      </w:pPr>
      <w:r w:rsidRPr="000C5235">
        <w:t>Because of the complex nature of the Budget tables, it’s difficult to make them accessible using Microsoft Office 2016 features. There are two options to make this content available - entities can either make the data behind the tables available on their website or they can convert the Excel tables to Word.</w:t>
      </w:r>
    </w:p>
    <w:p w14:paraId="0CCAE94E" w14:textId="77777777" w:rsidR="00CA731A" w:rsidRPr="000C5235" w:rsidRDefault="00FA0945" w:rsidP="00AC0C8A">
      <w:pPr>
        <w:pStyle w:val="Bullet3"/>
      </w:pPr>
      <w:r w:rsidRPr="000C5235">
        <w:t xml:space="preserve">Portfolios may also wish to include a link on their website to </w:t>
      </w:r>
      <w:hyperlink r:id="rId76" w:history="1">
        <w:r w:rsidRPr="000C5235">
          <w:rPr>
            <w:rStyle w:val="Hyperlink"/>
          </w:rPr>
          <w:t>http://www.data.gov.au</w:t>
        </w:r>
      </w:hyperlink>
      <w:r w:rsidRPr="000C5235">
        <w:t>, where most PB Statement financial tables will be available in Excel format following tabling of t</w:t>
      </w:r>
      <w:r w:rsidR="009064EE" w:rsidRPr="000C5235">
        <w:t>he PB Statements in Parliament.</w:t>
      </w:r>
    </w:p>
    <w:p w14:paraId="5F65043D" w14:textId="77777777" w:rsidR="00FA0945" w:rsidRPr="000C5235" w:rsidRDefault="00FA0945" w:rsidP="000A7DEC">
      <w:pPr>
        <w:pStyle w:val="Heading1Numbered"/>
      </w:pPr>
      <w:r w:rsidRPr="000C5235">
        <w:br w:type="page"/>
      </w:r>
      <w:bookmarkStart w:id="917" w:name="_Toc411852709"/>
      <w:bookmarkStart w:id="918" w:name="_Toc534382589"/>
      <w:bookmarkStart w:id="919" w:name="_Ref33522418"/>
      <w:bookmarkStart w:id="920" w:name="_Ref33522421"/>
      <w:bookmarkStart w:id="921" w:name="_Ref33522426"/>
      <w:bookmarkStart w:id="922" w:name="_Ref33523372"/>
      <w:bookmarkStart w:id="923" w:name="_Ref33523377"/>
      <w:bookmarkStart w:id="924" w:name="_Ref33523382"/>
      <w:bookmarkStart w:id="925" w:name="_Toc47951281"/>
      <w:r w:rsidRPr="000C5235">
        <w:t>Contacts</w:t>
      </w:r>
      <w:bookmarkEnd w:id="917"/>
      <w:bookmarkEnd w:id="918"/>
      <w:bookmarkEnd w:id="919"/>
      <w:bookmarkEnd w:id="920"/>
      <w:bookmarkEnd w:id="921"/>
      <w:bookmarkEnd w:id="922"/>
      <w:bookmarkEnd w:id="923"/>
      <w:bookmarkEnd w:id="924"/>
      <w:bookmarkEnd w:id="925"/>
    </w:p>
    <w:p w14:paraId="41608D20" w14:textId="12CDEFE0" w:rsidR="00FA0945" w:rsidRPr="000C5235" w:rsidRDefault="00FA0945" w:rsidP="000A7DEC">
      <w:pPr>
        <w:pStyle w:val="Heading2Numbered"/>
      </w:pPr>
      <w:bookmarkStart w:id="926" w:name="_Toc47951282"/>
      <w:r w:rsidRPr="000C5235">
        <w:t>Department of Finance</w:t>
      </w:r>
      <w:bookmarkEnd w:id="926"/>
    </w:p>
    <w:p w14:paraId="3012CCDB" w14:textId="77777777" w:rsidR="00FA0945" w:rsidRPr="000C5235" w:rsidRDefault="00FA0945" w:rsidP="000A7DEC">
      <w:r w:rsidRPr="000C5235">
        <w:t>In the first instance, entities should contact Finance staff in the relevant AAU with enquiries.</w:t>
      </w:r>
    </w:p>
    <w:p w14:paraId="5C49CB4B" w14:textId="77777777" w:rsidR="00FA0945" w:rsidRPr="000C5235" w:rsidRDefault="00FA0945" w:rsidP="000A7DEC">
      <w:r w:rsidRPr="000C5235">
        <w:t>For guidance on the preparation of the PB Statements (including publication on data.gov</w:t>
      </w:r>
      <w:r w:rsidR="00001EE6" w:rsidRPr="000C5235">
        <w:t>.au</w:t>
      </w:r>
      <w:r w:rsidRPr="000C5235">
        <w:t xml:space="preserve"> but excluding performance reporting), entities can contact the</w:t>
      </w:r>
      <w:r w:rsidR="00BC3BC8" w:rsidRPr="000C5235">
        <w:t xml:space="preserve"> </w:t>
      </w:r>
      <w:r w:rsidR="00BC3BC8" w:rsidRPr="000C5235">
        <w:rPr>
          <w:b/>
        </w:rPr>
        <w:t>Agency Accounting and</w:t>
      </w:r>
      <w:r w:rsidRPr="000C5235">
        <w:rPr>
          <w:b/>
        </w:rPr>
        <w:t xml:space="preserve"> Budget Framework Team</w:t>
      </w:r>
      <w:r w:rsidRPr="000C5235">
        <w:t>:</w:t>
      </w:r>
      <w:r w:rsidR="00160EE4" w:rsidRPr="000C5235">
        <w:br/>
      </w:r>
    </w:p>
    <w:tbl>
      <w:tblPr>
        <w:tblStyle w:val="PlainTable4"/>
        <w:tblW w:w="0" w:type="auto"/>
        <w:tblLook w:val="04A0" w:firstRow="1" w:lastRow="0" w:firstColumn="1" w:lastColumn="0" w:noHBand="0" w:noVBand="1"/>
      </w:tblPr>
      <w:tblGrid>
        <w:gridCol w:w="3960"/>
        <w:gridCol w:w="4682"/>
      </w:tblGrid>
      <w:tr w:rsidR="00427A89" w:rsidRPr="000C5235" w14:paraId="13F81B24" w14:textId="247FB72E" w:rsidTr="000A7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Borders>
              <w:top w:val="single" w:sz="4" w:space="0" w:color="auto"/>
              <w:left w:val="single" w:sz="4" w:space="0" w:color="auto"/>
            </w:tcBorders>
          </w:tcPr>
          <w:p w14:paraId="1608DF01" w14:textId="37B9271E" w:rsidR="00427A89" w:rsidRPr="000C5235" w:rsidRDefault="00427A89">
            <w:pPr>
              <w:pStyle w:val="BodyText"/>
            </w:pPr>
          </w:p>
        </w:tc>
        <w:tc>
          <w:tcPr>
            <w:tcW w:w="4682" w:type="dxa"/>
            <w:tcBorders>
              <w:top w:val="single" w:sz="4" w:space="0" w:color="auto"/>
              <w:right w:val="single" w:sz="4" w:space="0" w:color="auto"/>
            </w:tcBorders>
          </w:tcPr>
          <w:p w14:paraId="6D5FEC46" w14:textId="1CC74A72" w:rsidR="00427A89" w:rsidRPr="000C5235" w:rsidRDefault="00CB6D35">
            <w:pPr>
              <w:pStyle w:val="BodyText"/>
              <w:cnfStyle w:val="100000000000" w:firstRow="1" w:lastRow="0" w:firstColumn="0" w:lastColumn="0" w:oddVBand="0" w:evenVBand="0" w:oddHBand="0" w:evenHBand="0" w:firstRowFirstColumn="0" w:firstRowLastColumn="0" w:lastRowFirstColumn="0" w:lastRowLastColumn="0"/>
              <w:rPr>
                <w:b w:val="0"/>
              </w:rPr>
            </w:pPr>
            <w:r w:rsidRPr="000C5235">
              <w:tab/>
            </w:r>
            <w:r w:rsidRPr="000C5235">
              <w:tab/>
              <w:t xml:space="preserve"> </w:t>
            </w:r>
            <w:r w:rsidRPr="000C5235">
              <w:tab/>
              <w:t xml:space="preserve"> </w:t>
            </w:r>
            <w:r w:rsidR="00427A89" w:rsidRPr="000C5235">
              <w:t xml:space="preserve">(02) 6215 </w:t>
            </w:r>
            <w:r w:rsidR="00497E40" w:rsidRPr="000C5235">
              <w:t>3923</w:t>
            </w:r>
          </w:p>
        </w:tc>
      </w:tr>
      <w:tr w:rsidR="00BC3BC8" w:rsidRPr="000C5235" w14:paraId="013F693E" w14:textId="78D60111" w:rsidTr="000A7D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tcPr>
          <w:p w14:paraId="3035E229" w14:textId="551E816A" w:rsidR="00BC3BC8" w:rsidRPr="000C5235" w:rsidRDefault="00BC3BC8">
            <w:pPr>
              <w:pStyle w:val="BodyText"/>
            </w:pPr>
          </w:p>
        </w:tc>
        <w:tc>
          <w:tcPr>
            <w:tcW w:w="4682" w:type="dxa"/>
            <w:tcBorders>
              <w:right w:val="single" w:sz="4" w:space="0" w:color="auto"/>
            </w:tcBorders>
          </w:tcPr>
          <w:p w14:paraId="1E320D92" w14:textId="313FD4DD" w:rsidR="00BC3BC8" w:rsidRPr="000C5235" w:rsidRDefault="00CB6D35">
            <w:pPr>
              <w:pStyle w:val="BodyText"/>
              <w:cnfStyle w:val="000000100000" w:firstRow="0" w:lastRow="0" w:firstColumn="0" w:lastColumn="0" w:oddVBand="0" w:evenVBand="0" w:oddHBand="1" w:evenHBand="0" w:firstRowFirstColumn="0" w:firstRowLastColumn="0" w:lastRowFirstColumn="0" w:lastRowLastColumn="0"/>
            </w:pPr>
            <w:r w:rsidRPr="000C5235">
              <w:tab/>
            </w:r>
            <w:r w:rsidRPr="000C5235">
              <w:tab/>
              <w:t xml:space="preserve"> </w:t>
            </w:r>
            <w:r w:rsidRPr="000C5235">
              <w:tab/>
              <w:t xml:space="preserve"> </w:t>
            </w:r>
            <w:r w:rsidR="00BC3BC8" w:rsidRPr="000C5235">
              <w:t xml:space="preserve">(02) 6215 </w:t>
            </w:r>
            <w:r w:rsidR="00497E40" w:rsidRPr="000C5235">
              <w:t>3209</w:t>
            </w:r>
          </w:p>
        </w:tc>
      </w:tr>
      <w:tr w:rsidR="00334C6F" w:rsidRPr="000C5235" w14:paraId="2910D5D1" w14:textId="565650F4" w:rsidTr="005737B6">
        <w:tc>
          <w:tcPr>
            <w:cnfStyle w:val="001000000000" w:firstRow="0" w:lastRow="0" w:firstColumn="1" w:lastColumn="0" w:oddVBand="0" w:evenVBand="0" w:oddHBand="0" w:evenHBand="0" w:firstRowFirstColumn="0" w:firstRowLastColumn="0" w:lastRowFirstColumn="0" w:lastRowLastColumn="0"/>
            <w:tcW w:w="3960" w:type="dxa"/>
            <w:tcBorders>
              <w:left w:val="single" w:sz="4" w:space="0" w:color="auto"/>
            </w:tcBorders>
          </w:tcPr>
          <w:p w14:paraId="78B522C5" w14:textId="0E579F58" w:rsidR="00334C6F" w:rsidRPr="000C5235" w:rsidRDefault="00334C6F">
            <w:pPr>
              <w:pStyle w:val="BodyText"/>
            </w:pPr>
          </w:p>
        </w:tc>
        <w:tc>
          <w:tcPr>
            <w:tcW w:w="4682" w:type="dxa"/>
            <w:tcBorders>
              <w:right w:val="single" w:sz="4" w:space="0" w:color="auto"/>
            </w:tcBorders>
          </w:tcPr>
          <w:p w14:paraId="5803E90F" w14:textId="0D8C3191" w:rsidR="00334C6F" w:rsidRPr="000C5235" w:rsidRDefault="00CB6D35">
            <w:pPr>
              <w:pStyle w:val="BodyText"/>
              <w:cnfStyle w:val="000000000000" w:firstRow="0" w:lastRow="0" w:firstColumn="0" w:lastColumn="0" w:oddVBand="0" w:evenVBand="0" w:oddHBand="0" w:evenHBand="0" w:firstRowFirstColumn="0" w:firstRowLastColumn="0" w:lastRowFirstColumn="0" w:lastRowLastColumn="0"/>
            </w:pPr>
            <w:r w:rsidRPr="000C5235">
              <w:tab/>
            </w:r>
            <w:r w:rsidRPr="000C5235">
              <w:tab/>
              <w:t xml:space="preserve"> </w:t>
            </w:r>
            <w:r w:rsidRPr="000C5235">
              <w:tab/>
              <w:t xml:space="preserve"> </w:t>
            </w:r>
            <w:r w:rsidR="00334C6F" w:rsidRPr="000C5235">
              <w:t xml:space="preserve">(02) 6215 </w:t>
            </w:r>
            <w:r w:rsidR="00492034" w:rsidRPr="000C5235">
              <w:t>3094</w:t>
            </w:r>
          </w:p>
        </w:tc>
      </w:tr>
      <w:tr w:rsidR="00334C6F" w:rsidRPr="000C5235" w14:paraId="1E0A78A5" w14:textId="77777777" w:rsidTr="005737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gridSpan w:val="2"/>
            <w:tcBorders>
              <w:left w:val="single" w:sz="4" w:space="0" w:color="auto"/>
              <w:bottom w:val="single" w:sz="4" w:space="0" w:color="auto"/>
              <w:right w:val="single" w:sz="4" w:space="0" w:color="auto"/>
            </w:tcBorders>
          </w:tcPr>
          <w:p w14:paraId="05E785F3" w14:textId="77777777" w:rsidR="00334C6F" w:rsidRPr="000C5235" w:rsidRDefault="00A774B1">
            <w:pPr>
              <w:pStyle w:val="BodyText"/>
            </w:pPr>
            <w:hyperlink r:id="rId77" w:history="1">
              <w:r w:rsidR="0049533A" w:rsidRPr="000C5235">
                <w:rPr>
                  <w:rStyle w:val="Hyperlink"/>
                  <w:rFonts w:asciiTheme="minorHAnsi" w:hAnsiTheme="minorHAnsi" w:cs="Times New Roman"/>
                </w:rPr>
                <w:t>Budget_Framework@finance.gov.au</w:t>
              </w:r>
            </w:hyperlink>
            <w:r w:rsidR="0049533A" w:rsidRPr="000C5235">
              <w:rPr>
                <w:b w:val="0"/>
                <w:bCs w:val="0"/>
              </w:rPr>
              <w:t xml:space="preserve">  </w:t>
            </w:r>
            <w:r w:rsidR="00754464" w:rsidRPr="000C5235">
              <w:rPr>
                <w:b w:val="0"/>
                <w:bCs w:val="0"/>
              </w:rPr>
              <w:tab/>
            </w:r>
            <w:r w:rsidR="00754464" w:rsidRPr="000C5235">
              <w:rPr>
                <w:b w:val="0"/>
                <w:bCs w:val="0"/>
              </w:rPr>
              <w:tab/>
            </w:r>
            <w:r w:rsidR="00334C6F" w:rsidRPr="000C5235">
              <w:rPr>
                <w:b w:val="0"/>
                <w:bCs w:val="0"/>
              </w:rPr>
              <w:t>(emails rated up to Protected)</w:t>
            </w:r>
          </w:p>
        </w:tc>
      </w:tr>
    </w:tbl>
    <w:p w14:paraId="12C322B8" w14:textId="77777777" w:rsidR="00A753A3" w:rsidRPr="000C5235" w:rsidRDefault="00A753A3" w:rsidP="000A7DEC"/>
    <w:p w14:paraId="631798FA" w14:textId="77777777" w:rsidR="00156C1B" w:rsidRPr="000C5235" w:rsidRDefault="00782273" w:rsidP="000A7DEC">
      <w:r w:rsidRPr="000C5235">
        <w:t xml:space="preserve">For guidance on </w:t>
      </w:r>
      <w:r w:rsidR="00156C1B" w:rsidRPr="000C5235">
        <w:rPr>
          <w:b/>
        </w:rPr>
        <w:t>P</w:t>
      </w:r>
      <w:r w:rsidRPr="000C5235">
        <w:rPr>
          <w:b/>
        </w:rPr>
        <w:t xml:space="preserve">erformance </w:t>
      </w:r>
      <w:r w:rsidR="00156C1B" w:rsidRPr="000C5235">
        <w:rPr>
          <w:b/>
        </w:rPr>
        <w:t>I</w:t>
      </w:r>
      <w:r w:rsidRPr="000C5235">
        <w:rPr>
          <w:b/>
        </w:rPr>
        <w:t>nformation</w:t>
      </w:r>
      <w:r w:rsidRPr="000C5235">
        <w:t xml:space="preserve"> and annual performance statements (Section 2 of the PAES; excluding </w:t>
      </w:r>
      <w:r w:rsidRPr="000C5235">
        <w:rPr>
          <w:i/>
        </w:rPr>
        <w:t>Table 2.x.1</w:t>
      </w:r>
      <w:r w:rsidRPr="000C5235">
        <w:t xml:space="preserve"> and </w:t>
      </w:r>
      <w:r w:rsidRPr="000C5235">
        <w:rPr>
          <w:i/>
        </w:rPr>
        <w:t>2.x.2</w:t>
      </w:r>
      <w:r w:rsidRPr="000C5235">
        <w:t>), corporate plans and annual reports entities should contact the</w:t>
      </w:r>
      <w:r w:rsidR="00156C1B" w:rsidRPr="000C5235">
        <w:t>:</w:t>
      </w:r>
    </w:p>
    <w:p w14:paraId="1B548823" w14:textId="77777777" w:rsidR="00156C1B" w:rsidRPr="000C5235" w:rsidRDefault="00886B74">
      <w:pPr>
        <w:pStyle w:val="Bullet1"/>
      </w:pPr>
      <w:r w:rsidRPr="000C5235">
        <w:t>Accountability and Reporting</w:t>
      </w:r>
      <w:r w:rsidR="00782273" w:rsidRPr="000C5235">
        <w:t xml:space="preserve"> Branch </w:t>
      </w:r>
      <w:hyperlink r:id="rId78" w:history="1">
        <w:r w:rsidR="0085419F" w:rsidRPr="000C5235">
          <w:rPr>
            <w:rStyle w:val="Hyperlink"/>
            <w:rFonts w:asciiTheme="minorHAnsi" w:hAnsiTheme="minorHAnsi" w:cs="Times New Roman"/>
          </w:rPr>
          <w:t>PGPA@finance.gov.au</w:t>
        </w:r>
      </w:hyperlink>
      <w:r w:rsidR="0062189E" w:rsidRPr="000C5235">
        <w:t>)</w:t>
      </w:r>
    </w:p>
    <w:p w14:paraId="7342B954" w14:textId="77777777" w:rsidR="00CB6D35" w:rsidRPr="000C5235" w:rsidRDefault="00CB6D35" w:rsidP="000A7DEC"/>
    <w:p w14:paraId="61CCBD7B" w14:textId="77777777" w:rsidR="00156C1B" w:rsidRPr="000C5235" w:rsidRDefault="00FA0945" w:rsidP="000A7DEC">
      <w:r w:rsidRPr="000C5235">
        <w:t xml:space="preserve">For guidance on the production of the </w:t>
      </w:r>
      <w:r w:rsidRPr="000C5235">
        <w:rPr>
          <w:b/>
        </w:rPr>
        <w:t>Appropriation Bills</w:t>
      </w:r>
      <w:r w:rsidRPr="000C5235">
        <w:t>, the CFO sign-off process and outcome changes, entities should contact</w:t>
      </w:r>
      <w:r w:rsidR="00156C1B" w:rsidRPr="000C5235">
        <w:t>:</w:t>
      </w:r>
    </w:p>
    <w:p w14:paraId="068DFC2B" w14:textId="77777777" w:rsidR="00156C1B" w:rsidRPr="000C5235" w:rsidRDefault="00156C1B" w:rsidP="00754464">
      <w:pPr>
        <w:pStyle w:val="Bullet1"/>
        <w:tabs>
          <w:tab w:val="left" w:pos="2835"/>
          <w:tab w:val="left" w:pos="4678"/>
        </w:tabs>
      </w:pPr>
      <w:r w:rsidRPr="000C5235">
        <w:t>The Annual Appropriation Team or email</w:t>
      </w:r>
      <w:r w:rsidR="00754464" w:rsidRPr="000C5235">
        <w:t xml:space="preserve"> </w:t>
      </w:r>
      <w:hyperlink r:id="rId79" w:history="1">
        <w:r w:rsidRPr="000C5235">
          <w:rPr>
            <w:rStyle w:val="Hyperlink"/>
            <w:rFonts w:asciiTheme="minorHAnsi" w:hAnsiTheme="minorHAnsi" w:cs="Times New Roman"/>
          </w:rPr>
          <w:t>G&amp;TAnnualAppropriations@finance.gov.au</w:t>
        </w:r>
      </w:hyperlink>
      <w:r w:rsidRPr="000C5235">
        <w:t>.</w:t>
      </w:r>
    </w:p>
    <w:p w14:paraId="096A2004" w14:textId="77777777" w:rsidR="00CB6D35" w:rsidRPr="000C5235" w:rsidRDefault="00CB6D35">
      <w:pPr>
        <w:pStyle w:val="BodyText"/>
      </w:pPr>
    </w:p>
    <w:p w14:paraId="26AD1E08" w14:textId="77777777" w:rsidR="00F5190F" w:rsidRPr="000C5235" w:rsidRDefault="00F5190F" w:rsidP="00F5190F">
      <w:r w:rsidRPr="000C5235">
        <w:t xml:space="preserve">For queries regarding </w:t>
      </w:r>
      <w:r w:rsidRPr="000C5235">
        <w:rPr>
          <w:b/>
        </w:rPr>
        <w:t>ASL reporting</w:t>
      </w:r>
      <w:r w:rsidRPr="000C5235">
        <w:t xml:space="preserve">, please </w:t>
      </w:r>
      <w:r>
        <w:t xml:space="preserve">contact your Agency Advice Unit. </w:t>
      </w:r>
    </w:p>
    <w:p w14:paraId="475ADD7E" w14:textId="7EA5DE29" w:rsidR="00FA0945" w:rsidRPr="000C5235" w:rsidRDefault="00782273" w:rsidP="000A7DEC">
      <w:r w:rsidRPr="000C5235">
        <w:t>.</w:t>
      </w:r>
    </w:p>
    <w:p w14:paraId="03F012C7" w14:textId="77777777" w:rsidR="00C03287" w:rsidRPr="000C5235" w:rsidRDefault="00C03287">
      <w:pPr>
        <w:suppressAutoHyphens w:val="0"/>
        <w:spacing w:before="0" w:after="120" w:line="440" w:lineRule="atLeast"/>
        <w:rPr>
          <w:rFonts w:asciiTheme="majorHAnsi" w:eastAsiaTheme="majorEastAsia" w:hAnsiTheme="majorHAnsi" w:cstheme="majorBidi"/>
          <w:bCs/>
          <w:color w:val="1C1C1C" w:themeColor="text2"/>
          <w:sz w:val="34"/>
          <w:szCs w:val="26"/>
        </w:rPr>
      </w:pPr>
      <w:r w:rsidRPr="000C5235">
        <w:br w:type="page"/>
      </w:r>
      <w:bookmarkStart w:id="927" w:name="_GoBack"/>
      <w:bookmarkEnd w:id="927"/>
    </w:p>
    <w:p w14:paraId="2C0D1444" w14:textId="328F4539" w:rsidR="00FA0945" w:rsidRPr="000C5235" w:rsidRDefault="00FA0945" w:rsidP="000A7DEC">
      <w:pPr>
        <w:pStyle w:val="Heading2Numbered"/>
      </w:pPr>
      <w:bookmarkStart w:id="928" w:name="_Toc47951283"/>
      <w:r w:rsidRPr="000C5235">
        <w:t>Treasury</w:t>
      </w:r>
      <w:bookmarkEnd w:id="928"/>
    </w:p>
    <w:p w14:paraId="0CCF427B" w14:textId="77777777" w:rsidR="001106C6" w:rsidRPr="000C5235" w:rsidRDefault="001106C6" w:rsidP="001106C6">
      <w:r w:rsidRPr="000C5235">
        <w:t>Treasury sets formatting standards for PBS templates and uploads PBS links to www.budget.gov.au. Treasury also coordinates the Budget lock-up at Australian Parliament House and undertakes budget coordination activities</w:t>
      </w:r>
      <w:r w:rsidR="00881C1D" w:rsidRPr="000C5235">
        <w:t xml:space="preserve"> at the agency level.</w:t>
      </w:r>
    </w:p>
    <w:p w14:paraId="063630FE" w14:textId="77777777" w:rsidR="001106C6" w:rsidRPr="000C5235" w:rsidRDefault="001106C6" w:rsidP="001106C6">
      <w:r w:rsidRPr="000C5235">
        <w:t>Key Treasury contacts:</w:t>
      </w:r>
    </w:p>
    <w:p w14:paraId="68023E9D" w14:textId="77777777" w:rsidR="001106C6" w:rsidRPr="000C5235" w:rsidRDefault="001106C6" w:rsidP="000A7DEC">
      <w:pPr>
        <w:pStyle w:val="Bullet1"/>
      </w:pPr>
      <w:r w:rsidRPr="000C5235">
        <w:t>General Budget communications queries</w:t>
      </w:r>
    </w:p>
    <w:p w14:paraId="3928EBAC" w14:textId="77777777" w:rsidR="001106C6" w:rsidRPr="000C5235" w:rsidRDefault="00A774B1" w:rsidP="00DB312F">
      <w:pPr>
        <w:pStyle w:val="Bullet1"/>
        <w:numPr>
          <w:ilvl w:val="0"/>
          <w:numId w:val="0"/>
        </w:numPr>
        <w:ind w:left="1440" w:firstLine="720"/>
        <w:rPr>
          <w:rStyle w:val="Hyperlink"/>
        </w:rPr>
      </w:pPr>
      <w:hyperlink r:id="rId80" w:history="1">
        <w:r w:rsidR="00FE2128" w:rsidRPr="000C5235">
          <w:rPr>
            <w:rStyle w:val="Hyperlink"/>
          </w:rPr>
          <w:t>budgetcommunications@treasury.gov.au</w:t>
        </w:r>
      </w:hyperlink>
    </w:p>
    <w:p w14:paraId="33D5A30F" w14:textId="76630A74" w:rsidR="00AA7167" w:rsidRPr="000C5235" w:rsidRDefault="00B31167" w:rsidP="000A7DEC">
      <w:pPr>
        <w:pStyle w:val="Bullet1"/>
        <w:numPr>
          <w:ilvl w:val="0"/>
          <w:numId w:val="0"/>
        </w:numPr>
      </w:pPr>
      <w:r w:rsidRPr="000C5235">
        <w:t xml:space="preserve">The Treasury Budget communications team can also be reached via </w:t>
      </w:r>
      <w:r w:rsidR="00F564E6" w:rsidRPr="000C5235">
        <w:t>(</w:t>
      </w:r>
      <w:r w:rsidRPr="000C5235">
        <w:t>02</w:t>
      </w:r>
      <w:r w:rsidR="00F564E6" w:rsidRPr="000C5235">
        <w:t>)</w:t>
      </w:r>
      <w:r w:rsidRPr="000C5235">
        <w:t xml:space="preserve"> 6263 3788.</w:t>
      </w:r>
    </w:p>
    <w:p w14:paraId="25DD5649" w14:textId="1508C351" w:rsidR="00FA0945" w:rsidRPr="000C5235" w:rsidRDefault="00FA0945" w:rsidP="000A7DEC">
      <w:pPr>
        <w:pStyle w:val="Heading2Numbered"/>
      </w:pPr>
      <w:bookmarkStart w:id="929" w:name="_Toc33196095"/>
      <w:bookmarkStart w:id="930" w:name="_Toc33196397"/>
      <w:bookmarkStart w:id="931" w:name="_Toc33196096"/>
      <w:bookmarkStart w:id="932" w:name="_Toc33196398"/>
      <w:bookmarkStart w:id="933" w:name="_Toc33196097"/>
      <w:bookmarkStart w:id="934" w:name="_Toc33196399"/>
      <w:bookmarkStart w:id="935" w:name="_Toc33196098"/>
      <w:bookmarkStart w:id="936" w:name="_Toc33196400"/>
      <w:bookmarkStart w:id="937" w:name="_Toc33099470"/>
      <w:bookmarkStart w:id="938" w:name="_Toc33196099"/>
      <w:bookmarkStart w:id="939" w:name="_Toc33196401"/>
      <w:bookmarkStart w:id="940" w:name="_Toc47951284"/>
      <w:bookmarkEnd w:id="929"/>
      <w:bookmarkEnd w:id="930"/>
      <w:bookmarkEnd w:id="931"/>
      <w:bookmarkEnd w:id="932"/>
      <w:bookmarkEnd w:id="933"/>
      <w:bookmarkEnd w:id="934"/>
      <w:bookmarkEnd w:id="935"/>
      <w:bookmarkEnd w:id="936"/>
      <w:bookmarkEnd w:id="937"/>
      <w:bookmarkEnd w:id="938"/>
      <w:bookmarkEnd w:id="939"/>
      <w:r w:rsidRPr="000C5235">
        <w:t>CanPrint</w:t>
      </w:r>
      <w:bookmarkEnd w:id="940"/>
    </w:p>
    <w:p w14:paraId="3743EE36" w14:textId="77777777" w:rsidR="00FA0945" w:rsidRPr="000C5235" w:rsidRDefault="00FA0945" w:rsidP="000A7DEC">
      <w:r w:rsidRPr="000C5235">
        <w:t xml:space="preserve">CanPrint is the preferred printer for </w:t>
      </w:r>
      <w:r w:rsidR="00A671CE" w:rsidRPr="000C5235">
        <w:t>BP</w:t>
      </w:r>
      <w:r w:rsidRPr="000C5235">
        <w:t xml:space="preserve"> and PB Statements. If printing is carried out ‘in-house’ or with another printer, entities must liaise with Finance to ensure that cover stock, colour and text is consistent with all other portfolio entities.</w:t>
      </w:r>
    </w:p>
    <w:p w14:paraId="4416503B" w14:textId="77777777" w:rsidR="00FA0945" w:rsidRPr="000C5235" w:rsidRDefault="00FA0945" w:rsidP="000A7DEC">
      <w:r w:rsidRPr="000C5235">
        <w:t>It is the responsibility of each portfolio departments to arrange the printing and secure freighting of their PB Statements.</w:t>
      </w:r>
    </w:p>
    <w:p w14:paraId="549A0BD4" w14:textId="1254438F" w:rsidR="00C454D7" w:rsidRPr="000C5235" w:rsidRDefault="00FA0945" w:rsidP="000A7DEC">
      <w:pPr>
        <w:pStyle w:val="Bullet1"/>
      </w:pPr>
      <w:r w:rsidRPr="000C5235">
        <w:t>Address</w:t>
      </w:r>
      <w:r w:rsidR="00160EE4" w:rsidRPr="000C5235">
        <w:t>:</w:t>
      </w:r>
      <w:r w:rsidR="00C454D7" w:rsidRPr="000C5235">
        <w:tab/>
      </w:r>
      <w:r w:rsidR="00C454D7" w:rsidRPr="000C5235">
        <w:tab/>
      </w:r>
      <w:r w:rsidRPr="000C5235">
        <w:t>Canprint Communications Pty Ltd</w:t>
      </w:r>
    </w:p>
    <w:p w14:paraId="34C4A366" w14:textId="77777777" w:rsidR="00C454D7" w:rsidRPr="000C5235" w:rsidRDefault="00FA0945" w:rsidP="000A7DEC">
      <w:pPr>
        <w:pStyle w:val="Bullet1"/>
        <w:numPr>
          <w:ilvl w:val="0"/>
          <w:numId w:val="0"/>
        </w:numPr>
        <w:ind w:left="1440" w:firstLine="720"/>
      </w:pPr>
      <w:r w:rsidRPr="000C5235">
        <w:t>16 Nyrang Street</w:t>
      </w:r>
    </w:p>
    <w:p w14:paraId="76BD62A8" w14:textId="77777777" w:rsidR="00FA0945" w:rsidRPr="000C5235" w:rsidRDefault="00FA0945" w:rsidP="000A7DEC">
      <w:pPr>
        <w:pStyle w:val="Bullet1"/>
        <w:numPr>
          <w:ilvl w:val="0"/>
          <w:numId w:val="0"/>
        </w:numPr>
        <w:ind w:left="1440" w:firstLine="720"/>
      </w:pPr>
      <w:r w:rsidRPr="000C5235">
        <w:t>Fyshwick, ACT 2609</w:t>
      </w:r>
    </w:p>
    <w:p w14:paraId="5A7EC8BB" w14:textId="13032500" w:rsidR="00FA0945" w:rsidRPr="000C5235" w:rsidRDefault="00FA0945" w:rsidP="000A7DEC">
      <w:pPr>
        <w:pStyle w:val="Heading2Numbered"/>
      </w:pPr>
      <w:bookmarkStart w:id="941" w:name="_Toc47951285"/>
      <w:r w:rsidRPr="000C5235">
        <w:t>Senate Table Office</w:t>
      </w:r>
      <w:bookmarkEnd w:id="941"/>
    </w:p>
    <w:p w14:paraId="4CE797F5" w14:textId="77777777" w:rsidR="00FA0945" w:rsidRPr="000C5235" w:rsidRDefault="00FA0945" w:rsidP="000A7DEC">
      <w:r w:rsidRPr="000C5235">
        <w:t xml:space="preserve">The </w:t>
      </w:r>
      <w:r w:rsidRPr="000C5235">
        <w:rPr>
          <w:b/>
        </w:rPr>
        <w:t>Senate Table Office</w:t>
      </w:r>
      <w:r w:rsidRPr="000C5235">
        <w:t xml:space="preserve"> receives deliveries from entities of PB Statements for the Senate, House of Representatives, Budget lockup and the Parliamentary Library. Their contact details are:</w:t>
      </w:r>
    </w:p>
    <w:p w14:paraId="6BBD6CAA" w14:textId="77777777" w:rsidR="00FA0945" w:rsidRPr="000C5235" w:rsidRDefault="00FA0945" w:rsidP="00311B30">
      <w:pPr>
        <w:pStyle w:val="Bullet1"/>
        <w:tabs>
          <w:tab w:val="left" w:pos="3544"/>
        </w:tabs>
      </w:pPr>
      <w:r w:rsidRPr="000C5235">
        <w:t>Documents officer</w:t>
      </w:r>
      <w:r w:rsidR="00881C1D" w:rsidRPr="000C5235">
        <w:tab/>
      </w:r>
      <w:r w:rsidRPr="000C5235">
        <w:t>(02) 6277 3037</w:t>
      </w:r>
    </w:p>
    <w:p w14:paraId="5CFEADB7" w14:textId="77777777" w:rsidR="00616039" w:rsidRPr="000C5235" w:rsidRDefault="00FA0945" w:rsidP="00616039">
      <w:pPr>
        <w:pStyle w:val="Bullet1"/>
        <w:tabs>
          <w:tab w:val="left" w:pos="3544"/>
        </w:tabs>
        <w:ind w:left="0" w:firstLine="0"/>
      </w:pPr>
      <w:r w:rsidRPr="000C5235">
        <w:t>Address:</w:t>
      </w:r>
      <w:r w:rsidR="00311B30" w:rsidRPr="000C5235">
        <w:tab/>
      </w:r>
      <w:r w:rsidRPr="000C5235">
        <w:t>Room SG 25</w:t>
      </w:r>
    </w:p>
    <w:p w14:paraId="315B3E57" w14:textId="77777777" w:rsidR="00616039" w:rsidRPr="000C5235" w:rsidRDefault="00616039" w:rsidP="00616039">
      <w:pPr>
        <w:pStyle w:val="Bullet1"/>
        <w:numPr>
          <w:ilvl w:val="0"/>
          <w:numId w:val="0"/>
        </w:numPr>
        <w:tabs>
          <w:tab w:val="left" w:pos="3544"/>
        </w:tabs>
      </w:pPr>
      <w:r w:rsidRPr="000C5235">
        <w:tab/>
      </w:r>
      <w:r w:rsidR="00FA0945" w:rsidRPr="000C5235">
        <w:t>Department of the Senate</w:t>
      </w:r>
    </w:p>
    <w:p w14:paraId="147368EC" w14:textId="77777777" w:rsidR="00616039" w:rsidRPr="000C5235" w:rsidRDefault="00616039" w:rsidP="00616039">
      <w:pPr>
        <w:pStyle w:val="Bullet1"/>
        <w:numPr>
          <w:ilvl w:val="0"/>
          <w:numId w:val="0"/>
        </w:numPr>
        <w:tabs>
          <w:tab w:val="left" w:pos="3544"/>
        </w:tabs>
      </w:pPr>
      <w:r w:rsidRPr="000C5235">
        <w:tab/>
        <w:t>P</w:t>
      </w:r>
      <w:r w:rsidR="00FA0945" w:rsidRPr="000C5235">
        <w:t>arliament House</w:t>
      </w:r>
    </w:p>
    <w:p w14:paraId="2A8CECFE" w14:textId="77777777" w:rsidR="00595D6E" w:rsidRPr="000C5235" w:rsidRDefault="00616039" w:rsidP="00616039">
      <w:pPr>
        <w:pStyle w:val="Bullet1"/>
        <w:numPr>
          <w:ilvl w:val="0"/>
          <w:numId w:val="0"/>
        </w:numPr>
        <w:tabs>
          <w:tab w:val="left" w:pos="3544"/>
        </w:tabs>
        <w:sectPr w:rsidR="00595D6E" w:rsidRPr="000C5235" w:rsidSect="00665EAD">
          <w:pgSz w:w="11900" w:h="16840" w:code="9"/>
          <w:pgMar w:top="1418" w:right="1418" w:bottom="1701" w:left="1418" w:header="510" w:footer="510" w:gutter="0"/>
          <w:cols w:space="708"/>
          <w:docGrid w:linePitch="360"/>
        </w:sectPr>
      </w:pPr>
      <w:r w:rsidRPr="000C5235">
        <w:tab/>
      </w:r>
      <w:r w:rsidR="00FA0945" w:rsidRPr="000C5235">
        <w:t>Canberra, ACT 2600</w:t>
      </w:r>
      <w:bookmarkStart w:id="942" w:name="_Toc534382590"/>
    </w:p>
    <w:p w14:paraId="7B6C9C25" w14:textId="72F4D9C4" w:rsidR="00FA0945" w:rsidRPr="000C5235" w:rsidRDefault="00FA0945" w:rsidP="00595D6E">
      <w:pPr>
        <w:pStyle w:val="Heading1Numbered"/>
      </w:pPr>
      <w:bookmarkStart w:id="943" w:name="_Toc47951286"/>
      <w:r w:rsidRPr="000C5235">
        <w:t>Glossary of terms</w:t>
      </w:r>
      <w:bookmarkEnd w:id="942"/>
      <w:bookmarkEnd w:id="943"/>
    </w:p>
    <w:p w14:paraId="10AF2969" w14:textId="77777777" w:rsidR="00FA0945" w:rsidRPr="000C5235" w:rsidRDefault="00FA0945" w:rsidP="000A7DEC">
      <w:pPr>
        <w:pStyle w:val="Heading4nonumbers"/>
      </w:pPr>
      <w:r w:rsidRPr="000C5235">
        <w:t>Activities</w:t>
      </w:r>
    </w:p>
    <w:p w14:paraId="2AD45F43" w14:textId="77777777" w:rsidR="00FA0945" w:rsidRPr="000C5235" w:rsidRDefault="00FA0945" w:rsidP="000A7DEC">
      <w:r w:rsidRPr="000C5235">
        <w:t>The actions/functions performed by entities to deliver government policies.</w:t>
      </w:r>
    </w:p>
    <w:p w14:paraId="30575712" w14:textId="77777777" w:rsidR="00FA0945" w:rsidRPr="000C5235" w:rsidRDefault="00FA0945" w:rsidP="000A7DEC">
      <w:pPr>
        <w:pStyle w:val="Heading4nonumbers"/>
      </w:pPr>
      <w:r w:rsidRPr="000C5235">
        <w:t xml:space="preserve">Actual </w:t>
      </w:r>
      <w:r w:rsidR="0079648C" w:rsidRPr="000C5235">
        <w:t>a</w:t>
      </w:r>
      <w:r w:rsidRPr="000C5235">
        <w:t xml:space="preserve">vailable </w:t>
      </w:r>
      <w:r w:rsidR="0079648C" w:rsidRPr="000C5235">
        <w:t>a</w:t>
      </w:r>
      <w:r w:rsidRPr="000C5235">
        <w:t>ppropriation</w:t>
      </w:r>
    </w:p>
    <w:p w14:paraId="21B41D31" w14:textId="77777777" w:rsidR="00FA0945" w:rsidRPr="000C5235" w:rsidRDefault="00FA0945" w:rsidP="000A7DEC">
      <w:r w:rsidRPr="000C5235">
        <w:t xml:space="preserve">The Actual Available Appropriation indicates the total appropriations </w:t>
      </w:r>
      <w:r w:rsidR="00A624B2" w:rsidRPr="000C5235">
        <w:t>available to the entity for 2017-18 as at the 20</w:t>
      </w:r>
      <w:r w:rsidR="00886B74" w:rsidRPr="000C5235">
        <w:t>19</w:t>
      </w:r>
      <w:r w:rsidR="00A624B2" w:rsidRPr="000C5235">
        <w:t>-</w:t>
      </w:r>
      <w:r w:rsidR="00886B74" w:rsidRPr="000C5235">
        <w:t>20</w:t>
      </w:r>
      <w:r w:rsidRPr="000C5235">
        <w:t xml:space="preserve"> Budget. It includes all appropriations made available to the entity in the year (+/- section 75 transfers, Advances to the Minister for Finance, withholdings under section 51 of the </w:t>
      </w:r>
      <w:r w:rsidRPr="000C5235">
        <w:rPr>
          <w:i/>
        </w:rPr>
        <w:t>Public Governance, Performance and Accountability Act 2013</w:t>
      </w:r>
      <w:r w:rsidRPr="000C5235">
        <w:t xml:space="preserve"> and other administrative quarantines made by Finance). It is to be the same as the comparator figure included in the Appropriation Bills, and as such provides a comparison with the appropriation proposed for the budget year.</w:t>
      </w:r>
    </w:p>
    <w:p w14:paraId="15D09780" w14:textId="77777777" w:rsidR="00FA0945" w:rsidRPr="000C5235" w:rsidRDefault="00FA0945" w:rsidP="000A7DEC">
      <w:pPr>
        <w:pStyle w:val="Heading4nonumbers"/>
      </w:pPr>
      <w:r w:rsidRPr="000C5235">
        <w:t xml:space="preserve">Administered </w:t>
      </w:r>
      <w:r w:rsidR="0079648C" w:rsidRPr="000C5235">
        <w:t>i</w:t>
      </w:r>
      <w:r w:rsidRPr="000C5235">
        <w:t>tem</w:t>
      </w:r>
    </w:p>
    <w:p w14:paraId="7E50D3E6" w14:textId="77777777" w:rsidR="002F060E" w:rsidRPr="000C5235" w:rsidRDefault="002F060E" w:rsidP="000A7DEC">
      <w:r w:rsidRPr="000C5235">
        <w:t>Administered items are usually those managed by an entity on behalf of the Government. Entities do not have control over these items, which are normally related to activities governed by eligibility rules and conditions established by the legislation (for example, grants, subsidies and benefit payments).</w:t>
      </w:r>
    </w:p>
    <w:p w14:paraId="7DDE2CEA" w14:textId="77777777" w:rsidR="00FA0945" w:rsidRPr="000C5235" w:rsidRDefault="00FA0945" w:rsidP="000A7DEC">
      <w:r w:rsidRPr="000C5235">
        <w:t>This funding is not at the discretion of the entity and any unspent appropriation is returned to the CRF at the end of the financial year. An administered item is a component of an administered program. It may be a measure but will not constitute a program in its own right.</w:t>
      </w:r>
    </w:p>
    <w:p w14:paraId="4F6E11B5" w14:textId="77777777" w:rsidR="002F0879" w:rsidRPr="000C5235" w:rsidRDefault="002F0879" w:rsidP="000A7DEC">
      <w:pPr>
        <w:pStyle w:val="Heading4nonumbers"/>
      </w:pPr>
      <w:r w:rsidRPr="000C5235">
        <w:t>Administrative Arrangement Order (AAO)</w:t>
      </w:r>
    </w:p>
    <w:p w14:paraId="4CAA1A9B" w14:textId="77777777" w:rsidR="002F0879" w:rsidRPr="000C5235" w:rsidRDefault="002F0879" w:rsidP="002F0879">
      <w:r w:rsidRPr="000C5235">
        <w:t>Administrative Arrangements Orders (AAOs) specify firstly, the subject matters, and secondly, the legislation dealt with by particular government departments.</w:t>
      </w:r>
    </w:p>
    <w:p w14:paraId="34CB7B95" w14:textId="77777777" w:rsidR="00FA0945" w:rsidRPr="000C5235" w:rsidRDefault="00FA0945" w:rsidP="000A7DEC">
      <w:pPr>
        <w:pStyle w:val="Heading4nonumbers"/>
      </w:pPr>
      <w:r w:rsidRPr="000C5235">
        <w:t xml:space="preserve">Agency </w:t>
      </w:r>
      <w:r w:rsidR="0079648C" w:rsidRPr="000C5235">
        <w:t>a</w:t>
      </w:r>
      <w:r w:rsidRPr="000C5235">
        <w:t xml:space="preserve">dvice </w:t>
      </w:r>
      <w:r w:rsidR="0079648C" w:rsidRPr="000C5235">
        <w:t>u</w:t>
      </w:r>
      <w:r w:rsidRPr="000C5235">
        <w:t xml:space="preserve">nit </w:t>
      </w:r>
    </w:p>
    <w:p w14:paraId="7D50E3B5" w14:textId="77777777" w:rsidR="00FA0945" w:rsidRPr="000C5235" w:rsidRDefault="00FA0945" w:rsidP="000A7DEC">
      <w:r w:rsidRPr="000C5235">
        <w:t xml:space="preserve">Advisers within the Budget and Financial Reporting Group, Finance that analyse expenditure trends of entities, agree costings of Policy Proposals, validate entities’ program estimates and advise entities on financial and budget matters.  </w:t>
      </w:r>
    </w:p>
    <w:p w14:paraId="233C9C21" w14:textId="77777777" w:rsidR="00FA0945" w:rsidRPr="000C5235" w:rsidRDefault="00FA0945" w:rsidP="000A7DEC">
      <w:pPr>
        <w:pStyle w:val="Heading4nonumbers"/>
      </w:pPr>
      <w:r w:rsidRPr="000C5235">
        <w:t>Appropriation</w:t>
      </w:r>
    </w:p>
    <w:p w14:paraId="673E5DC0" w14:textId="77777777" w:rsidR="00FA0945" w:rsidRPr="000C5235" w:rsidRDefault="00FA0945" w:rsidP="000A7DEC">
      <w:r w:rsidRPr="000C5235">
        <w:t>An amount of public money the Parliament authorises for spending (</w:t>
      </w:r>
      <w:r w:rsidR="00E10C89" w:rsidRPr="000C5235">
        <w:t>ie</w:t>
      </w:r>
      <w:r w:rsidRPr="000C5235">
        <w:t xml:space="preserve"> funds to be withdrawn from the CRF). The Parliament makes laws for appropriating money under the Annual Appropriation Acts and under Special Appropriations, with spending restricted to the purposes specified in the Appropriation Acts.</w:t>
      </w:r>
    </w:p>
    <w:p w14:paraId="5E9F7EB1" w14:textId="77777777" w:rsidR="00FA0945" w:rsidRPr="000C5235" w:rsidRDefault="00FA0945" w:rsidP="000A7DEC">
      <w:pPr>
        <w:pStyle w:val="Heading4nonumbers"/>
      </w:pPr>
      <w:r w:rsidRPr="000C5235">
        <w:t xml:space="preserve">Appropriations and </w:t>
      </w:r>
      <w:r w:rsidR="0079648C" w:rsidRPr="000C5235">
        <w:t>c</w:t>
      </w:r>
      <w:r w:rsidRPr="000C5235">
        <w:t xml:space="preserve">ash </w:t>
      </w:r>
      <w:r w:rsidR="0079648C" w:rsidRPr="000C5235">
        <w:t>m</w:t>
      </w:r>
      <w:r w:rsidRPr="000C5235">
        <w:t xml:space="preserve">anagement </w:t>
      </w:r>
      <w:r w:rsidR="0079648C" w:rsidRPr="000C5235">
        <w:t>m</w:t>
      </w:r>
      <w:r w:rsidRPr="000C5235">
        <w:t xml:space="preserve">odule </w:t>
      </w:r>
    </w:p>
    <w:p w14:paraId="27CC3461" w14:textId="77777777" w:rsidR="00FA0945" w:rsidRPr="000C5235" w:rsidRDefault="00FA0945" w:rsidP="000A7DEC">
      <w:r w:rsidRPr="000C5235">
        <w:t xml:space="preserve">A module of the </w:t>
      </w:r>
      <w:r w:rsidR="008A3568" w:rsidRPr="000C5235">
        <w:t xml:space="preserve">CBMS </w:t>
      </w:r>
      <w:r w:rsidRPr="000C5235">
        <w:t>from which entities draw down funds from the CRF.</w:t>
      </w:r>
    </w:p>
    <w:p w14:paraId="60022C2D" w14:textId="77777777" w:rsidR="00554601" w:rsidRPr="000C5235" w:rsidRDefault="00554601" w:rsidP="000A7DEC">
      <w:pPr>
        <w:pStyle w:val="Heading4nonumbers"/>
      </w:pPr>
      <w:r w:rsidRPr="000C5235">
        <w:t>Australian Government Organisation Register (AGOR)</w:t>
      </w:r>
    </w:p>
    <w:p w14:paraId="4E65AA5D" w14:textId="77777777" w:rsidR="00554601" w:rsidRPr="000C5235" w:rsidRDefault="00554601" w:rsidP="000A7DEC">
      <w:r w:rsidRPr="000C5235">
        <w:t>Provides information on the function, composition, origins and other details of Australian Government bodies.  The scope is based on the characteristics used to describe the 12 main types of bodies identified for classification purposes.</w:t>
      </w:r>
    </w:p>
    <w:p w14:paraId="2D45A0D5" w14:textId="77777777" w:rsidR="00554601" w:rsidRPr="000C5235" w:rsidRDefault="00554601" w:rsidP="000A7DEC">
      <w:r w:rsidRPr="000C5235">
        <w:t>The AGOR dataset forms part of the Organisation and Appointments Register (OAR) which supports the front-facing website known as directory.gov.au:</w:t>
      </w:r>
    </w:p>
    <w:p w14:paraId="6337C632" w14:textId="77777777" w:rsidR="00554601" w:rsidRPr="000C5235" w:rsidRDefault="00A774B1" w:rsidP="000A7DEC">
      <w:pPr>
        <w:rPr>
          <w:rStyle w:val="Hyperlink"/>
        </w:rPr>
      </w:pPr>
      <w:hyperlink r:id="rId81" w:history="1">
        <w:r w:rsidR="00AE3636" w:rsidRPr="000C5235">
          <w:rPr>
            <w:rStyle w:val="Hyperlink"/>
          </w:rPr>
          <w:t>www.directory.gov.au/reports/australian-government-organisations-register</w:t>
        </w:r>
      </w:hyperlink>
    </w:p>
    <w:p w14:paraId="6DBB5C8E" w14:textId="77777777" w:rsidR="00554601" w:rsidRPr="000C5235" w:rsidRDefault="00554601">
      <w:r w:rsidRPr="000C5235">
        <w:t>The portfolio departments are responsible for collecting information about the entities and bodies listed.  Further information can also be found on Finance's website at:</w:t>
      </w:r>
    </w:p>
    <w:p w14:paraId="47DA9F1C" w14:textId="77777777" w:rsidR="00554601" w:rsidRPr="000C5235" w:rsidRDefault="00A774B1">
      <w:pPr>
        <w:rPr>
          <w:rStyle w:val="Hyperlink"/>
        </w:rPr>
      </w:pPr>
      <w:hyperlink r:id="rId82" w:history="1">
        <w:r w:rsidR="00AE3636" w:rsidRPr="000C5235">
          <w:rPr>
            <w:rStyle w:val="Hyperlink"/>
          </w:rPr>
          <w:t>www.finance.gov.au/government/managing-commonwealth-resources/structure-australian-government-public-sector/australian-government-organisations-register</w:t>
        </w:r>
      </w:hyperlink>
    </w:p>
    <w:p w14:paraId="2916C1D3" w14:textId="77777777" w:rsidR="00FA0945" w:rsidRPr="000C5235" w:rsidRDefault="00FA0945" w:rsidP="000A7DEC">
      <w:pPr>
        <w:pStyle w:val="Heading4nonumbers"/>
      </w:pPr>
      <w:r w:rsidRPr="000C5235">
        <w:t>Budget Paper 1 (BP No.1)</w:t>
      </w:r>
    </w:p>
    <w:p w14:paraId="69168E85" w14:textId="77777777" w:rsidR="00FA0945" w:rsidRPr="000C5235" w:rsidRDefault="00FA0945" w:rsidP="000A7DEC">
      <w:r w:rsidRPr="000C5235">
        <w:t>Budget Strategy and Outlook. Provides information on the economic and fiscal outlook for the Australian Government, including information on the Government’s fiscal strategy.</w:t>
      </w:r>
    </w:p>
    <w:p w14:paraId="2166807A" w14:textId="77777777" w:rsidR="00FA0945" w:rsidRPr="000C5235" w:rsidRDefault="00FA0945" w:rsidP="000A7DEC">
      <w:pPr>
        <w:pStyle w:val="Heading4nonumbers"/>
      </w:pPr>
      <w:r w:rsidRPr="000C5235">
        <w:t>Budget Paper 2 (BP No.</w:t>
      </w:r>
      <w:r w:rsidR="00EE4AE2" w:rsidRPr="000C5235">
        <w:t xml:space="preserve"> </w:t>
      </w:r>
      <w:r w:rsidRPr="000C5235">
        <w:t>2)</w:t>
      </w:r>
    </w:p>
    <w:p w14:paraId="745B7AF8" w14:textId="77777777" w:rsidR="00FA0945" w:rsidRPr="000C5235" w:rsidRDefault="00FA0945" w:rsidP="000A7DEC">
      <w:r w:rsidRPr="000C5235">
        <w:t>Budget Measures. Provides a description of each budget measure (revenue, expense and capital) by Portfolio.</w:t>
      </w:r>
    </w:p>
    <w:p w14:paraId="74897433" w14:textId="77777777" w:rsidR="00FA0945" w:rsidRPr="000C5235" w:rsidRDefault="00FA0945" w:rsidP="000A7DEC">
      <w:pPr>
        <w:pStyle w:val="Heading4nonumbers"/>
      </w:pPr>
      <w:r w:rsidRPr="000C5235">
        <w:t>Budget Paper 3 (BP No.3)</w:t>
      </w:r>
    </w:p>
    <w:p w14:paraId="583BCF52" w14:textId="77777777" w:rsidR="00FA0945" w:rsidRPr="000C5235" w:rsidRDefault="00FA0945" w:rsidP="000A7DEC">
      <w:r w:rsidRPr="000C5235">
        <w:t>Australia’s Federal Relations. Provides information and analysis on Federal funding provided to the States, Territories and local government.</w:t>
      </w:r>
    </w:p>
    <w:p w14:paraId="098D744E" w14:textId="77777777" w:rsidR="00FA0945" w:rsidRPr="000C5235" w:rsidRDefault="00FA0945" w:rsidP="000A7DEC">
      <w:pPr>
        <w:pStyle w:val="Heading4nonumbers"/>
      </w:pPr>
      <w:r w:rsidRPr="000C5235">
        <w:t>Budget Paper 4 (BP No.4)</w:t>
      </w:r>
    </w:p>
    <w:p w14:paraId="12B37CF3" w14:textId="77777777" w:rsidR="00FA0945" w:rsidRPr="000C5235" w:rsidRDefault="00FA0945" w:rsidP="000A7DEC">
      <w:r w:rsidRPr="000C5235">
        <w:t xml:space="preserve">Agency Resourcing. Contains information on resourcing for Australian Government entities (including special appropriations, special accounts and a summary of agency resourcing). </w:t>
      </w:r>
    </w:p>
    <w:p w14:paraId="0ACD3AFD" w14:textId="77777777" w:rsidR="00FA0945" w:rsidRPr="000C5235" w:rsidRDefault="00FA0945" w:rsidP="000A7DEC">
      <w:pPr>
        <w:pStyle w:val="Heading4nonumbers"/>
      </w:pPr>
      <w:r w:rsidRPr="000C5235">
        <w:t xml:space="preserve">Central Budget Management System </w:t>
      </w:r>
    </w:p>
    <w:p w14:paraId="7E5CC509" w14:textId="77777777" w:rsidR="00CD0900" w:rsidRPr="000C5235" w:rsidRDefault="00FA0945" w:rsidP="000A7DEC">
      <w:r w:rsidRPr="000C5235">
        <w:t>CBMS is the Australian Government’s central budget and financial management information system administered by Finance. It contains the Commonwealth’s program list and produces the annual Appropriation Bills.</w:t>
      </w:r>
    </w:p>
    <w:p w14:paraId="47FFF543" w14:textId="77777777" w:rsidR="00FA0945" w:rsidRPr="000C5235" w:rsidRDefault="00FA0945" w:rsidP="000A7DEC">
      <w:pPr>
        <w:pStyle w:val="Heading4nonumbers"/>
      </w:pPr>
      <w:r w:rsidRPr="000C5235">
        <w:t xml:space="preserve">Clear </w:t>
      </w:r>
      <w:r w:rsidR="0079648C" w:rsidRPr="000C5235">
        <w:t>r</w:t>
      </w:r>
      <w:r w:rsidRPr="000C5235">
        <w:t xml:space="preserve">ead </w:t>
      </w:r>
      <w:r w:rsidR="0079648C" w:rsidRPr="000C5235">
        <w:t>p</w:t>
      </w:r>
      <w:r w:rsidRPr="000C5235">
        <w:t>rinciple</w:t>
      </w:r>
    </w:p>
    <w:p w14:paraId="4170E315" w14:textId="77777777" w:rsidR="00B06B0D" w:rsidRPr="000C5235" w:rsidRDefault="00B06B0D" w:rsidP="00B06B0D">
      <w:r w:rsidRPr="000C5235">
        <w:t xml:space="preserve">The Commonwealth Resource Management Framework is designed to support an accountable and transparent public sector by providing the opportunity for the Parliament and the public to make judgements on the performance of Commonwealth entities. To assist readers to form a judgment, reporting by entities should provide a clear linkage (a “clear read”) between the allocation and use of public resources, and the results being achieved. </w:t>
      </w:r>
    </w:p>
    <w:p w14:paraId="22C46B02" w14:textId="77777777" w:rsidR="00B06B0D" w:rsidRPr="000C5235" w:rsidRDefault="00B06B0D" w:rsidP="00B06B0D"/>
    <w:p w14:paraId="6449DF0D" w14:textId="77777777" w:rsidR="00B06B0D" w:rsidRPr="000C5235" w:rsidRDefault="00B06B0D" w:rsidP="00B06B0D">
      <w:pPr>
        <w:rPr>
          <w:bCs/>
          <w:iCs/>
        </w:rPr>
      </w:pPr>
      <w:r w:rsidRPr="000C5235">
        <w:t>Entities should present information clearly and consistently (and ensure it is reconcilable) between/across reporting documents.</w:t>
      </w:r>
    </w:p>
    <w:p w14:paraId="00FEDFD3" w14:textId="77777777" w:rsidR="00FA0945" w:rsidRPr="000C5235" w:rsidRDefault="00FA0945" w:rsidP="00B06B0D">
      <w:pPr>
        <w:pStyle w:val="Heading4nonumbers"/>
      </w:pPr>
      <w:r w:rsidRPr="000C5235">
        <w:t xml:space="preserve">Consolidated </w:t>
      </w:r>
      <w:r w:rsidR="0079648C" w:rsidRPr="000C5235">
        <w:t>r</w:t>
      </w:r>
      <w:r w:rsidRPr="000C5235">
        <w:t xml:space="preserve">evenue </w:t>
      </w:r>
      <w:r w:rsidR="0079648C" w:rsidRPr="000C5235">
        <w:t>f</w:t>
      </w:r>
      <w:r w:rsidRPr="000C5235">
        <w:t>und</w:t>
      </w:r>
    </w:p>
    <w:p w14:paraId="4CDD5CEC" w14:textId="77777777" w:rsidR="00FA0945" w:rsidRPr="000C5235" w:rsidRDefault="00FA0945" w:rsidP="000A7DEC">
      <w:r w:rsidRPr="000C5235">
        <w:t>The principal operating fund from which money is drawn to pay for the activities of the Government. Section 81 of the Australian Constitution provides all revenue raised or monies received by the Executive Government forms one consolidated revenue fund from which appropriations are made for the purposes of the Australian Government.</w:t>
      </w:r>
    </w:p>
    <w:p w14:paraId="63429736" w14:textId="77777777" w:rsidR="00FA0945" w:rsidRPr="000C5235" w:rsidRDefault="00FA0945" w:rsidP="000A7DEC">
      <w:pPr>
        <w:pStyle w:val="Heading4nonumbers"/>
      </w:pPr>
      <w:r w:rsidRPr="000C5235">
        <w:t>Contractor</w:t>
      </w:r>
    </w:p>
    <w:p w14:paraId="0CAFD0E1" w14:textId="77777777" w:rsidR="00FA0945" w:rsidRPr="000C5235" w:rsidRDefault="00FA0945" w:rsidP="000A7DEC">
      <w:r w:rsidRPr="000C5235">
        <w:t>A person engaged by an entity, usually on a temporary basis. Treated as an employee of the entity for the purposes of program performance reporting.</w:t>
      </w:r>
    </w:p>
    <w:p w14:paraId="4FED0E8B" w14:textId="77777777" w:rsidR="00FA0945" w:rsidRPr="000C5235" w:rsidRDefault="00FA0945" w:rsidP="000A7DEC">
      <w:pPr>
        <w:pStyle w:val="Heading4nonumbers"/>
      </w:pPr>
      <w:r w:rsidRPr="000C5235">
        <w:t xml:space="preserve">Departmental </w:t>
      </w:r>
      <w:r w:rsidR="0079648C" w:rsidRPr="000C5235">
        <w:t>i</w:t>
      </w:r>
      <w:r w:rsidRPr="000C5235">
        <w:t>tem</w:t>
      </w:r>
    </w:p>
    <w:p w14:paraId="5453DD49" w14:textId="77777777" w:rsidR="00FA0945" w:rsidRPr="000C5235" w:rsidRDefault="00FA0945" w:rsidP="000A7DEC">
      <w:r w:rsidRPr="000C5235">
        <w:t xml:space="preserve">Resources (assets, liabilities, revenues and expenses) that the entity’s Accountable Authority controls directly. This includes outsourced activities funded and controlled by the entity. Examples of departmental items include entity running costs, accrued employee entitlements and net appropriations. A departmental item is a component of a departmental program. </w:t>
      </w:r>
    </w:p>
    <w:p w14:paraId="305D1DDA" w14:textId="77777777" w:rsidR="00C50DBC" w:rsidRPr="000C5235" w:rsidRDefault="00C50DBC" w:rsidP="000A7DEC">
      <w:pPr>
        <w:pStyle w:val="Heading4nonumbers"/>
      </w:pPr>
      <w:r w:rsidRPr="000C5235">
        <w:t>Economic and Fiscal Update July 2020</w:t>
      </w:r>
    </w:p>
    <w:p w14:paraId="7F4EEFFC" w14:textId="77777777" w:rsidR="00C50DBC" w:rsidRPr="000C5235" w:rsidRDefault="00C50DBC" w:rsidP="005D722E">
      <w:r w:rsidRPr="000C5235">
        <w:t>The Economic and Fiscal Update released on the 23 July 2020 shows the impact of the COVID-19 pandemic on our nation’s finances as well as the scale of the support that has been provided to prepare our health system and cushion the blow for millions of households and businesses.</w:t>
      </w:r>
    </w:p>
    <w:p w14:paraId="125994CE" w14:textId="77777777" w:rsidR="00FA0945" w:rsidRPr="000C5235" w:rsidRDefault="00FA0945" w:rsidP="000A7DEC">
      <w:pPr>
        <w:pStyle w:val="Heading4nonumbers"/>
      </w:pPr>
      <w:r w:rsidRPr="000C5235">
        <w:t>Entities</w:t>
      </w:r>
    </w:p>
    <w:p w14:paraId="11AE58DD" w14:textId="77777777" w:rsidR="00FA0945" w:rsidRPr="000C5235" w:rsidRDefault="00FA0945" w:rsidP="000A7DEC">
      <w:pPr>
        <w:rPr>
          <w:i/>
        </w:rPr>
      </w:pPr>
      <w:r w:rsidRPr="000C5235">
        <w:t>For the purposes of this guidance, this means Commonwealth entities and Commonwealth companies as defined under the PGPA Act</w:t>
      </w:r>
      <w:r w:rsidRPr="000C5235">
        <w:rPr>
          <w:i/>
        </w:rPr>
        <w:t xml:space="preserve"> </w:t>
      </w:r>
      <w:r w:rsidRPr="000C5235">
        <w:t>that are within the General Government Sector; the High Court of Australia; and the Future Fund Board of Guardians.</w:t>
      </w:r>
    </w:p>
    <w:p w14:paraId="6893C856" w14:textId="77777777" w:rsidR="00FA0945" w:rsidRPr="000C5235" w:rsidRDefault="00FA0945" w:rsidP="000A7DEC">
      <w:pPr>
        <w:pStyle w:val="Heading4nonumbers"/>
      </w:pPr>
      <w:r w:rsidRPr="000C5235">
        <w:t xml:space="preserve">Estimated </w:t>
      </w:r>
      <w:r w:rsidR="0079648C" w:rsidRPr="000C5235">
        <w:t>a</w:t>
      </w:r>
      <w:r w:rsidRPr="000C5235">
        <w:t xml:space="preserve">ctual </w:t>
      </w:r>
      <w:r w:rsidR="0079648C" w:rsidRPr="000C5235">
        <w:t>e</w:t>
      </w:r>
      <w:r w:rsidRPr="000C5235">
        <w:t>xpenses</w:t>
      </w:r>
    </w:p>
    <w:p w14:paraId="087971F9" w14:textId="77777777" w:rsidR="00FA0945" w:rsidRPr="000C5235" w:rsidRDefault="00FA0945" w:rsidP="000A7DEC">
      <w:r w:rsidRPr="000C5235">
        <w:t>Details of the current year’s estimated final figures as included in the Budget documentation. As the Budget is released in May each year, but the financial year does not end until 30 June, the current year numbers that are used for comparison with Budget amounts can only be estimates.</w:t>
      </w:r>
    </w:p>
    <w:p w14:paraId="3616120F" w14:textId="77777777" w:rsidR="00FA0945" w:rsidRPr="000C5235" w:rsidRDefault="00FA0945" w:rsidP="000A7DEC">
      <w:pPr>
        <w:pStyle w:val="Heading4nonumbers"/>
      </w:pPr>
      <w:r w:rsidRPr="000C5235">
        <w:t>Expenses not requiring appropriation in the Budget year</w:t>
      </w:r>
    </w:p>
    <w:p w14:paraId="07BF908F" w14:textId="77777777" w:rsidR="00FA0945" w:rsidRPr="000C5235" w:rsidRDefault="00FA0945" w:rsidP="000A7DEC">
      <w:r w:rsidRPr="000C5235">
        <w:t>Expenses which do not involve a cash flow impact in the Budget year are generally excluded from the calculation of an appropriation. An example of such an event is goods or services received free of charge that are then expensed</w:t>
      </w:r>
      <w:r w:rsidR="001754FC" w:rsidRPr="000C5235">
        <w:t xml:space="preserve"> (ie</w:t>
      </w:r>
      <w:r w:rsidRPr="000C5235">
        <w:t xml:space="preserve"> Australian National Audit Office (ANAO) audit services — the ANAO does not charge for audit services however the expense must be recognised</w:t>
      </w:r>
      <w:r w:rsidR="001754FC" w:rsidRPr="000C5235">
        <w:t>)</w:t>
      </w:r>
      <w:r w:rsidRPr="000C5235">
        <w:t>. Similarly, bad debts are recognised as an expense but are not recognised for the purpose of calculating appropriation amounts to be sought from Parliament.</w:t>
      </w:r>
    </w:p>
    <w:p w14:paraId="5B197FE3" w14:textId="77777777" w:rsidR="00FA0945" w:rsidRPr="000C5235" w:rsidRDefault="00FA0945" w:rsidP="000A7DEC">
      <w:pPr>
        <w:pStyle w:val="Heading4nonumbers"/>
      </w:pPr>
      <w:r w:rsidRPr="000C5235">
        <w:t xml:space="preserve">Financial </w:t>
      </w:r>
      <w:r w:rsidR="0079648C" w:rsidRPr="000C5235">
        <w:t>m</w:t>
      </w:r>
      <w:r w:rsidRPr="000C5235">
        <w:t xml:space="preserve">anagement </w:t>
      </w:r>
      <w:r w:rsidR="0079648C" w:rsidRPr="000C5235">
        <w:t>i</w:t>
      </w:r>
      <w:r w:rsidRPr="000C5235">
        <w:t xml:space="preserve">nformation </w:t>
      </w:r>
      <w:r w:rsidR="0079648C" w:rsidRPr="000C5235">
        <w:t>s</w:t>
      </w:r>
      <w:r w:rsidRPr="000C5235">
        <w:t>ystem</w:t>
      </w:r>
    </w:p>
    <w:p w14:paraId="7C4BFB4E" w14:textId="77777777" w:rsidR="00FA0945" w:rsidRPr="000C5235" w:rsidRDefault="00FA0945" w:rsidP="000A7DEC">
      <w:r w:rsidRPr="000C5235">
        <w:t>A system that holds the financial information of an entity.</w:t>
      </w:r>
    </w:p>
    <w:p w14:paraId="09F4E95C" w14:textId="77777777" w:rsidR="00FA0945" w:rsidRPr="000C5235" w:rsidRDefault="00FA0945" w:rsidP="000A7DEC">
      <w:pPr>
        <w:pStyle w:val="Heading4nonumbers"/>
      </w:pPr>
      <w:r w:rsidRPr="000C5235">
        <w:t xml:space="preserve">Forward </w:t>
      </w:r>
      <w:r w:rsidR="0079648C" w:rsidRPr="000C5235">
        <w:t>e</w:t>
      </w:r>
      <w:r w:rsidRPr="000C5235">
        <w:t xml:space="preserve">stimates </w:t>
      </w:r>
      <w:r w:rsidR="0079648C" w:rsidRPr="000C5235">
        <w:t>p</w:t>
      </w:r>
      <w:r w:rsidRPr="000C5235">
        <w:t>eriod</w:t>
      </w:r>
    </w:p>
    <w:p w14:paraId="13A91204" w14:textId="77777777" w:rsidR="00FA0945" w:rsidRPr="000C5235" w:rsidRDefault="00FA0945" w:rsidP="000A7DEC">
      <w:r w:rsidRPr="000C5235">
        <w:t>The three years following the b</w:t>
      </w:r>
      <w:r w:rsidR="00A624B2" w:rsidRPr="000C5235">
        <w:t>udget year. For example, if 20</w:t>
      </w:r>
      <w:r w:rsidR="0074521F" w:rsidRPr="000C5235">
        <w:t>20</w:t>
      </w:r>
      <w:r w:rsidR="00A624B2" w:rsidRPr="000C5235">
        <w:t>-</w:t>
      </w:r>
      <w:r w:rsidR="00886B74" w:rsidRPr="000C5235">
        <w:t>2</w:t>
      </w:r>
      <w:r w:rsidR="0074521F" w:rsidRPr="000C5235">
        <w:t>1</w:t>
      </w:r>
      <w:r w:rsidR="00A624B2" w:rsidRPr="000C5235">
        <w:t xml:space="preserve"> is the budget year, </w:t>
      </w:r>
      <w:r w:rsidR="00886B74" w:rsidRPr="000C5235">
        <w:t>202</w:t>
      </w:r>
      <w:r w:rsidR="0074521F" w:rsidRPr="000C5235">
        <w:t>1</w:t>
      </w:r>
      <w:r w:rsidR="00A624B2" w:rsidRPr="000C5235">
        <w:t>-2</w:t>
      </w:r>
      <w:r w:rsidR="0074521F" w:rsidRPr="000C5235">
        <w:t>2</w:t>
      </w:r>
      <w:r w:rsidRPr="000C5235">
        <w:t xml:space="preserve"> i</w:t>
      </w:r>
      <w:r w:rsidR="00A624B2" w:rsidRPr="000C5235">
        <w:t>s forward year 1, 202</w:t>
      </w:r>
      <w:r w:rsidR="0074521F" w:rsidRPr="000C5235">
        <w:t>2</w:t>
      </w:r>
      <w:r w:rsidR="00A624B2" w:rsidRPr="000C5235">
        <w:t>-2</w:t>
      </w:r>
      <w:r w:rsidR="0074521F" w:rsidRPr="000C5235">
        <w:t>3</w:t>
      </w:r>
      <w:r w:rsidR="00A624B2" w:rsidRPr="000C5235">
        <w:t xml:space="preserve"> is forward year 2 and 202</w:t>
      </w:r>
      <w:r w:rsidR="0074521F" w:rsidRPr="000C5235">
        <w:t>3</w:t>
      </w:r>
      <w:r w:rsidR="00A624B2" w:rsidRPr="000C5235">
        <w:t>-2</w:t>
      </w:r>
      <w:r w:rsidR="0074521F" w:rsidRPr="000C5235">
        <w:t>4</w:t>
      </w:r>
      <w:r w:rsidRPr="000C5235">
        <w:t xml:space="preserve"> is forward year 3. This period does not inc</w:t>
      </w:r>
      <w:r w:rsidR="00A624B2" w:rsidRPr="000C5235">
        <w:t>lude the (201</w:t>
      </w:r>
      <w:r w:rsidR="0074521F" w:rsidRPr="000C5235">
        <w:t>9</w:t>
      </w:r>
      <w:r w:rsidR="00A624B2" w:rsidRPr="000C5235">
        <w:t>-</w:t>
      </w:r>
      <w:r w:rsidR="0074521F" w:rsidRPr="000C5235">
        <w:t>20</w:t>
      </w:r>
      <w:r w:rsidR="00A624B2" w:rsidRPr="000C5235">
        <w:t>) or the budget year (20</w:t>
      </w:r>
      <w:r w:rsidR="0074521F" w:rsidRPr="000C5235">
        <w:t>20</w:t>
      </w:r>
      <w:r w:rsidR="00A624B2" w:rsidRPr="000C5235">
        <w:t>-</w:t>
      </w:r>
      <w:r w:rsidR="003107BE" w:rsidRPr="000C5235">
        <w:t>2</w:t>
      </w:r>
      <w:r w:rsidR="0074521F" w:rsidRPr="000C5235">
        <w:t>1</w:t>
      </w:r>
      <w:r w:rsidRPr="000C5235">
        <w:t>).</w:t>
      </w:r>
    </w:p>
    <w:p w14:paraId="5824E1A4" w14:textId="77777777" w:rsidR="00FA0945" w:rsidRPr="000C5235" w:rsidRDefault="00FA0945" w:rsidP="000A7DEC">
      <w:pPr>
        <w:pStyle w:val="Heading4nonumbers"/>
      </w:pPr>
      <w:r w:rsidRPr="000C5235">
        <w:t xml:space="preserve">General </w:t>
      </w:r>
      <w:r w:rsidR="0079648C" w:rsidRPr="000C5235">
        <w:t>g</w:t>
      </w:r>
      <w:r w:rsidRPr="000C5235">
        <w:t xml:space="preserve">overnment </w:t>
      </w:r>
      <w:r w:rsidR="0079648C" w:rsidRPr="000C5235">
        <w:t>s</w:t>
      </w:r>
      <w:r w:rsidRPr="000C5235">
        <w:t>ector</w:t>
      </w:r>
    </w:p>
    <w:p w14:paraId="19F147A4" w14:textId="77777777" w:rsidR="00FA0945" w:rsidRPr="000C5235" w:rsidRDefault="00FA0945" w:rsidP="000A7DEC">
      <w:r w:rsidRPr="000C5235">
        <w:t xml:space="preserve">A Government Finance Statistics’ classification of all entities that are controlled and largely funded by the Australian Government. The GGS provides public services that are mainly non-market in nature and for the collective consumption of the </w:t>
      </w:r>
      <w:r w:rsidR="00FD4BA3" w:rsidRPr="000C5235">
        <w:t>community or</w:t>
      </w:r>
      <w:r w:rsidRPr="000C5235">
        <w:t xml:space="preserve"> involve the transfer or redistribution of income. These services are largely financed through taxes and other compulsory levies, user charging and external funding. This sector comprises all government departments, offices and some other bodies. </w:t>
      </w:r>
    </w:p>
    <w:p w14:paraId="58562A1B" w14:textId="77777777" w:rsidR="00FA0945" w:rsidRPr="000C5235" w:rsidRDefault="00FA0945" w:rsidP="000A7DEC">
      <w:pPr>
        <w:pStyle w:val="Heading4nonumbers"/>
      </w:pPr>
      <w:r w:rsidRPr="000C5235">
        <w:t xml:space="preserve">Government </w:t>
      </w:r>
      <w:r w:rsidR="0079648C" w:rsidRPr="000C5235">
        <w:t>f</w:t>
      </w:r>
      <w:r w:rsidRPr="000C5235">
        <w:t xml:space="preserve">inance </w:t>
      </w:r>
      <w:r w:rsidR="0079648C" w:rsidRPr="000C5235">
        <w:t>s</w:t>
      </w:r>
      <w:r w:rsidRPr="000C5235">
        <w:t>tatistics</w:t>
      </w:r>
    </w:p>
    <w:p w14:paraId="7C9A2B3E" w14:textId="77777777" w:rsidR="00FA0945" w:rsidRPr="000C5235" w:rsidRDefault="00FA0945" w:rsidP="000A7DEC">
      <w:r w:rsidRPr="000C5235">
        <w:t>A reporting framework that is a specialised statistical system designed to support economic analysis of the public sector. It allows for comprehensive assessments of the economic impact of government and is consistent with international statistical standards of the International Monetary Fund and the System of National Accounts.</w:t>
      </w:r>
    </w:p>
    <w:p w14:paraId="4179D6C5" w14:textId="77777777" w:rsidR="00FA0945" w:rsidRPr="000C5235" w:rsidRDefault="00FA0945" w:rsidP="000A7DEC">
      <w:pPr>
        <w:pStyle w:val="Heading4nonumbers"/>
      </w:pPr>
      <w:r w:rsidRPr="000C5235">
        <w:t xml:space="preserve">Intended </w:t>
      </w:r>
      <w:r w:rsidR="0079648C" w:rsidRPr="000C5235">
        <w:t>r</w:t>
      </w:r>
      <w:r w:rsidRPr="000C5235">
        <w:t>esult</w:t>
      </w:r>
    </w:p>
    <w:p w14:paraId="7A31171C" w14:textId="77777777" w:rsidR="00FA0945" w:rsidRPr="000C5235" w:rsidRDefault="00FA0945" w:rsidP="000A7DEC">
      <w:r w:rsidRPr="000C5235">
        <w:t>Intended result is a key part of an outcome statement and describes the goal or objective of an entity. The intended result is typically distilled from the Government’s economic, social, health or environmental policy goals.</w:t>
      </w:r>
    </w:p>
    <w:p w14:paraId="48507B51" w14:textId="77777777" w:rsidR="00FA0945" w:rsidRPr="000C5235" w:rsidRDefault="00FA0945" w:rsidP="000A7DEC">
      <w:pPr>
        <w:pStyle w:val="Heading4nonumbers"/>
      </w:pPr>
      <w:r w:rsidRPr="000C5235">
        <w:t>Materiality</w:t>
      </w:r>
    </w:p>
    <w:p w14:paraId="5297ACDD" w14:textId="77777777" w:rsidR="00FA0945" w:rsidRPr="000C5235" w:rsidRDefault="00FA0945" w:rsidP="000A7DEC">
      <w:r w:rsidRPr="000C5235">
        <w:t xml:space="preserve">Reflects the importance of government financial or other information that if omitted, misstated or not disclosed has the potential to adversely affect decisions about the allocation of resources made by users of the financial report, or the discharge of accountability by the management or governing body of an entity. </w:t>
      </w:r>
    </w:p>
    <w:p w14:paraId="1FCF7D58" w14:textId="77777777" w:rsidR="00FA0945" w:rsidRPr="000C5235" w:rsidRDefault="00FA0945" w:rsidP="000A7DEC">
      <w:pPr>
        <w:pStyle w:val="Heading4nonumbers"/>
      </w:pPr>
      <w:r w:rsidRPr="000C5235">
        <w:t>Measure</w:t>
      </w:r>
    </w:p>
    <w:p w14:paraId="76085163" w14:textId="77777777" w:rsidR="00FA0945" w:rsidRPr="000C5235" w:rsidRDefault="00FA0945" w:rsidP="000A7DEC">
      <w:r w:rsidRPr="000C5235">
        <w:t>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BP No.</w:t>
      </w:r>
      <w:r w:rsidR="00EE4AE2" w:rsidRPr="000C5235">
        <w:t xml:space="preserve"> </w:t>
      </w:r>
      <w:r w:rsidRPr="000C5235">
        <w:t>2, in the MYEFO and the Pre</w:t>
      </w:r>
      <w:r w:rsidR="00B95147" w:rsidRPr="000C5235">
        <w:noBreakHyphen/>
        <w:t>election </w:t>
      </w:r>
      <w:r w:rsidRPr="000C5235">
        <w:t>Economic and Fiscal Outlook (PEFO).</w:t>
      </w:r>
    </w:p>
    <w:p w14:paraId="38273A8D" w14:textId="77777777" w:rsidR="00FA0945" w:rsidRPr="000C5235" w:rsidRDefault="00FA0945" w:rsidP="000A7DEC">
      <w:pPr>
        <w:pStyle w:val="Heading4nonumbers"/>
      </w:pPr>
      <w:r w:rsidRPr="000C5235">
        <w:t>Mid-</w:t>
      </w:r>
      <w:r w:rsidR="0079648C" w:rsidRPr="000C5235">
        <w:t>y</w:t>
      </w:r>
      <w:r w:rsidRPr="000C5235">
        <w:t xml:space="preserve">ear </w:t>
      </w:r>
      <w:r w:rsidR="0079648C" w:rsidRPr="000C5235">
        <w:t>e</w:t>
      </w:r>
      <w:r w:rsidRPr="000C5235">
        <w:t xml:space="preserve">conomic and </w:t>
      </w:r>
      <w:r w:rsidR="0079648C" w:rsidRPr="000C5235">
        <w:t>f</w:t>
      </w:r>
      <w:r w:rsidRPr="000C5235">
        <w:t xml:space="preserve">iscal </w:t>
      </w:r>
      <w:r w:rsidR="0079648C" w:rsidRPr="000C5235">
        <w:t>o</w:t>
      </w:r>
      <w:r w:rsidRPr="000C5235">
        <w:t xml:space="preserve">utlook </w:t>
      </w:r>
    </w:p>
    <w:p w14:paraId="53FE092A" w14:textId="77777777" w:rsidR="00FA0945" w:rsidRPr="000C5235" w:rsidRDefault="00FA0945" w:rsidP="000A7DEC">
      <w:r w:rsidRPr="000C5235">
        <w:t xml:space="preserve">The MYEFO provides an update of the government's budget estimates by examining expenses and revenues in the year to date, as well as provisions for new decisions that have been taken since the Budget. The report provides updated information to allow the assessment of the government’s fiscal performance against the fiscal strategy set out in its current fiscal strategy statement. </w:t>
      </w:r>
    </w:p>
    <w:p w14:paraId="53B27735" w14:textId="77777777" w:rsidR="00FA0945" w:rsidRPr="000C5235" w:rsidRDefault="00FA0945" w:rsidP="000A7DEC">
      <w:pPr>
        <w:pStyle w:val="Heading4nonumbers"/>
      </w:pPr>
      <w:r w:rsidRPr="000C5235">
        <w:t xml:space="preserve">Official </w:t>
      </w:r>
      <w:r w:rsidR="0079648C" w:rsidRPr="000C5235">
        <w:t>p</w:t>
      </w:r>
      <w:r w:rsidRPr="000C5235">
        <w:t xml:space="preserve">ublic </w:t>
      </w:r>
      <w:r w:rsidR="0079648C" w:rsidRPr="000C5235">
        <w:t>a</w:t>
      </w:r>
      <w:r w:rsidRPr="000C5235">
        <w:t xml:space="preserve">ccount </w:t>
      </w:r>
    </w:p>
    <w:p w14:paraId="00941C20" w14:textId="77777777" w:rsidR="00FA0945" w:rsidRPr="000C5235" w:rsidRDefault="00FA0945" w:rsidP="000A7DEC">
      <w:r w:rsidRPr="000C5235">
        <w:t xml:space="preserve">The </w:t>
      </w:r>
      <w:r w:rsidR="00B95147" w:rsidRPr="000C5235">
        <w:t>Official Public Account (</w:t>
      </w:r>
      <w:r w:rsidRPr="000C5235">
        <w:t>OPA</w:t>
      </w:r>
      <w:r w:rsidR="00B95147" w:rsidRPr="000C5235">
        <w:t>)</w:t>
      </w:r>
      <w:r w:rsidRPr="000C5235">
        <w:t xml:space="preserve"> is the Australian Government’s central bank account held within the Reserve Bank of Australia. The OPA reflects the operations of the Consolidated Revenue Fund.</w:t>
      </w:r>
    </w:p>
    <w:p w14:paraId="4D07B25E" w14:textId="77777777" w:rsidR="00FA0945" w:rsidRPr="000C5235" w:rsidRDefault="00FA0945" w:rsidP="000A7DEC">
      <w:pPr>
        <w:pStyle w:val="Heading4nonumbers"/>
      </w:pPr>
      <w:r w:rsidRPr="000C5235">
        <w:t xml:space="preserve">Operating </w:t>
      </w:r>
      <w:r w:rsidR="0079648C" w:rsidRPr="000C5235">
        <w:t>e</w:t>
      </w:r>
      <w:r w:rsidRPr="000C5235">
        <w:t xml:space="preserve">xpenditure (of </w:t>
      </w:r>
      <w:r w:rsidR="0079648C" w:rsidRPr="000C5235">
        <w:t>h</w:t>
      </w:r>
      <w:r w:rsidRPr="000C5235">
        <w:t xml:space="preserve">eritage and </w:t>
      </w:r>
      <w:r w:rsidR="0079648C" w:rsidRPr="000C5235">
        <w:t>c</w:t>
      </w:r>
      <w:r w:rsidRPr="000C5235">
        <w:t xml:space="preserve">ultural </w:t>
      </w:r>
      <w:r w:rsidR="0079648C" w:rsidRPr="000C5235">
        <w:t>a</w:t>
      </w:r>
      <w:r w:rsidRPr="000C5235">
        <w:t>ssets)</w:t>
      </w:r>
    </w:p>
    <w:p w14:paraId="3B52A993" w14:textId="77777777" w:rsidR="0014140F" w:rsidRPr="000C5235" w:rsidRDefault="00FA0945" w:rsidP="000A7DEC">
      <w:r w:rsidRPr="000C5235">
        <w:t xml:space="preserve">The following is a list of expenditure items that Collection Institutions might include in the “Operating expenditure for heritage and cultural assets” section of </w:t>
      </w:r>
      <w:r w:rsidRPr="000C5235">
        <w:rPr>
          <w:i/>
        </w:rPr>
        <w:t>Table 3.6</w:t>
      </w:r>
      <w:r w:rsidRPr="000C5235">
        <w:t xml:space="preserve"> and </w:t>
      </w:r>
      <w:r w:rsidRPr="000C5235">
        <w:rPr>
          <w:i/>
        </w:rPr>
        <w:t>Table 3.11</w:t>
      </w:r>
      <w:r w:rsidRPr="000C5235">
        <w:t>:</w:t>
      </w:r>
    </w:p>
    <w:p w14:paraId="6D404125" w14:textId="77777777" w:rsidR="00FA0945" w:rsidRPr="000C5235" w:rsidRDefault="00FA0945" w:rsidP="005D722E">
      <w:pPr>
        <w:pStyle w:val="Numbered"/>
        <w:numPr>
          <w:ilvl w:val="0"/>
          <w:numId w:val="240"/>
        </w:numPr>
      </w:pPr>
      <w:r w:rsidRPr="000C5235">
        <w:t>supply of goods and services, for example, outsourced repairs to artwork or insurance costs</w:t>
      </w:r>
    </w:p>
    <w:p w14:paraId="551012FD" w14:textId="77777777" w:rsidR="00FA0945" w:rsidRPr="000C5235" w:rsidRDefault="00FA0945" w:rsidP="005D722E">
      <w:pPr>
        <w:pStyle w:val="Numbered"/>
        <w:numPr>
          <w:ilvl w:val="0"/>
          <w:numId w:val="240"/>
        </w:numPr>
      </w:pPr>
      <w:r w:rsidRPr="000C5235">
        <w:t xml:space="preserve">direct labour on-costs, for example, the salaries and associated costs of staff researching and restoring items, lease of storage facilities </w:t>
      </w:r>
    </w:p>
    <w:p w14:paraId="64B55923" w14:textId="77777777" w:rsidR="00FA0945" w:rsidRPr="000C5235" w:rsidRDefault="00FA0945" w:rsidP="005D722E">
      <w:pPr>
        <w:pStyle w:val="Numbered"/>
        <w:numPr>
          <w:ilvl w:val="0"/>
          <w:numId w:val="240"/>
        </w:numPr>
      </w:pPr>
      <w:r w:rsidRPr="000C5235">
        <w:t>associated utility costs (electricity, water, gas)</w:t>
      </w:r>
    </w:p>
    <w:p w14:paraId="1C297CC4" w14:textId="77777777" w:rsidR="00FA0945" w:rsidRPr="000C5235" w:rsidRDefault="00FA0945" w:rsidP="005D722E">
      <w:pPr>
        <w:pStyle w:val="Numbered"/>
        <w:numPr>
          <w:ilvl w:val="0"/>
          <w:numId w:val="240"/>
        </w:numPr>
      </w:pPr>
      <w:r w:rsidRPr="000C5235">
        <w:t>cataloguing costs</w:t>
      </w:r>
    </w:p>
    <w:p w14:paraId="7EA43800" w14:textId="77777777" w:rsidR="00FA0945" w:rsidRPr="000C5235" w:rsidRDefault="00FA0945" w:rsidP="005D722E">
      <w:pPr>
        <w:pStyle w:val="Numbered"/>
        <w:numPr>
          <w:ilvl w:val="0"/>
          <w:numId w:val="240"/>
        </w:numPr>
      </w:pPr>
      <w:r w:rsidRPr="000C5235">
        <w:t>containers and packaging and transportation</w:t>
      </w:r>
    </w:p>
    <w:p w14:paraId="7D055F2B" w14:textId="77777777" w:rsidR="00FA0945" w:rsidRPr="000C5235" w:rsidRDefault="00FA0945" w:rsidP="005D722E">
      <w:pPr>
        <w:pStyle w:val="Numbered"/>
        <w:numPr>
          <w:ilvl w:val="0"/>
          <w:numId w:val="240"/>
        </w:numPr>
      </w:pPr>
      <w:r w:rsidRPr="000C5235">
        <w:t>cleaning of collections and storage facilities</w:t>
      </w:r>
    </w:p>
    <w:p w14:paraId="5220E889" w14:textId="77777777" w:rsidR="00FA0945" w:rsidRPr="000C5235" w:rsidRDefault="00FA0945" w:rsidP="005D722E">
      <w:pPr>
        <w:pStyle w:val="Numbered"/>
        <w:numPr>
          <w:ilvl w:val="0"/>
          <w:numId w:val="240"/>
        </w:numPr>
      </w:pPr>
      <w:r w:rsidRPr="000C5235">
        <w:t>substitution costs (preparation of copies/surrogates of art work for public display).</w:t>
      </w:r>
    </w:p>
    <w:p w14:paraId="5385A99C" w14:textId="77777777" w:rsidR="00FA0945" w:rsidRPr="000C5235" w:rsidRDefault="0014140F" w:rsidP="000A7DEC">
      <w:r w:rsidRPr="000C5235">
        <w:br/>
      </w:r>
      <w:r w:rsidR="00FA0945" w:rsidRPr="000C5235">
        <w:t>The costs above do not include full absorption costing such as an allocation for corporate administration costs or costs that are eligible to be capitalised.</w:t>
      </w:r>
    </w:p>
    <w:p w14:paraId="49C89758" w14:textId="77777777" w:rsidR="00FA0945" w:rsidRPr="000C5235" w:rsidRDefault="00FA0945" w:rsidP="000A7DEC">
      <w:r w:rsidRPr="000C5235">
        <w:t>Depreciation is not operating expenditure for the purposes of this definition.</w:t>
      </w:r>
    </w:p>
    <w:p w14:paraId="2F62E45C" w14:textId="77777777" w:rsidR="00FA0945" w:rsidRPr="000C5235" w:rsidRDefault="00FA0945" w:rsidP="000A7DEC">
      <w:pPr>
        <w:pStyle w:val="Heading4nonumbers"/>
      </w:pPr>
      <w:r w:rsidRPr="000C5235">
        <w:t>Outcome</w:t>
      </w:r>
    </w:p>
    <w:p w14:paraId="7FDF6BA5" w14:textId="77777777" w:rsidR="00FA0945" w:rsidRPr="000C5235" w:rsidRDefault="00FA0945" w:rsidP="000A7DEC">
      <w:r w:rsidRPr="000C5235">
        <w:t>An outcome is the intended result, consequence or impact of Government actions on the Australian community.</w:t>
      </w:r>
    </w:p>
    <w:p w14:paraId="39318B0F" w14:textId="77777777" w:rsidR="00FA0945" w:rsidRPr="000C5235" w:rsidRDefault="00FA0945" w:rsidP="000A7DEC">
      <w:pPr>
        <w:pStyle w:val="Heading4nonumbers"/>
      </w:pPr>
      <w:r w:rsidRPr="000C5235">
        <w:t xml:space="preserve">Outcome </w:t>
      </w:r>
      <w:r w:rsidR="0079648C" w:rsidRPr="000C5235">
        <w:t>s</w:t>
      </w:r>
      <w:r w:rsidRPr="000C5235">
        <w:t>tatement</w:t>
      </w:r>
    </w:p>
    <w:p w14:paraId="3CB08A81" w14:textId="77777777" w:rsidR="00FA0945" w:rsidRPr="000C5235" w:rsidRDefault="00FA0945" w:rsidP="000A7DEC">
      <w:r w:rsidRPr="000C5235">
        <w:t>An outcome statement articulates the intended results, activities and target group of an Australian Government entity. An outcome statement serves three main purposes within the financial framework:</w:t>
      </w:r>
    </w:p>
    <w:p w14:paraId="5BBE3859" w14:textId="77777777" w:rsidR="00FA0945" w:rsidRPr="000C5235" w:rsidRDefault="00FA0945">
      <w:pPr>
        <w:pStyle w:val="Bullet1"/>
      </w:pPr>
      <w:r w:rsidRPr="000C5235">
        <w:t>to explain and control the purposes for which annual appropriations are approved by the Parliament for use by entities</w:t>
      </w:r>
    </w:p>
    <w:p w14:paraId="2B84A518" w14:textId="77777777" w:rsidR="0074521F" w:rsidRPr="000C5235" w:rsidRDefault="00FA0945">
      <w:pPr>
        <w:pStyle w:val="Bullet1"/>
      </w:pPr>
      <w:r w:rsidRPr="000C5235">
        <w:t>to provide a basis for annual budgeting, including (financial) reporting against the use of appropriated funds</w:t>
      </w:r>
    </w:p>
    <w:p w14:paraId="1ABE5FBD" w14:textId="77777777" w:rsidR="00FA0945" w:rsidRPr="000C5235" w:rsidRDefault="0074521F" w:rsidP="0074521F">
      <w:pPr>
        <w:pStyle w:val="Bullet1"/>
      </w:pPr>
      <w:r w:rsidRPr="000C5235">
        <w:t>to measure and assess entity and program non</w:t>
      </w:r>
      <w:r w:rsidRPr="000C5235">
        <w:rPr>
          <w:rFonts w:ascii="Cambria Math" w:hAnsi="Cambria Math" w:cs="Cambria Math"/>
        </w:rPr>
        <w:t>‐</w:t>
      </w:r>
      <w:r w:rsidRPr="000C5235">
        <w:t>financial performance in contributing to Government policy objectives.</w:t>
      </w:r>
    </w:p>
    <w:p w14:paraId="146B9D38" w14:textId="77777777" w:rsidR="003C2C71" w:rsidRPr="000C5235" w:rsidRDefault="003C2C71" w:rsidP="000A7DEC">
      <w:pPr>
        <w:pStyle w:val="Heading4nonumbers"/>
      </w:pPr>
      <w:r w:rsidRPr="000C5235">
        <w:t>PB Statements</w:t>
      </w:r>
    </w:p>
    <w:p w14:paraId="7F7B32B9" w14:textId="77777777" w:rsidR="003C2C71" w:rsidRPr="000C5235" w:rsidRDefault="003C2C71" w:rsidP="000A7DEC">
      <w:r w:rsidRPr="000C5235">
        <w:t>Are the Portfolio Budget Statements</w:t>
      </w:r>
      <w:r w:rsidR="00E10524" w:rsidRPr="000C5235">
        <w:t xml:space="preserve"> and also</w:t>
      </w:r>
      <w:r w:rsidR="009526CA" w:rsidRPr="000C5235">
        <w:t xml:space="preserve"> commonly referred to as either the </w:t>
      </w:r>
      <w:r w:rsidR="00B95147" w:rsidRPr="000C5235">
        <w:t>PB </w:t>
      </w:r>
      <w:r w:rsidR="009526CA" w:rsidRPr="000C5235">
        <w:t>Statements or as</w:t>
      </w:r>
      <w:r w:rsidR="003908FF" w:rsidRPr="000C5235">
        <w:t xml:space="preserve"> the</w:t>
      </w:r>
      <w:r w:rsidR="009526CA" w:rsidRPr="000C5235">
        <w:t xml:space="preserve"> PBS</w:t>
      </w:r>
      <w:r w:rsidR="003908FF" w:rsidRPr="000C5235">
        <w:t xml:space="preserve"> Statements</w:t>
      </w:r>
      <w:r w:rsidR="009526CA" w:rsidRPr="000C5235">
        <w:t>.</w:t>
      </w:r>
    </w:p>
    <w:p w14:paraId="3455EB0E" w14:textId="77777777" w:rsidR="00D75D60" w:rsidRPr="000C5235" w:rsidRDefault="009526CA" w:rsidP="00347B58">
      <w:pPr>
        <w:rPr>
          <w:rFonts w:asciiTheme="majorHAnsi" w:eastAsia="MS Gothic" w:hAnsiTheme="majorHAnsi" w:cstheme="majorBidi"/>
          <w:bCs/>
          <w:iCs/>
          <w:color w:val="005A77"/>
          <w:sz w:val="28"/>
          <w:szCs w:val="24"/>
        </w:rPr>
      </w:pPr>
      <w:r w:rsidRPr="000C5235">
        <w:t xml:space="preserve">Refer to section </w:t>
      </w:r>
      <w:r w:rsidR="00700F9D" w:rsidRPr="000C5235">
        <w:rPr>
          <w:i/>
        </w:rPr>
        <w:fldChar w:fldCharType="begin"/>
      </w:r>
      <w:r w:rsidR="00700F9D" w:rsidRPr="000C5235">
        <w:rPr>
          <w:i/>
        </w:rPr>
        <w:instrText xml:space="preserve"> REF _Ref29395987 \w \h  \* MERGEFORMAT </w:instrText>
      </w:r>
      <w:r w:rsidR="00700F9D" w:rsidRPr="000C5235">
        <w:rPr>
          <w:i/>
        </w:rPr>
      </w:r>
      <w:r w:rsidR="00700F9D" w:rsidRPr="000C5235">
        <w:rPr>
          <w:i/>
        </w:rPr>
        <w:fldChar w:fldCharType="separate"/>
      </w:r>
      <w:r w:rsidR="00FD0A7F" w:rsidRPr="000C5235">
        <w:rPr>
          <w:i/>
        </w:rPr>
        <w:t>3</w:t>
      </w:r>
      <w:r w:rsidR="00700F9D" w:rsidRPr="000C5235">
        <w:rPr>
          <w:i/>
        </w:rPr>
        <w:fldChar w:fldCharType="end"/>
      </w:r>
      <w:r w:rsidR="00DF32A1" w:rsidRPr="000C5235">
        <w:rPr>
          <w:i/>
        </w:rPr>
        <w:t>.</w:t>
      </w:r>
      <w:r w:rsidR="00700F9D" w:rsidRPr="000C5235">
        <w:rPr>
          <w:i/>
        </w:rPr>
        <w:t xml:space="preserve"> </w:t>
      </w:r>
      <w:r w:rsidR="003908FF" w:rsidRPr="000C5235">
        <w:rPr>
          <w:i/>
          <w:color w:val="0070C0"/>
        </w:rPr>
        <w:fldChar w:fldCharType="begin"/>
      </w:r>
      <w:r w:rsidR="003908FF" w:rsidRPr="000C5235">
        <w:rPr>
          <w:i/>
          <w:color w:val="0070C0"/>
        </w:rPr>
        <w:instrText xml:space="preserve"> REF _Ref29395987 \h  \* MERGEFORMAT </w:instrText>
      </w:r>
      <w:r w:rsidR="003908FF" w:rsidRPr="000C5235">
        <w:rPr>
          <w:i/>
          <w:color w:val="0070C0"/>
        </w:rPr>
      </w:r>
      <w:r w:rsidR="003908FF" w:rsidRPr="000C5235">
        <w:rPr>
          <w:i/>
          <w:color w:val="0070C0"/>
        </w:rPr>
        <w:fldChar w:fldCharType="separate"/>
      </w:r>
      <w:r w:rsidR="00FD0A7F" w:rsidRPr="000C5235">
        <w:rPr>
          <w:i/>
        </w:rPr>
        <w:t>Purpose</w:t>
      </w:r>
      <w:r w:rsidR="003908FF" w:rsidRPr="000C5235">
        <w:rPr>
          <w:i/>
          <w:color w:val="0070C0"/>
        </w:rPr>
        <w:fldChar w:fldCharType="end"/>
      </w:r>
      <w:r w:rsidR="003908FF" w:rsidRPr="000C5235">
        <w:t xml:space="preserve"> </w:t>
      </w:r>
      <w:r w:rsidR="00700F9D" w:rsidRPr="000C5235">
        <w:t xml:space="preserve">within this guide </w:t>
      </w:r>
      <w:r w:rsidRPr="000C5235">
        <w:t xml:space="preserve">for an explanation </w:t>
      </w:r>
      <w:r w:rsidR="00700F9D" w:rsidRPr="000C5235">
        <w:t xml:space="preserve">to purpose </w:t>
      </w:r>
      <w:r w:rsidRPr="000C5235">
        <w:t>of the statements.</w:t>
      </w:r>
    </w:p>
    <w:p w14:paraId="5F2737B3" w14:textId="77777777" w:rsidR="004E2865" w:rsidRPr="000C5235" w:rsidRDefault="004E2865" w:rsidP="000A7DEC">
      <w:pPr>
        <w:pStyle w:val="Heading4nonumbers"/>
      </w:pPr>
      <w:r w:rsidRPr="000C5235">
        <w:t>PGPA Act Flipchart and List</w:t>
      </w:r>
    </w:p>
    <w:p w14:paraId="7E90B008" w14:textId="77777777" w:rsidR="004E2865" w:rsidRPr="000C5235" w:rsidRDefault="004E2865" w:rsidP="000A7DEC">
      <w:r w:rsidRPr="000C5235">
        <w:t xml:space="preserve">The Flipchart is a reference of all non-corporate and corporate Commonwealth entities and companies. Commonwealth entities and companies are government bodies that are subject to the </w:t>
      </w:r>
      <w:r w:rsidR="00761FCC" w:rsidRPr="000C5235">
        <w:t>PGPA Act</w:t>
      </w:r>
      <w:r w:rsidRPr="000C5235">
        <w:t>.</w:t>
      </w:r>
    </w:p>
    <w:p w14:paraId="0FBE133A" w14:textId="77777777" w:rsidR="004E2865" w:rsidRPr="000C5235" w:rsidRDefault="004E2865" w:rsidP="000A7DEC">
      <w:r w:rsidRPr="000C5235">
        <w:t>Commonwealth entities and companies on the Flipchart are organised by their portfolio.</w:t>
      </w:r>
    </w:p>
    <w:p w14:paraId="09F45657" w14:textId="77777777" w:rsidR="004E2865" w:rsidRPr="000C5235" w:rsidRDefault="004E2865" w:rsidP="000A7DEC">
      <w:r w:rsidRPr="000C5235">
        <w:t>The PGPA Act Flipchart is located at:</w:t>
      </w:r>
    </w:p>
    <w:p w14:paraId="7DA0F8E8" w14:textId="77777777" w:rsidR="004E2865" w:rsidRPr="000C5235" w:rsidRDefault="00A774B1" w:rsidP="000A7DEC">
      <w:hyperlink r:id="rId83" w:history="1">
        <w:r w:rsidR="00222B0D" w:rsidRPr="000C5235">
          <w:rPr>
            <w:rStyle w:val="Hyperlink"/>
            <w:rFonts w:asciiTheme="minorHAnsi" w:hAnsiTheme="minorHAnsi" w:cstheme="minorBidi"/>
          </w:rPr>
          <w:t>www.finance.gov.au/government/managing-commonwealth-resources/structure-australian-government-public-sector/pgpa-act-flipchart-list</w:t>
        </w:r>
      </w:hyperlink>
    </w:p>
    <w:p w14:paraId="2379CA0E" w14:textId="77777777" w:rsidR="0017331E" w:rsidRPr="000C5235" w:rsidRDefault="002F0879" w:rsidP="000A7DEC">
      <w:pPr>
        <w:pStyle w:val="Heading4nonumbers"/>
      </w:pPr>
      <w:r w:rsidRPr="000C5235">
        <w:t xml:space="preserve">Portfolio Additional Estimates Statements </w:t>
      </w:r>
    </w:p>
    <w:p w14:paraId="1249329C" w14:textId="77777777" w:rsidR="003D66F9" w:rsidRPr="000C5235" w:rsidRDefault="00CA19B9" w:rsidP="000A7DEC">
      <w:r w:rsidRPr="000C5235">
        <w:t>The PAES provide an update to Parliament on updated entity expenditure estimates for the current budget year and reflect changes since the Budget. The PAES should be considered a supplement to the Portfolio Budget Statements (PB Statements) explaining subsequent changes to Budget estimates as they appear in the Additional Estimates Appropriation Bills No. 3 and 4.</w:t>
      </w:r>
    </w:p>
    <w:p w14:paraId="1D275501" w14:textId="77777777" w:rsidR="00FA0945" w:rsidRPr="000C5235" w:rsidRDefault="00FA0945" w:rsidP="000A7DEC">
      <w:pPr>
        <w:pStyle w:val="Heading4nonumbers"/>
      </w:pPr>
      <w:r w:rsidRPr="000C5235">
        <w:t xml:space="preserve">Portfolio </w:t>
      </w:r>
      <w:r w:rsidR="0079648C" w:rsidRPr="000C5235">
        <w:t>b</w:t>
      </w:r>
      <w:r w:rsidRPr="000C5235">
        <w:t xml:space="preserve">udget </w:t>
      </w:r>
      <w:r w:rsidR="0079648C" w:rsidRPr="000C5235">
        <w:t>s</w:t>
      </w:r>
      <w:r w:rsidRPr="000C5235">
        <w:t xml:space="preserve">tatements </w:t>
      </w:r>
    </w:p>
    <w:p w14:paraId="08F4C209" w14:textId="77777777" w:rsidR="00FA0945" w:rsidRPr="000C5235" w:rsidRDefault="00FA0945" w:rsidP="000A7DEC">
      <w:r w:rsidRPr="000C5235">
        <w:t>Budget related paper detailing budget initiatives and explanations of appropriations specified by outcome and program by each entity within a Portfolio.</w:t>
      </w:r>
    </w:p>
    <w:p w14:paraId="30C48F5D" w14:textId="77777777" w:rsidR="009526CA" w:rsidRPr="000C5235" w:rsidRDefault="00C861A0" w:rsidP="009526CA">
      <w:r w:rsidRPr="000C5235">
        <w:t xml:space="preserve">Refer to section </w:t>
      </w:r>
      <w:r w:rsidRPr="000C5235">
        <w:rPr>
          <w:i/>
          <w:color w:val="0070C0"/>
          <w:u w:val="single"/>
        </w:rPr>
        <w:fldChar w:fldCharType="begin"/>
      </w:r>
      <w:r w:rsidRPr="000C5235">
        <w:rPr>
          <w:i/>
          <w:color w:val="0070C0"/>
          <w:u w:val="single"/>
        </w:rPr>
        <w:instrText xml:space="preserve"> REF _Ref29395987 \w \h  \* MERGEFORMAT </w:instrText>
      </w:r>
      <w:r w:rsidRPr="000C5235">
        <w:rPr>
          <w:i/>
          <w:color w:val="0070C0"/>
          <w:u w:val="single"/>
        </w:rPr>
      </w:r>
      <w:r w:rsidRPr="000C5235">
        <w:rPr>
          <w:i/>
          <w:color w:val="0070C0"/>
          <w:u w:val="single"/>
        </w:rPr>
        <w:fldChar w:fldCharType="separate"/>
      </w:r>
      <w:r w:rsidR="00B51C43" w:rsidRPr="000C5235">
        <w:rPr>
          <w:i/>
          <w:color w:val="0070C0"/>
          <w:u w:val="single"/>
        </w:rPr>
        <w:t>3</w:t>
      </w:r>
      <w:r w:rsidRPr="000C5235">
        <w:rPr>
          <w:i/>
          <w:color w:val="0070C0"/>
          <w:u w:val="single"/>
        </w:rPr>
        <w:fldChar w:fldCharType="end"/>
      </w:r>
      <w:r w:rsidRPr="000C5235">
        <w:rPr>
          <w:i/>
          <w:color w:val="0070C0"/>
          <w:u w:val="single"/>
        </w:rPr>
        <w:t xml:space="preserve"> </w:t>
      </w:r>
      <w:r w:rsidRPr="000C5235">
        <w:rPr>
          <w:i/>
          <w:color w:val="0070C0"/>
          <w:u w:val="single"/>
        </w:rPr>
        <w:fldChar w:fldCharType="begin"/>
      </w:r>
      <w:r w:rsidRPr="000C5235">
        <w:rPr>
          <w:i/>
          <w:color w:val="0070C0"/>
          <w:u w:val="single"/>
        </w:rPr>
        <w:instrText xml:space="preserve"> REF _Ref29395987 \h  \* MERGEFORMAT </w:instrText>
      </w:r>
      <w:r w:rsidRPr="000C5235">
        <w:rPr>
          <w:i/>
          <w:color w:val="0070C0"/>
          <w:u w:val="single"/>
        </w:rPr>
      </w:r>
      <w:r w:rsidRPr="000C5235">
        <w:rPr>
          <w:i/>
          <w:color w:val="0070C0"/>
          <w:u w:val="single"/>
        </w:rPr>
        <w:fldChar w:fldCharType="separate"/>
      </w:r>
      <w:r w:rsidR="00B51C43" w:rsidRPr="000C5235">
        <w:rPr>
          <w:i/>
          <w:color w:val="0070C0"/>
          <w:u w:val="single"/>
        </w:rPr>
        <w:t>Purpose</w:t>
      </w:r>
      <w:r w:rsidRPr="000C5235">
        <w:rPr>
          <w:i/>
          <w:color w:val="0070C0"/>
          <w:u w:val="single"/>
        </w:rPr>
        <w:fldChar w:fldCharType="end"/>
      </w:r>
      <w:r w:rsidRPr="000C5235">
        <w:t xml:space="preserve"> </w:t>
      </w:r>
      <w:r w:rsidRPr="000C5235">
        <w:fldChar w:fldCharType="begin"/>
      </w:r>
      <w:r w:rsidRPr="000C5235">
        <w:instrText xml:space="preserve"> REF _Ref29395987 \p \h </w:instrText>
      </w:r>
      <w:r w:rsidR="008B029A" w:rsidRPr="000C5235">
        <w:instrText xml:space="preserve"> \* MERGEFORMAT </w:instrText>
      </w:r>
      <w:r w:rsidRPr="000C5235">
        <w:fldChar w:fldCharType="separate"/>
      </w:r>
      <w:r w:rsidR="00F564E6" w:rsidRPr="000C5235">
        <w:t>above</w:t>
      </w:r>
      <w:r w:rsidRPr="000C5235">
        <w:fldChar w:fldCharType="end"/>
      </w:r>
      <w:r w:rsidRPr="000C5235">
        <w:t xml:space="preserve"> for an explanation to the statement's purpose.</w:t>
      </w:r>
    </w:p>
    <w:p w14:paraId="1C9DE912" w14:textId="77777777" w:rsidR="00204269" w:rsidRPr="000C5235" w:rsidRDefault="00204269" w:rsidP="008718A1">
      <w:pPr>
        <w:pStyle w:val="Heading4nonumbers"/>
      </w:pPr>
      <w:r w:rsidRPr="000C5235">
        <w:t>Pre-Election Fiscal Outlook</w:t>
      </w:r>
    </w:p>
    <w:p w14:paraId="71030611" w14:textId="77777777" w:rsidR="00204269" w:rsidRPr="000C5235" w:rsidRDefault="00204269" w:rsidP="000A7DEC">
      <w:r w:rsidRPr="000C5235">
        <w:t>The PEFO provides an update, to the fullest extent possible, on all Government decisions and all other circumstances that may have a material effect on the economic, fiscal outlook before the issue of the writs for the election.</w:t>
      </w:r>
    </w:p>
    <w:p w14:paraId="1C0CB2AA" w14:textId="77777777" w:rsidR="00204269" w:rsidRPr="000C5235" w:rsidRDefault="00204269" w:rsidP="000A7DEC">
      <w:pPr>
        <w:pStyle w:val="Heading4nonumbers"/>
      </w:pPr>
      <w:r w:rsidRPr="000C5235">
        <w:t>Primary Reporting and Information Management Aid</w:t>
      </w:r>
    </w:p>
    <w:p w14:paraId="2E2EDA3B" w14:textId="77777777" w:rsidR="00204269" w:rsidRPr="000C5235" w:rsidRDefault="00204269" w:rsidP="000A7DEC">
      <w:r w:rsidRPr="000C5235">
        <w:t xml:space="preserve">The </w:t>
      </w:r>
      <w:r w:rsidR="00B95147" w:rsidRPr="000C5235">
        <w:t>Primary Reporting and Information Management Aid (</w:t>
      </w:r>
      <w:r w:rsidRPr="000C5235">
        <w:t>PRIMA</w:t>
      </w:r>
      <w:r w:rsidR="00B95147" w:rsidRPr="000C5235">
        <w:t>)</w:t>
      </w:r>
      <w:r w:rsidRPr="000C5235">
        <w:t xml:space="preserve"> model demonstrates the most common disclosures and presentation affecting entities. There are two separate sets of PRIMA forms to demonstrate tiered reporting requirements (Tier 1, full disclosure; or Tier 2, Reduced Disclosure Requirements).</w:t>
      </w:r>
    </w:p>
    <w:p w14:paraId="5676E54B" w14:textId="77777777" w:rsidR="00204269" w:rsidRPr="000C5235" w:rsidRDefault="00204269" w:rsidP="000A7DEC">
      <w:r w:rsidRPr="000C5235">
        <w:t>The key principle of PRIMA is to include disclosures that are required by most Australian Accounting Standards or the Financial Reporting Rule.</w:t>
      </w:r>
    </w:p>
    <w:p w14:paraId="2A47629D" w14:textId="77777777" w:rsidR="00FA0945" w:rsidRPr="000C5235" w:rsidRDefault="00FA0945" w:rsidP="000A7DEC">
      <w:pPr>
        <w:pStyle w:val="Heading4nonumbers"/>
      </w:pPr>
      <w:r w:rsidRPr="000C5235">
        <w:t>Program</w:t>
      </w:r>
    </w:p>
    <w:p w14:paraId="0F9ED7E3" w14:textId="77777777" w:rsidR="00FA0945" w:rsidRPr="000C5235" w:rsidRDefault="00FA0945" w:rsidP="000A7DEC">
      <w:r w:rsidRPr="000C5235">
        <w:t>Activity that delivers benefits, services or transfer payments to individuals, industry and/or the community as a whole, with the aim of achieving the intended result specified in an outcome statement.</w:t>
      </w:r>
    </w:p>
    <w:p w14:paraId="5BCCD171" w14:textId="77777777" w:rsidR="00FA0945" w:rsidRPr="000C5235" w:rsidRDefault="00FA0945" w:rsidP="000A7DEC">
      <w:pPr>
        <w:pStyle w:val="Heading4nonumbers"/>
      </w:pPr>
      <w:r w:rsidRPr="000C5235">
        <w:t xml:space="preserve">Program </w:t>
      </w:r>
      <w:r w:rsidR="0079648C" w:rsidRPr="000C5235">
        <w:t>s</w:t>
      </w:r>
      <w:r w:rsidRPr="000C5235">
        <w:t>upport</w:t>
      </w:r>
    </w:p>
    <w:p w14:paraId="5B8BBBCF" w14:textId="77777777" w:rsidR="00FA0945" w:rsidRPr="000C5235" w:rsidRDefault="00FA0945" w:rsidP="000A7DEC">
      <w:r w:rsidRPr="000C5235">
        <w:t>The entity’s running costs allocated to a program. This is funded through an entity’s departmental appropriations.</w:t>
      </w:r>
    </w:p>
    <w:p w14:paraId="1AB0D349" w14:textId="77777777" w:rsidR="00406ADB" w:rsidRPr="000C5235" w:rsidRDefault="00406ADB" w:rsidP="000A7DEC">
      <w:pPr>
        <w:pStyle w:val="Heading4nonumbers"/>
      </w:pPr>
      <w:r w:rsidRPr="000C5235">
        <w:t xml:space="preserve">Public Budget Formulation </w:t>
      </w:r>
    </w:p>
    <w:p w14:paraId="0CA65E41" w14:textId="77777777" w:rsidR="00406ADB" w:rsidRPr="000C5235" w:rsidRDefault="00406ADB" w:rsidP="00406ADB">
      <w:r w:rsidRPr="000C5235">
        <w:t>Public Budget Formulation (module of CBMS), is used to record an entity’s annual estimates.  The module is also used to generate the Appropriation Bills.</w:t>
      </w:r>
    </w:p>
    <w:p w14:paraId="657AA912" w14:textId="77777777" w:rsidR="00FA0945" w:rsidRPr="000C5235" w:rsidRDefault="00FA0945" w:rsidP="000A7DEC">
      <w:pPr>
        <w:pStyle w:val="Heading4nonumbers"/>
      </w:pPr>
      <w:r w:rsidRPr="000C5235">
        <w:rPr>
          <w:i/>
        </w:rPr>
        <w:t xml:space="preserve">Public </w:t>
      </w:r>
      <w:r w:rsidR="009B490C" w:rsidRPr="000C5235">
        <w:rPr>
          <w:i/>
        </w:rPr>
        <w:t>G</w:t>
      </w:r>
      <w:r w:rsidRPr="000C5235">
        <w:rPr>
          <w:i/>
        </w:rPr>
        <w:t xml:space="preserve">overnance, </w:t>
      </w:r>
      <w:r w:rsidR="009B490C" w:rsidRPr="000C5235">
        <w:rPr>
          <w:i/>
        </w:rPr>
        <w:t>P</w:t>
      </w:r>
      <w:r w:rsidRPr="000C5235">
        <w:rPr>
          <w:i/>
        </w:rPr>
        <w:t xml:space="preserve">erformance and </w:t>
      </w:r>
      <w:r w:rsidR="009B490C" w:rsidRPr="000C5235">
        <w:rPr>
          <w:i/>
        </w:rPr>
        <w:t>A</w:t>
      </w:r>
      <w:r w:rsidRPr="000C5235">
        <w:rPr>
          <w:i/>
        </w:rPr>
        <w:t xml:space="preserve">ccountability </w:t>
      </w:r>
      <w:r w:rsidR="0079648C" w:rsidRPr="000C5235">
        <w:rPr>
          <w:i/>
        </w:rPr>
        <w:t>A</w:t>
      </w:r>
      <w:r w:rsidRPr="000C5235">
        <w:rPr>
          <w:i/>
        </w:rPr>
        <w:t>ct 2013</w:t>
      </w:r>
    </w:p>
    <w:p w14:paraId="2DB4FFFE" w14:textId="77777777" w:rsidR="0063372C" w:rsidRPr="000C5235" w:rsidRDefault="0063372C" w:rsidP="000A7DEC">
      <w:r w:rsidRPr="000C5235">
        <w:t>The PGPA Act establishes a coherent system of governance and accountability for public resources, with an emphasis on planning, performance and reporting.</w:t>
      </w:r>
    </w:p>
    <w:p w14:paraId="13CD6EB2" w14:textId="77777777" w:rsidR="0063372C" w:rsidRPr="000C5235" w:rsidRDefault="0063372C" w:rsidP="000A7DEC">
      <w:r w:rsidRPr="000C5235">
        <w:t>The PGPA Act applies to all Commonwealth entities and Commonwealth companies.</w:t>
      </w:r>
    </w:p>
    <w:p w14:paraId="4B1C57B7" w14:textId="77777777" w:rsidR="0063372C" w:rsidRPr="000C5235" w:rsidRDefault="0063372C">
      <w:r w:rsidRPr="000C5235">
        <w:t xml:space="preserve">The official version of the PGPA Act is available from </w:t>
      </w:r>
      <w:hyperlink r:id="rId84" w:history="1">
        <w:r w:rsidRPr="000C5235">
          <w:rPr>
            <w:rStyle w:val="Hyperlink"/>
            <w:rFonts w:asciiTheme="minorHAnsi" w:hAnsiTheme="minorHAnsi" w:cstheme="minorBidi"/>
          </w:rPr>
          <w:t>www.legislation.gov.au</w:t>
        </w:r>
      </w:hyperlink>
      <w:r w:rsidRPr="000C5235">
        <w:t xml:space="preserve"> </w:t>
      </w:r>
    </w:p>
    <w:p w14:paraId="195DD209" w14:textId="77777777" w:rsidR="00334C6F" w:rsidRPr="000C5235" w:rsidRDefault="00334C6F" w:rsidP="000A7DEC">
      <w:pPr>
        <w:pStyle w:val="Heading4nonumbers"/>
      </w:pPr>
      <w:r w:rsidRPr="000C5235">
        <w:t>Purpose</w:t>
      </w:r>
    </w:p>
    <w:p w14:paraId="3F4F72D8" w14:textId="77777777" w:rsidR="00334C6F" w:rsidRPr="000C5235" w:rsidRDefault="00334C6F" w:rsidP="000A7DEC">
      <w:r w:rsidRPr="000C5235">
        <w:t xml:space="preserve">The purposes of a Commonwealth entity </w:t>
      </w:r>
      <w:r w:rsidR="00FD4BA3" w:rsidRPr="000C5235">
        <w:t>include</w:t>
      </w:r>
      <w:r w:rsidRPr="000C5235">
        <w:t xml:space="preserve"> the objectives, functions or role of the entity.  For further information see </w:t>
      </w:r>
      <w:r w:rsidRPr="000C5235">
        <w:rPr>
          <w:i/>
        </w:rPr>
        <w:t>RMG 132 – Corporate plans for Commonwealth entities</w:t>
      </w:r>
      <w:r w:rsidRPr="000C5235">
        <w:t xml:space="preserve"> (</w:t>
      </w:r>
      <w:hyperlink r:id="rId85" w:history="1">
        <w:r w:rsidR="00B9628A" w:rsidRPr="000C5235">
          <w:rPr>
            <w:rStyle w:val="Hyperlink"/>
          </w:rPr>
          <w:t>https://www.finance.gov.au/publications/resource-management-guides</w:t>
        </w:r>
      </w:hyperlink>
      <w:r w:rsidR="008A41EF" w:rsidRPr="000C5235">
        <w:t>).</w:t>
      </w:r>
    </w:p>
    <w:p w14:paraId="65F59E8F" w14:textId="77777777" w:rsidR="00497E40" w:rsidRPr="000C5235" w:rsidRDefault="00497E40" w:rsidP="000A7DEC">
      <w:pPr>
        <w:pStyle w:val="Heading4nonumbers"/>
      </w:pPr>
      <w:r w:rsidRPr="000C5235">
        <w:t xml:space="preserve">Right-of-Use Asset </w:t>
      </w:r>
    </w:p>
    <w:p w14:paraId="1AD0C8D7" w14:textId="77777777" w:rsidR="00497E40" w:rsidRPr="000C5235" w:rsidRDefault="00497E40" w:rsidP="000A7DEC">
      <w:r w:rsidRPr="000C5235">
        <w:t xml:space="preserve">AASB 16 </w:t>
      </w:r>
      <w:r w:rsidRPr="000C5235">
        <w:rPr>
          <w:i/>
        </w:rPr>
        <w:t>Leases</w:t>
      </w:r>
      <w:r w:rsidR="00A0360B" w:rsidRPr="000C5235">
        <w:rPr>
          <w:i/>
        </w:rPr>
        <w:t xml:space="preserve"> </w:t>
      </w:r>
      <w:r w:rsidR="00A0360B" w:rsidRPr="000C5235">
        <w:t>(the Standard)</w:t>
      </w:r>
      <w:r w:rsidRPr="000C5235">
        <w:t>, remov</w:t>
      </w:r>
      <w:r w:rsidR="00EA2C25" w:rsidRPr="000C5235">
        <w:t>es</w:t>
      </w:r>
      <w:r w:rsidRPr="000C5235">
        <w:t xml:space="preserve"> the distinction between operating and finance leases for </w:t>
      </w:r>
      <w:r w:rsidR="00EA2C25" w:rsidRPr="000C5235">
        <w:t>lessees</w:t>
      </w:r>
      <w:r w:rsidRPr="000C5235">
        <w:t xml:space="preserve"> and </w:t>
      </w:r>
      <w:r w:rsidR="00EA2C25" w:rsidRPr="000C5235">
        <w:t>requires</w:t>
      </w:r>
      <w:r w:rsidRPr="000C5235">
        <w:t xml:space="preserve"> the recognition of a</w:t>
      </w:r>
      <w:r w:rsidR="00673397" w:rsidRPr="000C5235">
        <w:t>n</w:t>
      </w:r>
      <w:r w:rsidRPr="000C5235">
        <w:t xml:space="preserve"> </w:t>
      </w:r>
      <w:r w:rsidR="009F3C94" w:rsidRPr="000C5235">
        <w:t>RoU</w:t>
      </w:r>
      <w:r w:rsidR="00A0360B" w:rsidRPr="000C5235">
        <w:t xml:space="preserve"> </w:t>
      </w:r>
      <w:r w:rsidRPr="000C5235">
        <w:t xml:space="preserve">asset and lease liability on the balance sheet for most leasing arrangements. </w:t>
      </w:r>
      <w:r w:rsidR="00A0360B" w:rsidRPr="000C5235">
        <w:t>The Standard comes into effect for the 2019</w:t>
      </w:r>
      <w:r w:rsidR="00673397" w:rsidRPr="000C5235">
        <w:noBreakHyphen/>
      </w:r>
      <w:r w:rsidR="00A0360B" w:rsidRPr="000C5235">
        <w:t xml:space="preserve">20 financial reporting period. From 1 July 2019, all Commonwealth entities and companies </w:t>
      </w:r>
      <w:r w:rsidR="00EA2C25" w:rsidRPr="000C5235">
        <w:t>are</w:t>
      </w:r>
      <w:r w:rsidR="00A0360B" w:rsidRPr="000C5235">
        <w:t xml:space="preserve"> required to report on their </w:t>
      </w:r>
      <w:r w:rsidR="009F3C94" w:rsidRPr="000C5235">
        <w:t>RoU</w:t>
      </w:r>
      <w:r w:rsidR="00A0360B" w:rsidRPr="000C5235">
        <w:t xml:space="preserve"> assets and associated lease liabilities in their financial statements.</w:t>
      </w:r>
    </w:p>
    <w:p w14:paraId="56B5A15E" w14:textId="77777777" w:rsidR="00FA0945" w:rsidRPr="000C5235" w:rsidRDefault="00FA0945" w:rsidP="000A7DEC">
      <w:pPr>
        <w:pStyle w:val="Heading4nonumbers"/>
      </w:pPr>
      <w:r w:rsidRPr="000C5235">
        <w:t xml:space="preserve">Senate </w:t>
      </w:r>
      <w:r w:rsidR="0079648C" w:rsidRPr="000C5235">
        <w:t>e</w:t>
      </w:r>
      <w:r w:rsidRPr="000C5235">
        <w:t xml:space="preserve">stimates </w:t>
      </w:r>
      <w:r w:rsidR="0079648C" w:rsidRPr="000C5235">
        <w:t>h</w:t>
      </w:r>
      <w:r w:rsidRPr="000C5235">
        <w:t>earings</w:t>
      </w:r>
    </w:p>
    <w:p w14:paraId="10FC7502" w14:textId="77777777" w:rsidR="00FA0945" w:rsidRPr="000C5235" w:rsidRDefault="00FA0945" w:rsidP="000A7DEC">
      <w:r w:rsidRPr="000C5235">
        <w:t>Senate Standing Committees hold hearings to scrutinise the Appropriation Bills and any explanatory documentation tabled to accompany them. Public servants may be called to attend hearings as witnesses.</w:t>
      </w:r>
    </w:p>
    <w:p w14:paraId="402189BF" w14:textId="77777777" w:rsidR="00FA0945" w:rsidRPr="000C5235" w:rsidRDefault="00FA0945" w:rsidP="000A7DEC">
      <w:pPr>
        <w:pStyle w:val="Heading4nonumbers"/>
      </w:pPr>
      <w:r w:rsidRPr="000C5235">
        <w:t xml:space="preserve">Specific </w:t>
      </w:r>
      <w:r w:rsidR="0079648C" w:rsidRPr="000C5235">
        <w:t>p</w:t>
      </w:r>
      <w:r w:rsidRPr="000C5235">
        <w:t xml:space="preserve">urpose </w:t>
      </w:r>
      <w:r w:rsidR="0079648C" w:rsidRPr="000C5235">
        <w:t>p</w:t>
      </w:r>
      <w:r w:rsidRPr="000C5235">
        <w:t xml:space="preserve">ayments </w:t>
      </w:r>
    </w:p>
    <w:p w14:paraId="61AE2AD1" w14:textId="77777777" w:rsidR="00FA0945" w:rsidRPr="000C5235" w:rsidRDefault="00FA0945" w:rsidP="000A7DEC">
      <w:r w:rsidRPr="000C5235">
        <w:t>Commonwealth payments to the States for specific purposes in order to pursue important national policy objectives in areas that may be administered by the States.</w:t>
      </w:r>
    </w:p>
    <w:p w14:paraId="71AD8A3C" w14:textId="77777777" w:rsidR="00FA0945" w:rsidRPr="000C5235" w:rsidRDefault="00FA0945" w:rsidP="000A7DEC">
      <w:pPr>
        <w:pStyle w:val="Heading4nonumbers"/>
      </w:pPr>
      <w:r w:rsidRPr="000C5235">
        <w:t>Sub-function</w:t>
      </w:r>
    </w:p>
    <w:p w14:paraId="299D18BC" w14:textId="77777777" w:rsidR="00FA0945" w:rsidRPr="000C5235" w:rsidRDefault="00FA0945" w:rsidP="000A7DEC">
      <w:r w:rsidRPr="000C5235">
        <w:t>Government Finance Statistics classification of government expenses.</w:t>
      </w:r>
    </w:p>
    <w:p w14:paraId="0ACA9E5F" w14:textId="77777777" w:rsidR="00FA0945" w:rsidRPr="000C5235" w:rsidRDefault="00FA0945" w:rsidP="000A7DEC">
      <w:pPr>
        <w:pStyle w:val="Heading4nonumbers"/>
      </w:pPr>
      <w:r w:rsidRPr="000C5235">
        <w:t xml:space="preserve">System of </w:t>
      </w:r>
      <w:r w:rsidR="0079648C" w:rsidRPr="000C5235">
        <w:t>n</w:t>
      </w:r>
      <w:r w:rsidRPr="000C5235">
        <w:t xml:space="preserve">ational </w:t>
      </w:r>
      <w:r w:rsidR="0079648C" w:rsidRPr="000C5235">
        <w:t>a</w:t>
      </w:r>
      <w:r w:rsidRPr="000C5235">
        <w:t xml:space="preserve">ccounts </w:t>
      </w:r>
    </w:p>
    <w:p w14:paraId="1A2A4D39" w14:textId="77777777" w:rsidR="00FA0945" w:rsidRPr="000C5235" w:rsidRDefault="00FA0945" w:rsidP="000A7DEC">
      <w:r w:rsidRPr="000C5235">
        <w:t>The 2008 System of National Accounts (2008 SNA) is a comprehensive, consistent and flexible set of macroeconomic accounts to meet the needs of government and private-sector analysts, policy-makers, and decisions-takers. It was prepared jointly by the International Monetary Fund, the European Union, the Organization for Economic Co-operation and Development, the United Nations, and the World Bank.</w:t>
      </w:r>
    </w:p>
    <w:p w14:paraId="63E14BB6" w14:textId="77777777" w:rsidR="00FA0945" w:rsidRPr="000C5235" w:rsidRDefault="00FA0945" w:rsidP="000A7DEC">
      <w:pPr>
        <w:pStyle w:val="Heading4nonumbers"/>
      </w:pPr>
      <w:r w:rsidRPr="000C5235">
        <w:t xml:space="preserve">Target </w:t>
      </w:r>
      <w:r w:rsidR="0079648C" w:rsidRPr="000C5235">
        <w:t>g</w:t>
      </w:r>
      <w:r w:rsidRPr="000C5235">
        <w:t>roup</w:t>
      </w:r>
    </w:p>
    <w:p w14:paraId="5522744F" w14:textId="77777777" w:rsidR="00FA0945" w:rsidRPr="000C5235" w:rsidRDefault="00FA0945" w:rsidP="000A7DEC">
      <w:r w:rsidRPr="000C5235">
        <w:t>A specific group being targeted for assistance by government policy.</w:t>
      </w:r>
    </w:p>
    <w:p w14:paraId="25D4E9D2" w14:textId="77777777" w:rsidR="006A0F01" w:rsidRPr="000C5235" w:rsidRDefault="006A0F01" w:rsidP="000A7DEC">
      <w:pPr>
        <w:pStyle w:val="Heading4nonumbers"/>
      </w:pPr>
      <w:r w:rsidRPr="000C5235">
        <w:t xml:space="preserve">Third </w:t>
      </w:r>
      <w:r w:rsidR="0079648C" w:rsidRPr="000C5235">
        <w:t>p</w:t>
      </w:r>
      <w:r w:rsidRPr="000C5235">
        <w:t xml:space="preserve">arty </w:t>
      </w:r>
      <w:r w:rsidR="0079648C" w:rsidRPr="000C5235">
        <w:t>p</w:t>
      </w:r>
      <w:r w:rsidRPr="000C5235">
        <w:t>ayments</w:t>
      </w:r>
    </w:p>
    <w:p w14:paraId="741ADF13" w14:textId="77777777" w:rsidR="006A0F01" w:rsidRPr="000C5235" w:rsidRDefault="006A0F01" w:rsidP="000A7DEC">
      <w:r w:rsidRPr="000C5235">
        <w:t>Payments made on behalf of another entity, or by other entities on behalf of the agency. For example, payments made in relation to Special Appropriations.</w:t>
      </w:r>
    </w:p>
    <w:p w14:paraId="45ECC82C" w14:textId="77777777" w:rsidR="00FA0945" w:rsidRPr="000C5235" w:rsidRDefault="00FA0945" w:rsidP="000A7DEC">
      <w:pPr>
        <w:pStyle w:val="Heading4nonumbers"/>
      </w:pPr>
      <w:r w:rsidRPr="000C5235">
        <w:t>Transfer</w:t>
      </w:r>
    </w:p>
    <w:p w14:paraId="27C82BF5" w14:textId="77777777" w:rsidR="005D3E0C" w:rsidRPr="00E10524" w:rsidRDefault="00FA0945" w:rsidP="000A7DEC">
      <w:r w:rsidRPr="000C5235">
        <w:t>Cash paid to recipients of the applicable program. This includes welfare payments and tax rebates.</w:t>
      </w:r>
    </w:p>
    <w:sectPr w:rsidR="005D3E0C" w:rsidRPr="00E10524" w:rsidSect="00665EAD">
      <w:pgSz w:w="11900" w:h="16840" w:code="9"/>
      <w:pgMar w:top="1418" w:right="1418" w:bottom="1701" w:left="1418"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5AD72" w14:textId="77777777" w:rsidR="00DD1634" w:rsidRDefault="00DD1634" w:rsidP="00DF7D78">
      <w:r>
        <w:separator/>
      </w:r>
    </w:p>
    <w:p w14:paraId="6D2BB991" w14:textId="77777777" w:rsidR="00DD1634" w:rsidRDefault="00DD1634" w:rsidP="00DF7D78"/>
    <w:p w14:paraId="417AD0A2" w14:textId="77777777" w:rsidR="00DD1634" w:rsidRDefault="00DD1634" w:rsidP="00DF7D78"/>
    <w:p w14:paraId="1FA2B27E" w14:textId="77777777" w:rsidR="00DD1634" w:rsidRDefault="00DD1634" w:rsidP="00DF7D78"/>
  </w:endnote>
  <w:endnote w:type="continuationSeparator" w:id="0">
    <w:p w14:paraId="68ACE238" w14:textId="77777777" w:rsidR="00DD1634" w:rsidRDefault="00DD1634" w:rsidP="00DF7D78">
      <w:r>
        <w:continuationSeparator/>
      </w:r>
    </w:p>
    <w:p w14:paraId="4B6F7BEC" w14:textId="77777777" w:rsidR="00DD1634" w:rsidRDefault="00DD1634" w:rsidP="00DF7D78"/>
    <w:p w14:paraId="0EF1F710" w14:textId="77777777" w:rsidR="00DD1634" w:rsidRDefault="00DD1634" w:rsidP="00DF7D78"/>
    <w:p w14:paraId="739FCA9F" w14:textId="77777777" w:rsidR="00DD1634" w:rsidRDefault="00DD1634" w:rsidP="00DF7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1E915" w14:textId="77777777" w:rsidR="00DD1634" w:rsidRDefault="00DD1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9ADFF" w14:textId="77777777" w:rsidR="00DD1634" w:rsidRDefault="00DD1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AB32" w14:textId="77777777" w:rsidR="00DD1634" w:rsidRDefault="00DD1634" w:rsidP="008F72CD">
    <w:pPr>
      <w:pStyle w:val="Footer"/>
    </w:pPr>
  </w:p>
  <w:p w14:paraId="13309068" w14:textId="77777777" w:rsidR="00DD1634" w:rsidRDefault="00DD1634" w:rsidP="008F72CD">
    <w:pPr>
      <w:pStyle w:val="Footer"/>
      <w:rPr>
        <w:rStyle w:val="Classification"/>
      </w:rPr>
    </w:pPr>
    <w:r>
      <w:rPr>
        <w:rStyle w:val="Classification"/>
      </w:rPr>
      <w:t>UNCLASSIFIED</w:t>
    </w:r>
  </w:p>
  <w:p w14:paraId="4920A758" w14:textId="77777777" w:rsidR="00DD1634" w:rsidRPr="000A6A8B" w:rsidRDefault="00DD1634" w:rsidP="008F7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BCBA" w14:textId="2B7C770A" w:rsidR="00DD1634" w:rsidRDefault="00DD1634">
    <w:pPr>
      <w:pStyle w:val="Footer"/>
    </w:pPr>
    <w:r>
      <w:rPr>
        <w:rStyle w:val="ArialBlackBlue"/>
        <w:sz w:val="18"/>
        <w:szCs w:val="18"/>
      </w:rPr>
      <w:t>Guide to preparing the 2020-21 Portfolio Budget Statements</w:t>
    </w:r>
    <w:r w:rsidRPr="004D6565">
      <w:t xml:space="preserve">    </w:t>
    </w:r>
    <w:r w:rsidRPr="004D6565">
      <w:rPr>
        <w:rFonts w:ascii="Arial" w:hAnsi="Arial" w:cs="Arial"/>
      </w:rPr>
      <w:t xml:space="preserve">|    </w:t>
    </w:r>
    <w:r w:rsidRPr="004D6565">
      <w:rPr>
        <w:rFonts w:ascii="Arial" w:hAnsi="Arial" w:cs="Arial"/>
      </w:rPr>
      <w:fldChar w:fldCharType="begin"/>
    </w:r>
    <w:r w:rsidRPr="004D6565">
      <w:rPr>
        <w:rFonts w:ascii="Arial" w:hAnsi="Arial" w:cs="Arial"/>
      </w:rPr>
      <w:instrText xml:space="preserve"> PAGE   \* MERGEFORMAT </w:instrText>
    </w:r>
    <w:r w:rsidRPr="004D6565">
      <w:rPr>
        <w:rFonts w:ascii="Arial" w:hAnsi="Arial" w:cs="Arial"/>
      </w:rPr>
      <w:fldChar w:fldCharType="separate"/>
    </w:r>
    <w:r w:rsidR="003A18A8">
      <w:rPr>
        <w:rFonts w:ascii="Arial" w:hAnsi="Arial" w:cs="Arial"/>
        <w:noProof/>
      </w:rPr>
      <w:t>4</w:t>
    </w:r>
    <w:r w:rsidRPr="004D6565">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026A" w14:textId="53E29666" w:rsidR="00DD1634" w:rsidRDefault="00DD1634">
    <w:pPr>
      <w:pStyle w:val="Footer"/>
    </w:pPr>
    <w:r>
      <w:rPr>
        <w:rStyle w:val="ArialBlackBlue"/>
        <w:sz w:val="18"/>
        <w:szCs w:val="18"/>
      </w:rPr>
      <w:t>Guide to preparing the 2020-21 Portfolio Budget Statements</w:t>
    </w:r>
    <w:r w:rsidRPr="004D6565">
      <w:t xml:space="preserve">    </w:t>
    </w:r>
    <w:r w:rsidRPr="004D6565">
      <w:rPr>
        <w:rFonts w:ascii="Arial" w:hAnsi="Arial" w:cs="Arial"/>
      </w:rPr>
      <w:t xml:space="preserve">|    </w:t>
    </w:r>
    <w:r w:rsidRPr="004D6565">
      <w:rPr>
        <w:rFonts w:ascii="Arial" w:hAnsi="Arial" w:cs="Arial"/>
      </w:rPr>
      <w:fldChar w:fldCharType="begin"/>
    </w:r>
    <w:r w:rsidRPr="004D6565">
      <w:rPr>
        <w:rFonts w:ascii="Arial" w:hAnsi="Arial" w:cs="Arial"/>
      </w:rPr>
      <w:instrText xml:space="preserve"> PAGE   \* MERGEFORMAT </w:instrText>
    </w:r>
    <w:r w:rsidRPr="004D6565">
      <w:rPr>
        <w:rFonts w:ascii="Arial" w:hAnsi="Arial" w:cs="Arial"/>
      </w:rPr>
      <w:fldChar w:fldCharType="separate"/>
    </w:r>
    <w:r w:rsidR="00A774B1">
      <w:rPr>
        <w:rFonts w:ascii="Arial" w:hAnsi="Arial" w:cs="Arial"/>
        <w:noProof/>
      </w:rPr>
      <w:t>75</w:t>
    </w:r>
    <w:r w:rsidRPr="004D6565">
      <w:rPr>
        <w:rFonts w:ascii="Arial" w:hAnsi="Arial" w:cs="Arial"/>
      </w:rPr>
      <w:fldChar w:fldCharType="end"/>
    </w:r>
  </w:p>
  <w:p w14:paraId="11A44665" w14:textId="77777777" w:rsidR="00DD1634" w:rsidRDefault="00DD163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989B6" w14:textId="77777777" w:rsidR="00DD1634" w:rsidRDefault="00DD1634" w:rsidP="00DF7D78"/>
    <w:p w14:paraId="56D4F4EA" w14:textId="77777777" w:rsidR="00DD1634" w:rsidRDefault="00DD1634" w:rsidP="00DF7D78"/>
    <w:p w14:paraId="42C4A121" w14:textId="77777777" w:rsidR="00DD1634" w:rsidRDefault="00DD1634" w:rsidP="00DF7D78"/>
  </w:footnote>
  <w:footnote w:type="continuationSeparator" w:id="0">
    <w:p w14:paraId="4BA2D793" w14:textId="77777777" w:rsidR="00DD1634" w:rsidRDefault="00DD1634" w:rsidP="00DF7D78">
      <w:r>
        <w:continuationSeparator/>
      </w:r>
    </w:p>
    <w:p w14:paraId="4134FF50" w14:textId="77777777" w:rsidR="00DD1634" w:rsidRDefault="00DD1634" w:rsidP="00DF7D78"/>
    <w:p w14:paraId="293382E5" w14:textId="77777777" w:rsidR="00DD1634" w:rsidRDefault="00DD1634" w:rsidP="00DF7D78"/>
    <w:p w14:paraId="38315512" w14:textId="77777777" w:rsidR="00DD1634" w:rsidRDefault="00DD1634" w:rsidP="00DF7D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7F612" w14:textId="77777777" w:rsidR="00DD1634" w:rsidRDefault="00DD1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8127" w14:textId="77777777" w:rsidR="00DD1634" w:rsidRDefault="00DD1634" w:rsidP="000A7DEC">
    <w:pPr>
      <w:pStyle w:val="Header"/>
      <w:jc w:val="center"/>
      <w:rPr>
        <w:rStyle w:val="Classification"/>
      </w:rPr>
    </w:pPr>
    <w:r>
      <w:rPr>
        <w:rStyle w:val="Classification"/>
      </w:rPr>
      <w:t>unclassified</w:t>
    </w:r>
  </w:p>
  <w:p w14:paraId="3DB2A6C2" w14:textId="77777777" w:rsidR="00DD1634" w:rsidRPr="00BD6313" w:rsidRDefault="00DD1634" w:rsidP="004B4224">
    <w:pPr>
      <w:pStyle w:val="Header"/>
      <w:rPr>
        <w:rStyle w:val="Classification"/>
        <w:rFonts w:cstheme="minorHAnsi"/>
        <w:caps w:val="0"/>
        <w:u w:val="single"/>
      </w:rPr>
    </w:pPr>
    <w:r w:rsidRPr="00BD6313">
      <w:rPr>
        <w:rStyle w:val="Classification"/>
        <w:rFonts w:cstheme="minorHAnsi"/>
        <w:caps w:val="0"/>
        <w:u w:val="single"/>
      </w:rPr>
      <w:t>Attachment A</w:t>
    </w:r>
  </w:p>
  <w:p w14:paraId="09B44868" w14:textId="77777777" w:rsidR="00DD1634" w:rsidRDefault="00DD1634" w:rsidP="008F72CD">
    <w:pPr>
      <w:pStyle w:val="Header"/>
    </w:pPr>
    <w:r>
      <w:rPr>
        <w:noProof/>
        <w:lang w:eastAsia="en-AU"/>
      </w:rPr>
      <w:drawing>
        <wp:anchor distT="0" distB="0" distL="114300" distR="114300" simplePos="0" relativeHeight="251657216" behindDoc="1" locked="0" layoutInCell="1" allowOverlap="1" wp14:anchorId="3967843C" wp14:editId="5348CAA9">
          <wp:simplePos x="0" y="0"/>
          <wp:positionH relativeFrom="page">
            <wp:align>left</wp:align>
          </wp:positionH>
          <wp:positionV relativeFrom="paragraph">
            <wp:posOffset>-538968</wp:posOffset>
          </wp:positionV>
          <wp:extent cx="7571105" cy="10705465"/>
          <wp:effectExtent l="0" t="0" r="0" b="635"/>
          <wp:wrapNone/>
          <wp:docPr id="49" name="Picture 49" descr="C:\Users\seabel\AppData\Local\Microsoft\Windows\INetCache\Content.Word\Long word cove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abel\AppData\Local\Microsoft\Windows\INetCache\Content.Word\Long word cover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E6EB" w14:textId="77777777" w:rsidR="00DD1634" w:rsidRDefault="00A774B1" w:rsidP="008F72CD">
    <w:pPr>
      <w:pStyle w:val="Header"/>
    </w:pPr>
    <w:r>
      <w:rPr>
        <w:noProof/>
      </w:rPr>
      <w:pict w14:anchorId="2A939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70.9pt;margin-top:-28.4pt;width:596.15pt;height:842.95pt;z-index:-251658240">
          <v:imagedata r:id="rId1" o:title="Long word cover_blue"/>
        </v:shape>
      </w:pict>
    </w:r>
    <w:r w:rsidR="00DD1634">
      <w:rPr>
        <w:rStyle w:val="Classification"/>
      </w:rPr>
      <w:t>UNCLASSIFIED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5F23" w14:textId="77777777" w:rsidR="00DD1634" w:rsidRDefault="00DD16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924F4" w14:textId="77777777" w:rsidR="00DD1634" w:rsidRPr="00287835" w:rsidRDefault="00DD1634" w:rsidP="000A7DEC">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598ED" w14:textId="77777777" w:rsidR="00DD1634" w:rsidRDefault="00DD16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2A10" w14:textId="77777777" w:rsidR="00DD1634" w:rsidRDefault="00DD1634">
    <w:pPr>
      <w:pStyle w:val="Header"/>
    </w:pPr>
  </w:p>
  <w:p w14:paraId="0197778A" w14:textId="77777777" w:rsidR="00DD1634" w:rsidRDefault="00DD1634"/>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CCC2" w14:textId="77777777" w:rsidR="00DD1634" w:rsidRDefault="00DD1634" w:rsidP="000A7DEC">
    <w:pPr>
      <w:pStyle w:val="Header"/>
      <w:jc w:val="left"/>
      <w:rPr>
        <w:noProof/>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373BA" w14:textId="77777777" w:rsidR="00DD1634" w:rsidRDefault="00DD1634">
    <w:pPr>
      <w:pStyle w:val="Header"/>
    </w:pPr>
  </w:p>
  <w:p w14:paraId="236B9192" w14:textId="77777777" w:rsidR="00DD1634" w:rsidRDefault="00DD163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A3C8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52E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9AEB1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94EEA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D04B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CAA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526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BA4E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143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CCCA7E"/>
    <w:lvl w:ilvl="0">
      <w:start w:val="1"/>
      <w:numFmt w:val="bullet"/>
      <w:pStyle w:val="Bullet1"/>
      <w:lvlText w:val=""/>
      <w:lvlJc w:val="left"/>
      <w:pPr>
        <w:tabs>
          <w:tab w:val="num" w:pos="360"/>
        </w:tabs>
        <w:ind w:left="360" w:hanging="360"/>
      </w:pPr>
      <w:rPr>
        <w:rFonts w:ascii="Symbol" w:hAnsi="Symbol" w:hint="default"/>
      </w:rPr>
    </w:lvl>
  </w:abstractNum>
  <w:abstractNum w:abstractNumId="10" w15:restartNumberingAfterBreak="0">
    <w:nsid w:val="000F7CA5"/>
    <w:multiLevelType w:val="hybridMultilevel"/>
    <w:tmpl w:val="1A5A6380"/>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1" w15:restartNumberingAfterBreak="0">
    <w:nsid w:val="010835EE"/>
    <w:multiLevelType w:val="multilevel"/>
    <w:tmpl w:val="3378FFD0"/>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1BF34E1"/>
    <w:multiLevelType w:val="hybridMultilevel"/>
    <w:tmpl w:val="CE542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28B44FC"/>
    <w:multiLevelType w:val="multilevel"/>
    <w:tmpl w:val="6C6ABDAC"/>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03F203B9"/>
    <w:multiLevelType w:val="hybridMultilevel"/>
    <w:tmpl w:val="0D38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8925B3"/>
    <w:multiLevelType w:val="hybridMultilevel"/>
    <w:tmpl w:val="5736359E"/>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7D689F96">
      <w:start w:val="1"/>
      <w:numFmt w:val="bullet"/>
      <w:pStyle w:val="Bullet4"/>
      <w:lvlText w:val="»"/>
      <w:lvlJc w:val="left"/>
      <w:pPr>
        <w:ind w:left="2256" w:hanging="360"/>
      </w:pPr>
      <w:rPr>
        <w:rFonts w:ascii="Arial" w:hAnsi="Arial" w:hint="default"/>
      </w:rPr>
    </w:lvl>
    <w:lvl w:ilvl="3" w:tplc="0C09000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7" w15:restartNumberingAfterBreak="0">
    <w:nsid w:val="089A2618"/>
    <w:multiLevelType w:val="hybridMultilevel"/>
    <w:tmpl w:val="1BA88664"/>
    <w:lvl w:ilvl="0" w:tplc="21181DCE">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9BE62B8"/>
    <w:multiLevelType w:val="hybridMultilevel"/>
    <w:tmpl w:val="4DBEF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2F6B80"/>
    <w:multiLevelType w:val="multilevel"/>
    <w:tmpl w:val="FC9ECCC4"/>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0A436866"/>
    <w:multiLevelType w:val="multilevel"/>
    <w:tmpl w:val="9BB4C626"/>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0BBE366A"/>
    <w:multiLevelType w:val="hybridMultilevel"/>
    <w:tmpl w:val="75DC0EA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2" w15:restartNumberingAfterBreak="0">
    <w:nsid w:val="0C3A3A83"/>
    <w:multiLevelType w:val="hybridMultilevel"/>
    <w:tmpl w:val="F624461E"/>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0C09000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3" w15:restartNumberingAfterBreak="0">
    <w:nsid w:val="0C4C6C25"/>
    <w:multiLevelType w:val="hybridMultilevel"/>
    <w:tmpl w:val="C8145CAC"/>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A25650F0">
      <w:start w:val="1"/>
      <w:numFmt w:val="bullet"/>
      <w:pStyle w:val="Bullet5"/>
      <w:lvlText w:val="▫"/>
      <w:lvlJc w:val="left"/>
      <w:pPr>
        <w:ind w:left="2976" w:hanging="360"/>
      </w:pPr>
      <w:rPr>
        <w:rFonts w:ascii="Arial" w:hAnsi="Aria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4" w15:restartNumberingAfterBreak="0">
    <w:nsid w:val="0CC33B0F"/>
    <w:multiLevelType w:val="hybridMultilevel"/>
    <w:tmpl w:val="2B0A6CC0"/>
    <w:lvl w:ilvl="0" w:tplc="7C367F58">
      <w:start w:val="1"/>
      <w:numFmt w:val="decimal"/>
      <w:lvlText w:val="%1."/>
      <w:lvlJc w:val="left"/>
      <w:pPr>
        <w:ind w:left="185" w:hanging="360"/>
      </w:pPr>
      <w:rPr>
        <w:rFonts w:hint="default"/>
        <w:color w:val="auto"/>
      </w:rPr>
    </w:lvl>
    <w:lvl w:ilvl="1" w:tplc="0C090019">
      <w:start w:val="1"/>
      <w:numFmt w:val="lowerLetter"/>
      <w:lvlText w:val="%2."/>
      <w:lvlJc w:val="left"/>
      <w:pPr>
        <w:ind w:left="905" w:hanging="360"/>
      </w:pPr>
      <w:rPr>
        <w:rFonts w:hint="default"/>
      </w:rPr>
    </w:lvl>
    <w:lvl w:ilvl="2" w:tplc="0C090005">
      <w:start w:val="1"/>
      <w:numFmt w:val="bullet"/>
      <w:lvlText w:val=""/>
      <w:lvlJc w:val="left"/>
      <w:pPr>
        <w:ind w:left="1625" w:hanging="360"/>
      </w:pPr>
      <w:rPr>
        <w:rFonts w:ascii="Wingdings" w:hAnsi="Wingdings" w:hint="default"/>
      </w:rPr>
    </w:lvl>
    <w:lvl w:ilvl="3" w:tplc="0C090001" w:tentative="1">
      <w:start w:val="1"/>
      <w:numFmt w:val="bullet"/>
      <w:lvlText w:val=""/>
      <w:lvlJc w:val="left"/>
      <w:pPr>
        <w:ind w:left="2345" w:hanging="360"/>
      </w:pPr>
      <w:rPr>
        <w:rFonts w:ascii="Symbol" w:hAnsi="Symbol" w:hint="default"/>
      </w:rPr>
    </w:lvl>
    <w:lvl w:ilvl="4" w:tplc="0C090003" w:tentative="1">
      <w:start w:val="1"/>
      <w:numFmt w:val="bullet"/>
      <w:lvlText w:val="o"/>
      <w:lvlJc w:val="left"/>
      <w:pPr>
        <w:ind w:left="3065" w:hanging="360"/>
      </w:pPr>
      <w:rPr>
        <w:rFonts w:ascii="Courier New" w:hAnsi="Courier New" w:cs="Courier New" w:hint="default"/>
      </w:rPr>
    </w:lvl>
    <w:lvl w:ilvl="5" w:tplc="0C090005" w:tentative="1">
      <w:start w:val="1"/>
      <w:numFmt w:val="bullet"/>
      <w:lvlText w:val=""/>
      <w:lvlJc w:val="left"/>
      <w:pPr>
        <w:ind w:left="3785" w:hanging="360"/>
      </w:pPr>
      <w:rPr>
        <w:rFonts w:ascii="Wingdings" w:hAnsi="Wingdings" w:hint="default"/>
      </w:rPr>
    </w:lvl>
    <w:lvl w:ilvl="6" w:tplc="0C090001" w:tentative="1">
      <w:start w:val="1"/>
      <w:numFmt w:val="bullet"/>
      <w:lvlText w:val=""/>
      <w:lvlJc w:val="left"/>
      <w:pPr>
        <w:ind w:left="4505" w:hanging="360"/>
      </w:pPr>
      <w:rPr>
        <w:rFonts w:ascii="Symbol" w:hAnsi="Symbol" w:hint="default"/>
      </w:rPr>
    </w:lvl>
    <w:lvl w:ilvl="7" w:tplc="0C090003" w:tentative="1">
      <w:start w:val="1"/>
      <w:numFmt w:val="bullet"/>
      <w:lvlText w:val="o"/>
      <w:lvlJc w:val="left"/>
      <w:pPr>
        <w:ind w:left="5225" w:hanging="360"/>
      </w:pPr>
      <w:rPr>
        <w:rFonts w:ascii="Courier New" w:hAnsi="Courier New" w:cs="Courier New" w:hint="default"/>
      </w:rPr>
    </w:lvl>
    <w:lvl w:ilvl="8" w:tplc="0C090005" w:tentative="1">
      <w:start w:val="1"/>
      <w:numFmt w:val="bullet"/>
      <w:lvlText w:val=""/>
      <w:lvlJc w:val="left"/>
      <w:pPr>
        <w:ind w:left="5945" w:hanging="360"/>
      </w:pPr>
      <w:rPr>
        <w:rFonts w:ascii="Wingdings" w:hAnsi="Wingdings" w:hint="default"/>
      </w:rPr>
    </w:lvl>
  </w:abstractNum>
  <w:abstractNum w:abstractNumId="25" w15:restartNumberingAfterBreak="0">
    <w:nsid w:val="0D88409D"/>
    <w:multiLevelType w:val="hybridMultilevel"/>
    <w:tmpl w:val="C48247AE"/>
    <w:lvl w:ilvl="0" w:tplc="4D0E70F2">
      <w:start w:val="1"/>
      <w:numFmt w:val="bullet"/>
      <w:lvlText w:val=""/>
      <w:lvlJc w:val="left"/>
      <w:pPr>
        <w:ind w:left="661" w:hanging="361"/>
      </w:pPr>
      <w:rPr>
        <w:rFonts w:ascii="Symbol" w:hAnsi="Symbol" w:hint="default"/>
        <w:color w:val="005A77"/>
        <w:w w:val="100"/>
      </w:rPr>
    </w:lvl>
    <w:lvl w:ilvl="1" w:tplc="C8562E14">
      <w:numFmt w:val="bullet"/>
      <w:lvlText w:val=""/>
      <w:lvlJc w:val="left"/>
      <w:pPr>
        <w:ind w:left="1024" w:hanging="361"/>
      </w:pPr>
      <w:rPr>
        <w:rFonts w:ascii="Symbol" w:eastAsia="Symbol" w:hAnsi="Symbol" w:cs="Symbol" w:hint="default"/>
        <w:color w:val="14708E"/>
        <w:w w:val="100"/>
        <w:sz w:val="22"/>
        <w:szCs w:val="22"/>
      </w:rPr>
    </w:lvl>
    <w:lvl w:ilvl="2" w:tplc="2BD04494">
      <w:numFmt w:val="bullet"/>
      <w:lvlText w:val=""/>
      <w:lvlJc w:val="left"/>
      <w:pPr>
        <w:ind w:left="1387" w:hanging="358"/>
      </w:pPr>
      <w:rPr>
        <w:rFonts w:ascii="Symbol" w:eastAsia="Symbol" w:hAnsi="Symbol" w:cs="Symbol" w:hint="default"/>
        <w:color w:val="14708E"/>
        <w:w w:val="100"/>
        <w:sz w:val="22"/>
        <w:szCs w:val="22"/>
      </w:rPr>
    </w:lvl>
    <w:lvl w:ilvl="3" w:tplc="45E0F548">
      <w:numFmt w:val="bullet"/>
      <w:lvlText w:val="•"/>
      <w:lvlJc w:val="left"/>
      <w:pPr>
        <w:ind w:left="1440" w:hanging="358"/>
      </w:pPr>
      <w:rPr>
        <w:rFonts w:hint="default"/>
      </w:rPr>
    </w:lvl>
    <w:lvl w:ilvl="4" w:tplc="7A58F312">
      <w:numFmt w:val="bullet"/>
      <w:lvlText w:val="•"/>
      <w:lvlJc w:val="left"/>
      <w:pPr>
        <w:ind w:left="2568" w:hanging="358"/>
      </w:pPr>
      <w:rPr>
        <w:rFonts w:hint="default"/>
      </w:rPr>
    </w:lvl>
    <w:lvl w:ilvl="5" w:tplc="BC5EE376">
      <w:numFmt w:val="bullet"/>
      <w:lvlText w:val="•"/>
      <w:lvlJc w:val="left"/>
      <w:pPr>
        <w:ind w:left="3696" w:hanging="358"/>
      </w:pPr>
      <w:rPr>
        <w:rFonts w:hint="default"/>
      </w:rPr>
    </w:lvl>
    <w:lvl w:ilvl="6" w:tplc="CA9C42F4">
      <w:numFmt w:val="bullet"/>
      <w:lvlText w:val="•"/>
      <w:lvlJc w:val="left"/>
      <w:pPr>
        <w:ind w:left="4825" w:hanging="358"/>
      </w:pPr>
      <w:rPr>
        <w:rFonts w:hint="default"/>
      </w:rPr>
    </w:lvl>
    <w:lvl w:ilvl="7" w:tplc="0F4C5AF8">
      <w:numFmt w:val="bullet"/>
      <w:lvlText w:val="•"/>
      <w:lvlJc w:val="left"/>
      <w:pPr>
        <w:ind w:left="5953" w:hanging="358"/>
      </w:pPr>
      <w:rPr>
        <w:rFonts w:hint="default"/>
      </w:rPr>
    </w:lvl>
    <w:lvl w:ilvl="8" w:tplc="662876B8">
      <w:numFmt w:val="bullet"/>
      <w:lvlText w:val="•"/>
      <w:lvlJc w:val="left"/>
      <w:pPr>
        <w:ind w:left="7082" w:hanging="358"/>
      </w:pPr>
      <w:rPr>
        <w:rFonts w:hint="default"/>
      </w:rPr>
    </w:lvl>
  </w:abstractNum>
  <w:abstractNum w:abstractNumId="26"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05B24BE"/>
    <w:multiLevelType w:val="hybridMultilevel"/>
    <w:tmpl w:val="26F62A6E"/>
    <w:lvl w:ilvl="0" w:tplc="103E7990">
      <w:start w:val="1"/>
      <w:numFmt w:val="bullet"/>
      <w:pStyle w:val="Boxed2Text-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11337985"/>
    <w:multiLevelType w:val="hybridMultilevel"/>
    <w:tmpl w:val="73ECA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23B2779"/>
    <w:multiLevelType w:val="hybridMultilevel"/>
    <w:tmpl w:val="11007B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3960EEF"/>
    <w:multiLevelType w:val="hybridMultilevel"/>
    <w:tmpl w:val="41827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5906E0F"/>
    <w:multiLevelType w:val="multilevel"/>
    <w:tmpl w:val="0FBAB72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170A01A6"/>
    <w:multiLevelType w:val="multilevel"/>
    <w:tmpl w:val="BB4CE102"/>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17EF6E99"/>
    <w:multiLevelType w:val="multilevel"/>
    <w:tmpl w:val="C5E44D2E"/>
    <w:numStyleLink w:val="Numbers"/>
  </w:abstractNum>
  <w:abstractNum w:abstractNumId="34" w15:restartNumberingAfterBreak="0">
    <w:nsid w:val="188676F9"/>
    <w:multiLevelType w:val="multilevel"/>
    <w:tmpl w:val="6ABABAD0"/>
    <w:lvl w:ilvl="0">
      <w:start w:val="1"/>
      <w:numFmt w:val="decimal"/>
      <w:lvlText w:val="%1"/>
      <w:lvlJc w:val="left"/>
      <w:pPr>
        <w:ind w:left="1024" w:hanging="721"/>
      </w:pPr>
      <w:rPr>
        <w:rFonts w:hint="default"/>
      </w:rPr>
    </w:lvl>
    <w:lvl w:ilvl="1">
      <w:start w:val="1"/>
      <w:numFmt w:val="decimal"/>
      <w:lvlText w:val="%1.%2"/>
      <w:lvlJc w:val="left"/>
      <w:pPr>
        <w:ind w:left="304" w:hanging="721"/>
      </w:pPr>
      <w:rPr>
        <w:rFonts w:ascii="Cambria" w:eastAsia="Cambria" w:hAnsi="Cambria" w:cs="Cambria" w:hint="default"/>
        <w:w w:val="100"/>
        <w:sz w:val="22"/>
        <w:szCs w:val="22"/>
      </w:rPr>
    </w:lvl>
    <w:lvl w:ilvl="2">
      <w:numFmt w:val="bullet"/>
      <w:lvlText w:val="•"/>
      <w:lvlJc w:val="left"/>
      <w:pPr>
        <w:ind w:left="1944" w:hanging="721"/>
      </w:pPr>
      <w:rPr>
        <w:rFonts w:hint="default"/>
      </w:rPr>
    </w:lvl>
    <w:lvl w:ilvl="3">
      <w:numFmt w:val="bullet"/>
      <w:lvlText w:val="•"/>
      <w:lvlJc w:val="left"/>
      <w:pPr>
        <w:ind w:left="2868" w:hanging="721"/>
      </w:pPr>
      <w:rPr>
        <w:rFonts w:hint="default"/>
      </w:rPr>
    </w:lvl>
    <w:lvl w:ilvl="4">
      <w:numFmt w:val="bullet"/>
      <w:lvlText w:val="•"/>
      <w:lvlJc w:val="left"/>
      <w:pPr>
        <w:ind w:left="3793" w:hanging="721"/>
      </w:pPr>
      <w:rPr>
        <w:rFonts w:hint="default"/>
      </w:rPr>
    </w:lvl>
    <w:lvl w:ilvl="5">
      <w:numFmt w:val="bullet"/>
      <w:lvlText w:val="•"/>
      <w:lvlJc w:val="left"/>
      <w:pPr>
        <w:ind w:left="4717" w:hanging="721"/>
      </w:pPr>
      <w:rPr>
        <w:rFonts w:hint="default"/>
      </w:rPr>
    </w:lvl>
    <w:lvl w:ilvl="6">
      <w:numFmt w:val="bullet"/>
      <w:lvlText w:val="•"/>
      <w:lvlJc w:val="left"/>
      <w:pPr>
        <w:ind w:left="5641" w:hanging="721"/>
      </w:pPr>
      <w:rPr>
        <w:rFonts w:hint="default"/>
      </w:rPr>
    </w:lvl>
    <w:lvl w:ilvl="7">
      <w:numFmt w:val="bullet"/>
      <w:lvlText w:val="•"/>
      <w:lvlJc w:val="left"/>
      <w:pPr>
        <w:ind w:left="6566" w:hanging="721"/>
      </w:pPr>
      <w:rPr>
        <w:rFonts w:hint="default"/>
      </w:rPr>
    </w:lvl>
    <w:lvl w:ilvl="8">
      <w:numFmt w:val="bullet"/>
      <w:lvlText w:val="•"/>
      <w:lvlJc w:val="left"/>
      <w:pPr>
        <w:ind w:left="7490" w:hanging="721"/>
      </w:pPr>
      <w:rPr>
        <w:rFonts w:hint="default"/>
      </w:rPr>
    </w:lvl>
  </w:abstractNum>
  <w:abstractNum w:abstractNumId="35" w15:restartNumberingAfterBreak="0">
    <w:nsid w:val="18CB60FA"/>
    <w:multiLevelType w:val="hybridMultilevel"/>
    <w:tmpl w:val="2872155C"/>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36" w15:restartNumberingAfterBreak="0">
    <w:nsid w:val="1AAA2B37"/>
    <w:multiLevelType w:val="hybridMultilevel"/>
    <w:tmpl w:val="25AC9DF4"/>
    <w:lvl w:ilvl="0" w:tplc="0C090001">
      <w:start w:val="1"/>
      <w:numFmt w:val="bullet"/>
      <w:lvlText w:val=""/>
      <w:lvlJc w:val="left"/>
      <w:pPr>
        <w:ind w:left="4647" w:hanging="360"/>
      </w:pPr>
      <w:rPr>
        <w:rFonts w:ascii="Symbol" w:hAnsi="Symbol" w:hint="default"/>
      </w:rPr>
    </w:lvl>
    <w:lvl w:ilvl="1" w:tplc="0C090003">
      <w:start w:val="1"/>
      <w:numFmt w:val="bullet"/>
      <w:lvlText w:val="o"/>
      <w:lvlJc w:val="left"/>
      <w:pPr>
        <w:ind w:left="5367" w:hanging="360"/>
      </w:pPr>
      <w:rPr>
        <w:rFonts w:ascii="Courier New" w:hAnsi="Courier New" w:cs="Courier New" w:hint="default"/>
      </w:rPr>
    </w:lvl>
    <w:lvl w:ilvl="2" w:tplc="0C090005" w:tentative="1">
      <w:start w:val="1"/>
      <w:numFmt w:val="bullet"/>
      <w:lvlText w:val=""/>
      <w:lvlJc w:val="left"/>
      <w:pPr>
        <w:ind w:left="6087" w:hanging="360"/>
      </w:pPr>
      <w:rPr>
        <w:rFonts w:ascii="Wingdings" w:hAnsi="Wingdings" w:hint="default"/>
      </w:rPr>
    </w:lvl>
    <w:lvl w:ilvl="3" w:tplc="0C090001" w:tentative="1">
      <w:start w:val="1"/>
      <w:numFmt w:val="bullet"/>
      <w:lvlText w:val=""/>
      <w:lvlJc w:val="left"/>
      <w:pPr>
        <w:ind w:left="6807" w:hanging="360"/>
      </w:pPr>
      <w:rPr>
        <w:rFonts w:ascii="Symbol" w:hAnsi="Symbol" w:hint="default"/>
      </w:rPr>
    </w:lvl>
    <w:lvl w:ilvl="4" w:tplc="0C090003" w:tentative="1">
      <w:start w:val="1"/>
      <w:numFmt w:val="bullet"/>
      <w:lvlText w:val="o"/>
      <w:lvlJc w:val="left"/>
      <w:pPr>
        <w:ind w:left="7527" w:hanging="360"/>
      </w:pPr>
      <w:rPr>
        <w:rFonts w:ascii="Courier New" w:hAnsi="Courier New" w:cs="Courier New" w:hint="default"/>
      </w:rPr>
    </w:lvl>
    <w:lvl w:ilvl="5" w:tplc="0C090005" w:tentative="1">
      <w:start w:val="1"/>
      <w:numFmt w:val="bullet"/>
      <w:lvlText w:val=""/>
      <w:lvlJc w:val="left"/>
      <w:pPr>
        <w:ind w:left="8247" w:hanging="360"/>
      </w:pPr>
      <w:rPr>
        <w:rFonts w:ascii="Wingdings" w:hAnsi="Wingdings" w:hint="default"/>
      </w:rPr>
    </w:lvl>
    <w:lvl w:ilvl="6" w:tplc="0C090001" w:tentative="1">
      <w:start w:val="1"/>
      <w:numFmt w:val="bullet"/>
      <w:lvlText w:val=""/>
      <w:lvlJc w:val="left"/>
      <w:pPr>
        <w:ind w:left="8967" w:hanging="360"/>
      </w:pPr>
      <w:rPr>
        <w:rFonts w:ascii="Symbol" w:hAnsi="Symbol" w:hint="default"/>
      </w:rPr>
    </w:lvl>
    <w:lvl w:ilvl="7" w:tplc="0C090003" w:tentative="1">
      <w:start w:val="1"/>
      <w:numFmt w:val="bullet"/>
      <w:lvlText w:val="o"/>
      <w:lvlJc w:val="left"/>
      <w:pPr>
        <w:ind w:left="9687" w:hanging="360"/>
      </w:pPr>
      <w:rPr>
        <w:rFonts w:ascii="Courier New" w:hAnsi="Courier New" w:cs="Courier New" w:hint="default"/>
      </w:rPr>
    </w:lvl>
    <w:lvl w:ilvl="8" w:tplc="0C090005" w:tentative="1">
      <w:start w:val="1"/>
      <w:numFmt w:val="bullet"/>
      <w:lvlText w:val=""/>
      <w:lvlJc w:val="left"/>
      <w:pPr>
        <w:ind w:left="10407" w:hanging="360"/>
      </w:pPr>
      <w:rPr>
        <w:rFonts w:ascii="Wingdings" w:hAnsi="Wingdings" w:hint="default"/>
      </w:rPr>
    </w:lvl>
  </w:abstractNum>
  <w:abstractNum w:abstractNumId="37" w15:restartNumberingAfterBreak="0">
    <w:nsid w:val="1CEC323F"/>
    <w:multiLevelType w:val="hybridMultilevel"/>
    <w:tmpl w:val="AE6C1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EC350DE"/>
    <w:multiLevelType w:val="multilevel"/>
    <w:tmpl w:val="887C7146"/>
    <w:lvl w:ilvl="0">
      <w:start w:val="1"/>
      <w:numFmt w:val="decimal"/>
      <w:pStyle w:val="OutlineNumbered1"/>
      <w:lvlText w:val="%1."/>
      <w:lvlJc w:val="left"/>
      <w:pPr>
        <w:tabs>
          <w:tab w:val="num" w:pos="425"/>
        </w:tabs>
        <w:ind w:left="425" w:hanging="425"/>
      </w:pPr>
    </w:lvl>
    <w:lvl w:ilvl="1">
      <w:start w:val="1"/>
      <w:numFmt w:val="decimal"/>
      <w:pStyle w:val="OutlineNumbered2"/>
      <w:lvlText w:val="%1.%2."/>
      <w:lvlJc w:val="left"/>
      <w:pPr>
        <w:tabs>
          <w:tab w:val="num" w:pos="850"/>
        </w:tabs>
        <w:ind w:left="850" w:hanging="425"/>
      </w:pPr>
    </w:lvl>
    <w:lvl w:ilvl="2">
      <w:start w:val="1"/>
      <w:numFmt w:val="decimal"/>
      <w:pStyle w:val="OutlineNumbered3"/>
      <w:lvlText w:val="%1.%2.%3."/>
      <w:lvlJc w:val="left"/>
      <w:pPr>
        <w:tabs>
          <w:tab w:val="num" w:pos="1275"/>
        </w:tabs>
        <w:ind w:left="1275"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205643EC"/>
    <w:multiLevelType w:val="hybridMultilevel"/>
    <w:tmpl w:val="FE06DD08"/>
    <w:lvl w:ilvl="0" w:tplc="0C090001">
      <w:start w:val="1"/>
      <w:numFmt w:val="bullet"/>
      <w:lvlText w:val=""/>
      <w:lvlJc w:val="left"/>
      <w:pPr>
        <w:ind w:left="816" w:hanging="360"/>
      </w:pPr>
      <w:rPr>
        <w:rFonts w:ascii="Symbol" w:hAnsi="Symbol" w:hint="default"/>
      </w:rPr>
    </w:lvl>
    <w:lvl w:ilvl="1" w:tplc="0C090003">
      <w:start w:val="1"/>
      <w:numFmt w:val="bullet"/>
      <w:lvlText w:val="o"/>
      <w:lvlJc w:val="left"/>
      <w:pPr>
        <w:ind w:left="1536" w:hanging="360"/>
      </w:pPr>
      <w:rPr>
        <w:rFonts w:ascii="Courier New" w:hAnsi="Courier New" w:cs="Courier New" w:hint="default"/>
      </w:rPr>
    </w:lvl>
    <w:lvl w:ilvl="2" w:tplc="0C090005">
      <w:start w:val="1"/>
      <w:numFmt w:val="bullet"/>
      <w:lvlText w:val=""/>
      <w:lvlJc w:val="left"/>
      <w:pPr>
        <w:ind w:left="2256" w:hanging="360"/>
      </w:pPr>
      <w:rPr>
        <w:rFonts w:ascii="Wingdings" w:hAnsi="Wingdings" w:hint="default"/>
      </w:rPr>
    </w:lvl>
    <w:lvl w:ilvl="3" w:tplc="4558D75E">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0" w15:restartNumberingAfterBreak="0">
    <w:nsid w:val="230812EB"/>
    <w:multiLevelType w:val="hybridMultilevel"/>
    <w:tmpl w:val="D8BEA89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1" w15:restartNumberingAfterBreak="0">
    <w:nsid w:val="237743A4"/>
    <w:multiLevelType w:val="hybridMultilevel"/>
    <w:tmpl w:val="4AE245B2"/>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23C91B62"/>
    <w:multiLevelType w:val="hybridMultilevel"/>
    <w:tmpl w:val="7B5ACC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4F87310"/>
    <w:multiLevelType w:val="hybridMultilevel"/>
    <w:tmpl w:val="C20E293E"/>
    <w:lvl w:ilvl="0" w:tplc="B2D04646">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6776BDC"/>
    <w:multiLevelType w:val="hybridMultilevel"/>
    <w:tmpl w:val="FCF637FE"/>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7A47565"/>
    <w:multiLevelType w:val="hybridMultilevel"/>
    <w:tmpl w:val="AB0A4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94214C9"/>
    <w:multiLevelType w:val="multilevel"/>
    <w:tmpl w:val="15BC10E0"/>
    <w:styleLink w:val="Bullets"/>
    <w:lvl w:ilvl="0">
      <w:start w:val="1"/>
      <w:numFmt w:val="bullet"/>
      <w:lvlText w:val="•"/>
      <w:lvlJc w:val="left"/>
      <w:pPr>
        <w:tabs>
          <w:tab w:val="num" w:pos="284"/>
        </w:tabs>
        <w:ind w:left="284" w:hanging="284"/>
      </w:pPr>
      <w:rPr>
        <w:rFonts w:ascii="Cambria" w:hAnsi="Cambria" w:hint="default"/>
        <w:color w:val="5BC6E8"/>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8" w15:restartNumberingAfterBreak="0">
    <w:nsid w:val="2B8246E6"/>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B9B159F"/>
    <w:multiLevelType w:val="multilevel"/>
    <w:tmpl w:val="82BCD7F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529"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2DC803A7"/>
    <w:multiLevelType w:val="hybridMultilevel"/>
    <w:tmpl w:val="81284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2DFE327B"/>
    <w:multiLevelType w:val="hybridMultilevel"/>
    <w:tmpl w:val="4F88A1B8"/>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E25035F"/>
    <w:multiLevelType w:val="hybridMultilevel"/>
    <w:tmpl w:val="E654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E647757"/>
    <w:multiLevelType w:val="hybridMultilevel"/>
    <w:tmpl w:val="44FC0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F406BB9"/>
    <w:multiLevelType w:val="hybridMultilevel"/>
    <w:tmpl w:val="CCAC7BAC"/>
    <w:lvl w:ilvl="0" w:tplc="D82A5460">
      <w:start w:val="1"/>
      <w:numFmt w:val="bullet"/>
      <w:pStyle w:val="Reports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F440B3C"/>
    <w:multiLevelType w:val="multilevel"/>
    <w:tmpl w:val="878C6CD0"/>
    <w:lvl w:ilvl="0">
      <w:start w:val="1"/>
      <w:numFmt w:val="decimal"/>
      <w:lvlText w:val="%1."/>
      <w:lvlJc w:val="left"/>
      <w:pPr>
        <w:ind w:left="720" w:hanging="720"/>
      </w:pPr>
      <w:rPr>
        <w:rFonts w:hint="default"/>
        <w:color w:val="005A77"/>
        <w:sz w:val="48"/>
        <w:szCs w:val="48"/>
      </w:rPr>
    </w:lvl>
    <w:lvl w:ilvl="1">
      <w:start w:val="1"/>
      <w:numFmt w:val="decimal"/>
      <w:isLgl/>
      <w:lvlText w:val="%1.%2"/>
      <w:lvlJc w:val="left"/>
      <w:pPr>
        <w:ind w:left="9226" w:hanging="720"/>
      </w:pPr>
      <w:rPr>
        <w:rFonts w:hint="default"/>
        <w:sz w:val="36"/>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56" w15:restartNumberingAfterBreak="0">
    <w:nsid w:val="2F85342A"/>
    <w:multiLevelType w:val="hybridMultilevel"/>
    <w:tmpl w:val="E6D88E10"/>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300569AE"/>
    <w:multiLevelType w:val="multilevel"/>
    <w:tmpl w:val="93D4D7E8"/>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8" w15:restartNumberingAfterBreak="0">
    <w:nsid w:val="3058571A"/>
    <w:multiLevelType w:val="hybridMultilevel"/>
    <w:tmpl w:val="7EB087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0CF259A"/>
    <w:multiLevelType w:val="hybridMultilevel"/>
    <w:tmpl w:val="88DC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31C51D87"/>
    <w:multiLevelType w:val="hybridMultilevel"/>
    <w:tmpl w:val="11A08FBE"/>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36092995"/>
    <w:multiLevelType w:val="hybridMultilevel"/>
    <w:tmpl w:val="2AC07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BCA7F5C"/>
    <w:multiLevelType w:val="multilevel"/>
    <w:tmpl w:val="80A851DA"/>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3" w15:restartNumberingAfterBreak="0">
    <w:nsid w:val="3F55604F"/>
    <w:multiLevelType w:val="multilevel"/>
    <w:tmpl w:val="D45C4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019337A"/>
    <w:multiLevelType w:val="multilevel"/>
    <w:tmpl w:val="C5E44D2E"/>
    <w:numStyleLink w:val="Numbers"/>
  </w:abstractNum>
  <w:abstractNum w:abstractNumId="65" w15:restartNumberingAfterBreak="0">
    <w:nsid w:val="40787B0F"/>
    <w:multiLevelType w:val="hybridMultilevel"/>
    <w:tmpl w:val="66F2A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0E603B8"/>
    <w:multiLevelType w:val="hybridMultilevel"/>
    <w:tmpl w:val="D1A68E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42DD537E"/>
    <w:multiLevelType w:val="multilevel"/>
    <w:tmpl w:val="C5E44D2E"/>
    <w:numStyleLink w:val="Numbers"/>
  </w:abstractNum>
  <w:abstractNum w:abstractNumId="68" w15:restartNumberingAfterBreak="0">
    <w:nsid w:val="43FB49B7"/>
    <w:multiLevelType w:val="singleLevel"/>
    <w:tmpl w:val="9EDE5682"/>
    <w:name w:val="Alpha Paragraph"/>
    <w:lvl w:ilvl="0">
      <w:start w:val="1"/>
      <w:numFmt w:val="lowerLetter"/>
      <w:lvlRestart w:val="0"/>
      <w:lvlText w:val="(%1)"/>
      <w:lvlJc w:val="left"/>
      <w:pPr>
        <w:tabs>
          <w:tab w:val="num" w:pos="567"/>
        </w:tabs>
        <w:ind w:left="567" w:hanging="567"/>
      </w:pPr>
      <w:rPr>
        <w:b w:val="0"/>
        <w:i w:val="0"/>
        <w:color w:val="000000"/>
      </w:rPr>
    </w:lvl>
  </w:abstractNum>
  <w:abstractNum w:abstractNumId="69" w15:restartNumberingAfterBreak="0">
    <w:nsid w:val="45121419"/>
    <w:multiLevelType w:val="hybridMultilevel"/>
    <w:tmpl w:val="7576973E"/>
    <w:lvl w:ilvl="0" w:tplc="0C090001">
      <w:start w:val="1"/>
      <w:numFmt w:val="bullet"/>
      <w:lvlText w:val=""/>
      <w:lvlJc w:val="left"/>
      <w:pPr>
        <w:ind w:left="816" w:hanging="360"/>
      </w:pPr>
      <w:rPr>
        <w:rFonts w:ascii="Symbol" w:hAnsi="Symbo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0" w15:restartNumberingAfterBreak="0">
    <w:nsid w:val="45545F34"/>
    <w:multiLevelType w:val="hybridMultilevel"/>
    <w:tmpl w:val="26CCC948"/>
    <w:lvl w:ilvl="0" w:tplc="7DF6C4AA">
      <w:start w:val="1"/>
      <w:numFmt w:val="bullet"/>
      <w:lvlText w:val="–"/>
      <w:lvlJc w:val="left"/>
      <w:pPr>
        <w:ind w:left="720" w:hanging="360"/>
      </w:pPr>
      <w:rPr>
        <w:rFonts w:ascii="Arial" w:eastAsia="Arial" w:hAnsi="Arial" w:hint="default"/>
        <w:w w:val="100"/>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467072FB"/>
    <w:multiLevelType w:val="hybridMultilevel"/>
    <w:tmpl w:val="3BEC49B0"/>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47B36A90"/>
    <w:multiLevelType w:val="hybridMultilevel"/>
    <w:tmpl w:val="AC524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95F18D6"/>
    <w:multiLevelType w:val="hybridMultilevel"/>
    <w:tmpl w:val="EC5E7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9D52CA8"/>
    <w:multiLevelType w:val="hybridMultilevel"/>
    <w:tmpl w:val="A52C16DC"/>
    <w:lvl w:ilvl="0" w:tplc="7FAAFEE4">
      <w:start w:val="1"/>
      <w:numFmt w:val="bullet"/>
      <w:lvlText w:val="–"/>
      <w:lvlJc w:val="left"/>
      <w:pPr>
        <w:ind w:left="816" w:hanging="360"/>
      </w:pPr>
      <w:rPr>
        <w:rFonts w:ascii="Arial" w:eastAsia="Arial" w:hAnsi="Aria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5" w15:restartNumberingAfterBreak="0">
    <w:nsid w:val="4BCC1AB9"/>
    <w:multiLevelType w:val="hybridMultilevel"/>
    <w:tmpl w:val="B59A47C6"/>
    <w:lvl w:ilvl="0" w:tplc="FD0A00A8">
      <w:start w:val="3"/>
      <w:numFmt w:val="bullet"/>
      <w:lvlText w:val="-"/>
      <w:lvlJc w:val="left"/>
      <w:pPr>
        <w:ind w:left="1080" w:hanging="360"/>
      </w:pPr>
      <w:rPr>
        <w:rFonts w:ascii="Arial" w:eastAsia="Cambr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4C97124E"/>
    <w:multiLevelType w:val="hybridMultilevel"/>
    <w:tmpl w:val="AB964362"/>
    <w:lvl w:ilvl="0" w:tplc="84727AC4">
      <w:start w:val="1"/>
      <w:numFmt w:val="bullet"/>
      <w:pStyle w:val="TableText-Normal-DotPoint"/>
      <w:lvlText w:val=""/>
      <w:lvlJc w:val="left"/>
      <w:pPr>
        <w:ind w:left="490" w:hanging="360"/>
      </w:pPr>
      <w:rPr>
        <w:rFonts w:ascii="Symbol" w:hAnsi="Symbol" w:hint="default"/>
      </w:rPr>
    </w:lvl>
    <w:lvl w:ilvl="1" w:tplc="0C090003" w:tentative="1">
      <w:start w:val="1"/>
      <w:numFmt w:val="bullet"/>
      <w:lvlText w:val="o"/>
      <w:lvlJc w:val="left"/>
      <w:pPr>
        <w:ind w:left="1210" w:hanging="360"/>
      </w:pPr>
      <w:rPr>
        <w:rFonts w:ascii="Courier New" w:hAnsi="Courier New" w:cs="Courier New" w:hint="default"/>
      </w:rPr>
    </w:lvl>
    <w:lvl w:ilvl="2" w:tplc="0C090005" w:tentative="1">
      <w:start w:val="1"/>
      <w:numFmt w:val="bullet"/>
      <w:lvlText w:val=""/>
      <w:lvlJc w:val="left"/>
      <w:pPr>
        <w:ind w:left="1930" w:hanging="360"/>
      </w:pPr>
      <w:rPr>
        <w:rFonts w:ascii="Wingdings" w:hAnsi="Wingdings" w:hint="default"/>
      </w:rPr>
    </w:lvl>
    <w:lvl w:ilvl="3" w:tplc="0C090001" w:tentative="1">
      <w:start w:val="1"/>
      <w:numFmt w:val="bullet"/>
      <w:lvlText w:val=""/>
      <w:lvlJc w:val="left"/>
      <w:pPr>
        <w:ind w:left="2650" w:hanging="360"/>
      </w:pPr>
      <w:rPr>
        <w:rFonts w:ascii="Symbol" w:hAnsi="Symbol" w:hint="default"/>
      </w:rPr>
    </w:lvl>
    <w:lvl w:ilvl="4" w:tplc="0C090003" w:tentative="1">
      <w:start w:val="1"/>
      <w:numFmt w:val="bullet"/>
      <w:lvlText w:val="o"/>
      <w:lvlJc w:val="left"/>
      <w:pPr>
        <w:ind w:left="3370" w:hanging="360"/>
      </w:pPr>
      <w:rPr>
        <w:rFonts w:ascii="Courier New" w:hAnsi="Courier New" w:cs="Courier New" w:hint="default"/>
      </w:rPr>
    </w:lvl>
    <w:lvl w:ilvl="5" w:tplc="0C090005" w:tentative="1">
      <w:start w:val="1"/>
      <w:numFmt w:val="bullet"/>
      <w:lvlText w:val=""/>
      <w:lvlJc w:val="left"/>
      <w:pPr>
        <w:ind w:left="4090" w:hanging="360"/>
      </w:pPr>
      <w:rPr>
        <w:rFonts w:ascii="Wingdings" w:hAnsi="Wingdings" w:hint="default"/>
      </w:rPr>
    </w:lvl>
    <w:lvl w:ilvl="6" w:tplc="0C090001" w:tentative="1">
      <w:start w:val="1"/>
      <w:numFmt w:val="bullet"/>
      <w:lvlText w:val=""/>
      <w:lvlJc w:val="left"/>
      <w:pPr>
        <w:ind w:left="4810" w:hanging="360"/>
      </w:pPr>
      <w:rPr>
        <w:rFonts w:ascii="Symbol" w:hAnsi="Symbol" w:hint="default"/>
      </w:rPr>
    </w:lvl>
    <w:lvl w:ilvl="7" w:tplc="0C090003" w:tentative="1">
      <w:start w:val="1"/>
      <w:numFmt w:val="bullet"/>
      <w:lvlText w:val="o"/>
      <w:lvlJc w:val="left"/>
      <w:pPr>
        <w:ind w:left="5530" w:hanging="360"/>
      </w:pPr>
      <w:rPr>
        <w:rFonts w:ascii="Courier New" w:hAnsi="Courier New" w:cs="Courier New" w:hint="default"/>
      </w:rPr>
    </w:lvl>
    <w:lvl w:ilvl="8" w:tplc="0C090005" w:tentative="1">
      <w:start w:val="1"/>
      <w:numFmt w:val="bullet"/>
      <w:lvlText w:val=""/>
      <w:lvlJc w:val="left"/>
      <w:pPr>
        <w:ind w:left="6250" w:hanging="360"/>
      </w:pPr>
      <w:rPr>
        <w:rFonts w:ascii="Wingdings" w:hAnsi="Wingdings" w:hint="default"/>
      </w:rPr>
    </w:lvl>
  </w:abstractNum>
  <w:abstractNum w:abstractNumId="77" w15:restartNumberingAfterBreak="0">
    <w:nsid w:val="4D27258B"/>
    <w:multiLevelType w:val="hybridMultilevel"/>
    <w:tmpl w:val="E6E45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DED393F"/>
    <w:multiLevelType w:val="hybridMultilevel"/>
    <w:tmpl w:val="760C43A6"/>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4F1523F7"/>
    <w:multiLevelType w:val="multilevel"/>
    <w:tmpl w:val="C5E44D2E"/>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80" w15:restartNumberingAfterBreak="0">
    <w:nsid w:val="52320A56"/>
    <w:multiLevelType w:val="hybridMultilevel"/>
    <w:tmpl w:val="4DF2B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2E60DCF"/>
    <w:multiLevelType w:val="multilevel"/>
    <w:tmpl w:val="FD5AFA9C"/>
    <w:lvl w:ilvl="0">
      <w:start w:val="1"/>
      <w:numFmt w:val="decimal"/>
      <w:lvlText w:val="%1."/>
      <w:lvlJc w:val="left"/>
      <w:pPr>
        <w:ind w:left="360" w:hanging="360"/>
      </w:pPr>
      <w:rPr>
        <w:rFonts w:hint="default"/>
        <w:color w:val="005A77"/>
        <w:sz w:val="48"/>
        <w:szCs w:val="4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3871F66"/>
    <w:multiLevelType w:val="hybridMultilevel"/>
    <w:tmpl w:val="88549D4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54BD1F72"/>
    <w:multiLevelType w:val="hybridMultilevel"/>
    <w:tmpl w:val="13E20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562105CF"/>
    <w:multiLevelType w:val="hybridMultilevel"/>
    <w:tmpl w:val="2EF273DA"/>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566A726B"/>
    <w:multiLevelType w:val="multilevel"/>
    <w:tmpl w:val="93D4D7E8"/>
    <w:lvl w:ilvl="0">
      <w:start w:val="1"/>
      <w:numFmt w:val="decimal"/>
      <w:lvlText w:val="%1."/>
      <w:lvlJc w:val="left"/>
      <w:pPr>
        <w:ind w:left="284" w:hanging="284"/>
      </w:pPr>
      <w:rPr>
        <w:rFonts w:hint="default"/>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6" w15:restartNumberingAfterBreak="0">
    <w:nsid w:val="56A0751B"/>
    <w:multiLevelType w:val="hybridMultilevel"/>
    <w:tmpl w:val="A574D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6BC2D5C"/>
    <w:multiLevelType w:val="hybridMultilevel"/>
    <w:tmpl w:val="C1928B5C"/>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58F87BB6"/>
    <w:multiLevelType w:val="hybridMultilevel"/>
    <w:tmpl w:val="808E2EEC"/>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0" w15:restartNumberingAfterBreak="0">
    <w:nsid w:val="59765A6B"/>
    <w:multiLevelType w:val="hybridMultilevel"/>
    <w:tmpl w:val="2E18B0B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91" w15:restartNumberingAfterBreak="0">
    <w:nsid w:val="5B29014B"/>
    <w:multiLevelType w:val="hybridMultilevel"/>
    <w:tmpl w:val="C1CADDE4"/>
    <w:lvl w:ilvl="0" w:tplc="5FBAD848">
      <w:start w:val="2"/>
      <w:numFmt w:val="upperLetter"/>
      <w:lvlText w:val="(%1)"/>
      <w:lvlJc w:val="left"/>
      <w:pPr>
        <w:ind w:left="1384" w:hanging="360"/>
      </w:pPr>
      <w:rPr>
        <w:rFonts w:hint="default"/>
      </w:rPr>
    </w:lvl>
    <w:lvl w:ilvl="1" w:tplc="0C090019" w:tentative="1">
      <w:start w:val="1"/>
      <w:numFmt w:val="lowerLetter"/>
      <w:lvlText w:val="%2."/>
      <w:lvlJc w:val="left"/>
      <w:pPr>
        <w:ind w:left="2104" w:hanging="360"/>
      </w:pPr>
    </w:lvl>
    <w:lvl w:ilvl="2" w:tplc="0C09001B" w:tentative="1">
      <w:start w:val="1"/>
      <w:numFmt w:val="lowerRoman"/>
      <w:lvlText w:val="%3."/>
      <w:lvlJc w:val="right"/>
      <w:pPr>
        <w:ind w:left="2824" w:hanging="180"/>
      </w:pPr>
    </w:lvl>
    <w:lvl w:ilvl="3" w:tplc="0C09000F" w:tentative="1">
      <w:start w:val="1"/>
      <w:numFmt w:val="decimal"/>
      <w:lvlText w:val="%4."/>
      <w:lvlJc w:val="left"/>
      <w:pPr>
        <w:ind w:left="3544" w:hanging="360"/>
      </w:pPr>
    </w:lvl>
    <w:lvl w:ilvl="4" w:tplc="0C090019" w:tentative="1">
      <w:start w:val="1"/>
      <w:numFmt w:val="lowerLetter"/>
      <w:lvlText w:val="%5."/>
      <w:lvlJc w:val="left"/>
      <w:pPr>
        <w:ind w:left="4264" w:hanging="360"/>
      </w:pPr>
    </w:lvl>
    <w:lvl w:ilvl="5" w:tplc="0C09001B" w:tentative="1">
      <w:start w:val="1"/>
      <w:numFmt w:val="lowerRoman"/>
      <w:lvlText w:val="%6."/>
      <w:lvlJc w:val="right"/>
      <w:pPr>
        <w:ind w:left="4984" w:hanging="180"/>
      </w:pPr>
    </w:lvl>
    <w:lvl w:ilvl="6" w:tplc="0C09000F" w:tentative="1">
      <w:start w:val="1"/>
      <w:numFmt w:val="decimal"/>
      <w:lvlText w:val="%7."/>
      <w:lvlJc w:val="left"/>
      <w:pPr>
        <w:ind w:left="5704" w:hanging="360"/>
      </w:pPr>
    </w:lvl>
    <w:lvl w:ilvl="7" w:tplc="0C090019" w:tentative="1">
      <w:start w:val="1"/>
      <w:numFmt w:val="lowerLetter"/>
      <w:lvlText w:val="%8."/>
      <w:lvlJc w:val="left"/>
      <w:pPr>
        <w:ind w:left="6424" w:hanging="360"/>
      </w:pPr>
    </w:lvl>
    <w:lvl w:ilvl="8" w:tplc="0C09001B" w:tentative="1">
      <w:start w:val="1"/>
      <w:numFmt w:val="lowerRoman"/>
      <w:lvlText w:val="%9."/>
      <w:lvlJc w:val="right"/>
      <w:pPr>
        <w:ind w:left="7144" w:hanging="180"/>
      </w:pPr>
    </w:lvl>
  </w:abstractNum>
  <w:abstractNum w:abstractNumId="92" w15:restartNumberingAfterBreak="0">
    <w:nsid w:val="5BA053F2"/>
    <w:multiLevelType w:val="hybridMultilevel"/>
    <w:tmpl w:val="B3B46F80"/>
    <w:lvl w:ilvl="0" w:tplc="DD50C990">
      <w:start w:val="1"/>
      <w:numFmt w:val="bullet"/>
      <w:pStyle w:val="TableTex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BF51BB2"/>
    <w:multiLevelType w:val="hybridMultilevel"/>
    <w:tmpl w:val="AA3E79FA"/>
    <w:lvl w:ilvl="0" w:tplc="A04ABCAE">
      <w:start w:val="1"/>
      <w:numFmt w:val="bullet"/>
      <w:lvlText w:val=""/>
      <w:lvlJc w:val="left"/>
      <w:pPr>
        <w:ind w:left="720" w:hanging="360"/>
      </w:pPr>
      <w:rPr>
        <w:rFonts w:ascii="Wingdings" w:hAnsi="Wingdings" w:hint="default"/>
      </w:rPr>
    </w:lvl>
    <w:lvl w:ilvl="1" w:tplc="C7B62DB4">
      <w:start w:val="1"/>
      <w:numFmt w:val="bullet"/>
      <w:pStyle w:val="Bullet3"/>
      <w:lvlText w:val="–"/>
      <w:lvlJc w:val="left"/>
      <w:pPr>
        <w:ind w:left="1440" w:hanging="360"/>
      </w:pPr>
      <w:rPr>
        <w:rFonts w:ascii="Arial" w:eastAsia="Arial" w:hAnsi="Arial" w:hint="default"/>
        <w:w w:val="100"/>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5" w15:restartNumberingAfterBreak="0">
    <w:nsid w:val="5E6874D5"/>
    <w:multiLevelType w:val="hybridMultilevel"/>
    <w:tmpl w:val="4592749A"/>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5FB97BCA"/>
    <w:multiLevelType w:val="multilevel"/>
    <w:tmpl w:val="402AEC22"/>
    <w:lvl w:ilvl="0">
      <w:start w:val="1"/>
      <w:numFmt w:val="decimal"/>
      <w:lvlText w:val="%1."/>
      <w:lvlJc w:val="left"/>
      <w:pPr>
        <w:ind w:left="284" w:hanging="284"/>
      </w:pPr>
      <w:rPr>
        <w:rFonts w:hint="default"/>
      </w:rPr>
    </w:lvl>
    <w:lvl w:ilvl="1">
      <w:start w:val="1"/>
      <w:numFmt w:val="decimal"/>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7" w15:restartNumberingAfterBreak="0">
    <w:nsid w:val="64A43A37"/>
    <w:multiLevelType w:val="hybridMultilevel"/>
    <w:tmpl w:val="FD86AB96"/>
    <w:lvl w:ilvl="0" w:tplc="7FAAFEE4">
      <w:start w:val="1"/>
      <w:numFmt w:val="bullet"/>
      <w:lvlText w:val="–"/>
      <w:lvlJc w:val="left"/>
      <w:pPr>
        <w:ind w:left="816" w:hanging="360"/>
      </w:pPr>
      <w:rPr>
        <w:rFonts w:ascii="Arial" w:eastAsia="Arial" w:hAnsi="Aria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98" w15:restartNumberingAfterBreak="0">
    <w:nsid w:val="659302CF"/>
    <w:multiLevelType w:val="multilevel"/>
    <w:tmpl w:val="C5E44D2E"/>
    <w:numStyleLink w:val="Numbers"/>
  </w:abstractNum>
  <w:abstractNum w:abstractNumId="99" w15:restartNumberingAfterBreak="0">
    <w:nsid w:val="66AE754E"/>
    <w:multiLevelType w:val="hybridMultilevel"/>
    <w:tmpl w:val="AF665F9C"/>
    <w:lvl w:ilvl="0" w:tplc="6310D1F0">
      <w:start w:val="1"/>
      <w:numFmt w:val="bullet"/>
      <w:pStyle w:val="Bullet2"/>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66C610B0"/>
    <w:multiLevelType w:val="hybridMultilevel"/>
    <w:tmpl w:val="A3684D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79D4805"/>
    <w:multiLevelType w:val="hybridMultilevel"/>
    <w:tmpl w:val="44304AD6"/>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102" w15:restartNumberingAfterBreak="0">
    <w:nsid w:val="688E5B45"/>
    <w:multiLevelType w:val="hybridMultilevel"/>
    <w:tmpl w:val="C7C21240"/>
    <w:lvl w:ilvl="0" w:tplc="5A980F64">
      <w:start w:val="1"/>
      <w:numFmt w:val="lowerLetter"/>
      <w:lvlText w:val="(%1)"/>
      <w:lvlJc w:val="left"/>
      <w:pPr>
        <w:ind w:left="456" w:hanging="360"/>
      </w:pPr>
      <w:rPr>
        <w:rFonts w:hint="default"/>
      </w:rPr>
    </w:lvl>
    <w:lvl w:ilvl="1" w:tplc="0C090019" w:tentative="1">
      <w:start w:val="1"/>
      <w:numFmt w:val="lowerLetter"/>
      <w:lvlText w:val="%2."/>
      <w:lvlJc w:val="left"/>
      <w:pPr>
        <w:ind w:left="1176" w:hanging="360"/>
      </w:pPr>
    </w:lvl>
    <w:lvl w:ilvl="2" w:tplc="0C09001B" w:tentative="1">
      <w:start w:val="1"/>
      <w:numFmt w:val="lowerRoman"/>
      <w:lvlText w:val="%3."/>
      <w:lvlJc w:val="right"/>
      <w:pPr>
        <w:ind w:left="1896" w:hanging="180"/>
      </w:pPr>
    </w:lvl>
    <w:lvl w:ilvl="3" w:tplc="0C09000F" w:tentative="1">
      <w:start w:val="1"/>
      <w:numFmt w:val="decimal"/>
      <w:lvlText w:val="%4."/>
      <w:lvlJc w:val="left"/>
      <w:pPr>
        <w:ind w:left="2616" w:hanging="360"/>
      </w:pPr>
    </w:lvl>
    <w:lvl w:ilvl="4" w:tplc="0C090019" w:tentative="1">
      <w:start w:val="1"/>
      <w:numFmt w:val="lowerLetter"/>
      <w:lvlText w:val="%5."/>
      <w:lvlJc w:val="left"/>
      <w:pPr>
        <w:ind w:left="3336" w:hanging="360"/>
      </w:pPr>
    </w:lvl>
    <w:lvl w:ilvl="5" w:tplc="0C09001B" w:tentative="1">
      <w:start w:val="1"/>
      <w:numFmt w:val="lowerRoman"/>
      <w:lvlText w:val="%6."/>
      <w:lvlJc w:val="right"/>
      <w:pPr>
        <w:ind w:left="4056" w:hanging="180"/>
      </w:pPr>
    </w:lvl>
    <w:lvl w:ilvl="6" w:tplc="0C09000F" w:tentative="1">
      <w:start w:val="1"/>
      <w:numFmt w:val="decimal"/>
      <w:lvlText w:val="%7."/>
      <w:lvlJc w:val="left"/>
      <w:pPr>
        <w:ind w:left="4776" w:hanging="360"/>
      </w:pPr>
    </w:lvl>
    <w:lvl w:ilvl="7" w:tplc="0C090019" w:tentative="1">
      <w:start w:val="1"/>
      <w:numFmt w:val="lowerLetter"/>
      <w:lvlText w:val="%8."/>
      <w:lvlJc w:val="left"/>
      <w:pPr>
        <w:ind w:left="5496" w:hanging="360"/>
      </w:pPr>
    </w:lvl>
    <w:lvl w:ilvl="8" w:tplc="0C09001B" w:tentative="1">
      <w:start w:val="1"/>
      <w:numFmt w:val="lowerRoman"/>
      <w:lvlText w:val="%9."/>
      <w:lvlJc w:val="right"/>
      <w:pPr>
        <w:ind w:left="6216" w:hanging="180"/>
      </w:pPr>
    </w:lvl>
  </w:abstractNum>
  <w:abstractNum w:abstractNumId="103" w15:restartNumberingAfterBreak="0">
    <w:nsid w:val="691B6B7E"/>
    <w:multiLevelType w:val="multilevel"/>
    <w:tmpl w:val="8D8CC79E"/>
    <w:lvl w:ilvl="0">
      <w:start w:val="1"/>
      <w:numFmt w:val="decimal"/>
      <w:lvlText w:val="%1."/>
      <w:lvlJc w:val="left"/>
      <w:pPr>
        <w:ind w:left="871" w:hanging="567"/>
      </w:pPr>
      <w:rPr>
        <w:rFonts w:ascii="Arial" w:eastAsia="Arial" w:hAnsi="Arial" w:cs="Arial" w:hint="default"/>
        <w:color w:val="005A77"/>
        <w:spacing w:val="-11"/>
        <w:w w:val="100"/>
        <w:sz w:val="48"/>
        <w:szCs w:val="48"/>
      </w:rPr>
    </w:lvl>
    <w:lvl w:ilvl="1">
      <w:start w:val="1"/>
      <w:numFmt w:val="decimal"/>
      <w:lvlText w:val="%1.%2"/>
      <w:lvlJc w:val="left"/>
      <w:pPr>
        <w:ind w:left="1041" w:hanging="737"/>
      </w:pPr>
      <w:rPr>
        <w:rFonts w:hint="default"/>
        <w:b/>
        <w:bCs/>
        <w:spacing w:val="-8"/>
        <w:w w:val="99"/>
      </w:rPr>
    </w:lvl>
    <w:lvl w:ilvl="2">
      <w:numFmt w:val="bullet"/>
      <w:lvlText w:val=""/>
      <w:lvlJc w:val="left"/>
      <w:pPr>
        <w:ind w:left="1024" w:hanging="737"/>
      </w:pPr>
      <w:rPr>
        <w:rFonts w:ascii="Symbol" w:eastAsia="Symbol" w:hAnsi="Symbol" w:cs="Symbol" w:hint="default"/>
        <w:w w:val="100"/>
        <w:sz w:val="22"/>
        <w:szCs w:val="22"/>
      </w:rPr>
    </w:lvl>
    <w:lvl w:ilvl="3">
      <w:numFmt w:val="bullet"/>
      <w:lvlText w:val="•"/>
      <w:lvlJc w:val="left"/>
      <w:pPr>
        <w:ind w:left="2077" w:hanging="737"/>
      </w:pPr>
      <w:rPr>
        <w:rFonts w:hint="default"/>
      </w:rPr>
    </w:lvl>
    <w:lvl w:ilvl="4">
      <w:numFmt w:val="bullet"/>
      <w:lvlText w:val="•"/>
      <w:lvlJc w:val="left"/>
      <w:pPr>
        <w:ind w:left="3114" w:hanging="737"/>
      </w:pPr>
      <w:rPr>
        <w:rFonts w:hint="default"/>
      </w:rPr>
    </w:lvl>
    <w:lvl w:ilvl="5">
      <w:numFmt w:val="bullet"/>
      <w:lvlText w:val="•"/>
      <w:lvlJc w:val="left"/>
      <w:pPr>
        <w:ind w:left="4152" w:hanging="737"/>
      </w:pPr>
      <w:rPr>
        <w:rFonts w:hint="default"/>
      </w:rPr>
    </w:lvl>
    <w:lvl w:ilvl="6">
      <w:numFmt w:val="bullet"/>
      <w:lvlText w:val="•"/>
      <w:lvlJc w:val="left"/>
      <w:pPr>
        <w:ind w:left="5189" w:hanging="737"/>
      </w:pPr>
      <w:rPr>
        <w:rFonts w:hint="default"/>
      </w:rPr>
    </w:lvl>
    <w:lvl w:ilvl="7">
      <w:numFmt w:val="bullet"/>
      <w:lvlText w:val="•"/>
      <w:lvlJc w:val="left"/>
      <w:pPr>
        <w:ind w:left="6227" w:hanging="737"/>
      </w:pPr>
      <w:rPr>
        <w:rFonts w:hint="default"/>
      </w:rPr>
    </w:lvl>
    <w:lvl w:ilvl="8">
      <w:numFmt w:val="bullet"/>
      <w:lvlText w:val="•"/>
      <w:lvlJc w:val="left"/>
      <w:pPr>
        <w:ind w:left="7264" w:hanging="737"/>
      </w:pPr>
      <w:rPr>
        <w:rFonts w:hint="default"/>
      </w:rPr>
    </w:lvl>
  </w:abstractNum>
  <w:abstractNum w:abstractNumId="104" w15:restartNumberingAfterBreak="0">
    <w:nsid w:val="6AAA3F72"/>
    <w:multiLevelType w:val="hybridMultilevel"/>
    <w:tmpl w:val="8A4C2324"/>
    <w:lvl w:ilvl="0" w:tplc="0C090001">
      <w:start w:val="1"/>
      <w:numFmt w:val="bullet"/>
      <w:lvlText w:val=""/>
      <w:lvlJc w:val="left"/>
      <w:pPr>
        <w:ind w:left="816" w:hanging="360"/>
      </w:pPr>
      <w:rPr>
        <w:rFonts w:ascii="Symbol" w:hAnsi="Symbol" w:hint="default"/>
        <w:w w:val="100"/>
        <w:sz w:val="22"/>
        <w:szCs w:val="22"/>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05" w15:restartNumberingAfterBreak="0">
    <w:nsid w:val="6B167D3A"/>
    <w:multiLevelType w:val="hybridMultilevel"/>
    <w:tmpl w:val="E81E54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6B875DD2"/>
    <w:multiLevelType w:val="hybridMultilevel"/>
    <w:tmpl w:val="05BC6576"/>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07" w15:restartNumberingAfterBreak="0">
    <w:nsid w:val="6C6A60AC"/>
    <w:multiLevelType w:val="hybridMultilevel"/>
    <w:tmpl w:val="C4CC81F4"/>
    <w:lvl w:ilvl="0" w:tplc="0C090001">
      <w:start w:val="1"/>
      <w:numFmt w:val="bullet"/>
      <w:lvlText w:val=""/>
      <w:lvlJc w:val="left"/>
      <w:pPr>
        <w:ind w:left="456" w:hanging="360"/>
      </w:pPr>
      <w:rPr>
        <w:rFonts w:ascii="Symbol" w:hAnsi="Symbol" w:hint="default"/>
      </w:rPr>
    </w:lvl>
    <w:lvl w:ilvl="1" w:tplc="0C090003" w:tentative="1">
      <w:start w:val="1"/>
      <w:numFmt w:val="bullet"/>
      <w:lvlText w:val="o"/>
      <w:lvlJc w:val="left"/>
      <w:pPr>
        <w:ind w:left="1176" w:hanging="360"/>
      </w:pPr>
      <w:rPr>
        <w:rFonts w:ascii="Courier New" w:hAnsi="Courier New" w:cs="Courier New" w:hint="default"/>
      </w:rPr>
    </w:lvl>
    <w:lvl w:ilvl="2" w:tplc="0C090005" w:tentative="1">
      <w:start w:val="1"/>
      <w:numFmt w:val="bullet"/>
      <w:lvlText w:val=""/>
      <w:lvlJc w:val="left"/>
      <w:pPr>
        <w:ind w:left="1896" w:hanging="360"/>
      </w:pPr>
      <w:rPr>
        <w:rFonts w:ascii="Wingdings" w:hAnsi="Wingdings" w:hint="default"/>
      </w:rPr>
    </w:lvl>
    <w:lvl w:ilvl="3" w:tplc="0C090001" w:tentative="1">
      <w:start w:val="1"/>
      <w:numFmt w:val="bullet"/>
      <w:lvlText w:val=""/>
      <w:lvlJc w:val="left"/>
      <w:pPr>
        <w:ind w:left="2616" w:hanging="360"/>
      </w:pPr>
      <w:rPr>
        <w:rFonts w:ascii="Symbol" w:hAnsi="Symbol" w:hint="default"/>
      </w:rPr>
    </w:lvl>
    <w:lvl w:ilvl="4" w:tplc="0C090003" w:tentative="1">
      <w:start w:val="1"/>
      <w:numFmt w:val="bullet"/>
      <w:lvlText w:val="o"/>
      <w:lvlJc w:val="left"/>
      <w:pPr>
        <w:ind w:left="3336" w:hanging="360"/>
      </w:pPr>
      <w:rPr>
        <w:rFonts w:ascii="Courier New" w:hAnsi="Courier New" w:cs="Courier New" w:hint="default"/>
      </w:rPr>
    </w:lvl>
    <w:lvl w:ilvl="5" w:tplc="0C090005" w:tentative="1">
      <w:start w:val="1"/>
      <w:numFmt w:val="bullet"/>
      <w:lvlText w:val=""/>
      <w:lvlJc w:val="left"/>
      <w:pPr>
        <w:ind w:left="4056" w:hanging="360"/>
      </w:pPr>
      <w:rPr>
        <w:rFonts w:ascii="Wingdings" w:hAnsi="Wingdings" w:hint="default"/>
      </w:rPr>
    </w:lvl>
    <w:lvl w:ilvl="6" w:tplc="0C090001" w:tentative="1">
      <w:start w:val="1"/>
      <w:numFmt w:val="bullet"/>
      <w:lvlText w:val=""/>
      <w:lvlJc w:val="left"/>
      <w:pPr>
        <w:ind w:left="4776" w:hanging="360"/>
      </w:pPr>
      <w:rPr>
        <w:rFonts w:ascii="Symbol" w:hAnsi="Symbol" w:hint="default"/>
      </w:rPr>
    </w:lvl>
    <w:lvl w:ilvl="7" w:tplc="0C090003" w:tentative="1">
      <w:start w:val="1"/>
      <w:numFmt w:val="bullet"/>
      <w:lvlText w:val="o"/>
      <w:lvlJc w:val="left"/>
      <w:pPr>
        <w:ind w:left="5496" w:hanging="360"/>
      </w:pPr>
      <w:rPr>
        <w:rFonts w:ascii="Courier New" w:hAnsi="Courier New" w:cs="Courier New" w:hint="default"/>
      </w:rPr>
    </w:lvl>
    <w:lvl w:ilvl="8" w:tplc="0C090005" w:tentative="1">
      <w:start w:val="1"/>
      <w:numFmt w:val="bullet"/>
      <w:lvlText w:val=""/>
      <w:lvlJc w:val="left"/>
      <w:pPr>
        <w:ind w:left="6216" w:hanging="360"/>
      </w:pPr>
      <w:rPr>
        <w:rFonts w:ascii="Wingdings" w:hAnsi="Wingdings" w:hint="default"/>
      </w:rPr>
    </w:lvl>
  </w:abstractNum>
  <w:abstractNum w:abstractNumId="108" w15:restartNumberingAfterBreak="0">
    <w:nsid w:val="6D1879F6"/>
    <w:multiLevelType w:val="multilevel"/>
    <w:tmpl w:val="279E3C3A"/>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71FA5281"/>
    <w:multiLevelType w:val="multilevel"/>
    <w:tmpl w:val="52FE3B94"/>
    <w:lvl w:ilvl="0">
      <w:start w:val="1"/>
      <w:numFmt w:val="decimal"/>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5BC6E8"/>
      </w:rPr>
    </w:lvl>
    <w:lvl w:ilvl="2">
      <w:start w:val="1"/>
      <w:numFmt w:val="bullet"/>
      <w:lvlText w:val="•"/>
      <w:lvlJc w:val="left"/>
      <w:pPr>
        <w:tabs>
          <w:tab w:val="num" w:pos="284"/>
        </w:tabs>
        <w:ind w:left="284" w:hanging="284"/>
      </w:pPr>
      <w:rPr>
        <w:rFonts w:ascii="Cambria" w:hAnsi="Cambria" w:hint="default"/>
        <w:color w:val="5BC6E8"/>
      </w:rPr>
    </w:lvl>
    <w:lvl w:ilvl="3">
      <w:start w:val="1"/>
      <w:numFmt w:val="bulle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5BC6E8"/>
      </w:rPr>
    </w:lvl>
    <w:lvl w:ilvl="6">
      <w:start w:val="1"/>
      <w:numFmt w:val="bullet"/>
      <w:lvlText w:val="•"/>
      <w:lvlJc w:val="left"/>
      <w:pPr>
        <w:tabs>
          <w:tab w:val="num" w:pos="437"/>
        </w:tabs>
        <w:ind w:left="437" w:hanging="171"/>
      </w:pPr>
      <w:rPr>
        <w:rFonts w:ascii="Cambria" w:hAnsi="Cambria" w:hint="default"/>
        <w:color w:val="5BC6E8"/>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0"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1" w15:restartNumberingAfterBreak="0">
    <w:nsid w:val="74A00188"/>
    <w:multiLevelType w:val="hybridMultilevel"/>
    <w:tmpl w:val="D3806354"/>
    <w:lvl w:ilvl="0" w:tplc="0C090001">
      <w:start w:val="1"/>
      <w:numFmt w:val="bullet"/>
      <w:lvlText w:val=""/>
      <w:lvlJc w:val="left"/>
      <w:pPr>
        <w:ind w:left="850" w:hanging="360"/>
      </w:pPr>
      <w:rPr>
        <w:rFonts w:ascii="Symbol" w:hAnsi="Symbol" w:hint="default"/>
      </w:rPr>
    </w:lvl>
    <w:lvl w:ilvl="1" w:tplc="0C090003" w:tentative="1">
      <w:start w:val="1"/>
      <w:numFmt w:val="bullet"/>
      <w:lvlText w:val="o"/>
      <w:lvlJc w:val="left"/>
      <w:pPr>
        <w:ind w:left="1570" w:hanging="360"/>
      </w:pPr>
      <w:rPr>
        <w:rFonts w:ascii="Courier New" w:hAnsi="Courier New" w:cs="Courier New" w:hint="default"/>
      </w:rPr>
    </w:lvl>
    <w:lvl w:ilvl="2" w:tplc="0C090005" w:tentative="1">
      <w:start w:val="1"/>
      <w:numFmt w:val="bullet"/>
      <w:lvlText w:val=""/>
      <w:lvlJc w:val="left"/>
      <w:pPr>
        <w:ind w:left="2290" w:hanging="360"/>
      </w:pPr>
      <w:rPr>
        <w:rFonts w:ascii="Wingdings" w:hAnsi="Wingdings" w:hint="default"/>
      </w:rPr>
    </w:lvl>
    <w:lvl w:ilvl="3" w:tplc="0C090001" w:tentative="1">
      <w:start w:val="1"/>
      <w:numFmt w:val="bullet"/>
      <w:lvlText w:val=""/>
      <w:lvlJc w:val="left"/>
      <w:pPr>
        <w:ind w:left="3010" w:hanging="360"/>
      </w:pPr>
      <w:rPr>
        <w:rFonts w:ascii="Symbol" w:hAnsi="Symbol" w:hint="default"/>
      </w:rPr>
    </w:lvl>
    <w:lvl w:ilvl="4" w:tplc="0C090003" w:tentative="1">
      <w:start w:val="1"/>
      <w:numFmt w:val="bullet"/>
      <w:lvlText w:val="o"/>
      <w:lvlJc w:val="left"/>
      <w:pPr>
        <w:ind w:left="3730" w:hanging="360"/>
      </w:pPr>
      <w:rPr>
        <w:rFonts w:ascii="Courier New" w:hAnsi="Courier New" w:cs="Courier New" w:hint="default"/>
      </w:rPr>
    </w:lvl>
    <w:lvl w:ilvl="5" w:tplc="0C090005" w:tentative="1">
      <w:start w:val="1"/>
      <w:numFmt w:val="bullet"/>
      <w:lvlText w:val=""/>
      <w:lvlJc w:val="left"/>
      <w:pPr>
        <w:ind w:left="4450" w:hanging="360"/>
      </w:pPr>
      <w:rPr>
        <w:rFonts w:ascii="Wingdings" w:hAnsi="Wingdings" w:hint="default"/>
      </w:rPr>
    </w:lvl>
    <w:lvl w:ilvl="6" w:tplc="0C090001" w:tentative="1">
      <w:start w:val="1"/>
      <w:numFmt w:val="bullet"/>
      <w:lvlText w:val=""/>
      <w:lvlJc w:val="left"/>
      <w:pPr>
        <w:ind w:left="5170" w:hanging="360"/>
      </w:pPr>
      <w:rPr>
        <w:rFonts w:ascii="Symbol" w:hAnsi="Symbol" w:hint="default"/>
      </w:rPr>
    </w:lvl>
    <w:lvl w:ilvl="7" w:tplc="0C090003" w:tentative="1">
      <w:start w:val="1"/>
      <w:numFmt w:val="bullet"/>
      <w:lvlText w:val="o"/>
      <w:lvlJc w:val="left"/>
      <w:pPr>
        <w:ind w:left="5890" w:hanging="360"/>
      </w:pPr>
      <w:rPr>
        <w:rFonts w:ascii="Courier New" w:hAnsi="Courier New" w:cs="Courier New" w:hint="default"/>
      </w:rPr>
    </w:lvl>
    <w:lvl w:ilvl="8" w:tplc="0C090005" w:tentative="1">
      <w:start w:val="1"/>
      <w:numFmt w:val="bullet"/>
      <w:lvlText w:val=""/>
      <w:lvlJc w:val="left"/>
      <w:pPr>
        <w:ind w:left="6610" w:hanging="360"/>
      </w:pPr>
      <w:rPr>
        <w:rFonts w:ascii="Wingdings" w:hAnsi="Wingdings" w:hint="default"/>
      </w:rPr>
    </w:lvl>
  </w:abstractNum>
  <w:abstractNum w:abstractNumId="112" w15:restartNumberingAfterBreak="0">
    <w:nsid w:val="74CB6D6B"/>
    <w:multiLevelType w:val="hybridMultilevel"/>
    <w:tmpl w:val="EA4AA212"/>
    <w:lvl w:ilvl="0" w:tplc="3176DAFC">
      <w:start w:val="1"/>
      <w:numFmt w:val="decimal"/>
      <w:pStyle w:val="Numbered"/>
      <w:lvlText w:val="%1."/>
      <w:lvlJc w:val="left"/>
      <w:pPr>
        <w:ind w:left="720" w:hanging="360"/>
      </w:pPr>
      <w:rPr>
        <w:rFonts w:ascii="Arial" w:hAnsi="Arial"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5F05A6A"/>
    <w:multiLevelType w:val="hybridMultilevel"/>
    <w:tmpl w:val="E230CE60"/>
    <w:lvl w:ilvl="0" w:tplc="C9A2D15C">
      <w:start w:val="1"/>
      <w:numFmt w:val="lowerLetter"/>
      <w:pStyle w:val="LetteredList"/>
      <w:lvlText w:val="%1."/>
      <w:lvlJc w:val="left"/>
      <w:pPr>
        <w:ind w:left="717" w:hanging="360"/>
      </w:p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4" w15:restartNumberingAfterBreak="0">
    <w:nsid w:val="766959BF"/>
    <w:multiLevelType w:val="multilevel"/>
    <w:tmpl w:val="C5D27C34"/>
    <w:lvl w:ilvl="0">
      <w:start w:val="1"/>
      <w:numFmt w:val="decimal"/>
      <w:lvlText w:val="%1."/>
      <w:lvlJc w:val="left"/>
      <w:pPr>
        <w:tabs>
          <w:tab w:val="num" w:pos="567"/>
        </w:tabs>
        <w:ind w:left="567" w:hanging="567"/>
      </w:pPr>
      <w:rPr>
        <w:rFonts w:hint="default"/>
      </w:rPr>
    </w:lvl>
    <w:lvl w:ilvl="1">
      <w:start w:val="1"/>
      <w:numFmt w:val="decimal"/>
      <w:lvlText w:val="2.%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suff w:val="space"/>
      <w:lvlText w:val="Figure %7:"/>
      <w:lvlJc w:val="left"/>
      <w:pPr>
        <w:ind w:left="0" w:firstLine="0"/>
      </w:pPr>
      <w:rPr>
        <w:rFonts w:hint="default"/>
      </w:rPr>
    </w:lvl>
    <w:lvl w:ilvl="7">
      <w:start w:val="1"/>
      <w:numFmt w:val="decimal"/>
      <w:lvlRestart w:val="0"/>
      <w:suff w:val="space"/>
      <w:lvlText w:val="Note %8:"/>
      <w:lvlJc w:val="left"/>
      <w:pPr>
        <w:ind w:left="0" w:firstLine="0"/>
      </w:pPr>
      <w:rPr>
        <w:rFonts w:hint="default"/>
      </w:rPr>
    </w:lvl>
    <w:lvl w:ilvl="8">
      <w:start w:val="1"/>
      <w:numFmt w:val="decimal"/>
      <w:lvlRestart w:val="1"/>
      <w:suff w:val="space"/>
      <w:lvlText w:val="Table %1.%9:"/>
      <w:lvlJc w:val="left"/>
      <w:pPr>
        <w:ind w:left="0" w:firstLine="0"/>
      </w:pPr>
      <w:rPr>
        <w:rFonts w:hint="default"/>
      </w:rPr>
    </w:lvl>
  </w:abstractNum>
  <w:abstractNum w:abstractNumId="115" w15:restartNumberingAfterBreak="0">
    <w:nsid w:val="78924434"/>
    <w:multiLevelType w:val="hybridMultilevel"/>
    <w:tmpl w:val="0C5A4D2C"/>
    <w:lvl w:ilvl="0" w:tplc="0C09000F">
      <w:start w:val="1"/>
      <w:numFmt w:val="decimal"/>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78CA3E2D"/>
    <w:multiLevelType w:val="hybridMultilevel"/>
    <w:tmpl w:val="8BE45342"/>
    <w:lvl w:ilvl="0" w:tplc="0C09000F">
      <w:start w:val="1"/>
      <w:numFmt w:val="decimal"/>
      <w:lvlText w:val="%1."/>
      <w:lvlJc w:val="left"/>
      <w:pPr>
        <w:ind w:left="360" w:hanging="360"/>
      </w:pPr>
      <w:rPr>
        <w:rFonts w:hint="default"/>
        <w:color w:val="auto"/>
      </w:rPr>
    </w:lvl>
    <w:lvl w:ilvl="1" w:tplc="5DDC4656">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7A81725F"/>
    <w:multiLevelType w:val="hybridMultilevel"/>
    <w:tmpl w:val="D4B6D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B0F52C0"/>
    <w:multiLevelType w:val="hybridMultilevel"/>
    <w:tmpl w:val="92B83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F0A03D7"/>
    <w:multiLevelType w:val="hybridMultilevel"/>
    <w:tmpl w:val="0F9A025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0" w15:restartNumberingAfterBreak="0">
    <w:nsid w:val="7FDE363A"/>
    <w:multiLevelType w:val="hybridMultilevel"/>
    <w:tmpl w:val="335EEAC0"/>
    <w:lvl w:ilvl="0" w:tplc="5A980F64">
      <w:start w:val="1"/>
      <w:numFmt w:val="lowerLetter"/>
      <w:lvlText w:val="(%1)"/>
      <w:lvlJc w:val="left"/>
      <w:pPr>
        <w:ind w:left="816" w:hanging="360"/>
      </w:pPr>
      <w:rPr>
        <w:rFonts w:hint="default"/>
      </w:rPr>
    </w:lvl>
    <w:lvl w:ilvl="1" w:tplc="0C090019" w:tentative="1">
      <w:start w:val="1"/>
      <w:numFmt w:val="lowerLetter"/>
      <w:lvlText w:val="%2."/>
      <w:lvlJc w:val="left"/>
      <w:pPr>
        <w:ind w:left="1536" w:hanging="360"/>
      </w:p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num w:numId="1">
    <w:abstractNumId w:val="110"/>
  </w:num>
  <w:num w:numId="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89"/>
  </w:num>
  <w:num w:numId="10">
    <w:abstractNumId w:val="9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79"/>
  </w:num>
  <w:num w:numId="22">
    <w:abstractNumId w:val="47"/>
  </w:num>
  <w:num w:numId="23">
    <w:abstractNumId w:val="109"/>
  </w:num>
  <w:num w:numId="24">
    <w:abstractNumId w:val="40"/>
  </w:num>
  <w:num w:numId="25">
    <w:abstractNumId w:val="22"/>
  </w:num>
  <w:num w:numId="26">
    <w:abstractNumId w:val="42"/>
  </w:num>
  <w:num w:numId="27">
    <w:abstractNumId w:val="102"/>
  </w:num>
  <w:num w:numId="28">
    <w:abstractNumId w:val="68"/>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4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num>
  <w:num w:numId="36">
    <w:abstractNumId w:val="8"/>
    <w:lvlOverride w:ilvl="0">
      <w:startOverride w:val="1"/>
    </w:lvlOverride>
  </w:num>
  <w:num w:numId="37">
    <w:abstractNumId w:val="8"/>
    <w:lvlOverride w:ilvl="0">
      <w:startOverride w:val="1"/>
    </w:lvlOverride>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50"/>
  </w:num>
  <w:num w:numId="44">
    <w:abstractNumId w:val="21"/>
  </w:num>
  <w:num w:numId="45">
    <w:abstractNumId w:val="58"/>
  </w:num>
  <w:num w:numId="46">
    <w:abstractNumId w:val="72"/>
  </w:num>
  <w:num w:numId="47">
    <w:abstractNumId w:val="45"/>
  </w:num>
  <w:num w:numId="48">
    <w:abstractNumId w:val="12"/>
  </w:num>
  <w:num w:numId="49">
    <w:abstractNumId w:val="10"/>
  </w:num>
  <w:num w:numId="50">
    <w:abstractNumId w:val="107"/>
  </w:num>
  <w:num w:numId="51">
    <w:abstractNumId w:val="103"/>
  </w:num>
  <w:num w:numId="52">
    <w:abstractNumId w:val="34"/>
  </w:num>
  <w:num w:numId="53">
    <w:abstractNumId w:val="91"/>
  </w:num>
  <w:num w:numId="54">
    <w:abstractNumId w:val="25"/>
  </w:num>
  <w:num w:numId="55">
    <w:abstractNumId w:val="52"/>
  </w:num>
  <w:num w:numId="56">
    <w:abstractNumId w:val="15"/>
  </w:num>
  <w:num w:numId="57">
    <w:abstractNumId w:val="80"/>
  </w:num>
  <w:num w:numId="58">
    <w:abstractNumId w:val="101"/>
  </w:num>
  <w:num w:numId="59">
    <w:abstractNumId w:val="18"/>
  </w:num>
  <w:num w:numId="60">
    <w:abstractNumId w:val="61"/>
  </w:num>
  <w:num w:numId="61">
    <w:abstractNumId w:val="117"/>
  </w:num>
  <w:num w:numId="62">
    <w:abstractNumId w:val="29"/>
  </w:num>
  <w:num w:numId="63">
    <w:abstractNumId w:val="108"/>
  </w:num>
  <w:num w:numId="64">
    <w:abstractNumId w:val="31"/>
  </w:num>
  <w:num w:numId="65">
    <w:abstractNumId w:val="100"/>
  </w:num>
  <w:num w:numId="66">
    <w:abstractNumId w:val="46"/>
  </w:num>
  <w:num w:numId="67">
    <w:abstractNumId w:val="70"/>
  </w:num>
  <w:num w:numId="68">
    <w:abstractNumId w:val="64"/>
  </w:num>
  <w:num w:numId="69">
    <w:abstractNumId w:val="67"/>
  </w:num>
  <w:num w:numId="70">
    <w:abstractNumId w:val="33"/>
  </w:num>
  <w:num w:numId="71">
    <w:abstractNumId w:val="98"/>
    <w:lvlOverride w:ilvl="1">
      <w:lvl w:ilvl="1">
        <w:start w:val="1"/>
        <w:numFmt w:val="decimal"/>
        <w:lvlText w:val="%1.%2"/>
        <w:lvlJc w:val="left"/>
        <w:pPr>
          <w:tabs>
            <w:tab w:val="num" w:pos="737"/>
          </w:tabs>
          <w:ind w:left="737" w:hanging="737"/>
        </w:pPr>
        <w:rPr>
          <w:rFonts w:hint="default"/>
        </w:rPr>
      </w:lvl>
    </w:lvlOverride>
  </w:num>
  <w:num w:numId="72">
    <w:abstractNumId w:val="63"/>
  </w:num>
  <w:num w:numId="73">
    <w:abstractNumId w:val="81"/>
  </w:num>
  <w:num w:numId="74">
    <w:abstractNumId w:val="114"/>
  </w:num>
  <w:num w:numId="75">
    <w:abstractNumId w:val="74"/>
  </w:num>
  <w:num w:numId="76">
    <w:abstractNumId w:val="97"/>
  </w:num>
  <w:num w:numId="77">
    <w:abstractNumId w:val="69"/>
  </w:num>
  <w:num w:numId="78">
    <w:abstractNumId w:val="104"/>
  </w:num>
  <w:num w:numId="79">
    <w:abstractNumId w:val="75"/>
  </w:num>
  <w:num w:numId="80">
    <w:abstractNumId w:val="75"/>
  </w:num>
  <w:num w:numId="81">
    <w:abstractNumId w:val="75"/>
  </w:num>
  <w:num w:numId="82">
    <w:abstractNumId w:val="75"/>
  </w:num>
  <w:num w:numId="83">
    <w:abstractNumId w:val="75"/>
  </w:num>
  <w:num w:numId="84">
    <w:abstractNumId w:val="75"/>
  </w:num>
  <w:num w:numId="85">
    <w:abstractNumId w:val="75"/>
  </w:num>
  <w:num w:numId="86">
    <w:abstractNumId w:val="75"/>
  </w:num>
  <w:num w:numId="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9"/>
  </w:num>
  <w:num w:numId="89">
    <w:abstractNumId w:val="96"/>
  </w:num>
  <w:num w:numId="90">
    <w:abstractNumId w:val="93"/>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4"/>
  </w:num>
  <w:num w:numId="105">
    <w:abstractNumId w:val="120"/>
  </w:num>
  <w:num w:numId="106">
    <w:abstractNumId w:val="39"/>
  </w:num>
  <w:num w:numId="107">
    <w:abstractNumId w:val="28"/>
  </w:num>
  <w:num w:numId="108">
    <w:abstractNumId w:val="81"/>
  </w:num>
  <w:num w:numId="109">
    <w:abstractNumId w:val="81"/>
  </w:num>
  <w:num w:numId="110">
    <w:abstractNumId w:val="36"/>
  </w:num>
  <w:num w:numId="111">
    <w:abstractNumId w:val="9"/>
  </w:num>
  <w:num w:numId="112">
    <w:abstractNumId w:val="119"/>
  </w:num>
  <w:num w:numId="113">
    <w:abstractNumId w:val="65"/>
  </w:num>
  <w:num w:numId="114">
    <w:abstractNumId w:val="19"/>
  </w:num>
  <w:num w:numId="115">
    <w:abstractNumId w:val="43"/>
  </w:num>
  <w:num w:numId="116">
    <w:abstractNumId w:val="43"/>
    <w:lvlOverride w:ilvl="0">
      <w:startOverride w:val="1"/>
    </w:lvlOverride>
  </w:num>
  <w:num w:numId="117">
    <w:abstractNumId w:val="81"/>
  </w:num>
  <w:num w:numId="118">
    <w:abstractNumId w:val="81"/>
  </w:num>
  <w:num w:numId="119">
    <w:abstractNumId w:val="9"/>
  </w:num>
  <w:num w:numId="120">
    <w:abstractNumId w:val="9"/>
  </w:num>
  <w:num w:numId="1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1"/>
  </w:num>
  <w:num w:numId="123">
    <w:abstractNumId w:val="81"/>
  </w:num>
  <w:num w:numId="124">
    <w:abstractNumId w:val="83"/>
  </w:num>
  <w:num w:numId="125">
    <w:abstractNumId w:val="55"/>
  </w:num>
  <w:num w:numId="126">
    <w:abstractNumId w:val="37"/>
  </w:num>
  <w:num w:numId="127">
    <w:abstractNumId w:val="17"/>
  </w:num>
  <w:num w:numId="128">
    <w:abstractNumId w:val="53"/>
  </w:num>
  <w:num w:numId="129">
    <w:abstractNumId w:val="105"/>
  </w:num>
  <w:num w:numId="130">
    <w:abstractNumId w:val="98"/>
  </w:num>
  <w:num w:numId="131">
    <w:abstractNumId w:val="98"/>
  </w:num>
  <w:num w:numId="132">
    <w:abstractNumId w:val="98"/>
  </w:num>
  <w:num w:numId="133">
    <w:abstractNumId w:val="98"/>
  </w:num>
  <w:num w:numId="134">
    <w:abstractNumId w:val="98"/>
  </w:num>
  <w:num w:numId="135">
    <w:abstractNumId w:val="98"/>
  </w:num>
  <w:num w:numId="136">
    <w:abstractNumId w:val="98"/>
  </w:num>
  <w:num w:numId="137">
    <w:abstractNumId w:val="98"/>
  </w:num>
  <w:num w:numId="138">
    <w:abstractNumId w:val="98"/>
  </w:num>
  <w:num w:numId="139">
    <w:abstractNumId w:val="98"/>
  </w:num>
  <w:num w:numId="140">
    <w:abstractNumId w:val="98"/>
  </w:num>
  <w:num w:numId="141">
    <w:abstractNumId w:val="98"/>
  </w:num>
  <w:num w:numId="142">
    <w:abstractNumId w:val="98"/>
  </w:num>
  <w:num w:numId="143">
    <w:abstractNumId w:val="98"/>
  </w:num>
  <w:num w:numId="144">
    <w:abstractNumId w:val="98"/>
  </w:num>
  <w:num w:numId="145">
    <w:abstractNumId w:val="98"/>
  </w:num>
  <w:num w:numId="146">
    <w:abstractNumId w:val="98"/>
  </w:num>
  <w:num w:numId="147">
    <w:abstractNumId w:val="98"/>
  </w:num>
  <w:num w:numId="148">
    <w:abstractNumId w:val="98"/>
  </w:num>
  <w:num w:numId="149">
    <w:abstractNumId w:val="98"/>
  </w:num>
  <w:num w:numId="150">
    <w:abstractNumId w:val="98"/>
  </w:num>
  <w:num w:numId="151">
    <w:abstractNumId w:val="98"/>
  </w:num>
  <w:num w:numId="152">
    <w:abstractNumId w:val="98"/>
  </w:num>
  <w:num w:numId="1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0"/>
  </w:num>
  <w:num w:numId="162">
    <w:abstractNumId w:val="16"/>
  </w:num>
  <w:num w:numId="163">
    <w:abstractNumId w:val="23"/>
  </w:num>
  <w:num w:numId="164">
    <w:abstractNumId w:val="111"/>
  </w:num>
  <w:num w:numId="165">
    <w:abstractNumId w:val="76"/>
  </w:num>
  <w:num w:numId="166">
    <w:abstractNumId w:val="66"/>
  </w:num>
  <w:num w:numId="167">
    <w:abstractNumId w:val="49"/>
  </w:num>
  <w:num w:numId="168">
    <w:abstractNumId w:val="49"/>
  </w:num>
  <w:num w:numId="169">
    <w:abstractNumId w:val="49"/>
  </w:num>
  <w:num w:numId="170">
    <w:abstractNumId w:val="49"/>
  </w:num>
  <w:num w:numId="171">
    <w:abstractNumId w:val="49"/>
  </w:num>
  <w:num w:numId="172">
    <w:abstractNumId w:val="49"/>
    <w:lvlOverride w:ilvl="1">
      <w:lvl w:ilvl="1">
        <w:start w:val="1"/>
        <w:numFmt w:val="decimal"/>
        <w:pStyle w:val="Heading2Numbered"/>
        <w:lvlText w:val="%1.%2"/>
        <w:lvlJc w:val="left"/>
        <w:pPr>
          <w:ind w:left="8506" w:hanging="567"/>
        </w:pPr>
        <w:rPr>
          <w:rFonts w:hint="default"/>
          <w:i w:val="0"/>
          <w:color w:val="auto"/>
        </w:rPr>
      </w:lvl>
    </w:lvlOverride>
  </w:num>
  <w:num w:numId="173">
    <w:abstractNumId w:val="49"/>
  </w:num>
  <w:num w:numId="174">
    <w:abstractNumId w:val="27"/>
  </w:num>
  <w:num w:numId="175">
    <w:abstractNumId w:val="96"/>
  </w:num>
  <w:num w:numId="176">
    <w:abstractNumId w:val="73"/>
  </w:num>
  <w:num w:numId="177">
    <w:abstractNumId w:val="92"/>
  </w:num>
  <w:num w:numId="1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06"/>
  </w:num>
  <w:num w:numId="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
  </w:num>
  <w:num w:numId="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6"/>
  </w:num>
  <w:num w:numId="195">
    <w:abstractNumId w:val="9"/>
  </w:num>
  <w:num w:numId="1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2"/>
  </w:num>
  <w:num w:numId="198">
    <w:abstractNumId w:val="85"/>
  </w:num>
  <w:num w:numId="199">
    <w:abstractNumId w:val="57"/>
  </w:num>
  <w:num w:numId="200">
    <w:abstractNumId w:val="11"/>
  </w:num>
  <w:num w:numId="201">
    <w:abstractNumId w:val="20"/>
  </w:num>
  <w:num w:numId="202">
    <w:abstractNumId w:val="62"/>
  </w:num>
  <w:num w:numId="203">
    <w:abstractNumId w:val="14"/>
  </w:num>
  <w:num w:numId="2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15"/>
  </w:num>
  <w:num w:numId="206">
    <w:abstractNumId w:val="115"/>
  </w:num>
  <w:num w:numId="207">
    <w:abstractNumId w:val="115"/>
    <w:lvlOverride w:ilvl="0">
      <w:startOverride w:val="1"/>
    </w:lvlOverride>
  </w:num>
  <w:num w:numId="208">
    <w:abstractNumId w:val="115"/>
  </w:num>
  <w:num w:numId="209">
    <w:abstractNumId w:val="115"/>
  </w:num>
  <w:num w:numId="210">
    <w:abstractNumId w:val="115"/>
  </w:num>
  <w:num w:numId="211">
    <w:abstractNumId w:val="115"/>
  </w:num>
  <w:num w:numId="212">
    <w:abstractNumId w:val="115"/>
  </w:num>
  <w:num w:numId="213">
    <w:abstractNumId w:val="115"/>
  </w:num>
  <w:num w:numId="214">
    <w:abstractNumId w:val="115"/>
  </w:num>
  <w:num w:numId="215">
    <w:abstractNumId w:val="115"/>
  </w:num>
  <w:num w:numId="216">
    <w:abstractNumId w:val="115"/>
  </w:num>
  <w:num w:numId="217">
    <w:abstractNumId w:val="115"/>
    <w:lvlOverride w:ilvl="0">
      <w:startOverride w:val="1"/>
    </w:lvlOverride>
  </w:num>
  <w:num w:numId="218">
    <w:abstractNumId w:val="115"/>
  </w:num>
  <w:num w:numId="219">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20">
    <w:abstractNumId w:val="115"/>
    <w:lvlOverride w:ilvl="0">
      <w:startOverride w:val="1"/>
    </w:lvlOverride>
  </w:num>
  <w:num w:numId="221">
    <w:abstractNumId w:val="59"/>
  </w:num>
  <w:num w:numId="222">
    <w:abstractNumId w:val="35"/>
  </w:num>
  <w:num w:numId="223">
    <w:abstractNumId w:val="115"/>
  </w:num>
  <w:num w:numId="224">
    <w:abstractNumId w:val="77"/>
  </w:num>
  <w:num w:numId="225">
    <w:abstractNumId w:val="115"/>
  </w:num>
  <w:num w:numId="226">
    <w:abstractNumId w:val="115"/>
  </w:num>
  <w:num w:numId="227">
    <w:abstractNumId w:val="56"/>
  </w:num>
  <w:num w:numId="228">
    <w:abstractNumId w:val="9"/>
  </w:num>
  <w:num w:numId="229">
    <w:abstractNumId w:val="88"/>
  </w:num>
  <w:num w:numId="230">
    <w:abstractNumId w:val="60"/>
  </w:num>
  <w:num w:numId="231">
    <w:abstractNumId w:val="84"/>
  </w:num>
  <w:num w:numId="232">
    <w:abstractNumId w:val="95"/>
  </w:num>
  <w:num w:numId="233">
    <w:abstractNumId w:val="87"/>
  </w:num>
  <w:num w:numId="234">
    <w:abstractNumId w:val="41"/>
  </w:num>
  <w:num w:numId="235">
    <w:abstractNumId w:val="51"/>
  </w:num>
  <w:num w:numId="236">
    <w:abstractNumId w:val="44"/>
  </w:num>
  <w:num w:numId="237">
    <w:abstractNumId w:val="71"/>
  </w:num>
  <w:num w:numId="238">
    <w:abstractNumId w:val="116"/>
  </w:num>
  <w:num w:numId="239">
    <w:abstractNumId w:val="112"/>
  </w:num>
  <w:num w:numId="240">
    <w:abstractNumId w:val="78"/>
  </w:num>
  <w:num w:numId="241">
    <w:abstractNumId w:val="90"/>
  </w:num>
  <w:num w:numId="242">
    <w:abstractNumId w:val="118"/>
  </w:num>
  <w:num w:numId="243">
    <w:abstractNumId w:val="115"/>
    <w:lvlOverride w:ilvl="0">
      <w:startOverride w:val="1"/>
    </w:lvlOverride>
  </w:num>
  <w:num w:numId="244">
    <w:abstractNumId w:val="115"/>
    <w:lvlOverride w:ilvl="0">
      <w:startOverride w:val="1"/>
    </w:lvlOverride>
  </w:num>
  <w:num w:numId="245">
    <w:abstractNumId w:val="115"/>
    <w:lvlOverride w:ilvl="0">
      <w:startOverride w:val="1"/>
    </w:lvlOverride>
  </w:num>
  <w:num w:numId="246">
    <w:abstractNumId w:val="115"/>
    <w:lvlOverride w:ilvl="0">
      <w:startOverride w:val="1"/>
    </w:lvlOverride>
  </w:num>
  <w:num w:numId="247">
    <w:abstractNumId w:val="82"/>
  </w:num>
  <w:num w:numId="248">
    <w:abstractNumId w:val="113"/>
  </w:num>
  <w:num w:numId="249">
    <w:abstractNumId w:val="113"/>
    <w:lvlOverride w:ilvl="0">
      <w:startOverride w:val="1"/>
    </w:lvlOverride>
  </w:num>
  <w:num w:numId="250">
    <w:abstractNumId w:val="113"/>
    <w:lvlOverride w:ilvl="0">
      <w:startOverride w:val="1"/>
    </w:lvlOverride>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E09"/>
    <w:rsid w:val="00001EE6"/>
    <w:rsid w:val="000027EC"/>
    <w:rsid w:val="000041E1"/>
    <w:rsid w:val="000069A6"/>
    <w:rsid w:val="00007C7E"/>
    <w:rsid w:val="000103CA"/>
    <w:rsid w:val="00010501"/>
    <w:rsid w:val="000128B4"/>
    <w:rsid w:val="00014DCE"/>
    <w:rsid w:val="00015144"/>
    <w:rsid w:val="00015F15"/>
    <w:rsid w:val="00016E16"/>
    <w:rsid w:val="00020498"/>
    <w:rsid w:val="000213E3"/>
    <w:rsid w:val="0002365E"/>
    <w:rsid w:val="00024B8C"/>
    <w:rsid w:val="00025F88"/>
    <w:rsid w:val="00026044"/>
    <w:rsid w:val="00026975"/>
    <w:rsid w:val="0002782F"/>
    <w:rsid w:val="000305A5"/>
    <w:rsid w:val="00032260"/>
    <w:rsid w:val="0003349E"/>
    <w:rsid w:val="00033997"/>
    <w:rsid w:val="00033A88"/>
    <w:rsid w:val="00035D04"/>
    <w:rsid w:val="00040893"/>
    <w:rsid w:val="00040D3D"/>
    <w:rsid w:val="00042418"/>
    <w:rsid w:val="00044180"/>
    <w:rsid w:val="000444D2"/>
    <w:rsid w:val="000457F9"/>
    <w:rsid w:val="0004756E"/>
    <w:rsid w:val="00047731"/>
    <w:rsid w:val="00047DED"/>
    <w:rsid w:val="00052ECD"/>
    <w:rsid w:val="000544A6"/>
    <w:rsid w:val="000549E2"/>
    <w:rsid w:val="00054E4D"/>
    <w:rsid w:val="00055A39"/>
    <w:rsid w:val="00056CAE"/>
    <w:rsid w:val="00060073"/>
    <w:rsid w:val="000603C7"/>
    <w:rsid w:val="00063C83"/>
    <w:rsid w:val="000642A9"/>
    <w:rsid w:val="0006469E"/>
    <w:rsid w:val="00065820"/>
    <w:rsid w:val="000662C5"/>
    <w:rsid w:val="000675C0"/>
    <w:rsid w:val="000711B1"/>
    <w:rsid w:val="00071B5B"/>
    <w:rsid w:val="00071D4D"/>
    <w:rsid w:val="00071DD0"/>
    <w:rsid w:val="00072CE9"/>
    <w:rsid w:val="00073FB6"/>
    <w:rsid w:val="00074C68"/>
    <w:rsid w:val="0007756E"/>
    <w:rsid w:val="00077D03"/>
    <w:rsid w:val="000813D3"/>
    <w:rsid w:val="000829F4"/>
    <w:rsid w:val="00082DA2"/>
    <w:rsid w:val="00083627"/>
    <w:rsid w:val="000836CB"/>
    <w:rsid w:val="00083B3C"/>
    <w:rsid w:val="00085230"/>
    <w:rsid w:val="0008587A"/>
    <w:rsid w:val="00087771"/>
    <w:rsid w:val="00087818"/>
    <w:rsid w:val="00087A25"/>
    <w:rsid w:val="00087EE7"/>
    <w:rsid w:val="00094ED2"/>
    <w:rsid w:val="00095958"/>
    <w:rsid w:val="00095B8A"/>
    <w:rsid w:val="00097A05"/>
    <w:rsid w:val="000A0A1E"/>
    <w:rsid w:val="000A10C8"/>
    <w:rsid w:val="000A1BC8"/>
    <w:rsid w:val="000A2F6E"/>
    <w:rsid w:val="000A4B30"/>
    <w:rsid w:val="000A6A8B"/>
    <w:rsid w:val="000A72A5"/>
    <w:rsid w:val="000A77B9"/>
    <w:rsid w:val="000A7DEC"/>
    <w:rsid w:val="000B16FC"/>
    <w:rsid w:val="000B1B52"/>
    <w:rsid w:val="000B4CED"/>
    <w:rsid w:val="000B5B88"/>
    <w:rsid w:val="000B7C09"/>
    <w:rsid w:val="000C2A48"/>
    <w:rsid w:val="000C302A"/>
    <w:rsid w:val="000C33B6"/>
    <w:rsid w:val="000C3D1F"/>
    <w:rsid w:val="000C3D7C"/>
    <w:rsid w:val="000C42A6"/>
    <w:rsid w:val="000C5235"/>
    <w:rsid w:val="000C53A8"/>
    <w:rsid w:val="000C5F75"/>
    <w:rsid w:val="000C7A01"/>
    <w:rsid w:val="000D2A59"/>
    <w:rsid w:val="000D5628"/>
    <w:rsid w:val="000D5E51"/>
    <w:rsid w:val="000D60B1"/>
    <w:rsid w:val="000D7CBF"/>
    <w:rsid w:val="000E0572"/>
    <w:rsid w:val="000E3774"/>
    <w:rsid w:val="000E3A4B"/>
    <w:rsid w:val="000E692C"/>
    <w:rsid w:val="000E69EB"/>
    <w:rsid w:val="000E6D69"/>
    <w:rsid w:val="000E7D46"/>
    <w:rsid w:val="000F041B"/>
    <w:rsid w:val="000F0482"/>
    <w:rsid w:val="000F1A93"/>
    <w:rsid w:val="000F4DA7"/>
    <w:rsid w:val="000F58A2"/>
    <w:rsid w:val="000F5F46"/>
    <w:rsid w:val="000F626C"/>
    <w:rsid w:val="00102F5B"/>
    <w:rsid w:val="0010338E"/>
    <w:rsid w:val="00103DC7"/>
    <w:rsid w:val="00104E63"/>
    <w:rsid w:val="00105E8A"/>
    <w:rsid w:val="001106C6"/>
    <w:rsid w:val="001123F1"/>
    <w:rsid w:val="0011247C"/>
    <w:rsid w:val="00112EEE"/>
    <w:rsid w:val="001150D4"/>
    <w:rsid w:val="001160A7"/>
    <w:rsid w:val="00117EF6"/>
    <w:rsid w:val="0012169B"/>
    <w:rsid w:val="0012172E"/>
    <w:rsid w:val="0012362E"/>
    <w:rsid w:val="001236C7"/>
    <w:rsid w:val="001236FB"/>
    <w:rsid w:val="00130E2A"/>
    <w:rsid w:val="0013119E"/>
    <w:rsid w:val="001311DF"/>
    <w:rsid w:val="00132014"/>
    <w:rsid w:val="001321B8"/>
    <w:rsid w:val="00134D34"/>
    <w:rsid w:val="00136530"/>
    <w:rsid w:val="00136682"/>
    <w:rsid w:val="001377F0"/>
    <w:rsid w:val="00137BC2"/>
    <w:rsid w:val="001400C6"/>
    <w:rsid w:val="0014140F"/>
    <w:rsid w:val="00141972"/>
    <w:rsid w:val="00141D0F"/>
    <w:rsid w:val="00142276"/>
    <w:rsid w:val="001433B2"/>
    <w:rsid w:val="00145659"/>
    <w:rsid w:val="00145E47"/>
    <w:rsid w:val="00146531"/>
    <w:rsid w:val="0014717F"/>
    <w:rsid w:val="0014765A"/>
    <w:rsid w:val="00147C25"/>
    <w:rsid w:val="00150473"/>
    <w:rsid w:val="001504E3"/>
    <w:rsid w:val="00151003"/>
    <w:rsid w:val="00151BE2"/>
    <w:rsid w:val="00153BB3"/>
    <w:rsid w:val="001541EA"/>
    <w:rsid w:val="001542D2"/>
    <w:rsid w:val="00154BA2"/>
    <w:rsid w:val="00154CB1"/>
    <w:rsid w:val="00155B83"/>
    <w:rsid w:val="00156C1B"/>
    <w:rsid w:val="00156F55"/>
    <w:rsid w:val="00157D1C"/>
    <w:rsid w:val="001607C5"/>
    <w:rsid w:val="00160815"/>
    <w:rsid w:val="00160EE4"/>
    <w:rsid w:val="001612A4"/>
    <w:rsid w:val="001614E3"/>
    <w:rsid w:val="001624AD"/>
    <w:rsid w:val="0016286B"/>
    <w:rsid w:val="00163095"/>
    <w:rsid w:val="001676A8"/>
    <w:rsid w:val="00171829"/>
    <w:rsid w:val="00171AAB"/>
    <w:rsid w:val="001728FF"/>
    <w:rsid w:val="0017331E"/>
    <w:rsid w:val="0017521A"/>
    <w:rsid w:val="001754FC"/>
    <w:rsid w:val="00175B01"/>
    <w:rsid w:val="00177909"/>
    <w:rsid w:val="0018067E"/>
    <w:rsid w:val="001807A9"/>
    <w:rsid w:val="00181598"/>
    <w:rsid w:val="001851B2"/>
    <w:rsid w:val="001923C9"/>
    <w:rsid w:val="001938CA"/>
    <w:rsid w:val="001943BB"/>
    <w:rsid w:val="00197B62"/>
    <w:rsid w:val="00197D34"/>
    <w:rsid w:val="001A163D"/>
    <w:rsid w:val="001A40A4"/>
    <w:rsid w:val="001A5C7F"/>
    <w:rsid w:val="001A6168"/>
    <w:rsid w:val="001A720C"/>
    <w:rsid w:val="001A73DB"/>
    <w:rsid w:val="001A7AC4"/>
    <w:rsid w:val="001B1408"/>
    <w:rsid w:val="001B22F4"/>
    <w:rsid w:val="001B2B8B"/>
    <w:rsid w:val="001C0165"/>
    <w:rsid w:val="001C095F"/>
    <w:rsid w:val="001C2FA8"/>
    <w:rsid w:val="001C3BD9"/>
    <w:rsid w:val="001C4CC8"/>
    <w:rsid w:val="001C70F1"/>
    <w:rsid w:val="001D4C61"/>
    <w:rsid w:val="001D5761"/>
    <w:rsid w:val="001D6AB0"/>
    <w:rsid w:val="001D738F"/>
    <w:rsid w:val="001D7B93"/>
    <w:rsid w:val="001D7EB4"/>
    <w:rsid w:val="001E00E8"/>
    <w:rsid w:val="001E1DC0"/>
    <w:rsid w:val="001E27E0"/>
    <w:rsid w:val="001E43CA"/>
    <w:rsid w:val="001E7187"/>
    <w:rsid w:val="001F0970"/>
    <w:rsid w:val="001F233D"/>
    <w:rsid w:val="001F2D02"/>
    <w:rsid w:val="001F2F2B"/>
    <w:rsid w:val="001F494D"/>
    <w:rsid w:val="001F4D72"/>
    <w:rsid w:val="001F5996"/>
    <w:rsid w:val="002009CF"/>
    <w:rsid w:val="00200D7B"/>
    <w:rsid w:val="0020122A"/>
    <w:rsid w:val="00201EE4"/>
    <w:rsid w:val="00202406"/>
    <w:rsid w:val="00204269"/>
    <w:rsid w:val="00204768"/>
    <w:rsid w:val="002078B6"/>
    <w:rsid w:val="00211343"/>
    <w:rsid w:val="00214A17"/>
    <w:rsid w:val="00214B5F"/>
    <w:rsid w:val="002150D3"/>
    <w:rsid w:val="002177AC"/>
    <w:rsid w:val="002227A6"/>
    <w:rsid w:val="00222B0D"/>
    <w:rsid w:val="002231E7"/>
    <w:rsid w:val="00223229"/>
    <w:rsid w:val="00223B9A"/>
    <w:rsid w:val="00225D11"/>
    <w:rsid w:val="00226FCC"/>
    <w:rsid w:val="00230790"/>
    <w:rsid w:val="002311C5"/>
    <w:rsid w:val="00233EB4"/>
    <w:rsid w:val="00234EDC"/>
    <w:rsid w:val="00236189"/>
    <w:rsid w:val="002376FB"/>
    <w:rsid w:val="002406F9"/>
    <w:rsid w:val="002431FC"/>
    <w:rsid w:val="00243657"/>
    <w:rsid w:val="00250658"/>
    <w:rsid w:val="00251F2F"/>
    <w:rsid w:val="002528D0"/>
    <w:rsid w:val="00253410"/>
    <w:rsid w:val="0025530C"/>
    <w:rsid w:val="0025566E"/>
    <w:rsid w:val="00256B10"/>
    <w:rsid w:val="00256EFC"/>
    <w:rsid w:val="00261938"/>
    <w:rsid w:val="00261AB2"/>
    <w:rsid w:val="002659CC"/>
    <w:rsid w:val="002661D6"/>
    <w:rsid w:val="00270823"/>
    <w:rsid w:val="00271B87"/>
    <w:rsid w:val="00274252"/>
    <w:rsid w:val="002746C6"/>
    <w:rsid w:val="002754DF"/>
    <w:rsid w:val="00277260"/>
    <w:rsid w:val="002808B0"/>
    <w:rsid w:val="002810AF"/>
    <w:rsid w:val="00281E87"/>
    <w:rsid w:val="0028218C"/>
    <w:rsid w:val="00282468"/>
    <w:rsid w:val="00282DC6"/>
    <w:rsid w:val="00284C08"/>
    <w:rsid w:val="0028602A"/>
    <w:rsid w:val="002867F0"/>
    <w:rsid w:val="002872C3"/>
    <w:rsid w:val="00287835"/>
    <w:rsid w:val="0029449C"/>
    <w:rsid w:val="00295C79"/>
    <w:rsid w:val="002A130F"/>
    <w:rsid w:val="002A1622"/>
    <w:rsid w:val="002A3BC2"/>
    <w:rsid w:val="002B152A"/>
    <w:rsid w:val="002B2DCA"/>
    <w:rsid w:val="002B4B9D"/>
    <w:rsid w:val="002B56EF"/>
    <w:rsid w:val="002C13A6"/>
    <w:rsid w:val="002C1779"/>
    <w:rsid w:val="002C1BC1"/>
    <w:rsid w:val="002C1E1B"/>
    <w:rsid w:val="002C1FEB"/>
    <w:rsid w:val="002C218A"/>
    <w:rsid w:val="002D0848"/>
    <w:rsid w:val="002D28C9"/>
    <w:rsid w:val="002D3120"/>
    <w:rsid w:val="002D6E6F"/>
    <w:rsid w:val="002D7CF6"/>
    <w:rsid w:val="002E1181"/>
    <w:rsid w:val="002E150F"/>
    <w:rsid w:val="002E3B59"/>
    <w:rsid w:val="002E5B5D"/>
    <w:rsid w:val="002E66B1"/>
    <w:rsid w:val="002E6799"/>
    <w:rsid w:val="002F060E"/>
    <w:rsid w:val="002F0879"/>
    <w:rsid w:val="002F0AF2"/>
    <w:rsid w:val="002F0DFA"/>
    <w:rsid w:val="002F164F"/>
    <w:rsid w:val="002F18F2"/>
    <w:rsid w:val="002F3094"/>
    <w:rsid w:val="002F5017"/>
    <w:rsid w:val="002F5F27"/>
    <w:rsid w:val="002F7BE9"/>
    <w:rsid w:val="00301144"/>
    <w:rsid w:val="00301442"/>
    <w:rsid w:val="0030235B"/>
    <w:rsid w:val="00302920"/>
    <w:rsid w:val="0030599E"/>
    <w:rsid w:val="003107BE"/>
    <w:rsid w:val="00311A41"/>
    <w:rsid w:val="00311B30"/>
    <w:rsid w:val="00311BE7"/>
    <w:rsid w:val="003148B7"/>
    <w:rsid w:val="00314AE9"/>
    <w:rsid w:val="003158C3"/>
    <w:rsid w:val="00320953"/>
    <w:rsid w:val="00320B05"/>
    <w:rsid w:val="00322115"/>
    <w:rsid w:val="00322224"/>
    <w:rsid w:val="00323D64"/>
    <w:rsid w:val="00323F53"/>
    <w:rsid w:val="003274CD"/>
    <w:rsid w:val="003276FB"/>
    <w:rsid w:val="00330E0D"/>
    <w:rsid w:val="003315E9"/>
    <w:rsid w:val="00334C6F"/>
    <w:rsid w:val="003367A8"/>
    <w:rsid w:val="003377DA"/>
    <w:rsid w:val="00337D61"/>
    <w:rsid w:val="00337E01"/>
    <w:rsid w:val="003416C7"/>
    <w:rsid w:val="00347B58"/>
    <w:rsid w:val="0035119D"/>
    <w:rsid w:val="00351B52"/>
    <w:rsid w:val="0035283E"/>
    <w:rsid w:val="00352DF4"/>
    <w:rsid w:val="00356C62"/>
    <w:rsid w:val="0035776D"/>
    <w:rsid w:val="00357E60"/>
    <w:rsid w:val="00357E6A"/>
    <w:rsid w:val="003606E0"/>
    <w:rsid w:val="00360968"/>
    <w:rsid w:val="003639AC"/>
    <w:rsid w:val="00365EEE"/>
    <w:rsid w:val="003666ED"/>
    <w:rsid w:val="00366A75"/>
    <w:rsid w:val="00371A04"/>
    <w:rsid w:val="003722B5"/>
    <w:rsid w:val="00374870"/>
    <w:rsid w:val="00374898"/>
    <w:rsid w:val="00375D68"/>
    <w:rsid w:val="00375DE7"/>
    <w:rsid w:val="003766B2"/>
    <w:rsid w:val="003779B0"/>
    <w:rsid w:val="00382E8F"/>
    <w:rsid w:val="003908FF"/>
    <w:rsid w:val="003911FC"/>
    <w:rsid w:val="00391B0E"/>
    <w:rsid w:val="00392344"/>
    <w:rsid w:val="00392DAF"/>
    <w:rsid w:val="0039310C"/>
    <w:rsid w:val="00393D6A"/>
    <w:rsid w:val="00396F99"/>
    <w:rsid w:val="003A18A8"/>
    <w:rsid w:val="003A289D"/>
    <w:rsid w:val="003A517F"/>
    <w:rsid w:val="003A7058"/>
    <w:rsid w:val="003A71C5"/>
    <w:rsid w:val="003B3079"/>
    <w:rsid w:val="003B3DEC"/>
    <w:rsid w:val="003B402B"/>
    <w:rsid w:val="003B4F12"/>
    <w:rsid w:val="003B779D"/>
    <w:rsid w:val="003B7D2A"/>
    <w:rsid w:val="003B7F30"/>
    <w:rsid w:val="003C0B9E"/>
    <w:rsid w:val="003C0E5E"/>
    <w:rsid w:val="003C1A4C"/>
    <w:rsid w:val="003C2572"/>
    <w:rsid w:val="003C2C71"/>
    <w:rsid w:val="003C2DB0"/>
    <w:rsid w:val="003C5A90"/>
    <w:rsid w:val="003C60DA"/>
    <w:rsid w:val="003C7591"/>
    <w:rsid w:val="003D070A"/>
    <w:rsid w:val="003D0E98"/>
    <w:rsid w:val="003D1B46"/>
    <w:rsid w:val="003D2E67"/>
    <w:rsid w:val="003D30D7"/>
    <w:rsid w:val="003D3E80"/>
    <w:rsid w:val="003D418D"/>
    <w:rsid w:val="003D5356"/>
    <w:rsid w:val="003D66F9"/>
    <w:rsid w:val="003D68EB"/>
    <w:rsid w:val="003D6BD8"/>
    <w:rsid w:val="003D755D"/>
    <w:rsid w:val="003E05CE"/>
    <w:rsid w:val="003E26AD"/>
    <w:rsid w:val="003E3C9D"/>
    <w:rsid w:val="003E3E2E"/>
    <w:rsid w:val="003E79EE"/>
    <w:rsid w:val="003F3356"/>
    <w:rsid w:val="003F48C3"/>
    <w:rsid w:val="003F5F22"/>
    <w:rsid w:val="003F7499"/>
    <w:rsid w:val="0040306D"/>
    <w:rsid w:val="00403A22"/>
    <w:rsid w:val="00403D7E"/>
    <w:rsid w:val="00404233"/>
    <w:rsid w:val="004052AF"/>
    <w:rsid w:val="004061B1"/>
    <w:rsid w:val="00406ADB"/>
    <w:rsid w:val="00407169"/>
    <w:rsid w:val="0042010D"/>
    <w:rsid w:val="0042016D"/>
    <w:rsid w:val="004215DD"/>
    <w:rsid w:val="00423F31"/>
    <w:rsid w:val="00425289"/>
    <w:rsid w:val="00426296"/>
    <w:rsid w:val="00426BA4"/>
    <w:rsid w:val="00427A89"/>
    <w:rsid w:val="00427E88"/>
    <w:rsid w:val="00430CF6"/>
    <w:rsid w:val="00431899"/>
    <w:rsid w:val="00433124"/>
    <w:rsid w:val="004405BD"/>
    <w:rsid w:val="00442152"/>
    <w:rsid w:val="0044337D"/>
    <w:rsid w:val="00443964"/>
    <w:rsid w:val="00444045"/>
    <w:rsid w:val="00444E8C"/>
    <w:rsid w:val="00446ACF"/>
    <w:rsid w:val="004471B8"/>
    <w:rsid w:val="00450725"/>
    <w:rsid w:val="00451474"/>
    <w:rsid w:val="0045486A"/>
    <w:rsid w:val="0045500F"/>
    <w:rsid w:val="0045663B"/>
    <w:rsid w:val="00460BBF"/>
    <w:rsid w:val="00461527"/>
    <w:rsid w:val="00466C28"/>
    <w:rsid w:val="004673FC"/>
    <w:rsid w:val="004707A1"/>
    <w:rsid w:val="004712A9"/>
    <w:rsid w:val="0047193A"/>
    <w:rsid w:val="00472232"/>
    <w:rsid w:val="004742A0"/>
    <w:rsid w:val="00474FF6"/>
    <w:rsid w:val="00476156"/>
    <w:rsid w:val="004777A3"/>
    <w:rsid w:val="004778EA"/>
    <w:rsid w:val="004815F3"/>
    <w:rsid w:val="00483DBF"/>
    <w:rsid w:val="0048460A"/>
    <w:rsid w:val="00484694"/>
    <w:rsid w:val="00486804"/>
    <w:rsid w:val="00490069"/>
    <w:rsid w:val="0049098A"/>
    <w:rsid w:val="00491638"/>
    <w:rsid w:val="00492034"/>
    <w:rsid w:val="004932F4"/>
    <w:rsid w:val="00493460"/>
    <w:rsid w:val="00493D63"/>
    <w:rsid w:val="00493ED2"/>
    <w:rsid w:val="004944B2"/>
    <w:rsid w:val="00494D4E"/>
    <w:rsid w:val="0049533A"/>
    <w:rsid w:val="0049781E"/>
    <w:rsid w:val="004978B4"/>
    <w:rsid w:val="00497E40"/>
    <w:rsid w:val="004A0734"/>
    <w:rsid w:val="004A170B"/>
    <w:rsid w:val="004A1BA0"/>
    <w:rsid w:val="004A42EE"/>
    <w:rsid w:val="004A5BAA"/>
    <w:rsid w:val="004B2C47"/>
    <w:rsid w:val="004B345F"/>
    <w:rsid w:val="004B3775"/>
    <w:rsid w:val="004B394C"/>
    <w:rsid w:val="004B3AF6"/>
    <w:rsid w:val="004B4224"/>
    <w:rsid w:val="004B5136"/>
    <w:rsid w:val="004B57AF"/>
    <w:rsid w:val="004B5F4F"/>
    <w:rsid w:val="004B7612"/>
    <w:rsid w:val="004B76F7"/>
    <w:rsid w:val="004B7A1B"/>
    <w:rsid w:val="004C0DE8"/>
    <w:rsid w:val="004C1925"/>
    <w:rsid w:val="004C1C21"/>
    <w:rsid w:val="004C1DA7"/>
    <w:rsid w:val="004C2A06"/>
    <w:rsid w:val="004C31B9"/>
    <w:rsid w:val="004C51BD"/>
    <w:rsid w:val="004C5851"/>
    <w:rsid w:val="004C5A64"/>
    <w:rsid w:val="004C77E7"/>
    <w:rsid w:val="004D0115"/>
    <w:rsid w:val="004D0F69"/>
    <w:rsid w:val="004D1A3B"/>
    <w:rsid w:val="004D3574"/>
    <w:rsid w:val="004D479A"/>
    <w:rsid w:val="004D4C93"/>
    <w:rsid w:val="004D64A6"/>
    <w:rsid w:val="004D682E"/>
    <w:rsid w:val="004D761E"/>
    <w:rsid w:val="004D77BD"/>
    <w:rsid w:val="004D7856"/>
    <w:rsid w:val="004D7EA2"/>
    <w:rsid w:val="004E058F"/>
    <w:rsid w:val="004E0AFF"/>
    <w:rsid w:val="004E0FFA"/>
    <w:rsid w:val="004E2865"/>
    <w:rsid w:val="004E29B4"/>
    <w:rsid w:val="004E3B87"/>
    <w:rsid w:val="004E3C6F"/>
    <w:rsid w:val="004E58F5"/>
    <w:rsid w:val="004E780E"/>
    <w:rsid w:val="004F3C32"/>
    <w:rsid w:val="0050273A"/>
    <w:rsid w:val="00510921"/>
    <w:rsid w:val="00510AD3"/>
    <w:rsid w:val="00511313"/>
    <w:rsid w:val="00511DF0"/>
    <w:rsid w:val="00512B1D"/>
    <w:rsid w:val="00513348"/>
    <w:rsid w:val="00515380"/>
    <w:rsid w:val="00515FA2"/>
    <w:rsid w:val="00522E47"/>
    <w:rsid w:val="0052694E"/>
    <w:rsid w:val="00527B86"/>
    <w:rsid w:val="00530060"/>
    <w:rsid w:val="00530565"/>
    <w:rsid w:val="00531849"/>
    <w:rsid w:val="00532C1F"/>
    <w:rsid w:val="00533B5D"/>
    <w:rsid w:val="00533BE8"/>
    <w:rsid w:val="005363D1"/>
    <w:rsid w:val="00537F2E"/>
    <w:rsid w:val="00540DCB"/>
    <w:rsid w:val="005411B7"/>
    <w:rsid w:val="00543B85"/>
    <w:rsid w:val="00545E5E"/>
    <w:rsid w:val="00546A92"/>
    <w:rsid w:val="00547503"/>
    <w:rsid w:val="0055235A"/>
    <w:rsid w:val="00552FA3"/>
    <w:rsid w:val="00553B02"/>
    <w:rsid w:val="00554601"/>
    <w:rsid w:val="0055527D"/>
    <w:rsid w:val="005554A4"/>
    <w:rsid w:val="00555C2A"/>
    <w:rsid w:val="0055671F"/>
    <w:rsid w:val="005570E8"/>
    <w:rsid w:val="00561307"/>
    <w:rsid w:val="00563621"/>
    <w:rsid w:val="0056640D"/>
    <w:rsid w:val="00566C02"/>
    <w:rsid w:val="00567D63"/>
    <w:rsid w:val="0057047B"/>
    <w:rsid w:val="00571333"/>
    <w:rsid w:val="005737B6"/>
    <w:rsid w:val="00574BAF"/>
    <w:rsid w:val="00576566"/>
    <w:rsid w:val="00577C1F"/>
    <w:rsid w:val="00577D9C"/>
    <w:rsid w:val="00577EB6"/>
    <w:rsid w:val="0058087A"/>
    <w:rsid w:val="00580DAE"/>
    <w:rsid w:val="005815B0"/>
    <w:rsid w:val="005819F3"/>
    <w:rsid w:val="00582DF0"/>
    <w:rsid w:val="00583302"/>
    <w:rsid w:val="005836EB"/>
    <w:rsid w:val="0058705C"/>
    <w:rsid w:val="00587772"/>
    <w:rsid w:val="005904D2"/>
    <w:rsid w:val="00591FAF"/>
    <w:rsid w:val="00592E14"/>
    <w:rsid w:val="00593723"/>
    <w:rsid w:val="00593C5B"/>
    <w:rsid w:val="005942C9"/>
    <w:rsid w:val="0059544C"/>
    <w:rsid w:val="00595D6E"/>
    <w:rsid w:val="00595DB3"/>
    <w:rsid w:val="00596D2E"/>
    <w:rsid w:val="005970EA"/>
    <w:rsid w:val="005A0C9C"/>
    <w:rsid w:val="005A4099"/>
    <w:rsid w:val="005A4BDA"/>
    <w:rsid w:val="005A5513"/>
    <w:rsid w:val="005A6613"/>
    <w:rsid w:val="005B2724"/>
    <w:rsid w:val="005B2ECC"/>
    <w:rsid w:val="005B357F"/>
    <w:rsid w:val="005B451C"/>
    <w:rsid w:val="005B7708"/>
    <w:rsid w:val="005C0A22"/>
    <w:rsid w:val="005C19B7"/>
    <w:rsid w:val="005C278D"/>
    <w:rsid w:val="005C37F0"/>
    <w:rsid w:val="005C3ABA"/>
    <w:rsid w:val="005C4A47"/>
    <w:rsid w:val="005C5D07"/>
    <w:rsid w:val="005C63D7"/>
    <w:rsid w:val="005C661E"/>
    <w:rsid w:val="005D28DC"/>
    <w:rsid w:val="005D2D36"/>
    <w:rsid w:val="005D2DD1"/>
    <w:rsid w:val="005D2FEF"/>
    <w:rsid w:val="005D362B"/>
    <w:rsid w:val="005D3E0C"/>
    <w:rsid w:val="005D464E"/>
    <w:rsid w:val="005D722E"/>
    <w:rsid w:val="005E1760"/>
    <w:rsid w:val="005E333F"/>
    <w:rsid w:val="005F01DF"/>
    <w:rsid w:val="005F1DA7"/>
    <w:rsid w:val="005F37B8"/>
    <w:rsid w:val="005F39A5"/>
    <w:rsid w:val="005F4D5C"/>
    <w:rsid w:val="005F517A"/>
    <w:rsid w:val="005F590D"/>
    <w:rsid w:val="005F5F11"/>
    <w:rsid w:val="005F6857"/>
    <w:rsid w:val="005F68B3"/>
    <w:rsid w:val="005F71A9"/>
    <w:rsid w:val="006037D8"/>
    <w:rsid w:val="00611E25"/>
    <w:rsid w:val="0061337C"/>
    <w:rsid w:val="006145BB"/>
    <w:rsid w:val="0061463D"/>
    <w:rsid w:val="00614F25"/>
    <w:rsid w:val="00616039"/>
    <w:rsid w:val="006203B3"/>
    <w:rsid w:val="0062189E"/>
    <w:rsid w:val="00622586"/>
    <w:rsid w:val="00622AE9"/>
    <w:rsid w:val="00622BEA"/>
    <w:rsid w:val="00623BA1"/>
    <w:rsid w:val="006246D4"/>
    <w:rsid w:val="00624CEB"/>
    <w:rsid w:val="00630312"/>
    <w:rsid w:val="00630976"/>
    <w:rsid w:val="00630B0C"/>
    <w:rsid w:val="006314AE"/>
    <w:rsid w:val="0063372C"/>
    <w:rsid w:val="006346BC"/>
    <w:rsid w:val="00636475"/>
    <w:rsid w:val="00640374"/>
    <w:rsid w:val="00641438"/>
    <w:rsid w:val="00642D16"/>
    <w:rsid w:val="0064398E"/>
    <w:rsid w:val="006444C8"/>
    <w:rsid w:val="00646EC4"/>
    <w:rsid w:val="006518CB"/>
    <w:rsid w:val="0065254A"/>
    <w:rsid w:val="00653EF5"/>
    <w:rsid w:val="006541D7"/>
    <w:rsid w:val="00654D2B"/>
    <w:rsid w:val="00655600"/>
    <w:rsid w:val="00655A35"/>
    <w:rsid w:val="00656019"/>
    <w:rsid w:val="00656F68"/>
    <w:rsid w:val="00661C14"/>
    <w:rsid w:val="00662AFC"/>
    <w:rsid w:val="00662DDF"/>
    <w:rsid w:val="00663540"/>
    <w:rsid w:val="00663952"/>
    <w:rsid w:val="00663E18"/>
    <w:rsid w:val="006653B5"/>
    <w:rsid w:val="00665EAD"/>
    <w:rsid w:val="00666291"/>
    <w:rsid w:val="0066652A"/>
    <w:rsid w:val="006669B1"/>
    <w:rsid w:val="006700D4"/>
    <w:rsid w:val="006701CC"/>
    <w:rsid w:val="00670A50"/>
    <w:rsid w:val="006731DC"/>
    <w:rsid w:val="0067332D"/>
    <w:rsid w:val="00673397"/>
    <w:rsid w:val="0067390E"/>
    <w:rsid w:val="00673E2D"/>
    <w:rsid w:val="00674692"/>
    <w:rsid w:val="00674D12"/>
    <w:rsid w:val="00676137"/>
    <w:rsid w:val="006779D0"/>
    <w:rsid w:val="006807E7"/>
    <w:rsid w:val="00682167"/>
    <w:rsid w:val="00684C96"/>
    <w:rsid w:val="00692A3D"/>
    <w:rsid w:val="0069386D"/>
    <w:rsid w:val="00693DF4"/>
    <w:rsid w:val="00695332"/>
    <w:rsid w:val="0069646A"/>
    <w:rsid w:val="006A0E89"/>
    <w:rsid w:val="006A0F01"/>
    <w:rsid w:val="006A0F11"/>
    <w:rsid w:val="006A1D37"/>
    <w:rsid w:val="006A6D2C"/>
    <w:rsid w:val="006A7318"/>
    <w:rsid w:val="006B0628"/>
    <w:rsid w:val="006C0AD8"/>
    <w:rsid w:val="006C0AF2"/>
    <w:rsid w:val="006C2022"/>
    <w:rsid w:val="006C230C"/>
    <w:rsid w:val="006C2849"/>
    <w:rsid w:val="006C2F6D"/>
    <w:rsid w:val="006C381B"/>
    <w:rsid w:val="006C42AF"/>
    <w:rsid w:val="006C4DD1"/>
    <w:rsid w:val="006C6F91"/>
    <w:rsid w:val="006C7C60"/>
    <w:rsid w:val="006D021E"/>
    <w:rsid w:val="006D03F9"/>
    <w:rsid w:val="006D1908"/>
    <w:rsid w:val="006D328A"/>
    <w:rsid w:val="006D5B40"/>
    <w:rsid w:val="006E10D6"/>
    <w:rsid w:val="006E5A47"/>
    <w:rsid w:val="006E5DBC"/>
    <w:rsid w:val="006E7F29"/>
    <w:rsid w:val="006F1726"/>
    <w:rsid w:val="006F2C96"/>
    <w:rsid w:val="00700F9D"/>
    <w:rsid w:val="00701EA2"/>
    <w:rsid w:val="0070542A"/>
    <w:rsid w:val="00710BF8"/>
    <w:rsid w:val="00711D8E"/>
    <w:rsid w:val="00712672"/>
    <w:rsid w:val="00712BED"/>
    <w:rsid w:val="0071376E"/>
    <w:rsid w:val="00716285"/>
    <w:rsid w:val="007173BD"/>
    <w:rsid w:val="0072052F"/>
    <w:rsid w:val="00725104"/>
    <w:rsid w:val="0073176B"/>
    <w:rsid w:val="007322F2"/>
    <w:rsid w:val="007323D0"/>
    <w:rsid w:val="007346BE"/>
    <w:rsid w:val="00734E3F"/>
    <w:rsid w:val="00735F2B"/>
    <w:rsid w:val="00735FED"/>
    <w:rsid w:val="007361CC"/>
    <w:rsid w:val="00736985"/>
    <w:rsid w:val="00737100"/>
    <w:rsid w:val="00737A13"/>
    <w:rsid w:val="00737E0E"/>
    <w:rsid w:val="00740055"/>
    <w:rsid w:val="00740CBC"/>
    <w:rsid w:val="00741548"/>
    <w:rsid w:val="00741B8B"/>
    <w:rsid w:val="00743D79"/>
    <w:rsid w:val="0074521F"/>
    <w:rsid w:val="00745DB2"/>
    <w:rsid w:val="00746528"/>
    <w:rsid w:val="0074781B"/>
    <w:rsid w:val="0075140A"/>
    <w:rsid w:val="00752E10"/>
    <w:rsid w:val="00753D9B"/>
    <w:rsid w:val="00754464"/>
    <w:rsid w:val="00755929"/>
    <w:rsid w:val="00756077"/>
    <w:rsid w:val="00757199"/>
    <w:rsid w:val="00760733"/>
    <w:rsid w:val="00761FCC"/>
    <w:rsid w:val="00762555"/>
    <w:rsid w:val="00763D1C"/>
    <w:rsid w:val="007659E2"/>
    <w:rsid w:val="00766BCC"/>
    <w:rsid w:val="0076760E"/>
    <w:rsid w:val="00767AB3"/>
    <w:rsid w:val="00771356"/>
    <w:rsid w:val="0077177D"/>
    <w:rsid w:val="00771CD6"/>
    <w:rsid w:val="007720F6"/>
    <w:rsid w:val="0077213E"/>
    <w:rsid w:val="00774286"/>
    <w:rsid w:val="00775024"/>
    <w:rsid w:val="007760AA"/>
    <w:rsid w:val="00777EBD"/>
    <w:rsid w:val="00781345"/>
    <w:rsid w:val="00781BE3"/>
    <w:rsid w:val="00782273"/>
    <w:rsid w:val="00783F5B"/>
    <w:rsid w:val="00785DC4"/>
    <w:rsid w:val="00786186"/>
    <w:rsid w:val="007868A4"/>
    <w:rsid w:val="007904CF"/>
    <w:rsid w:val="00790698"/>
    <w:rsid w:val="00790A3A"/>
    <w:rsid w:val="00792AC0"/>
    <w:rsid w:val="00792F21"/>
    <w:rsid w:val="00794E5E"/>
    <w:rsid w:val="00795B04"/>
    <w:rsid w:val="00795D3C"/>
    <w:rsid w:val="0079648C"/>
    <w:rsid w:val="0079651B"/>
    <w:rsid w:val="007A0E16"/>
    <w:rsid w:val="007A129A"/>
    <w:rsid w:val="007A3739"/>
    <w:rsid w:val="007A3CCD"/>
    <w:rsid w:val="007A4247"/>
    <w:rsid w:val="007A434B"/>
    <w:rsid w:val="007A6C51"/>
    <w:rsid w:val="007B068F"/>
    <w:rsid w:val="007B06AD"/>
    <w:rsid w:val="007B47FE"/>
    <w:rsid w:val="007B5115"/>
    <w:rsid w:val="007B5237"/>
    <w:rsid w:val="007B5CC5"/>
    <w:rsid w:val="007B5D59"/>
    <w:rsid w:val="007B5FC0"/>
    <w:rsid w:val="007B6200"/>
    <w:rsid w:val="007B6913"/>
    <w:rsid w:val="007B741E"/>
    <w:rsid w:val="007C010C"/>
    <w:rsid w:val="007C20B6"/>
    <w:rsid w:val="007C20EE"/>
    <w:rsid w:val="007C4ED3"/>
    <w:rsid w:val="007C61E8"/>
    <w:rsid w:val="007D05E4"/>
    <w:rsid w:val="007D3E5D"/>
    <w:rsid w:val="007D50E1"/>
    <w:rsid w:val="007E6DB9"/>
    <w:rsid w:val="007E76AF"/>
    <w:rsid w:val="007F1248"/>
    <w:rsid w:val="007F1BC8"/>
    <w:rsid w:val="007F1DF5"/>
    <w:rsid w:val="007F2B5C"/>
    <w:rsid w:val="007F5204"/>
    <w:rsid w:val="00801B9F"/>
    <w:rsid w:val="00801CE1"/>
    <w:rsid w:val="00802A0B"/>
    <w:rsid w:val="00803275"/>
    <w:rsid w:val="008045E1"/>
    <w:rsid w:val="00804DDD"/>
    <w:rsid w:val="00805CFA"/>
    <w:rsid w:val="00811956"/>
    <w:rsid w:val="00811FCA"/>
    <w:rsid w:val="008121BB"/>
    <w:rsid w:val="00813E38"/>
    <w:rsid w:val="008169D6"/>
    <w:rsid w:val="00817D06"/>
    <w:rsid w:val="008208BA"/>
    <w:rsid w:val="0082115C"/>
    <w:rsid w:val="008216A3"/>
    <w:rsid w:val="00821C9C"/>
    <w:rsid w:val="0082221B"/>
    <w:rsid w:val="00822564"/>
    <w:rsid w:val="00823B27"/>
    <w:rsid w:val="0082509B"/>
    <w:rsid w:val="008263E3"/>
    <w:rsid w:val="00831618"/>
    <w:rsid w:val="008332C7"/>
    <w:rsid w:val="0083363A"/>
    <w:rsid w:val="00834A1A"/>
    <w:rsid w:val="00834A87"/>
    <w:rsid w:val="00834A9D"/>
    <w:rsid w:val="008368F2"/>
    <w:rsid w:val="008438C3"/>
    <w:rsid w:val="00843E61"/>
    <w:rsid w:val="00845790"/>
    <w:rsid w:val="00846B1F"/>
    <w:rsid w:val="00851548"/>
    <w:rsid w:val="0085208D"/>
    <w:rsid w:val="0085419F"/>
    <w:rsid w:val="008555BE"/>
    <w:rsid w:val="00857279"/>
    <w:rsid w:val="008579E7"/>
    <w:rsid w:val="0086054C"/>
    <w:rsid w:val="00862D17"/>
    <w:rsid w:val="00867A6D"/>
    <w:rsid w:val="00871510"/>
    <w:rsid w:val="008718A1"/>
    <w:rsid w:val="00872CB5"/>
    <w:rsid w:val="008731CA"/>
    <w:rsid w:val="00873FDC"/>
    <w:rsid w:val="00874F0F"/>
    <w:rsid w:val="00875911"/>
    <w:rsid w:val="00877B45"/>
    <w:rsid w:val="00880B3F"/>
    <w:rsid w:val="00881C1D"/>
    <w:rsid w:val="008833A2"/>
    <w:rsid w:val="00884D97"/>
    <w:rsid w:val="00886B74"/>
    <w:rsid w:val="00886E58"/>
    <w:rsid w:val="00887163"/>
    <w:rsid w:val="00887A39"/>
    <w:rsid w:val="00890911"/>
    <w:rsid w:val="00890B06"/>
    <w:rsid w:val="00891079"/>
    <w:rsid w:val="008914EC"/>
    <w:rsid w:val="00891E65"/>
    <w:rsid w:val="008953C8"/>
    <w:rsid w:val="00895608"/>
    <w:rsid w:val="00895F99"/>
    <w:rsid w:val="00895FC3"/>
    <w:rsid w:val="00896E91"/>
    <w:rsid w:val="0089770B"/>
    <w:rsid w:val="008A3568"/>
    <w:rsid w:val="008A3667"/>
    <w:rsid w:val="008A41EF"/>
    <w:rsid w:val="008B029A"/>
    <w:rsid w:val="008B1699"/>
    <w:rsid w:val="008B35B8"/>
    <w:rsid w:val="008B4541"/>
    <w:rsid w:val="008B4F64"/>
    <w:rsid w:val="008B5A18"/>
    <w:rsid w:val="008B62C7"/>
    <w:rsid w:val="008B6420"/>
    <w:rsid w:val="008B7D5D"/>
    <w:rsid w:val="008C0022"/>
    <w:rsid w:val="008C1E50"/>
    <w:rsid w:val="008C3275"/>
    <w:rsid w:val="008C43E1"/>
    <w:rsid w:val="008C5565"/>
    <w:rsid w:val="008C5A23"/>
    <w:rsid w:val="008D0D17"/>
    <w:rsid w:val="008D0F6F"/>
    <w:rsid w:val="008D1BFA"/>
    <w:rsid w:val="008D4630"/>
    <w:rsid w:val="008D4A99"/>
    <w:rsid w:val="008D4B2F"/>
    <w:rsid w:val="008D5596"/>
    <w:rsid w:val="008D5F47"/>
    <w:rsid w:val="008D7A22"/>
    <w:rsid w:val="008E38FF"/>
    <w:rsid w:val="008E4508"/>
    <w:rsid w:val="008E4D2C"/>
    <w:rsid w:val="008E58F2"/>
    <w:rsid w:val="008F24BD"/>
    <w:rsid w:val="008F2656"/>
    <w:rsid w:val="008F2BD5"/>
    <w:rsid w:val="008F2F7F"/>
    <w:rsid w:val="008F47C2"/>
    <w:rsid w:val="008F5359"/>
    <w:rsid w:val="008F5BD1"/>
    <w:rsid w:val="008F619E"/>
    <w:rsid w:val="008F700C"/>
    <w:rsid w:val="008F72CD"/>
    <w:rsid w:val="009018BA"/>
    <w:rsid w:val="0090309A"/>
    <w:rsid w:val="00905618"/>
    <w:rsid w:val="00905CB6"/>
    <w:rsid w:val="00905D4E"/>
    <w:rsid w:val="009064EE"/>
    <w:rsid w:val="0091039E"/>
    <w:rsid w:val="00911A11"/>
    <w:rsid w:val="0091496B"/>
    <w:rsid w:val="00914AD6"/>
    <w:rsid w:val="009161E7"/>
    <w:rsid w:val="00916499"/>
    <w:rsid w:val="00921A09"/>
    <w:rsid w:val="009231D1"/>
    <w:rsid w:val="00926782"/>
    <w:rsid w:val="00926CBF"/>
    <w:rsid w:val="009273B0"/>
    <w:rsid w:val="00927D41"/>
    <w:rsid w:val="00931F6A"/>
    <w:rsid w:val="0093476D"/>
    <w:rsid w:val="00934BCE"/>
    <w:rsid w:val="00935A98"/>
    <w:rsid w:val="0093683D"/>
    <w:rsid w:val="009379A4"/>
    <w:rsid w:val="009401F9"/>
    <w:rsid w:val="0094053F"/>
    <w:rsid w:val="009405D9"/>
    <w:rsid w:val="009421CE"/>
    <w:rsid w:val="009449F3"/>
    <w:rsid w:val="00945BF5"/>
    <w:rsid w:val="009526CA"/>
    <w:rsid w:val="00955700"/>
    <w:rsid w:val="00956EB6"/>
    <w:rsid w:val="00957051"/>
    <w:rsid w:val="00960812"/>
    <w:rsid w:val="009644B5"/>
    <w:rsid w:val="0096572D"/>
    <w:rsid w:val="00966796"/>
    <w:rsid w:val="00970608"/>
    <w:rsid w:val="00970E33"/>
    <w:rsid w:val="00975593"/>
    <w:rsid w:val="0098225D"/>
    <w:rsid w:val="00984C77"/>
    <w:rsid w:val="009861E5"/>
    <w:rsid w:val="00987052"/>
    <w:rsid w:val="00987CCA"/>
    <w:rsid w:val="00990255"/>
    <w:rsid w:val="0099049E"/>
    <w:rsid w:val="00991E6B"/>
    <w:rsid w:val="00991ECE"/>
    <w:rsid w:val="00993CA2"/>
    <w:rsid w:val="0099565E"/>
    <w:rsid w:val="00995AA1"/>
    <w:rsid w:val="009A0465"/>
    <w:rsid w:val="009A1DD2"/>
    <w:rsid w:val="009A2DA7"/>
    <w:rsid w:val="009A3603"/>
    <w:rsid w:val="009A6E92"/>
    <w:rsid w:val="009B02AB"/>
    <w:rsid w:val="009B0701"/>
    <w:rsid w:val="009B1F44"/>
    <w:rsid w:val="009B2AFD"/>
    <w:rsid w:val="009B2FA8"/>
    <w:rsid w:val="009B490C"/>
    <w:rsid w:val="009B4D3B"/>
    <w:rsid w:val="009B64EB"/>
    <w:rsid w:val="009C64F5"/>
    <w:rsid w:val="009C768D"/>
    <w:rsid w:val="009D01E8"/>
    <w:rsid w:val="009D132B"/>
    <w:rsid w:val="009D1835"/>
    <w:rsid w:val="009D1DC3"/>
    <w:rsid w:val="009D2D17"/>
    <w:rsid w:val="009D37D3"/>
    <w:rsid w:val="009D3DB3"/>
    <w:rsid w:val="009D4EB9"/>
    <w:rsid w:val="009D7407"/>
    <w:rsid w:val="009D779A"/>
    <w:rsid w:val="009E0866"/>
    <w:rsid w:val="009E1A07"/>
    <w:rsid w:val="009E379C"/>
    <w:rsid w:val="009E4002"/>
    <w:rsid w:val="009E6174"/>
    <w:rsid w:val="009F3C94"/>
    <w:rsid w:val="009F40CE"/>
    <w:rsid w:val="009F5489"/>
    <w:rsid w:val="009F7495"/>
    <w:rsid w:val="00A00C68"/>
    <w:rsid w:val="00A01305"/>
    <w:rsid w:val="00A01D1B"/>
    <w:rsid w:val="00A02164"/>
    <w:rsid w:val="00A024A8"/>
    <w:rsid w:val="00A02FF0"/>
    <w:rsid w:val="00A0360B"/>
    <w:rsid w:val="00A03D06"/>
    <w:rsid w:val="00A061A4"/>
    <w:rsid w:val="00A10310"/>
    <w:rsid w:val="00A1067A"/>
    <w:rsid w:val="00A15857"/>
    <w:rsid w:val="00A2043F"/>
    <w:rsid w:val="00A207C9"/>
    <w:rsid w:val="00A20E8E"/>
    <w:rsid w:val="00A224CD"/>
    <w:rsid w:val="00A226AB"/>
    <w:rsid w:val="00A24398"/>
    <w:rsid w:val="00A24A62"/>
    <w:rsid w:val="00A250B5"/>
    <w:rsid w:val="00A2522A"/>
    <w:rsid w:val="00A26783"/>
    <w:rsid w:val="00A27AC7"/>
    <w:rsid w:val="00A27EA7"/>
    <w:rsid w:val="00A300E5"/>
    <w:rsid w:val="00A30D01"/>
    <w:rsid w:val="00A31C9F"/>
    <w:rsid w:val="00A32A8F"/>
    <w:rsid w:val="00A33C81"/>
    <w:rsid w:val="00A343B2"/>
    <w:rsid w:val="00A34E57"/>
    <w:rsid w:val="00A35F06"/>
    <w:rsid w:val="00A35F39"/>
    <w:rsid w:val="00A368E7"/>
    <w:rsid w:val="00A403D6"/>
    <w:rsid w:val="00A434A3"/>
    <w:rsid w:val="00A50C16"/>
    <w:rsid w:val="00A50C8A"/>
    <w:rsid w:val="00A530D1"/>
    <w:rsid w:val="00A57306"/>
    <w:rsid w:val="00A624B2"/>
    <w:rsid w:val="00A626DB"/>
    <w:rsid w:val="00A629D2"/>
    <w:rsid w:val="00A62F1C"/>
    <w:rsid w:val="00A63685"/>
    <w:rsid w:val="00A648C7"/>
    <w:rsid w:val="00A65AFC"/>
    <w:rsid w:val="00A667A6"/>
    <w:rsid w:val="00A671CE"/>
    <w:rsid w:val="00A671DA"/>
    <w:rsid w:val="00A67B33"/>
    <w:rsid w:val="00A71DC6"/>
    <w:rsid w:val="00A731AE"/>
    <w:rsid w:val="00A732B6"/>
    <w:rsid w:val="00A73D38"/>
    <w:rsid w:val="00A753A3"/>
    <w:rsid w:val="00A768A5"/>
    <w:rsid w:val="00A774B1"/>
    <w:rsid w:val="00A81B39"/>
    <w:rsid w:val="00A81E9A"/>
    <w:rsid w:val="00A839B3"/>
    <w:rsid w:val="00A84927"/>
    <w:rsid w:val="00A84F6D"/>
    <w:rsid w:val="00A85DDB"/>
    <w:rsid w:val="00A86DDD"/>
    <w:rsid w:val="00A87227"/>
    <w:rsid w:val="00A87BD4"/>
    <w:rsid w:val="00A90C82"/>
    <w:rsid w:val="00A933EA"/>
    <w:rsid w:val="00AA1D73"/>
    <w:rsid w:val="00AA2440"/>
    <w:rsid w:val="00AA2CB3"/>
    <w:rsid w:val="00AA37F7"/>
    <w:rsid w:val="00AA5957"/>
    <w:rsid w:val="00AA5A5E"/>
    <w:rsid w:val="00AA5DDA"/>
    <w:rsid w:val="00AA6B35"/>
    <w:rsid w:val="00AA7167"/>
    <w:rsid w:val="00AA76CD"/>
    <w:rsid w:val="00AA7855"/>
    <w:rsid w:val="00AA7AEF"/>
    <w:rsid w:val="00AA7C48"/>
    <w:rsid w:val="00AB1905"/>
    <w:rsid w:val="00AB19CF"/>
    <w:rsid w:val="00AB2003"/>
    <w:rsid w:val="00AB2D63"/>
    <w:rsid w:val="00AB30BF"/>
    <w:rsid w:val="00AB4C55"/>
    <w:rsid w:val="00AC05E4"/>
    <w:rsid w:val="00AC0C8A"/>
    <w:rsid w:val="00AC164A"/>
    <w:rsid w:val="00AC4B52"/>
    <w:rsid w:val="00AC5F3C"/>
    <w:rsid w:val="00AC7A7E"/>
    <w:rsid w:val="00AD28A0"/>
    <w:rsid w:val="00AD3532"/>
    <w:rsid w:val="00AD3B1A"/>
    <w:rsid w:val="00AD4B07"/>
    <w:rsid w:val="00AD6C9A"/>
    <w:rsid w:val="00AE025F"/>
    <w:rsid w:val="00AE0872"/>
    <w:rsid w:val="00AE3636"/>
    <w:rsid w:val="00AE63CA"/>
    <w:rsid w:val="00AE6A69"/>
    <w:rsid w:val="00AE6EBC"/>
    <w:rsid w:val="00AF0727"/>
    <w:rsid w:val="00AF1A18"/>
    <w:rsid w:val="00AF1A4F"/>
    <w:rsid w:val="00AF2050"/>
    <w:rsid w:val="00AF3133"/>
    <w:rsid w:val="00AF6AC4"/>
    <w:rsid w:val="00AF6BAB"/>
    <w:rsid w:val="00AF7284"/>
    <w:rsid w:val="00AF7AB1"/>
    <w:rsid w:val="00B06390"/>
    <w:rsid w:val="00B066EC"/>
    <w:rsid w:val="00B06B0D"/>
    <w:rsid w:val="00B109CF"/>
    <w:rsid w:val="00B10AA9"/>
    <w:rsid w:val="00B13934"/>
    <w:rsid w:val="00B15A59"/>
    <w:rsid w:val="00B15F4F"/>
    <w:rsid w:val="00B1636A"/>
    <w:rsid w:val="00B16668"/>
    <w:rsid w:val="00B16BE6"/>
    <w:rsid w:val="00B16E91"/>
    <w:rsid w:val="00B200D2"/>
    <w:rsid w:val="00B205E8"/>
    <w:rsid w:val="00B207A1"/>
    <w:rsid w:val="00B20801"/>
    <w:rsid w:val="00B20E78"/>
    <w:rsid w:val="00B22EC3"/>
    <w:rsid w:val="00B2380C"/>
    <w:rsid w:val="00B24C3D"/>
    <w:rsid w:val="00B250D3"/>
    <w:rsid w:val="00B31078"/>
    <w:rsid w:val="00B31167"/>
    <w:rsid w:val="00B319C8"/>
    <w:rsid w:val="00B335BF"/>
    <w:rsid w:val="00B33BB2"/>
    <w:rsid w:val="00B35386"/>
    <w:rsid w:val="00B37817"/>
    <w:rsid w:val="00B408D8"/>
    <w:rsid w:val="00B42725"/>
    <w:rsid w:val="00B43030"/>
    <w:rsid w:val="00B4424B"/>
    <w:rsid w:val="00B45DD3"/>
    <w:rsid w:val="00B45FBA"/>
    <w:rsid w:val="00B5083E"/>
    <w:rsid w:val="00B50DD7"/>
    <w:rsid w:val="00B51040"/>
    <w:rsid w:val="00B51C43"/>
    <w:rsid w:val="00B51CD3"/>
    <w:rsid w:val="00B53160"/>
    <w:rsid w:val="00B536DF"/>
    <w:rsid w:val="00B54712"/>
    <w:rsid w:val="00B551F4"/>
    <w:rsid w:val="00B5535A"/>
    <w:rsid w:val="00B56367"/>
    <w:rsid w:val="00B5756A"/>
    <w:rsid w:val="00B57CBB"/>
    <w:rsid w:val="00B60352"/>
    <w:rsid w:val="00B60A22"/>
    <w:rsid w:val="00B6148C"/>
    <w:rsid w:val="00B625B7"/>
    <w:rsid w:val="00B6312C"/>
    <w:rsid w:val="00B64C25"/>
    <w:rsid w:val="00B64D20"/>
    <w:rsid w:val="00B652BC"/>
    <w:rsid w:val="00B66E73"/>
    <w:rsid w:val="00B674D7"/>
    <w:rsid w:val="00B70B7F"/>
    <w:rsid w:val="00B71309"/>
    <w:rsid w:val="00B72FB3"/>
    <w:rsid w:val="00B74837"/>
    <w:rsid w:val="00B751D1"/>
    <w:rsid w:val="00B76189"/>
    <w:rsid w:val="00B777B8"/>
    <w:rsid w:val="00B8090B"/>
    <w:rsid w:val="00B822AD"/>
    <w:rsid w:val="00B82C70"/>
    <w:rsid w:val="00B84896"/>
    <w:rsid w:val="00B84E62"/>
    <w:rsid w:val="00B862D7"/>
    <w:rsid w:val="00B907EC"/>
    <w:rsid w:val="00B9122D"/>
    <w:rsid w:val="00B932FB"/>
    <w:rsid w:val="00B95147"/>
    <w:rsid w:val="00B9628A"/>
    <w:rsid w:val="00B97391"/>
    <w:rsid w:val="00B9777D"/>
    <w:rsid w:val="00B97D40"/>
    <w:rsid w:val="00BA0046"/>
    <w:rsid w:val="00BA3D28"/>
    <w:rsid w:val="00BA44E5"/>
    <w:rsid w:val="00BA54CF"/>
    <w:rsid w:val="00BA57A1"/>
    <w:rsid w:val="00BA6DFB"/>
    <w:rsid w:val="00BA6F4E"/>
    <w:rsid w:val="00BA7EF7"/>
    <w:rsid w:val="00BB0042"/>
    <w:rsid w:val="00BB26C5"/>
    <w:rsid w:val="00BB3E5E"/>
    <w:rsid w:val="00BB3F08"/>
    <w:rsid w:val="00BB5857"/>
    <w:rsid w:val="00BB5B78"/>
    <w:rsid w:val="00BC0625"/>
    <w:rsid w:val="00BC0731"/>
    <w:rsid w:val="00BC09E0"/>
    <w:rsid w:val="00BC18D2"/>
    <w:rsid w:val="00BC3BC8"/>
    <w:rsid w:val="00BC527A"/>
    <w:rsid w:val="00BC6A80"/>
    <w:rsid w:val="00BC76CC"/>
    <w:rsid w:val="00BD02A1"/>
    <w:rsid w:val="00BD10E0"/>
    <w:rsid w:val="00BD355E"/>
    <w:rsid w:val="00BD4B4C"/>
    <w:rsid w:val="00BD4CCE"/>
    <w:rsid w:val="00BD51B0"/>
    <w:rsid w:val="00BD57F1"/>
    <w:rsid w:val="00BD618C"/>
    <w:rsid w:val="00BD6313"/>
    <w:rsid w:val="00BE096B"/>
    <w:rsid w:val="00BE27D0"/>
    <w:rsid w:val="00BE29A1"/>
    <w:rsid w:val="00BE329A"/>
    <w:rsid w:val="00BE4298"/>
    <w:rsid w:val="00BE4E59"/>
    <w:rsid w:val="00BE67BA"/>
    <w:rsid w:val="00BF03F3"/>
    <w:rsid w:val="00BF228C"/>
    <w:rsid w:val="00BF4554"/>
    <w:rsid w:val="00BF4A20"/>
    <w:rsid w:val="00BF4DE6"/>
    <w:rsid w:val="00C02B4E"/>
    <w:rsid w:val="00C03287"/>
    <w:rsid w:val="00C035DB"/>
    <w:rsid w:val="00C048FF"/>
    <w:rsid w:val="00C05BD0"/>
    <w:rsid w:val="00C126E5"/>
    <w:rsid w:val="00C1336E"/>
    <w:rsid w:val="00C15CE9"/>
    <w:rsid w:val="00C1760E"/>
    <w:rsid w:val="00C17AF7"/>
    <w:rsid w:val="00C20907"/>
    <w:rsid w:val="00C22660"/>
    <w:rsid w:val="00C24420"/>
    <w:rsid w:val="00C24ECF"/>
    <w:rsid w:val="00C25B7D"/>
    <w:rsid w:val="00C25CF4"/>
    <w:rsid w:val="00C263A7"/>
    <w:rsid w:val="00C2649B"/>
    <w:rsid w:val="00C27A7B"/>
    <w:rsid w:val="00C27C04"/>
    <w:rsid w:val="00C30359"/>
    <w:rsid w:val="00C35991"/>
    <w:rsid w:val="00C35ADE"/>
    <w:rsid w:val="00C36FA2"/>
    <w:rsid w:val="00C37129"/>
    <w:rsid w:val="00C42321"/>
    <w:rsid w:val="00C42CDE"/>
    <w:rsid w:val="00C454D7"/>
    <w:rsid w:val="00C4658D"/>
    <w:rsid w:val="00C46AA3"/>
    <w:rsid w:val="00C47E1C"/>
    <w:rsid w:val="00C5070F"/>
    <w:rsid w:val="00C5084B"/>
    <w:rsid w:val="00C50BA6"/>
    <w:rsid w:val="00C50DBC"/>
    <w:rsid w:val="00C51BA2"/>
    <w:rsid w:val="00C52819"/>
    <w:rsid w:val="00C53942"/>
    <w:rsid w:val="00C55787"/>
    <w:rsid w:val="00C57487"/>
    <w:rsid w:val="00C57BDD"/>
    <w:rsid w:val="00C60FA7"/>
    <w:rsid w:val="00C611D7"/>
    <w:rsid w:val="00C649B5"/>
    <w:rsid w:val="00C665EF"/>
    <w:rsid w:val="00C67E2A"/>
    <w:rsid w:val="00C71CFD"/>
    <w:rsid w:val="00C72A5A"/>
    <w:rsid w:val="00C73B4C"/>
    <w:rsid w:val="00C7511D"/>
    <w:rsid w:val="00C75597"/>
    <w:rsid w:val="00C80192"/>
    <w:rsid w:val="00C83660"/>
    <w:rsid w:val="00C83A20"/>
    <w:rsid w:val="00C861A0"/>
    <w:rsid w:val="00C867B0"/>
    <w:rsid w:val="00C870EF"/>
    <w:rsid w:val="00C87A78"/>
    <w:rsid w:val="00C9030F"/>
    <w:rsid w:val="00C913FA"/>
    <w:rsid w:val="00C93FC2"/>
    <w:rsid w:val="00C94A85"/>
    <w:rsid w:val="00C975E7"/>
    <w:rsid w:val="00C97A1D"/>
    <w:rsid w:val="00CA0B04"/>
    <w:rsid w:val="00CA110A"/>
    <w:rsid w:val="00CA19B9"/>
    <w:rsid w:val="00CA28EA"/>
    <w:rsid w:val="00CA3404"/>
    <w:rsid w:val="00CA3725"/>
    <w:rsid w:val="00CA37B1"/>
    <w:rsid w:val="00CA398C"/>
    <w:rsid w:val="00CA3CAF"/>
    <w:rsid w:val="00CA6389"/>
    <w:rsid w:val="00CA731A"/>
    <w:rsid w:val="00CB0EE0"/>
    <w:rsid w:val="00CB1959"/>
    <w:rsid w:val="00CB20AF"/>
    <w:rsid w:val="00CB2B04"/>
    <w:rsid w:val="00CB2C06"/>
    <w:rsid w:val="00CB2E1E"/>
    <w:rsid w:val="00CB308C"/>
    <w:rsid w:val="00CB6D35"/>
    <w:rsid w:val="00CC0203"/>
    <w:rsid w:val="00CC0EF1"/>
    <w:rsid w:val="00CC2326"/>
    <w:rsid w:val="00CC3256"/>
    <w:rsid w:val="00CC5564"/>
    <w:rsid w:val="00CC5AB1"/>
    <w:rsid w:val="00CC61A0"/>
    <w:rsid w:val="00CC6BB0"/>
    <w:rsid w:val="00CC6C68"/>
    <w:rsid w:val="00CD0900"/>
    <w:rsid w:val="00CD1DD1"/>
    <w:rsid w:val="00CD38E1"/>
    <w:rsid w:val="00CD3E53"/>
    <w:rsid w:val="00CD5348"/>
    <w:rsid w:val="00CD7C8E"/>
    <w:rsid w:val="00CE04ED"/>
    <w:rsid w:val="00CE172A"/>
    <w:rsid w:val="00CE456E"/>
    <w:rsid w:val="00CE4E65"/>
    <w:rsid w:val="00CF1553"/>
    <w:rsid w:val="00CF269C"/>
    <w:rsid w:val="00CF2D10"/>
    <w:rsid w:val="00CF3858"/>
    <w:rsid w:val="00CF3D84"/>
    <w:rsid w:val="00CF41D9"/>
    <w:rsid w:val="00CF4547"/>
    <w:rsid w:val="00CF50AD"/>
    <w:rsid w:val="00CF6C7A"/>
    <w:rsid w:val="00CF6DF3"/>
    <w:rsid w:val="00D00240"/>
    <w:rsid w:val="00D006E9"/>
    <w:rsid w:val="00D018F5"/>
    <w:rsid w:val="00D0296C"/>
    <w:rsid w:val="00D07CC2"/>
    <w:rsid w:val="00D102ED"/>
    <w:rsid w:val="00D10AAF"/>
    <w:rsid w:val="00D116C6"/>
    <w:rsid w:val="00D11F64"/>
    <w:rsid w:val="00D132E4"/>
    <w:rsid w:val="00D1423C"/>
    <w:rsid w:val="00D14656"/>
    <w:rsid w:val="00D14E1A"/>
    <w:rsid w:val="00D15319"/>
    <w:rsid w:val="00D157AC"/>
    <w:rsid w:val="00D16CA8"/>
    <w:rsid w:val="00D1731B"/>
    <w:rsid w:val="00D17652"/>
    <w:rsid w:val="00D176CF"/>
    <w:rsid w:val="00D17B92"/>
    <w:rsid w:val="00D17DE7"/>
    <w:rsid w:val="00D20692"/>
    <w:rsid w:val="00D22869"/>
    <w:rsid w:val="00D2417F"/>
    <w:rsid w:val="00D27054"/>
    <w:rsid w:val="00D2735C"/>
    <w:rsid w:val="00D30B40"/>
    <w:rsid w:val="00D35D60"/>
    <w:rsid w:val="00D35F67"/>
    <w:rsid w:val="00D36E42"/>
    <w:rsid w:val="00D40745"/>
    <w:rsid w:val="00D4245E"/>
    <w:rsid w:val="00D44DBC"/>
    <w:rsid w:val="00D4524C"/>
    <w:rsid w:val="00D45389"/>
    <w:rsid w:val="00D45B38"/>
    <w:rsid w:val="00D46D82"/>
    <w:rsid w:val="00D53304"/>
    <w:rsid w:val="00D568F4"/>
    <w:rsid w:val="00D5739D"/>
    <w:rsid w:val="00D573EB"/>
    <w:rsid w:val="00D65C76"/>
    <w:rsid w:val="00D65C98"/>
    <w:rsid w:val="00D678E9"/>
    <w:rsid w:val="00D70D14"/>
    <w:rsid w:val="00D7275E"/>
    <w:rsid w:val="00D75D60"/>
    <w:rsid w:val="00D77E92"/>
    <w:rsid w:val="00D815CA"/>
    <w:rsid w:val="00D81AFF"/>
    <w:rsid w:val="00D81DBD"/>
    <w:rsid w:val="00D8202F"/>
    <w:rsid w:val="00D84F59"/>
    <w:rsid w:val="00D85993"/>
    <w:rsid w:val="00D86CE7"/>
    <w:rsid w:val="00D870F6"/>
    <w:rsid w:val="00D903D8"/>
    <w:rsid w:val="00D95AD1"/>
    <w:rsid w:val="00D95C0E"/>
    <w:rsid w:val="00D976AA"/>
    <w:rsid w:val="00D978EA"/>
    <w:rsid w:val="00DA160E"/>
    <w:rsid w:val="00DA25E5"/>
    <w:rsid w:val="00DA2C51"/>
    <w:rsid w:val="00DA329B"/>
    <w:rsid w:val="00DA485B"/>
    <w:rsid w:val="00DA502E"/>
    <w:rsid w:val="00DA7E54"/>
    <w:rsid w:val="00DB0943"/>
    <w:rsid w:val="00DB1048"/>
    <w:rsid w:val="00DB1AC6"/>
    <w:rsid w:val="00DB312F"/>
    <w:rsid w:val="00DB5090"/>
    <w:rsid w:val="00DB5436"/>
    <w:rsid w:val="00DB5935"/>
    <w:rsid w:val="00DB6424"/>
    <w:rsid w:val="00DB6D69"/>
    <w:rsid w:val="00DB6DDE"/>
    <w:rsid w:val="00DB70C4"/>
    <w:rsid w:val="00DC0CD9"/>
    <w:rsid w:val="00DC2110"/>
    <w:rsid w:val="00DC2750"/>
    <w:rsid w:val="00DC2C3C"/>
    <w:rsid w:val="00DC430B"/>
    <w:rsid w:val="00DC4618"/>
    <w:rsid w:val="00DC508D"/>
    <w:rsid w:val="00DC6534"/>
    <w:rsid w:val="00DC66B8"/>
    <w:rsid w:val="00DC7A19"/>
    <w:rsid w:val="00DC7DE0"/>
    <w:rsid w:val="00DD132C"/>
    <w:rsid w:val="00DD1634"/>
    <w:rsid w:val="00DD3020"/>
    <w:rsid w:val="00DD311E"/>
    <w:rsid w:val="00DD32D0"/>
    <w:rsid w:val="00DD6BAF"/>
    <w:rsid w:val="00DD72ED"/>
    <w:rsid w:val="00DD768A"/>
    <w:rsid w:val="00DD7AAE"/>
    <w:rsid w:val="00DD7EC4"/>
    <w:rsid w:val="00DE0EBB"/>
    <w:rsid w:val="00DE35EF"/>
    <w:rsid w:val="00DE5C35"/>
    <w:rsid w:val="00DE63E7"/>
    <w:rsid w:val="00DE6B05"/>
    <w:rsid w:val="00DE7F5E"/>
    <w:rsid w:val="00DF1385"/>
    <w:rsid w:val="00DF1828"/>
    <w:rsid w:val="00DF25F7"/>
    <w:rsid w:val="00DF293F"/>
    <w:rsid w:val="00DF32A1"/>
    <w:rsid w:val="00DF463D"/>
    <w:rsid w:val="00DF51F2"/>
    <w:rsid w:val="00DF675F"/>
    <w:rsid w:val="00DF7559"/>
    <w:rsid w:val="00DF7D78"/>
    <w:rsid w:val="00E00844"/>
    <w:rsid w:val="00E01269"/>
    <w:rsid w:val="00E02420"/>
    <w:rsid w:val="00E02C97"/>
    <w:rsid w:val="00E032D2"/>
    <w:rsid w:val="00E041BD"/>
    <w:rsid w:val="00E0607E"/>
    <w:rsid w:val="00E0687F"/>
    <w:rsid w:val="00E10524"/>
    <w:rsid w:val="00E10C89"/>
    <w:rsid w:val="00E15D15"/>
    <w:rsid w:val="00E16DF7"/>
    <w:rsid w:val="00E1734F"/>
    <w:rsid w:val="00E17F75"/>
    <w:rsid w:val="00E21D42"/>
    <w:rsid w:val="00E23D4B"/>
    <w:rsid w:val="00E24B91"/>
    <w:rsid w:val="00E30C08"/>
    <w:rsid w:val="00E31683"/>
    <w:rsid w:val="00E32121"/>
    <w:rsid w:val="00E33EAE"/>
    <w:rsid w:val="00E357B7"/>
    <w:rsid w:val="00E3581B"/>
    <w:rsid w:val="00E35B7E"/>
    <w:rsid w:val="00E37A38"/>
    <w:rsid w:val="00E424CA"/>
    <w:rsid w:val="00E43670"/>
    <w:rsid w:val="00E44D53"/>
    <w:rsid w:val="00E46158"/>
    <w:rsid w:val="00E479CD"/>
    <w:rsid w:val="00E47F62"/>
    <w:rsid w:val="00E515BF"/>
    <w:rsid w:val="00E51938"/>
    <w:rsid w:val="00E52E5A"/>
    <w:rsid w:val="00E53800"/>
    <w:rsid w:val="00E54E71"/>
    <w:rsid w:val="00E55D4F"/>
    <w:rsid w:val="00E55E35"/>
    <w:rsid w:val="00E56918"/>
    <w:rsid w:val="00E57C3A"/>
    <w:rsid w:val="00E6081F"/>
    <w:rsid w:val="00E62524"/>
    <w:rsid w:val="00E638FF"/>
    <w:rsid w:val="00E63D61"/>
    <w:rsid w:val="00E645C9"/>
    <w:rsid w:val="00E654A7"/>
    <w:rsid w:val="00E66432"/>
    <w:rsid w:val="00E67D07"/>
    <w:rsid w:val="00E70B24"/>
    <w:rsid w:val="00E73D1C"/>
    <w:rsid w:val="00E76D4F"/>
    <w:rsid w:val="00E7710D"/>
    <w:rsid w:val="00E771E6"/>
    <w:rsid w:val="00E777E2"/>
    <w:rsid w:val="00E820ED"/>
    <w:rsid w:val="00E843FF"/>
    <w:rsid w:val="00E84538"/>
    <w:rsid w:val="00E86D01"/>
    <w:rsid w:val="00E86EC8"/>
    <w:rsid w:val="00E9446C"/>
    <w:rsid w:val="00E94ADE"/>
    <w:rsid w:val="00E9616B"/>
    <w:rsid w:val="00E96E44"/>
    <w:rsid w:val="00E97117"/>
    <w:rsid w:val="00E972BB"/>
    <w:rsid w:val="00EA04B2"/>
    <w:rsid w:val="00EA0F0C"/>
    <w:rsid w:val="00EA1831"/>
    <w:rsid w:val="00EA20F3"/>
    <w:rsid w:val="00EA2C25"/>
    <w:rsid w:val="00EA3A64"/>
    <w:rsid w:val="00EA442C"/>
    <w:rsid w:val="00EA5028"/>
    <w:rsid w:val="00EA6B3E"/>
    <w:rsid w:val="00EA77CE"/>
    <w:rsid w:val="00EA7B74"/>
    <w:rsid w:val="00EB0BFE"/>
    <w:rsid w:val="00EB1DD4"/>
    <w:rsid w:val="00EB2E04"/>
    <w:rsid w:val="00EB356C"/>
    <w:rsid w:val="00EB4B69"/>
    <w:rsid w:val="00EB4FDA"/>
    <w:rsid w:val="00EB72DA"/>
    <w:rsid w:val="00EB7A03"/>
    <w:rsid w:val="00EB7C6F"/>
    <w:rsid w:val="00EC0829"/>
    <w:rsid w:val="00EC0BF8"/>
    <w:rsid w:val="00EC2567"/>
    <w:rsid w:val="00EC5CCC"/>
    <w:rsid w:val="00EC6C73"/>
    <w:rsid w:val="00EC71D5"/>
    <w:rsid w:val="00ED0B88"/>
    <w:rsid w:val="00ED3520"/>
    <w:rsid w:val="00ED3AC8"/>
    <w:rsid w:val="00ED43D1"/>
    <w:rsid w:val="00ED49C1"/>
    <w:rsid w:val="00ED53B0"/>
    <w:rsid w:val="00ED57F3"/>
    <w:rsid w:val="00ED598B"/>
    <w:rsid w:val="00EE1A76"/>
    <w:rsid w:val="00EE3171"/>
    <w:rsid w:val="00EE33B1"/>
    <w:rsid w:val="00EE4AE2"/>
    <w:rsid w:val="00EE4EE1"/>
    <w:rsid w:val="00EE503C"/>
    <w:rsid w:val="00EE5A17"/>
    <w:rsid w:val="00EE5A28"/>
    <w:rsid w:val="00EF0707"/>
    <w:rsid w:val="00EF30DB"/>
    <w:rsid w:val="00EF4574"/>
    <w:rsid w:val="00EF55AE"/>
    <w:rsid w:val="00EF5629"/>
    <w:rsid w:val="00EF5B10"/>
    <w:rsid w:val="00EF5C9D"/>
    <w:rsid w:val="00EF6ACB"/>
    <w:rsid w:val="00F01345"/>
    <w:rsid w:val="00F0165C"/>
    <w:rsid w:val="00F03039"/>
    <w:rsid w:val="00F045F2"/>
    <w:rsid w:val="00F04DED"/>
    <w:rsid w:val="00F10C66"/>
    <w:rsid w:val="00F1136F"/>
    <w:rsid w:val="00F11F79"/>
    <w:rsid w:val="00F14A6E"/>
    <w:rsid w:val="00F14BCB"/>
    <w:rsid w:val="00F1623A"/>
    <w:rsid w:val="00F17049"/>
    <w:rsid w:val="00F17FA6"/>
    <w:rsid w:val="00F20741"/>
    <w:rsid w:val="00F21522"/>
    <w:rsid w:val="00F23020"/>
    <w:rsid w:val="00F23BD6"/>
    <w:rsid w:val="00F2647E"/>
    <w:rsid w:val="00F2684E"/>
    <w:rsid w:val="00F26877"/>
    <w:rsid w:val="00F27CAB"/>
    <w:rsid w:val="00F31489"/>
    <w:rsid w:val="00F31AB0"/>
    <w:rsid w:val="00F328AB"/>
    <w:rsid w:val="00F41132"/>
    <w:rsid w:val="00F415C5"/>
    <w:rsid w:val="00F41D8E"/>
    <w:rsid w:val="00F42A2E"/>
    <w:rsid w:val="00F43137"/>
    <w:rsid w:val="00F43A27"/>
    <w:rsid w:val="00F43A9A"/>
    <w:rsid w:val="00F43B1E"/>
    <w:rsid w:val="00F4480A"/>
    <w:rsid w:val="00F466B8"/>
    <w:rsid w:val="00F46EAD"/>
    <w:rsid w:val="00F4782A"/>
    <w:rsid w:val="00F51195"/>
    <w:rsid w:val="00F5190F"/>
    <w:rsid w:val="00F53B86"/>
    <w:rsid w:val="00F55069"/>
    <w:rsid w:val="00F564E6"/>
    <w:rsid w:val="00F6147C"/>
    <w:rsid w:val="00F61D99"/>
    <w:rsid w:val="00F62D77"/>
    <w:rsid w:val="00F636FE"/>
    <w:rsid w:val="00F70346"/>
    <w:rsid w:val="00F70951"/>
    <w:rsid w:val="00F7257B"/>
    <w:rsid w:val="00F729EF"/>
    <w:rsid w:val="00F72C01"/>
    <w:rsid w:val="00F73210"/>
    <w:rsid w:val="00F74FAD"/>
    <w:rsid w:val="00F76CD9"/>
    <w:rsid w:val="00F77CAE"/>
    <w:rsid w:val="00F811F5"/>
    <w:rsid w:val="00F81990"/>
    <w:rsid w:val="00F822F3"/>
    <w:rsid w:val="00F83095"/>
    <w:rsid w:val="00F85507"/>
    <w:rsid w:val="00F96BB9"/>
    <w:rsid w:val="00F970CF"/>
    <w:rsid w:val="00F979EA"/>
    <w:rsid w:val="00FA0945"/>
    <w:rsid w:val="00FA512B"/>
    <w:rsid w:val="00FA515F"/>
    <w:rsid w:val="00FA7DCB"/>
    <w:rsid w:val="00FA7F4D"/>
    <w:rsid w:val="00FB0F26"/>
    <w:rsid w:val="00FB1558"/>
    <w:rsid w:val="00FB16C1"/>
    <w:rsid w:val="00FB1AD6"/>
    <w:rsid w:val="00FB392E"/>
    <w:rsid w:val="00FB44AA"/>
    <w:rsid w:val="00FB71B6"/>
    <w:rsid w:val="00FC042C"/>
    <w:rsid w:val="00FC0A36"/>
    <w:rsid w:val="00FC0AF4"/>
    <w:rsid w:val="00FC1DDF"/>
    <w:rsid w:val="00FC2999"/>
    <w:rsid w:val="00FC320D"/>
    <w:rsid w:val="00FC3A97"/>
    <w:rsid w:val="00FC4C9C"/>
    <w:rsid w:val="00FC5A74"/>
    <w:rsid w:val="00FC5FF9"/>
    <w:rsid w:val="00FC7334"/>
    <w:rsid w:val="00FD0A7F"/>
    <w:rsid w:val="00FD2427"/>
    <w:rsid w:val="00FD2D5B"/>
    <w:rsid w:val="00FD4BA3"/>
    <w:rsid w:val="00FD629C"/>
    <w:rsid w:val="00FE0CEB"/>
    <w:rsid w:val="00FE12C4"/>
    <w:rsid w:val="00FE1A4F"/>
    <w:rsid w:val="00FE2128"/>
    <w:rsid w:val="00FE3983"/>
    <w:rsid w:val="00FE42E2"/>
    <w:rsid w:val="00FE449B"/>
    <w:rsid w:val="00FE5CCB"/>
    <w:rsid w:val="00FE5D3A"/>
    <w:rsid w:val="00FE67B4"/>
    <w:rsid w:val="00FE6D51"/>
    <w:rsid w:val="00FE7293"/>
    <w:rsid w:val="00FE797A"/>
    <w:rsid w:val="00FF0D42"/>
    <w:rsid w:val="00FF5B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BA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F6D"/>
    <w:pPr>
      <w:suppressAutoHyphens/>
      <w:spacing w:before="140" w:after="60" w:line="280" w:lineRule="atLeast"/>
    </w:pPr>
    <w:rPr>
      <w:szCs w:val="28"/>
    </w:rPr>
  </w:style>
  <w:style w:type="paragraph" w:styleId="Heading1">
    <w:name w:val="heading 1"/>
    <w:basedOn w:val="Normal"/>
    <w:next w:val="Normal"/>
    <w:link w:val="Heading1Char"/>
    <w:uiPriority w:val="9"/>
    <w:qFormat/>
    <w:rsid w:val="00BC18D2"/>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rPr>
  </w:style>
  <w:style w:type="paragraph" w:styleId="Heading2">
    <w:name w:val="heading 2"/>
    <w:basedOn w:val="Heading1"/>
    <w:next w:val="Normal"/>
    <w:link w:val="Heading2Char"/>
    <w:uiPriority w:val="9"/>
    <w:unhideWhenUsed/>
    <w:rsid w:val="00BC18D2"/>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BC18D2"/>
    <w:pPr>
      <w:spacing w:line="340" w:lineRule="atLeast"/>
      <w:outlineLvl w:val="2"/>
    </w:pPr>
    <w:rPr>
      <w:bCs/>
      <w:sz w:val="30"/>
    </w:rPr>
  </w:style>
  <w:style w:type="paragraph" w:styleId="Heading4">
    <w:name w:val="heading 4"/>
    <w:basedOn w:val="Heading3"/>
    <w:next w:val="Normal"/>
    <w:link w:val="Heading4Char"/>
    <w:uiPriority w:val="9"/>
    <w:unhideWhenUsed/>
    <w:rsid w:val="00BC18D2"/>
    <w:pPr>
      <w:spacing w:before="240" w:line="300" w:lineRule="atLeast"/>
      <w:outlineLvl w:val="3"/>
    </w:pPr>
    <w:rPr>
      <w:iCs/>
      <w:sz w:val="26"/>
    </w:rPr>
  </w:style>
  <w:style w:type="paragraph" w:styleId="Heading5">
    <w:name w:val="heading 5"/>
    <w:basedOn w:val="Heading4"/>
    <w:next w:val="Normal"/>
    <w:link w:val="Heading5Char"/>
    <w:uiPriority w:val="9"/>
    <w:unhideWhenUsed/>
    <w:qFormat/>
    <w:rsid w:val="00BC18D2"/>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BC18D2"/>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BC18D2"/>
    <w:pPr>
      <w:outlineLvl w:val="6"/>
    </w:pPr>
    <w:rPr>
      <w:i w:val="0"/>
      <w:iCs w:val="0"/>
    </w:rPr>
  </w:style>
  <w:style w:type="paragraph" w:styleId="Heading8">
    <w:name w:val="heading 8"/>
    <w:basedOn w:val="Heading7"/>
    <w:next w:val="Normal"/>
    <w:link w:val="Heading8Char"/>
    <w:uiPriority w:val="9"/>
    <w:semiHidden/>
    <w:unhideWhenUsed/>
    <w:qFormat/>
    <w:rsid w:val="00BC18D2"/>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C18D2"/>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8D2"/>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uiPriority w:val="9"/>
    <w:rsid w:val="00BC18D2"/>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BC18D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ListBullet"/>
    <w:qFormat/>
    <w:rsid w:val="003E26AD"/>
    <w:pPr>
      <w:numPr>
        <w:numId w:val="11"/>
      </w:numPr>
      <w:spacing w:before="100" w:after="100" w:line="264" w:lineRule="auto"/>
      <w:contextualSpacing w:val="0"/>
    </w:pPr>
  </w:style>
  <w:style w:type="paragraph" w:customStyle="1" w:styleId="Bullet4">
    <w:name w:val="Bullet 4"/>
    <w:basedOn w:val="BodyText"/>
    <w:qFormat/>
    <w:rsid w:val="00D2417F"/>
    <w:pPr>
      <w:numPr>
        <w:ilvl w:val="2"/>
        <w:numId w:val="162"/>
      </w:numPr>
      <w:ind w:left="1701" w:right="0" w:hanging="425"/>
    </w:pPr>
  </w:style>
  <w:style w:type="paragraph" w:customStyle="1" w:styleId="Bullet2">
    <w:name w:val="Bullet 2"/>
    <w:basedOn w:val="ListBullet"/>
    <w:qFormat/>
    <w:rsid w:val="003E26AD"/>
    <w:pPr>
      <w:numPr>
        <w:numId w:val="88"/>
      </w:numPr>
      <w:spacing w:before="80" w:after="80"/>
      <w:ind w:left="850" w:right="272" w:hanging="425"/>
      <w:contextualSpacing w:val="0"/>
    </w:pPr>
  </w:style>
  <w:style w:type="paragraph" w:customStyle="1" w:styleId="NumberedList1">
    <w:name w:val="Numbered List 1"/>
    <w:basedOn w:val="Normal"/>
    <w:autoRedefine/>
    <w:qFormat/>
    <w:rsid w:val="00FE449B"/>
    <w:pPr>
      <w:widowControl w:val="0"/>
      <w:spacing w:before="80" w:after="80" w:line="240" w:lineRule="auto"/>
    </w:pPr>
    <w:rPr>
      <w:color w:val="FF0000"/>
      <w:u w:val="single"/>
    </w:rPr>
  </w:style>
  <w:style w:type="paragraph" w:customStyle="1" w:styleId="NumberedList2">
    <w:name w:val="Numbered List 2"/>
    <w:basedOn w:val="NumberedList1"/>
    <w:qFormat/>
    <w:rsid w:val="00A87BD4"/>
    <w:pPr>
      <w:numPr>
        <w:ilvl w:val="1"/>
        <w:numId w:val="89"/>
      </w:numPr>
      <w:ind w:left="284"/>
    </w:pPr>
  </w:style>
  <w:style w:type="paragraph" w:customStyle="1" w:styleId="NumberedList3">
    <w:name w:val="Numbered List 3"/>
    <w:basedOn w:val="NumberedList2"/>
    <w:qFormat/>
    <w:rsid w:val="00576566"/>
    <w:pPr>
      <w:numPr>
        <w:ilvl w:val="2"/>
      </w:numPr>
      <w:ind w:left="964" w:hanging="397"/>
    </w:pPr>
  </w:style>
  <w:style w:type="character" w:customStyle="1" w:styleId="UnresolvedMention">
    <w:name w:val="Unresolved Mention"/>
    <w:basedOn w:val="DefaultParagraphFont"/>
    <w:uiPriority w:val="99"/>
    <w:semiHidden/>
    <w:unhideWhenUsed/>
    <w:rsid w:val="00BE4298"/>
    <w:rPr>
      <w:color w:val="605E5C"/>
      <w:shd w:val="clear" w:color="auto" w:fill="E1DFDD"/>
    </w:rPr>
  </w:style>
  <w:style w:type="paragraph" w:customStyle="1" w:styleId="Heading2Numbered">
    <w:name w:val="Heading 2 Numbered"/>
    <w:basedOn w:val="Heading2"/>
    <w:next w:val="Normal"/>
    <w:qFormat/>
    <w:rsid w:val="00A87BD4"/>
    <w:pPr>
      <w:numPr>
        <w:ilvl w:val="1"/>
        <w:numId w:val="172"/>
      </w:numPr>
      <w:ind w:left="851" w:hanging="851"/>
    </w:pPr>
    <w:rPr>
      <w:bCs/>
    </w:rPr>
  </w:style>
  <w:style w:type="paragraph" w:customStyle="1" w:styleId="Bullet3">
    <w:name w:val="Bullet 3"/>
    <w:basedOn w:val="Bullet2"/>
    <w:qFormat/>
    <w:rsid w:val="00D2417F"/>
    <w:pPr>
      <w:numPr>
        <w:ilvl w:val="1"/>
        <w:numId w:val="90"/>
      </w:numPr>
      <w:ind w:left="1276" w:right="0" w:hanging="425"/>
    </w:p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outlineLvl w:val="9"/>
    </w:pPr>
    <w:rPr>
      <w:bCs w:val="0"/>
      <w:szCs w:val="32"/>
      <w:lang w:val="en-US"/>
    </w:rPr>
  </w:style>
  <w:style w:type="character" w:customStyle="1" w:styleId="Heading4Char">
    <w:name w:val="Heading 4 Char"/>
    <w:basedOn w:val="DefaultParagraphFont"/>
    <w:link w:val="Heading4"/>
    <w:uiPriority w:val="9"/>
    <w:rsid w:val="00BC18D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qFormat/>
    <w:rsid w:val="00A87BD4"/>
    <w:pPr>
      <w:tabs>
        <w:tab w:val="left" w:pos="567"/>
        <w:tab w:val="right" w:pos="9072"/>
      </w:tabs>
      <w:spacing w:after="180" w:line="230" w:lineRule="atLeast"/>
      <w:ind w:right="-434"/>
    </w:pPr>
    <w:rPr>
      <w:b/>
      <w:noProof/>
      <w:sz w:val="24"/>
    </w:rPr>
  </w:style>
  <w:style w:type="paragraph" w:styleId="TOC2">
    <w:name w:val="toc 2"/>
    <w:basedOn w:val="Normal"/>
    <w:next w:val="Normal"/>
    <w:autoRedefine/>
    <w:uiPriority w:val="39"/>
    <w:unhideWhenUsed/>
    <w:qFormat/>
    <w:rsid w:val="0014765A"/>
    <w:pPr>
      <w:tabs>
        <w:tab w:val="right" w:pos="9072"/>
      </w:tabs>
      <w:spacing w:before="100" w:after="140" w:line="230" w:lineRule="atLeast"/>
      <w:ind w:left="567" w:right="-6" w:hanging="567"/>
    </w:pPr>
    <w:rPr>
      <w:noProof/>
    </w:rPr>
  </w:style>
  <w:style w:type="paragraph" w:styleId="TOC3">
    <w:name w:val="toc 3"/>
    <w:basedOn w:val="Normal"/>
    <w:next w:val="Normal"/>
    <w:autoRedefine/>
    <w:uiPriority w:val="39"/>
    <w:unhideWhenUsed/>
    <w:qFormat/>
    <w:rsid w:val="0014765A"/>
    <w:pPr>
      <w:tabs>
        <w:tab w:val="left" w:pos="851"/>
        <w:tab w:val="right" w:pos="9072"/>
      </w:tabs>
      <w:spacing w:before="60" w:after="80"/>
      <w:ind w:left="850" w:right="-6" w:hanging="680"/>
    </w:pPr>
    <w:rPr>
      <w:noProof/>
    </w:r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Reports1">
    <w:name w:val="Reports 1"/>
    <w:basedOn w:val="BodyText"/>
    <w:qFormat/>
    <w:rsid w:val="00F979EA"/>
    <w:rPr>
      <w:i/>
      <w:color w:val="0070C0"/>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D018F5"/>
    <w:rPr>
      <w:rFonts w:ascii="Arial" w:hAnsi="Arial" w:cs="MuseoSans-500"/>
      <w:color w:val="0070C0"/>
      <w:sz w:val="22"/>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C18D2"/>
    <w:rPr>
      <w:rFonts w:asciiTheme="majorHAnsi" w:eastAsiaTheme="majorEastAsia" w:hAnsiTheme="majorHAnsi" w:cstheme="majorBidi"/>
      <w:bCs/>
      <w:i/>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BC18D2"/>
    <w:rPr>
      <w:rFonts w:asciiTheme="majorHAnsi" w:eastAsiaTheme="majorEastAsia" w:hAnsiTheme="majorHAnsi" w:cstheme="majorBidi"/>
      <w:bCs/>
      <w:i/>
      <w:iCs/>
      <w:color w:val="43838A" w:themeColor="accent1" w:themeShade="7F"/>
      <w:szCs w:val="26"/>
    </w:rPr>
  </w:style>
  <w:style w:type="character" w:customStyle="1" w:styleId="Heading7Char">
    <w:name w:val="Heading 7 Char"/>
    <w:basedOn w:val="DefaultParagraphFont"/>
    <w:link w:val="Heading7"/>
    <w:uiPriority w:val="9"/>
    <w:semiHidden/>
    <w:rsid w:val="00BC18D2"/>
    <w:rPr>
      <w:rFonts w:asciiTheme="majorHAnsi" w:eastAsiaTheme="majorEastAsia" w:hAnsiTheme="majorHAnsi" w:cstheme="majorBidi"/>
      <w:bCs/>
      <w:color w:val="43838A" w:themeColor="accent1" w:themeShade="7F"/>
      <w:szCs w:val="26"/>
    </w:rPr>
  </w:style>
  <w:style w:type="character" w:customStyle="1" w:styleId="Heading8Char">
    <w:name w:val="Heading 8 Char"/>
    <w:basedOn w:val="DefaultParagraphFont"/>
    <w:link w:val="Heading8"/>
    <w:uiPriority w:val="9"/>
    <w:semiHidden/>
    <w:rsid w:val="00BC18D2"/>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BC18D2"/>
    <w:rPr>
      <w:rFonts w:asciiTheme="majorHAnsi" w:eastAsiaTheme="majorEastAsia" w:hAnsiTheme="majorHAnsi" w:cstheme="majorBidi"/>
      <w:bCs/>
      <w:i/>
      <w:iCs/>
      <w:color w:val="272727" w:themeColor="text1" w:themeTint="D8"/>
      <w:sz w:val="21"/>
      <w:szCs w:val="21"/>
    </w:rPr>
  </w:style>
  <w:style w:type="paragraph" w:customStyle="1" w:styleId="Reports2">
    <w:name w:val="Reports 2"/>
    <w:basedOn w:val="Bullet1"/>
    <w:qFormat/>
    <w:rsid w:val="00F979EA"/>
    <w:rPr>
      <w:i/>
      <w:color w:val="0070C0"/>
    </w:rPr>
  </w:style>
  <w:style w:type="paragraph" w:customStyle="1" w:styleId="Reports3">
    <w:name w:val="Reports 3"/>
    <w:basedOn w:val="Reports2"/>
    <w:qFormat/>
    <w:rsid w:val="00905CB6"/>
    <w:pPr>
      <w:numPr>
        <w:numId w:val="104"/>
      </w:numPr>
      <w:ind w:left="851"/>
    </w:pPr>
  </w:style>
  <w:style w:type="paragraph" w:customStyle="1" w:styleId="IndentBlueText">
    <w:name w:val="Indent Blue Text"/>
    <w:basedOn w:val="ListBullet"/>
    <w:qFormat/>
    <w:rsid w:val="00117EF6"/>
    <w:pPr>
      <w:spacing w:after="120" w:line="280" w:lineRule="exact"/>
      <w:ind w:left="851" w:right="142" w:firstLine="0"/>
    </w:pPr>
    <w:rPr>
      <w:color w:val="0070C0"/>
    </w:rPr>
  </w:style>
  <w:style w:type="paragraph" w:customStyle="1" w:styleId="MeasuresExampleText">
    <w:name w:val="Measures Example Text"/>
    <w:basedOn w:val="Normal"/>
    <w:qFormat/>
    <w:rsid w:val="000C302A"/>
    <w:pPr>
      <w:spacing w:before="0" w:after="0" w:line="240" w:lineRule="auto"/>
    </w:pPr>
    <w:rPr>
      <w:rFonts w:ascii="Arial" w:eastAsia="Times New Roman" w:hAnsi="Arial" w:cs="Arial"/>
      <w:b/>
      <w:bCs/>
      <w:sz w:val="16"/>
      <w:szCs w:val="16"/>
      <w:lang w:eastAsia="en-AU"/>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PortfolioNumberingText">
    <w:name w:val="Portfolio Numbering Text"/>
    <w:basedOn w:val="Normal"/>
    <w:qFormat/>
    <w:rsid w:val="003D1B46"/>
    <w:pPr>
      <w:ind w:left="1167" w:hanging="850"/>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BodyText1">
    <w:name w:val="Body Text1"/>
    <w:link w:val="BodyText1Char"/>
    <w:semiHidden/>
    <w:rsid w:val="00FA0945"/>
    <w:pPr>
      <w:spacing w:after="113" w:line="260" w:lineRule="atLeast"/>
    </w:pPr>
    <w:rPr>
      <w:rFonts w:ascii="Cambria" w:eastAsia="Times New Roman" w:hAnsi="Cambria" w:cs="Times New Roman"/>
      <w:szCs w:val="24"/>
    </w:rPr>
  </w:style>
  <w:style w:type="numbering" w:customStyle="1" w:styleId="Bullets">
    <w:name w:val="Bullets"/>
    <w:basedOn w:val="NoList"/>
    <w:uiPriority w:val="99"/>
    <w:rsid w:val="00FA0945"/>
    <w:pPr>
      <w:numPr>
        <w:numId w:val="22"/>
      </w:numPr>
    </w:pPr>
  </w:style>
  <w:style w:type="paragraph" w:customStyle="1" w:styleId="Footertext">
    <w:name w:val="Footer text"/>
    <w:semiHidden/>
    <w:rsid w:val="00FA0945"/>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FA0945"/>
    <w:pPr>
      <w:spacing w:before="85" w:after="85" w:line="240" w:lineRule="auto"/>
    </w:pPr>
    <w:rPr>
      <w:rFonts w:ascii="Arial" w:eastAsia="Times New Roman" w:hAnsi="Arial" w:cs="Arial"/>
      <w:i/>
      <w:sz w:val="12"/>
      <w:szCs w:val="12"/>
    </w:rPr>
  </w:style>
  <w:style w:type="numbering" w:customStyle="1" w:styleId="Numbers">
    <w:name w:val="Numbers"/>
    <w:basedOn w:val="NoList"/>
    <w:rsid w:val="00FA0945"/>
    <w:pPr>
      <w:numPr>
        <w:numId w:val="21"/>
      </w:numPr>
    </w:pPr>
  </w:style>
  <w:style w:type="paragraph" w:customStyle="1" w:styleId="Tablebodytext">
    <w:name w:val="Table body text"/>
    <w:qFormat/>
    <w:rsid w:val="00FA0945"/>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FA0945"/>
    <w:pPr>
      <w:numPr>
        <w:ilvl w:val="6"/>
        <w:numId w:val="22"/>
      </w:numPr>
    </w:pPr>
  </w:style>
  <w:style w:type="paragraph" w:customStyle="1" w:styleId="Tablebullets1stindent">
    <w:name w:val="Table bullets (1st indent)"/>
    <w:basedOn w:val="Tablebodytext"/>
    <w:qFormat/>
    <w:rsid w:val="00FA0945"/>
    <w:pPr>
      <w:numPr>
        <w:ilvl w:val="5"/>
        <w:numId w:val="22"/>
      </w:numPr>
    </w:pPr>
  </w:style>
  <w:style w:type="paragraph" w:customStyle="1" w:styleId="Tablecolumnheading">
    <w:name w:val="Table column heading"/>
    <w:basedOn w:val="Tablebodytext"/>
    <w:qFormat/>
    <w:rsid w:val="00FA0945"/>
    <w:pPr>
      <w:keepNext/>
    </w:pPr>
    <w:rPr>
      <w:b/>
      <w:szCs w:val="18"/>
    </w:rPr>
  </w:style>
  <w:style w:type="paragraph" w:customStyle="1" w:styleId="Tabletitle">
    <w:name w:val="Table title"/>
    <w:next w:val="BodyText1"/>
    <w:qFormat/>
    <w:rsid w:val="00FA0945"/>
    <w:pPr>
      <w:keepNext/>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FA0945"/>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FA0945"/>
    <w:pPr>
      <w:suppressAutoHyphens w:val="0"/>
      <w:spacing w:before="0" w:after="20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FA0945"/>
    <w:rPr>
      <w:rFonts w:ascii="Tahoma" w:eastAsia="Cambria" w:hAnsi="Tahoma" w:cs="Tahoma"/>
      <w:sz w:val="16"/>
      <w:szCs w:val="16"/>
    </w:rPr>
  </w:style>
  <w:style w:type="paragraph" w:customStyle="1" w:styleId="Subtitle2">
    <w:name w:val="Subtitle 2"/>
    <w:uiPriority w:val="2"/>
    <w:semiHidden/>
    <w:rsid w:val="00FA0945"/>
    <w:pPr>
      <w:spacing w:before="200" w:after="0" w:line="240" w:lineRule="auto"/>
      <w:contextualSpacing/>
    </w:pPr>
    <w:rPr>
      <w:rFonts w:ascii="Arial" w:eastAsia="Times New Roman" w:hAnsi="Arial" w:cs="Times New Roman"/>
      <w:caps/>
      <w:color w:val="1C2735"/>
      <w:kern w:val="28"/>
      <w:szCs w:val="32"/>
    </w:rPr>
  </w:style>
  <w:style w:type="paragraph" w:styleId="Quote">
    <w:name w:val="Quote"/>
    <w:link w:val="QuoteChar"/>
    <w:qFormat/>
    <w:rsid w:val="00FA0945"/>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FA0945"/>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FA0945"/>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uiPriority w:val="1"/>
    <w:semiHidden/>
    <w:qFormat/>
    <w:rsid w:val="00FA0945"/>
    <w:rPr>
      <w:rFonts w:ascii="Arial Black" w:hAnsi="Arial Black"/>
      <w:color w:val="005A77"/>
    </w:rPr>
  </w:style>
  <w:style w:type="paragraph" w:customStyle="1" w:styleId="Notetitle">
    <w:name w:val="Note title"/>
    <w:qFormat/>
    <w:rsid w:val="00FA0945"/>
    <w:pPr>
      <w:keepNext/>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uiPriority w:val="1"/>
    <w:semiHidden/>
    <w:qFormat/>
    <w:rsid w:val="00FA0945"/>
    <w:rPr>
      <w:color w:val="1C2735"/>
      <w:lang w:val="en-AU"/>
    </w:rPr>
  </w:style>
  <w:style w:type="paragraph" w:customStyle="1" w:styleId="Boxed2Text-Bullet1">
    <w:name w:val="Boxed 2 Text - Bullet 1"/>
    <w:basedOn w:val="Boxed2Text"/>
    <w:qFormat/>
    <w:rsid w:val="00C1760E"/>
    <w:pPr>
      <w:numPr>
        <w:numId w:val="174"/>
      </w:numPr>
      <w:spacing w:before="0"/>
      <w:ind w:left="709" w:hanging="425"/>
    </w:pPr>
  </w:style>
  <w:style w:type="paragraph" w:customStyle="1" w:styleId="Heading4nonumbers">
    <w:name w:val="Heading 4 (no numbers)"/>
    <w:basedOn w:val="Heading4"/>
    <w:next w:val="BodyText1"/>
    <w:link w:val="Heading4nonumbersChar"/>
    <w:qFormat/>
    <w:rsid w:val="00E35B7E"/>
    <w:pPr>
      <w:spacing w:before="260" w:line="240" w:lineRule="auto"/>
    </w:pPr>
    <w:rPr>
      <w:rFonts w:eastAsia="MS Gothic"/>
      <w:color w:val="005A77"/>
      <w:sz w:val="28"/>
      <w:szCs w:val="24"/>
    </w:rPr>
  </w:style>
  <w:style w:type="character" w:customStyle="1" w:styleId="Heading4nonumbersChar">
    <w:name w:val="Heading 4 (no numbers) Char"/>
    <w:basedOn w:val="Heading4Char"/>
    <w:link w:val="Heading4nonumbers"/>
    <w:rsid w:val="00E35B7E"/>
    <w:rPr>
      <w:rFonts w:asciiTheme="majorHAnsi" w:eastAsia="MS Gothic" w:hAnsiTheme="majorHAnsi" w:cstheme="majorBidi"/>
      <w:bCs/>
      <w:iCs/>
      <w:color w:val="005A77"/>
      <w:sz w:val="28"/>
      <w:szCs w:val="24"/>
    </w:rPr>
  </w:style>
  <w:style w:type="paragraph" w:customStyle="1" w:styleId="Boxtitle">
    <w:name w:val="Box title"/>
    <w:basedOn w:val="Normal"/>
    <w:uiPriority w:val="1"/>
    <w:unhideWhenUsed/>
    <w:rsid w:val="00846B1F"/>
    <w:pPr>
      <w:suppressAutoHyphens w:val="0"/>
      <w:spacing w:before="113" w:after="113" w:line="240" w:lineRule="atLeast"/>
    </w:pPr>
    <w:rPr>
      <w:rFonts w:ascii="Arial" w:eastAsia="Times New Roman" w:hAnsi="Arial" w:cs="Times New Roman"/>
      <w:b/>
      <w:color w:val="005A77"/>
      <w:szCs w:val="24"/>
    </w:rPr>
  </w:style>
  <w:style w:type="table" w:customStyle="1" w:styleId="DOFDplain">
    <w:name w:val="DOFD plain"/>
    <w:basedOn w:val="TableNormal"/>
    <w:uiPriority w:val="99"/>
    <w:qFormat/>
    <w:rsid w:val="00FA0945"/>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FA0945"/>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tcBorders>
          <w:top w:val="single" w:sz="2" w:space="0" w:color="A7B4BE"/>
          <w:left w:val="nil"/>
          <w:bottom w:val="single" w:sz="2" w:space="0" w:color="A7B4BE"/>
          <w:right w:val="nil"/>
          <w:insideH w:val="single" w:sz="2" w:space="0" w:color="A7B4BE"/>
          <w:insideV w:val="single" w:sz="2" w:space="0" w:color="A7B4BE"/>
          <w:tl2br w:val="nil"/>
          <w:tr2bl w:val="nil"/>
        </w:tcBorders>
        <w:shd w:val="clear" w:color="auto" w:fill="DDF3FA"/>
      </w:tcPr>
    </w:tblStylePr>
  </w:style>
  <w:style w:type="paragraph" w:styleId="BodyText">
    <w:name w:val="Body Text"/>
    <w:basedOn w:val="Normal"/>
    <w:link w:val="BodyTextChar"/>
    <w:uiPriority w:val="1"/>
    <w:qFormat/>
    <w:rsid w:val="0055235A"/>
    <w:pPr>
      <w:suppressAutoHyphens w:val="0"/>
      <w:spacing w:before="120" w:after="120" w:line="264" w:lineRule="auto"/>
      <w:ind w:right="272"/>
    </w:pPr>
    <w:rPr>
      <w:rFonts w:eastAsia="Cambria" w:cs="Times New Roman"/>
    </w:rPr>
  </w:style>
  <w:style w:type="character" w:customStyle="1" w:styleId="BodyTextChar">
    <w:name w:val="Body Text Char"/>
    <w:basedOn w:val="DefaultParagraphFont"/>
    <w:link w:val="BodyText"/>
    <w:uiPriority w:val="1"/>
    <w:rsid w:val="0055235A"/>
    <w:rPr>
      <w:rFonts w:eastAsia="Cambria" w:cs="Times New Roman"/>
    </w:rPr>
  </w:style>
  <w:style w:type="character" w:customStyle="1" w:styleId="BodyText1Char">
    <w:name w:val="Body Text1 Char"/>
    <w:link w:val="BodyText1"/>
    <w:semiHidden/>
    <w:rsid w:val="00FA0945"/>
    <w:rPr>
      <w:rFonts w:ascii="Cambria" w:eastAsia="Times New Roman" w:hAnsi="Cambria" w:cs="Times New Roman"/>
      <w:szCs w:val="24"/>
    </w:rPr>
  </w:style>
  <w:style w:type="character" w:styleId="CommentReference">
    <w:name w:val="annotation reference"/>
    <w:uiPriority w:val="99"/>
    <w:semiHidden/>
    <w:rsid w:val="00FA0945"/>
    <w:rPr>
      <w:sz w:val="16"/>
      <w:szCs w:val="16"/>
    </w:rPr>
  </w:style>
  <w:style w:type="paragraph" w:styleId="CommentText">
    <w:name w:val="annotation text"/>
    <w:basedOn w:val="Normal"/>
    <w:link w:val="CommentTextChar"/>
    <w:uiPriority w:val="99"/>
    <w:qFormat/>
    <w:rsid w:val="007B5237"/>
    <w:pPr>
      <w:suppressAutoHyphens w:val="0"/>
      <w:spacing w:before="0" w:after="200" w:line="240" w:lineRule="auto"/>
    </w:pPr>
    <w:rPr>
      <w:rFonts w:ascii="Calibri" w:eastAsia="Cambria" w:hAnsi="Calibri" w:cs="Times New Roman"/>
      <w:sz w:val="14"/>
      <w:szCs w:val="20"/>
    </w:rPr>
  </w:style>
  <w:style w:type="character" w:customStyle="1" w:styleId="CommentTextChar">
    <w:name w:val="Comment Text Char"/>
    <w:basedOn w:val="DefaultParagraphFont"/>
    <w:link w:val="CommentText"/>
    <w:uiPriority w:val="99"/>
    <w:rsid w:val="007B5237"/>
    <w:rPr>
      <w:rFonts w:ascii="Calibri" w:eastAsia="Cambria" w:hAnsi="Calibri" w:cs="Times New Roman"/>
      <w:sz w:val="14"/>
      <w:szCs w:val="20"/>
    </w:rPr>
  </w:style>
  <w:style w:type="paragraph" w:styleId="ListNumber">
    <w:name w:val="List Number"/>
    <w:basedOn w:val="Normal"/>
    <w:qFormat/>
    <w:rsid w:val="00FA0945"/>
    <w:pPr>
      <w:tabs>
        <w:tab w:val="num" w:pos="360"/>
      </w:tabs>
      <w:suppressAutoHyphens w:val="0"/>
      <w:spacing w:before="0" w:after="240" w:line="240" w:lineRule="auto"/>
      <w:ind w:left="360" w:hanging="360"/>
      <w:contextualSpacing/>
    </w:pPr>
    <w:rPr>
      <w:rFonts w:ascii="Cambria" w:eastAsia="Cambria" w:hAnsi="Cambria" w:cs="Times New Roman"/>
    </w:rPr>
  </w:style>
  <w:style w:type="paragraph" w:styleId="ListNumber2">
    <w:name w:val="List Number 2"/>
    <w:basedOn w:val="Normal"/>
    <w:uiPriority w:val="99"/>
    <w:rsid w:val="00FA0945"/>
    <w:pPr>
      <w:tabs>
        <w:tab w:val="num" w:pos="643"/>
      </w:tabs>
      <w:suppressAutoHyphens w:val="0"/>
      <w:spacing w:before="0" w:after="200" w:line="240" w:lineRule="auto"/>
      <w:ind w:left="643" w:hanging="360"/>
      <w:contextualSpacing/>
    </w:pPr>
    <w:rPr>
      <w:rFonts w:ascii="Cambria" w:eastAsia="Cambria" w:hAnsi="Cambria" w:cs="Times New Roman"/>
    </w:rPr>
  </w:style>
  <w:style w:type="paragraph" w:styleId="ListBullet">
    <w:name w:val="List Bullet"/>
    <w:basedOn w:val="Normal"/>
    <w:qFormat/>
    <w:rsid w:val="00E86EC8"/>
    <w:pPr>
      <w:suppressAutoHyphens w:val="0"/>
      <w:spacing w:before="0" w:after="240" w:line="240" w:lineRule="auto"/>
      <w:ind w:left="360" w:hanging="360"/>
      <w:contextualSpacing/>
    </w:pPr>
    <w:rPr>
      <w:rFonts w:ascii="Arial" w:eastAsia="Cambria" w:hAnsi="Arial" w:cs="Times New Roman"/>
    </w:rPr>
  </w:style>
  <w:style w:type="table" w:customStyle="1" w:styleId="DOFDtexttable">
    <w:name w:val="DOFD_text table"/>
    <w:basedOn w:val="TableNormal"/>
    <w:uiPriority w:val="99"/>
    <w:qFormat/>
    <w:rsid w:val="00FA0945"/>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72CE9B"/>
        <w:tcMar>
          <w:top w:w="113" w:type="dxa"/>
          <w:left w:w="0" w:type="nil"/>
          <w:bottom w:w="113" w:type="dxa"/>
          <w:right w:w="0" w:type="nil"/>
        </w:tcMar>
      </w:tcPr>
    </w:tblStylePr>
  </w:style>
  <w:style w:type="paragraph" w:styleId="EndnoteText">
    <w:name w:val="endnote text"/>
    <w:basedOn w:val="Normal"/>
    <w:link w:val="EndnoteTextChar"/>
    <w:uiPriority w:val="99"/>
    <w:semiHidden/>
    <w:rsid w:val="00FA0945"/>
    <w:pPr>
      <w:suppressAutoHyphens w:val="0"/>
      <w:spacing w:before="0" w:after="200" w:line="240" w:lineRule="auto"/>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FA0945"/>
    <w:rPr>
      <w:rFonts w:ascii="Cambria" w:eastAsia="Cambria" w:hAnsi="Cambria" w:cs="Times New Roman"/>
      <w:szCs w:val="20"/>
    </w:rPr>
  </w:style>
  <w:style w:type="character" w:styleId="EndnoteReference">
    <w:name w:val="endnote reference"/>
    <w:uiPriority w:val="99"/>
    <w:semiHidden/>
    <w:rsid w:val="00FA0945"/>
    <w:rPr>
      <w:vertAlign w:val="superscript"/>
    </w:rPr>
  </w:style>
  <w:style w:type="paragraph" w:styleId="List3">
    <w:name w:val="List 3"/>
    <w:basedOn w:val="Normal"/>
    <w:qFormat/>
    <w:rsid w:val="00846B1F"/>
    <w:pPr>
      <w:numPr>
        <w:ilvl w:val="5"/>
      </w:numPr>
      <w:suppressAutoHyphens w:val="0"/>
      <w:spacing w:before="0" w:after="0" w:line="240" w:lineRule="auto"/>
      <w:ind w:left="1135" w:hanging="284"/>
    </w:pPr>
    <w:rPr>
      <w:rFonts w:ascii="Cambria" w:eastAsia="Times New Roman" w:hAnsi="Cambria" w:cs="Times New Roman"/>
      <w:szCs w:val="24"/>
    </w:rPr>
  </w:style>
  <w:style w:type="character" w:styleId="FollowedHyperlink">
    <w:name w:val="FollowedHyperlink"/>
    <w:uiPriority w:val="99"/>
    <w:semiHidden/>
    <w:rsid w:val="00FA0945"/>
    <w:rPr>
      <w:color w:val="800080"/>
      <w:u w:val="single"/>
    </w:rPr>
  </w:style>
  <w:style w:type="paragraph" w:styleId="Revision">
    <w:name w:val="Revision"/>
    <w:hidden/>
    <w:uiPriority w:val="99"/>
    <w:semiHidden/>
    <w:rsid w:val="00FA0945"/>
    <w:pPr>
      <w:spacing w:after="0" w:line="240" w:lineRule="auto"/>
    </w:pPr>
    <w:rPr>
      <w:rFonts w:ascii="Cambria" w:eastAsia="Cambria" w:hAnsi="Cambria" w:cs="Times New Roman"/>
    </w:rPr>
  </w:style>
  <w:style w:type="numbering" w:styleId="111111">
    <w:name w:val="Outline List 2"/>
    <w:basedOn w:val="NoList"/>
    <w:semiHidden/>
    <w:unhideWhenUsed/>
    <w:rsid w:val="00FA0945"/>
    <w:pPr>
      <w:numPr>
        <w:numId w:val="33"/>
      </w:numPr>
    </w:pPr>
  </w:style>
  <w:style w:type="paragraph" w:customStyle="1" w:styleId="OutlineNumbered1">
    <w:name w:val="Outline Numbered 1"/>
    <w:basedOn w:val="Normal"/>
    <w:rsid w:val="00FA0945"/>
    <w:pPr>
      <w:numPr>
        <w:numId w:val="34"/>
      </w:numPr>
      <w:suppressAutoHyphens w:val="0"/>
      <w:spacing w:before="80" w:after="0" w:line="240" w:lineRule="auto"/>
    </w:pPr>
    <w:rPr>
      <w:rFonts w:ascii="Arial" w:eastAsia="Times New Roman" w:hAnsi="Arial" w:cs="Times New Roman"/>
      <w:sz w:val="18"/>
      <w:szCs w:val="20"/>
      <w:lang w:eastAsia="en-AU"/>
    </w:rPr>
  </w:style>
  <w:style w:type="paragraph" w:customStyle="1" w:styleId="OutlineNumbered2">
    <w:name w:val="Outline Numbered 2"/>
    <w:basedOn w:val="Normal"/>
    <w:rsid w:val="00FA0945"/>
    <w:pPr>
      <w:numPr>
        <w:ilvl w:val="1"/>
        <w:numId w:val="34"/>
      </w:numPr>
      <w:suppressAutoHyphens w:val="0"/>
      <w:spacing w:before="80" w:after="0" w:line="240" w:lineRule="auto"/>
    </w:pPr>
    <w:rPr>
      <w:rFonts w:ascii="Arial" w:eastAsia="Times New Roman" w:hAnsi="Arial" w:cs="Times New Roman"/>
      <w:sz w:val="18"/>
      <w:szCs w:val="20"/>
      <w:lang w:eastAsia="en-AU"/>
    </w:rPr>
  </w:style>
  <w:style w:type="paragraph" w:customStyle="1" w:styleId="OutlineNumbered3">
    <w:name w:val="Outline Numbered 3"/>
    <w:basedOn w:val="Normal"/>
    <w:rsid w:val="00FA0945"/>
    <w:pPr>
      <w:numPr>
        <w:ilvl w:val="2"/>
        <w:numId w:val="34"/>
      </w:numPr>
      <w:suppressAutoHyphens w:val="0"/>
      <w:spacing w:before="80" w:after="0" w:line="240" w:lineRule="auto"/>
    </w:pPr>
    <w:rPr>
      <w:rFonts w:ascii="Arial" w:eastAsia="Times New Roman" w:hAnsi="Arial" w:cs="Times New Roman"/>
      <w:sz w:val="18"/>
      <w:szCs w:val="20"/>
      <w:lang w:eastAsia="en-AU"/>
    </w:rPr>
  </w:style>
  <w:style w:type="paragraph" w:styleId="CommentSubject">
    <w:name w:val="annotation subject"/>
    <w:basedOn w:val="CommentText"/>
    <w:next w:val="CommentText"/>
    <w:link w:val="CommentSubjectChar"/>
    <w:uiPriority w:val="99"/>
    <w:semiHidden/>
    <w:rsid w:val="00FA0945"/>
    <w:rPr>
      <w:b/>
      <w:bCs/>
      <w:sz w:val="20"/>
    </w:rPr>
  </w:style>
  <w:style w:type="character" w:customStyle="1" w:styleId="CommentSubjectChar">
    <w:name w:val="Comment Subject Char"/>
    <w:basedOn w:val="CommentTextChar"/>
    <w:link w:val="CommentSubject"/>
    <w:uiPriority w:val="99"/>
    <w:semiHidden/>
    <w:rsid w:val="00FA0945"/>
    <w:rPr>
      <w:rFonts w:ascii="Cambria" w:eastAsia="Cambria" w:hAnsi="Cambria" w:cs="Times New Roman"/>
      <w:b/>
      <w:bCs/>
      <w:sz w:val="20"/>
      <w:szCs w:val="20"/>
    </w:rPr>
  </w:style>
  <w:style w:type="paragraph" w:customStyle="1" w:styleId="Exampletext">
    <w:name w:val="Example text"/>
    <w:basedOn w:val="Normal"/>
    <w:link w:val="ExampletextCharChar"/>
    <w:rsid w:val="00FA0945"/>
    <w:pPr>
      <w:suppressAutoHyphens w:val="0"/>
      <w:spacing w:before="0" w:after="240" w:line="260" w:lineRule="exact"/>
      <w:jc w:val="both"/>
    </w:pPr>
    <w:rPr>
      <w:rFonts w:ascii="Book Antiqua" w:eastAsia="Times New Roman" w:hAnsi="Book Antiqua" w:cs="Times New Roman"/>
      <w:i/>
      <w:color w:val="FF0000"/>
      <w:szCs w:val="20"/>
      <w:lang w:val="x-none" w:eastAsia="x-none"/>
    </w:rPr>
  </w:style>
  <w:style w:type="character" w:customStyle="1" w:styleId="ExampletextCharChar">
    <w:name w:val="Example text Char Char"/>
    <w:link w:val="Exampletext"/>
    <w:rsid w:val="00FA0945"/>
    <w:rPr>
      <w:rFonts w:ascii="Book Antiqua" w:eastAsia="Times New Roman" w:hAnsi="Book Antiqua" w:cs="Times New Roman"/>
      <w:i/>
      <w:color w:val="FF0000"/>
      <w:sz w:val="20"/>
      <w:szCs w:val="20"/>
      <w:lang w:val="x-none" w:eastAsia="x-none"/>
    </w:rPr>
  </w:style>
  <w:style w:type="paragraph" w:customStyle="1" w:styleId="ChartandTableFootnote">
    <w:name w:val="Chart and Table Footnote"/>
    <w:basedOn w:val="Normal"/>
    <w:next w:val="Normal"/>
    <w:link w:val="ChartandTableFootnoteChar"/>
    <w:rsid w:val="00FA0945"/>
    <w:pPr>
      <w:keepNext/>
      <w:tabs>
        <w:tab w:val="left" w:pos="284"/>
      </w:tabs>
      <w:suppressAutoHyphens w:val="0"/>
      <w:spacing w:before="0" w:after="0" w:line="240" w:lineRule="auto"/>
      <w:ind w:left="284" w:hanging="284"/>
      <w:jc w:val="both"/>
    </w:pPr>
    <w:rPr>
      <w:rFonts w:ascii="Arial" w:eastAsia="Times New Roman" w:hAnsi="Arial" w:cs="Times New Roman"/>
      <w:sz w:val="16"/>
      <w:szCs w:val="20"/>
      <w:lang w:val="x-none" w:eastAsia="x-none"/>
    </w:rPr>
  </w:style>
  <w:style w:type="character" w:customStyle="1" w:styleId="ChartandTableFootnoteChar">
    <w:name w:val="Chart and Table Footnote Char"/>
    <w:link w:val="ChartandTableFootnote"/>
    <w:rsid w:val="00FA0945"/>
    <w:rPr>
      <w:rFonts w:ascii="Arial" w:eastAsia="Times New Roman" w:hAnsi="Arial" w:cs="Times New Roman"/>
      <w:sz w:val="16"/>
      <w:szCs w:val="20"/>
      <w:lang w:val="x-none" w:eastAsia="x-none"/>
    </w:rPr>
  </w:style>
  <w:style w:type="paragraph" w:styleId="ListParagraph">
    <w:name w:val="List Paragraph"/>
    <w:basedOn w:val="Normal"/>
    <w:link w:val="ListParagraphChar"/>
    <w:uiPriority w:val="34"/>
    <w:qFormat/>
    <w:rsid w:val="00B751D1"/>
    <w:pPr>
      <w:widowControl w:val="0"/>
      <w:suppressAutoHyphens w:val="0"/>
      <w:autoSpaceDE w:val="0"/>
      <w:autoSpaceDN w:val="0"/>
      <w:spacing w:before="118" w:after="0" w:line="240" w:lineRule="auto"/>
      <w:ind w:left="664" w:hanging="360"/>
    </w:pPr>
    <w:rPr>
      <w:rFonts w:ascii="Cambria" w:eastAsia="Cambria" w:hAnsi="Cambria" w:cs="Cambria"/>
      <w:lang w:val="en-US"/>
    </w:rPr>
  </w:style>
  <w:style w:type="paragraph" w:customStyle="1" w:styleId="TableParagraph">
    <w:name w:val="Table Paragraph"/>
    <w:basedOn w:val="Normal"/>
    <w:uiPriority w:val="1"/>
    <w:qFormat/>
    <w:rsid w:val="00A27EA7"/>
    <w:pPr>
      <w:widowControl w:val="0"/>
      <w:suppressAutoHyphens w:val="0"/>
      <w:autoSpaceDE w:val="0"/>
      <w:autoSpaceDN w:val="0"/>
      <w:spacing w:before="0" w:after="0" w:line="240" w:lineRule="auto"/>
    </w:pPr>
    <w:rPr>
      <w:rFonts w:ascii="Cambria" w:eastAsia="Cambria" w:hAnsi="Cambria" w:cs="Cambria"/>
      <w:lang w:val="en-US"/>
    </w:rPr>
  </w:style>
  <w:style w:type="table" w:styleId="PlainTable4">
    <w:name w:val="Plain Table 4"/>
    <w:basedOn w:val="TableNormal"/>
    <w:uiPriority w:val="44"/>
    <w:rsid w:val="00334C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BSCoverText">
    <w:name w:val="PBS Cover Text"/>
    <w:basedOn w:val="Title"/>
    <w:qFormat/>
    <w:rsid w:val="00D018F5"/>
  </w:style>
  <w:style w:type="paragraph" w:customStyle="1" w:styleId="CoverPage">
    <w:name w:val="Cover Page"/>
    <w:basedOn w:val="Normal"/>
    <w:qFormat/>
    <w:rsid w:val="00A10310"/>
    <w:pPr>
      <w:jc w:val="center"/>
    </w:pPr>
    <w:rPr>
      <w:sz w:val="44"/>
      <w:szCs w:val="40"/>
    </w:rPr>
  </w:style>
  <w:style w:type="paragraph" w:customStyle="1" w:styleId="TableText-Normal">
    <w:name w:val="Table Text - Normal"/>
    <w:basedOn w:val="BodyText"/>
    <w:qFormat/>
    <w:rsid w:val="004D0115"/>
    <w:pPr>
      <w:spacing w:before="40" w:after="40" w:line="220" w:lineRule="atLeast"/>
      <w:ind w:left="130" w:right="96"/>
    </w:pPr>
  </w:style>
  <w:style w:type="paragraph" w:customStyle="1" w:styleId="TableText-NormalIndented">
    <w:name w:val="Table Text - Normal Indented"/>
    <w:basedOn w:val="TableText-Normal"/>
    <w:qFormat/>
    <w:rsid w:val="00BD02A1"/>
    <w:pPr>
      <w:spacing w:after="60"/>
      <w:ind w:left="720"/>
    </w:pPr>
    <w:rPr>
      <w:szCs w:val="20"/>
    </w:rPr>
  </w:style>
  <w:style w:type="paragraph" w:customStyle="1" w:styleId="NormalTextRed">
    <w:name w:val="Normal Text Red"/>
    <w:basedOn w:val="Normal"/>
    <w:qFormat/>
    <w:rsid w:val="00DB6DDE"/>
    <w:rPr>
      <w:color w:val="FF0000"/>
    </w:rPr>
  </w:style>
  <w:style w:type="paragraph" w:customStyle="1" w:styleId="IndentRedText">
    <w:name w:val="Indent Red Text"/>
    <w:basedOn w:val="IndentBlueText"/>
    <w:qFormat/>
    <w:rsid w:val="00117EF6"/>
    <w:rPr>
      <w:color w:val="FF0000"/>
    </w:rPr>
  </w:style>
  <w:style w:type="paragraph" w:styleId="ListBullet2">
    <w:name w:val="List Bullet 2"/>
    <w:basedOn w:val="Normal"/>
    <w:uiPriority w:val="99"/>
    <w:unhideWhenUsed/>
    <w:rsid w:val="00052ECD"/>
    <w:pPr>
      <w:numPr>
        <w:numId w:val="12"/>
      </w:numPr>
      <w:contextualSpacing/>
    </w:pPr>
  </w:style>
  <w:style w:type="paragraph" w:customStyle="1" w:styleId="CBMSReportPath">
    <w:name w:val="CBMS Report Path"/>
    <w:basedOn w:val="Normal"/>
    <w:uiPriority w:val="1"/>
    <w:qFormat/>
    <w:rsid w:val="00052ECD"/>
    <w:pPr>
      <w:spacing w:before="240" w:after="240"/>
    </w:pPr>
    <w:rPr>
      <w:i/>
      <w:color w:val="0070C0"/>
    </w:rPr>
  </w:style>
  <w:style w:type="paragraph" w:customStyle="1" w:styleId="TableText-Small">
    <w:name w:val="Table Text - Small"/>
    <w:basedOn w:val="TableText-Normal"/>
    <w:qFormat/>
    <w:rsid w:val="00B56367"/>
    <w:rPr>
      <w:sz w:val="18"/>
      <w:szCs w:val="18"/>
    </w:rPr>
  </w:style>
  <w:style w:type="paragraph" w:customStyle="1" w:styleId="LeasingProgTableText">
    <w:name w:val="Leasing Prog Table Text"/>
    <w:basedOn w:val="Normal"/>
    <w:qFormat/>
    <w:rsid w:val="001C70F1"/>
    <w:pPr>
      <w:spacing w:before="0" w:after="0"/>
    </w:pPr>
    <w:rPr>
      <w:sz w:val="19"/>
      <w:lang w:eastAsia="en-AU"/>
    </w:rPr>
  </w:style>
  <w:style w:type="paragraph" w:customStyle="1" w:styleId="TableText-SuperSmallBold">
    <w:name w:val="Table Text - Super Small Bold"/>
    <w:basedOn w:val="TableText-Small"/>
    <w:qFormat/>
    <w:rsid w:val="00B45DD3"/>
    <w:rPr>
      <w:b/>
      <w:sz w:val="16"/>
      <w:szCs w:val="16"/>
    </w:rPr>
  </w:style>
  <w:style w:type="paragraph" w:customStyle="1" w:styleId="Bullet5">
    <w:name w:val="Bullet 5"/>
    <w:basedOn w:val="BodyText"/>
    <w:qFormat/>
    <w:rsid w:val="00D2417F"/>
    <w:pPr>
      <w:numPr>
        <w:ilvl w:val="3"/>
        <w:numId w:val="163"/>
      </w:numPr>
      <w:ind w:left="2126" w:right="0" w:hanging="425"/>
    </w:pPr>
  </w:style>
  <w:style w:type="paragraph" w:customStyle="1" w:styleId="TableText-NormalRed">
    <w:name w:val="Table Text - Normal Red"/>
    <w:basedOn w:val="NormalTextRed"/>
    <w:qFormat/>
    <w:rsid w:val="00314AE9"/>
  </w:style>
  <w:style w:type="paragraph" w:customStyle="1" w:styleId="TableText-Normal-DotPoint">
    <w:name w:val="Table Text - Normal - Dot Point"/>
    <w:basedOn w:val="TableText-Normal"/>
    <w:qFormat/>
    <w:rsid w:val="0065254A"/>
    <w:pPr>
      <w:numPr>
        <w:numId w:val="165"/>
      </w:numPr>
    </w:pPr>
  </w:style>
  <w:style w:type="paragraph" w:customStyle="1" w:styleId="IndentText1">
    <w:name w:val="Indent Text 1"/>
    <w:basedOn w:val="Bullet1"/>
    <w:qFormat/>
    <w:rsid w:val="00B200D2"/>
    <w:pPr>
      <w:numPr>
        <w:numId w:val="0"/>
      </w:numPr>
      <w:ind w:left="425"/>
    </w:pPr>
  </w:style>
  <w:style w:type="paragraph" w:customStyle="1" w:styleId="Boxed1Text">
    <w:name w:val="Boxed 1 Text"/>
    <w:basedOn w:val="Normal"/>
    <w:qFormat/>
    <w:rsid w:val="00BC18D2"/>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spacing w:before="180"/>
      <w:ind w:left="284" w:right="284"/>
    </w:pPr>
    <w:rPr>
      <w:szCs w:val="22"/>
    </w:rPr>
  </w:style>
  <w:style w:type="paragraph" w:customStyle="1" w:styleId="Boxed1Heading">
    <w:name w:val="Boxed 1 Heading"/>
    <w:basedOn w:val="Boxed1Text"/>
    <w:qFormat/>
    <w:rsid w:val="00BC18D2"/>
    <w:rPr>
      <w:b/>
      <w:sz w:val="24"/>
    </w:rPr>
  </w:style>
  <w:style w:type="paragraph" w:customStyle="1" w:styleId="Boxed2Text">
    <w:name w:val="Boxed 2 Text"/>
    <w:basedOn w:val="Boxed1Text"/>
    <w:qFormat/>
    <w:rsid w:val="00BC18D2"/>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qFormat/>
    <w:rsid w:val="00BC18D2"/>
    <w:rPr>
      <w:b/>
      <w:sz w:val="24"/>
    </w:rPr>
  </w:style>
  <w:style w:type="paragraph" w:customStyle="1" w:styleId="Heading1Numbered">
    <w:name w:val="Heading 1 Numbered"/>
    <w:basedOn w:val="Heading1"/>
    <w:next w:val="Normal"/>
    <w:qFormat/>
    <w:rsid w:val="002227A6"/>
    <w:pPr>
      <w:numPr>
        <w:numId w:val="172"/>
      </w:numPr>
    </w:pPr>
  </w:style>
  <w:style w:type="paragraph" w:customStyle="1" w:styleId="Heading3Numbered">
    <w:name w:val="Heading 3 Numbered"/>
    <w:basedOn w:val="Heading3"/>
    <w:next w:val="Normal"/>
    <w:qFormat/>
    <w:rsid w:val="00A87BD4"/>
    <w:pPr>
      <w:numPr>
        <w:ilvl w:val="2"/>
        <w:numId w:val="172"/>
      </w:numPr>
      <w:ind w:left="993" w:hanging="993"/>
    </w:pPr>
    <w:rPr>
      <w:szCs w:val="22"/>
    </w:rPr>
  </w:style>
  <w:style w:type="paragraph" w:customStyle="1" w:styleId="TableText-Bullets">
    <w:name w:val="Table Text - Bullets"/>
    <w:basedOn w:val="TableText"/>
    <w:rsid w:val="008A3568"/>
    <w:pPr>
      <w:numPr>
        <w:numId w:val="177"/>
      </w:numPr>
    </w:pPr>
  </w:style>
  <w:style w:type="paragraph" w:styleId="ListNumber3">
    <w:name w:val="List Number 3"/>
    <w:basedOn w:val="Normal"/>
    <w:uiPriority w:val="99"/>
    <w:unhideWhenUsed/>
    <w:rsid w:val="0074521F"/>
    <w:pPr>
      <w:numPr>
        <w:numId w:val="18"/>
      </w:numPr>
      <w:contextualSpacing/>
    </w:pPr>
  </w:style>
  <w:style w:type="paragraph" w:customStyle="1" w:styleId="TableText-Bullets-Compact">
    <w:name w:val="Table Text - Bullets - Compact"/>
    <w:basedOn w:val="TableText-Normal-DotPoint"/>
    <w:rsid w:val="00A250B5"/>
    <w:rPr>
      <w:sz w:val="18"/>
      <w:szCs w:val="18"/>
    </w:rPr>
  </w:style>
  <w:style w:type="paragraph" w:customStyle="1" w:styleId="CrossReference">
    <w:name w:val="Cross Reference"/>
    <w:basedOn w:val="NumberedList2"/>
    <w:qFormat/>
    <w:rsid w:val="00C611D7"/>
    <w:pPr>
      <w:numPr>
        <w:ilvl w:val="0"/>
        <w:numId w:val="0"/>
      </w:numPr>
    </w:pPr>
    <w:rPr>
      <w:i/>
      <w:color w:val="0070C0"/>
    </w:rPr>
  </w:style>
  <w:style w:type="paragraph" w:customStyle="1" w:styleId="Bullets1stindent">
    <w:name w:val="Bullets (1st indent)"/>
    <w:basedOn w:val="Normal"/>
    <w:qFormat/>
    <w:rsid w:val="000457F9"/>
    <w:pPr>
      <w:suppressAutoHyphens w:val="0"/>
      <w:spacing w:before="0" w:after="120" w:line="276" w:lineRule="auto"/>
      <w:ind w:left="360" w:hanging="360"/>
    </w:pPr>
    <w:rPr>
      <w:szCs w:val="22"/>
    </w:rPr>
  </w:style>
  <w:style w:type="paragraph" w:customStyle="1" w:styleId="Bullets2ndindent">
    <w:name w:val="Bullets (2nd indent)"/>
    <w:basedOn w:val="Normal"/>
    <w:qFormat/>
    <w:rsid w:val="000457F9"/>
    <w:pPr>
      <w:tabs>
        <w:tab w:val="num" w:pos="567"/>
      </w:tabs>
      <w:suppressAutoHyphens w:val="0"/>
      <w:spacing w:before="0" w:after="120" w:line="276" w:lineRule="auto"/>
      <w:ind w:left="567" w:hanging="283"/>
    </w:pPr>
    <w:rPr>
      <w:szCs w:val="22"/>
    </w:rPr>
  </w:style>
  <w:style w:type="paragraph" w:customStyle="1" w:styleId="Bulletslast1stindent">
    <w:name w:val="Bullets last (1st indent)"/>
    <w:basedOn w:val="Normal"/>
    <w:rsid w:val="000457F9"/>
    <w:pPr>
      <w:tabs>
        <w:tab w:val="num" w:pos="284"/>
      </w:tabs>
      <w:suppressAutoHyphens w:val="0"/>
      <w:spacing w:before="0" w:after="200" w:line="276" w:lineRule="auto"/>
      <w:ind w:left="284" w:hanging="284"/>
    </w:pPr>
    <w:rPr>
      <w:szCs w:val="22"/>
    </w:rPr>
  </w:style>
  <w:style w:type="paragraph" w:customStyle="1" w:styleId="Bulletslast2ndindent">
    <w:name w:val="Bullets last (2nd indent)"/>
    <w:basedOn w:val="Normal"/>
    <w:rsid w:val="000457F9"/>
    <w:pPr>
      <w:tabs>
        <w:tab w:val="num" w:pos="567"/>
      </w:tabs>
      <w:suppressAutoHyphens w:val="0"/>
      <w:spacing w:before="0" w:after="57" w:line="276" w:lineRule="auto"/>
      <w:ind w:left="567" w:hanging="283"/>
    </w:pPr>
    <w:rPr>
      <w:szCs w:val="22"/>
    </w:rPr>
  </w:style>
  <w:style w:type="paragraph" w:customStyle="1" w:styleId="BulletsTable1">
    <w:name w:val="Bullets Table 1"/>
    <w:basedOn w:val="Bullets1stindent"/>
    <w:qFormat/>
    <w:rsid w:val="000457F9"/>
    <w:pPr>
      <w:spacing w:after="60"/>
      <w:ind w:left="357" w:hanging="357"/>
      <w:contextualSpacing/>
    </w:pPr>
  </w:style>
  <w:style w:type="paragraph" w:customStyle="1" w:styleId="TableText-Medium">
    <w:name w:val="Table Text - Medium"/>
    <w:basedOn w:val="TableText-Normal"/>
    <w:qFormat/>
    <w:rsid w:val="0057047B"/>
    <w:pPr>
      <w:spacing w:before="60" w:after="60"/>
    </w:pPr>
    <w:rPr>
      <w:sz w:val="20"/>
      <w:szCs w:val="20"/>
    </w:rPr>
  </w:style>
  <w:style w:type="paragraph" w:customStyle="1" w:styleId="TableText-Medium-DotPoints">
    <w:name w:val="Table Text - Medium - Dot Points"/>
    <w:basedOn w:val="TableText-Normal-DotPoint"/>
    <w:qFormat/>
    <w:rsid w:val="0057047B"/>
    <w:rPr>
      <w:sz w:val="20"/>
      <w:szCs w:val="20"/>
    </w:rPr>
  </w:style>
  <w:style w:type="paragraph" w:customStyle="1" w:styleId="Default">
    <w:name w:val="Default"/>
    <w:rsid w:val="00DD311E"/>
    <w:pPr>
      <w:autoSpaceDE w:val="0"/>
      <w:autoSpaceDN w:val="0"/>
      <w:adjustRightInd w:val="0"/>
      <w:spacing w:after="0" w:line="240" w:lineRule="auto"/>
    </w:pPr>
    <w:rPr>
      <w:rFonts w:ascii="Cambria" w:hAnsi="Cambria" w:cs="Cambria"/>
      <w:color w:val="000000"/>
      <w:sz w:val="24"/>
      <w:szCs w:val="24"/>
    </w:rPr>
  </w:style>
  <w:style w:type="paragraph" w:customStyle="1" w:styleId="Numbered">
    <w:name w:val="Numbered"/>
    <w:basedOn w:val="ListParagraph"/>
    <w:qFormat/>
    <w:rsid w:val="00AD6C9A"/>
    <w:pPr>
      <w:numPr>
        <w:numId w:val="239"/>
      </w:numPr>
      <w:spacing w:before="160"/>
      <w:ind w:left="357" w:hanging="357"/>
    </w:pPr>
    <w:rPr>
      <w:rFonts w:asciiTheme="minorHAnsi" w:hAnsiTheme="minorHAnsi" w:cstheme="minorHAnsi"/>
      <w:lang w:val="en-AU"/>
    </w:rPr>
  </w:style>
  <w:style w:type="character" w:customStyle="1" w:styleId="ListParagraphChar">
    <w:name w:val="List Paragraph Char"/>
    <w:basedOn w:val="DefaultParagraphFont"/>
    <w:link w:val="ListParagraph"/>
    <w:uiPriority w:val="34"/>
    <w:locked/>
    <w:rsid w:val="007A0E16"/>
    <w:rPr>
      <w:rFonts w:ascii="Cambria" w:eastAsia="Cambria" w:hAnsi="Cambria" w:cs="Cambria"/>
      <w:szCs w:val="28"/>
      <w:lang w:val="en-US"/>
    </w:rPr>
  </w:style>
  <w:style w:type="paragraph" w:customStyle="1" w:styleId="ListParagraph2">
    <w:name w:val="List Paragraph 2"/>
    <w:basedOn w:val="ListParagraph"/>
    <w:qFormat/>
    <w:rsid w:val="007A0E16"/>
    <w:pPr>
      <w:widowControl/>
      <w:tabs>
        <w:tab w:val="num" w:pos="360"/>
      </w:tabs>
      <w:autoSpaceDE/>
      <w:autoSpaceDN/>
      <w:spacing w:before="0" w:after="120" w:line="22" w:lineRule="atLeast"/>
      <w:ind w:left="1111" w:hanging="357"/>
      <w:contextualSpacing/>
    </w:pPr>
    <w:rPr>
      <w:rFonts w:asciiTheme="minorHAnsi" w:eastAsiaTheme="minorHAnsi" w:hAnsiTheme="minorHAnsi" w:cstheme="minorBidi"/>
      <w:sz w:val="24"/>
      <w:szCs w:val="24"/>
      <w:lang w:val="en-AU"/>
    </w:rPr>
  </w:style>
  <w:style w:type="paragraph" w:customStyle="1" w:styleId="LetteredList">
    <w:name w:val="Lettered List"/>
    <w:basedOn w:val="ListParagraph2"/>
    <w:qFormat/>
    <w:rsid w:val="0089770B"/>
    <w:pPr>
      <w:numPr>
        <w:numId w:val="248"/>
      </w:numPr>
      <w:spacing w:before="120"/>
      <w:ind w:left="709"/>
      <w:contextualSpacing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2203">
      <w:bodyDiv w:val="1"/>
      <w:marLeft w:val="0"/>
      <w:marRight w:val="0"/>
      <w:marTop w:val="0"/>
      <w:marBottom w:val="0"/>
      <w:divBdr>
        <w:top w:val="none" w:sz="0" w:space="0" w:color="auto"/>
        <w:left w:val="none" w:sz="0" w:space="0" w:color="auto"/>
        <w:bottom w:val="none" w:sz="0" w:space="0" w:color="auto"/>
        <w:right w:val="none" w:sz="0" w:space="0" w:color="auto"/>
      </w:divBdr>
    </w:div>
    <w:div w:id="238708576">
      <w:bodyDiv w:val="1"/>
      <w:marLeft w:val="0"/>
      <w:marRight w:val="0"/>
      <w:marTop w:val="0"/>
      <w:marBottom w:val="0"/>
      <w:divBdr>
        <w:top w:val="none" w:sz="0" w:space="0" w:color="auto"/>
        <w:left w:val="none" w:sz="0" w:space="0" w:color="auto"/>
        <w:bottom w:val="none" w:sz="0" w:space="0" w:color="auto"/>
        <w:right w:val="none" w:sz="0" w:space="0" w:color="auto"/>
      </w:divBdr>
    </w:div>
    <w:div w:id="795175638">
      <w:bodyDiv w:val="1"/>
      <w:marLeft w:val="0"/>
      <w:marRight w:val="0"/>
      <w:marTop w:val="0"/>
      <w:marBottom w:val="0"/>
      <w:divBdr>
        <w:top w:val="none" w:sz="0" w:space="0" w:color="auto"/>
        <w:left w:val="none" w:sz="0" w:space="0" w:color="auto"/>
        <w:bottom w:val="none" w:sz="0" w:space="0" w:color="auto"/>
        <w:right w:val="none" w:sz="0" w:space="0" w:color="auto"/>
      </w:divBdr>
    </w:div>
    <w:div w:id="1012756431">
      <w:bodyDiv w:val="1"/>
      <w:marLeft w:val="0"/>
      <w:marRight w:val="0"/>
      <w:marTop w:val="0"/>
      <w:marBottom w:val="0"/>
      <w:divBdr>
        <w:top w:val="none" w:sz="0" w:space="0" w:color="auto"/>
        <w:left w:val="none" w:sz="0" w:space="0" w:color="auto"/>
        <w:bottom w:val="none" w:sz="0" w:space="0" w:color="auto"/>
        <w:right w:val="none" w:sz="0" w:space="0" w:color="auto"/>
      </w:divBdr>
    </w:div>
    <w:div w:id="1450200152">
      <w:bodyDiv w:val="1"/>
      <w:marLeft w:val="0"/>
      <w:marRight w:val="0"/>
      <w:marTop w:val="0"/>
      <w:marBottom w:val="0"/>
      <w:divBdr>
        <w:top w:val="none" w:sz="0" w:space="0" w:color="auto"/>
        <w:left w:val="none" w:sz="0" w:space="0" w:color="auto"/>
        <w:bottom w:val="none" w:sz="0" w:space="0" w:color="auto"/>
        <w:right w:val="none" w:sz="0" w:space="0" w:color="auto"/>
      </w:divBdr>
    </w:div>
    <w:div w:id="19670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data.gov.au" TargetMode="External"/><Relationship Id="rId26" Type="http://schemas.openxmlformats.org/officeDocument/2006/relationships/hyperlink" Target="mailto:eec.sen@aph.gov.au" TargetMode="External"/><Relationship Id="rId39" Type="http://schemas.openxmlformats.org/officeDocument/2006/relationships/hyperlink" Target="mailto:budget-website@treasury.gov.au" TargetMode="External"/><Relationship Id="rId21" Type="http://schemas.openxmlformats.org/officeDocument/2006/relationships/hyperlink" Target="http://www.protectivesecurity.gov.au/" TargetMode="External"/><Relationship Id="rId34" Type="http://schemas.openxmlformats.org/officeDocument/2006/relationships/hyperlink" Target="http://govlink.sge.net/home.aspx" TargetMode="External"/><Relationship Id="rId42" Type="http://schemas.openxmlformats.org/officeDocument/2006/relationships/hyperlink" Target="mailto:data@digital.gov.au" TargetMode="External"/><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hyperlink" Target="https://www.finance.gov.au/publications/resource-management-guides-rmgs/commonwealth-entities-financial-statements-guide-rmg-125" TargetMode="External"/><Relationship Id="rId63" Type="http://schemas.openxmlformats.org/officeDocument/2006/relationships/hyperlink" Target="https://www.finance.gov.au/government/financial-reporting-accounting-policy/financial-reporting-commonwealth-entities" TargetMode="External"/><Relationship Id="rId68" Type="http://schemas.openxmlformats.org/officeDocument/2006/relationships/image" Target="media/image3.png"/><Relationship Id="rId76" Type="http://schemas.openxmlformats.org/officeDocument/2006/relationships/hyperlink" Target="http://www.data.gov.au" TargetMode="External"/><Relationship Id="rId84" Type="http://schemas.openxmlformats.org/officeDocument/2006/relationships/hyperlink" Target="http://www.legislation.gov.au" TargetMode="External"/><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fadt.sen@aph.gov.au" TargetMode="External"/><Relationship Id="rId11" Type="http://schemas.openxmlformats.org/officeDocument/2006/relationships/footer" Target="footer2.xml"/><Relationship Id="rId24" Type="http://schemas.openxmlformats.org/officeDocument/2006/relationships/hyperlink" Target="mailto:community.affairs.sen@aph.gov.au" TargetMode="External"/><Relationship Id="rId32" Type="http://schemas.openxmlformats.org/officeDocument/2006/relationships/hyperlink" Target="mailto:info@dta.gov.au" TargetMode="External"/><Relationship Id="rId37" Type="http://schemas.openxmlformats.org/officeDocument/2006/relationships/hyperlink" Target="http://www.budget.gov.au" TargetMode="External"/><Relationship Id="rId40" Type="http://schemas.openxmlformats.org/officeDocument/2006/relationships/hyperlink" Target="http://www.aph.gov.au/Parliamentary_Business/Dynamic_Red" TargetMode="External"/><Relationship Id="rId45" Type="http://schemas.openxmlformats.org/officeDocument/2006/relationships/hyperlink" Target="mailto:Budget_Framework@finance.gov.au" TargetMode="External"/><Relationship Id="rId53" Type="http://schemas.openxmlformats.org/officeDocument/2006/relationships/hyperlink" Target="https://www.finance.gov.au/government/governance/australian-government-organisations-register/australian-government-organisations-register-types-bodies" TargetMode="External"/><Relationship Id="rId58" Type="http://schemas.openxmlformats.org/officeDocument/2006/relationships/hyperlink" Target="https://www.finance.gov.au/sites/default/files/2019-11/outcome-statements-policy-and-approval-process_1.pdf" TargetMode="External"/><Relationship Id="rId66" Type="http://schemas.openxmlformats.org/officeDocument/2006/relationships/hyperlink" Target="http://www.apsc.gov.au/publications-and-media/current-publications/machinery-of-government" TargetMode="External"/><Relationship Id="rId74" Type="http://schemas.openxmlformats.org/officeDocument/2006/relationships/hyperlink" Target="https://guides.service.gov.au/content-guide/accessibility-inclusivity/" TargetMode="External"/><Relationship Id="rId79" Type="http://schemas.openxmlformats.org/officeDocument/2006/relationships/hyperlink" Target="mailto:G&amp;TAnnualAppropriations@finance.gov.a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finance.gov.au/publications/resource-management-guides" TargetMode="External"/><Relationship Id="rId82" Type="http://schemas.openxmlformats.org/officeDocument/2006/relationships/hyperlink" Target="https://www.finance.gov.au/government/managing-commonwealth-resources/structure-australian-government-public-sector/australian-government-organisations-register" TargetMode="External"/><Relationship Id="rId19" Type="http://schemas.openxmlformats.org/officeDocument/2006/relationships/hyperlink" Target="file:///\\mercury.network\dfs\groups\FMG\FRACM\Reporting%20and%20Resourcing\BRF\Reporting\BdgPap\1.%20PBS\1.16%20PBS%202020-21\aa_Revised%20EM\Budget_Framework@finance.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file:///C:\Users\stedon\AppData\Local\Microsoft\Windows\INetCache\Content.Outlook\50O03WZB\Budget_Framework@finance.gov.au" TargetMode="External"/><Relationship Id="rId27" Type="http://schemas.openxmlformats.org/officeDocument/2006/relationships/hyperlink" Target="mailto:ec.sen@aph.gov.au" TargetMode="External"/><Relationship Id="rId30" Type="http://schemas.openxmlformats.org/officeDocument/2006/relationships/hyperlink" Target="mailto:legcon.sen@aph.gov.au" TargetMode="External"/><Relationship Id="rId35" Type="http://schemas.openxmlformats.org/officeDocument/2006/relationships/hyperlink" Target="mailto:Budget_Framework@finance.gov.au" TargetMode="External"/><Relationship Id="rId43" Type="http://schemas.openxmlformats.org/officeDocument/2006/relationships/hyperlink" Target="https://www.pmc.gov.au/resource-centre/government/tabling-guidelines" TargetMode="External"/><Relationship Id="rId48" Type="http://schemas.openxmlformats.org/officeDocument/2006/relationships/header" Target="header8.xml"/><Relationship Id="rId56" Type="http://schemas.openxmlformats.org/officeDocument/2006/relationships/hyperlink" Target="mailto:PGPA@finance.gov.au" TargetMode="External"/><Relationship Id="rId64" Type="http://schemas.openxmlformats.org/officeDocument/2006/relationships/hyperlink" Target="mailto:accountingpolicy@finance.gov.au" TargetMode="External"/><Relationship Id="rId69" Type="http://schemas.openxmlformats.org/officeDocument/2006/relationships/image" Target="media/image4.png"/><Relationship Id="rId77" Type="http://schemas.openxmlformats.org/officeDocument/2006/relationships/hyperlink" Target="mailto:Budget_Framework@finance.gov.au" TargetMode="External"/><Relationship Id="rId8" Type="http://schemas.openxmlformats.org/officeDocument/2006/relationships/header" Target="header1.xml"/><Relationship Id="rId51" Type="http://schemas.openxmlformats.org/officeDocument/2006/relationships/hyperlink" Target="https://www.finance.gov.au/government/managing-commonwealth-resources/structure-australian-government-public-sector" TargetMode="External"/><Relationship Id="rId72" Type="http://schemas.openxmlformats.org/officeDocument/2006/relationships/image" Target="media/image7.png"/><Relationship Id="rId80" Type="http://schemas.openxmlformats.org/officeDocument/2006/relationships/hyperlink" Target="mailto:budgetcommunications@treasury.gov.au" TargetMode="External"/><Relationship Id="rId85" Type="http://schemas.openxmlformats.org/officeDocument/2006/relationships/hyperlink" Target="https://www.finance.gov.au/publications/resource-management-guide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mailto:economics.sen@aph.gov.au" TargetMode="External"/><Relationship Id="rId33" Type="http://schemas.openxmlformats.org/officeDocument/2006/relationships/hyperlink" Target="https://www.dta.gov.au/help-and-advice/guides-and-tools/commonwealth-library-deposit-and-free-issue-schemes" TargetMode="External"/><Relationship Id="rId38" Type="http://schemas.openxmlformats.org/officeDocument/2006/relationships/hyperlink" Target="https://guides.service.gov.au/content-guide/accessibility-inclusivity/" TargetMode="External"/><Relationship Id="rId46" Type="http://schemas.openxmlformats.org/officeDocument/2006/relationships/hyperlink" Target="mailto:Budget_Framework@finance.gov.au" TargetMode="External"/><Relationship Id="rId59" Type="http://schemas.openxmlformats.org/officeDocument/2006/relationships/hyperlink" Target="https://www.finance.gov.au/sites/default/files/2019-11/commonwealth-programmes-policy-and-approval-process.pdf" TargetMode="External"/><Relationship Id="rId67" Type="http://schemas.openxmlformats.org/officeDocument/2006/relationships/hyperlink" Target="https://www.finance.gov.au/publications/resource-management-guides/commonwealth-entities-financial-statements-guide-rmg-125" TargetMode="External"/><Relationship Id="rId20" Type="http://schemas.openxmlformats.org/officeDocument/2006/relationships/hyperlink" Target="https://www.pmc.gov.au/resource-centre/government/ministry-list" TargetMode="External"/><Relationship Id="rId41" Type="http://schemas.openxmlformats.org/officeDocument/2006/relationships/hyperlink" Target="mailto:Budget_Framework@finance.gov.au" TargetMode="External"/><Relationship Id="rId54" Type="http://schemas.openxmlformats.org/officeDocument/2006/relationships/hyperlink" Target="http://www.federalfinancialrelations.gov.au/content/npa/education.aspx" TargetMode="External"/><Relationship Id="rId62" Type="http://schemas.openxmlformats.org/officeDocument/2006/relationships/hyperlink" Target="https://www.finance.gov.au/publications/resource-management-guides" TargetMode="External"/><Relationship Id="rId70" Type="http://schemas.openxmlformats.org/officeDocument/2006/relationships/image" Target="media/image5.emf"/><Relationship Id="rId75" Type="http://schemas.openxmlformats.org/officeDocument/2006/relationships/image" Target="media/image9.emf"/><Relationship Id="rId83" Type="http://schemas.openxmlformats.org/officeDocument/2006/relationships/hyperlink" Target="https://www.finance.gov.au/government/managing-commonwealth-resources/structure-australian-government-public-sector/pgpa-act-flipchart-lis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mailto:Budget_Framework@finance.gov.au" TargetMode="External"/><Relationship Id="rId28" Type="http://schemas.openxmlformats.org/officeDocument/2006/relationships/hyperlink" Target="mailto:fpa.sen@aph.gov.au" TargetMode="External"/><Relationship Id="rId36" Type="http://schemas.openxmlformats.org/officeDocument/2006/relationships/hyperlink" Target="mailto:Budget_Framework@finance.gov.au" TargetMode="External"/><Relationship Id="rId49" Type="http://schemas.openxmlformats.org/officeDocument/2006/relationships/footer" Target="footer5.xml"/><Relationship Id="rId57" Type="http://schemas.openxmlformats.org/officeDocument/2006/relationships/hyperlink" Target="https://www.finance.gov.au/government/managing-commonwealth-resources/managing-money-property/managing-money/annual-appropriations/portfolio-budget-statements" TargetMode="External"/><Relationship Id="rId10" Type="http://schemas.openxmlformats.org/officeDocument/2006/relationships/footer" Target="footer1.xml"/><Relationship Id="rId31" Type="http://schemas.openxmlformats.org/officeDocument/2006/relationships/hyperlink" Target="mailto:rrat.sen@aph.gov.au" TargetMode="External"/><Relationship Id="rId44" Type="http://schemas.openxmlformats.org/officeDocument/2006/relationships/hyperlink" Target="mailto:tabling@pmc.gov.au" TargetMode="External"/><Relationship Id="rId52" Type="http://schemas.openxmlformats.org/officeDocument/2006/relationships/hyperlink" Target="http://www.finance.gov.au/government/managing-commonwealth-resources/structure-australian-government-public-sector/pgpa-act-flipchart-list" TargetMode="External"/><Relationship Id="rId60" Type="http://schemas.openxmlformats.org/officeDocument/2006/relationships/hyperlink" Target="https://www.finance.gov.au/publications/resource-management-guides" TargetMode="External"/><Relationship Id="rId65" Type="http://schemas.openxmlformats.org/officeDocument/2006/relationships/hyperlink" Target="https://www.finance.gov.au/publications/resource-management-guides" TargetMode="External"/><Relationship Id="rId73" Type="http://schemas.openxmlformats.org/officeDocument/2006/relationships/image" Target="media/image8.png"/><Relationship Id="rId78" Type="http://schemas.openxmlformats.org/officeDocument/2006/relationships/hyperlink" Target="mailto:PGPA@finance.gov.au" TargetMode="External"/><Relationship Id="rId81" Type="http://schemas.openxmlformats.org/officeDocument/2006/relationships/hyperlink" Target="https://www.directory.gov.au/reports/australian-government-organisations-register" TargetMode="External"/><Relationship Id="rId86"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2E9EC-C3D9-49C5-AB02-516007FE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26174</Words>
  <Characters>149194</Characters>
  <Application>Microsoft Office Word</Application>
  <DocSecurity>0</DocSecurity>
  <Lines>1243</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2020-08-19T01:32:00Z</dcterms:created>
  <dcterms:modified xsi:type="dcterms:W3CDTF">2020-08-19T01:32:00Z</dcterms:modified>
  <cp:contentStatus/>
</cp:coreProperties>
</file>