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A12ED" w14:textId="77777777" w:rsidR="000C2A48" w:rsidRDefault="000C2A48" w:rsidP="000C2A48"/>
    <w:p w14:paraId="0059650C" w14:textId="77777777" w:rsidR="005E5CB9" w:rsidRDefault="005E5CB9" w:rsidP="00DB6D69">
      <w:pPr>
        <w:pStyle w:val="Title"/>
        <w:rPr>
          <w:rFonts w:ascii="Calibri" w:hAnsi="Calibri"/>
          <w:b/>
          <w:color w:val="000000" w:themeColor="text1"/>
          <w:szCs w:val="40"/>
        </w:rPr>
      </w:pPr>
    </w:p>
    <w:p w14:paraId="6B74E6F6" w14:textId="2D10AAB5" w:rsidR="004E058F" w:rsidRPr="00E02371" w:rsidRDefault="00AE6815" w:rsidP="00DB6D69">
      <w:pPr>
        <w:pStyle w:val="Title"/>
        <w:rPr>
          <w:b/>
          <w:color w:val="000000" w:themeColor="text1"/>
          <w:szCs w:val="40"/>
        </w:rPr>
      </w:pPr>
      <w:bookmarkStart w:id="0" w:name="_Toc46302440"/>
      <w:r>
        <w:rPr>
          <w:rFonts w:ascii="Calibri" w:hAnsi="Calibri"/>
          <w:b/>
          <w:color w:val="000000" w:themeColor="text1"/>
          <w:szCs w:val="40"/>
        </w:rPr>
        <w:t>Retainable receipts</w:t>
      </w:r>
      <w:bookmarkEnd w:id="0"/>
    </w:p>
    <w:p w14:paraId="7ECD5589" w14:textId="015F0032" w:rsidR="00B13B6E" w:rsidRPr="00E02371" w:rsidRDefault="00AE6815" w:rsidP="00B13B6E">
      <w:pPr>
        <w:jc w:val="right"/>
        <w:rPr>
          <w:color w:val="000000" w:themeColor="text1"/>
          <w:sz w:val="34"/>
          <w:szCs w:val="34"/>
        </w:rPr>
      </w:pPr>
      <w:r>
        <w:rPr>
          <w:sz w:val="34"/>
          <w:szCs w:val="34"/>
        </w:rPr>
        <w:t>Resource Management Guide (RMG) 307</w:t>
      </w:r>
    </w:p>
    <w:p w14:paraId="228F6604" w14:textId="77777777" w:rsidR="005E5CB9" w:rsidRDefault="005E5CB9" w:rsidP="006C4DD1"/>
    <w:p w14:paraId="663D8054" w14:textId="77777777" w:rsidR="005E5CB9" w:rsidRDefault="005E5CB9" w:rsidP="006C4DD1"/>
    <w:p w14:paraId="6A89FD73" w14:textId="77777777" w:rsidR="005E5CB9" w:rsidRDefault="005E5CB9" w:rsidP="006C4DD1"/>
    <w:p w14:paraId="76F18FEA" w14:textId="77777777" w:rsidR="005E5CB9" w:rsidRDefault="005E5CB9" w:rsidP="006C4DD1"/>
    <w:p w14:paraId="6A71E640" w14:textId="53948BE2" w:rsidR="005E5CB9" w:rsidRDefault="005F4556" w:rsidP="006C4DD1">
      <w:r>
        <w:t>July</w:t>
      </w:r>
      <w:r w:rsidR="004E7865" w:rsidRPr="00AE6815">
        <w:t xml:space="preserve"> </w:t>
      </w:r>
      <w:r w:rsidR="00AE6815" w:rsidRPr="00AE6815">
        <w:t>2020</w:t>
      </w:r>
      <w:r w:rsidR="000C2A48">
        <w:br w:type="page"/>
      </w:r>
    </w:p>
    <w:p w14:paraId="28AAB717" w14:textId="77777777" w:rsidR="00D94E36" w:rsidRDefault="00D94E36" w:rsidP="005E5CB9"/>
    <w:p w14:paraId="7DC093AD" w14:textId="77777777" w:rsidR="00D94E36" w:rsidRDefault="00D94E36" w:rsidP="005E5CB9"/>
    <w:p w14:paraId="274FE9B3" w14:textId="4B4A558B" w:rsidR="005E5CB9" w:rsidRPr="00B272FA" w:rsidRDefault="005E5CB9" w:rsidP="005E5CB9">
      <w:r w:rsidRPr="00B272FA">
        <w:t xml:space="preserve">© Commonwealth of Australia </w:t>
      </w:r>
      <w:r w:rsidR="00AE6815" w:rsidRPr="00B272FA">
        <w:t>2020</w:t>
      </w:r>
    </w:p>
    <w:p w14:paraId="3FC53F82" w14:textId="72E6C614" w:rsidR="005E5CB9" w:rsidRPr="003469E3" w:rsidRDefault="005E5CB9" w:rsidP="005E5CB9">
      <w:r w:rsidRPr="00B272FA">
        <w:t xml:space="preserve">ISBN: </w:t>
      </w:r>
      <w:r w:rsidR="00B272FA" w:rsidRPr="00B272FA">
        <w:t>978-1-925537-61-1</w:t>
      </w:r>
      <w:r w:rsidR="009A08BD" w:rsidRPr="00B272FA">
        <w:t xml:space="preserve"> (Online</w:t>
      </w:r>
      <w:r w:rsidR="00B272FA" w:rsidRPr="00B272FA">
        <w:t>)</w:t>
      </w:r>
    </w:p>
    <w:p w14:paraId="0D224302" w14:textId="77777777" w:rsidR="005E5CB9" w:rsidRPr="003469E3" w:rsidRDefault="005E5CB9" w:rsidP="005E5CB9">
      <w:r w:rsidRPr="003469E3">
        <w:t>With the exception of the Commonwealth Coat of Arms and where otherwise noted</w:t>
      </w:r>
      <w:r>
        <w:t>,</w:t>
      </w:r>
      <w:r w:rsidRPr="003469E3">
        <w:t xml:space="preserve"> all material presented in this document is provided under a Creative Commons Attribution 3.0 Australia (</w:t>
      </w:r>
      <w:hyperlink r:id="rId13" w:history="1">
        <w:r>
          <w:rPr>
            <w:rStyle w:val="Hyperlink"/>
          </w:rPr>
          <w:t>http://creativecommons.org/licenses/by/3.0/au</w:t>
        </w:r>
      </w:hyperlink>
      <w:r w:rsidRPr="003469E3">
        <w:t>) licence.</w:t>
      </w:r>
    </w:p>
    <w:p w14:paraId="767162F7" w14:textId="77777777" w:rsidR="005E5CB9" w:rsidRPr="003469E3" w:rsidRDefault="005E5CB9" w:rsidP="005E5CB9">
      <w:r w:rsidRPr="003469E3">
        <w:rPr>
          <w:noProof/>
          <w:lang w:eastAsia="en-AU"/>
        </w:rPr>
        <w:drawing>
          <wp:inline distT="0" distB="0" distL="0" distR="0" wp14:anchorId="22C6314A" wp14:editId="285DA4B3">
            <wp:extent cx="1152525" cy="397422"/>
            <wp:effectExtent l="0" t="0" r="0" b="3175"/>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76EE8341" w14:textId="77777777" w:rsidR="005E5CB9" w:rsidRPr="006A6123" w:rsidRDefault="005E5CB9" w:rsidP="005E5CB9">
      <w:pPr>
        <w:rPr>
          <w:rFonts w:eastAsia="Times New Roman"/>
          <w:szCs w:val="24"/>
        </w:rPr>
      </w:pPr>
      <w:r w:rsidRPr="006A6123">
        <w:rPr>
          <w:rFonts w:eastAsia="Times New Roman"/>
          <w:szCs w:val="24"/>
        </w:rPr>
        <w:t xml:space="preserve">The details of the relevant licence conditions are available </w:t>
      </w:r>
      <w:r>
        <w:rPr>
          <w:rFonts w:eastAsia="Times New Roman"/>
          <w:szCs w:val="24"/>
        </w:rPr>
        <w:t xml:space="preserve">on the Creative Commons website </w:t>
      </w:r>
      <w:r w:rsidRPr="006A6123">
        <w:rPr>
          <w:rFonts w:eastAsia="Times New Roman"/>
          <w:szCs w:val="24"/>
        </w:rPr>
        <w:t>(accessible using the links provided) as is the full legal code for the CC BY 3 AU licence.</w:t>
      </w:r>
    </w:p>
    <w:p w14:paraId="372E599D" w14:textId="77777777" w:rsidR="005E5CB9" w:rsidRPr="00EC0C11" w:rsidRDefault="005E5CB9" w:rsidP="005E5CB9">
      <w:pPr>
        <w:spacing w:before="240"/>
        <w:rPr>
          <w:rFonts w:eastAsia="Times New Roman"/>
          <w:b/>
          <w:szCs w:val="24"/>
        </w:rPr>
      </w:pPr>
      <w:r w:rsidRPr="00EC0C11">
        <w:rPr>
          <w:rFonts w:eastAsia="Times New Roman"/>
          <w:b/>
          <w:szCs w:val="24"/>
        </w:rPr>
        <w:t>Use of the Coat of Arms</w:t>
      </w:r>
    </w:p>
    <w:p w14:paraId="08309F66" w14:textId="77777777" w:rsidR="005E5CB9" w:rsidRDefault="005E5CB9" w:rsidP="005E5CB9">
      <w:pPr>
        <w:rPr>
          <w:rFonts w:eastAsia="Times New Roman"/>
          <w:szCs w:val="24"/>
        </w:rPr>
      </w:pPr>
      <w:r w:rsidRPr="006A6123">
        <w:rPr>
          <w:rFonts w:eastAsia="Times New Roman"/>
          <w:szCs w:val="24"/>
        </w:rPr>
        <w:t>The terms under which the Coat of Arms can be used are det</w:t>
      </w:r>
      <w:r>
        <w:rPr>
          <w:rFonts w:eastAsia="Times New Roman"/>
          <w:szCs w:val="24"/>
        </w:rPr>
        <w:t xml:space="preserve">ailed on the following website: </w:t>
      </w:r>
      <w:hyperlink r:id="rId15" w:history="1">
        <w:r w:rsidRPr="00592BFA">
          <w:rPr>
            <w:rStyle w:val="Hyperlink"/>
            <w:rFonts w:cstheme="minorBidi"/>
          </w:rPr>
          <w:t>www.dpmc.gov.au/government/its-honour</w:t>
        </w:r>
      </w:hyperlink>
      <w:r w:rsidRPr="006A6123">
        <w:rPr>
          <w:rFonts w:eastAsia="Times New Roman"/>
          <w:szCs w:val="24"/>
        </w:rPr>
        <w:t>.</w:t>
      </w:r>
    </w:p>
    <w:p w14:paraId="4C5FCAD8" w14:textId="35A9C9FA" w:rsidR="005E5CB9" w:rsidRPr="006A6123" w:rsidRDefault="005E5CB9" w:rsidP="005E5CB9">
      <w:pPr>
        <w:spacing w:before="240"/>
        <w:rPr>
          <w:rFonts w:eastAsia="Times New Roman"/>
          <w:b/>
          <w:szCs w:val="24"/>
        </w:rPr>
      </w:pPr>
      <w:r w:rsidRPr="006A6123">
        <w:rPr>
          <w:rFonts w:eastAsia="Times New Roman"/>
          <w:b/>
          <w:szCs w:val="24"/>
        </w:rPr>
        <w:t>Contact us</w:t>
      </w:r>
    </w:p>
    <w:p w14:paraId="11F5A28E" w14:textId="4748243B" w:rsidR="005E5CB9" w:rsidRPr="003469E3" w:rsidRDefault="005E5CB9" w:rsidP="005E5CB9">
      <w:r>
        <w:rPr>
          <w:rFonts w:eastAsia="Times New Roman"/>
          <w:szCs w:val="24"/>
        </w:rPr>
        <w:t>Please direct q</w:t>
      </w:r>
      <w:r w:rsidRPr="00C5547B">
        <w:rPr>
          <w:rFonts w:eastAsia="Times New Roman"/>
          <w:szCs w:val="24"/>
        </w:rPr>
        <w:t>uestions or comments about</w:t>
      </w:r>
      <w:r>
        <w:rPr>
          <w:rFonts w:eastAsia="Times New Roman"/>
          <w:szCs w:val="24"/>
        </w:rPr>
        <w:t xml:space="preserve"> the </w:t>
      </w:r>
      <w:r w:rsidR="009A08BD">
        <w:rPr>
          <w:rFonts w:eastAsia="Times New Roman"/>
          <w:szCs w:val="24"/>
        </w:rPr>
        <w:t>guide</w:t>
      </w:r>
      <w:r>
        <w:rPr>
          <w:rFonts w:eastAsia="Times New Roman"/>
          <w:szCs w:val="24"/>
        </w:rPr>
        <w:t xml:space="preserve"> to:</w:t>
      </w:r>
      <w:r w:rsidRPr="003469E3">
        <w:t xml:space="preserve"> </w:t>
      </w:r>
    </w:p>
    <w:p w14:paraId="1C32192F" w14:textId="1046CCA7" w:rsidR="006B2954" w:rsidRPr="006B2954" w:rsidRDefault="006B2954" w:rsidP="005E5CB9">
      <w:pPr>
        <w:spacing w:before="0" w:after="0" w:line="240" w:lineRule="auto"/>
        <w:rPr>
          <w:lang w:val="en" w:eastAsia="en-AU"/>
        </w:rPr>
      </w:pPr>
      <w:r w:rsidRPr="00FD0EFB">
        <w:rPr>
          <w:rFonts w:cstheme="minorHAnsi"/>
          <w:color w:val="000000" w:themeColor="text1"/>
        </w:rPr>
        <w:t>Financial Management Branch</w:t>
      </w:r>
      <w:r w:rsidRPr="006B2954">
        <w:rPr>
          <w:lang w:val="en" w:eastAsia="en-AU"/>
        </w:rPr>
        <w:t xml:space="preserve"> </w:t>
      </w:r>
    </w:p>
    <w:p w14:paraId="5E6E6D72" w14:textId="657D8A5E" w:rsidR="005E5CB9" w:rsidRPr="006B2954" w:rsidRDefault="005E5CB9" w:rsidP="005E5CB9">
      <w:pPr>
        <w:spacing w:before="0" w:after="0" w:line="240" w:lineRule="auto"/>
        <w:rPr>
          <w:color w:val="000000" w:themeColor="text1"/>
        </w:rPr>
      </w:pPr>
      <w:r w:rsidRPr="006B2954">
        <w:rPr>
          <w:color w:val="000000" w:themeColor="text1"/>
        </w:rPr>
        <w:t>Department of Finance</w:t>
      </w:r>
    </w:p>
    <w:p w14:paraId="4D699CC8" w14:textId="77777777" w:rsidR="005E5CB9" w:rsidRPr="006B2954" w:rsidRDefault="005E5CB9" w:rsidP="005E5CB9">
      <w:pPr>
        <w:spacing w:before="0" w:after="0" w:line="240" w:lineRule="auto"/>
        <w:rPr>
          <w:color w:val="000000" w:themeColor="text1"/>
        </w:rPr>
      </w:pPr>
      <w:r w:rsidRPr="006B2954">
        <w:rPr>
          <w:color w:val="000000" w:themeColor="text1"/>
        </w:rPr>
        <w:t>1 Canberra Avenue</w:t>
      </w:r>
    </w:p>
    <w:p w14:paraId="67B093D9" w14:textId="77777777" w:rsidR="005E5CB9" w:rsidRPr="006B2954" w:rsidRDefault="005E5CB9" w:rsidP="009A08BD">
      <w:pPr>
        <w:spacing w:before="0" w:after="120" w:line="240" w:lineRule="auto"/>
        <w:rPr>
          <w:color w:val="000000" w:themeColor="text1"/>
        </w:rPr>
      </w:pPr>
      <w:r w:rsidRPr="006B2954">
        <w:rPr>
          <w:color w:val="000000" w:themeColor="text1"/>
        </w:rPr>
        <w:t>Forrest ACT 2603</w:t>
      </w:r>
    </w:p>
    <w:p w14:paraId="7C24DAF3" w14:textId="245CF9CD" w:rsidR="005E5CB9" w:rsidRPr="006B2954" w:rsidRDefault="005E5CB9" w:rsidP="009A08BD">
      <w:pPr>
        <w:spacing w:before="0" w:after="120" w:line="240" w:lineRule="auto"/>
        <w:rPr>
          <w:color w:val="000000" w:themeColor="text1"/>
        </w:rPr>
      </w:pPr>
      <w:r w:rsidRPr="006B2954">
        <w:rPr>
          <w:color w:val="000000" w:themeColor="text1"/>
        </w:rPr>
        <w:t xml:space="preserve">Email: </w:t>
      </w:r>
      <w:r w:rsidR="001A36F5">
        <w:rPr>
          <w:rStyle w:val="Hyperlink"/>
          <w:i w:val="0"/>
          <w:u w:val="none"/>
        </w:rPr>
        <w:t>Receipts@finance.gov.au</w:t>
      </w:r>
    </w:p>
    <w:p w14:paraId="2161559A" w14:textId="4A0C642A" w:rsidR="00275E01" w:rsidRPr="00275E01" w:rsidRDefault="00275E01" w:rsidP="004E71F5">
      <w:pPr>
        <w:spacing w:before="0" w:after="120" w:line="240" w:lineRule="auto"/>
        <w:rPr>
          <w:rStyle w:val="Hyperlink"/>
          <w:rFonts w:cstheme="minorHAnsi"/>
          <w:i w:val="0"/>
          <w:color w:val="000000" w:themeColor="text1"/>
          <w:u w:val="none"/>
        </w:rPr>
      </w:pPr>
      <w:bookmarkStart w:id="1" w:name="_GoBack"/>
      <w:bookmarkEnd w:id="1"/>
    </w:p>
    <w:p w14:paraId="62FA67FB" w14:textId="77777777" w:rsidR="00275E01" w:rsidRPr="00275E01" w:rsidRDefault="00275E01" w:rsidP="00275E0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60" w:lineRule="exact"/>
        <w:ind w:left="60" w:right="60"/>
        <w:rPr>
          <w:rFonts w:cstheme="minorHAnsi"/>
          <w:color w:val="000000"/>
          <w:lang w:eastAsia="en-AU"/>
        </w:rPr>
      </w:pPr>
      <w:r w:rsidRPr="00275E01">
        <w:rPr>
          <w:rFonts w:cstheme="minorHAnsi"/>
          <w:color w:val="000000"/>
          <w:lang w:eastAsia="en-AU"/>
        </w:rPr>
        <w:t>The words ‘</w:t>
      </w:r>
      <w:r w:rsidRPr="00275E01">
        <w:rPr>
          <w:rFonts w:cstheme="minorHAnsi"/>
          <w:b/>
          <w:bCs/>
          <w:color w:val="000000"/>
          <w:lang w:eastAsia="en-AU"/>
        </w:rPr>
        <w:t>must</w:t>
      </w:r>
      <w:r w:rsidRPr="00275E01">
        <w:rPr>
          <w:rFonts w:cstheme="minorHAnsi"/>
          <w:color w:val="000000"/>
          <w:lang w:eastAsia="en-AU"/>
        </w:rPr>
        <w:t>’, ‘</w:t>
      </w:r>
      <w:r w:rsidRPr="00275E01">
        <w:rPr>
          <w:rFonts w:cstheme="minorHAnsi"/>
          <w:b/>
          <w:bCs/>
          <w:color w:val="000000"/>
          <w:lang w:eastAsia="en-AU"/>
        </w:rPr>
        <w:t>required</w:t>
      </w:r>
      <w:r w:rsidRPr="00275E01">
        <w:rPr>
          <w:rFonts w:cstheme="minorHAnsi"/>
          <w:color w:val="000000"/>
          <w:lang w:eastAsia="en-AU"/>
        </w:rPr>
        <w:t>’, ‘</w:t>
      </w:r>
      <w:r w:rsidRPr="00275E01">
        <w:rPr>
          <w:rFonts w:cstheme="minorHAnsi"/>
          <w:b/>
          <w:bCs/>
          <w:color w:val="000000"/>
          <w:lang w:eastAsia="en-AU"/>
        </w:rPr>
        <w:t>requires</w:t>
      </w:r>
      <w:r w:rsidRPr="00275E01">
        <w:rPr>
          <w:rFonts w:cstheme="minorHAnsi"/>
          <w:color w:val="000000"/>
          <w:lang w:eastAsia="en-AU"/>
        </w:rPr>
        <w:t>’ and ‘</w:t>
      </w:r>
      <w:r w:rsidRPr="00275E01">
        <w:rPr>
          <w:rFonts w:cstheme="minorHAnsi"/>
          <w:b/>
          <w:bCs/>
          <w:color w:val="000000"/>
          <w:lang w:eastAsia="en-AU"/>
        </w:rPr>
        <w:t>requiring</w:t>
      </w:r>
      <w:r w:rsidRPr="00275E01">
        <w:rPr>
          <w:rFonts w:cstheme="minorHAnsi"/>
          <w:color w:val="000000"/>
          <w:lang w:eastAsia="en-AU"/>
        </w:rPr>
        <w:t xml:space="preserve">’ denote mandatory compliance by accountable authorities/officials. The use of the words ‘could’, ‘may’, ‘encouraged’ or ‘consider’ convey non-mandatory guidance. The guidance to which these words relate may or may not be applied by accountable authorities/officials in their approach to resource management, depending on the operating circumstances of the entity and its appetite for risk. </w:t>
      </w:r>
    </w:p>
    <w:p w14:paraId="04938E02" w14:textId="77777777" w:rsidR="00D25200" w:rsidRDefault="00D25200">
      <w:pPr>
        <w:suppressAutoHyphens w:val="0"/>
        <w:spacing w:before="0" w:after="120" w:line="440" w:lineRule="atLeast"/>
        <w:rPr>
          <w:rFonts w:ascii="Arial" w:hAnsi="Arial" w:cs="Arial"/>
          <w:color w:val="92C5C5" w:themeColor="accent2"/>
          <w:sz w:val="42"/>
          <w:szCs w:val="42"/>
        </w:rPr>
      </w:pPr>
      <w:r>
        <w:rPr>
          <w:rFonts w:ascii="Arial" w:hAnsi="Arial" w:cs="Arial"/>
          <w:color w:val="92C5C5" w:themeColor="accent2"/>
          <w:sz w:val="42"/>
          <w:szCs w:val="42"/>
        </w:rPr>
        <w:br w:type="page"/>
      </w:r>
    </w:p>
    <w:p w14:paraId="049C109A" w14:textId="6B1AF771" w:rsidR="00396E11" w:rsidRDefault="00396E11" w:rsidP="00396E11">
      <w:pPr>
        <w:spacing w:before="0" w:after="120" w:line="240" w:lineRule="auto"/>
        <w:rPr>
          <w:rFonts w:ascii="Arial" w:hAnsi="Arial" w:cs="Arial"/>
          <w:color w:val="92C5C5" w:themeColor="accent2"/>
          <w:sz w:val="42"/>
          <w:szCs w:val="42"/>
        </w:rPr>
      </w:pPr>
      <w:r w:rsidRPr="00E60A81">
        <w:rPr>
          <w:rFonts w:ascii="Arial" w:hAnsi="Arial" w:cs="Arial"/>
          <w:color w:val="92C5C5" w:themeColor="accent2"/>
          <w:sz w:val="42"/>
          <w:szCs w:val="42"/>
        </w:rPr>
        <w:lastRenderedPageBreak/>
        <w:t>Contents</w:t>
      </w:r>
    </w:p>
    <w:p w14:paraId="59DA734D" w14:textId="27BFF742" w:rsidR="00CB4BF1" w:rsidRDefault="00396E11">
      <w:pPr>
        <w:pStyle w:val="TOC1"/>
        <w:rPr>
          <w:rFonts w:eastAsiaTheme="minorEastAsia"/>
          <w:b w:val="0"/>
          <w:noProof/>
          <w:sz w:val="22"/>
          <w:lang w:eastAsia="en-AU"/>
        </w:rPr>
      </w:pPr>
      <w:r>
        <w:rPr>
          <w:caps/>
          <w:sz w:val="20"/>
        </w:rPr>
        <w:fldChar w:fldCharType="begin"/>
      </w:r>
      <w:r>
        <w:rPr>
          <w:caps/>
          <w:sz w:val="20"/>
        </w:rPr>
        <w:instrText xml:space="preserve"> TOC \o "1-3" \h \z \u </w:instrText>
      </w:r>
      <w:r>
        <w:rPr>
          <w:caps/>
          <w:sz w:val="20"/>
        </w:rPr>
        <w:fldChar w:fldCharType="separate"/>
      </w:r>
      <w:hyperlink w:anchor="_Toc46302440" w:history="1">
        <w:r w:rsidR="00CB4BF1" w:rsidRPr="00E323E9">
          <w:rPr>
            <w:rStyle w:val="Hyperlink"/>
            <w:rFonts w:ascii="Calibri" w:hAnsi="Calibri"/>
            <w:noProof/>
          </w:rPr>
          <w:t>Retainable receipts</w:t>
        </w:r>
        <w:r w:rsidR="00CB4BF1">
          <w:rPr>
            <w:noProof/>
            <w:webHidden/>
          </w:rPr>
          <w:tab/>
        </w:r>
        <w:r w:rsidR="00CB4BF1">
          <w:rPr>
            <w:noProof/>
            <w:webHidden/>
          </w:rPr>
          <w:fldChar w:fldCharType="begin"/>
        </w:r>
        <w:r w:rsidR="00CB4BF1">
          <w:rPr>
            <w:noProof/>
            <w:webHidden/>
          </w:rPr>
          <w:instrText xml:space="preserve"> PAGEREF _Toc46302440 \h </w:instrText>
        </w:r>
        <w:r w:rsidR="00CB4BF1">
          <w:rPr>
            <w:noProof/>
            <w:webHidden/>
          </w:rPr>
        </w:r>
        <w:r w:rsidR="00CB4BF1">
          <w:rPr>
            <w:noProof/>
            <w:webHidden/>
          </w:rPr>
          <w:fldChar w:fldCharType="separate"/>
        </w:r>
        <w:r w:rsidR="00CB4BF1">
          <w:rPr>
            <w:noProof/>
            <w:webHidden/>
          </w:rPr>
          <w:t>1</w:t>
        </w:r>
        <w:r w:rsidR="00CB4BF1">
          <w:rPr>
            <w:noProof/>
            <w:webHidden/>
          </w:rPr>
          <w:fldChar w:fldCharType="end"/>
        </w:r>
      </w:hyperlink>
    </w:p>
    <w:p w14:paraId="2C862F89" w14:textId="37AE559A" w:rsidR="00CB4BF1" w:rsidRDefault="00CB4BF1">
      <w:pPr>
        <w:pStyle w:val="TOC1"/>
        <w:rPr>
          <w:rFonts w:eastAsiaTheme="minorEastAsia"/>
          <w:b w:val="0"/>
          <w:noProof/>
          <w:sz w:val="22"/>
          <w:lang w:eastAsia="en-AU"/>
        </w:rPr>
      </w:pPr>
      <w:hyperlink w:anchor="_Toc46302441" w:history="1">
        <w:r w:rsidRPr="00E323E9">
          <w:rPr>
            <w:rStyle w:val="Hyperlink"/>
            <w:noProof/>
          </w:rPr>
          <w:t>Audience</w:t>
        </w:r>
        <w:r>
          <w:rPr>
            <w:noProof/>
            <w:webHidden/>
          </w:rPr>
          <w:tab/>
        </w:r>
        <w:r>
          <w:rPr>
            <w:noProof/>
            <w:webHidden/>
          </w:rPr>
          <w:fldChar w:fldCharType="begin"/>
        </w:r>
        <w:r>
          <w:rPr>
            <w:noProof/>
            <w:webHidden/>
          </w:rPr>
          <w:instrText xml:space="preserve"> PAGEREF _Toc46302441 \h </w:instrText>
        </w:r>
        <w:r>
          <w:rPr>
            <w:noProof/>
            <w:webHidden/>
          </w:rPr>
        </w:r>
        <w:r>
          <w:rPr>
            <w:noProof/>
            <w:webHidden/>
          </w:rPr>
          <w:fldChar w:fldCharType="separate"/>
        </w:r>
        <w:r>
          <w:rPr>
            <w:noProof/>
            <w:webHidden/>
          </w:rPr>
          <w:t>4</w:t>
        </w:r>
        <w:r>
          <w:rPr>
            <w:noProof/>
            <w:webHidden/>
          </w:rPr>
          <w:fldChar w:fldCharType="end"/>
        </w:r>
      </w:hyperlink>
    </w:p>
    <w:p w14:paraId="32DA5717" w14:textId="0571FED0" w:rsidR="00CB4BF1" w:rsidRDefault="00CB4BF1">
      <w:pPr>
        <w:pStyle w:val="TOC1"/>
        <w:rPr>
          <w:rFonts w:eastAsiaTheme="minorEastAsia"/>
          <w:b w:val="0"/>
          <w:noProof/>
          <w:sz w:val="22"/>
          <w:lang w:eastAsia="en-AU"/>
        </w:rPr>
      </w:pPr>
      <w:hyperlink w:anchor="_Toc46302442" w:history="1">
        <w:r w:rsidRPr="00E323E9">
          <w:rPr>
            <w:rStyle w:val="Hyperlink"/>
            <w:noProof/>
          </w:rPr>
          <w:t>Key points</w:t>
        </w:r>
        <w:r>
          <w:rPr>
            <w:noProof/>
            <w:webHidden/>
          </w:rPr>
          <w:tab/>
        </w:r>
        <w:r>
          <w:rPr>
            <w:noProof/>
            <w:webHidden/>
          </w:rPr>
          <w:fldChar w:fldCharType="begin"/>
        </w:r>
        <w:r>
          <w:rPr>
            <w:noProof/>
            <w:webHidden/>
          </w:rPr>
          <w:instrText xml:space="preserve"> PAGEREF _Toc46302442 \h </w:instrText>
        </w:r>
        <w:r>
          <w:rPr>
            <w:noProof/>
            <w:webHidden/>
          </w:rPr>
        </w:r>
        <w:r>
          <w:rPr>
            <w:noProof/>
            <w:webHidden/>
          </w:rPr>
          <w:fldChar w:fldCharType="separate"/>
        </w:r>
        <w:r>
          <w:rPr>
            <w:noProof/>
            <w:webHidden/>
          </w:rPr>
          <w:t>4</w:t>
        </w:r>
        <w:r>
          <w:rPr>
            <w:noProof/>
            <w:webHidden/>
          </w:rPr>
          <w:fldChar w:fldCharType="end"/>
        </w:r>
      </w:hyperlink>
    </w:p>
    <w:p w14:paraId="7D4BC94B" w14:textId="11C9091B" w:rsidR="00CB4BF1" w:rsidRDefault="00CB4BF1">
      <w:pPr>
        <w:pStyle w:val="TOC1"/>
        <w:rPr>
          <w:rFonts w:eastAsiaTheme="minorEastAsia"/>
          <w:b w:val="0"/>
          <w:noProof/>
          <w:sz w:val="22"/>
          <w:lang w:eastAsia="en-AU"/>
        </w:rPr>
      </w:pPr>
      <w:hyperlink w:anchor="_Toc46302443" w:history="1">
        <w:r w:rsidRPr="00E323E9">
          <w:rPr>
            <w:rStyle w:val="Hyperlink"/>
            <w:noProof/>
          </w:rPr>
          <w:t>Resources</w:t>
        </w:r>
        <w:r>
          <w:rPr>
            <w:noProof/>
            <w:webHidden/>
          </w:rPr>
          <w:tab/>
        </w:r>
        <w:r>
          <w:rPr>
            <w:noProof/>
            <w:webHidden/>
          </w:rPr>
          <w:fldChar w:fldCharType="begin"/>
        </w:r>
        <w:r>
          <w:rPr>
            <w:noProof/>
            <w:webHidden/>
          </w:rPr>
          <w:instrText xml:space="preserve"> PAGEREF _Toc46302443 \h </w:instrText>
        </w:r>
        <w:r>
          <w:rPr>
            <w:noProof/>
            <w:webHidden/>
          </w:rPr>
        </w:r>
        <w:r>
          <w:rPr>
            <w:noProof/>
            <w:webHidden/>
          </w:rPr>
          <w:fldChar w:fldCharType="separate"/>
        </w:r>
        <w:r>
          <w:rPr>
            <w:noProof/>
            <w:webHidden/>
          </w:rPr>
          <w:t>4</w:t>
        </w:r>
        <w:r>
          <w:rPr>
            <w:noProof/>
            <w:webHidden/>
          </w:rPr>
          <w:fldChar w:fldCharType="end"/>
        </w:r>
      </w:hyperlink>
    </w:p>
    <w:p w14:paraId="5F764E6F" w14:textId="2CF1F3F8" w:rsidR="00CB4BF1" w:rsidRDefault="00CB4BF1">
      <w:pPr>
        <w:pStyle w:val="TOC1"/>
        <w:rPr>
          <w:rFonts w:eastAsiaTheme="minorEastAsia"/>
          <w:b w:val="0"/>
          <w:noProof/>
          <w:sz w:val="22"/>
          <w:lang w:eastAsia="en-AU"/>
        </w:rPr>
      </w:pPr>
      <w:hyperlink w:anchor="_Toc46302444" w:history="1">
        <w:r w:rsidRPr="00E323E9">
          <w:rPr>
            <w:rStyle w:val="Hyperlink"/>
            <w:noProof/>
          </w:rPr>
          <w:t>Introduction</w:t>
        </w:r>
        <w:r>
          <w:rPr>
            <w:noProof/>
            <w:webHidden/>
          </w:rPr>
          <w:tab/>
        </w:r>
        <w:r>
          <w:rPr>
            <w:noProof/>
            <w:webHidden/>
          </w:rPr>
          <w:fldChar w:fldCharType="begin"/>
        </w:r>
        <w:r>
          <w:rPr>
            <w:noProof/>
            <w:webHidden/>
          </w:rPr>
          <w:instrText xml:space="preserve"> PAGEREF _Toc46302444 \h </w:instrText>
        </w:r>
        <w:r>
          <w:rPr>
            <w:noProof/>
            <w:webHidden/>
          </w:rPr>
        </w:r>
        <w:r>
          <w:rPr>
            <w:noProof/>
            <w:webHidden/>
          </w:rPr>
          <w:fldChar w:fldCharType="separate"/>
        </w:r>
        <w:r>
          <w:rPr>
            <w:noProof/>
            <w:webHidden/>
          </w:rPr>
          <w:t>5</w:t>
        </w:r>
        <w:r>
          <w:rPr>
            <w:noProof/>
            <w:webHidden/>
          </w:rPr>
          <w:fldChar w:fldCharType="end"/>
        </w:r>
      </w:hyperlink>
    </w:p>
    <w:p w14:paraId="58ABF2D5" w14:textId="0D984F14" w:rsidR="00CB4BF1" w:rsidRDefault="00CB4BF1">
      <w:pPr>
        <w:pStyle w:val="TOC1"/>
        <w:rPr>
          <w:rFonts w:eastAsiaTheme="minorEastAsia"/>
          <w:b w:val="0"/>
          <w:noProof/>
          <w:sz w:val="22"/>
          <w:lang w:eastAsia="en-AU"/>
        </w:rPr>
      </w:pPr>
      <w:hyperlink w:anchor="_Toc46302445" w:history="1">
        <w:r w:rsidRPr="00E323E9">
          <w:rPr>
            <w:rStyle w:val="Hyperlink"/>
            <w:rFonts w:eastAsia="Times New Roman"/>
            <w:noProof/>
          </w:rPr>
          <w:t>1.</w:t>
        </w:r>
        <w:r>
          <w:rPr>
            <w:rFonts w:eastAsiaTheme="minorEastAsia"/>
            <w:b w:val="0"/>
            <w:noProof/>
            <w:sz w:val="22"/>
            <w:lang w:eastAsia="en-AU"/>
          </w:rPr>
          <w:tab/>
        </w:r>
        <w:r w:rsidRPr="00E323E9">
          <w:rPr>
            <w:rStyle w:val="Hyperlink"/>
            <w:rFonts w:eastAsia="Times New Roman"/>
            <w:noProof/>
          </w:rPr>
          <w:t>Legislative framework for retainable receipts</w:t>
        </w:r>
        <w:r>
          <w:rPr>
            <w:noProof/>
            <w:webHidden/>
          </w:rPr>
          <w:tab/>
        </w:r>
        <w:r>
          <w:rPr>
            <w:noProof/>
            <w:webHidden/>
          </w:rPr>
          <w:fldChar w:fldCharType="begin"/>
        </w:r>
        <w:r>
          <w:rPr>
            <w:noProof/>
            <w:webHidden/>
          </w:rPr>
          <w:instrText xml:space="preserve"> PAGEREF _Toc46302445 \h </w:instrText>
        </w:r>
        <w:r>
          <w:rPr>
            <w:noProof/>
            <w:webHidden/>
          </w:rPr>
        </w:r>
        <w:r>
          <w:rPr>
            <w:noProof/>
            <w:webHidden/>
          </w:rPr>
          <w:fldChar w:fldCharType="separate"/>
        </w:r>
        <w:r>
          <w:rPr>
            <w:noProof/>
            <w:webHidden/>
          </w:rPr>
          <w:t>5</w:t>
        </w:r>
        <w:r>
          <w:rPr>
            <w:noProof/>
            <w:webHidden/>
          </w:rPr>
          <w:fldChar w:fldCharType="end"/>
        </w:r>
      </w:hyperlink>
    </w:p>
    <w:p w14:paraId="578FAE8B" w14:textId="3665A432" w:rsidR="00CB4BF1" w:rsidRDefault="00CB4BF1">
      <w:pPr>
        <w:pStyle w:val="TOC1"/>
        <w:rPr>
          <w:rFonts w:eastAsiaTheme="minorEastAsia"/>
          <w:b w:val="0"/>
          <w:noProof/>
          <w:sz w:val="22"/>
          <w:lang w:eastAsia="en-AU"/>
        </w:rPr>
      </w:pPr>
      <w:hyperlink w:anchor="_Toc46302446" w:history="1">
        <w:r w:rsidRPr="00E323E9">
          <w:rPr>
            <w:rStyle w:val="Hyperlink"/>
            <w:rFonts w:eastAsia="Times New Roman"/>
            <w:noProof/>
            <w:lang w:val="en" w:eastAsia="en-AU"/>
          </w:rPr>
          <w:t>2.</w:t>
        </w:r>
        <w:r>
          <w:rPr>
            <w:rFonts w:eastAsiaTheme="minorEastAsia"/>
            <w:b w:val="0"/>
            <w:noProof/>
            <w:sz w:val="22"/>
            <w:lang w:eastAsia="en-AU"/>
          </w:rPr>
          <w:tab/>
        </w:r>
        <w:r w:rsidRPr="00E323E9">
          <w:rPr>
            <w:rStyle w:val="Hyperlink"/>
            <w:rFonts w:eastAsia="Times New Roman"/>
            <w:noProof/>
            <w:lang w:val="en" w:eastAsia="en-AU"/>
          </w:rPr>
          <w:t>Departmental receipts that NCEs may retain</w:t>
        </w:r>
        <w:r>
          <w:rPr>
            <w:noProof/>
            <w:webHidden/>
          </w:rPr>
          <w:tab/>
        </w:r>
        <w:r>
          <w:rPr>
            <w:noProof/>
            <w:webHidden/>
          </w:rPr>
          <w:fldChar w:fldCharType="begin"/>
        </w:r>
        <w:r>
          <w:rPr>
            <w:noProof/>
            <w:webHidden/>
          </w:rPr>
          <w:instrText xml:space="preserve"> PAGEREF _Toc46302446 \h </w:instrText>
        </w:r>
        <w:r>
          <w:rPr>
            <w:noProof/>
            <w:webHidden/>
          </w:rPr>
        </w:r>
        <w:r>
          <w:rPr>
            <w:noProof/>
            <w:webHidden/>
          </w:rPr>
          <w:fldChar w:fldCharType="separate"/>
        </w:r>
        <w:r>
          <w:rPr>
            <w:noProof/>
            <w:webHidden/>
          </w:rPr>
          <w:t>5</w:t>
        </w:r>
        <w:r>
          <w:rPr>
            <w:noProof/>
            <w:webHidden/>
          </w:rPr>
          <w:fldChar w:fldCharType="end"/>
        </w:r>
      </w:hyperlink>
    </w:p>
    <w:p w14:paraId="3E27EA2E" w14:textId="0B7B35DA" w:rsidR="00CB4BF1" w:rsidRDefault="00CB4BF1">
      <w:pPr>
        <w:pStyle w:val="TOC2"/>
        <w:rPr>
          <w:rFonts w:eastAsiaTheme="minorEastAsia"/>
          <w:noProof/>
          <w:lang w:eastAsia="en-AU"/>
        </w:rPr>
      </w:pPr>
      <w:hyperlink w:anchor="_Toc46302447" w:history="1">
        <w:r w:rsidRPr="00E323E9">
          <w:rPr>
            <w:rStyle w:val="Hyperlink"/>
            <w:rFonts w:eastAsia="Times New Roman"/>
            <w:noProof/>
            <w:lang w:val="en" w:eastAsia="en-AU"/>
          </w:rPr>
          <w:t>Offset of costs related to an activity of the entity</w:t>
        </w:r>
        <w:r>
          <w:rPr>
            <w:noProof/>
            <w:webHidden/>
          </w:rPr>
          <w:tab/>
        </w:r>
        <w:r>
          <w:rPr>
            <w:noProof/>
            <w:webHidden/>
          </w:rPr>
          <w:fldChar w:fldCharType="begin"/>
        </w:r>
        <w:r>
          <w:rPr>
            <w:noProof/>
            <w:webHidden/>
          </w:rPr>
          <w:instrText xml:space="preserve"> PAGEREF _Toc46302447 \h </w:instrText>
        </w:r>
        <w:r>
          <w:rPr>
            <w:noProof/>
            <w:webHidden/>
          </w:rPr>
        </w:r>
        <w:r>
          <w:rPr>
            <w:noProof/>
            <w:webHidden/>
          </w:rPr>
          <w:fldChar w:fldCharType="separate"/>
        </w:r>
        <w:r>
          <w:rPr>
            <w:noProof/>
            <w:webHidden/>
          </w:rPr>
          <w:t>6</w:t>
        </w:r>
        <w:r>
          <w:rPr>
            <w:noProof/>
            <w:webHidden/>
          </w:rPr>
          <w:fldChar w:fldCharType="end"/>
        </w:r>
      </w:hyperlink>
    </w:p>
    <w:p w14:paraId="1C4FBED4" w14:textId="0CA45843" w:rsidR="00CB4BF1" w:rsidRDefault="00CB4BF1">
      <w:pPr>
        <w:pStyle w:val="TOC3"/>
        <w:rPr>
          <w:rFonts w:eastAsiaTheme="minorEastAsia"/>
          <w:noProof/>
          <w:lang w:eastAsia="en-AU"/>
        </w:rPr>
      </w:pPr>
      <w:hyperlink w:anchor="_Toc46302448" w:history="1">
        <w:r w:rsidRPr="00E323E9">
          <w:rPr>
            <w:rStyle w:val="Hyperlink"/>
            <w:noProof/>
          </w:rPr>
          <w:t>Joint delivery of Commonwealth outcomes</w:t>
        </w:r>
        <w:r>
          <w:rPr>
            <w:noProof/>
            <w:webHidden/>
          </w:rPr>
          <w:tab/>
        </w:r>
        <w:r>
          <w:rPr>
            <w:noProof/>
            <w:webHidden/>
          </w:rPr>
          <w:fldChar w:fldCharType="begin"/>
        </w:r>
        <w:r>
          <w:rPr>
            <w:noProof/>
            <w:webHidden/>
          </w:rPr>
          <w:instrText xml:space="preserve"> PAGEREF _Toc46302448 \h </w:instrText>
        </w:r>
        <w:r>
          <w:rPr>
            <w:noProof/>
            <w:webHidden/>
          </w:rPr>
        </w:r>
        <w:r>
          <w:rPr>
            <w:noProof/>
            <w:webHidden/>
          </w:rPr>
          <w:fldChar w:fldCharType="separate"/>
        </w:r>
        <w:r>
          <w:rPr>
            <w:noProof/>
            <w:webHidden/>
          </w:rPr>
          <w:t>7</w:t>
        </w:r>
        <w:r>
          <w:rPr>
            <w:noProof/>
            <w:webHidden/>
          </w:rPr>
          <w:fldChar w:fldCharType="end"/>
        </w:r>
      </w:hyperlink>
    </w:p>
    <w:p w14:paraId="3A5895DF" w14:textId="4A3B582F" w:rsidR="00CB4BF1" w:rsidRDefault="00CB4BF1">
      <w:pPr>
        <w:pStyle w:val="TOC3"/>
        <w:rPr>
          <w:rFonts w:eastAsiaTheme="minorEastAsia"/>
          <w:noProof/>
          <w:lang w:eastAsia="en-AU"/>
        </w:rPr>
      </w:pPr>
      <w:hyperlink w:anchor="_Toc46302449" w:history="1">
        <w:r w:rsidRPr="00E323E9">
          <w:rPr>
            <w:rStyle w:val="Hyperlink"/>
            <w:noProof/>
          </w:rPr>
          <w:t>Prepayments</w:t>
        </w:r>
        <w:r>
          <w:rPr>
            <w:noProof/>
            <w:webHidden/>
          </w:rPr>
          <w:tab/>
        </w:r>
        <w:r>
          <w:rPr>
            <w:noProof/>
            <w:webHidden/>
          </w:rPr>
          <w:fldChar w:fldCharType="begin"/>
        </w:r>
        <w:r>
          <w:rPr>
            <w:noProof/>
            <w:webHidden/>
          </w:rPr>
          <w:instrText xml:space="preserve"> PAGEREF _Toc46302449 \h </w:instrText>
        </w:r>
        <w:r>
          <w:rPr>
            <w:noProof/>
            <w:webHidden/>
          </w:rPr>
        </w:r>
        <w:r>
          <w:rPr>
            <w:noProof/>
            <w:webHidden/>
          </w:rPr>
          <w:fldChar w:fldCharType="separate"/>
        </w:r>
        <w:r>
          <w:rPr>
            <w:noProof/>
            <w:webHidden/>
          </w:rPr>
          <w:t>7</w:t>
        </w:r>
        <w:r>
          <w:rPr>
            <w:noProof/>
            <w:webHidden/>
          </w:rPr>
          <w:fldChar w:fldCharType="end"/>
        </w:r>
      </w:hyperlink>
    </w:p>
    <w:p w14:paraId="737A5118" w14:textId="73C1BC09" w:rsidR="00CB4BF1" w:rsidRDefault="00CB4BF1">
      <w:pPr>
        <w:pStyle w:val="TOC2"/>
        <w:rPr>
          <w:rFonts w:eastAsiaTheme="minorEastAsia"/>
          <w:noProof/>
          <w:lang w:eastAsia="en-AU"/>
        </w:rPr>
      </w:pPr>
      <w:hyperlink w:anchor="_Toc46302450" w:history="1">
        <w:r w:rsidRPr="00E323E9">
          <w:rPr>
            <w:rStyle w:val="Hyperlink"/>
            <w:rFonts w:eastAsia="Times New Roman"/>
            <w:noProof/>
            <w:lang w:val="en" w:eastAsia="en-AU"/>
          </w:rPr>
          <w:t>Sponsorships, subsidies, gifts, bequests or similar</w:t>
        </w:r>
        <w:r>
          <w:rPr>
            <w:noProof/>
            <w:webHidden/>
          </w:rPr>
          <w:tab/>
        </w:r>
        <w:r>
          <w:rPr>
            <w:noProof/>
            <w:webHidden/>
          </w:rPr>
          <w:fldChar w:fldCharType="begin"/>
        </w:r>
        <w:r>
          <w:rPr>
            <w:noProof/>
            <w:webHidden/>
          </w:rPr>
          <w:instrText xml:space="preserve"> PAGEREF _Toc46302450 \h </w:instrText>
        </w:r>
        <w:r>
          <w:rPr>
            <w:noProof/>
            <w:webHidden/>
          </w:rPr>
        </w:r>
        <w:r>
          <w:rPr>
            <w:noProof/>
            <w:webHidden/>
          </w:rPr>
          <w:fldChar w:fldCharType="separate"/>
        </w:r>
        <w:r>
          <w:rPr>
            <w:noProof/>
            <w:webHidden/>
          </w:rPr>
          <w:t>7</w:t>
        </w:r>
        <w:r>
          <w:rPr>
            <w:noProof/>
            <w:webHidden/>
          </w:rPr>
          <w:fldChar w:fldCharType="end"/>
        </w:r>
      </w:hyperlink>
    </w:p>
    <w:p w14:paraId="3685F1B1" w14:textId="7ED5560C" w:rsidR="00CB4BF1" w:rsidRDefault="00CB4BF1">
      <w:pPr>
        <w:pStyle w:val="TOC2"/>
        <w:rPr>
          <w:rFonts w:eastAsiaTheme="minorEastAsia"/>
          <w:noProof/>
          <w:lang w:eastAsia="en-AU"/>
        </w:rPr>
      </w:pPr>
      <w:hyperlink w:anchor="_Toc46302451" w:history="1">
        <w:r w:rsidRPr="00E323E9">
          <w:rPr>
            <w:rStyle w:val="Hyperlink"/>
            <w:rFonts w:eastAsia="Times New Roman"/>
            <w:noProof/>
            <w:lang w:val="en" w:eastAsia="en-AU"/>
          </w:rPr>
          <w:t>Monetary incentives or rebates</w:t>
        </w:r>
        <w:r>
          <w:rPr>
            <w:noProof/>
            <w:webHidden/>
          </w:rPr>
          <w:tab/>
        </w:r>
        <w:r>
          <w:rPr>
            <w:noProof/>
            <w:webHidden/>
          </w:rPr>
          <w:fldChar w:fldCharType="begin"/>
        </w:r>
        <w:r>
          <w:rPr>
            <w:noProof/>
            <w:webHidden/>
          </w:rPr>
          <w:instrText xml:space="preserve"> PAGEREF _Toc46302451 \h </w:instrText>
        </w:r>
        <w:r>
          <w:rPr>
            <w:noProof/>
            <w:webHidden/>
          </w:rPr>
        </w:r>
        <w:r>
          <w:rPr>
            <w:noProof/>
            <w:webHidden/>
          </w:rPr>
          <w:fldChar w:fldCharType="separate"/>
        </w:r>
        <w:r>
          <w:rPr>
            <w:noProof/>
            <w:webHidden/>
          </w:rPr>
          <w:t>8</w:t>
        </w:r>
        <w:r>
          <w:rPr>
            <w:noProof/>
            <w:webHidden/>
          </w:rPr>
          <w:fldChar w:fldCharType="end"/>
        </w:r>
      </w:hyperlink>
    </w:p>
    <w:p w14:paraId="4B95E366" w14:textId="34AC6E4A" w:rsidR="00CB4BF1" w:rsidRDefault="00CB4BF1">
      <w:pPr>
        <w:pStyle w:val="TOC2"/>
        <w:rPr>
          <w:rFonts w:eastAsiaTheme="minorEastAsia"/>
          <w:noProof/>
          <w:lang w:eastAsia="en-AU"/>
        </w:rPr>
      </w:pPr>
      <w:hyperlink w:anchor="_Toc46302452" w:history="1">
        <w:r w:rsidRPr="00E323E9">
          <w:rPr>
            <w:rStyle w:val="Hyperlink"/>
            <w:rFonts w:eastAsia="Times New Roman"/>
            <w:noProof/>
            <w:lang w:val="en" w:eastAsia="en-AU"/>
          </w:rPr>
          <w:t>Insurance payouts</w:t>
        </w:r>
        <w:r>
          <w:rPr>
            <w:noProof/>
            <w:webHidden/>
          </w:rPr>
          <w:tab/>
        </w:r>
        <w:r>
          <w:rPr>
            <w:noProof/>
            <w:webHidden/>
          </w:rPr>
          <w:fldChar w:fldCharType="begin"/>
        </w:r>
        <w:r>
          <w:rPr>
            <w:noProof/>
            <w:webHidden/>
          </w:rPr>
          <w:instrText xml:space="preserve"> PAGEREF _Toc46302452 \h </w:instrText>
        </w:r>
        <w:r>
          <w:rPr>
            <w:noProof/>
            <w:webHidden/>
          </w:rPr>
        </w:r>
        <w:r>
          <w:rPr>
            <w:noProof/>
            <w:webHidden/>
          </w:rPr>
          <w:fldChar w:fldCharType="separate"/>
        </w:r>
        <w:r>
          <w:rPr>
            <w:noProof/>
            <w:webHidden/>
          </w:rPr>
          <w:t>8</w:t>
        </w:r>
        <w:r>
          <w:rPr>
            <w:noProof/>
            <w:webHidden/>
          </w:rPr>
          <w:fldChar w:fldCharType="end"/>
        </w:r>
      </w:hyperlink>
    </w:p>
    <w:p w14:paraId="5041A090" w14:textId="0D7A1244" w:rsidR="00CB4BF1" w:rsidRDefault="00CB4BF1">
      <w:pPr>
        <w:pStyle w:val="TOC2"/>
        <w:rPr>
          <w:rFonts w:eastAsiaTheme="minorEastAsia"/>
          <w:noProof/>
          <w:lang w:eastAsia="en-AU"/>
        </w:rPr>
      </w:pPr>
      <w:hyperlink w:anchor="_Toc46302453" w:history="1">
        <w:r w:rsidRPr="00E323E9">
          <w:rPr>
            <w:rStyle w:val="Hyperlink"/>
            <w:rFonts w:eastAsia="Times New Roman"/>
            <w:noProof/>
            <w:lang w:val="en" w:eastAsia="en-AU"/>
          </w:rPr>
          <w:t>Damages and other compensation</w:t>
        </w:r>
        <w:r>
          <w:rPr>
            <w:noProof/>
            <w:webHidden/>
          </w:rPr>
          <w:tab/>
        </w:r>
        <w:r>
          <w:rPr>
            <w:noProof/>
            <w:webHidden/>
          </w:rPr>
          <w:fldChar w:fldCharType="begin"/>
        </w:r>
        <w:r>
          <w:rPr>
            <w:noProof/>
            <w:webHidden/>
          </w:rPr>
          <w:instrText xml:space="preserve"> PAGEREF _Toc46302453 \h </w:instrText>
        </w:r>
        <w:r>
          <w:rPr>
            <w:noProof/>
            <w:webHidden/>
          </w:rPr>
        </w:r>
        <w:r>
          <w:rPr>
            <w:noProof/>
            <w:webHidden/>
          </w:rPr>
          <w:fldChar w:fldCharType="separate"/>
        </w:r>
        <w:r>
          <w:rPr>
            <w:noProof/>
            <w:webHidden/>
          </w:rPr>
          <w:t>9</w:t>
        </w:r>
        <w:r>
          <w:rPr>
            <w:noProof/>
            <w:webHidden/>
          </w:rPr>
          <w:fldChar w:fldCharType="end"/>
        </w:r>
      </w:hyperlink>
    </w:p>
    <w:p w14:paraId="00B98C5C" w14:textId="77048B2B" w:rsidR="00CB4BF1" w:rsidRDefault="00CB4BF1">
      <w:pPr>
        <w:pStyle w:val="TOC2"/>
        <w:rPr>
          <w:rFonts w:eastAsiaTheme="minorEastAsia"/>
          <w:noProof/>
          <w:lang w:eastAsia="en-AU"/>
        </w:rPr>
      </w:pPr>
      <w:hyperlink w:anchor="_Toc46302454" w:history="1">
        <w:r w:rsidRPr="00E323E9">
          <w:rPr>
            <w:rStyle w:val="Hyperlink"/>
            <w:rFonts w:eastAsia="Times New Roman"/>
            <w:noProof/>
            <w:lang w:val="en" w:eastAsia="en-AU"/>
          </w:rPr>
          <w:t>Employee leave</w:t>
        </w:r>
        <w:r>
          <w:rPr>
            <w:noProof/>
            <w:webHidden/>
          </w:rPr>
          <w:tab/>
        </w:r>
        <w:r>
          <w:rPr>
            <w:noProof/>
            <w:webHidden/>
          </w:rPr>
          <w:fldChar w:fldCharType="begin"/>
        </w:r>
        <w:r>
          <w:rPr>
            <w:noProof/>
            <w:webHidden/>
          </w:rPr>
          <w:instrText xml:space="preserve"> PAGEREF _Toc46302454 \h </w:instrText>
        </w:r>
        <w:r>
          <w:rPr>
            <w:noProof/>
            <w:webHidden/>
          </w:rPr>
        </w:r>
        <w:r>
          <w:rPr>
            <w:noProof/>
            <w:webHidden/>
          </w:rPr>
          <w:fldChar w:fldCharType="separate"/>
        </w:r>
        <w:r>
          <w:rPr>
            <w:noProof/>
            <w:webHidden/>
          </w:rPr>
          <w:t>9</w:t>
        </w:r>
        <w:r>
          <w:rPr>
            <w:noProof/>
            <w:webHidden/>
          </w:rPr>
          <w:fldChar w:fldCharType="end"/>
        </w:r>
      </w:hyperlink>
    </w:p>
    <w:p w14:paraId="694A42F1" w14:textId="640FA5B4" w:rsidR="00CB4BF1" w:rsidRDefault="00CB4BF1">
      <w:pPr>
        <w:pStyle w:val="TOC2"/>
        <w:rPr>
          <w:rFonts w:eastAsiaTheme="minorEastAsia"/>
          <w:noProof/>
          <w:lang w:eastAsia="en-AU"/>
        </w:rPr>
      </w:pPr>
      <w:hyperlink w:anchor="_Toc46302455" w:history="1">
        <w:r w:rsidRPr="00E323E9">
          <w:rPr>
            <w:rStyle w:val="Hyperlink"/>
            <w:rFonts w:eastAsia="Times New Roman"/>
            <w:noProof/>
            <w:lang w:val="en" w:eastAsia="en-AU"/>
          </w:rPr>
          <w:t>Sale of departmental assets</w:t>
        </w:r>
        <w:r>
          <w:rPr>
            <w:noProof/>
            <w:webHidden/>
          </w:rPr>
          <w:tab/>
        </w:r>
        <w:r>
          <w:rPr>
            <w:noProof/>
            <w:webHidden/>
          </w:rPr>
          <w:fldChar w:fldCharType="begin"/>
        </w:r>
        <w:r>
          <w:rPr>
            <w:noProof/>
            <w:webHidden/>
          </w:rPr>
          <w:instrText xml:space="preserve"> PAGEREF _Toc46302455 \h </w:instrText>
        </w:r>
        <w:r>
          <w:rPr>
            <w:noProof/>
            <w:webHidden/>
          </w:rPr>
        </w:r>
        <w:r>
          <w:rPr>
            <w:noProof/>
            <w:webHidden/>
          </w:rPr>
          <w:fldChar w:fldCharType="separate"/>
        </w:r>
        <w:r>
          <w:rPr>
            <w:noProof/>
            <w:webHidden/>
          </w:rPr>
          <w:t>9</w:t>
        </w:r>
        <w:r>
          <w:rPr>
            <w:noProof/>
            <w:webHidden/>
          </w:rPr>
          <w:fldChar w:fldCharType="end"/>
        </w:r>
      </w:hyperlink>
    </w:p>
    <w:p w14:paraId="60F7071E" w14:textId="6284A193" w:rsidR="00CB4BF1" w:rsidRDefault="00CB4BF1">
      <w:pPr>
        <w:pStyle w:val="TOC2"/>
        <w:rPr>
          <w:rFonts w:eastAsiaTheme="minorEastAsia"/>
          <w:noProof/>
          <w:lang w:eastAsia="en-AU"/>
        </w:rPr>
      </w:pPr>
      <w:hyperlink w:anchor="_Toc46302456" w:history="1">
        <w:r w:rsidRPr="00E323E9">
          <w:rPr>
            <w:rStyle w:val="Hyperlink"/>
            <w:rFonts w:eastAsia="Times New Roman"/>
            <w:noProof/>
            <w:lang w:val="en" w:eastAsia="en-AU"/>
          </w:rPr>
          <w:t>Freedom of information requests</w:t>
        </w:r>
        <w:r>
          <w:rPr>
            <w:noProof/>
            <w:webHidden/>
          </w:rPr>
          <w:tab/>
        </w:r>
        <w:r>
          <w:rPr>
            <w:noProof/>
            <w:webHidden/>
          </w:rPr>
          <w:fldChar w:fldCharType="begin"/>
        </w:r>
        <w:r>
          <w:rPr>
            <w:noProof/>
            <w:webHidden/>
          </w:rPr>
          <w:instrText xml:space="preserve"> PAGEREF _Toc46302456 \h </w:instrText>
        </w:r>
        <w:r>
          <w:rPr>
            <w:noProof/>
            <w:webHidden/>
          </w:rPr>
        </w:r>
        <w:r>
          <w:rPr>
            <w:noProof/>
            <w:webHidden/>
          </w:rPr>
          <w:fldChar w:fldCharType="separate"/>
        </w:r>
        <w:r>
          <w:rPr>
            <w:noProof/>
            <w:webHidden/>
          </w:rPr>
          <w:t>10</w:t>
        </w:r>
        <w:r>
          <w:rPr>
            <w:noProof/>
            <w:webHidden/>
          </w:rPr>
          <w:fldChar w:fldCharType="end"/>
        </w:r>
      </w:hyperlink>
    </w:p>
    <w:p w14:paraId="7FD900F5" w14:textId="4E048461" w:rsidR="00CB4BF1" w:rsidRDefault="00CB4BF1">
      <w:pPr>
        <w:pStyle w:val="TOC2"/>
        <w:rPr>
          <w:rFonts w:eastAsiaTheme="minorEastAsia"/>
          <w:noProof/>
          <w:lang w:eastAsia="en-AU"/>
        </w:rPr>
      </w:pPr>
      <w:hyperlink w:anchor="_Toc46302457" w:history="1">
        <w:r w:rsidRPr="00E323E9">
          <w:rPr>
            <w:rStyle w:val="Hyperlink"/>
            <w:rFonts w:eastAsia="Times New Roman"/>
            <w:noProof/>
            <w:lang w:val="en" w:eastAsia="en-AU"/>
          </w:rPr>
          <w:t>Balance of a sunsetting special account</w:t>
        </w:r>
        <w:r>
          <w:rPr>
            <w:noProof/>
            <w:webHidden/>
          </w:rPr>
          <w:tab/>
        </w:r>
        <w:r>
          <w:rPr>
            <w:noProof/>
            <w:webHidden/>
          </w:rPr>
          <w:fldChar w:fldCharType="begin"/>
        </w:r>
        <w:r>
          <w:rPr>
            <w:noProof/>
            <w:webHidden/>
          </w:rPr>
          <w:instrText xml:space="preserve"> PAGEREF _Toc46302457 \h </w:instrText>
        </w:r>
        <w:r>
          <w:rPr>
            <w:noProof/>
            <w:webHidden/>
          </w:rPr>
        </w:r>
        <w:r>
          <w:rPr>
            <w:noProof/>
            <w:webHidden/>
          </w:rPr>
          <w:fldChar w:fldCharType="separate"/>
        </w:r>
        <w:r>
          <w:rPr>
            <w:noProof/>
            <w:webHidden/>
          </w:rPr>
          <w:t>10</w:t>
        </w:r>
        <w:r>
          <w:rPr>
            <w:noProof/>
            <w:webHidden/>
          </w:rPr>
          <w:fldChar w:fldCharType="end"/>
        </w:r>
      </w:hyperlink>
    </w:p>
    <w:p w14:paraId="4306A8E5" w14:textId="399810A3" w:rsidR="00CB4BF1" w:rsidRDefault="00CB4BF1">
      <w:pPr>
        <w:pStyle w:val="TOC2"/>
        <w:rPr>
          <w:rFonts w:eastAsiaTheme="minorEastAsia"/>
          <w:noProof/>
          <w:lang w:eastAsia="en-AU"/>
        </w:rPr>
      </w:pPr>
      <w:hyperlink w:anchor="_Toc46302458" w:history="1">
        <w:r w:rsidRPr="00E323E9">
          <w:rPr>
            <w:rStyle w:val="Hyperlink"/>
            <w:rFonts w:eastAsia="Times New Roman"/>
            <w:noProof/>
            <w:lang w:val="en" w:eastAsia="en-AU"/>
          </w:rPr>
          <w:t>Money held on trust</w:t>
        </w:r>
        <w:r>
          <w:rPr>
            <w:noProof/>
            <w:webHidden/>
          </w:rPr>
          <w:tab/>
        </w:r>
        <w:r>
          <w:rPr>
            <w:noProof/>
            <w:webHidden/>
          </w:rPr>
          <w:fldChar w:fldCharType="begin"/>
        </w:r>
        <w:r>
          <w:rPr>
            <w:noProof/>
            <w:webHidden/>
          </w:rPr>
          <w:instrText xml:space="preserve"> PAGEREF _Toc46302458 \h </w:instrText>
        </w:r>
        <w:r>
          <w:rPr>
            <w:noProof/>
            <w:webHidden/>
          </w:rPr>
        </w:r>
        <w:r>
          <w:rPr>
            <w:noProof/>
            <w:webHidden/>
          </w:rPr>
          <w:fldChar w:fldCharType="separate"/>
        </w:r>
        <w:r>
          <w:rPr>
            <w:noProof/>
            <w:webHidden/>
          </w:rPr>
          <w:t>10</w:t>
        </w:r>
        <w:r>
          <w:rPr>
            <w:noProof/>
            <w:webHidden/>
          </w:rPr>
          <w:fldChar w:fldCharType="end"/>
        </w:r>
      </w:hyperlink>
    </w:p>
    <w:p w14:paraId="718A36A0" w14:textId="3D9AF78E" w:rsidR="00CB4BF1" w:rsidRDefault="00CB4BF1">
      <w:pPr>
        <w:pStyle w:val="TOC2"/>
        <w:rPr>
          <w:rFonts w:eastAsiaTheme="minorEastAsia"/>
          <w:noProof/>
          <w:lang w:eastAsia="en-AU"/>
        </w:rPr>
      </w:pPr>
      <w:hyperlink w:anchor="_Toc46302459" w:history="1">
        <w:r w:rsidRPr="00E323E9">
          <w:rPr>
            <w:rStyle w:val="Hyperlink"/>
            <w:rFonts w:eastAsia="Times New Roman"/>
            <w:noProof/>
            <w:lang w:val="en" w:eastAsia="en-AU"/>
          </w:rPr>
          <w:t>Repayments</w:t>
        </w:r>
        <w:r>
          <w:rPr>
            <w:noProof/>
            <w:webHidden/>
          </w:rPr>
          <w:tab/>
        </w:r>
        <w:r>
          <w:rPr>
            <w:noProof/>
            <w:webHidden/>
          </w:rPr>
          <w:fldChar w:fldCharType="begin"/>
        </w:r>
        <w:r>
          <w:rPr>
            <w:noProof/>
            <w:webHidden/>
          </w:rPr>
          <w:instrText xml:space="preserve"> PAGEREF _Toc46302459 \h </w:instrText>
        </w:r>
        <w:r>
          <w:rPr>
            <w:noProof/>
            <w:webHidden/>
          </w:rPr>
        </w:r>
        <w:r>
          <w:rPr>
            <w:noProof/>
            <w:webHidden/>
          </w:rPr>
          <w:fldChar w:fldCharType="separate"/>
        </w:r>
        <w:r>
          <w:rPr>
            <w:noProof/>
            <w:webHidden/>
          </w:rPr>
          <w:t>11</w:t>
        </w:r>
        <w:r>
          <w:rPr>
            <w:noProof/>
            <w:webHidden/>
          </w:rPr>
          <w:fldChar w:fldCharType="end"/>
        </w:r>
      </w:hyperlink>
    </w:p>
    <w:p w14:paraId="5E5E855E" w14:textId="41F3EDC9" w:rsidR="00CB4BF1" w:rsidRDefault="00CB4BF1">
      <w:pPr>
        <w:pStyle w:val="TOC3"/>
        <w:rPr>
          <w:rFonts w:eastAsiaTheme="minorEastAsia"/>
          <w:noProof/>
          <w:lang w:eastAsia="en-AU"/>
        </w:rPr>
      </w:pPr>
      <w:hyperlink w:anchor="_Toc46302460" w:history="1">
        <w:r w:rsidRPr="00E323E9">
          <w:rPr>
            <w:rStyle w:val="Hyperlink"/>
            <w:noProof/>
          </w:rPr>
          <w:t>Repayment to a limited appropriation</w:t>
        </w:r>
        <w:r>
          <w:rPr>
            <w:noProof/>
            <w:webHidden/>
          </w:rPr>
          <w:tab/>
        </w:r>
        <w:r>
          <w:rPr>
            <w:noProof/>
            <w:webHidden/>
          </w:rPr>
          <w:fldChar w:fldCharType="begin"/>
        </w:r>
        <w:r>
          <w:rPr>
            <w:noProof/>
            <w:webHidden/>
          </w:rPr>
          <w:instrText xml:space="preserve"> PAGEREF _Toc46302460 \h </w:instrText>
        </w:r>
        <w:r>
          <w:rPr>
            <w:noProof/>
            <w:webHidden/>
          </w:rPr>
        </w:r>
        <w:r>
          <w:rPr>
            <w:noProof/>
            <w:webHidden/>
          </w:rPr>
          <w:fldChar w:fldCharType="separate"/>
        </w:r>
        <w:r>
          <w:rPr>
            <w:noProof/>
            <w:webHidden/>
          </w:rPr>
          <w:t>11</w:t>
        </w:r>
        <w:r>
          <w:rPr>
            <w:noProof/>
            <w:webHidden/>
          </w:rPr>
          <w:fldChar w:fldCharType="end"/>
        </w:r>
      </w:hyperlink>
    </w:p>
    <w:p w14:paraId="6B2F610E" w14:textId="387CB814" w:rsidR="00CB4BF1" w:rsidRDefault="00CB4BF1">
      <w:pPr>
        <w:pStyle w:val="TOC3"/>
        <w:rPr>
          <w:rFonts w:eastAsiaTheme="minorEastAsia"/>
          <w:noProof/>
          <w:lang w:eastAsia="en-AU"/>
        </w:rPr>
      </w:pPr>
      <w:hyperlink w:anchor="_Toc46302461" w:history="1">
        <w:r w:rsidRPr="00E323E9">
          <w:rPr>
            <w:rStyle w:val="Hyperlink"/>
            <w:noProof/>
          </w:rPr>
          <w:t>Repayment to an unlimited special appropriation</w:t>
        </w:r>
        <w:r>
          <w:rPr>
            <w:noProof/>
            <w:webHidden/>
          </w:rPr>
          <w:tab/>
        </w:r>
        <w:r>
          <w:rPr>
            <w:noProof/>
            <w:webHidden/>
          </w:rPr>
          <w:fldChar w:fldCharType="begin"/>
        </w:r>
        <w:r>
          <w:rPr>
            <w:noProof/>
            <w:webHidden/>
          </w:rPr>
          <w:instrText xml:space="preserve"> PAGEREF _Toc46302461 \h </w:instrText>
        </w:r>
        <w:r>
          <w:rPr>
            <w:noProof/>
            <w:webHidden/>
          </w:rPr>
        </w:r>
        <w:r>
          <w:rPr>
            <w:noProof/>
            <w:webHidden/>
          </w:rPr>
          <w:fldChar w:fldCharType="separate"/>
        </w:r>
        <w:r>
          <w:rPr>
            <w:noProof/>
            <w:webHidden/>
          </w:rPr>
          <w:t>12</w:t>
        </w:r>
        <w:r>
          <w:rPr>
            <w:noProof/>
            <w:webHidden/>
          </w:rPr>
          <w:fldChar w:fldCharType="end"/>
        </w:r>
      </w:hyperlink>
    </w:p>
    <w:p w14:paraId="13AB443C" w14:textId="296D703F" w:rsidR="00CB4BF1" w:rsidRDefault="00CB4BF1">
      <w:pPr>
        <w:pStyle w:val="TOC1"/>
        <w:rPr>
          <w:rFonts w:eastAsiaTheme="minorEastAsia"/>
          <w:b w:val="0"/>
          <w:noProof/>
          <w:sz w:val="22"/>
          <w:lang w:eastAsia="en-AU"/>
        </w:rPr>
      </w:pPr>
      <w:hyperlink w:anchor="_Toc46302462" w:history="1">
        <w:r w:rsidRPr="00E323E9">
          <w:rPr>
            <w:rStyle w:val="Hyperlink"/>
            <w:rFonts w:eastAsia="Times New Roman"/>
            <w:noProof/>
            <w:lang w:val="en" w:eastAsia="en-AU"/>
          </w:rPr>
          <w:t>3.</w:t>
        </w:r>
        <w:r>
          <w:rPr>
            <w:rFonts w:eastAsiaTheme="minorEastAsia"/>
            <w:b w:val="0"/>
            <w:noProof/>
            <w:sz w:val="22"/>
            <w:lang w:eastAsia="en-AU"/>
          </w:rPr>
          <w:tab/>
        </w:r>
        <w:r w:rsidRPr="00E323E9">
          <w:rPr>
            <w:rStyle w:val="Hyperlink"/>
            <w:rFonts w:eastAsia="Times New Roman"/>
            <w:noProof/>
            <w:lang w:val="en" w:eastAsia="en-AU"/>
          </w:rPr>
          <w:t>Receipts that cannot be retained</w:t>
        </w:r>
        <w:r>
          <w:rPr>
            <w:noProof/>
            <w:webHidden/>
          </w:rPr>
          <w:tab/>
        </w:r>
        <w:r>
          <w:rPr>
            <w:noProof/>
            <w:webHidden/>
          </w:rPr>
          <w:fldChar w:fldCharType="begin"/>
        </w:r>
        <w:r>
          <w:rPr>
            <w:noProof/>
            <w:webHidden/>
          </w:rPr>
          <w:instrText xml:space="preserve"> PAGEREF _Toc46302462 \h </w:instrText>
        </w:r>
        <w:r>
          <w:rPr>
            <w:noProof/>
            <w:webHidden/>
          </w:rPr>
        </w:r>
        <w:r>
          <w:rPr>
            <w:noProof/>
            <w:webHidden/>
          </w:rPr>
          <w:fldChar w:fldCharType="separate"/>
        </w:r>
        <w:r>
          <w:rPr>
            <w:noProof/>
            <w:webHidden/>
          </w:rPr>
          <w:t>13</w:t>
        </w:r>
        <w:r>
          <w:rPr>
            <w:noProof/>
            <w:webHidden/>
          </w:rPr>
          <w:fldChar w:fldCharType="end"/>
        </w:r>
      </w:hyperlink>
    </w:p>
    <w:p w14:paraId="2C6565E0" w14:textId="6F3ED60E" w:rsidR="00CB4BF1" w:rsidRDefault="00CB4BF1">
      <w:pPr>
        <w:pStyle w:val="TOC2"/>
        <w:rPr>
          <w:rFonts w:eastAsiaTheme="minorEastAsia"/>
          <w:noProof/>
          <w:lang w:eastAsia="en-AU"/>
        </w:rPr>
      </w:pPr>
      <w:hyperlink w:anchor="_Toc46302463" w:history="1">
        <w:r w:rsidRPr="00E323E9">
          <w:rPr>
            <w:rStyle w:val="Hyperlink"/>
            <w:noProof/>
          </w:rPr>
          <w:t>Receipts in excess of costs</w:t>
        </w:r>
        <w:r>
          <w:rPr>
            <w:noProof/>
            <w:webHidden/>
          </w:rPr>
          <w:tab/>
        </w:r>
        <w:r>
          <w:rPr>
            <w:noProof/>
            <w:webHidden/>
          </w:rPr>
          <w:fldChar w:fldCharType="begin"/>
        </w:r>
        <w:r>
          <w:rPr>
            <w:noProof/>
            <w:webHidden/>
          </w:rPr>
          <w:instrText xml:space="preserve"> PAGEREF _Toc46302463 \h </w:instrText>
        </w:r>
        <w:r>
          <w:rPr>
            <w:noProof/>
            <w:webHidden/>
          </w:rPr>
        </w:r>
        <w:r>
          <w:rPr>
            <w:noProof/>
            <w:webHidden/>
          </w:rPr>
          <w:fldChar w:fldCharType="separate"/>
        </w:r>
        <w:r>
          <w:rPr>
            <w:noProof/>
            <w:webHidden/>
          </w:rPr>
          <w:t>13</w:t>
        </w:r>
        <w:r>
          <w:rPr>
            <w:noProof/>
            <w:webHidden/>
          </w:rPr>
          <w:fldChar w:fldCharType="end"/>
        </w:r>
      </w:hyperlink>
    </w:p>
    <w:p w14:paraId="4901FF11" w14:textId="08E18DAC" w:rsidR="00CB4BF1" w:rsidRDefault="00CB4BF1">
      <w:pPr>
        <w:pStyle w:val="TOC2"/>
        <w:rPr>
          <w:rFonts w:eastAsiaTheme="minorEastAsia"/>
          <w:noProof/>
          <w:lang w:eastAsia="en-AU"/>
        </w:rPr>
      </w:pPr>
      <w:hyperlink w:anchor="_Toc46302464" w:history="1">
        <w:r w:rsidRPr="00E323E9">
          <w:rPr>
            <w:rStyle w:val="Hyperlink"/>
            <w:rFonts w:eastAsia="Times New Roman"/>
            <w:noProof/>
            <w:lang w:val="en" w:eastAsia="en-AU"/>
          </w:rPr>
          <w:t>Authority to charge</w:t>
        </w:r>
        <w:r>
          <w:rPr>
            <w:noProof/>
            <w:webHidden/>
          </w:rPr>
          <w:tab/>
        </w:r>
        <w:r>
          <w:rPr>
            <w:noProof/>
            <w:webHidden/>
          </w:rPr>
          <w:fldChar w:fldCharType="begin"/>
        </w:r>
        <w:r>
          <w:rPr>
            <w:noProof/>
            <w:webHidden/>
          </w:rPr>
          <w:instrText xml:space="preserve"> PAGEREF _Toc46302464 \h </w:instrText>
        </w:r>
        <w:r>
          <w:rPr>
            <w:noProof/>
            <w:webHidden/>
          </w:rPr>
        </w:r>
        <w:r>
          <w:rPr>
            <w:noProof/>
            <w:webHidden/>
          </w:rPr>
          <w:fldChar w:fldCharType="separate"/>
        </w:r>
        <w:r>
          <w:rPr>
            <w:noProof/>
            <w:webHidden/>
          </w:rPr>
          <w:t>14</w:t>
        </w:r>
        <w:r>
          <w:rPr>
            <w:noProof/>
            <w:webHidden/>
          </w:rPr>
          <w:fldChar w:fldCharType="end"/>
        </w:r>
      </w:hyperlink>
    </w:p>
    <w:p w14:paraId="6CA30DF5" w14:textId="57204BD8" w:rsidR="00CB4BF1" w:rsidRDefault="00CB4BF1">
      <w:pPr>
        <w:pStyle w:val="TOC1"/>
        <w:rPr>
          <w:rFonts w:eastAsiaTheme="minorEastAsia"/>
          <w:b w:val="0"/>
          <w:noProof/>
          <w:sz w:val="22"/>
          <w:lang w:eastAsia="en-AU"/>
        </w:rPr>
      </w:pPr>
      <w:hyperlink w:anchor="_Toc46302465" w:history="1">
        <w:r w:rsidRPr="00E323E9">
          <w:rPr>
            <w:rStyle w:val="Hyperlink"/>
            <w:rFonts w:eastAsia="Times New Roman"/>
            <w:noProof/>
          </w:rPr>
          <w:t>4.</w:t>
        </w:r>
        <w:r>
          <w:rPr>
            <w:rFonts w:eastAsiaTheme="minorEastAsia"/>
            <w:b w:val="0"/>
            <w:noProof/>
            <w:sz w:val="22"/>
            <w:lang w:eastAsia="en-AU"/>
          </w:rPr>
          <w:tab/>
        </w:r>
        <w:r w:rsidRPr="00E323E9">
          <w:rPr>
            <w:rStyle w:val="Hyperlink"/>
            <w:rFonts w:eastAsia="Times New Roman"/>
            <w:noProof/>
          </w:rPr>
          <w:t>Retained receipt – increasing an appropriation</w:t>
        </w:r>
        <w:r>
          <w:rPr>
            <w:noProof/>
            <w:webHidden/>
          </w:rPr>
          <w:tab/>
        </w:r>
        <w:r>
          <w:rPr>
            <w:noProof/>
            <w:webHidden/>
          </w:rPr>
          <w:fldChar w:fldCharType="begin"/>
        </w:r>
        <w:r>
          <w:rPr>
            <w:noProof/>
            <w:webHidden/>
          </w:rPr>
          <w:instrText xml:space="preserve"> PAGEREF _Toc46302465 \h </w:instrText>
        </w:r>
        <w:r>
          <w:rPr>
            <w:noProof/>
            <w:webHidden/>
          </w:rPr>
        </w:r>
        <w:r>
          <w:rPr>
            <w:noProof/>
            <w:webHidden/>
          </w:rPr>
          <w:fldChar w:fldCharType="separate"/>
        </w:r>
        <w:r>
          <w:rPr>
            <w:noProof/>
            <w:webHidden/>
          </w:rPr>
          <w:t>15</w:t>
        </w:r>
        <w:r>
          <w:rPr>
            <w:noProof/>
            <w:webHidden/>
          </w:rPr>
          <w:fldChar w:fldCharType="end"/>
        </w:r>
      </w:hyperlink>
    </w:p>
    <w:p w14:paraId="465B6797" w14:textId="04B626F2" w:rsidR="00CB4BF1" w:rsidRDefault="00CB4BF1">
      <w:pPr>
        <w:pStyle w:val="TOC2"/>
        <w:rPr>
          <w:rFonts w:eastAsiaTheme="minorEastAsia"/>
          <w:noProof/>
          <w:lang w:eastAsia="en-AU"/>
        </w:rPr>
      </w:pPr>
      <w:hyperlink w:anchor="_Toc46302466" w:history="1">
        <w:r w:rsidRPr="00E323E9">
          <w:rPr>
            <w:rStyle w:val="Hyperlink"/>
            <w:rFonts w:eastAsia="Times New Roman"/>
            <w:noProof/>
            <w:lang w:val="en" w:eastAsia="en-AU"/>
          </w:rPr>
          <w:t>Transferring cash collected</w:t>
        </w:r>
        <w:r>
          <w:rPr>
            <w:noProof/>
            <w:webHidden/>
          </w:rPr>
          <w:tab/>
        </w:r>
        <w:r>
          <w:rPr>
            <w:noProof/>
            <w:webHidden/>
          </w:rPr>
          <w:fldChar w:fldCharType="begin"/>
        </w:r>
        <w:r>
          <w:rPr>
            <w:noProof/>
            <w:webHidden/>
          </w:rPr>
          <w:instrText xml:space="preserve"> PAGEREF _Toc46302466 \h </w:instrText>
        </w:r>
        <w:r>
          <w:rPr>
            <w:noProof/>
            <w:webHidden/>
          </w:rPr>
        </w:r>
        <w:r>
          <w:rPr>
            <w:noProof/>
            <w:webHidden/>
          </w:rPr>
          <w:fldChar w:fldCharType="separate"/>
        </w:r>
        <w:r>
          <w:rPr>
            <w:noProof/>
            <w:webHidden/>
          </w:rPr>
          <w:t>16</w:t>
        </w:r>
        <w:r>
          <w:rPr>
            <w:noProof/>
            <w:webHidden/>
          </w:rPr>
          <w:fldChar w:fldCharType="end"/>
        </w:r>
      </w:hyperlink>
    </w:p>
    <w:p w14:paraId="3BA1E1CC" w14:textId="5C6BB912" w:rsidR="00CB4BF1" w:rsidRDefault="00CB4BF1">
      <w:pPr>
        <w:pStyle w:val="TOC1"/>
        <w:rPr>
          <w:rFonts w:eastAsiaTheme="minorEastAsia"/>
          <w:b w:val="0"/>
          <w:noProof/>
          <w:sz w:val="22"/>
          <w:lang w:eastAsia="en-AU"/>
        </w:rPr>
      </w:pPr>
      <w:hyperlink w:anchor="_Toc46302467" w:history="1">
        <w:r w:rsidRPr="00E323E9">
          <w:rPr>
            <w:rStyle w:val="Hyperlink"/>
            <w:rFonts w:eastAsia="Times New Roman"/>
            <w:noProof/>
            <w:lang w:val="en" w:eastAsia="en-AU"/>
          </w:rPr>
          <w:t>5.</w:t>
        </w:r>
        <w:r>
          <w:rPr>
            <w:rFonts w:eastAsiaTheme="minorEastAsia"/>
            <w:b w:val="0"/>
            <w:noProof/>
            <w:sz w:val="22"/>
            <w:lang w:eastAsia="en-AU"/>
          </w:rPr>
          <w:tab/>
        </w:r>
        <w:r w:rsidRPr="00E323E9">
          <w:rPr>
            <w:rStyle w:val="Hyperlink"/>
            <w:rFonts w:eastAsia="Times New Roman"/>
            <w:noProof/>
            <w:lang w:val="en" w:eastAsia="en-AU"/>
          </w:rPr>
          <w:t>How retainable receipts can be spent</w:t>
        </w:r>
        <w:r>
          <w:rPr>
            <w:noProof/>
            <w:webHidden/>
          </w:rPr>
          <w:tab/>
        </w:r>
        <w:r>
          <w:rPr>
            <w:noProof/>
            <w:webHidden/>
          </w:rPr>
          <w:fldChar w:fldCharType="begin"/>
        </w:r>
        <w:r>
          <w:rPr>
            <w:noProof/>
            <w:webHidden/>
          </w:rPr>
          <w:instrText xml:space="preserve"> PAGEREF _Toc46302467 \h </w:instrText>
        </w:r>
        <w:r>
          <w:rPr>
            <w:noProof/>
            <w:webHidden/>
          </w:rPr>
        </w:r>
        <w:r>
          <w:rPr>
            <w:noProof/>
            <w:webHidden/>
          </w:rPr>
          <w:fldChar w:fldCharType="separate"/>
        </w:r>
        <w:r>
          <w:rPr>
            <w:noProof/>
            <w:webHidden/>
          </w:rPr>
          <w:t>17</w:t>
        </w:r>
        <w:r>
          <w:rPr>
            <w:noProof/>
            <w:webHidden/>
          </w:rPr>
          <w:fldChar w:fldCharType="end"/>
        </w:r>
      </w:hyperlink>
    </w:p>
    <w:p w14:paraId="4C60360F" w14:textId="37466A7D" w:rsidR="00CB4BF1" w:rsidRDefault="00CB4BF1">
      <w:pPr>
        <w:pStyle w:val="TOC1"/>
        <w:rPr>
          <w:rFonts w:eastAsiaTheme="minorEastAsia"/>
          <w:b w:val="0"/>
          <w:noProof/>
          <w:sz w:val="22"/>
          <w:lang w:eastAsia="en-AU"/>
        </w:rPr>
      </w:pPr>
      <w:hyperlink w:anchor="_Toc46302468" w:history="1">
        <w:r w:rsidRPr="00E323E9">
          <w:rPr>
            <w:rStyle w:val="Hyperlink"/>
            <w:rFonts w:eastAsia="Times New Roman"/>
            <w:noProof/>
            <w:lang w:val="en" w:eastAsia="en-AU"/>
          </w:rPr>
          <w:t>6.</w:t>
        </w:r>
        <w:r>
          <w:rPr>
            <w:rFonts w:eastAsiaTheme="minorEastAsia"/>
            <w:b w:val="0"/>
            <w:noProof/>
            <w:sz w:val="22"/>
            <w:lang w:eastAsia="en-AU"/>
          </w:rPr>
          <w:tab/>
        </w:r>
        <w:r w:rsidRPr="00E323E9">
          <w:rPr>
            <w:rStyle w:val="Hyperlink"/>
            <w:rFonts w:eastAsia="Times New Roman"/>
            <w:noProof/>
            <w:lang w:val="en" w:eastAsia="en-AU"/>
          </w:rPr>
          <w:t>Disclosure of retainable receipts</w:t>
        </w:r>
        <w:r>
          <w:rPr>
            <w:noProof/>
            <w:webHidden/>
          </w:rPr>
          <w:tab/>
        </w:r>
        <w:r>
          <w:rPr>
            <w:noProof/>
            <w:webHidden/>
          </w:rPr>
          <w:fldChar w:fldCharType="begin"/>
        </w:r>
        <w:r>
          <w:rPr>
            <w:noProof/>
            <w:webHidden/>
          </w:rPr>
          <w:instrText xml:space="preserve"> PAGEREF _Toc46302468 \h </w:instrText>
        </w:r>
        <w:r>
          <w:rPr>
            <w:noProof/>
            <w:webHidden/>
          </w:rPr>
        </w:r>
        <w:r>
          <w:rPr>
            <w:noProof/>
            <w:webHidden/>
          </w:rPr>
          <w:fldChar w:fldCharType="separate"/>
        </w:r>
        <w:r>
          <w:rPr>
            <w:noProof/>
            <w:webHidden/>
          </w:rPr>
          <w:t>18</w:t>
        </w:r>
        <w:r>
          <w:rPr>
            <w:noProof/>
            <w:webHidden/>
          </w:rPr>
          <w:fldChar w:fldCharType="end"/>
        </w:r>
      </w:hyperlink>
    </w:p>
    <w:p w14:paraId="2206CD52" w14:textId="7198DCD5" w:rsidR="00CB4BF1" w:rsidRDefault="00CB4BF1">
      <w:pPr>
        <w:pStyle w:val="TOC2"/>
        <w:rPr>
          <w:rFonts w:eastAsiaTheme="minorEastAsia"/>
          <w:noProof/>
          <w:lang w:eastAsia="en-AU"/>
        </w:rPr>
      </w:pPr>
      <w:hyperlink w:anchor="_Toc46302469" w:history="1">
        <w:r w:rsidRPr="00E323E9">
          <w:rPr>
            <w:rStyle w:val="Hyperlink"/>
            <w:noProof/>
          </w:rPr>
          <w:t>Agents of an NCE</w:t>
        </w:r>
        <w:r>
          <w:rPr>
            <w:noProof/>
            <w:webHidden/>
          </w:rPr>
          <w:tab/>
        </w:r>
        <w:r>
          <w:rPr>
            <w:noProof/>
            <w:webHidden/>
          </w:rPr>
          <w:fldChar w:fldCharType="begin"/>
        </w:r>
        <w:r>
          <w:rPr>
            <w:noProof/>
            <w:webHidden/>
          </w:rPr>
          <w:instrText xml:space="preserve"> PAGEREF _Toc46302469 \h </w:instrText>
        </w:r>
        <w:r>
          <w:rPr>
            <w:noProof/>
            <w:webHidden/>
          </w:rPr>
        </w:r>
        <w:r>
          <w:rPr>
            <w:noProof/>
            <w:webHidden/>
          </w:rPr>
          <w:fldChar w:fldCharType="separate"/>
        </w:r>
        <w:r>
          <w:rPr>
            <w:noProof/>
            <w:webHidden/>
          </w:rPr>
          <w:t>18</w:t>
        </w:r>
        <w:r>
          <w:rPr>
            <w:noProof/>
            <w:webHidden/>
          </w:rPr>
          <w:fldChar w:fldCharType="end"/>
        </w:r>
      </w:hyperlink>
    </w:p>
    <w:p w14:paraId="79FF7D88" w14:textId="60650488" w:rsidR="00CB4BF1" w:rsidRDefault="00CB4BF1">
      <w:pPr>
        <w:pStyle w:val="TOC1"/>
        <w:rPr>
          <w:rFonts w:eastAsiaTheme="minorEastAsia"/>
          <w:b w:val="0"/>
          <w:noProof/>
          <w:sz w:val="22"/>
          <w:lang w:eastAsia="en-AU"/>
        </w:rPr>
      </w:pPr>
      <w:hyperlink w:anchor="_Toc46302470" w:history="1">
        <w:r w:rsidRPr="00E323E9">
          <w:rPr>
            <w:rStyle w:val="Hyperlink"/>
            <w:noProof/>
          </w:rPr>
          <w:t>Appendix 1. Frequently asked questions</w:t>
        </w:r>
        <w:r>
          <w:rPr>
            <w:noProof/>
            <w:webHidden/>
          </w:rPr>
          <w:tab/>
        </w:r>
        <w:r>
          <w:rPr>
            <w:noProof/>
            <w:webHidden/>
          </w:rPr>
          <w:fldChar w:fldCharType="begin"/>
        </w:r>
        <w:r>
          <w:rPr>
            <w:noProof/>
            <w:webHidden/>
          </w:rPr>
          <w:instrText xml:space="preserve"> PAGEREF _Toc46302470 \h </w:instrText>
        </w:r>
        <w:r>
          <w:rPr>
            <w:noProof/>
            <w:webHidden/>
          </w:rPr>
        </w:r>
        <w:r>
          <w:rPr>
            <w:noProof/>
            <w:webHidden/>
          </w:rPr>
          <w:fldChar w:fldCharType="separate"/>
        </w:r>
        <w:r>
          <w:rPr>
            <w:noProof/>
            <w:webHidden/>
          </w:rPr>
          <w:t>20</w:t>
        </w:r>
        <w:r>
          <w:rPr>
            <w:noProof/>
            <w:webHidden/>
          </w:rPr>
          <w:fldChar w:fldCharType="end"/>
        </w:r>
      </w:hyperlink>
    </w:p>
    <w:p w14:paraId="597FB3D4" w14:textId="3E932451" w:rsidR="00CB4BF1" w:rsidRDefault="00CB4BF1">
      <w:pPr>
        <w:pStyle w:val="TOC1"/>
        <w:rPr>
          <w:rFonts w:eastAsiaTheme="minorEastAsia"/>
          <w:b w:val="0"/>
          <w:noProof/>
          <w:sz w:val="22"/>
          <w:lang w:eastAsia="en-AU"/>
        </w:rPr>
      </w:pPr>
      <w:hyperlink w:anchor="_Toc46302471" w:history="1">
        <w:r w:rsidRPr="00E323E9">
          <w:rPr>
            <w:rStyle w:val="Hyperlink"/>
            <w:noProof/>
          </w:rPr>
          <w:t>Appendix 2. Abbreviations</w:t>
        </w:r>
        <w:r>
          <w:rPr>
            <w:noProof/>
            <w:webHidden/>
          </w:rPr>
          <w:tab/>
        </w:r>
        <w:r>
          <w:rPr>
            <w:noProof/>
            <w:webHidden/>
          </w:rPr>
          <w:fldChar w:fldCharType="begin"/>
        </w:r>
        <w:r>
          <w:rPr>
            <w:noProof/>
            <w:webHidden/>
          </w:rPr>
          <w:instrText xml:space="preserve"> PAGEREF _Toc46302471 \h </w:instrText>
        </w:r>
        <w:r>
          <w:rPr>
            <w:noProof/>
            <w:webHidden/>
          </w:rPr>
        </w:r>
        <w:r>
          <w:rPr>
            <w:noProof/>
            <w:webHidden/>
          </w:rPr>
          <w:fldChar w:fldCharType="separate"/>
        </w:r>
        <w:r>
          <w:rPr>
            <w:noProof/>
            <w:webHidden/>
          </w:rPr>
          <w:t>23</w:t>
        </w:r>
        <w:r>
          <w:rPr>
            <w:noProof/>
            <w:webHidden/>
          </w:rPr>
          <w:fldChar w:fldCharType="end"/>
        </w:r>
      </w:hyperlink>
    </w:p>
    <w:p w14:paraId="5574C45B" w14:textId="5B229C7E" w:rsidR="00396E11" w:rsidRDefault="00396E11" w:rsidP="009C49E4">
      <w:pPr>
        <w:spacing w:before="0" w:after="120" w:line="240" w:lineRule="auto"/>
      </w:pPr>
      <w:r>
        <w:rPr>
          <w:rFonts w:ascii="Calibri" w:hAnsi="Calibri"/>
          <w:b/>
          <w:bCs/>
          <w:caps/>
          <w:sz w:val="20"/>
          <w:szCs w:val="24"/>
        </w:rPr>
        <w:fldChar w:fldCharType="end"/>
      </w:r>
      <w:r>
        <w:br w:type="page"/>
      </w:r>
    </w:p>
    <w:p w14:paraId="7B9DA954" w14:textId="77777777" w:rsidR="00396E11" w:rsidRPr="00D2728F" w:rsidRDefault="00396E11" w:rsidP="0046056E">
      <w:pPr>
        <w:pStyle w:val="Heading1"/>
      </w:pPr>
      <w:bookmarkStart w:id="2" w:name="_Toc462156017"/>
      <w:bookmarkStart w:id="3" w:name="_Toc462158389"/>
      <w:bookmarkStart w:id="4" w:name="_Toc462158444"/>
      <w:bookmarkStart w:id="5" w:name="_Toc462158497"/>
      <w:bookmarkStart w:id="6" w:name="_Toc462158567"/>
      <w:bookmarkStart w:id="7" w:name="_Toc462158687"/>
      <w:bookmarkStart w:id="8" w:name="Audience"/>
      <w:bookmarkStart w:id="9" w:name="_Toc46302441"/>
      <w:r w:rsidRPr="00D2728F">
        <w:lastRenderedPageBreak/>
        <w:t>Audience</w:t>
      </w:r>
      <w:bookmarkEnd w:id="2"/>
      <w:bookmarkEnd w:id="3"/>
      <w:bookmarkEnd w:id="4"/>
      <w:bookmarkEnd w:id="5"/>
      <w:bookmarkEnd w:id="6"/>
      <w:bookmarkEnd w:id="7"/>
      <w:bookmarkEnd w:id="9"/>
    </w:p>
    <w:p w14:paraId="285760F6" w14:textId="4C9BEE4F" w:rsidR="00C51FD9" w:rsidRPr="000400F9" w:rsidRDefault="0004584A" w:rsidP="0004584A">
      <w:bookmarkStart w:id="10" w:name="_Toc390678609"/>
      <w:bookmarkStart w:id="11" w:name="_Toc390678658"/>
      <w:bookmarkStart w:id="12" w:name="_Toc462156018"/>
      <w:bookmarkStart w:id="13" w:name="_Toc462158390"/>
      <w:bookmarkStart w:id="14" w:name="_Toc462158445"/>
      <w:bookmarkStart w:id="15" w:name="_Toc462158498"/>
      <w:bookmarkStart w:id="16" w:name="_Toc462158568"/>
      <w:bookmarkStart w:id="17" w:name="_Toc462158688"/>
      <w:bookmarkEnd w:id="8"/>
      <w:r>
        <w:rPr>
          <w:lang w:val="en" w:eastAsia="en-AU"/>
        </w:rPr>
        <w:t>This gu</w:t>
      </w:r>
      <w:r w:rsidRPr="000400F9">
        <w:rPr>
          <w:lang w:val="en" w:eastAsia="en-AU"/>
        </w:rPr>
        <w:t>ide is</w:t>
      </w:r>
      <w:r w:rsidRPr="000400F9">
        <w:rPr>
          <w:rFonts w:ascii="Arial" w:hAnsi="Arial" w:cs="Arial"/>
          <w:color w:val="3B3B3B"/>
          <w:shd w:val="clear" w:color="auto" w:fill="FFFFFF"/>
        </w:rPr>
        <w:t xml:space="preserve"> for</w:t>
      </w:r>
      <w:r w:rsidR="00C51FD9" w:rsidRPr="000400F9">
        <w:rPr>
          <w:rFonts w:ascii="Arial" w:hAnsi="Arial" w:cs="Arial"/>
          <w:color w:val="3B3B3B"/>
          <w:shd w:val="clear" w:color="auto" w:fill="FFFFFF"/>
        </w:rPr>
        <w:t xml:space="preserve"> officials</w:t>
      </w:r>
      <w:r w:rsidR="00E249CF" w:rsidRPr="000400F9">
        <w:rPr>
          <w:rFonts w:ascii="Arial" w:hAnsi="Arial" w:cs="Arial"/>
          <w:color w:val="3B3B3B"/>
          <w:shd w:val="clear" w:color="auto" w:fill="FFFFFF"/>
        </w:rPr>
        <w:t xml:space="preserve"> with </w:t>
      </w:r>
      <w:r w:rsidR="00E249CF" w:rsidRPr="000400F9">
        <w:t xml:space="preserve">responsibility for managing receipts </w:t>
      </w:r>
      <w:r w:rsidR="00C51FD9" w:rsidRPr="000400F9">
        <w:rPr>
          <w:rFonts w:ascii="Arial" w:hAnsi="Arial" w:cs="Arial"/>
          <w:color w:val="3B3B3B"/>
          <w:shd w:val="clear" w:color="auto" w:fill="FFFFFF"/>
        </w:rPr>
        <w:t>in:</w:t>
      </w:r>
    </w:p>
    <w:p w14:paraId="65A5C490" w14:textId="399777D5" w:rsidR="00EE01CD" w:rsidRPr="000400F9" w:rsidRDefault="00C51FD9" w:rsidP="00C51FD9">
      <w:pPr>
        <w:pStyle w:val="Bullet1"/>
      </w:pPr>
      <w:r w:rsidRPr="000400F9">
        <w:t>non-corporate C</w:t>
      </w:r>
      <w:r w:rsidR="00E249CF" w:rsidRPr="000400F9">
        <w:t>ommonwealth entities (NCEs)</w:t>
      </w:r>
    </w:p>
    <w:p w14:paraId="33F0818D" w14:textId="2D3F6935" w:rsidR="00F25657" w:rsidRPr="000400F9" w:rsidRDefault="00C51FD9" w:rsidP="00C51FD9">
      <w:pPr>
        <w:pStyle w:val="Bullet1"/>
      </w:pPr>
      <w:proofErr w:type="gramStart"/>
      <w:r w:rsidRPr="000400F9">
        <w:t>corporate</w:t>
      </w:r>
      <w:proofErr w:type="gramEnd"/>
      <w:r w:rsidRPr="000400F9">
        <w:t xml:space="preserve"> Commonwealth entities (CCEs)</w:t>
      </w:r>
      <w:r w:rsidR="00E249CF" w:rsidRPr="000400F9">
        <w:t>, Commonwealth companies and</w:t>
      </w:r>
      <w:r w:rsidRPr="000400F9">
        <w:t xml:space="preserve"> p</w:t>
      </w:r>
      <w:r w:rsidR="00E249CF" w:rsidRPr="000400F9">
        <w:t xml:space="preserve">rivate sector </w:t>
      </w:r>
      <w:r w:rsidR="00FD0EFB" w:rsidRPr="000400F9">
        <w:t xml:space="preserve"> </w:t>
      </w:r>
      <w:r w:rsidR="000A435E" w:rsidRPr="000400F9">
        <w:t>entities/</w:t>
      </w:r>
      <w:r w:rsidR="00FD0EFB" w:rsidRPr="000400F9">
        <w:t xml:space="preserve">persons </w:t>
      </w:r>
      <w:r w:rsidR="00E249CF" w:rsidRPr="000400F9">
        <w:t>that manage</w:t>
      </w:r>
      <w:r w:rsidRPr="000400F9">
        <w:t xml:space="preserve"> re</w:t>
      </w:r>
      <w:r w:rsidR="00E249CF" w:rsidRPr="000400F9">
        <w:t>ceipts for and on behalf of an</w:t>
      </w:r>
      <w:r w:rsidR="00F25657" w:rsidRPr="000400F9">
        <w:t xml:space="preserve"> </w:t>
      </w:r>
      <w:r w:rsidR="00E249CF" w:rsidRPr="000400F9">
        <w:t>NCE</w:t>
      </w:r>
      <w:r w:rsidR="00DA3799" w:rsidRPr="000400F9">
        <w:t xml:space="preserve"> (</w:t>
      </w:r>
      <w:proofErr w:type="spellStart"/>
      <w:r w:rsidR="00DA3799" w:rsidRPr="000400F9">
        <w:t>ie</w:t>
      </w:r>
      <w:proofErr w:type="spellEnd"/>
      <w:r w:rsidR="00DA3799" w:rsidRPr="000400F9">
        <w:t xml:space="preserve"> as an </w:t>
      </w:r>
      <w:hyperlink w:anchor="Agent" w:history="1">
        <w:r w:rsidR="00DA3799" w:rsidRPr="000400F9">
          <w:rPr>
            <w:rStyle w:val="Hyperlink"/>
            <w:i w:val="0"/>
          </w:rPr>
          <w:t>agent of an NCE</w:t>
        </w:r>
      </w:hyperlink>
      <w:r w:rsidR="00DA3799" w:rsidRPr="000400F9">
        <w:rPr>
          <w:rStyle w:val="Hyperlink"/>
          <w:i w:val="0"/>
          <w:u w:val="none"/>
        </w:rPr>
        <w:t>)</w:t>
      </w:r>
      <w:r w:rsidR="00E249CF" w:rsidRPr="000400F9">
        <w:t>.</w:t>
      </w:r>
    </w:p>
    <w:p w14:paraId="48107894" w14:textId="4FDB2604" w:rsidR="00396E11" w:rsidRPr="00C5547B" w:rsidRDefault="00396E11" w:rsidP="00396E11">
      <w:pPr>
        <w:pStyle w:val="Heading1"/>
      </w:pPr>
      <w:bookmarkStart w:id="18" w:name="_Toc46302442"/>
      <w:r w:rsidRPr="000400F9">
        <w:t>Key points</w:t>
      </w:r>
      <w:bookmarkEnd w:id="10"/>
      <w:bookmarkEnd w:id="11"/>
      <w:bookmarkEnd w:id="12"/>
      <w:bookmarkEnd w:id="13"/>
      <w:bookmarkEnd w:id="14"/>
      <w:bookmarkEnd w:id="15"/>
      <w:bookmarkEnd w:id="16"/>
      <w:bookmarkEnd w:id="17"/>
      <w:bookmarkEnd w:id="18"/>
      <w:r w:rsidR="00E249CF">
        <w:t xml:space="preserve"> </w:t>
      </w:r>
    </w:p>
    <w:p w14:paraId="0FE9611C" w14:textId="66C0A61A" w:rsidR="005E5CB9" w:rsidRPr="00C5547B" w:rsidRDefault="001E025A" w:rsidP="0004584A">
      <w:bookmarkStart w:id="19" w:name="_Toc390678610"/>
      <w:bookmarkStart w:id="20" w:name="_Toc390678659"/>
      <w:r>
        <w:t>This guide</w:t>
      </w:r>
      <w:r w:rsidR="005E5CB9" w:rsidRPr="00C5547B">
        <w:t>:</w:t>
      </w:r>
    </w:p>
    <w:p w14:paraId="4BEFBA05" w14:textId="4F994BCA" w:rsidR="001E025A" w:rsidRDefault="001E025A" w:rsidP="001E025A">
      <w:pPr>
        <w:pStyle w:val="Bullet1"/>
        <w:rPr>
          <w:lang w:val="en" w:eastAsia="en-AU"/>
        </w:rPr>
      </w:pPr>
      <w:r>
        <w:rPr>
          <w:lang w:val="en" w:eastAsia="en-AU"/>
        </w:rPr>
        <w:t xml:space="preserve">explains the </w:t>
      </w:r>
      <w:r w:rsidR="008326AE" w:rsidRPr="00C1364C">
        <w:rPr>
          <w:lang w:val="en" w:eastAsia="en-AU"/>
        </w:rPr>
        <w:t>legislation and rules</w:t>
      </w:r>
      <w:r>
        <w:rPr>
          <w:lang w:val="en" w:eastAsia="en-AU"/>
        </w:rPr>
        <w:t xml:space="preserve"> that </w:t>
      </w:r>
      <w:proofErr w:type="spellStart"/>
      <w:r>
        <w:rPr>
          <w:lang w:val="en" w:eastAsia="en-AU"/>
        </w:rPr>
        <w:t>authorise</w:t>
      </w:r>
      <w:proofErr w:type="spellEnd"/>
      <w:r w:rsidR="00EE3C26">
        <w:rPr>
          <w:lang w:val="en" w:eastAsia="en-AU"/>
        </w:rPr>
        <w:t xml:space="preserve"> </w:t>
      </w:r>
      <w:r w:rsidR="005A2E8F">
        <w:rPr>
          <w:lang w:val="en" w:eastAsia="en-AU"/>
        </w:rPr>
        <w:t xml:space="preserve">NCEs to retain </w:t>
      </w:r>
      <w:r>
        <w:rPr>
          <w:lang w:val="en" w:eastAsia="en-AU"/>
        </w:rPr>
        <w:t xml:space="preserve">receipts </w:t>
      </w:r>
      <w:r w:rsidRPr="00C1364C">
        <w:rPr>
          <w:lang w:val="en" w:eastAsia="en-AU"/>
        </w:rPr>
        <w:t>by increasing certain existing appropriations</w:t>
      </w:r>
    </w:p>
    <w:p w14:paraId="573F40D2" w14:textId="23932F98" w:rsidR="00EE01CD" w:rsidRDefault="001E025A" w:rsidP="00EA7219">
      <w:pPr>
        <w:pStyle w:val="Bullet1"/>
        <w:rPr>
          <w:lang w:val="en" w:eastAsia="en-AU"/>
        </w:rPr>
      </w:pPr>
      <w:r>
        <w:rPr>
          <w:lang w:val="en" w:eastAsia="en-AU"/>
        </w:rPr>
        <w:t xml:space="preserve">provides guidance and examples on the kinds of receipts that </w:t>
      </w:r>
      <w:r w:rsidR="00EA7219">
        <w:rPr>
          <w:lang w:val="en" w:eastAsia="en-AU"/>
        </w:rPr>
        <w:t>may</w:t>
      </w:r>
      <w:r>
        <w:rPr>
          <w:lang w:val="en" w:eastAsia="en-AU"/>
        </w:rPr>
        <w:t xml:space="preserve"> be retained</w:t>
      </w:r>
      <w:r w:rsidR="00EA7219">
        <w:rPr>
          <w:lang w:val="en" w:eastAsia="en-AU"/>
        </w:rPr>
        <w:t xml:space="preserve"> </w:t>
      </w:r>
    </w:p>
    <w:p w14:paraId="2E7FA90A" w14:textId="0D1F2C47" w:rsidR="00EA7219" w:rsidRPr="00EA7219" w:rsidRDefault="00E249CF" w:rsidP="00EA7219">
      <w:pPr>
        <w:pStyle w:val="Bullet1"/>
        <w:rPr>
          <w:lang w:val="en" w:eastAsia="en-AU"/>
        </w:rPr>
      </w:pPr>
      <w:proofErr w:type="gramStart"/>
      <w:r>
        <w:rPr>
          <w:lang w:val="en" w:eastAsia="en-AU"/>
        </w:rPr>
        <w:t>explains</w:t>
      </w:r>
      <w:proofErr w:type="gramEnd"/>
      <w:r w:rsidR="001E025A">
        <w:rPr>
          <w:lang w:val="en" w:eastAsia="en-AU"/>
        </w:rPr>
        <w:t xml:space="preserve"> how</w:t>
      </w:r>
      <w:r w:rsidR="00DA3799">
        <w:rPr>
          <w:lang w:val="en" w:eastAsia="en-AU"/>
        </w:rPr>
        <w:t xml:space="preserve"> retained receipts </w:t>
      </w:r>
      <w:r w:rsidR="00EA7219" w:rsidRPr="00C1364C">
        <w:rPr>
          <w:lang w:val="en" w:eastAsia="en-AU"/>
        </w:rPr>
        <w:t>collecte</w:t>
      </w:r>
      <w:r w:rsidR="00DA3799">
        <w:rPr>
          <w:lang w:val="en" w:eastAsia="en-AU"/>
        </w:rPr>
        <w:t xml:space="preserve">d by NCEs (or their agents) are </w:t>
      </w:r>
      <w:r w:rsidR="00EA7219">
        <w:rPr>
          <w:lang w:val="en" w:eastAsia="en-AU"/>
        </w:rPr>
        <w:t>managed.</w:t>
      </w:r>
    </w:p>
    <w:p w14:paraId="7DBF7E92" w14:textId="3173E4A8" w:rsidR="005E5CB9" w:rsidRPr="00FE3E16" w:rsidRDefault="00EA7219" w:rsidP="00EA7219">
      <w:r>
        <w:t xml:space="preserve">This guide </w:t>
      </w:r>
      <w:r w:rsidR="008326AE">
        <w:t xml:space="preserve">replaces </w:t>
      </w:r>
      <w:r w:rsidR="008326AE" w:rsidRPr="008C3E10">
        <w:rPr>
          <w:i/>
        </w:rPr>
        <w:t>Retainable receipts (RMG 307)</w:t>
      </w:r>
      <w:r w:rsidR="00DA3799">
        <w:t xml:space="preserve">, </w:t>
      </w:r>
      <w:r w:rsidR="008C1AE9">
        <w:t>released</w:t>
      </w:r>
      <w:r w:rsidR="008326AE">
        <w:t xml:space="preserve"> December 2017</w:t>
      </w:r>
      <w:r w:rsidR="00EE01CD" w:rsidRPr="00C1364C">
        <w:t>.</w:t>
      </w:r>
    </w:p>
    <w:p w14:paraId="5378E64B" w14:textId="77777777" w:rsidR="00396E11" w:rsidRPr="00C5547B" w:rsidRDefault="00396E11" w:rsidP="00396E11">
      <w:pPr>
        <w:pStyle w:val="Heading1"/>
      </w:pPr>
      <w:bookmarkStart w:id="21" w:name="_Toc462156019"/>
      <w:bookmarkStart w:id="22" w:name="_Toc462158391"/>
      <w:bookmarkStart w:id="23" w:name="_Toc462158446"/>
      <w:bookmarkStart w:id="24" w:name="_Toc462158499"/>
      <w:bookmarkStart w:id="25" w:name="_Toc462158569"/>
      <w:bookmarkStart w:id="26" w:name="_Toc462158689"/>
      <w:bookmarkStart w:id="27" w:name="_Toc46302443"/>
      <w:r>
        <w:t>Resources</w:t>
      </w:r>
      <w:bookmarkEnd w:id="19"/>
      <w:bookmarkEnd w:id="20"/>
      <w:bookmarkEnd w:id="21"/>
      <w:bookmarkEnd w:id="22"/>
      <w:bookmarkEnd w:id="23"/>
      <w:bookmarkEnd w:id="24"/>
      <w:bookmarkEnd w:id="25"/>
      <w:bookmarkEnd w:id="26"/>
      <w:bookmarkEnd w:id="27"/>
    </w:p>
    <w:p w14:paraId="0CE8E783" w14:textId="77777777" w:rsidR="004152D8" w:rsidRDefault="005E5CB9" w:rsidP="00EA7219">
      <w:pPr>
        <w:spacing w:after="120" w:line="260" w:lineRule="exact"/>
        <w:rPr>
          <w:rFonts w:eastAsia="Times New Roman"/>
          <w:szCs w:val="24"/>
        </w:rPr>
      </w:pPr>
      <w:bookmarkStart w:id="28" w:name="_Toc462156020"/>
      <w:bookmarkStart w:id="29" w:name="_Toc462158392"/>
      <w:bookmarkStart w:id="30" w:name="_Toc462158447"/>
      <w:bookmarkStart w:id="31" w:name="_Toc462158500"/>
      <w:bookmarkStart w:id="32" w:name="_Toc462158570"/>
      <w:bookmarkStart w:id="33" w:name="_Toc462158690"/>
      <w:r w:rsidRPr="00C5547B">
        <w:rPr>
          <w:rFonts w:eastAsia="Times New Roman"/>
          <w:szCs w:val="24"/>
        </w:rPr>
        <w:t xml:space="preserve">This guide is available on the </w:t>
      </w:r>
      <w:hyperlink r:id="rId16" w:history="1">
        <w:r w:rsidRPr="008C3E10">
          <w:rPr>
            <w:rStyle w:val="Hyperlink"/>
            <w:i w:val="0"/>
          </w:rPr>
          <w:t>Department of Finance</w:t>
        </w:r>
      </w:hyperlink>
      <w:r w:rsidR="008C3E10">
        <w:rPr>
          <w:rFonts w:eastAsia="Times New Roman"/>
          <w:szCs w:val="24"/>
        </w:rPr>
        <w:t xml:space="preserve"> (Finance) website</w:t>
      </w:r>
      <w:r w:rsidR="00EA7219">
        <w:rPr>
          <w:rFonts w:eastAsia="Times New Roman"/>
          <w:szCs w:val="24"/>
        </w:rPr>
        <w:t xml:space="preserve">. </w:t>
      </w:r>
    </w:p>
    <w:p w14:paraId="1D0548B8" w14:textId="436B780A" w:rsidR="005E5CB9" w:rsidRPr="00EA7219" w:rsidRDefault="005E5CB9" w:rsidP="00EA7219">
      <w:pPr>
        <w:spacing w:after="120" w:line="260" w:lineRule="exact"/>
        <w:rPr>
          <w:rFonts w:eastAsia="Times New Roman"/>
          <w:szCs w:val="24"/>
        </w:rPr>
      </w:pPr>
      <w:r w:rsidRPr="00C5547B">
        <w:t>Other relevant publications include:</w:t>
      </w:r>
    </w:p>
    <w:p w14:paraId="6EC38D0A" w14:textId="03F22CC8" w:rsidR="005E5CB9" w:rsidRDefault="00CB4BF1" w:rsidP="00BF3BA2">
      <w:pPr>
        <w:pStyle w:val="Bullet1"/>
        <w:rPr>
          <w:rStyle w:val="Hyperlink"/>
        </w:rPr>
      </w:pPr>
      <w:hyperlink r:id="rId17" w:history="1">
        <w:r w:rsidR="008326AE" w:rsidRPr="00E84F05">
          <w:rPr>
            <w:rStyle w:val="Hyperlink"/>
          </w:rPr>
          <w:t>Guide to Appropriations (RMG 100)</w:t>
        </w:r>
      </w:hyperlink>
    </w:p>
    <w:p w14:paraId="59D005AC" w14:textId="27AF3CCF" w:rsidR="00E84F05" w:rsidRPr="00E84F05" w:rsidRDefault="00CB4BF1" w:rsidP="00E84F05">
      <w:pPr>
        <w:pStyle w:val="Bullet1"/>
        <w:rPr>
          <w:rStyle w:val="Hyperlink"/>
        </w:rPr>
      </w:pPr>
      <w:hyperlink r:id="rId18" w:history="1">
        <w:r w:rsidR="00E84F05" w:rsidRPr="00E84F05">
          <w:rPr>
            <w:rStyle w:val="Hyperlink"/>
          </w:rPr>
          <w:t xml:space="preserve">Commonwealth entities financial </w:t>
        </w:r>
        <w:r w:rsidR="00A81DAC">
          <w:rPr>
            <w:rStyle w:val="Hyperlink"/>
          </w:rPr>
          <w:t xml:space="preserve">statements guide </w:t>
        </w:r>
        <w:r w:rsidR="00E84F05" w:rsidRPr="00E84F05">
          <w:rPr>
            <w:rStyle w:val="Hyperlink"/>
          </w:rPr>
          <w:t>(RMG 125)</w:t>
        </w:r>
      </w:hyperlink>
    </w:p>
    <w:p w14:paraId="6CEED3D3" w14:textId="61B21EF7" w:rsidR="00E84F05" w:rsidRDefault="00CB4BF1" w:rsidP="00BF3BA2">
      <w:pPr>
        <w:pStyle w:val="Bullet1"/>
        <w:rPr>
          <w:rStyle w:val="Hyperlink"/>
        </w:rPr>
      </w:pPr>
      <w:hyperlink r:id="rId19" w:history="1">
        <w:r w:rsidR="00E84F05" w:rsidRPr="00E84F05">
          <w:rPr>
            <w:rStyle w:val="Hyperlink"/>
          </w:rPr>
          <w:t>Australian Government Charging Framework (RMG 302)</w:t>
        </w:r>
      </w:hyperlink>
    </w:p>
    <w:p w14:paraId="4660EE44" w14:textId="62BE68F4" w:rsidR="00E05088" w:rsidRDefault="00CB4BF1" w:rsidP="00BF3BA2">
      <w:pPr>
        <w:pStyle w:val="Bullet1"/>
        <w:rPr>
          <w:rStyle w:val="Hyperlink"/>
        </w:rPr>
      </w:pPr>
      <w:hyperlink r:id="rId20" w:history="1">
        <w:r w:rsidR="00E05088" w:rsidRPr="00E05088">
          <w:rPr>
            <w:rStyle w:val="Hyperlink"/>
          </w:rPr>
          <w:t>Australian Government Cost Recovery Guidelines (RMG 304)</w:t>
        </w:r>
      </w:hyperlink>
    </w:p>
    <w:p w14:paraId="3DCD5120" w14:textId="56D26C12" w:rsidR="00E05088" w:rsidRPr="00E05088" w:rsidRDefault="00CB4BF1" w:rsidP="00BF3BA2">
      <w:pPr>
        <w:pStyle w:val="Bullet1"/>
        <w:rPr>
          <w:rStyle w:val="Hyperlink"/>
        </w:rPr>
      </w:pPr>
      <w:hyperlink r:id="rId21" w:history="1">
        <w:r w:rsidR="00E05088" w:rsidRPr="00E05088">
          <w:rPr>
            <w:rStyle w:val="Hyperlink"/>
          </w:rPr>
          <w:t>The banking of cash by Commonwealth entities (RMG 413)</w:t>
        </w:r>
      </w:hyperlink>
    </w:p>
    <w:p w14:paraId="4C795431" w14:textId="77777777" w:rsidR="00EE01CD" w:rsidRPr="0067007D" w:rsidRDefault="00EE01CD" w:rsidP="00EC031C">
      <w:pPr>
        <w:pStyle w:val="Bullet1"/>
        <w:rPr>
          <w:lang w:val="en" w:eastAsia="en-AU"/>
        </w:rPr>
      </w:pPr>
      <w:r w:rsidRPr="0067007D">
        <w:rPr>
          <w:i/>
          <w:iCs/>
          <w:lang w:val="en" w:eastAsia="en-AU"/>
        </w:rPr>
        <w:t xml:space="preserve">Quick Reference Guide – Budget Paper No. 4 </w:t>
      </w:r>
      <w:r w:rsidRPr="0067007D">
        <w:rPr>
          <w:lang w:val="en" w:eastAsia="en-AU"/>
        </w:rPr>
        <w:t>available on the Knowledge Management module of CBMS</w:t>
      </w:r>
    </w:p>
    <w:p w14:paraId="4D67E8B5" w14:textId="77777777" w:rsidR="00E249CF" w:rsidRDefault="00E249CF">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34" w:name="_Toc463364660"/>
      <w:r>
        <w:br w:type="page"/>
      </w:r>
    </w:p>
    <w:p w14:paraId="05DF643A" w14:textId="361B3909" w:rsidR="005E5CB9" w:rsidRPr="00FD0EFB" w:rsidRDefault="005E5CB9" w:rsidP="005E5CB9">
      <w:pPr>
        <w:pStyle w:val="Heading1"/>
      </w:pPr>
      <w:bookmarkStart w:id="35" w:name="_Toc46302444"/>
      <w:r w:rsidRPr="00FD0EFB">
        <w:lastRenderedPageBreak/>
        <w:t>Introduction</w:t>
      </w:r>
      <w:bookmarkEnd w:id="34"/>
      <w:bookmarkEnd w:id="35"/>
    </w:p>
    <w:p w14:paraId="10C78067" w14:textId="73AA12F3" w:rsidR="00DA3799" w:rsidRPr="00FD0EFB" w:rsidRDefault="001B12E5" w:rsidP="00DA3799">
      <w:pPr>
        <w:pStyle w:val="NumberedList1"/>
        <w:rPr>
          <w:rFonts w:cs="MuseoSans-500"/>
          <w:u w:val="single" w:color="0070C0"/>
        </w:rPr>
      </w:pPr>
      <w:r w:rsidRPr="00FD0EFB">
        <w:t>Money managed by NCEs</w:t>
      </w:r>
      <w:r w:rsidR="0086650F" w:rsidRPr="00FD0EFB">
        <w:t xml:space="preserve"> is Commonwealth money and forms part of</w:t>
      </w:r>
      <w:r w:rsidRPr="00FD0EFB">
        <w:t xml:space="preserve"> the </w:t>
      </w:r>
      <w:hyperlink r:id="rId22" w:history="1">
        <w:r w:rsidRPr="00FD0EFB">
          <w:rPr>
            <w:rStyle w:val="Hyperlink"/>
            <w:i w:val="0"/>
          </w:rPr>
          <w:t>Consolidated Revenue Fund</w:t>
        </w:r>
      </w:hyperlink>
      <w:r w:rsidRPr="00FD0EFB">
        <w:rPr>
          <w:rStyle w:val="Hyperlink"/>
          <w:u w:val="none"/>
        </w:rPr>
        <w:t xml:space="preserve"> </w:t>
      </w:r>
      <w:r w:rsidRPr="00FD0EFB">
        <w:t>(CRF).</w:t>
      </w:r>
      <w:r w:rsidR="00DA3799" w:rsidRPr="00FD0EFB">
        <w:rPr>
          <w:rFonts w:cs="MuseoSans-500"/>
        </w:rPr>
        <w:t xml:space="preserve"> </w:t>
      </w:r>
      <w:r w:rsidR="00DA3799" w:rsidRPr="00FD0EFB">
        <w:t>Many non-corporate Commonwealth entities (NCEs) receive money, in the course of business operations, from sources other than in annual appropriation Acts (</w:t>
      </w:r>
      <w:proofErr w:type="spellStart"/>
      <w:r w:rsidR="00DA3799" w:rsidRPr="00FD0EFB">
        <w:t>eg</w:t>
      </w:r>
      <w:proofErr w:type="spellEnd"/>
      <w:r w:rsidR="00DA3799" w:rsidRPr="00FD0EFB">
        <w:t xml:space="preserve"> payments for goods and services). </w:t>
      </w:r>
    </w:p>
    <w:p w14:paraId="367FED9A" w14:textId="5A533CC5" w:rsidR="005A0F23" w:rsidRPr="00FD0EFB" w:rsidRDefault="0086650F" w:rsidP="00DA3799">
      <w:pPr>
        <w:pStyle w:val="NumberedList1"/>
        <w:rPr>
          <w:rFonts w:cs="MuseoSans-500"/>
          <w:u w:val="single" w:color="0070C0"/>
        </w:rPr>
      </w:pPr>
      <w:r w:rsidRPr="00FD0EFB">
        <w:t>Most money received by NCEs</w:t>
      </w:r>
      <w:r w:rsidR="004B1F28" w:rsidRPr="00FD0EFB">
        <w:t>, particularly administered amounts, is treated as unappropriated general government revenue (</w:t>
      </w:r>
      <w:proofErr w:type="spellStart"/>
      <w:r w:rsidR="005A0F23" w:rsidRPr="00FD0EFB">
        <w:t>ie</w:t>
      </w:r>
      <w:proofErr w:type="spellEnd"/>
      <w:r w:rsidR="005A0F23" w:rsidRPr="00FD0EFB">
        <w:t xml:space="preserve"> </w:t>
      </w:r>
      <w:r w:rsidR="004B1F28" w:rsidRPr="00FD0EFB">
        <w:t>administered receipts) and must be remitted to the primary central bank accou</w:t>
      </w:r>
      <w:r w:rsidR="00906DC5" w:rsidRPr="00FD0EFB">
        <w:t>nt of the Australian Government</w:t>
      </w:r>
      <w:r w:rsidR="004B1F28" w:rsidRPr="00FD0EFB">
        <w:t xml:space="preserve"> called the Official Public Account (OPA)</w:t>
      </w:r>
      <w:r w:rsidR="00906DC5" w:rsidRPr="00FD0EFB">
        <w:t xml:space="preserve">, which is </w:t>
      </w:r>
      <w:r w:rsidR="004B1F28" w:rsidRPr="00FD0EFB">
        <w:t xml:space="preserve">part of set of bank accounts called the </w:t>
      </w:r>
      <w:hyperlink r:id="rId23" w:history="1">
        <w:r w:rsidR="004B1F28" w:rsidRPr="00FD0EFB">
          <w:rPr>
            <w:rStyle w:val="Hyperlink"/>
            <w:i w:val="0"/>
          </w:rPr>
          <w:t>OPA Group</w:t>
        </w:r>
      </w:hyperlink>
      <w:r w:rsidR="004B1F28" w:rsidRPr="00FD0EFB">
        <w:t>.</w:t>
      </w:r>
      <w:r w:rsidR="005A0F23" w:rsidRPr="00FD0EFB">
        <w:t xml:space="preserve"> </w:t>
      </w:r>
    </w:p>
    <w:p w14:paraId="6C63F25E" w14:textId="0E8EB3F9" w:rsidR="005A0F23" w:rsidRPr="00FD0EFB" w:rsidRDefault="004B1F28" w:rsidP="003E3F0B">
      <w:pPr>
        <w:pStyle w:val="NumberedList1"/>
      </w:pPr>
      <w:r w:rsidRPr="00FD0EFB">
        <w:t>However,</w:t>
      </w:r>
      <w:r w:rsidR="005A0F23" w:rsidRPr="00FD0EFB">
        <w:t xml:space="preserve"> the</w:t>
      </w:r>
      <w:r w:rsidRPr="00FD0EFB">
        <w:t xml:space="preserve"> </w:t>
      </w:r>
      <w:hyperlink r:id="rId24" w:history="1">
        <w:r w:rsidR="003E3F0B" w:rsidRPr="00FD0EFB">
          <w:rPr>
            <w:rStyle w:val="Hyperlink"/>
            <w:rFonts w:eastAsia="SimSun"/>
          </w:rPr>
          <w:t>Public Governance, Performance and Accountability Act 2013</w:t>
        </w:r>
      </w:hyperlink>
      <w:r w:rsidR="005A0F23" w:rsidRPr="00FD0EFB">
        <w:rPr>
          <w:rFonts w:eastAsia="SimSun" w:cs="MuseoSans-500"/>
          <w:i/>
          <w:u w:color="0070C0"/>
        </w:rPr>
        <w:t xml:space="preserve"> </w:t>
      </w:r>
      <w:r w:rsidR="005A0F23" w:rsidRPr="00FD0EFB">
        <w:t xml:space="preserve">(PGPA Act) includes provisions for NCEs to use certain </w:t>
      </w:r>
      <w:hyperlink w:anchor="Kinds" w:history="1">
        <w:r w:rsidR="0086650F" w:rsidRPr="00FD0EFB">
          <w:rPr>
            <w:rStyle w:val="Hyperlink"/>
            <w:i w:val="0"/>
          </w:rPr>
          <w:t xml:space="preserve">kinds of </w:t>
        </w:r>
        <w:r w:rsidR="005A0F23" w:rsidRPr="00FD0EFB">
          <w:rPr>
            <w:rStyle w:val="Hyperlink"/>
            <w:i w:val="0"/>
          </w:rPr>
          <w:t>amounts</w:t>
        </w:r>
      </w:hyperlink>
      <w:r w:rsidR="0086650F" w:rsidRPr="00FD0EFB">
        <w:t xml:space="preserve"> </w:t>
      </w:r>
      <w:r w:rsidR="005A0F23" w:rsidRPr="00FD0EFB">
        <w:t>receive</w:t>
      </w:r>
      <w:r w:rsidR="0086650F" w:rsidRPr="00FD0EFB">
        <w:t>d</w:t>
      </w:r>
      <w:r w:rsidR="005A0F23" w:rsidRPr="00FD0EFB">
        <w:t xml:space="preserve"> to increase appropriations. Such amounts are known as ‘retainable receipts’.</w:t>
      </w:r>
    </w:p>
    <w:p w14:paraId="6968D8E1" w14:textId="01B37570" w:rsidR="004D1D20" w:rsidRPr="00FD0EFB" w:rsidRDefault="002541E0" w:rsidP="005A0F23">
      <w:pPr>
        <w:pStyle w:val="Heading1Numbered"/>
        <w:rPr>
          <w:rFonts w:eastAsia="Times New Roman"/>
        </w:rPr>
      </w:pPr>
      <w:bookmarkStart w:id="36" w:name="_Toc46302445"/>
      <w:bookmarkEnd w:id="28"/>
      <w:bookmarkEnd w:id="29"/>
      <w:bookmarkEnd w:id="30"/>
      <w:bookmarkEnd w:id="31"/>
      <w:bookmarkEnd w:id="32"/>
      <w:bookmarkEnd w:id="33"/>
      <w:r w:rsidRPr="00FD0EFB">
        <w:rPr>
          <w:rFonts w:eastAsia="Times New Roman"/>
        </w:rPr>
        <w:t>Legislative framework</w:t>
      </w:r>
      <w:r w:rsidR="00C82F42" w:rsidRPr="00FD0EFB">
        <w:rPr>
          <w:rFonts w:eastAsia="Times New Roman"/>
        </w:rPr>
        <w:t xml:space="preserve"> for re</w:t>
      </w:r>
      <w:r w:rsidR="005A0F23" w:rsidRPr="00FD0EFB">
        <w:rPr>
          <w:rFonts w:eastAsia="Times New Roman"/>
        </w:rPr>
        <w:t>tainable</w:t>
      </w:r>
      <w:r w:rsidR="00C82F42" w:rsidRPr="00FD0EFB">
        <w:rPr>
          <w:rFonts w:eastAsia="Times New Roman"/>
        </w:rPr>
        <w:t xml:space="preserve"> receipts</w:t>
      </w:r>
      <w:bookmarkEnd w:id="36"/>
    </w:p>
    <w:p w14:paraId="2CC572D9" w14:textId="0C528E85" w:rsidR="00A63DCA" w:rsidRDefault="00E0084C" w:rsidP="001F3231">
      <w:pPr>
        <w:pStyle w:val="NumberedList1"/>
      </w:pPr>
      <w:r w:rsidRPr="0078690D">
        <w:t xml:space="preserve">The </w:t>
      </w:r>
      <w:hyperlink r:id="rId25" w:history="1">
        <w:r w:rsidRPr="0046531A">
          <w:rPr>
            <w:rStyle w:val="Hyperlink"/>
            <w:i w:val="0"/>
          </w:rPr>
          <w:t>PGPA Act</w:t>
        </w:r>
      </w:hyperlink>
      <w:r w:rsidRPr="0090274C">
        <w:rPr>
          <w:rStyle w:val="Hyperlink"/>
          <w:i w:val="0"/>
          <w:u w:val="none"/>
        </w:rPr>
        <w:t xml:space="preserve"> </w:t>
      </w:r>
      <w:r w:rsidRPr="0090274C">
        <w:t>includes</w:t>
      </w:r>
      <w:r>
        <w:t xml:space="preserve"> provisions for NCEs to retain receipts </w:t>
      </w:r>
      <w:r w:rsidR="003E3F0B" w:rsidRPr="003E3F0B">
        <w:t>by increasing the balance of an existing appropriation, by either part or the full amount collected.</w:t>
      </w:r>
      <w:r w:rsidR="003E3F0B">
        <w:t xml:space="preserve"> </w:t>
      </w:r>
      <w:r w:rsidR="001D3013" w:rsidRPr="0067007D">
        <w:t>For a</w:t>
      </w:r>
      <w:r w:rsidR="001D3013">
        <w:t>n</w:t>
      </w:r>
      <w:r w:rsidR="001D3013" w:rsidRPr="0067007D">
        <w:t xml:space="preserve"> NCE to </w:t>
      </w:r>
      <w:r w:rsidR="0090274C">
        <w:t xml:space="preserve">be able to </w:t>
      </w:r>
      <w:r w:rsidR="001D3013" w:rsidRPr="0067007D">
        <w:t xml:space="preserve">retain and spend </w:t>
      </w:r>
      <w:r w:rsidR="005A0F23">
        <w:t>amounts received</w:t>
      </w:r>
      <w:r w:rsidR="001D3013" w:rsidRPr="0067007D">
        <w:t xml:space="preserve">, </w:t>
      </w:r>
      <w:r w:rsidR="00A63DCA">
        <w:t xml:space="preserve">it requires </w:t>
      </w:r>
      <w:r w:rsidR="001D3013" w:rsidRPr="0067007D">
        <w:t>both</w:t>
      </w:r>
      <w:r w:rsidR="00A63DCA">
        <w:t>:</w:t>
      </w:r>
    </w:p>
    <w:p w14:paraId="350A0478" w14:textId="4F235D12" w:rsidR="00A63DCA" w:rsidRDefault="00A63DCA" w:rsidP="00A63DCA">
      <w:pPr>
        <w:pStyle w:val="Bullet1"/>
      </w:pPr>
      <w:r>
        <w:t xml:space="preserve">legislative authority </w:t>
      </w:r>
      <w:r w:rsidR="001D3013" w:rsidRPr="0067007D">
        <w:t>in an Act, rule, instrumen</w:t>
      </w:r>
      <w:r>
        <w:t>t or other subordinate law</w:t>
      </w:r>
    </w:p>
    <w:p w14:paraId="2356BFD7" w14:textId="3637A751" w:rsidR="0046531A" w:rsidRDefault="00A63DCA" w:rsidP="00E0084C">
      <w:pPr>
        <w:pStyle w:val="Bullet1"/>
      </w:pPr>
      <w:proofErr w:type="gramStart"/>
      <w:r>
        <w:t>policy</w:t>
      </w:r>
      <w:proofErr w:type="gramEnd"/>
      <w:r>
        <w:t xml:space="preserve"> authority </w:t>
      </w:r>
      <w:r w:rsidR="001D3013" w:rsidRPr="0067007D">
        <w:t xml:space="preserve">from </w:t>
      </w:r>
      <w:r w:rsidR="003364DE">
        <w:t>Cabinet or the Prime Minister</w:t>
      </w:r>
      <w:r w:rsidR="001D3013">
        <w:t>.</w:t>
      </w:r>
    </w:p>
    <w:p w14:paraId="4C4597D7" w14:textId="67AF5840" w:rsidR="00A20495" w:rsidRPr="00FD0EFB" w:rsidRDefault="00A20495" w:rsidP="00E0084C">
      <w:pPr>
        <w:pStyle w:val="NumberedList1"/>
      </w:pPr>
      <w:r>
        <w:t>Under s</w:t>
      </w:r>
      <w:r w:rsidR="000001B1" w:rsidRPr="000001B1">
        <w:t>ection 74</w:t>
      </w:r>
      <w:r w:rsidR="000001B1" w:rsidRPr="004124E3">
        <w:t>(1)(a) of the</w:t>
      </w:r>
      <w:r w:rsidR="00F138AA" w:rsidRPr="000001B1">
        <w:t xml:space="preserve"> </w:t>
      </w:r>
      <w:r w:rsidR="00F138AA" w:rsidRPr="00A20495">
        <w:rPr>
          <w:rFonts w:cs="MuseoSans-500"/>
          <w:u w:color="0070C0"/>
        </w:rPr>
        <w:t>PGPA Act</w:t>
      </w:r>
      <w:r>
        <w:rPr>
          <w:rStyle w:val="Hyperlink"/>
          <w:i w:val="0"/>
          <w:u w:val="none"/>
        </w:rPr>
        <w:t xml:space="preserve">, </w:t>
      </w:r>
      <w:r w:rsidRPr="004124E3">
        <w:t>an NCE’s most recent annual de</w:t>
      </w:r>
      <w:r>
        <w:t>partmental item appropriation may</w:t>
      </w:r>
      <w:r w:rsidRPr="004124E3">
        <w:t xml:space="preserve"> be increased by </w:t>
      </w:r>
      <w:r>
        <w:t xml:space="preserve">the </w:t>
      </w:r>
      <w:hyperlink w:anchor="Kinds" w:history="1">
        <w:r w:rsidRPr="005A6119">
          <w:rPr>
            <w:rStyle w:val="Hyperlink"/>
            <w:i w:val="0"/>
          </w:rPr>
          <w:t>kinds of amounts</w:t>
        </w:r>
      </w:hyperlink>
      <w:r w:rsidRPr="005A6119">
        <w:rPr>
          <w:rStyle w:val="Hyperlink"/>
          <w:i w:val="0"/>
          <w:u w:val="none"/>
        </w:rPr>
        <w:t xml:space="preserve"> </w:t>
      </w:r>
      <w:r w:rsidRPr="004124E3">
        <w:t>liste</w:t>
      </w:r>
      <w:r>
        <w:t>d in section 27</w:t>
      </w:r>
      <w:r w:rsidRPr="00C1364C">
        <w:t xml:space="preserve"> of the </w:t>
      </w:r>
      <w:hyperlink r:id="rId26" w:tgtFrame="_blank" w:history="1">
        <w:r w:rsidRPr="00A81DAC">
          <w:rPr>
            <w:rStyle w:val="Hyperlink"/>
            <w:rFonts w:eastAsia="SimSun"/>
          </w:rPr>
          <w:t>Public Governance, Performance and Accountability Rule 2014</w:t>
        </w:r>
      </w:hyperlink>
      <w:r>
        <w:rPr>
          <w:rStyle w:val="Hyperlink"/>
          <w:rFonts w:eastAsia="SimSun"/>
        </w:rPr>
        <w:t xml:space="preserve"> </w:t>
      </w:r>
      <w:r>
        <w:t>(PGPA Rule).</w:t>
      </w:r>
      <w:r w:rsidR="00B247D1">
        <w:t xml:space="preserve"> </w:t>
      </w:r>
      <w:r w:rsidR="009D06E3">
        <w:t>These</w:t>
      </w:r>
      <w:r w:rsidR="00B247D1" w:rsidRPr="00C1364C">
        <w:t xml:space="preserve"> </w:t>
      </w:r>
      <w:r w:rsidR="00E0084C">
        <w:t>section</w:t>
      </w:r>
      <w:r w:rsidR="009D06E3">
        <w:t>s</w:t>
      </w:r>
      <w:r w:rsidR="00B247D1">
        <w:t xml:space="preserve"> </w:t>
      </w:r>
      <w:r w:rsidR="009D06E3">
        <w:t xml:space="preserve">are not </w:t>
      </w:r>
      <w:r w:rsidR="00E0084C">
        <w:t>appropriation</w:t>
      </w:r>
      <w:r w:rsidR="009D06E3">
        <w:t>s in themselves</w:t>
      </w:r>
      <w:r w:rsidR="00E0084C">
        <w:t xml:space="preserve">—they </w:t>
      </w:r>
      <w:r w:rsidR="00B247D1">
        <w:t>enable</w:t>
      </w:r>
      <w:r w:rsidR="009D06E3">
        <w:t xml:space="preserve"> certain receipts</w:t>
      </w:r>
      <w:r w:rsidR="00E0084C">
        <w:t xml:space="preserve"> </w:t>
      </w:r>
      <w:r w:rsidR="00B247D1">
        <w:t>to be retained</w:t>
      </w:r>
      <w:r w:rsidR="009D06E3">
        <w:t xml:space="preserve"> </w:t>
      </w:r>
      <w:r w:rsidR="00B247D1" w:rsidRPr="00FD0EFB">
        <w:t>by increasing appropriations</w:t>
      </w:r>
      <w:r w:rsidR="009D06E3" w:rsidRPr="00FD0EFB">
        <w:t xml:space="preserve"> </w:t>
      </w:r>
      <w:r w:rsidR="00B247D1" w:rsidRPr="00FD0EFB">
        <w:t>enacted by parliament, by the amount received.</w:t>
      </w:r>
    </w:p>
    <w:p w14:paraId="4CD96F75" w14:textId="16CB537F" w:rsidR="009D06E3" w:rsidRPr="00FD0EFB" w:rsidRDefault="009D06E3" w:rsidP="009D06E3">
      <w:pPr>
        <w:pStyle w:val="NumberedList1"/>
      </w:pPr>
      <w:r w:rsidRPr="00FD0EFB">
        <w:t xml:space="preserve">If an amount is credited to an appropriation item as a retainable receipt under section 27 of the PGPA Rule, it </w:t>
      </w:r>
      <w:r w:rsidRPr="00FD0EFB">
        <w:rPr>
          <w:iCs/>
        </w:rPr>
        <w:t>cannot then be</w:t>
      </w:r>
      <w:r w:rsidRPr="00FD0EFB">
        <w:t xml:space="preserve"> transferred to the balance of a special account.</w:t>
      </w:r>
    </w:p>
    <w:p w14:paraId="114EFBA4" w14:textId="7AFAEF07" w:rsidR="009D06E3" w:rsidRPr="009D06E3" w:rsidRDefault="009D06E3" w:rsidP="009D06E3">
      <w:pPr>
        <w:pStyle w:val="NumberedList1"/>
        <w:rPr>
          <w:rStyle w:val="Hyperlink"/>
          <w:rFonts w:cstheme="minorBidi"/>
          <w:i w:val="0"/>
          <w:u w:val="none"/>
        </w:rPr>
      </w:pPr>
      <w:r w:rsidRPr="00FD0EFB">
        <w:t xml:space="preserve">CCEs and Commonwealth companies are separately legal to the Commonwealth and can retain and spend monies </w:t>
      </w:r>
      <w:r w:rsidR="00380CBC">
        <w:t>in their own name.</w:t>
      </w:r>
      <w:r w:rsidRPr="00FD0EFB">
        <w:t xml:space="preserve"> They do not require an appropriation to collect and retain</w:t>
      </w:r>
      <w:r>
        <w:t xml:space="preserve"> receipts</w:t>
      </w:r>
      <w:r w:rsidRPr="0067007D">
        <w:t xml:space="preserve"> and are not limited by section 74 of the </w:t>
      </w:r>
      <w:hyperlink r:id="rId27" w:history="1">
        <w:r w:rsidRPr="00160E1A">
          <w:rPr>
            <w:rStyle w:val="Hyperlink"/>
            <w:i w:val="0"/>
          </w:rPr>
          <w:t>PGPA Act</w:t>
        </w:r>
      </w:hyperlink>
      <w:r>
        <w:t>.</w:t>
      </w:r>
    </w:p>
    <w:p w14:paraId="56B26481" w14:textId="2D268F1C" w:rsidR="001D3013" w:rsidRPr="009D06E3" w:rsidRDefault="00A20495" w:rsidP="009D06E3">
      <w:pPr>
        <w:pStyle w:val="NumberedList1"/>
      </w:pPr>
      <w:r>
        <w:t xml:space="preserve">Under </w:t>
      </w:r>
      <w:r w:rsidR="000637B1" w:rsidRPr="00F138AA">
        <w:t>sections 78 and</w:t>
      </w:r>
      <w:r w:rsidR="000637B1" w:rsidRPr="000001B1">
        <w:t xml:space="preserve"> 80 of the </w:t>
      </w:r>
      <w:hyperlink r:id="rId28" w:history="1">
        <w:r w:rsidR="009D06E3" w:rsidRPr="0046531A">
          <w:rPr>
            <w:rStyle w:val="Hyperlink"/>
            <w:i w:val="0"/>
          </w:rPr>
          <w:t>PGPA Act</w:t>
        </w:r>
      </w:hyperlink>
      <w:r w:rsidR="009D06E3">
        <w:rPr>
          <w:rFonts w:cs="MuseoSans-500"/>
          <w:u w:color="0070C0"/>
        </w:rPr>
        <w:t xml:space="preserve"> an </w:t>
      </w:r>
      <w:r w:rsidR="00F138AA" w:rsidRPr="000001B1">
        <w:t>amount</w:t>
      </w:r>
      <w:r w:rsidR="009D06E3">
        <w:t xml:space="preserve"> received</w:t>
      </w:r>
      <w:r w:rsidR="00F138AA" w:rsidRPr="000001B1">
        <w:t xml:space="preserve"> </w:t>
      </w:r>
      <w:r w:rsidR="009D06E3">
        <w:t>may be retained if it</w:t>
      </w:r>
      <w:r w:rsidR="00F138AA" w:rsidRPr="000001B1">
        <w:t xml:space="preserve"> is consistent with the crediting provisions o</w:t>
      </w:r>
      <w:r w:rsidR="00793ABC" w:rsidRPr="000001B1">
        <w:t>f one or more special accounts</w:t>
      </w:r>
      <w:r w:rsidR="00F138AA" w:rsidRPr="000001B1">
        <w:t>.</w:t>
      </w:r>
      <w:r w:rsidR="009D06E3">
        <w:t xml:space="preserve"> </w:t>
      </w:r>
      <w:r w:rsidR="0023233D" w:rsidRPr="009D06E3">
        <w:rPr>
          <w:shd w:val="clear" w:color="auto" w:fill="FFFFFF"/>
        </w:rPr>
        <w:t>A special account is a type of</w:t>
      </w:r>
      <w:r w:rsidR="001D3013" w:rsidRPr="009D06E3">
        <w:rPr>
          <w:shd w:val="clear" w:color="auto" w:fill="FFFFFF"/>
        </w:rPr>
        <w:t xml:space="preserve"> limited special appropriatio</w:t>
      </w:r>
      <w:r w:rsidR="00793ABC" w:rsidRPr="009D06E3">
        <w:rPr>
          <w:shd w:val="clear" w:color="auto" w:fill="FFFFFF"/>
        </w:rPr>
        <w:t xml:space="preserve">n </w:t>
      </w:r>
      <w:r w:rsidR="00B65234" w:rsidRPr="009D06E3">
        <w:rPr>
          <w:shd w:val="clear" w:color="auto" w:fill="FFFFFF"/>
        </w:rPr>
        <w:t>that</w:t>
      </w:r>
      <w:r w:rsidR="0023233D" w:rsidRPr="009D06E3">
        <w:rPr>
          <w:shd w:val="clear" w:color="auto" w:fill="FFFFFF"/>
        </w:rPr>
        <w:t xml:space="preserve"> notionally sets a</w:t>
      </w:r>
      <w:r w:rsidR="000637B1" w:rsidRPr="009D06E3">
        <w:rPr>
          <w:shd w:val="clear" w:color="auto" w:fill="FFFFFF"/>
        </w:rPr>
        <w:t>n amount of money aside in the CRF</w:t>
      </w:r>
      <w:r w:rsidR="0023233D" w:rsidRPr="009D06E3">
        <w:rPr>
          <w:shd w:val="clear" w:color="auto" w:fill="FFFFFF"/>
        </w:rPr>
        <w:t xml:space="preserve"> for expenditure on defined purposes.</w:t>
      </w:r>
      <w:r w:rsidR="001D3013">
        <w:t xml:space="preserve"> </w:t>
      </w:r>
      <w:r w:rsidR="001D3013" w:rsidRPr="0023233D">
        <w:t>For more information on special accounts</w:t>
      </w:r>
      <w:r w:rsidR="001D3013">
        <w:t>,</w:t>
      </w:r>
      <w:r w:rsidR="001D3013" w:rsidRPr="0023233D">
        <w:t xml:space="preserve"> see</w:t>
      </w:r>
      <w:r w:rsidR="001D3013" w:rsidRPr="009D06E3">
        <w:rPr>
          <w:i/>
        </w:rPr>
        <w:t xml:space="preserve"> </w:t>
      </w:r>
      <w:hyperlink r:id="rId29" w:history="1">
        <w:r w:rsidR="001D3013" w:rsidRPr="009D06E3">
          <w:rPr>
            <w:rStyle w:val="Hyperlink"/>
            <w:i w:val="0"/>
          </w:rPr>
          <w:t>Guide to Appropriations (RMG 100)</w:t>
        </w:r>
      </w:hyperlink>
      <w:r w:rsidR="001D3013" w:rsidRPr="009D06E3">
        <w:rPr>
          <w:rStyle w:val="Hyperlink"/>
          <w:i w:val="0"/>
          <w:u w:val="none"/>
        </w:rPr>
        <w:t>.</w:t>
      </w:r>
    </w:p>
    <w:p w14:paraId="6D698E31" w14:textId="0F181B07" w:rsidR="003364DE" w:rsidRDefault="003B41ED" w:rsidP="0003284C">
      <w:pPr>
        <w:pStyle w:val="Heading1Numbered"/>
        <w:rPr>
          <w:rFonts w:eastAsia="Times New Roman"/>
          <w:lang w:val="en" w:eastAsia="en-AU"/>
        </w:rPr>
      </w:pPr>
      <w:bookmarkStart w:id="37" w:name="Retainable"/>
      <w:bookmarkStart w:id="38" w:name="_Toc46302446"/>
      <w:r>
        <w:rPr>
          <w:rFonts w:eastAsia="Times New Roman"/>
          <w:lang w:val="en" w:eastAsia="en-AU"/>
        </w:rPr>
        <w:t>Departmental r</w:t>
      </w:r>
      <w:r w:rsidR="0003284C">
        <w:rPr>
          <w:rFonts w:eastAsia="Times New Roman"/>
          <w:lang w:val="en" w:eastAsia="en-AU"/>
        </w:rPr>
        <w:t>eceipts that</w:t>
      </w:r>
      <w:r>
        <w:rPr>
          <w:rFonts w:eastAsia="Times New Roman"/>
          <w:lang w:val="en" w:eastAsia="en-AU"/>
        </w:rPr>
        <w:t xml:space="preserve"> NCEs may </w:t>
      </w:r>
      <w:r w:rsidR="0003284C" w:rsidRPr="00C1364C">
        <w:rPr>
          <w:rFonts w:eastAsia="Times New Roman"/>
          <w:lang w:val="en" w:eastAsia="en-AU"/>
        </w:rPr>
        <w:t>retain</w:t>
      </w:r>
      <w:bookmarkEnd w:id="38"/>
    </w:p>
    <w:bookmarkEnd w:id="37"/>
    <w:p w14:paraId="2BC365AD" w14:textId="4E1A4E7B" w:rsidR="000D4E5E" w:rsidRPr="00051850" w:rsidRDefault="00051850" w:rsidP="00051850">
      <w:pPr>
        <w:pStyle w:val="NumberedList1"/>
        <w:rPr>
          <w:rFonts w:eastAsia="Times New Roman"/>
        </w:rPr>
      </w:pPr>
      <w:r>
        <w:t>S</w:t>
      </w:r>
      <w:r w:rsidR="000D4E5E" w:rsidRPr="00657AFC">
        <w:t>ection</w:t>
      </w:r>
      <w:r w:rsidR="000D4E5E">
        <w:t xml:space="preserve"> 27(2) of the </w:t>
      </w:r>
      <w:hyperlink r:id="rId30" w:history="1">
        <w:r w:rsidR="000D4E5E" w:rsidRPr="0003284C">
          <w:rPr>
            <w:rStyle w:val="Hyperlink"/>
            <w:bCs w:val="0"/>
            <w:i w:val="0"/>
          </w:rPr>
          <w:t>PGPA Rule</w:t>
        </w:r>
      </w:hyperlink>
      <w:r w:rsidRPr="00051850">
        <w:rPr>
          <w:rStyle w:val="Hyperlink"/>
          <w:bCs w:val="0"/>
          <w:i w:val="0"/>
          <w:u w:val="none"/>
        </w:rPr>
        <w:t xml:space="preserve"> </w:t>
      </w:r>
      <w:r w:rsidR="000D4E5E" w:rsidRPr="000D4E5E">
        <w:rPr>
          <w:rStyle w:val="Hyperlink"/>
          <w:rFonts w:cstheme="minorBidi"/>
          <w:i w:val="0"/>
          <w:u w:val="none"/>
        </w:rPr>
        <w:t>specifies</w:t>
      </w:r>
      <w:r w:rsidR="000D4E5E">
        <w:rPr>
          <w:rStyle w:val="Hyperlink"/>
          <w:bCs w:val="0"/>
          <w:i w:val="0"/>
          <w:u w:val="none"/>
        </w:rPr>
        <w:t xml:space="preserve"> </w:t>
      </w:r>
      <w:r w:rsidR="003F0614">
        <w:t xml:space="preserve">the </w:t>
      </w:r>
      <w:bookmarkStart w:id="39" w:name="Kinds"/>
      <w:r w:rsidR="003F0614">
        <w:t>amounts</w:t>
      </w:r>
      <w:bookmarkEnd w:id="39"/>
      <w:r w:rsidR="003F0614">
        <w:t xml:space="preserve"> </w:t>
      </w:r>
      <w:r w:rsidR="003F0614" w:rsidRPr="000F657E">
        <w:t>received by</w:t>
      </w:r>
      <w:r w:rsidR="000D4E5E" w:rsidRPr="000F657E">
        <w:t xml:space="preserve"> NCEs </w:t>
      </w:r>
      <w:r w:rsidR="003F0614" w:rsidRPr="000F657E">
        <w:t xml:space="preserve">that </w:t>
      </w:r>
      <w:r w:rsidR="000D4E5E" w:rsidRPr="000F657E">
        <w:t xml:space="preserve">may </w:t>
      </w:r>
      <w:r w:rsidR="003F0614" w:rsidRPr="000F657E">
        <w:t xml:space="preserve">be </w:t>
      </w:r>
      <w:r w:rsidR="000D4E5E" w:rsidRPr="000F657E">
        <w:t>retain</w:t>
      </w:r>
      <w:r w:rsidR="003F0614" w:rsidRPr="000F657E">
        <w:t>ed</w:t>
      </w:r>
      <w:r w:rsidRPr="000F657E">
        <w:t xml:space="preserve">, under section 74(1)(a) of the </w:t>
      </w:r>
      <w:r w:rsidRPr="000F657E">
        <w:rPr>
          <w:rFonts w:cs="MuseoSans-500"/>
          <w:u w:color="0070C0"/>
        </w:rPr>
        <w:t>PGPA Act</w:t>
      </w:r>
      <w:r w:rsidRPr="000F657E">
        <w:rPr>
          <w:rStyle w:val="Hyperlink"/>
          <w:i w:val="0"/>
          <w:u w:val="none"/>
        </w:rPr>
        <w:t>,</w:t>
      </w:r>
      <w:r w:rsidRPr="000F657E">
        <w:t xml:space="preserve"> by crediting</w:t>
      </w:r>
      <w:r w:rsidR="00FD0EFB" w:rsidRPr="000F657E">
        <w:t xml:space="preserve"> the entity’s</w:t>
      </w:r>
      <w:r w:rsidR="000F657E" w:rsidRPr="000F657E">
        <w:t xml:space="preserve"> most recent</w:t>
      </w:r>
      <w:r w:rsidRPr="000F657E">
        <w:t xml:space="preserve"> </w:t>
      </w:r>
      <w:r w:rsidRPr="000F657E">
        <w:lastRenderedPageBreak/>
        <w:t>departmental item in an appropriation Act, or another appropriation</w:t>
      </w:r>
      <w:r w:rsidR="000F657E" w:rsidRPr="000F657E">
        <w:t xml:space="preserve"> </w:t>
      </w:r>
      <w:r w:rsidR="00CB3509">
        <w:t xml:space="preserve">(i.e. special appropriation or </w:t>
      </w:r>
      <w:r w:rsidR="000F657E" w:rsidRPr="000F657E">
        <w:t>special</w:t>
      </w:r>
      <w:r w:rsidR="000F657E">
        <w:t xml:space="preserve"> account</w:t>
      </w:r>
      <w:r w:rsidR="00CB3509">
        <w:t>)</w:t>
      </w:r>
      <w:r>
        <w:t xml:space="preserve"> provided for by this PGPA Rule. </w:t>
      </w:r>
      <w:r w:rsidR="000D4E5E">
        <w:t xml:space="preserve">Included at: </w:t>
      </w:r>
    </w:p>
    <w:p w14:paraId="4EF07390" w14:textId="48AA5EF9" w:rsidR="0003284C" w:rsidRPr="000D4E5E" w:rsidRDefault="000D4E5E" w:rsidP="000D4E5E">
      <w:pPr>
        <w:pStyle w:val="Bullet1"/>
        <w:rPr>
          <w:rFonts w:eastAsia="Times New Roman"/>
        </w:rPr>
      </w:pPr>
      <w:r>
        <w:t>s</w:t>
      </w:r>
      <w:r w:rsidR="00A10080">
        <w:t>ubs</w:t>
      </w:r>
      <w:r w:rsidR="0003284C" w:rsidRPr="00657AFC">
        <w:t>ection</w:t>
      </w:r>
      <w:r w:rsidR="0003284C">
        <w:t xml:space="preserve"> 27</w:t>
      </w:r>
      <w:r w:rsidR="00A10080">
        <w:t>(2)</w:t>
      </w:r>
      <w:r w:rsidR="0003284C">
        <w:t xml:space="preserve"> of the </w:t>
      </w:r>
      <w:r w:rsidR="0003284C" w:rsidRPr="00C80EA3">
        <w:rPr>
          <w:rFonts w:cs="MuseoSans-500"/>
          <w:bCs/>
          <w:u w:color="0070C0"/>
        </w:rPr>
        <w:t>PGPA Rule</w:t>
      </w:r>
      <w:r w:rsidR="0003284C" w:rsidRPr="0003284C">
        <w:rPr>
          <w:rStyle w:val="Hyperlink"/>
          <w:bCs/>
          <w:i w:val="0"/>
          <w:u w:val="none"/>
        </w:rPr>
        <w:t xml:space="preserve"> </w:t>
      </w:r>
      <w:r w:rsidR="003F0614">
        <w:t xml:space="preserve">are </w:t>
      </w:r>
      <w:r>
        <w:t xml:space="preserve">the </w:t>
      </w:r>
      <w:r w:rsidR="003F0614">
        <w:t>kinds of amounts</w:t>
      </w:r>
      <w:r w:rsidR="003671C7">
        <w:t xml:space="preserve"> </w:t>
      </w:r>
      <w:r w:rsidR="003F0614">
        <w:t xml:space="preserve">(listed as items 1-9) </w:t>
      </w:r>
      <w:r w:rsidR="0003284C">
        <w:t xml:space="preserve">that </w:t>
      </w:r>
      <w:r w:rsidR="003F0614">
        <w:t xml:space="preserve">an NCE </w:t>
      </w:r>
      <w:r w:rsidR="0003284C">
        <w:t xml:space="preserve">may </w:t>
      </w:r>
      <w:r w:rsidR="003F0614">
        <w:t xml:space="preserve">retain </w:t>
      </w:r>
    </w:p>
    <w:p w14:paraId="4D581959" w14:textId="7A19FD77" w:rsidR="000D4E5E" w:rsidRPr="003671C7" w:rsidRDefault="003671C7" w:rsidP="000D4E5E">
      <w:pPr>
        <w:pStyle w:val="Bullet1"/>
        <w:rPr>
          <w:rFonts w:eastAsia="Times New Roman"/>
        </w:rPr>
      </w:pPr>
      <w:r>
        <w:t>subs</w:t>
      </w:r>
      <w:r w:rsidRPr="00657AFC">
        <w:t>ection</w:t>
      </w:r>
      <w:r>
        <w:t xml:space="preserve"> 27(3) of the </w:t>
      </w:r>
      <w:r w:rsidRPr="005A6119">
        <w:rPr>
          <w:rFonts w:cs="MuseoSans-500"/>
          <w:bCs/>
          <w:u w:color="0070C0"/>
        </w:rPr>
        <w:t>PGPA Rule</w:t>
      </w:r>
      <w:r w:rsidRPr="003671C7">
        <w:rPr>
          <w:rStyle w:val="Hyperlink"/>
          <w:bCs/>
          <w:i w:val="0"/>
          <w:u w:val="none"/>
        </w:rPr>
        <w:t xml:space="preserve"> </w:t>
      </w:r>
      <w:r w:rsidR="00051850">
        <w:t>are</w:t>
      </w:r>
      <w:r w:rsidR="00607B55">
        <w:t xml:space="preserve"> </w:t>
      </w:r>
      <w:r w:rsidR="00C80EA3">
        <w:t xml:space="preserve">the </w:t>
      </w:r>
      <w:r>
        <w:t xml:space="preserve">requirements </w:t>
      </w:r>
      <w:r w:rsidR="003F0614">
        <w:t xml:space="preserve">for retaining </w:t>
      </w:r>
      <w:hyperlink w:anchor="Trusts" w:history="1">
        <w:r w:rsidR="003F0614" w:rsidRPr="005A6119">
          <w:rPr>
            <w:rStyle w:val="Hyperlink"/>
            <w:i w:val="0"/>
          </w:rPr>
          <w:t xml:space="preserve">receipts </w:t>
        </w:r>
        <w:r w:rsidRPr="005A6119">
          <w:rPr>
            <w:rStyle w:val="Hyperlink"/>
            <w:i w:val="0"/>
          </w:rPr>
          <w:t>for a trust or similar arrangemen</w:t>
        </w:r>
        <w:r w:rsidRPr="005A6119">
          <w:rPr>
            <w:rStyle w:val="Hyperlink"/>
            <w:rFonts w:cstheme="minorBidi"/>
            <w:i w:val="0"/>
          </w:rPr>
          <w:t>t</w:t>
        </w:r>
      </w:hyperlink>
    </w:p>
    <w:p w14:paraId="1D33915E" w14:textId="2C101EE3" w:rsidR="003671C7" w:rsidRPr="003F0614" w:rsidRDefault="003671C7" w:rsidP="003F0614">
      <w:pPr>
        <w:pStyle w:val="Bullet1"/>
        <w:rPr>
          <w:rStyle w:val="Hyperlink"/>
          <w:rFonts w:eastAsia="Times New Roman" w:cstheme="minorBidi"/>
          <w:i w:val="0"/>
          <w:u w:val="none"/>
        </w:rPr>
      </w:pPr>
      <w:r>
        <w:t>subs</w:t>
      </w:r>
      <w:r w:rsidRPr="00657AFC">
        <w:t>ection</w:t>
      </w:r>
      <w:r>
        <w:t xml:space="preserve">s 27(4) </w:t>
      </w:r>
      <w:r w:rsidR="003F0614">
        <w:t>–</w:t>
      </w:r>
      <w:r>
        <w:t xml:space="preserve"> (5) of the </w:t>
      </w:r>
      <w:r w:rsidRPr="005A6119">
        <w:rPr>
          <w:rFonts w:cs="MuseoSans-500"/>
          <w:bCs/>
          <w:u w:color="0070C0"/>
        </w:rPr>
        <w:t>PGPA Rule</w:t>
      </w:r>
      <w:r w:rsidR="003F0614" w:rsidRPr="003F0614">
        <w:rPr>
          <w:rStyle w:val="Hyperlink"/>
          <w:bCs/>
          <w:i w:val="0"/>
          <w:u w:val="none"/>
        </w:rPr>
        <w:t xml:space="preserve"> </w:t>
      </w:r>
      <w:r w:rsidR="00051850">
        <w:t xml:space="preserve">are </w:t>
      </w:r>
      <w:r w:rsidR="00C80EA3">
        <w:t xml:space="preserve">the </w:t>
      </w:r>
      <w:r w:rsidR="005A6119">
        <w:t>requirements for</w:t>
      </w:r>
      <w:r w:rsidR="003F0614">
        <w:t xml:space="preserve"> </w:t>
      </w:r>
      <w:hyperlink w:anchor="Repayments" w:history="1">
        <w:r w:rsidR="003F0614" w:rsidRPr="005A6119">
          <w:rPr>
            <w:rStyle w:val="Hyperlink"/>
            <w:i w:val="0"/>
          </w:rPr>
          <w:t>repayments</w:t>
        </w:r>
      </w:hyperlink>
    </w:p>
    <w:p w14:paraId="14331C46" w14:textId="3A8EBD31" w:rsidR="00706C0C" w:rsidRPr="000F657E" w:rsidRDefault="003671C7" w:rsidP="003671C7">
      <w:pPr>
        <w:pStyle w:val="Bullet1"/>
        <w:rPr>
          <w:rFonts w:eastAsia="Times New Roman"/>
        </w:rPr>
      </w:pPr>
      <w:proofErr w:type="gramStart"/>
      <w:r w:rsidRPr="000F657E">
        <w:rPr>
          <w:rStyle w:val="Hyperlink"/>
          <w:bCs/>
          <w:i w:val="0"/>
          <w:u w:val="none"/>
        </w:rPr>
        <w:t>s</w:t>
      </w:r>
      <w:r w:rsidR="00B84426" w:rsidRPr="000F657E">
        <w:t>ubsections</w:t>
      </w:r>
      <w:proofErr w:type="gramEnd"/>
      <w:r w:rsidR="00B84426" w:rsidRPr="000F657E">
        <w:t xml:space="preserve"> 27(6) – (8) of the </w:t>
      </w:r>
      <w:r w:rsidR="00B84426" w:rsidRPr="000F657E">
        <w:rPr>
          <w:rFonts w:cs="MuseoSans-500"/>
          <w:u w:color="0070C0"/>
        </w:rPr>
        <w:t>PGPA Rule</w:t>
      </w:r>
      <w:r w:rsidR="00C80EA3" w:rsidRPr="000F657E">
        <w:rPr>
          <w:rFonts w:cs="MuseoSans-500"/>
          <w:u w:color="0070C0"/>
        </w:rPr>
        <w:t xml:space="preserve"> are the kinds of</w:t>
      </w:r>
      <w:r w:rsidR="005A6119" w:rsidRPr="000F657E">
        <w:rPr>
          <w:rStyle w:val="Hyperlink"/>
          <w:i w:val="0"/>
          <w:u w:val="none"/>
        </w:rPr>
        <w:t xml:space="preserve"> </w:t>
      </w:r>
      <w:hyperlink w:anchor="Notretainable" w:history="1">
        <w:r w:rsidR="005A6119" w:rsidRPr="000F657E">
          <w:rPr>
            <w:rStyle w:val="Hyperlink"/>
            <w:i w:val="0"/>
          </w:rPr>
          <w:t>r</w:t>
        </w:r>
        <w:r w:rsidR="00B84426" w:rsidRPr="000F657E">
          <w:rPr>
            <w:rStyle w:val="Hyperlink"/>
            <w:i w:val="0"/>
          </w:rPr>
          <w:t>eceipts that are not retainable</w:t>
        </w:r>
      </w:hyperlink>
      <w:r w:rsidR="00B84426" w:rsidRPr="000F657E">
        <w:rPr>
          <w:rStyle w:val="Hyperlink"/>
          <w:i w:val="0"/>
          <w:u w:val="none"/>
        </w:rPr>
        <w:t>.</w:t>
      </w:r>
    </w:p>
    <w:p w14:paraId="0DC773C4" w14:textId="7781F066" w:rsidR="003364DE" w:rsidRPr="000F657E" w:rsidRDefault="003364DE" w:rsidP="001F4981">
      <w:pPr>
        <w:pStyle w:val="Heading2Numbered"/>
        <w:numPr>
          <w:ilvl w:val="0"/>
          <w:numId w:val="0"/>
        </w:numPr>
        <w:rPr>
          <w:rFonts w:eastAsia="Times New Roman"/>
          <w:lang w:val="en" w:eastAsia="en-AU"/>
        </w:rPr>
      </w:pPr>
      <w:bookmarkStart w:id="40" w:name="Offsetcosts"/>
      <w:bookmarkStart w:id="41" w:name="_Toc46302447"/>
      <w:r w:rsidRPr="000F657E">
        <w:rPr>
          <w:rFonts w:eastAsia="Times New Roman"/>
          <w:lang w:val="en" w:eastAsia="en-AU"/>
        </w:rPr>
        <w:t xml:space="preserve">Offset </w:t>
      </w:r>
      <w:r w:rsidR="009F52B7" w:rsidRPr="000F657E">
        <w:rPr>
          <w:rFonts w:eastAsia="Times New Roman"/>
          <w:lang w:val="en" w:eastAsia="en-AU"/>
        </w:rPr>
        <w:t xml:space="preserve">of </w:t>
      </w:r>
      <w:r w:rsidRPr="000F657E">
        <w:rPr>
          <w:rFonts w:eastAsia="Times New Roman"/>
          <w:lang w:val="en" w:eastAsia="en-AU"/>
        </w:rPr>
        <w:t>costs related to an activity of the entity</w:t>
      </w:r>
      <w:bookmarkEnd w:id="41"/>
    </w:p>
    <w:bookmarkEnd w:id="40"/>
    <w:p w14:paraId="7A1A5A86" w14:textId="4B39AE9B" w:rsidR="009F52B7" w:rsidRPr="00C1364C" w:rsidRDefault="00154890" w:rsidP="001F3231">
      <w:pPr>
        <w:pStyle w:val="NumberedList1"/>
      </w:pPr>
      <w:r w:rsidRPr="000F657E">
        <w:t>Item 1 of</w:t>
      </w:r>
      <w:r w:rsidR="003364DE" w:rsidRPr="000F657E">
        <w:t xml:space="preserve"> subsection</w:t>
      </w:r>
      <w:r w:rsidR="003364DE">
        <w:t xml:space="preserve"> 27(2) of the </w:t>
      </w:r>
      <w:hyperlink r:id="rId31" w:history="1">
        <w:r w:rsidR="003364DE" w:rsidRPr="00A81DAC">
          <w:rPr>
            <w:rStyle w:val="Hyperlink"/>
            <w:bCs w:val="0"/>
            <w:i w:val="0"/>
          </w:rPr>
          <w:t>PGPA Rule</w:t>
        </w:r>
      </w:hyperlink>
      <w:r w:rsidR="007C67E9">
        <w:t xml:space="preserve"> enables</w:t>
      </w:r>
      <w:r w:rsidR="00C80EA3">
        <w:t xml:space="preserve"> amounts </w:t>
      </w:r>
      <w:r w:rsidR="003364DE" w:rsidRPr="00C1364C">
        <w:t>that offset departmental activity costs of the collecting NCE</w:t>
      </w:r>
      <w:r w:rsidR="00C80EA3">
        <w:t xml:space="preserve"> to be retained</w:t>
      </w:r>
      <w:r w:rsidR="003364DE" w:rsidRPr="00C1364C">
        <w:t>.</w:t>
      </w:r>
      <w:r w:rsidR="009F52B7">
        <w:t xml:space="preserve"> </w:t>
      </w:r>
    </w:p>
    <w:p w14:paraId="11F293CC" w14:textId="0FAEF6FE" w:rsidR="00E67395" w:rsidRPr="00C1364C" w:rsidRDefault="00E67395" w:rsidP="00A10080">
      <w:pPr>
        <w:pStyle w:val="Extracttitle"/>
        <w:spacing w:before="240" w:line="276" w:lineRule="auto"/>
        <w:ind w:left="0" w:firstLine="77"/>
      </w:pPr>
      <w:r w:rsidRPr="00C1364C">
        <w:t>Examples</w:t>
      </w:r>
      <w:r>
        <w:t xml:space="preserve"> - </w:t>
      </w:r>
      <w:r w:rsidRPr="00C1364C">
        <w:t>It</w:t>
      </w:r>
      <w:r>
        <w:t xml:space="preserve">em 1 </w:t>
      </w:r>
      <w:r w:rsidR="005A2826">
        <w:t xml:space="preserve">retainable </w:t>
      </w:r>
      <w:r>
        <w:t>receipts</w:t>
      </w:r>
      <w:r w:rsidRPr="00C1364C">
        <w:t xml:space="preserve"> </w:t>
      </w:r>
    </w:p>
    <w:p w14:paraId="221CA94A" w14:textId="301500CE" w:rsidR="00E67395" w:rsidRDefault="00E67395" w:rsidP="00E67395">
      <w:pPr>
        <w:pStyle w:val="Bullets1stindent"/>
        <w:numPr>
          <w:ilvl w:val="0"/>
          <w:numId w:val="0"/>
        </w:numPr>
        <w:shd w:val="clear" w:color="auto" w:fill="B4B5DF"/>
      </w:pPr>
      <w:r>
        <w:t>Item 1 includes amounts received for:</w:t>
      </w:r>
    </w:p>
    <w:p w14:paraId="5C7CF27C" w14:textId="77777777" w:rsidR="005A2826" w:rsidRDefault="00E67395" w:rsidP="001F3231">
      <w:pPr>
        <w:pStyle w:val="Bullets1stindent"/>
        <w:numPr>
          <w:ilvl w:val="0"/>
          <w:numId w:val="16"/>
        </w:numPr>
        <w:shd w:val="clear" w:color="auto" w:fill="B4B5DF"/>
        <w:ind w:left="426" w:hanging="426"/>
      </w:pPr>
      <w:r>
        <w:t>g</w:t>
      </w:r>
      <w:r w:rsidR="005A2826">
        <w:t>oods or services provided</w:t>
      </w:r>
    </w:p>
    <w:p w14:paraId="069CDC48" w14:textId="2B00070A" w:rsidR="00E67395" w:rsidRPr="00242A9E" w:rsidRDefault="005A2826" w:rsidP="001F3231">
      <w:pPr>
        <w:pStyle w:val="Bullets1stindent"/>
        <w:numPr>
          <w:ilvl w:val="0"/>
          <w:numId w:val="16"/>
        </w:numPr>
        <w:shd w:val="clear" w:color="auto" w:fill="B4B5DF"/>
        <w:ind w:left="426" w:hanging="426"/>
      </w:pPr>
      <w:r>
        <w:t xml:space="preserve">goods or services </w:t>
      </w:r>
      <w:r w:rsidR="00E67395" w:rsidRPr="00242A9E">
        <w:t>to be provided (</w:t>
      </w:r>
      <w:proofErr w:type="spellStart"/>
      <w:r w:rsidR="00E67395" w:rsidRPr="00242A9E">
        <w:t>ie</w:t>
      </w:r>
      <w:proofErr w:type="spellEnd"/>
      <w:r w:rsidR="00E67395" w:rsidRPr="00242A9E">
        <w:t xml:space="preserve"> pre-payments)</w:t>
      </w:r>
    </w:p>
    <w:p w14:paraId="4ABB71E0" w14:textId="65BD0663" w:rsidR="00E67395" w:rsidRPr="00242A9E" w:rsidRDefault="00E67395" w:rsidP="001F3231">
      <w:pPr>
        <w:pStyle w:val="Bullets1stindent"/>
        <w:numPr>
          <w:ilvl w:val="0"/>
          <w:numId w:val="16"/>
        </w:numPr>
        <w:shd w:val="clear" w:color="auto" w:fill="B4B5DF"/>
        <w:ind w:left="426" w:hanging="426"/>
      </w:pPr>
      <w:r>
        <w:t>s</w:t>
      </w:r>
      <w:r w:rsidRPr="00242A9E">
        <w:t>alary sacrifice services provided to employees</w:t>
      </w:r>
    </w:p>
    <w:p w14:paraId="140C6F4D" w14:textId="48E8BC7B" w:rsidR="00E67395" w:rsidRPr="00242A9E" w:rsidRDefault="00E67395" w:rsidP="001F3231">
      <w:pPr>
        <w:pStyle w:val="Bullets1stindent"/>
        <w:numPr>
          <w:ilvl w:val="0"/>
          <w:numId w:val="16"/>
        </w:numPr>
        <w:shd w:val="clear" w:color="auto" w:fill="B4B5DF"/>
        <w:ind w:left="426" w:hanging="426"/>
      </w:pPr>
      <w:r>
        <w:t>s</w:t>
      </w:r>
      <w:r w:rsidRPr="00242A9E">
        <w:t>elling or hiring out goods (including under a lease)</w:t>
      </w:r>
    </w:p>
    <w:p w14:paraId="3C16970B" w14:textId="24461083" w:rsidR="00E67395" w:rsidRPr="00242A9E" w:rsidRDefault="00E67395" w:rsidP="001F3231">
      <w:pPr>
        <w:pStyle w:val="Bullets1stindent"/>
        <w:numPr>
          <w:ilvl w:val="0"/>
          <w:numId w:val="16"/>
        </w:numPr>
        <w:shd w:val="clear" w:color="auto" w:fill="B4B5DF"/>
        <w:ind w:left="426" w:hanging="426"/>
      </w:pPr>
      <w:r>
        <w:t>s</w:t>
      </w:r>
      <w:r w:rsidRPr="00242A9E">
        <w:t>ub-leasing (</w:t>
      </w:r>
      <w:proofErr w:type="spellStart"/>
      <w:r w:rsidRPr="00242A9E">
        <w:t>eg</w:t>
      </w:r>
      <w:proofErr w:type="spellEnd"/>
      <w:r w:rsidRPr="00242A9E">
        <w:t xml:space="preserve"> a building)</w:t>
      </w:r>
    </w:p>
    <w:p w14:paraId="49AD5211" w14:textId="1CCE50CF" w:rsidR="00E67395" w:rsidRPr="00242A9E" w:rsidRDefault="00E67395" w:rsidP="001F3231">
      <w:pPr>
        <w:pStyle w:val="Bullets1stindent"/>
        <w:numPr>
          <w:ilvl w:val="0"/>
          <w:numId w:val="16"/>
        </w:numPr>
        <w:shd w:val="clear" w:color="auto" w:fill="B4B5DF"/>
        <w:ind w:left="426" w:hanging="426"/>
      </w:pPr>
      <w:r>
        <w:t>c</w:t>
      </w:r>
      <w:r w:rsidRPr="00242A9E">
        <w:t>ar parking provided to employ</w:t>
      </w:r>
      <w:r>
        <w:t>ees, consultants or contractors</w:t>
      </w:r>
    </w:p>
    <w:p w14:paraId="1932448C" w14:textId="640BD54B" w:rsidR="00E67395" w:rsidRPr="00CB3509" w:rsidRDefault="00E67395" w:rsidP="001F3231">
      <w:pPr>
        <w:pStyle w:val="Bullets1stindent"/>
        <w:numPr>
          <w:ilvl w:val="0"/>
          <w:numId w:val="16"/>
        </w:numPr>
        <w:shd w:val="clear" w:color="auto" w:fill="B4B5DF"/>
        <w:ind w:left="426" w:hanging="426"/>
      </w:pPr>
      <w:r w:rsidRPr="00CB3509">
        <w:t>workers compensation to be paid to employees (</w:t>
      </w:r>
      <w:proofErr w:type="spellStart"/>
      <w:r w:rsidRPr="00CB3509">
        <w:t>eg</w:t>
      </w:r>
      <w:proofErr w:type="spellEnd"/>
      <w:r w:rsidRPr="00CB3509">
        <w:t xml:space="preserve"> amounts from </w:t>
      </w:r>
      <w:proofErr w:type="spellStart"/>
      <w:r w:rsidRPr="00CB3509">
        <w:t>Comcare</w:t>
      </w:r>
      <w:proofErr w:type="spellEnd"/>
      <w:r w:rsidRPr="00CB3509">
        <w:t>)</w:t>
      </w:r>
    </w:p>
    <w:p w14:paraId="1A088A0F" w14:textId="249234C8" w:rsidR="00E67395" w:rsidRPr="00CB3509" w:rsidRDefault="00E67395" w:rsidP="000F657E">
      <w:pPr>
        <w:pStyle w:val="Bullets1stindent"/>
        <w:numPr>
          <w:ilvl w:val="0"/>
          <w:numId w:val="16"/>
        </w:numPr>
        <w:shd w:val="clear" w:color="auto" w:fill="B4B5DF"/>
        <w:ind w:left="426" w:hanging="426"/>
      </w:pPr>
      <w:r w:rsidRPr="00CB3509">
        <w:t>services provided to another entity (</w:t>
      </w:r>
      <w:proofErr w:type="spellStart"/>
      <w:r w:rsidRPr="00CB3509">
        <w:t>eg</w:t>
      </w:r>
      <w:proofErr w:type="spellEnd"/>
      <w:r w:rsidRPr="00CB3509">
        <w:t xml:space="preserve"> providing human resource services to another</w:t>
      </w:r>
      <w:r w:rsidR="00CB3509" w:rsidRPr="00CB3509">
        <w:t xml:space="preserve"> </w:t>
      </w:r>
      <w:r w:rsidRPr="00CB3509">
        <w:t>entity, staff seconded to another entity or staff presenting at another entity’s seminar)</w:t>
      </w:r>
    </w:p>
    <w:p w14:paraId="54A5233C" w14:textId="53BA9B37" w:rsidR="00E67395" w:rsidRPr="00242A9E" w:rsidRDefault="00E67395" w:rsidP="001F3231">
      <w:pPr>
        <w:pStyle w:val="Bullets1stindent"/>
        <w:numPr>
          <w:ilvl w:val="0"/>
          <w:numId w:val="16"/>
        </w:numPr>
        <w:shd w:val="clear" w:color="auto" w:fill="B4B5DF"/>
        <w:ind w:left="426" w:hanging="426"/>
      </w:pPr>
      <w:r>
        <w:t>s</w:t>
      </w:r>
      <w:r w:rsidRPr="00242A9E">
        <w:t>taff to attend jury duty (amounts received either from a court or from an em</w:t>
      </w:r>
      <w:r>
        <w:t xml:space="preserve">ployee who </w:t>
      </w:r>
      <w:r w:rsidRPr="00242A9E">
        <w:t>was paid by a court)</w:t>
      </w:r>
    </w:p>
    <w:p w14:paraId="5E45A111" w14:textId="7B23FCC0" w:rsidR="00E67395" w:rsidRPr="00242A9E" w:rsidRDefault="00E67395" w:rsidP="001F3231">
      <w:pPr>
        <w:pStyle w:val="Bullets1stindent"/>
        <w:numPr>
          <w:ilvl w:val="0"/>
          <w:numId w:val="16"/>
        </w:numPr>
        <w:shd w:val="clear" w:color="auto" w:fill="B4B5DF"/>
        <w:ind w:left="426" w:hanging="426"/>
      </w:pPr>
      <w:r>
        <w:t>c</w:t>
      </w:r>
      <w:r w:rsidRPr="00242A9E">
        <w:t>onducting litigation or dispute resolution</w:t>
      </w:r>
    </w:p>
    <w:p w14:paraId="3040F513" w14:textId="346242E6" w:rsidR="00E67395" w:rsidRPr="00242A9E" w:rsidRDefault="00E67395" w:rsidP="001F3231">
      <w:pPr>
        <w:pStyle w:val="Bullets1stindent"/>
        <w:numPr>
          <w:ilvl w:val="0"/>
          <w:numId w:val="16"/>
        </w:numPr>
        <w:shd w:val="clear" w:color="auto" w:fill="B4B5DF"/>
        <w:ind w:left="426" w:hanging="426"/>
      </w:pPr>
      <w:proofErr w:type="gramStart"/>
      <w:r>
        <w:t>i</w:t>
      </w:r>
      <w:r w:rsidRPr="00242A9E">
        <w:t>nvesting</w:t>
      </w:r>
      <w:proofErr w:type="gramEnd"/>
      <w:r w:rsidRPr="00242A9E">
        <w:t>, as permitted by the Minister for Finance (Finance Minister)</w:t>
      </w:r>
      <w:r>
        <w:t xml:space="preserve"> under a delegation </w:t>
      </w:r>
      <w:r w:rsidRPr="00242A9E">
        <w:t xml:space="preserve">of authority in the </w:t>
      </w:r>
      <w:hyperlink r:id="rId32" w:history="1">
        <w:r w:rsidRPr="00242A9E">
          <w:t>PGPA Act</w:t>
        </w:r>
      </w:hyperlink>
      <w:r w:rsidRPr="00242A9E">
        <w:t>.</w:t>
      </w:r>
    </w:p>
    <w:p w14:paraId="38023859" w14:textId="77777777" w:rsidR="00C80EA3" w:rsidRPr="00C80EA3" w:rsidRDefault="00C80EA3" w:rsidP="00C80EA3">
      <w:pPr>
        <w:pStyle w:val="NumberedList1"/>
      </w:pPr>
      <w:r w:rsidRPr="00C80EA3">
        <w:t xml:space="preserve">This provision is not limited to a single financial year. An entity may collect prepayments in anticipation of future costs that they may offset, even if those costs occur in a different financial year, due to timing issues. Conversely, an entity may make payments and then collect the offsetting receipts in a different financial year, due to timing issues. </w:t>
      </w:r>
    </w:p>
    <w:p w14:paraId="48388DA4" w14:textId="45D9BB11" w:rsidR="00C80EA3" w:rsidRPr="00C80EA3" w:rsidRDefault="00C80EA3" w:rsidP="00C80EA3">
      <w:pPr>
        <w:pStyle w:val="NumberedList1"/>
      </w:pPr>
      <w:r w:rsidRPr="00C80EA3">
        <w:t>O</w:t>
      </w:r>
      <w:r>
        <w:t>nce a</w:t>
      </w:r>
      <w:r w:rsidRPr="00C80EA3">
        <w:t xml:space="preserve"> receipt is credited to the most recent departmental item,</w:t>
      </w:r>
      <w:r>
        <w:t xml:space="preserve"> it</w:t>
      </w:r>
      <w:r w:rsidRPr="00C80EA3">
        <w:t xml:space="preserve"> forms part of the departmental appropriation item and </w:t>
      </w:r>
      <w:r w:rsidRPr="000F657E">
        <w:t xml:space="preserve">therefore lapses after three </w:t>
      </w:r>
      <w:r w:rsidRPr="00A201B8">
        <w:t>years</w:t>
      </w:r>
      <w:r w:rsidRPr="00C80EA3">
        <w:t xml:space="preserve">. </w:t>
      </w:r>
      <w:r w:rsidR="000F657E">
        <w:t>Amounts in excess of costs cannot be retained</w:t>
      </w:r>
      <w:r w:rsidR="009D77E2">
        <w:t xml:space="preserve"> and must either be remitted to the Official Public Account as general government revenue (administered receipt) or repaid to the client where appropriate</w:t>
      </w:r>
      <w:r w:rsidR="000F657E">
        <w:t xml:space="preserve">. Also see </w:t>
      </w:r>
      <w:hyperlink w:anchor="Excessreceipts" w:history="1">
        <w:r w:rsidR="000F657E" w:rsidRPr="00F34FEB">
          <w:rPr>
            <w:rStyle w:val="Hyperlink"/>
            <w:i w:val="0"/>
          </w:rPr>
          <w:t>Receipts in excess of costs</w:t>
        </w:r>
      </w:hyperlink>
      <w:r w:rsidR="000F657E">
        <w:rPr>
          <w:rStyle w:val="Hyperlink"/>
          <w:i w:val="0"/>
        </w:rPr>
        <w:t>.</w:t>
      </w:r>
    </w:p>
    <w:p w14:paraId="4616970B" w14:textId="48CFE406" w:rsidR="00EC7A06" w:rsidRDefault="00EC7A06" w:rsidP="00D25200">
      <w:pPr>
        <w:pStyle w:val="Heading3"/>
      </w:pPr>
      <w:bookmarkStart w:id="42" w:name="_Toc46302448"/>
      <w:r w:rsidRPr="000F657E">
        <w:lastRenderedPageBreak/>
        <w:t>Joint delivery of Commonwealth outcomes</w:t>
      </w:r>
      <w:bookmarkEnd w:id="42"/>
    </w:p>
    <w:p w14:paraId="6C1E3D4D" w14:textId="77777777" w:rsidR="00340E3F" w:rsidRDefault="00EC7A06" w:rsidP="00EC7A06">
      <w:pPr>
        <w:pStyle w:val="NumberedList1"/>
      </w:pPr>
      <w:r w:rsidRPr="00C1364C">
        <w:t xml:space="preserve">Section 17 of the </w:t>
      </w:r>
      <w:hyperlink r:id="rId33" w:history="1">
        <w:r w:rsidRPr="00160E1A">
          <w:rPr>
            <w:rStyle w:val="Hyperlink"/>
            <w:i w:val="0"/>
          </w:rPr>
          <w:t>PGPA Act</w:t>
        </w:r>
      </w:hyperlink>
      <w:r w:rsidRPr="00C1364C">
        <w:t xml:space="preserve"> requires accountable authorities to encourage officials to cooperate with other bodies to achieve common objectives. </w:t>
      </w:r>
    </w:p>
    <w:p w14:paraId="64DC593A" w14:textId="5273AAF4" w:rsidR="00340E3F" w:rsidRDefault="00EC7A06" w:rsidP="00340E3F">
      <w:pPr>
        <w:pStyle w:val="NumberedList1"/>
      </w:pPr>
      <w:r>
        <w:t>T</w:t>
      </w:r>
      <w:r w:rsidRPr="00C1364C">
        <w:t>o achieve econo</w:t>
      </w:r>
      <w:r>
        <w:t>mies of scale in the delivery of</w:t>
      </w:r>
      <w:r w:rsidRPr="00C1364C">
        <w:t xml:space="preserve"> Commonwealth outcomes</w:t>
      </w:r>
      <w:r>
        <w:t>,</w:t>
      </w:r>
      <w:r w:rsidR="00340E3F">
        <w:t xml:space="preserve"> NCEs may agree to co-</w:t>
      </w:r>
      <w:r w:rsidRPr="00C1364C">
        <w:t>manage certain activities</w:t>
      </w:r>
      <w:r>
        <w:t>. Such</w:t>
      </w:r>
      <w:r w:rsidRPr="00C1364C">
        <w:t xml:space="preserve"> arrangements are typically set</w:t>
      </w:r>
      <w:r>
        <w:t xml:space="preserve"> out in a service agreement or memorandum of understanding (</w:t>
      </w:r>
      <w:proofErr w:type="spellStart"/>
      <w:r>
        <w:t>eg</w:t>
      </w:r>
      <w:proofErr w:type="spellEnd"/>
      <w:r>
        <w:t xml:space="preserve"> </w:t>
      </w:r>
      <w:r w:rsidRPr="00C1364C">
        <w:t>a shared services agreement</w:t>
      </w:r>
      <w:r>
        <w:t>)</w:t>
      </w:r>
      <w:r w:rsidRPr="00C1364C">
        <w:t>. A key element of such arrangem</w:t>
      </w:r>
      <w:r w:rsidR="00340E3F">
        <w:t>ents is the division of funding</w:t>
      </w:r>
      <w:r w:rsidRPr="00C1364C">
        <w:t xml:space="preserve"> and whether some NCEs will pay others for </w:t>
      </w:r>
      <w:r w:rsidR="00340E3F">
        <w:t xml:space="preserve">the </w:t>
      </w:r>
      <w:r w:rsidRPr="00C1364C">
        <w:t xml:space="preserve">delivery of some goods and services for the group’s benefit. </w:t>
      </w:r>
    </w:p>
    <w:p w14:paraId="64679054" w14:textId="77777777" w:rsidR="00F34FEB" w:rsidRDefault="00EC7A06" w:rsidP="00340E3F">
      <w:pPr>
        <w:pStyle w:val="NumberedList1"/>
      </w:pPr>
      <w:r w:rsidRPr="00C1364C">
        <w:t>Th</w:t>
      </w:r>
      <w:r w:rsidR="00FF727F">
        <w:t xml:space="preserve">e receiving NCE would use </w:t>
      </w:r>
      <w:r w:rsidR="0003284C">
        <w:t>Item 1</w:t>
      </w:r>
      <w:r w:rsidR="00E00350">
        <w:t xml:space="preserve"> of subsection 27(2) of the </w:t>
      </w:r>
      <w:hyperlink r:id="rId34" w:history="1">
        <w:r w:rsidR="00E00350" w:rsidRPr="00A81DAC">
          <w:rPr>
            <w:rStyle w:val="Hyperlink"/>
            <w:bCs w:val="0"/>
            <w:i w:val="0"/>
          </w:rPr>
          <w:t>PGPA Rule</w:t>
        </w:r>
      </w:hyperlink>
      <w:r w:rsidR="0003284C">
        <w:t xml:space="preserve"> </w:t>
      </w:r>
      <w:r w:rsidRPr="00C1364C">
        <w:t>to retain and pool the contributions from other NCEs.</w:t>
      </w:r>
      <w:r w:rsidR="00340E3F">
        <w:t xml:space="preserve"> </w:t>
      </w:r>
    </w:p>
    <w:p w14:paraId="0E2EDD15" w14:textId="5A6AC650" w:rsidR="00F34FEB" w:rsidRDefault="00340E3F" w:rsidP="00F34FEB">
      <w:pPr>
        <w:pStyle w:val="NumberedList1"/>
      </w:pPr>
      <w:r>
        <w:t xml:space="preserve">Entities can only retain </w:t>
      </w:r>
      <w:r w:rsidRPr="001B5B09">
        <w:t>costs of providing goods or services</w:t>
      </w:r>
      <w:r>
        <w:t xml:space="preserve"> as agreed with client entities.</w:t>
      </w:r>
      <w:r w:rsidR="00F34FEB">
        <w:t xml:space="preserve"> </w:t>
      </w:r>
      <w:r>
        <w:t xml:space="preserve">NCEs need to </w:t>
      </w:r>
      <w:r w:rsidRPr="00C1364C">
        <w:t>demonstrate that they have reasonably considered the costs of delivering the</w:t>
      </w:r>
      <w:r>
        <w:t xml:space="preserve"> activity (</w:t>
      </w:r>
      <w:proofErr w:type="spellStart"/>
      <w:r>
        <w:t>eg</w:t>
      </w:r>
      <w:proofErr w:type="spellEnd"/>
      <w:r>
        <w:t xml:space="preserve"> by </w:t>
      </w:r>
      <w:r w:rsidRPr="00C1364C">
        <w:t>refer</w:t>
      </w:r>
      <w:r>
        <w:t>ring</w:t>
      </w:r>
      <w:r w:rsidRPr="00C1364C">
        <w:t xml:space="preserve"> to costings agreed with Finance, which inform the related government decisions that provided the policy authority to charge</w:t>
      </w:r>
      <w:r>
        <w:t xml:space="preserve">). </w:t>
      </w:r>
      <w:r w:rsidR="00627C87">
        <w:t>E</w:t>
      </w:r>
      <w:r w:rsidR="003364DE" w:rsidRPr="001B5B09">
        <w:t>ntities should not recover costs unrelated to the provision of agreed goods and services</w:t>
      </w:r>
      <w:r w:rsidR="003E6739">
        <w:t>.</w:t>
      </w:r>
      <w:r w:rsidR="00F34FEB">
        <w:t xml:space="preserve"> Also see </w:t>
      </w:r>
      <w:hyperlink w:anchor="Excessreceipts" w:history="1">
        <w:r w:rsidR="00F34FEB" w:rsidRPr="00F34FEB">
          <w:rPr>
            <w:rStyle w:val="Hyperlink"/>
            <w:i w:val="0"/>
          </w:rPr>
          <w:t>Receipts in excess of costs</w:t>
        </w:r>
      </w:hyperlink>
      <w:r w:rsidR="00F34FEB">
        <w:t>.</w:t>
      </w:r>
    </w:p>
    <w:p w14:paraId="107DB9BA" w14:textId="52089E92" w:rsidR="009427BE" w:rsidRPr="000F657E" w:rsidRDefault="00F34FEB" w:rsidP="00F34FEB">
      <w:pPr>
        <w:pStyle w:val="NumberedList1"/>
      </w:pPr>
      <w:r>
        <w:t xml:space="preserve">For </w:t>
      </w:r>
      <w:r w:rsidRPr="000F657E">
        <w:t xml:space="preserve">more information, </w:t>
      </w:r>
      <w:r w:rsidR="009427BE" w:rsidRPr="000F657E">
        <w:t xml:space="preserve">contact Finance </w:t>
      </w:r>
      <w:hyperlink r:id="rId35" w:history="1">
        <w:r w:rsidR="009427BE" w:rsidRPr="000F657E">
          <w:rPr>
            <w:rStyle w:val="Hyperlink"/>
            <w:i w:val="0"/>
          </w:rPr>
          <w:t>Special Appropriations</w:t>
        </w:r>
        <w:r w:rsidRPr="000F657E">
          <w:rPr>
            <w:rStyle w:val="Hyperlink"/>
            <w:i w:val="0"/>
          </w:rPr>
          <w:t xml:space="preserve"> Team</w:t>
        </w:r>
      </w:hyperlink>
      <w:r w:rsidR="009427BE" w:rsidRPr="000F657E">
        <w:t>.</w:t>
      </w:r>
    </w:p>
    <w:p w14:paraId="2FB82261" w14:textId="04F699DF" w:rsidR="00775FFC" w:rsidRPr="000F657E" w:rsidRDefault="00775FFC" w:rsidP="00775FFC">
      <w:pPr>
        <w:pStyle w:val="Heading3"/>
      </w:pPr>
      <w:bookmarkStart w:id="43" w:name="_Toc46302449"/>
      <w:r w:rsidRPr="000F657E">
        <w:t>Prepayments</w:t>
      </w:r>
      <w:bookmarkEnd w:id="43"/>
    </w:p>
    <w:p w14:paraId="46D00DE5" w14:textId="77777777" w:rsidR="00F34FEB" w:rsidRPr="000F657E" w:rsidRDefault="009E6BBA" w:rsidP="009E6BBA">
      <w:pPr>
        <w:pStyle w:val="NumberedList1"/>
      </w:pPr>
      <w:r w:rsidRPr="000F657E">
        <w:t xml:space="preserve">Prepayments are amounts received in advance of delivering a related good or service. </w:t>
      </w:r>
    </w:p>
    <w:p w14:paraId="3CA1FA8E" w14:textId="77D523EC" w:rsidR="009E6BBA" w:rsidRPr="000F657E" w:rsidRDefault="009E6BBA" w:rsidP="009E6BBA">
      <w:pPr>
        <w:pStyle w:val="NumberedList1"/>
      </w:pPr>
      <w:r w:rsidRPr="000F657E">
        <w:t>Prepayments made to an NCE by another party that are departmental in nature, can be retained under</w:t>
      </w:r>
      <w:r w:rsidR="0003284C" w:rsidRPr="000F657E">
        <w:t xml:space="preserve"> Item 1</w:t>
      </w:r>
      <w:r w:rsidR="00E00350" w:rsidRPr="000F657E">
        <w:t xml:space="preserve"> of subsection 27(2) of the </w:t>
      </w:r>
      <w:hyperlink r:id="rId36" w:history="1">
        <w:r w:rsidR="00E00350" w:rsidRPr="000F657E">
          <w:rPr>
            <w:rStyle w:val="Hyperlink"/>
            <w:bCs w:val="0"/>
            <w:i w:val="0"/>
          </w:rPr>
          <w:t>PGPA Rule</w:t>
        </w:r>
      </w:hyperlink>
      <w:r w:rsidRPr="000F657E">
        <w:t>.</w:t>
      </w:r>
    </w:p>
    <w:p w14:paraId="379E27AB" w14:textId="4CED0864" w:rsidR="009E6BBA" w:rsidRPr="000F657E" w:rsidRDefault="009E6BBA" w:rsidP="009E6BBA">
      <w:pPr>
        <w:pStyle w:val="NumberedList1"/>
      </w:pPr>
      <w:r w:rsidRPr="000F657E">
        <w:t>Nevertheless, an NCE may only accept such a prepayment if the accountable authority (or delegate) decides that it is in the best interest of the Commonwealth (as a whole) to do so. Otherwise, receipts should only be received in the financial year in which the good or service was delivered by the NCE.</w:t>
      </w:r>
    </w:p>
    <w:p w14:paraId="713C721B" w14:textId="67239B7E" w:rsidR="003364DE" w:rsidRPr="000F657E" w:rsidRDefault="003364DE" w:rsidP="001F4981">
      <w:pPr>
        <w:pStyle w:val="Heading2Numbered"/>
        <w:numPr>
          <w:ilvl w:val="0"/>
          <w:numId w:val="0"/>
        </w:numPr>
        <w:rPr>
          <w:rFonts w:eastAsia="Times New Roman"/>
          <w:lang w:val="en" w:eastAsia="en-AU"/>
        </w:rPr>
      </w:pPr>
      <w:bookmarkStart w:id="44" w:name="SponsorshipsBequests"/>
      <w:bookmarkStart w:id="45" w:name="_Toc46302450"/>
      <w:r w:rsidRPr="000F657E">
        <w:rPr>
          <w:rFonts w:eastAsia="Times New Roman"/>
          <w:lang w:val="en" w:eastAsia="en-AU"/>
        </w:rPr>
        <w:t>Sponsorships, subsidies, gifts, bequests or simila</w:t>
      </w:r>
      <w:r w:rsidR="00E00350" w:rsidRPr="000F657E">
        <w:rPr>
          <w:rFonts w:eastAsia="Times New Roman"/>
          <w:lang w:val="en" w:eastAsia="en-AU"/>
        </w:rPr>
        <w:t>r</w:t>
      </w:r>
      <w:bookmarkEnd w:id="45"/>
      <w:r w:rsidRPr="000F657E">
        <w:rPr>
          <w:rFonts w:eastAsia="Times New Roman"/>
          <w:lang w:val="en" w:eastAsia="en-AU"/>
        </w:rPr>
        <w:t xml:space="preserve"> </w:t>
      </w:r>
    </w:p>
    <w:bookmarkEnd w:id="44"/>
    <w:p w14:paraId="7942D746" w14:textId="1A79F483" w:rsidR="00F34FEB" w:rsidRDefault="003364DE" w:rsidP="003364DE">
      <w:pPr>
        <w:pStyle w:val="NumberedList1"/>
      </w:pPr>
      <w:r w:rsidRPr="000F657E">
        <w:t xml:space="preserve">Item 2 of subsection 27(2) of the </w:t>
      </w:r>
      <w:hyperlink r:id="rId37" w:history="1">
        <w:r w:rsidRPr="000F657E">
          <w:rPr>
            <w:rStyle w:val="Hyperlink"/>
            <w:bCs w:val="0"/>
            <w:i w:val="0"/>
          </w:rPr>
          <w:t>PGPA Rule</w:t>
        </w:r>
      </w:hyperlink>
      <w:r w:rsidR="007C67E9" w:rsidRPr="000F657E">
        <w:t xml:space="preserve"> enables NCEs to retain</w:t>
      </w:r>
      <w:r w:rsidRPr="000F657E">
        <w:t xml:space="preserve"> monetary sponsorships, subsidies</w:t>
      </w:r>
      <w:r w:rsidRPr="00C1364C">
        <w:t>, gifts, bequest</w:t>
      </w:r>
      <w:r>
        <w:t>s or similar contributions (</w:t>
      </w:r>
      <w:proofErr w:type="spellStart"/>
      <w:r>
        <w:t>ie</w:t>
      </w:r>
      <w:proofErr w:type="spellEnd"/>
      <w:r w:rsidRPr="00C1364C">
        <w:t xml:space="preserve"> receipts that involve no reciprocity and no consideration on the part of the Commonwealth).</w:t>
      </w:r>
    </w:p>
    <w:p w14:paraId="3DBC8439" w14:textId="77777777" w:rsidR="00F34FEB" w:rsidRPr="00C1364C" w:rsidRDefault="00F34FEB" w:rsidP="00F34FEB">
      <w:pPr>
        <w:pStyle w:val="NumberedList1"/>
      </w:pPr>
      <w:r w:rsidRPr="00C1364C">
        <w:t>Receipts cannot be retain</w:t>
      </w:r>
      <w:r>
        <w:t xml:space="preserve">ed under </w:t>
      </w:r>
      <w:r w:rsidRPr="00C1364C">
        <w:t>Item 2</w:t>
      </w:r>
      <w:r>
        <w:t xml:space="preserve"> </w:t>
      </w:r>
      <w:r w:rsidRPr="00C1364C">
        <w:t xml:space="preserve">if they were received: </w:t>
      </w:r>
    </w:p>
    <w:p w14:paraId="042948E4" w14:textId="77777777" w:rsidR="00F34FEB" w:rsidRPr="00C1364C" w:rsidRDefault="00F34FEB" w:rsidP="00F34FEB">
      <w:pPr>
        <w:pStyle w:val="Bullet1"/>
        <w:rPr>
          <w:lang w:val="en" w:eastAsia="en-AU"/>
        </w:rPr>
      </w:pPr>
      <w:r w:rsidRPr="00C1364C">
        <w:rPr>
          <w:lang w:val="en" w:eastAsia="en-AU"/>
        </w:rPr>
        <w:t>without an express purpose of contributing to th</w:t>
      </w:r>
      <w:r>
        <w:rPr>
          <w:lang w:val="en" w:eastAsia="en-AU"/>
        </w:rPr>
        <w:t>e NCE’s departmental activities</w:t>
      </w:r>
    </w:p>
    <w:p w14:paraId="3EDDFF90" w14:textId="77777777" w:rsidR="00F34FEB" w:rsidRPr="00C1364C" w:rsidRDefault="00F34FEB" w:rsidP="00F34FEB">
      <w:pPr>
        <w:pStyle w:val="Bullet1"/>
        <w:rPr>
          <w:lang w:val="en" w:eastAsia="en-AU"/>
        </w:rPr>
      </w:pPr>
      <w:r w:rsidRPr="00FE29C0">
        <w:rPr>
          <w:lang w:val="en" w:eastAsia="en-AU"/>
        </w:rPr>
        <w:t>from another NCE</w:t>
      </w:r>
      <w:r w:rsidRPr="00C1364C">
        <w:rPr>
          <w:lang w:val="en" w:eastAsia="en-AU"/>
        </w:rPr>
        <w:t xml:space="preserve"> (NCEs cannot provide each other with monetary sponsorships, gifts, bequests or similar contributions, or subsidies other than government subsidies offered</w:t>
      </w:r>
      <w:r>
        <w:rPr>
          <w:lang w:val="en" w:eastAsia="en-AU"/>
        </w:rPr>
        <w:t xml:space="preserve"> to all Australian entities)</w:t>
      </w:r>
    </w:p>
    <w:p w14:paraId="65A1FBA5" w14:textId="77777777" w:rsidR="00F34FEB" w:rsidRPr="00C1364C" w:rsidRDefault="00F34FEB" w:rsidP="00F34FEB">
      <w:pPr>
        <w:pStyle w:val="Bullet1"/>
        <w:rPr>
          <w:lang w:val="en" w:eastAsia="en-AU"/>
        </w:rPr>
      </w:pPr>
      <w:proofErr w:type="gramStart"/>
      <w:r w:rsidRPr="00C1364C">
        <w:rPr>
          <w:lang w:val="en" w:eastAsia="en-AU"/>
        </w:rPr>
        <w:t>for</w:t>
      </w:r>
      <w:proofErr w:type="gramEnd"/>
      <w:r w:rsidRPr="00C1364C">
        <w:rPr>
          <w:lang w:val="en" w:eastAsia="en-AU"/>
        </w:rPr>
        <w:t xml:space="preserve"> activities that have already been </w:t>
      </w:r>
      <w:r w:rsidRPr="00D94E36">
        <w:rPr>
          <w:lang w:val="en" w:eastAsia="en-AU"/>
        </w:rPr>
        <w:t>appropriated funding</w:t>
      </w:r>
      <w:r w:rsidRPr="00C1364C">
        <w:rPr>
          <w:lang w:val="en" w:eastAsia="en-AU"/>
        </w:rPr>
        <w:t xml:space="preserve"> (</w:t>
      </w:r>
      <w:r>
        <w:rPr>
          <w:lang w:val="en" w:eastAsia="en-AU"/>
        </w:rPr>
        <w:t xml:space="preserve">see </w:t>
      </w:r>
      <w:r w:rsidRPr="00C1364C">
        <w:rPr>
          <w:lang w:val="en" w:eastAsia="en-AU"/>
        </w:rPr>
        <w:t xml:space="preserve">subsection 27(6) of the </w:t>
      </w:r>
      <w:hyperlink r:id="rId38" w:history="1">
        <w:r w:rsidRPr="00A81DAC">
          <w:rPr>
            <w:rStyle w:val="Hyperlink"/>
            <w:bCs/>
            <w:i w:val="0"/>
            <w:lang w:val="en" w:eastAsia="en-AU"/>
          </w:rPr>
          <w:t>PGPA Rule</w:t>
        </w:r>
      </w:hyperlink>
      <w:r w:rsidRPr="00C1364C">
        <w:rPr>
          <w:lang w:val="en" w:eastAsia="en-AU"/>
        </w:rPr>
        <w:t>).</w:t>
      </w:r>
    </w:p>
    <w:p w14:paraId="07E03355" w14:textId="77777777" w:rsidR="00F34FEB" w:rsidRDefault="003364DE" w:rsidP="00F34FEB">
      <w:pPr>
        <w:pStyle w:val="NumberedList1"/>
        <w:numPr>
          <w:ilvl w:val="0"/>
          <w:numId w:val="0"/>
        </w:numPr>
        <w:ind w:left="425" w:hanging="425"/>
      </w:pPr>
      <w:r w:rsidRPr="00C1364C">
        <w:t xml:space="preserve"> </w:t>
      </w:r>
    </w:p>
    <w:p w14:paraId="5F581D6D" w14:textId="6A38C7F4" w:rsidR="00E67395" w:rsidRPr="00C1364C" w:rsidRDefault="00E67395" w:rsidP="00A10080">
      <w:pPr>
        <w:pStyle w:val="Extracttitle"/>
        <w:spacing w:before="240" w:line="276" w:lineRule="auto"/>
        <w:ind w:left="0" w:firstLine="77"/>
      </w:pPr>
      <w:r w:rsidRPr="00C1364C">
        <w:lastRenderedPageBreak/>
        <w:t>Examples</w:t>
      </w:r>
      <w:r>
        <w:t xml:space="preserve"> - </w:t>
      </w:r>
      <w:r w:rsidRPr="00C1364C">
        <w:t>It</w:t>
      </w:r>
      <w:r>
        <w:t>em 2</w:t>
      </w:r>
      <w:r w:rsidR="00645EBD">
        <w:t xml:space="preserve"> retainable</w:t>
      </w:r>
      <w:r>
        <w:t xml:space="preserve"> receipts</w:t>
      </w:r>
      <w:r w:rsidRPr="00C1364C">
        <w:t xml:space="preserve"> </w:t>
      </w:r>
    </w:p>
    <w:p w14:paraId="526DBBCF" w14:textId="2CD1C8D9" w:rsidR="00E67395" w:rsidRDefault="00E67395" w:rsidP="00A10080">
      <w:pPr>
        <w:pStyle w:val="Bullets1stindent"/>
        <w:numPr>
          <w:ilvl w:val="0"/>
          <w:numId w:val="0"/>
        </w:numPr>
        <w:shd w:val="clear" w:color="auto" w:fill="B4B5DF"/>
      </w:pPr>
      <w:r>
        <w:t>Item 2 includes amounts received for:</w:t>
      </w:r>
    </w:p>
    <w:p w14:paraId="5A1B779D" w14:textId="77777777" w:rsidR="00E67395" w:rsidRPr="00B00854" w:rsidRDefault="00E67395" w:rsidP="001F3231">
      <w:pPr>
        <w:pStyle w:val="Bullets1stindent"/>
        <w:numPr>
          <w:ilvl w:val="0"/>
          <w:numId w:val="16"/>
        </w:numPr>
        <w:shd w:val="clear" w:color="auto" w:fill="B4B5DF"/>
        <w:ind w:left="426" w:hanging="426"/>
      </w:pPr>
      <w:r>
        <w:t>c</w:t>
      </w:r>
      <w:r w:rsidRPr="00B00854">
        <w:t>ash (as distinct from goods) received from sponsors for an NCE to run a seminar or for an NCE to participate in a trade show</w:t>
      </w:r>
    </w:p>
    <w:p w14:paraId="51CE99BB" w14:textId="2E6FD3E4" w:rsidR="00E67395" w:rsidRPr="00B00854" w:rsidRDefault="00E67395" w:rsidP="001F3231">
      <w:pPr>
        <w:pStyle w:val="Bullets1stindent"/>
        <w:numPr>
          <w:ilvl w:val="0"/>
          <w:numId w:val="16"/>
        </w:numPr>
        <w:shd w:val="clear" w:color="auto" w:fill="B4B5DF"/>
        <w:ind w:left="426" w:hanging="426"/>
      </w:pPr>
      <w:r>
        <w:t>e</w:t>
      </w:r>
      <w:r w:rsidRPr="00B00854">
        <w:t>mployment subsidies (</w:t>
      </w:r>
      <w:proofErr w:type="spellStart"/>
      <w:r w:rsidRPr="00B00854">
        <w:t>eg</w:t>
      </w:r>
      <w:proofErr w:type="spellEnd"/>
      <w:r w:rsidRPr="00B00854">
        <w:t xml:space="preserve"> a monetary subsidy or incentive for staff of an NCE to participate in a program that encourages the engagement of particular groups of people, such as staff involved in national security activit</w:t>
      </w:r>
      <w:r w:rsidR="00FF727F">
        <w:t xml:space="preserve">ies, </w:t>
      </w:r>
      <w:hyperlink r:id="rId39" w:history="1">
        <w:proofErr w:type="spellStart"/>
        <w:r w:rsidR="00FF727F" w:rsidRPr="000C32F3">
          <w:rPr>
            <w:rStyle w:val="Hyperlink"/>
            <w:i w:val="0"/>
            <w:lang w:val="en" w:eastAsia="en-AU"/>
          </w:rPr>
          <w:t>Defence</w:t>
        </w:r>
        <w:proofErr w:type="spellEnd"/>
        <w:r w:rsidR="00FF727F" w:rsidRPr="000C32F3">
          <w:rPr>
            <w:rStyle w:val="Hyperlink"/>
            <w:i w:val="0"/>
            <w:lang w:val="en" w:eastAsia="en-AU"/>
          </w:rPr>
          <w:t xml:space="preserve"> Reserve</w:t>
        </w:r>
      </w:hyperlink>
      <w:r w:rsidR="00FF727F">
        <w:t xml:space="preserve"> activities</w:t>
      </w:r>
      <w:r w:rsidRPr="00B00854">
        <w:t xml:space="preserve"> or to employ people with disabilities)</w:t>
      </w:r>
    </w:p>
    <w:p w14:paraId="7DEC6DF3" w14:textId="744F4466" w:rsidR="00E67395" w:rsidRPr="00B00854" w:rsidRDefault="00E67395" w:rsidP="00A10080">
      <w:pPr>
        <w:pStyle w:val="Bullets1stindent"/>
        <w:numPr>
          <w:ilvl w:val="0"/>
          <w:numId w:val="16"/>
        </w:numPr>
        <w:shd w:val="clear" w:color="auto" w:fill="B4B5DF"/>
        <w:ind w:left="426" w:hanging="426"/>
      </w:pPr>
      <w:proofErr w:type="gramStart"/>
      <w:r>
        <w:t>g</w:t>
      </w:r>
      <w:r w:rsidRPr="00B00854">
        <w:t>ifts</w:t>
      </w:r>
      <w:proofErr w:type="gramEnd"/>
      <w:r w:rsidRPr="00B00854">
        <w:t xml:space="preserve"> of money or bequests from parties outside of the Commonwealth (not to be confused </w:t>
      </w:r>
      <w:r w:rsidRPr="00A10080">
        <w:t>with trust or trust-lik</w:t>
      </w:r>
      <w:r w:rsidR="00A10080" w:rsidRPr="00A10080">
        <w:t>e arrangements—</w:t>
      </w:r>
      <w:r w:rsidR="00A10080">
        <w:t>see</w:t>
      </w:r>
      <w:r w:rsidRPr="00B00854">
        <w:t xml:space="preserve"> </w:t>
      </w:r>
      <w:r w:rsidR="00FF727F">
        <w:t>s</w:t>
      </w:r>
      <w:r w:rsidR="00FF727F" w:rsidRPr="00C1364C">
        <w:t xml:space="preserve">ubsection 27(3) of the </w:t>
      </w:r>
      <w:hyperlink r:id="rId40" w:history="1">
        <w:r w:rsidR="00FF727F" w:rsidRPr="00A10080">
          <w:rPr>
            <w:rStyle w:val="Hyperlink"/>
            <w:bCs/>
            <w:i w:val="0"/>
          </w:rPr>
          <w:t>PGPA Rule</w:t>
        </w:r>
      </w:hyperlink>
      <w:r w:rsidRPr="00B00854">
        <w:t>).</w:t>
      </w:r>
    </w:p>
    <w:p w14:paraId="5C50DF77" w14:textId="6345D5C8" w:rsidR="007C67E9" w:rsidRDefault="007C67E9" w:rsidP="007C67E9">
      <w:pPr>
        <w:pStyle w:val="NumberedList1"/>
      </w:pPr>
      <w:r w:rsidRPr="00F34FEB">
        <w:t>Sponsorships, gifts, bequests or similar contributions that are received without the express purpose of contributing to the NCE’s departmental activities, are regarded as being received for the Commonwealth as a whole. Such amoun</w:t>
      </w:r>
      <w:r>
        <w:t>t</w:t>
      </w:r>
      <w:r w:rsidRPr="00F34FEB">
        <w:t>s should be remitted to the OPA as general government revenue (</w:t>
      </w:r>
      <w:proofErr w:type="spellStart"/>
      <w:r w:rsidRPr="00F34FEB">
        <w:t>ie</w:t>
      </w:r>
      <w:proofErr w:type="spellEnd"/>
      <w:r w:rsidRPr="00F34FEB">
        <w:t xml:space="preserve"> administered receipts).</w:t>
      </w:r>
    </w:p>
    <w:p w14:paraId="3F1FB14F" w14:textId="647F2747" w:rsidR="00F34FEB" w:rsidRPr="00F34FEB" w:rsidRDefault="00F34FEB" w:rsidP="00F34FEB">
      <w:pPr>
        <w:pStyle w:val="NumberedList1"/>
      </w:pPr>
      <w:r w:rsidRPr="00F34FEB">
        <w:t xml:space="preserve">Provisions in </w:t>
      </w:r>
      <w:r w:rsidR="00CB3509">
        <w:t xml:space="preserve">section 74 of </w:t>
      </w:r>
      <w:r w:rsidRPr="00F34FEB">
        <w:t xml:space="preserve">the </w:t>
      </w:r>
      <w:hyperlink r:id="rId41" w:history="1">
        <w:r w:rsidRPr="00F34FEB">
          <w:rPr>
            <w:rStyle w:val="Hyperlink"/>
            <w:rFonts w:cstheme="minorBidi"/>
            <w:i w:val="0"/>
            <w:u w:val="none"/>
          </w:rPr>
          <w:t>PGPA Act</w:t>
        </w:r>
      </w:hyperlink>
      <w:r w:rsidRPr="00F34FEB">
        <w:t xml:space="preserve"> </w:t>
      </w:r>
      <w:r w:rsidR="00CB3509">
        <w:t xml:space="preserve">and section 27 of the PGPA Rule </w:t>
      </w:r>
      <w:r w:rsidRPr="00F34FEB">
        <w:t xml:space="preserve">prohibit </w:t>
      </w:r>
      <w:proofErr w:type="gramStart"/>
      <w:r w:rsidRPr="00F34FEB">
        <w:t>an</w:t>
      </w:r>
      <w:proofErr w:type="gramEnd"/>
      <w:r w:rsidRPr="00F34FEB">
        <w:t xml:space="preserve"> NCEs from providing such amounts to each other, particularly where they have already received an appropriation for the activities.</w:t>
      </w:r>
    </w:p>
    <w:p w14:paraId="7D807BE3" w14:textId="5CEA46B4" w:rsidR="003364DE" w:rsidRPr="000F657E" w:rsidRDefault="003364DE" w:rsidP="001F4981">
      <w:pPr>
        <w:pStyle w:val="Heading2Numbered"/>
        <w:numPr>
          <w:ilvl w:val="0"/>
          <w:numId w:val="0"/>
        </w:numPr>
        <w:rPr>
          <w:rFonts w:eastAsia="Times New Roman"/>
          <w:lang w:val="en" w:eastAsia="en-AU"/>
        </w:rPr>
      </w:pPr>
      <w:bookmarkStart w:id="46" w:name="_Toc46302451"/>
      <w:r w:rsidRPr="000F657E">
        <w:rPr>
          <w:rFonts w:eastAsia="Times New Roman"/>
          <w:lang w:val="en" w:eastAsia="en-AU"/>
        </w:rPr>
        <w:t>Monetary incentives or rebates</w:t>
      </w:r>
      <w:bookmarkEnd w:id="46"/>
      <w:r w:rsidRPr="000F657E">
        <w:rPr>
          <w:rFonts w:eastAsia="Times New Roman"/>
          <w:lang w:val="en" w:eastAsia="en-AU"/>
        </w:rPr>
        <w:t xml:space="preserve"> </w:t>
      </w:r>
    </w:p>
    <w:p w14:paraId="00516110" w14:textId="1A950643" w:rsidR="00E67395" w:rsidRDefault="003364DE" w:rsidP="001F3231">
      <w:pPr>
        <w:pStyle w:val="NumberedList1"/>
      </w:pPr>
      <w:r w:rsidRPr="00C1364C">
        <w:t xml:space="preserve">Item 3 </w:t>
      </w:r>
      <w:r>
        <w:t xml:space="preserve">of subsection 27(2) of the </w:t>
      </w:r>
      <w:hyperlink r:id="rId42" w:history="1">
        <w:r w:rsidRPr="00A81DAC">
          <w:rPr>
            <w:rStyle w:val="Hyperlink"/>
            <w:bCs w:val="0"/>
            <w:i w:val="0"/>
          </w:rPr>
          <w:t>PGPA Rule</w:t>
        </w:r>
      </w:hyperlink>
      <w:r w:rsidR="007C67E9">
        <w:t xml:space="preserve"> enables NCEs to retain</w:t>
      </w:r>
      <w:r w:rsidRPr="00C1364C">
        <w:t xml:space="preserve"> monetary incentives or rebates in relation to procuring g</w:t>
      </w:r>
      <w:r>
        <w:t>oods or services.</w:t>
      </w:r>
    </w:p>
    <w:p w14:paraId="2546E7D7" w14:textId="22FB2506" w:rsidR="00E67395" w:rsidRPr="00C1364C" w:rsidRDefault="00E67395" w:rsidP="00A10080">
      <w:pPr>
        <w:pStyle w:val="Extracttitle"/>
        <w:spacing w:before="240" w:line="276" w:lineRule="auto"/>
        <w:ind w:left="0" w:firstLine="77"/>
      </w:pPr>
      <w:r w:rsidRPr="00C1364C">
        <w:t>Examples</w:t>
      </w:r>
      <w:r>
        <w:t xml:space="preserve"> - </w:t>
      </w:r>
      <w:r w:rsidRPr="00C1364C">
        <w:t>It</w:t>
      </w:r>
      <w:r>
        <w:t>em 3</w:t>
      </w:r>
      <w:r w:rsidR="00645EBD">
        <w:t xml:space="preserve"> retainable</w:t>
      </w:r>
      <w:r>
        <w:t xml:space="preserve"> receipts</w:t>
      </w:r>
      <w:r w:rsidRPr="00C1364C">
        <w:t xml:space="preserve"> </w:t>
      </w:r>
    </w:p>
    <w:p w14:paraId="2C38EB0A" w14:textId="63DA1EEA" w:rsidR="00E67395" w:rsidRDefault="00E67395" w:rsidP="00A10080">
      <w:pPr>
        <w:pStyle w:val="Bullets1stindent"/>
        <w:numPr>
          <w:ilvl w:val="0"/>
          <w:numId w:val="0"/>
        </w:numPr>
        <w:shd w:val="clear" w:color="auto" w:fill="B4B5DF"/>
      </w:pPr>
      <w:r>
        <w:t>Item 3 includes amounts received for:</w:t>
      </w:r>
    </w:p>
    <w:p w14:paraId="381EAC47" w14:textId="7C28256C" w:rsidR="00E67395" w:rsidRPr="00B00854" w:rsidRDefault="00E67395" w:rsidP="001F3231">
      <w:pPr>
        <w:pStyle w:val="Bullets1stindent"/>
        <w:numPr>
          <w:ilvl w:val="0"/>
          <w:numId w:val="16"/>
        </w:numPr>
        <w:shd w:val="clear" w:color="auto" w:fill="B4B5DF"/>
        <w:ind w:left="426" w:hanging="426"/>
      </w:pPr>
      <w:r>
        <w:t>f</w:t>
      </w:r>
      <w:r w:rsidRPr="00B00854">
        <w:t>uel tax rebates</w:t>
      </w:r>
    </w:p>
    <w:p w14:paraId="0BC3DFA3" w14:textId="0BBD6B61" w:rsidR="00E67395" w:rsidRPr="00B00854" w:rsidRDefault="00E67395" w:rsidP="001F3231">
      <w:pPr>
        <w:pStyle w:val="Bullets1stindent"/>
        <w:numPr>
          <w:ilvl w:val="0"/>
          <w:numId w:val="16"/>
        </w:numPr>
        <w:shd w:val="clear" w:color="auto" w:fill="B4B5DF"/>
        <w:ind w:left="426" w:hanging="426"/>
      </w:pPr>
      <w:r>
        <w:t>c</w:t>
      </w:r>
      <w:r w:rsidRPr="00B00854">
        <w:t>ash incentives related to leasing a building</w:t>
      </w:r>
    </w:p>
    <w:p w14:paraId="74671A66" w14:textId="18E6CF67" w:rsidR="00E67395" w:rsidRPr="00B00854" w:rsidRDefault="00E67395" w:rsidP="001F3231">
      <w:pPr>
        <w:pStyle w:val="Bullets1stindent"/>
        <w:numPr>
          <w:ilvl w:val="0"/>
          <w:numId w:val="16"/>
        </w:numPr>
        <w:shd w:val="clear" w:color="auto" w:fill="B4B5DF"/>
        <w:ind w:left="426" w:hanging="426"/>
      </w:pPr>
      <w:r>
        <w:t>c</w:t>
      </w:r>
      <w:r w:rsidRPr="00B00854">
        <w:t>ash back offers that accompany the purcha</w:t>
      </w:r>
      <w:r w:rsidR="00645EBD">
        <w:t>se of a good or service (</w:t>
      </w:r>
      <w:proofErr w:type="spellStart"/>
      <w:r w:rsidR="00645EBD">
        <w:t>eg</w:t>
      </w:r>
      <w:proofErr w:type="spellEnd"/>
      <w:r w:rsidRPr="00B00854">
        <w:t xml:space="preserve"> from man</w:t>
      </w:r>
      <w:r>
        <w:t>ufacturers of electrical goods)</w:t>
      </w:r>
    </w:p>
    <w:p w14:paraId="40F85081" w14:textId="4ACB71AF" w:rsidR="003364DE" w:rsidRDefault="003364DE" w:rsidP="003364DE">
      <w:pPr>
        <w:pStyle w:val="NumberedList1"/>
      </w:pPr>
      <w:r w:rsidRPr="00C1364C">
        <w:t>Before accepting monetary incentives</w:t>
      </w:r>
      <w:r w:rsidR="00645EBD">
        <w:t xml:space="preserve"> or rebates, NCEs must consider implications for</w:t>
      </w:r>
      <w:r w:rsidRPr="00C1364C">
        <w:t xml:space="preserve"> receiving value for money in procurements and proper use of Commonwealth money.</w:t>
      </w:r>
    </w:p>
    <w:p w14:paraId="79D52BE0" w14:textId="18C966F0" w:rsidR="00775FFC" w:rsidRPr="000F657E" w:rsidRDefault="00775FFC" w:rsidP="001F4981">
      <w:pPr>
        <w:pStyle w:val="Heading2Numbered"/>
        <w:numPr>
          <w:ilvl w:val="0"/>
          <w:numId w:val="0"/>
        </w:numPr>
        <w:rPr>
          <w:rFonts w:eastAsia="Times New Roman"/>
          <w:lang w:val="en" w:eastAsia="en-AU"/>
        </w:rPr>
      </w:pPr>
      <w:bookmarkStart w:id="47" w:name="_Toc46302452"/>
      <w:r w:rsidRPr="000F657E">
        <w:rPr>
          <w:rFonts w:eastAsia="Times New Roman"/>
          <w:lang w:val="en" w:eastAsia="en-AU"/>
        </w:rPr>
        <w:t>Insurance payouts</w:t>
      </w:r>
      <w:bookmarkEnd w:id="47"/>
    </w:p>
    <w:p w14:paraId="4099C93F" w14:textId="15E64FDE" w:rsidR="003364DE" w:rsidRDefault="003364DE" w:rsidP="003364DE">
      <w:pPr>
        <w:pStyle w:val="NumberedList1"/>
      </w:pPr>
      <w:r w:rsidRPr="00C1364C">
        <w:t xml:space="preserve">Item 4 </w:t>
      </w:r>
      <w:r>
        <w:t xml:space="preserve">of subsection 27(2) of the </w:t>
      </w:r>
      <w:hyperlink r:id="rId43" w:history="1">
        <w:r w:rsidRPr="00A81DAC">
          <w:rPr>
            <w:rStyle w:val="Hyperlink"/>
            <w:bCs w:val="0"/>
            <w:i w:val="0"/>
          </w:rPr>
          <w:t>PGPA Rule</w:t>
        </w:r>
      </w:hyperlink>
      <w:r w:rsidR="007C67E9">
        <w:t xml:space="preserve"> enables the</w:t>
      </w:r>
      <w:r w:rsidRPr="00C1364C">
        <w:t xml:space="preserve"> retaining</w:t>
      </w:r>
      <w:r w:rsidR="007C67E9">
        <w:t xml:space="preserve"> of</w:t>
      </w:r>
      <w:r w:rsidRPr="00C1364C">
        <w:t xml:space="preserve"> insurance payouts received in Au</w:t>
      </w:r>
      <w:r>
        <w:t>stralia or overseas</w:t>
      </w:r>
      <w:r w:rsidR="00645EBD">
        <w:t>.</w:t>
      </w:r>
    </w:p>
    <w:p w14:paraId="6E8EC015" w14:textId="141CC96D" w:rsidR="00277FC4" w:rsidRPr="00C1364C" w:rsidRDefault="00277FC4" w:rsidP="00A10080">
      <w:pPr>
        <w:pStyle w:val="Extracttitle"/>
        <w:spacing w:before="240" w:line="276" w:lineRule="auto"/>
        <w:ind w:left="0" w:firstLine="77"/>
      </w:pPr>
      <w:r w:rsidRPr="00C1364C">
        <w:t>Examples</w:t>
      </w:r>
      <w:r>
        <w:t xml:space="preserve"> - </w:t>
      </w:r>
      <w:r w:rsidRPr="00C1364C">
        <w:t>It</w:t>
      </w:r>
      <w:r w:rsidR="00E67395">
        <w:t xml:space="preserve">em 4 </w:t>
      </w:r>
      <w:r w:rsidR="00645EBD">
        <w:t xml:space="preserve">retainable </w:t>
      </w:r>
      <w:r w:rsidR="00E67395">
        <w:t>receipts</w:t>
      </w:r>
      <w:r w:rsidRPr="00C1364C">
        <w:t xml:space="preserve"> </w:t>
      </w:r>
    </w:p>
    <w:p w14:paraId="2D89DBC7" w14:textId="57B50577" w:rsidR="00E67395" w:rsidRDefault="00E67395" w:rsidP="00A10080">
      <w:pPr>
        <w:pStyle w:val="Bullets1stindent"/>
        <w:numPr>
          <w:ilvl w:val="0"/>
          <w:numId w:val="0"/>
        </w:numPr>
        <w:shd w:val="clear" w:color="auto" w:fill="B4B5DF"/>
        <w:spacing w:before="120"/>
      </w:pPr>
      <w:r>
        <w:t>Item 4 includes amounts received:</w:t>
      </w:r>
    </w:p>
    <w:p w14:paraId="7AD17F32" w14:textId="6E034365" w:rsidR="003364DE" w:rsidRPr="00B00854" w:rsidRDefault="004B1F28" w:rsidP="001F3231">
      <w:pPr>
        <w:pStyle w:val="Bullets1stindent"/>
        <w:numPr>
          <w:ilvl w:val="0"/>
          <w:numId w:val="16"/>
        </w:numPr>
        <w:shd w:val="clear" w:color="auto" w:fill="B4B5DF"/>
        <w:ind w:left="426" w:hanging="426"/>
      </w:pPr>
      <w:r>
        <w:t xml:space="preserve">for a </w:t>
      </w:r>
      <w:r w:rsidR="003364DE" w:rsidRPr="00B00854">
        <w:t xml:space="preserve">building fit-out </w:t>
      </w:r>
      <w:r w:rsidR="007C67E9">
        <w:t xml:space="preserve">that was </w:t>
      </w:r>
      <w:r w:rsidR="003364DE" w:rsidRPr="00B00854">
        <w:t>damaged by rain</w:t>
      </w:r>
    </w:p>
    <w:p w14:paraId="520999A6" w14:textId="33333FE2" w:rsidR="003364DE" w:rsidRPr="00B00854" w:rsidRDefault="00E67395" w:rsidP="001F3231">
      <w:pPr>
        <w:pStyle w:val="Bullets1stindent"/>
        <w:numPr>
          <w:ilvl w:val="0"/>
          <w:numId w:val="16"/>
        </w:numPr>
        <w:shd w:val="clear" w:color="auto" w:fill="B4B5DF"/>
        <w:ind w:left="426" w:hanging="426"/>
      </w:pPr>
      <w:proofErr w:type="gramStart"/>
      <w:r>
        <w:t>as</w:t>
      </w:r>
      <w:proofErr w:type="gramEnd"/>
      <w:r>
        <w:t xml:space="preserve"> a result of</w:t>
      </w:r>
      <w:r w:rsidR="003364DE" w:rsidRPr="00B00854">
        <w:t xml:space="preserve"> motor vehicle accidents.</w:t>
      </w:r>
    </w:p>
    <w:p w14:paraId="1FF75681" w14:textId="328D8CE3" w:rsidR="00775FFC" w:rsidRPr="000F657E" w:rsidRDefault="00775FFC" w:rsidP="001F4981">
      <w:pPr>
        <w:pStyle w:val="Heading2Numbered"/>
        <w:numPr>
          <w:ilvl w:val="0"/>
          <w:numId w:val="0"/>
        </w:numPr>
        <w:rPr>
          <w:rFonts w:eastAsia="Times New Roman"/>
          <w:lang w:val="en" w:eastAsia="en-AU"/>
        </w:rPr>
      </w:pPr>
      <w:bookmarkStart w:id="48" w:name="_Toc46302453"/>
      <w:r w:rsidRPr="000F657E">
        <w:rPr>
          <w:rFonts w:eastAsia="Times New Roman"/>
          <w:lang w:val="en" w:eastAsia="en-AU"/>
        </w:rPr>
        <w:lastRenderedPageBreak/>
        <w:t>Damages and other compensation</w:t>
      </w:r>
      <w:bookmarkEnd w:id="48"/>
    </w:p>
    <w:p w14:paraId="21A235C7" w14:textId="77777777" w:rsidR="007C67E9" w:rsidRDefault="003364DE" w:rsidP="003364DE">
      <w:pPr>
        <w:pStyle w:val="NumberedList1"/>
      </w:pPr>
      <w:r w:rsidRPr="00C1364C">
        <w:t>Item 5</w:t>
      </w:r>
      <w:r>
        <w:t xml:space="preserve"> of subsection 27(2) of the </w:t>
      </w:r>
      <w:hyperlink r:id="rId44" w:history="1">
        <w:r w:rsidRPr="00A81DAC">
          <w:rPr>
            <w:rStyle w:val="Hyperlink"/>
            <w:bCs w:val="0"/>
            <w:i w:val="0"/>
          </w:rPr>
          <w:t>PGPA Rule</w:t>
        </w:r>
      </w:hyperlink>
      <w:r>
        <w:t xml:space="preserve"> </w:t>
      </w:r>
      <w:r w:rsidR="007C67E9">
        <w:t xml:space="preserve">enables retaining </w:t>
      </w:r>
      <w:r w:rsidRPr="00C1364C">
        <w:t>compensatory amounts awarded by a c</w:t>
      </w:r>
      <w:r w:rsidR="000C32F3">
        <w:t xml:space="preserve">ourt or payable under contract, </w:t>
      </w:r>
      <w:r w:rsidRPr="00C1364C">
        <w:t>which re</w:t>
      </w:r>
      <w:r w:rsidR="000C32F3">
        <w:t>late to departmental activities</w:t>
      </w:r>
      <w:r w:rsidRPr="00C1364C">
        <w:t xml:space="preserve">. </w:t>
      </w:r>
    </w:p>
    <w:p w14:paraId="383B4386" w14:textId="67EB2BCC" w:rsidR="00A1716B" w:rsidRPr="00C1364C" w:rsidRDefault="00A1716B" w:rsidP="00A10080">
      <w:pPr>
        <w:pStyle w:val="Extracttitle"/>
        <w:spacing w:before="240" w:line="276" w:lineRule="auto"/>
        <w:ind w:left="0" w:firstLine="77"/>
      </w:pPr>
      <w:r w:rsidRPr="00C1364C">
        <w:t>Examples</w:t>
      </w:r>
      <w:r>
        <w:t xml:space="preserve"> - </w:t>
      </w:r>
      <w:r w:rsidRPr="00C1364C">
        <w:t>It</w:t>
      </w:r>
      <w:r>
        <w:t xml:space="preserve">em 5 </w:t>
      </w:r>
      <w:r w:rsidR="000C32F3">
        <w:t xml:space="preserve">retainable </w:t>
      </w:r>
      <w:r>
        <w:t>receipts</w:t>
      </w:r>
      <w:r w:rsidRPr="00C1364C">
        <w:t xml:space="preserve"> </w:t>
      </w:r>
    </w:p>
    <w:p w14:paraId="549A44C5" w14:textId="6CA56FFA" w:rsidR="00A1716B" w:rsidRDefault="00A1716B" w:rsidP="00A1716B">
      <w:pPr>
        <w:pStyle w:val="Bullets1stindent"/>
        <w:numPr>
          <w:ilvl w:val="0"/>
          <w:numId w:val="0"/>
        </w:numPr>
        <w:shd w:val="clear" w:color="auto" w:fill="B4B5DF"/>
      </w:pPr>
      <w:r>
        <w:t>Item 5 includes amounts received for:</w:t>
      </w:r>
    </w:p>
    <w:p w14:paraId="27A69044" w14:textId="77777777" w:rsidR="00A1716B" w:rsidRPr="00B00854" w:rsidRDefault="00A1716B" w:rsidP="001F3231">
      <w:pPr>
        <w:pStyle w:val="Bullets1stindent"/>
        <w:numPr>
          <w:ilvl w:val="0"/>
          <w:numId w:val="16"/>
        </w:numPr>
        <w:shd w:val="clear" w:color="auto" w:fill="B4B5DF"/>
        <w:ind w:left="426" w:hanging="426"/>
      </w:pPr>
      <w:r w:rsidRPr="00B00854">
        <w:t>damages or compensation payable under contract</w:t>
      </w:r>
    </w:p>
    <w:p w14:paraId="3BF9506D" w14:textId="77777777" w:rsidR="00A1716B" w:rsidRPr="00B00854" w:rsidRDefault="00A1716B" w:rsidP="001F3231">
      <w:pPr>
        <w:pStyle w:val="Bullets1stindent"/>
        <w:numPr>
          <w:ilvl w:val="0"/>
          <w:numId w:val="16"/>
        </w:numPr>
        <w:shd w:val="clear" w:color="auto" w:fill="B4B5DF"/>
        <w:ind w:left="426" w:hanging="426"/>
      </w:pPr>
      <w:r w:rsidRPr="00B00854">
        <w:t>negotiated compensatory out-of-court settlements</w:t>
      </w:r>
    </w:p>
    <w:p w14:paraId="668F49A0" w14:textId="77777777" w:rsidR="00A1716B" w:rsidRPr="00B00854" w:rsidRDefault="00A1716B" w:rsidP="001F3231">
      <w:pPr>
        <w:pStyle w:val="Bullets1stindent"/>
        <w:numPr>
          <w:ilvl w:val="0"/>
          <w:numId w:val="16"/>
        </w:numPr>
        <w:shd w:val="clear" w:color="auto" w:fill="B4B5DF"/>
        <w:ind w:left="426" w:hanging="426"/>
      </w:pPr>
      <w:r w:rsidRPr="00B00854">
        <w:t>court-awarded contractual damages</w:t>
      </w:r>
    </w:p>
    <w:p w14:paraId="79832246" w14:textId="25475A66" w:rsidR="00A1716B" w:rsidRDefault="00A1716B" w:rsidP="001F3231">
      <w:pPr>
        <w:pStyle w:val="Bullets1stindent"/>
        <w:numPr>
          <w:ilvl w:val="0"/>
          <w:numId w:val="16"/>
        </w:numPr>
        <w:shd w:val="clear" w:color="auto" w:fill="B4B5DF"/>
        <w:ind w:left="426" w:hanging="426"/>
      </w:pPr>
      <w:proofErr w:type="gramStart"/>
      <w:r w:rsidRPr="00B00854">
        <w:t>court-awarded</w:t>
      </w:r>
      <w:proofErr w:type="gramEnd"/>
      <w:r w:rsidRPr="00B00854">
        <w:t xml:space="preserve"> </w:t>
      </w:r>
      <w:r w:rsidR="000C32F3" w:rsidRPr="00B00854">
        <w:t xml:space="preserve">compensatory </w:t>
      </w:r>
      <w:r w:rsidRPr="00B00854">
        <w:t>costs.</w:t>
      </w:r>
    </w:p>
    <w:p w14:paraId="0E76ABCD" w14:textId="2DD43839" w:rsidR="007C67E9" w:rsidRPr="007C67E9" w:rsidRDefault="007C67E9" w:rsidP="007C67E9">
      <w:pPr>
        <w:pStyle w:val="NumberedList1"/>
      </w:pPr>
      <w:r w:rsidRPr="00C1364C">
        <w:t>It</w:t>
      </w:r>
      <w:r>
        <w:t>em 5</w:t>
      </w:r>
      <w:r w:rsidRPr="00C1364C">
        <w:t xml:space="preserve"> does not include penalties or punitive amounts</w:t>
      </w:r>
      <w:r w:rsidR="00E103D5">
        <w:t xml:space="preserve"> as these</w:t>
      </w:r>
      <w:r>
        <w:t xml:space="preserve"> are not compensatory. </w:t>
      </w:r>
      <w:r w:rsidR="00E103D5">
        <w:t>Such amounts</w:t>
      </w:r>
      <w:r w:rsidRPr="00C1364C">
        <w:t xml:space="preserve"> should be remitted to the OPA as general government revenue (</w:t>
      </w:r>
      <w:proofErr w:type="spellStart"/>
      <w:r>
        <w:t>ie</w:t>
      </w:r>
      <w:proofErr w:type="spellEnd"/>
      <w:r>
        <w:t xml:space="preserve"> </w:t>
      </w:r>
      <w:r w:rsidRPr="00C1364C">
        <w:t>administered receipts).</w:t>
      </w:r>
    </w:p>
    <w:p w14:paraId="59AD3D64" w14:textId="285A4015" w:rsidR="00775FFC" w:rsidRPr="000F657E" w:rsidRDefault="00775FFC" w:rsidP="001F4981">
      <w:pPr>
        <w:pStyle w:val="Heading2Numbered"/>
        <w:numPr>
          <w:ilvl w:val="0"/>
          <w:numId w:val="0"/>
        </w:numPr>
        <w:rPr>
          <w:rFonts w:eastAsia="Times New Roman"/>
          <w:lang w:val="en" w:eastAsia="en-AU"/>
        </w:rPr>
      </w:pPr>
      <w:bookmarkStart w:id="49" w:name="_Toc46302454"/>
      <w:r w:rsidRPr="000F657E">
        <w:rPr>
          <w:rFonts w:eastAsia="Times New Roman"/>
          <w:lang w:val="en" w:eastAsia="en-AU"/>
        </w:rPr>
        <w:t>Employee leave</w:t>
      </w:r>
      <w:bookmarkEnd w:id="49"/>
    </w:p>
    <w:p w14:paraId="698ABC20" w14:textId="6F899D62" w:rsidR="003364DE" w:rsidRDefault="003364DE" w:rsidP="003364DE">
      <w:pPr>
        <w:pStyle w:val="NumberedList1"/>
      </w:pPr>
      <w:r w:rsidRPr="00C1364C">
        <w:t>Item 6</w:t>
      </w:r>
      <w:r>
        <w:t xml:space="preserve"> of subsection 27(2) of the </w:t>
      </w:r>
      <w:hyperlink r:id="rId45" w:history="1">
        <w:r w:rsidRPr="00A81DAC">
          <w:rPr>
            <w:rStyle w:val="Hyperlink"/>
            <w:bCs w:val="0"/>
            <w:i w:val="0"/>
          </w:rPr>
          <w:t>PGPA Rule</w:t>
        </w:r>
      </w:hyperlink>
      <w:r w:rsidR="00E103D5">
        <w:t xml:space="preserve"> enables NCEs to retain</w:t>
      </w:r>
      <w:r w:rsidRPr="00C1364C">
        <w:t xml:space="preserve"> receipts relate</w:t>
      </w:r>
      <w:r>
        <w:t>d to employee leave.</w:t>
      </w:r>
    </w:p>
    <w:p w14:paraId="71A8E9D0" w14:textId="52F24FCD" w:rsidR="00A1716B" w:rsidRPr="00C1364C" w:rsidRDefault="00A1716B" w:rsidP="00A10080">
      <w:pPr>
        <w:pStyle w:val="Extracttitle"/>
        <w:spacing w:before="240" w:line="276" w:lineRule="auto"/>
        <w:ind w:left="0" w:firstLine="77"/>
      </w:pPr>
      <w:r w:rsidRPr="00C1364C">
        <w:t>Examples</w:t>
      </w:r>
      <w:r>
        <w:t xml:space="preserve"> - </w:t>
      </w:r>
      <w:r w:rsidRPr="00C1364C">
        <w:t>It</w:t>
      </w:r>
      <w:r>
        <w:t xml:space="preserve">em 6 </w:t>
      </w:r>
      <w:r w:rsidR="000C32F3">
        <w:t xml:space="preserve">retainable </w:t>
      </w:r>
      <w:r>
        <w:t>receipts</w:t>
      </w:r>
      <w:r w:rsidRPr="00C1364C">
        <w:t xml:space="preserve"> </w:t>
      </w:r>
    </w:p>
    <w:p w14:paraId="781EC838" w14:textId="46C624F9" w:rsidR="00A1716B" w:rsidRDefault="00A1716B" w:rsidP="00A1716B">
      <w:pPr>
        <w:pStyle w:val="Bullets1stindent"/>
        <w:numPr>
          <w:ilvl w:val="0"/>
          <w:numId w:val="0"/>
        </w:numPr>
        <w:shd w:val="clear" w:color="auto" w:fill="B4B5DF"/>
      </w:pPr>
      <w:r>
        <w:t>Item 6 includes amounts received for:</w:t>
      </w:r>
    </w:p>
    <w:p w14:paraId="28EE1F6E" w14:textId="77777777" w:rsidR="00A1716B" w:rsidRPr="000608AA" w:rsidRDefault="00A1716B" w:rsidP="001F3231">
      <w:pPr>
        <w:pStyle w:val="Bullets1stindent"/>
        <w:numPr>
          <w:ilvl w:val="0"/>
          <w:numId w:val="16"/>
        </w:numPr>
        <w:shd w:val="clear" w:color="auto" w:fill="B4B5DF"/>
        <w:ind w:left="426" w:hanging="426"/>
      </w:pPr>
      <w:r>
        <w:t xml:space="preserve">the </w:t>
      </w:r>
      <w:hyperlink r:id="rId46" w:history="1">
        <w:r w:rsidRPr="000C32F3">
          <w:rPr>
            <w:rStyle w:val="Hyperlink"/>
            <w:i w:val="0"/>
          </w:rPr>
          <w:t>Paid Parental Leave scheme</w:t>
        </w:r>
      </w:hyperlink>
    </w:p>
    <w:p w14:paraId="52388C36" w14:textId="1A8B7DA0" w:rsidR="00A1716B" w:rsidRPr="000608AA" w:rsidRDefault="00CB4BF1" w:rsidP="001F3231">
      <w:pPr>
        <w:pStyle w:val="Bullets1stindent"/>
        <w:numPr>
          <w:ilvl w:val="0"/>
          <w:numId w:val="16"/>
        </w:numPr>
        <w:shd w:val="clear" w:color="auto" w:fill="B4B5DF"/>
        <w:ind w:left="426" w:hanging="426"/>
      </w:pPr>
      <w:hyperlink r:id="rId47" w:history="1">
        <w:proofErr w:type="spellStart"/>
        <w:r w:rsidR="000C32F3" w:rsidRPr="000C32F3">
          <w:rPr>
            <w:rStyle w:val="Hyperlink"/>
            <w:i w:val="0"/>
            <w:lang w:val="en" w:eastAsia="en-AU"/>
          </w:rPr>
          <w:t>Defence</w:t>
        </w:r>
        <w:proofErr w:type="spellEnd"/>
        <w:r w:rsidR="000C32F3" w:rsidRPr="000C32F3">
          <w:rPr>
            <w:rStyle w:val="Hyperlink"/>
            <w:i w:val="0"/>
            <w:lang w:val="en" w:eastAsia="en-AU"/>
          </w:rPr>
          <w:t xml:space="preserve"> Reserve</w:t>
        </w:r>
      </w:hyperlink>
      <w:r w:rsidR="000C32F3" w:rsidRPr="000C32F3">
        <w:rPr>
          <w:rStyle w:val="Hyperlink"/>
          <w:u w:val="none"/>
          <w:lang w:val="en" w:eastAsia="en-AU"/>
        </w:rPr>
        <w:t xml:space="preserve"> </w:t>
      </w:r>
      <w:r w:rsidR="00A1716B">
        <w:t>duties</w:t>
      </w:r>
    </w:p>
    <w:p w14:paraId="5E67D7DF" w14:textId="77777777" w:rsidR="00A1716B" w:rsidRPr="000608AA" w:rsidRDefault="00A1716B" w:rsidP="001F3231">
      <w:pPr>
        <w:pStyle w:val="Bullets1stindent"/>
        <w:numPr>
          <w:ilvl w:val="0"/>
          <w:numId w:val="16"/>
        </w:numPr>
        <w:shd w:val="clear" w:color="auto" w:fill="B4B5DF"/>
        <w:ind w:left="426" w:hanging="426"/>
      </w:pPr>
      <w:proofErr w:type="gramStart"/>
      <w:r w:rsidRPr="000608AA">
        <w:t>accumulated</w:t>
      </w:r>
      <w:proofErr w:type="gramEnd"/>
      <w:r w:rsidRPr="000608AA">
        <w:t xml:space="preserve"> entitlements (received from a former employer).</w:t>
      </w:r>
    </w:p>
    <w:p w14:paraId="5B1A0138" w14:textId="179A158B" w:rsidR="00775FFC" w:rsidRPr="000F657E" w:rsidRDefault="00775FFC" w:rsidP="001F4981">
      <w:pPr>
        <w:pStyle w:val="Heading2Numbered"/>
        <w:numPr>
          <w:ilvl w:val="0"/>
          <w:numId w:val="0"/>
        </w:numPr>
        <w:rPr>
          <w:rFonts w:eastAsia="Times New Roman"/>
          <w:lang w:val="en" w:eastAsia="en-AU"/>
        </w:rPr>
      </w:pPr>
      <w:bookmarkStart w:id="50" w:name="_Toc46302455"/>
      <w:r w:rsidRPr="000F657E">
        <w:rPr>
          <w:rFonts w:eastAsia="Times New Roman"/>
          <w:lang w:val="en" w:eastAsia="en-AU"/>
        </w:rPr>
        <w:t>Sale of departmental assets</w:t>
      </w:r>
      <w:bookmarkEnd w:id="50"/>
    </w:p>
    <w:p w14:paraId="1C70396A" w14:textId="57C8A2C0" w:rsidR="00D671CB" w:rsidRDefault="003364DE" w:rsidP="008F691E">
      <w:pPr>
        <w:pStyle w:val="NumberedList1"/>
        <w:spacing w:after="0"/>
      </w:pPr>
      <w:r w:rsidRPr="00D671CB">
        <w:t xml:space="preserve">Item 7 of subsection 27(2) of the </w:t>
      </w:r>
      <w:hyperlink r:id="rId48" w:history="1">
        <w:r w:rsidRPr="000C32F3">
          <w:rPr>
            <w:rStyle w:val="Hyperlink"/>
            <w:bCs w:val="0"/>
            <w:i w:val="0"/>
          </w:rPr>
          <w:t>PGPA Rule</w:t>
        </w:r>
      </w:hyperlink>
      <w:r w:rsidR="00E103D5">
        <w:t xml:space="preserve"> enables NCEs to retain</w:t>
      </w:r>
      <w:r w:rsidRPr="00D671CB">
        <w:t xml:space="preserve"> receipts related to selling departmental assets. </w:t>
      </w:r>
    </w:p>
    <w:p w14:paraId="570A2AD3" w14:textId="1BBB9947" w:rsidR="00A1716B" w:rsidRPr="00C1364C" w:rsidRDefault="00A1716B" w:rsidP="00A10080">
      <w:pPr>
        <w:pStyle w:val="Extracttitle"/>
        <w:spacing w:before="240" w:line="276" w:lineRule="auto"/>
        <w:ind w:left="0" w:firstLine="77"/>
      </w:pPr>
      <w:r w:rsidRPr="00C1364C">
        <w:t>Examples</w:t>
      </w:r>
      <w:r>
        <w:t xml:space="preserve"> - </w:t>
      </w:r>
      <w:r w:rsidRPr="00C1364C">
        <w:t>It</w:t>
      </w:r>
      <w:r>
        <w:t xml:space="preserve">em 7 </w:t>
      </w:r>
      <w:r w:rsidR="000C32F3">
        <w:t xml:space="preserve">retainable </w:t>
      </w:r>
      <w:r>
        <w:t>receipts</w:t>
      </w:r>
      <w:r w:rsidRPr="00C1364C">
        <w:t xml:space="preserve"> </w:t>
      </w:r>
    </w:p>
    <w:p w14:paraId="3C19BED6" w14:textId="12F7ABAD" w:rsidR="00A1716B" w:rsidRDefault="00A1716B" w:rsidP="00A1716B">
      <w:pPr>
        <w:pStyle w:val="Bullets1stindent"/>
        <w:numPr>
          <w:ilvl w:val="0"/>
          <w:numId w:val="0"/>
        </w:numPr>
        <w:shd w:val="clear" w:color="auto" w:fill="B4B5DF"/>
      </w:pPr>
      <w:r>
        <w:t>Item 7 includes amounts received for:</w:t>
      </w:r>
    </w:p>
    <w:p w14:paraId="2A6BBD06" w14:textId="77777777" w:rsidR="00A1716B" w:rsidRDefault="00A1716B" w:rsidP="001F3231">
      <w:pPr>
        <w:pStyle w:val="Bullets1stindent"/>
        <w:numPr>
          <w:ilvl w:val="0"/>
          <w:numId w:val="16"/>
        </w:numPr>
        <w:shd w:val="clear" w:color="auto" w:fill="B4B5DF"/>
        <w:ind w:left="426" w:hanging="426"/>
      </w:pPr>
      <w:r>
        <w:t>t</w:t>
      </w:r>
      <w:r w:rsidRPr="00D671CB">
        <w:t>he sale of</w:t>
      </w:r>
      <w:r>
        <w:t xml:space="preserve"> vehicles</w:t>
      </w:r>
    </w:p>
    <w:p w14:paraId="023F576A" w14:textId="77777777" w:rsidR="00A1716B" w:rsidRDefault="00A1716B" w:rsidP="001F3231">
      <w:pPr>
        <w:pStyle w:val="Bullets1stindent"/>
        <w:numPr>
          <w:ilvl w:val="0"/>
          <w:numId w:val="16"/>
        </w:numPr>
        <w:shd w:val="clear" w:color="auto" w:fill="B4B5DF"/>
        <w:ind w:left="426" w:hanging="426"/>
      </w:pPr>
      <w:r>
        <w:t>the sale of furniture, fittings research equipment</w:t>
      </w:r>
    </w:p>
    <w:p w14:paraId="3B7AD7BF" w14:textId="530934E1" w:rsidR="00A1716B" w:rsidRDefault="00A1716B" w:rsidP="001F3231">
      <w:pPr>
        <w:pStyle w:val="Bullets1stindent"/>
        <w:numPr>
          <w:ilvl w:val="0"/>
          <w:numId w:val="16"/>
        </w:numPr>
        <w:shd w:val="clear" w:color="auto" w:fill="B4B5DF"/>
        <w:ind w:left="426" w:hanging="426"/>
      </w:pPr>
      <w:proofErr w:type="gramStart"/>
      <w:r>
        <w:t>the</w:t>
      </w:r>
      <w:proofErr w:type="gramEnd"/>
      <w:r>
        <w:t xml:space="preserve"> sale of </w:t>
      </w:r>
      <w:r w:rsidRPr="00D671CB">
        <w:t>sp</w:t>
      </w:r>
      <w:r>
        <w:t>ecialist military equipment.</w:t>
      </w:r>
    </w:p>
    <w:p w14:paraId="0ABF82D4" w14:textId="5B54DBAB" w:rsidR="003364DE" w:rsidRPr="00B57D49" w:rsidRDefault="003364DE" w:rsidP="00E103D5">
      <w:pPr>
        <w:pStyle w:val="NumberedList1"/>
      </w:pPr>
      <w:r w:rsidRPr="00D8467F">
        <w:t>Amounts under Item 7 are limited by subsection 27(7</w:t>
      </w:r>
      <w:r w:rsidR="001F3231" w:rsidRPr="00D8467F">
        <w:t xml:space="preserve">) of the </w:t>
      </w:r>
      <w:hyperlink r:id="rId49" w:history="1">
        <w:r w:rsidR="001F3231" w:rsidRPr="00D8467F">
          <w:rPr>
            <w:rStyle w:val="Hyperlink"/>
            <w:bCs w:val="0"/>
            <w:i w:val="0"/>
          </w:rPr>
          <w:t>PGPA Rule</w:t>
        </w:r>
      </w:hyperlink>
      <w:r w:rsidR="001F3231" w:rsidRPr="00D8467F">
        <w:rPr>
          <w:rStyle w:val="Hyperlink"/>
          <w:bCs w:val="0"/>
          <w:i w:val="0"/>
          <w:u w:val="none"/>
        </w:rPr>
        <w:t xml:space="preserve"> </w:t>
      </w:r>
      <w:r w:rsidR="001F3231" w:rsidRPr="00D8467F">
        <w:t xml:space="preserve">to no more than </w:t>
      </w:r>
      <w:r w:rsidRPr="00D8467F">
        <w:t xml:space="preserve">5 per cent of the total </w:t>
      </w:r>
      <w:r w:rsidRPr="00D8467F">
        <w:rPr>
          <w:iCs/>
        </w:rPr>
        <w:t>departmental items</w:t>
      </w:r>
      <w:r w:rsidRPr="00D8467F">
        <w:t xml:space="preserve"> </w:t>
      </w:r>
      <w:r w:rsidRPr="00B57D49">
        <w:t>for</w:t>
      </w:r>
      <w:r w:rsidR="001F3231" w:rsidRPr="00B57D49">
        <w:t xml:space="preserve"> the NCE for the financial year</w:t>
      </w:r>
      <w:r w:rsidR="00B41953" w:rsidRPr="00B57D49">
        <w:t xml:space="preserve">. </w:t>
      </w:r>
      <w:r w:rsidR="00E103D5" w:rsidRPr="00B57D49">
        <w:t xml:space="preserve">Total departmental items is </w:t>
      </w:r>
      <w:r w:rsidRPr="00B57D49">
        <w:t>the sum of all departmental</w:t>
      </w:r>
      <w:r w:rsidR="00BA5573" w:rsidRPr="00B57D49">
        <w:t xml:space="preserve"> items contained in the annual a</w:t>
      </w:r>
      <w:r w:rsidR="00D671CB" w:rsidRPr="00B57D49">
        <w:t>ppropriation Acts passed by p</w:t>
      </w:r>
      <w:r w:rsidRPr="00B57D49">
        <w:t xml:space="preserve">arliament </w:t>
      </w:r>
      <w:r w:rsidRPr="00CB3509">
        <w:t xml:space="preserve">during </w:t>
      </w:r>
      <w:r w:rsidR="008F691E" w:rsidRPr="00CB3509">
        <w:t>the financial year (</w:t>
      </w:r>
      <w:proofErr w:type="spellStart"/>
      <w:r w:rsidR="008F691E" w:rsidRPr="00CB3509">
        <w:t>eg</w:t>
      </w:r>
      <w:proofErr w:type="spellEnd"/>
      <w:r w:rsidR="008F691E" w:rsidRPr="00CB3509">
        <w:t xml:space="preserve"> </w:t>
      </w:r>
      <w:r w:rsidR="00CB3509" w:rsidRPr="00CB3509">
        <w:t>A</w:t>
      </w:r>
      <w:r w:rsidR="008F691E" w:rsidRPr="00CB3509">
        <w:t xml:space="preserve">ppropriation Acts </w:t>
      </w:r>
      <w:r w:rsidR="00CB3509" w:rsidRPr="00CB3509">
        <w:t>(</w:t>
      </w:r>
      <w:r w:rsidR="008F691E" w:rsidRPr="00CB3509">
        <w:t>No</w:t>
      </w:r>
      <w:r w:rsidR="00CB3509" w:rsidRPr="00CB3509">
        <w:t>s</w:t>
      </w:r>
      <w:r w:rsidR="008F691E" w:rsidRPr="00CB3509">
        <w:t xml:space="preserve">. 1, 3, 5 </w:t>
      </w:r>
      <w:proofErr w:type="spellStart"/>
      <w:r w:rsidR="008F691E" w:rsidRPr="00CB3509">
        <w:t>etc</w:t>
      </w:r>
      <w:proofErr w:type="spellEnd"/>
      <w:r w:rsidR="00CB3509" w:rsidRPr="00CB3509">
        <w:t>)</w:t>
      </w:r>
      <w:r w:rsidR="008F691E" w:rsidRPr="00CB3509">
        <w:t xml:space="preserve"> and </w:t>
      </w:r>
      <w:r w:rsidR="00CB3509" w:rsidRPr="00CB3509">
        <w:t>A</w:t>
      </w:r>
      <w:r w:rsidR="008F691E" w:rsidRPr="00CB3509">
        <w:t xml:space="preserve">ppropriation Acts </w:t>
      </w:r>
      <w:r w:rsidR="00CB3509" w:rsidRPr="00CB3509">
        <w:t>(</w:t>
      </w:r>
      <w:r w:rsidR="008F691E" w:rsidRPr="00CB3509">
        <w:t xml:space="preserve">No. 2, 4, 6 </w:t>
      </w:r>
      <w:proofErr w:type="spellStart"/>
      <w:r w:rsidR="008F691E" w:rsidRPr="00CB3509">
        <w:t>etc</w:t>
      </w:r>
      <w:proofErr w:type="spellEnd"/>
      <w:r w:rsidR="008F691E" w:rsidRPr="00CB3509">
        <w:t>)</w:t>
      </w:r>
      <w:r w:rsidR="00CB3509" w:rsidRPr="00CB3509">
        <w:t>)</w:t>
      </w:r>
      <w:r w:rsidRPr="00CB3509">
        <w:t>.</w:t>
      </w:r>
    </w:p>
    <w:p w14:paraId="25C917D3" w14:textId="04A618D4" w:rsidR="00775FFC" w:rsidRPr="00592F2B" w:rsidRDefault="00775FFC" w:rsidP="001F4981">
      <w:pPr>
        <w:pStyle w:val="Heading2Numbered"/>
        <w:numPr>
          <w:ilvl w:val="0"/>
          <w:numId w:val="0"/>
        </w:numPr>
        <w:rPr>
          <w:rFonts w:eastAsia="Times New Roman"/>
          <w:lang w:val="en" w:eastAsia="en-AU"/>
        </w:rPr>
      </w:pPr>
      <w:bookmarkStart w:id="51" w:name="_Toc46302456"/>
      <w:r w:rsidRPr="00592F2B">
        <w:rPr>
          <w:rFonts w:eastAsia="Times New Roman"/>
          <w:lang w:val="en" w:eastAsia="en-AU"/>
        </w:rPr>
        <w:lastRenderedPageBreak/>
        <w:t>Freedom of information requests</w:t>
      </w:r>
      <w:bookmarkEnd w:id="51"/>
    </w:p>
    <w:p w14:paraId="727E264A" w14:textId="7C297FB8" w:rsidR="008F691E" w:rsidRPr="00592F2B" w:rsidRDefault="008F691E" w:rsidP="008F691E">
      <w:pPr>
        <w:pStyle w:val="NumberedList1"/>
      </w:pPr>
      <w:r w:rsidRPr="00592F2B">
        <w:t xml:space="preserve">Item 8 of subsection 27(2) of the </w:t>
      </w:r>
      <w:hyperlink r:id="rId50" w:history="1">
        <w:r w:rsidRPr="00592F2B">
          <w:rPr>
            <w:rStyle w:val="Hyperlink"/>
            <w:bCs w:val="0"/>
            <w:i w:val="0"/>
          </w:rPr>
          <w:t>PGPA Rule</w:t>
        </w:r>
      </w:hyperlink>
      <w:r w:rsidR="00E103D5" w:rsidRPr="00592F2B">
        <w:t xml:space="preserve"> enables NCEs to retain </w:t>
      </w:r>
      <w:r w:rsidRPr="00592F2B">
        <w:t xml:space="preserve">receipts related to </w:t>
      </w:r>
      <w:r w:rsidR="00E103D5" w:rsidRPr="00592F2B">
        <w:t xml:space="preserve">the </w:t>
      </w:r>
      <w:r w:rsidRPr="00592F2B">
        <w:t xml:space="preserve">processing </w:t>
      </w:r>
      <w:r w:rsidR="00E103D5" w:rsidRPr="00592F2B">
        <w:t xml:space="preserve">of </w:t>
      </w:r>
      <w:r w:rsidRPr="00592F2B">
        <w:t xml:space="preserve">applications under the </w:t>
      </w:r>
      <w:hyperlink r:id="rId51" w:history="1">
        <w:r w:rsidRPr="00592F2B">
          <w:rPr>
            <w:rStyle w:val="Hyperlink"/>
          </w:rPr>
          <w:t>Freedom of Information Act 1982</w:t>
        </w:r>
      </w:hyperlink>
      <w:r w:rsidRPr="00592F2B">
        <w:t xml:space="preserve"> (FOI Act). Fees charged must be consistent with the FOI Act.</w:t>
      </w:r>
    </w:p>
    <w:p w14:paraId="624DB0C6" w14:textId="16812268" w:rsidR="00775FFC" w:rsidRPr="00592F2B" w:rsidRDefault="00775FFC" w:rsidP="001F4981">
      <w:pPr>
        <w:pStyle w:val="Heading2Numbered"/>
        <w:numPr>
          <w:ilvl w:val="0"/>
          <w:numId w:val="0"/>
        </w:numPr>
        <w:rPr>
          <w:rFonts w:eastAsia="Times New Roman"/>
          <w:lang w:val="en" w:eastAsia="en-AU"/>
        </w:rPr>
      </w:pPr>
      <w:bookmarkStart w:id="52" w:name="_Toc46302457"/>
      <w:r w:rsidRPr="00592F2B">
        <w:rPr>
          <w:rFonts w:eastAsia="Times New Roman"/>
          <w:lang w:val="en" w:eastAsia="en-AU"/>
        </w:rPr>
        <w:t xml:space="preserve">Balance of a </w:t>
      </w:r>
      <w:proofErr w:type="spellStart"/>
      <w:r w:rsidRPr="00592F2B">
        <w:rPr>
          <w:rFonts w:eastAsia="Times New Roman"/>
          <w:lang w:val="en" w:eastAsia="en-AU"/>
        </w:rPr>
        <w:t>sunsetting</w:t>
      </w:r>
      <w:proofErr w:type="spellEnd"/>
      <w:r w:rsidRPr="00592F2B">
        <w:rPr>
          <w:rFonts w:eastAsia="Times New Roman"/>
          <w:lang w:val="en" w:eastAsia="en-AU"/>
        </w:rPr>
        <w:t xml:space="preserve"> special account</w:t>
      </w:r>
      <w:bookmarkEnd w:id="52"/>
    </w:p>
    <w:p w14:paraId="511C62E9" w14:textId="779401F0" w:rsidR="001E0FBD" w:rsidRDefault="001E0FBD" w:rsidP="001E0FBD">
      <w:pPr>
        <w:pStyle w:val="NumberedList1"/>
      </w:pPr>
      <w:r w:rsidRPr="00C1364C">
        <w:t xml:space="preserve">Item 9 </w:t>
      </w:r>
      <w:r>
        <w:t xml:space="preserve">of subsection 27(2) of the </w:t>
      </w:r>
      <w:hyperlink r:id="rId52" w:history="1">
        <w:r w:rsidRPr="00A81DAC">
          <w:rPr>
            <w:rStyle w:val="Hyperlink"/>
            <w:bCs w:val="0"/>
            <w:i w:val="0"/>
          </w:rPr>
          <w:t>PGPA Rule</w:t>
        </w:r>
      </w:hyperlink>
      <w:r w:rsidR="00E103D5">
        <w:t xml:space="preserve"> enables </w:t>
      </w:r>
      <w:r w:rsidRPr="00C1364C">
        <w:t xml:space="preserve">the retention of the balance of a </w:t>
      </w:r>
      <w:proofErr w:type="spellStart"/>
      <w:r w:rsidRPr="00C1364C">
        <w:t>sunsetting</w:t>
      </w:r>
      <w:proofErr w:type="spellEnd"/>
      <w:r w:rsidRPr="00C1364C">
        <w:t xml:space="preserve"> special account, subject to agreement from the </w:t>
      </w:r>
      <w:r>
        <w:t>Finance Minister</w:t>
      </w:r>
      <w:r w:rsidRPr="00C1364C">
        <w:t>. This item can be used to replace special accounts that supported departmental activities with ann</w:t>
      </w:r>
      <w:r>
        <w:t>ual departmental appropriation.</w:t>
      </w:r>
    </w:p>
    <w:p w14:paraId="490B77CF" w14:textId="6D3EB5FD" w:rsidR="001E0FBD" w:rsidRPr="00C1364C" w:rsidRDefault="001E0FBD" w:rsidP="001E0FBD">
      <w:pPr>
        <w:pStyle w:val="NumberedList1"/>
      </w:pPr>
      <w:r>
        <w:rPr>
          <w:rFonts w:ascii="Arial" w:hAnsi="Arial" w:cs="Arial"/>
          <w:color w:val="3B3B3B"/>
          <w:shd w:val="clear" w:color="auto" w:fill="FFFFFF"/>
        </w:rPr>
        <w:t xml:space="preserve">If a </w:t>
      </w:r>
      <w:proofErr w:type="spellStart"/>
      <w:r>
        <w:rPr>
          <w:rFonts w:ascii="Arial" w:hAnsi="Arial" w:cs="Arial"/>
          <w:color w:val="3B3B3B"/>
          <w:shd w:val="clear" w:color="auto" w:fill="FFFFFF"/>
        </w:rPr>
        <w:t>sunsetting</w:t>
      </w:r>
      <w:proofErr w:type="spellEnd"/>
      <w:r>
        <w:rPr>
          <w:rFonts w:ascii="Arial" w:hAnsi="Arial" w:cs="Arial"/>
          <w:color w:val="3B3B3B"/>
          <w:shd w:val="clear" w:color="auto" w:fill="FFFFFF"/>
        </w:rPr>
        <w:t xml:space="preserve"> special account is used to manage an ongoing departmental activity, it may be appropriate to transfer the </w:t>
      </w:r>
      <w:r w:rsidRPr="00592F2B">
        <w:rPr>
          <w:rFonts w:ascii="Arial" w:hAnsi="Arial" w:cs="Arial"/>
          <w:color w:val="3B3B3B"/>
          <w:shd w:val="clear" w:color="auto" w:fill="FFFFFF"/>
        </w:rPr>
        <w:t xml:space="preserve">special account balance to an annual departmental appropriation and no longer use the special account. To do this, the portfolio minister must </w:t>
      </w:r>
      <w:r w:rsidR="0062675A" w:rsidRPr="00592F2B">
        <w:rPr>
          <w:rFonts w:ascii="Arial" w:hAnsi="Arial" w:cs="Arial"/>
          <w:color w:val="3B3B3B"/>
          <w:shd w:val="clear" w:color="auto" w:fill="FFFFFF"/>
        </w:rPr>
        <w:t xml:space="preserve">write to </w:t>
      </w:r>
      <w:r w:rsidRPr="00592F2B">
        <w:rPr>
          <w:rFonts w:ascii="Arial" w:hAnsi="Arial" w:cs="Arial"/>
          <w:color w:val="3B3B3B"/>
          <w:shd w:val="clear" w:color="auto" w:fill="FFFFFF"/>
        </w:rPr>
        <w:t xml:space="preserve">the Finance Minister </w:t>
      </w:r>
      <w:r w:rsidR="00B30B1C" w:rsidRPr="00592F2B">
        <w:rPr>
          <w:rFonts w:ascii="Arial" w:hAnsi="Arial" w:cs="Arial"/>
          <w:color w:val="3B3B3B"/>
          <w:shd w:val="clear" w:color="auto" w:fill="FFFFFF"/>
        </w:rPr>
        <w:t xml:space="preserve">to seek agreement </w:t>
      </w:r>
      <w:r w:rsidRPr="00592F2B">
        <w:rPr>
          <w:rFonts w:ascii="Arial" w:hAnsi="Arial" w:cs="Arial"/>
          <w:color w:val="3B3B3B"/>
          <w:shd w:val="clear" w:color="auto" w:fill="FFFFFF"/>
        </w:rPr>
        <w:t xml:space="preserve">under </w:t>
      </w:r>
      <w:r>
        <w:rPr>
          <w:rFonts w:ascii="Arial" w:hAnsi="Arial" w:cs="Arial"/>
          <w:color w:val="3B3B3B"/>
          <w:shd w:val="clear" w:color="auto" w:fill="FFFFFF"/>
        </w:rPr>
        <w:t xml:space="preserve">section 27 of the </w:t>
      </w:r>
      <w:hyperlink r:id="rId53" w:tgtFrame="_blank" w:history="1">
        <w:r w:rsidRPr="002B782D">
          <w:rPr>
            <w:rStyle w:val="Hyperlink"/>
            <w:i w:val="0"/>
          </w:rPr>
          <w:t>PGPA Rule</w:t>
        </w:r>
      </w:hyperlink>
      <w:r>
        <w:rPr>
          <w:rFonts w:ascii="Arial" w:hAnsi="Arial" w:cs="Arial"/>
          <w:color w:val="3B3B3B"/>
          <w:shd w:val="clear" w:color="auto" w:fill="FFFFFF"/>
        </w:rPr>
        <w:t xml:space="preserve">. </w:t>
      </w:r>
    </w:p>
    <w:p w14:paraId="24CA084A" w14:textId="77777777" w:rsidR="00E103D5" w:rsidRDefault="001E0FBD" w:rsidP="001E0FBD">
      <w:pPr>
        <w:pStyle w:val="NumberedList1"/>
      </w:pPr>
      <w:r>
        <w:t xml:space="preserve">Entities are </w:t>
      </w:r>
      <w:r w:rsidRPr="00C1364C">
        <w:t>to seek Finance comments on draft ministerial correspondence at least two parliamentary sitting periods before the relevant special account is expected to sunset.</w:t>
      </w:r>
      <w:r>
        <w:t xml:space="preserve"> </w:t>
      </w:r>
    </w:p>
    <w:p w14:paraId="60E0DBC9" w14:textId="1062A3ED" w:rsidR="001E0FBD" w:rsidRPr="00592F2B" w:rsidRDefault="001E0FBD" w:rsidP="001E0FBD">
      <w:pPr>
        <w:pStyle w:val="NumberedList1"/>
      </w:pPr>
      <w:r w:rsidRPr="00B41953">
        <w:rPr>
          <w:rFonts w:ascii="Arial" w:hAnsi="Arial" w:cs="Arial"/>
          <w:color w:val="3B3B3B"/>
          <w:shd w:val="clear" w:color="auto" w:fill="FFFFFF"/>
        </w:rPr>
        <w:t xml:space="preserve">For more </w:t>
      </w:r>
      <w:r w:rsidRPr="00592F2B">
        <w:rPr>
          <w:rFonts w:ascii="Arial" w:hAnsi="Arial" w:cs="Arial"/>
          <w:color w:val="3B3B3B"/>
          <w:shd w:val="clear" w:color="auto" w:fill="FFFFFF"/>
        </w:rPr>
        <w:t xml:space="preserve">information, see </w:t>
      </w:r>
      <w:hyperlink r:id="rId54" w:history="1">
        <w:r w:rsidRPr="00592F2B">
          <w:rPr>
            <w:rStyle w:val="Hyperlink"/>
          </w:rPr>
          <w:t>Guide to Appropriations (RMG 100)</w:t>
        </w:r>
      </w:hyperlink>
      <w:r w:rsidRPr="00592F2B">
        <w:rPr>
          <w:rStyle w:val="Hyperlink"/>
          <w:u w:val="none"/>
        </w:rPr>
        <w:t xml:space="preserve"> </w:t>
      </w:r>
      <w:r w:rsidRPr="00592F2B">
        <w:rPr>
          <w:rFonts w:ascii="Arial" w:hAnsi="Arial" w:cs="Arial"/>
          <w:color w:val="3B3B3B"/>
          <w:shd w:val="clear" w:color="auto" w:fill="FFFFFF"/>
        </w:rPr>
        <w:t>or contact</w:t>
      </w:r>
      <w:r w:rsidR="00E103D5" w:rsidRPr="00592F2B">
        <w:rPr>
          <w:rFonts w:ascii="Arial" w:hAnsi="Arial" w:cs="Arial"/>
          <w:color w:val="3B3B3B"/>
          <w:shd w:val="clear" w:color="auto" w:fill="FFFFFF"/>
        </w:rPr>
        <w:t xml:space="preserve"> Finance</w:t>
      </w:r>
      <w:r w:rsidRPr="00592F2B">
        <w:rPr>
          <w:rFonts w:ascii="Arial" w:hAnsi="Arial" w:cs="Arial"/>
          <w:color w:val="3B3B3B"/>
          <w:shd w:val="clear" w:color="auto" w:fill="FFFFFF"/>
        </w:rPr>
        <w:t xml:space="preserve"> </w:t>
      </w:r>
      <w:hyperlink r:id="rId55" w:history="1">
        <w:r w:rsidR="00E103D5" w:rsidRPr="00592F2B">
          <w:rPr>
            <w:rStyle w:val="Hyperlink"/>
            <w:i w:val="0"/>
          </w:rPr>
          <w:t>Special Appropriations Team</w:t>
        </w:r>
      </w:hyperlink>
      <w:r w:rsidRPr="00592F2B">
        <w:t>.</w:t>
      </w:r>
    </w:p>
    <w:p w14:paraId="566E51BE" w14:textId="77777777" w:rsidR="001E0FBD" w:rsidRPr="00592F2B" w:rsidRDefault="001E0FBD" w:rsidP="001F4981">
      <w:pPr>
        <w:pStyle w:val="Heading2Numbered"/>
        <w:numPr>
          <w:ilvl w:val="0"/>
          <w:numId w:val="0"/>
        </w:numPr>
        <w:rPr>
          <w:rFonts w:eastAsia="Times New Roman"/>
          <w:lang w:val="en" w:eastAsia="en-AU"/>
        </w:rPr>
      </w:pPr>
      <w:bookmarkStart w:id="53" w:name="Trusts"/>
      <w:bookmarkStart w:id="54" w:name="_Toc46302458"/>
      <w:r w:rsidRPr="00592F2B">
        <w:rPr>
          <w:rFonts w:eastAsia="Times New Roman"/>
          <w:lang w:val="en" w:eastAsia="en-AU"/>
        </w:rPr>
        <w:t>Money held on trust</w:t>
      </w:r>
      <w:bookmarkEnd w:id="54"/>
    </w:p>
    <w:bookmarkEnd w:id="53"/>
    <w:p w14:paraId="6142C960" w14:textId="56B7B22C" w:rsidR="001E0FBD" w:rsidRDefault="001E0FBD" w:rsidP="001E0FBD">
      <w:pPr>
        <w:pStyle w:val="NumberedList1"/>
      </w:pPr>
      <w:r w:rsidRPr="00592F2B">
        <w:t xml:space="preserve">Subsection 27(3) of the </w:t>
      </w:r>
      <w:hyperlink r:id="rId56" w:history="1">
        <w:r w:rsidRPr="00592F2B">
          <w:rPr>
            <w:rStyle w:val="Hyperlink"/>
            <w:bCs w:val="0"/>
            <w:i w:val="0"/>
          </w:rPr>
          <w:t>PGPA Rule</w:t>
        </w:r>
      </w:hyperlink>
      <w:r w:rsidRPr="00592F2B">
        <w:t xml:space="preserve"> allows an NCE to increase its most recent departmental item with amounts</w:t>
      </w:r>
      <w:r w:rsidRPr="00C1364C">
        <w:t xml:space="preserve"> that relate to a trust or similar arrangement.</w:t>
      </w:r>
      <w:r>
        <w:t xml:space="preserve"> </w:t>
      </w:r>
      <w:r w:rsidRPr="00C1364C">
        <w:t>If a</w:t>
      </w:r>
      <w:r>
        <w:t>n</w:t>
      </w:r>
      <w:r w:rsidRPr="00C1364C">
        <w:t xml:space="preserve"> NCE holds money on trust for a non-Commonwealth entity (such as an individual, company or non-government </w:t>
      </w:r>
      <w:proofErr w:type="spellStart"/>
      <w:r w:rsidRPr="00C1364C">
        <w:t>organisation</w:t>
      </w:r>
      <w:proofErr w:type="spellEnd"/>
      <w:r w:rsidRPr="00C1364C">
        <w:t>), that money forms p</w:t>
      </w:r>
      <w:r>
        <w:t xml:space="preserve">art of the CRF and </w:t>
      </w:r>
      <w:r w:rsidRPr="00C1364C">
        <w:t>an appropriation is required to spend the money, includi</w:t>
      </w:r>
      <w:r>
        <w:t>ng repaying a trust benefactor.</w:t>
      </w:r>
    </w:p>
    <w:p w14:paraId="603B2DE1" w14:textId="6D178E53" w:rsidR="00C11E88" w:rsidRPr="00C1364C" w:rsidRDefault="00C11E88" w:rsidP="00C11E88">
      <w:pPr>
        <w:pStyle w:val="NumberedList1"/>
      </w:pPr>
      <w:r w:rsidRPr="00C1364C">
        <w:t>Legal trusts are established under state and territory laws and usually require money to be held ‘separately’. This separation can be met by a</w:t>
      </w:r>
      <w:r>
        <w:t>n</w:t>
      </w:r>
      <w:r w:rsidRPr="00C1364C">
        <w:t xml:space="preserve"> NCE maintaining a separate bank account to support the money held on trust as part of its ann</w:t>
      </w:r>
      <w:r>
        <w:t>ual departmental appropriation.</w:t>
      </w:r>
    </w:p>
    <w:p w14:paraId="5A346288" w14:textId="05F6ACAD" w:rsidR="001E0FBD" w:rsidRDefault="001E0FBD" w:rsidP="001E0FBD">
      <w:pPr>
        <w:pStyle w:val="NumberedList1"/>
      </w:pPr>
      <w:r w:rsidRPr="00C1364C">
        <w:t xml:space="preserve">For the purposes of section 8 of the </w:t>
      </w:r>
      <w:hyperlink r:id="rId57" w:history="1">
        <w:r w:rsidRPr="00160E1A">
          <w:rPr>
            <w:rStyle w:val="Hyperlink"/>
            <w:i w:val="0"/>
          </w:rPr>
          <w:t>PGPA Act</w:t>
        </w:r>
      </w:hyperlink>
      <w:r w:rsidRPr="00C1364C">
        <w:t>, mon</w:t>
      </w:r>
      <w:r>
        <w:t>ey held on trust is considered ‘relevant money’</w:t>
      </w:r>
      <w:r w:rsidRPr="00C1364C">
        <w:t xml:space="preserve"> and must b</w:t>
      </w:r>
      <w:r>
        <w:t>e handled in accordance with</w:t>
      </w:r>
      <w:r w:rsidR="00E103D5">
        <w:t xml:space="preserve"> the</w:t>
      </w:r>
      <w:r w:rsidRPr="00C1364C">
        <w:t xml:space="preserve"> </w:t>
      </w:r>
      <w:hyperlink r:id="rId58" w:history="1">
        <w:r w:rsidRPr="00160E1A">
          <w:rPr>
            <w:rStyle w:val="Hyperlink"/>
            <w:i w:val="0"/>
          </w:rPr>
          <w:t>PGPA Act</w:t>
        </w:r>
      </w:hyperlink>
      <w:r w:rsidR="00E103D5">
        <w:t xml:space="preserve"> and </w:t>
      </w:r>
      <w:r>
        <w:t xml:space="preserve">section 18 of the </w:t>
      </w:r>
      <w:hyperlink r:id="rId59" w:history="1">
        <w:r w:rsidRPr="00A81DAC">
          <w:rPr>
            <w:rStyle w:val="Hyperlink"/>
            <w:bCs w:val="0"/>
            <w:i w:val="0"/>
          </w:rPr>
          <w:t>PGPA Rule</w:t>
        </w:r>
      </w:hyperlink>
      <w:r w:rsidRPr="00C1364C">
        <w:t>.</w:t>
      </w:r>
    </w:p>
    <w:p w14:paraId="26B4E282" w14:textId="77777777" w:rsidR="001E0FBD" w:rsidRDefault="001E0FBD" w:rsidP="001E0FBD">
      <w:pPr>
        <w:pStyle w:val="NumberedList1"/>
      </w:pPr>
      <w:r w:rsidRPr="00C1364C">
        <w:t>Entities are discouraged from establishing a trust (under a trust deed or a trust instrument) or accepting trust-like responsibilities unless</w:t>
      </w:r>
      <w:r>
        <w:t>:</w:t>
      </w:r>
      <w:r w:rsidRPr="00C1364C">
        <w:t xml:space="preserve"> </w:t>
      </w:r>
    </w:p>
    <w:p w14:paraId="04626CAC" w14:textId="77777777" w:rsidR="001E0FBD" w:rsidRDefault="001E0FBD" w:rsidP="001E0FBD">
      <w:pPr>
        <w:pStyle w:val="Bullet1"/>
      </w:pPr>
      <w:r w:rsidRPr="00C1364C">
        <w:t>it is expressly in the Co</w:t>
      </w:r>
      <w:r>
        <w:t>mmonwealth’s interest to do so</w:t>
      </w:r>
    </w:p>
    <w:p w14:paraId="4EEFB4FC" w14:textId="77777777" w:rsidR="001E0FBD" w:rsidRDefault="001E0FBD" w:rsidP="001E0FBD">
      <w:pPr>
        <w:pStyle w:val="Bullet1"/>
      </w:pPr>
      <w:r w:rsidRPr="00C1364C">
        <w:t>legal and resourcing implica</w:t>
      </w:r>
      <w:r>
        <w:t>tions have been considered</w:t>
      </w:r>
    </w:p>
    <w:p w14:paraId="5CFF11B8" w14:textId="3D1644E2" w:rsidR="001E0FBD" w:rsidRPr="00C1364C" w:rsidRDefault="001E0FBD" w:rsidP="001E0FBD">
      <w:pPr>
        <w:pStyle w:val="Bullet1"/>
      </w:pPr>
      <w:proofErr w:type="gramStart"/>
      <w:r w:rsidRPr="00C1364C">
        <w:t>appropriate</w:t>
      </w:r>
      <w:proofErr w:type="gramEnd"/>
      <w:r w:rsidRPr="00C1364C">
        <w:t xml:space="preserve"> policy authority from </w:t>
      </w:r>
      <w:r>
        <w:t>Cabinet or th</w:t>
      </w:r>
      <w:r w:rsidR="00E103D5">
        <w:t>e Prime Minister has been obtained</w:t>
      </w:r>
      <w:r>
        <w:t xml:space="preserve"> under </w:t>
      </w:r>
      <w:r w:rsidRPr="00C1364C">
        <w:t xml:space="preserve">section 15 of the </w:t>
      </w:r>
      <w:hyperlink r:id="rId60" w:history="1">
        <w:r w:rsidRPr="00160E1A">
          <w:rPr>
            <w:rStyle w:val="Hyperlink"/>
            <w:i w:val="0"/>
          </w:rPr>
          <w:t>PGPA Act</w:t>
        </w:r>
      </w:hyperlink>
      <w:r w:rsidRPr="00C1364C">
        <w:t xml:space="preserve">. </w:t>
      </w:r>
    </w:p>
    <w:p w14:paraId="7DE5E6C4" w14:textId="62AE0C7C" w:rsidR="001E0FBD" w:rsidRPr="00C1364C" w:rsidRDefault="001E0FBD" w:rsidP="00E103D5">
      <w:pPr>
        <w:pStyle w:val="NumberedList1"/>
      </w:pPr>
      <w:r w:rsidRPr="00C1364C">
        <w:lastRenderedPageBreak/>
        <w:t xml:space="preserve">Before entering into a trust or trust-like arrangement, it is important to understand the legal, financial and other implications for the Commonwealth. </w:t>
      </w:r>
      <w:r>
        <w:t xml:space="preserve">For further advice, </w:t>
      </w:r>
      <w:r w:rsidRPr="00C1364C">
        <w:t>partic</w:t>
      </w:r>
      <w:r w:rsidRPr="00CB3509">
        <w:t xml:space="preserve">ularly before entering into a trust relationship that obliges investment of money, contact Finance </w:t>
      </w:r>
      <w:hyperlink r:id="rId61" w:history="1">
        <w:r w:rsidRPr="00CB3509">
          <w:rPr>
            <w:rStyle w:val="Hyperlink"/>
            <w:i w:val="0"/>
          </w:rPr>
          <w:t>Governance Team</w:t>
        </w:r>
      </w:hyperlink>
      <w:r w:rsidRPr="00CB3509">
        <w:t>.</w:t>
      </w:r>
    </w:p>
    <w:p w14:paraId="77D2E6BC" w14:textId="4E9B0C98" w:rsidR="001E0FBD" w:rsidRPr="00C1364C" w:rsidRDefault="001E0FBD" w:rsidP="001E0FBD">
      <w:pPr>
        <w:pStyle w:val="NumberedList1"/>
      </w:pPr>
      <w:r w:rsidRPr="00C1364C">
        <w:t xml:space="preserve">Where such an arrangement exists, and </w:t>
      </w:r>
      <w:r w:rsidR="00E103D5">
        <w:t xml:space="preserve">it </w:t>
      </w:r>
      <w:r w:rsidRPr="00C1364C">
        <w:t xml:space="preserve">obliges an NCE to invest a principal amount and earn returns or interest (including on bank accounts), the NCE must ensure it has the necessary delegations and approvals from the Finance Minister to invest money under section 58 of the </w:t>
      </w:r>
      <w:hyperlink r:id="rId62" w:history="1">
        <w:r w:rsidRPr="00160E1A">
          <w:rPr>
            <w:rStyle w:val="Hyperlink"/>
            <w:i w:val="0"/>
          </w:rPr>
          <w:t>PGPA Act</w:t>
        </w:r>
      </w:hyperlink>
      <w:r w:rsidRPr="00C1364C">
        <w:t xml:space="preserve"> and to accrue and spend bank account interest under banking policies.</w:t>
      </w:r>
    </w:p>
    <w:p w14:paraId="0A60EA87" w14:textId="77777777" w:rsidR="00C11E88" w:rsidRDefault="00C11E88" w:rsidP="00C11E88">
      <w:pPr>
        <w:pStyle w:val="NumberedList1"/>
      </w:pPr>
      <w:r w:rsidRPr="00C1364C">
        <w:t>There are also specific financial reporting requirement</w:t>
      </w:r>
      <w:r>
        <w:t xml:space="preserve">s for trust moneys. </w:t>
      </w:r>
      <w:r w:rsidR="001E0FBD" w:rsidRPr="00C1364C">
        <w:t>Additional transparency can be provided in the NCE’s annual report and on the NCE’s website.</w:t>
      </w:r>
    </w:p>
    <w:p w14:paraId="75D9AB13" w14:textId="25D876A8" w:rsidR="001E0FBD" w:rsidRPr="00C11E88" w:rsidRDefault="001E0FBD" w:rsidP="00C11E88">
      <w:pPr>
        <w:pStyle w:val="NumberedList1"/>
      </w:pPr>
      <w:r>
        <w:t xml:space="preserve">For more </w:t>
      </w:r>
      <w:r w:rsidRPr="00C1364C">
        <w:t xml:space="preserve">information on reporting and accounting for trust amounts, see </w:t>
      </w:r>
      <w:proofErr w:type="gramStart"/>
      <w:r w:rsidRPr="00C1364C">
        <w:t xml:space="preserve">the </w:t>
      </w:r>
      <w:hyperlink r:id="rId63" w:tgtFrame="_blank" w:history="1">
        <w:hyperlink r:id="rId64" w:history="1">
          <w:hyperlink r:id="rId65" w:history="1">
            <w:r w:rsidR="00F43709" w:rsidRPr="00C11E88">
              <w:rPr>
                <w:rStyle w:val="Hyperlink"/>
                <w:bCs w:val="0"/>
                <w:i w:val="0"/>
              </w:rPr>
              <w:t>FRR</w:t>
            </w:r>
          </w:hyperlink>
        </w:hyperlink>
      </w:hyperlink>
      <w:r w:rsidRPr="00C1364C">
        <w:t xml:space="preserve"> and</w:t>
      </w:r>
      <w:proofErr w:type="gramEnd"/>
      <w:r w:rsidRPr="00C1364C">
        <w:t xml:space="preserve"> </w:t>
      </w:r>
      <w:hyperlink r:id="rId66" w:history="1">
        <w:r w:rsidRPr="00E84F05">
          <w:rPr>
            <w:rStyle w:val="Hyperlink"/>
          </w:rPr>
          <w:t xml:space="preserve">Commonwealth entities financial </w:t>
        </w:r>
        <w:r>
          <w:rPr>
            <w:rStyle w:val="Hyperlink"/>
          </w:rPr>
          <w:t xml:space="preserve">statements guide </w:t>
        </w:r>
        <w:r w:rsidRPr="00E84F05">
          <w:rPr>
            <w:rStyle w:val="Hyperlink"/>
          </w:rPr>
          <w:t>(RMG 125)</w:t>
        </w:r>
      </w:hyperlink>
      <w:r w:rsidRPr="00C11E88">
        <w:rPr>
          <w:rStyle w:val="Hyperlink"/>
          <w:u w:val="none"/>
        </w:rPr>
        <w:t>.</w:t>
      </w:r>
    </w:p>
    <w:p w14:paraId="67480270" w14:textId="77777777" w:rsidR="001E0FBD" w:rsidRPr="00592F2B" w:rsidRDefault="001E0FBD" w:rsidP="001F4981">
      <w:pPr>
        <w:pStyle w:val="Heading2Numbered"/>
        <w:numPr>
          <w:ilvl w:val="0"/>
          <w:numId w:val="0"/>
        </w:numPr>
        <w:rPr>
          <w:rFonts w:eastAsia="Times New Roman"/>
          <w:lang w:val="en" w:eastAsia="en-AU"/>
        </w:rPr>
      </w:pPr>
      <w:bookmarkStart w:id="55" w:name="Repayments"/>
      <w:bookmarkStart w:id="56" w:name="_Toc46302459"/>
      <w:r w:rsidRPr="00592F2B">
        <w:rPr>
          <w:rFonts w:eastAsia="Times New Roman"/>
          <w:lang w:val="en" w:eastAsia="en-AU"/>
        </w:rPr>
        <w:t>Repayments</w:t>
      </w:r>
      <w:bookmarkEnd w:id="56"/>
    </w:p>
    <w:bookmarkEnd w:id="55"/>
    <w:p w14:paraId="5F337751" w14:textId="38C54B6B" w:rsidR="006A33EA" w:rsidRPr="00592F2B" w:rsidRDefault="001E0FBD" w:rsidP="00C11E88">
      <w:pPr>
        <w:pStyle w:val="NumberedList1"/>
      </w:pPr>
      <w:r w:rsidRPr="00592F2B">
        <w:t xml:space="preserve">For various reasons, a payment made by the Commonwealth may be subsequently returned by one or more recipients. </w:t>
      </w:r>
    </w:p>
    <w:p w14:paraId="03EB199F" w14:textId="2C4449E8" w:rsidR="004354B2" w:rsidRDefault="004354B2" w:rsidP="004354B2">
      <w:pPr>
        <w:pStyle w:val="Heading3"/>
      </w:pPr>
      <w:bookmarkStart w:id="57" w:name="_Toc46302460"/>
      <w:r w:rsidRPr="00592F2B">
        <w:t>Repayment to a limited appropriation</w:t>
      </w:r>
      <w:bookmarkEnd w:id="57"/>
    </w:p>
    <w:p w14:paraId="26820F78" w14:textId="4844E83B" w:rsidR="006A33EA" w:rsidRDefault="006A33EA" w:rsidP="006A33EA">
      <w:pPr>
        <w:pStyle w:val="NumberedList1"/>
      </w:pPr>
      <w:r w:rsidRPr="00C1364C">
        <w:t xml:space="preserve">Subsections 27(4) and (5) of the </w:t>
      </w:r>
      <w:hyperlink r:id="rId67" w:history="1">
        <w:r w:rsidRPr="00A81DAC">
          <w:rPr>
            <w:rStyle w:val="Hyperlink"/>
            <w:bCs w:val="0"/>
            <w:i w:val="0"/>
          </w:rPr>
          <w:t>PGPA Rule</w:t>
        </w:r>
      </w:hyperlink>
      <w:r>
        <w:t xml:space="preserve"> provides </w:t>
      </w:r>
      <w:r w:rsidRPr="00C1364C">
        <w:t>for the retention of repayment receipts relating</w:t>
      </w:r>
      <w:r w:rsidR="004354B2">
        <w:t xml:space="preserve"> to a limited appropriation by</w:t>
      </w:r>
      <w:r w:rsidRPr="00C1364C">
        <w:t xml:space="preserve"> re-credit</w:t>
      </w:r>
      <w:r w:rsidR="004354B2">
        <w:t xml:space="preserve">ing </w:t>
      </w:r>
      <w:r>
        <w:t>a limited</w:t>
      </w:r>
      <w:r w:rsidRPr="00C1364C">
        <w:t xml:space="preserve"> ap</w:t>
      </w:r>
      <w:r>
        <w:t>propriation</w:t>
      </w:r>
      <w:r w:rsidR="004354B2">
        <w:t>,</w:t>
      </w:r>
      <w:r>
        <w:t xml:space="preserve"> from which an original amount was paid, with </w:t>
      </w:r>
      <w:r w:rsidR="001E0FBD" w:rsidRPr="00C1364C">
        <w:t>some or al</w:t>
      </w:r>
      <w:r>
        <w:t xml:space="preserve">l of a repayment </w:t>
      </w:r>
      <w:r w:rsidR="004354B2">
        <w:t>amount</w:t>
      </w:r>
      <w:r w:rsidR="001E0FBD">
        <w:t xml:space="preserve">. </w:t>
      </w:r>
    </w:p>
    <w:p w14:paraId="509267B1" w14:textId="295B16AF" w:rsidR="001E0FBD" w:rsidRPr="00C1364C" w:rsidRDefault="001E0FBD" w:rsidP="006A33EA">
      <w:pPr>
        <w:pStyle w:val="NumberedList1"/>
      </w:pPr>
      <w:r>
        <w:t>Appropriations that</w:t>
      </w:r>
      <w:r w:rsidRPr="00C1364C">
        <w:t xml:space="preserve"> are limited in amount include: </w:t>
      </w:r>
    </w:p>
    <w:p w14:paraId="1BA0C573" w14:textId="1CD2BBA2" w:rsidR="001E0FBD" w:rsidRPr="00CB3509" w:rsidRDefault="001E0FBD" w:rsidP="001E0FBD">
      <w:pPr>
        <w:pStyle w:val="Bullet1"/>
        <w:rPr>
          <w:lang w:val="en" w:eastAsia="en-AU"/>
        </w:rPr>
      </w:pPr>
      <w:r w:rsidRPr="00C1364C">
        <w:rPr>
          <w:lang w:val="en" w:eastAsia="en-AU"/>
        </w:rPr>
        <w:t>administered ite</w:t>
      </w:r>
      <w:r w:rsidR="005831D9">
        <w:rPr>
          <w:lang w:val="en" w:eastAsia="en-AU"/>
        </w:rPr>
        <w:t xml:space="preserve">ms or departmental items in </w:t>
      </w:r>
      <w:r w:rsidRPr="00C1364C">
        <w:rPr>
          <w:lang w:val="en" w:eastAsia="en-AU"/>
        </w:rPr>
        <w:t>sche</w:t>
      </w:r>
      <w:r w:rsidRPr="00CB3509">
        <w:rPr>
          <w:lang w:val="en" w:eastAsia="en-AU"/>
        </w:rPr>
        <w:t>dul</w:t>
      </w:r>
      <w:r w:rsidR="00A163CB" w:rsidRPr="00CB3509">
        <w:rPr>
          <w:lang w:val="en" w:eastAsia="en-AU"/>
        </w:rPr>
        <w:t xml:space="preserve">es of annual </w:t>
      </w:r>
      <w:r w:rsidR="00CB3509" w:rsidRPr="00CB3509">
        <w:rPr>
          <w:lang w:val="en" w:eastAsia="en-AU"/>
        </w:rPr>
        <w:t>A</w:t>
      </w:r>
      <w:r w:rsidRPr="00CB3509">
        <w:rPr>
          <w:lang w:val="en" w:eastAsia="en-AU"/>
        </w:rPr>
        <w:t>ppropriation Acts</w:t>
      </w:r>
    </w:p>
    <w:p w14:paraId="01C37F95" w14:textId="77777777" w:rsidR="001E0FBD" w:rsidRPr="00C1364C" w:rsidRDefault="001E0FBD" w:rsidP="001E0FBD">
      <w:pPr>
        <w:pStyle w:val="Bullet1"/>
        <w:rPr>
          <w:lang w:val="en" w:eastAsia="en-AU"/>
        </w:rPr>
      </w:pPr>
      <w:r w:rsidRPr="00C1364C">
        <w:rPr>
          <w:lang w:val="en" w:eastAsia="en-AU"/>
        </w:rPr>
        <w:t>special accounts, the limit being the bal</w:t>
      </w:r>
      <w:r>
        <w:rPr>
          <w:lang w:val="en" w:eastAsia="en-AU"/>
        </w:rPr>
        <w:t>ance of the special account</w:t>
      </w:r>
    </w:p>
    <w:p w14:paraId="44023073" w14:textId="78EAB08A" w:rsidR="001E0FBD" w:rsidRPr="00C1364C" w:rsidRDefault="001E0FBD" w:rsidP="001E0FBD">
      <w:pPr>
        <w:pStyle w:val="Bullet1"/>
        <w:rPr>
          <w:lang w:val="en" w:eastAsia="en-AU"/>
        </w:rPr>
      </w:pPr>
      <w:proofErr w:type="gramStart"/>
      <w:r w:rsidRPr="00C1364C">
        <w:rPr>
          <w:lang w:val="en" w:eastAsia="en-AU"/>
        </w:rPr>
        <w:t>special</w:t>
      </w:r>
      <w:proofErr w:type="gramEnd"/>
      <w:r w:rsidRPr="00C1364C">
        <w:rPr>
          <w:lang w:val="en" w:eastAsia="en-AU"/>
        </w:rPr>
        <w:t xml:space="preserve"> appropriations</w:t>
      </w:r>
      <w:r w:rsidR="005831D9">
        <w:rPr>
          <w:lang w:val="en" w:eastAsia="en-AU"/>
        </w:rPr>
        <w:t xml:space="preserve"> that</w:t>
      </w:r>
      <w:r w:rsidRPr="00C1364C">
        <w:rPr>
          <w:lang w:val="en" w:eastAsia="en-AU"/>
        </w:rPr>
        <w:t xml:space="preserve"> have a dollar limit specified in the relevant Act.</w:t>
      </w:r>
    </w:p>
    <w:p w14:paraId="3F15CA0C" w14:textId="07AFE61C" w:rsidR="001E0FBD" w:rsidRDefault="001E0FBD" w:rsidP="001E0FBD">
      <w:pPr>
        <w:pStyle w:val="Extracttitle"/>
        <w:spacing w:before="240" w:line="276" w:lineRule="auto"/>
        <w:ind w:left="0" w:firstLine="77"/>
      </w:pPr>
      <w:r w:rsidRPr="00C1364C">
        <w:t>Examples</w:t>
      </w:r>
      <w:r>
        <w:t xml:space="preserve"> – W</w:t>
      </w:r>
      <w:r w:rsidR="00C11E88">
        <w:t>hen a repayment may be required</w:t>
      </w:r>
      <w:r>
        <w:t xml:space="preserve"> </w:t>
      </w:r>
    </w:p>
    <w:p w14:paraId="20A73357" w14:textId="2BDCF82B" w:rsidR="00C11E88" w:rsidRDefault="00C11E88" w:rsidP="00C11E88">
      <w:pPr>
        <w:pStyle w:val="Bullets1stindent"/>
        <w:numPr>
          <w:ilvl w:val="0"/>
          <w:numId w:val="0"/>
        </w:numPr>
        <w:shd w:val="clear" w:color="auto" w:fill="B4B5DF"/>
      </w:pPr>
      <w:r>
        <w:t>A repayment may be required where an NCE has:</w:t>
      </w:r>
    </w:p>
    <w:p w14:paraId="49695DEE" w14:textId="4DE0D79E" w:rsidR="00C11E88" w:rsidRDefault="00C11E88" w:rsidP="00C11E88">
      <w:pPr>
        <w:pStyle w:val="Bullets1stindent"/>
        <w:numPr>
          <w:ilvl w:val="0"/>
          <w:numId w:val="16"/>
        </w:numPr>
        <w:shd w:val="clear" w:color="auto" w:fill="B4B5DF"/>
        <w:ind w:left="426" w:hanging="426"/>
      </w:pPr>
      <w:r w:rsidRPr="00561B99">
        <w:t>overpaid a</w:t>
      </w:r>
      <w:r>
        <w:t xml:space="preserve"> supplier of goods and services</w:t>
      </w:r>
      <w:r w:rsidRPr="00561B99">
        <w:t xml:space="preserve"> and that person repays the</w:t>
      </w:r>
      <w:r>
        <w:t xml:space="preserve"> excess amount</w:t>
      </w:r>
    </w:p>
    <w:p w14:paraId="6A455EAE" w14:textId="33CF7128" w:rsidR="00C11E88" w:rsidRDefault="00C11E88" w:rsidP="00C11E88">
      <w:pPr>
        <w:pStyle w:val="Bullets1stindent"/>
        <w:numPr>
          <w:ilvl w:val="0"/>
          <w:numId w:val="16"/>
        </w:numPr>
        <w:shd w:val="clear" w:color="auto" w:fill="B4B5DF"/>
        <w:ind w:left="426" w:hanging="426"/>
      </w:pPr>
      <w:r w:rsidRPr="00561B99">
        <w:t>made a grant payment, of which some has been returned by the recipients in accordance with the grant agreement</w:t>
      </w:r>
    </w:p>
    <w:p w14:paraId="024E36A5" w14:textId="48F8DFF7" w:rsidR="00C11E88" w:rsidRDefault="00C11E88" w:rsidP="00C11E88">
      <w:pPr>
        <w:pStyle w:val="Bullets1stindent"/>
        <w:numPr>
          <w:ilvl w:val="0"/>
          <w:numId w:val="16"/>
        </w:numPr>
        <w:shd w:val="clear" w:color="auto" w:fill="B4B5DF"/>
        <w:ind w:left="426" w:hanging="426"/>
      </w:pPr>
      <w:proofErr w:type="gramStart"/>
      <w:r w:rsidRPr="00561B99">
        <w:t>made</w:t>
      </w:r>
      <w:proofErr w:type="gramEnd"/>
      <w:r w:rsidRPr="00561B99">
        <w:t xml:space="preserve"> a payment mistake, such as payment to the wrong recipient, double-paying, or paying at the wrong time, and the recipients return the amounts paid in error.</w:t>
      </w:r>
    </w:p>
    <w:p w14:paraId="62265E0C" w14:textId="199D248A" w:rsidR="00042210" w:rsidRPr="001962A8" w:rsidRDefault="00C11E88" w:rsidP="00042210">
      <w:pPr>
        <w:pStyle w:val="NumberedList1"/>
      </w:pPr>
      <w:r>
        <w:t>The appropriation to be</w:t>
      </w:r>
      <w:r w:rsidR="001E0FBD" w:rsidRPr="00C1364C">
        <w:t xml:space="preserve"> increased is the one from whic</w:t>
      </w:r>
      <w:r w:rsidR="00042210">
        <w:t>h the original payment was made</w:t>
      </w:r>
      <w:r w:rsidR="00CD0B51">
        <w:t xml:space="preserve">, </w:t>
      </w:r>
      <w:r w:rsidR="00CD0B51" w:rsidRPr="00D674DA">
        <w:t xml:space="preserve">but </w:t>
      </w:r>
      <w:r w:rsidR="00CD0B51" w:rsidRPr="00D674DA">
        <w:rPr>
          <w:b/>
          <w:bCs w:val="0"/>
        </w:rPr>
        <w:t>only if</w:t>
      </w:r>
      <w:r w:rsidR="00CD0B51" w:rsidRPr="00D674DA">
        <w:t xml:space="preserve"> that original </w:t>
      </w:r>
      <w:r w:rsidR="00CD0B51" w:rsidRPr="00D674DA">
        <w:rPr>
          <w:color w:val="000000"/>
        </w:rPr>
        <w:t>appropriation</w:t>
      </w:r>
      <w:r w:rsidR="00CD0B51" w:rsidRPr="00D674DA">
        <w:t xml:space="preserve"> still remains in force</w:t>
      </w:r>
      <w:r w:rsidR="00042210">
        <w:t>. However</w:t>
      </w:r>
      <w:r w:rsidR="00042210" w:rsidRPr="001962A8">
        <w:t xml:space="preserve">: </w:t>
      </w:r>
    </w:p>
    <w:p w14:paraId="74F2D290" w14:textId="77777777" w:rsidR="00042210" w:rsidRPr="00C1364C" w:rsidRDefault="00042210" w:rsidP="00042210">
      <w:pPr>
        <w:pStyle w:val="Bullet1"/>
        <w:rPr>
          <w:lang w:val="en" w:eastAsia="en-AU"/>
        </w:rPr>
      </w:pPr>
      <w:r>
        <w:rPr>
          <w:lang w:val="en" w:eastAsia="en-AU"/>
        </w:rPr>
        <w:t>annual a</w:t>
      </w:r>
      <w:r w:rsidRPr="00C1364C">
        <w:rPr>
          <w:lang w:val="en" w:eastAsia="en-AU"/>
        </w:rPr>
        <w:t>ppropriati</w:t>
      </w:r>
      <w:r>
        <w:rPr>
          <w:lang w:val="en" w:eastAsia="en-AU"/>
        </w:rPr>
        <w:t>on Acts cease after three years</w:t>
      </w:r>
    </w:p>
    <w:p w14:paraId="2284E735" w14:textId="77777777" w:rsidR="00042210" w:rsidRPr="00C1364C" w:rsidRDefault="00042210" w:rsidP="00042210">
      <w:pPr>
        <w:pStyle w:val="Bullet1"/>
        <w:rPr>
          <w:lang w:val="en" w:eastAsia="en-AU"/>
        </w:rPr>
      </w:pPr>
      <w:r w:rsidRPr="00C1364C">
        <w:rPr>
          <w:lang w:val="en" w:eastAsia="en-AU"/>
        </w:rPr>
        <w:t>special accounts established by legislative instruments (determina</w:t>
      </w:r>
      <w:r>
        <w:rPr>
          <w:lang w:val="en" w:eastAsia="en-AU"/>
        </w:rPr>
        <w:t>tions) cease after 10 years</w:t>
      </w:r>
    </w:p>
    <w:p w14:paraId="5FA6B0B2" w14:textId="77777777" w:rsidR="00042210" w:rsidRPr="00C1364C" w:rsidRDefault="00042210" w:rsidP="00042210">
      <w:pPr>
        <w:pStyle w:val="Bullet1"/>
        <w:rPr>
          <w:lang w:val="en" w:eastAsia="en-AU"/>
        </w:rPr>
      </w:pPr>
      <w:proofErr w:type="gramStart"/>
      <w:r w:rsidRPr="00C1364C">
        <w:rPr>
          <w:lang w:val="en" w:eastAsia="en-AU"/>
        </w:rPr>
        <w:lastRenderedPageBreak/>
        <w:t>if</w:t>
      </w:r>
      <w:proofErr w:type="gramEnd"/>
      <w:r w:rsidRPr="00C1364C">
        <w:rPr>
          <w:lang w:val="en" w:eastAsia="en-AU"/>
        </w:rPr>
        <w:t xml:space="preserve"> the appropriation is increased, the amount cannot be spent without policy approval from government to adjust expenditure estimates.</w:t>
      </w:r>
    </w:p>
    <w:p w14:paraId="2C62F3CA" w14:textId="09A11B40" w:rsidR="001E0FBD" w:rsidRPr="00C1364C" w:rsidRDefault="00042210" w:rsidP="001E0FBD">
      <w:pPr>
        <w:pStyle w:val="NumberedList1"/>
      </w:pPr>
      <w:r>
        <w:t>If an NCE has paid an amount</w:t>
      </w:r>
      <w:r w:rsidR="001E0FBD" w:rsidRPr="00C1364C">
        <w:t xml:space="preserve">: </w:t>
      </w:r>
    </w:p>
    <w:p w14:paraId="6B2F4D45" w14:textId="0CF79413" w:rsidR="001E0FBD" w:rsidRPr="00C1364C" w:rsidRDefault="001E0FBD" w:rsidP="001E0FBD">
      <w:pPr>
        <w:pStyle w:val="Bullet1"/>
        <w:rPr>
          <w:lang w:val="en" w:eastAsia="en-AU"/>
        </w:rPr>
      </w:pPr>
      <w:r w:rsidRPr="00C1364C">
        <w:rPr>
          <w:lang w:val="en" w:eastAsia="en-AU"/>
        </w:rPr>
        <w:t xml:space="preserve">using its most recent departmental item, the repayment is </w:t>
      </w:r>
      <w:r w:rsidR="00042210">
        <w:rPr>
          <w:lang w:val="en" w:eastAsia="en-AU"/>
        </w:rPr>
        <w:t xml:space="preserve">to be </w:t>
      </w:r>
      <w:r w:rsidRPr="00C1364C">
        <w:rPr>
          <w:lang w:val="en" w:eastAsia="en-AU"/>
        </w:rPr>
        <w:t>credit</w:t>
      </w:r>
      <w:r w:rsidR="00042210">
        <w:rPr>
          <w:lang w:val="en" w:eastAsia="en-AU"/>
        </w:rPr>
        <w:t>ed to that departmental item</w:t>
      </w:r>
    </w:p>
    <w:p w14:paraId="2DA290B7" w14:textId="75FA5D4C" w:rsidR="00042210" w:rsidRPr="00592F2B" w:rsidRDefault="001E0FBD" w:rsidP="00042210">
      <w:pPr>
        <w:pStyle w:val="Bullet1"/>
        <w:rPr>
          <w:lang w:val="en" w:eastAsia="en-AU"/>
        </w:rPr>
      </w:pPr>
      <w:r w:rsidRPr="00C1364C">
        <w:rPr>
          <w:lang w:val="en" w:eastAsia="en-AU"/>
        </w:rPr>
        <w:t>using a d</w:t>
      </w:r>
      <w:r w:rsidR="00042210">
        <w:rPr>
          <w:lang w:val="en" w:eastAsia="en-AU"/>
        </w:rPr>
        <w:t xml:space="preserve">epartmental item in a </w:t>
      </w:r>
      <w:r w:rsidR="00042210" w:rsidRPr="00592F2B">
        <w:rPr>
          <w:lang w:val="en" w:eastAsia="en-AU"/>
        </w:rPr>
        <w:t>previous a</w:t>
      </w:r>
      <w:r w:rsidRPr="00592F2B">
        <w:rPr>
          <w:lang w:val="en" w:eastAsia="en-AU"/>
        </w:rPr>
        <w:t>ppropriation A</w:t>
      </w:r>
      <w:r w:rsidR="00042210" w:rsidRPr="00592F2B">
        <w:rPr>
          <w:lang w:val="en" w:eastAsia="en-AU"/>
        </w:rPr>
        <w:t>ct, an administered item in an a</w:t>
      </w:r>
      <w:r w:rsidRPr="00592F2B">
        <w:rPr>
          <w:lang w:val="en" w:eastAsia="en-AU"/>
        </w:rPr>
        <w:t xml:space="preserve">ppropriation Act, a special appropriation limited in amount, or a special </w:t>
      </w:r>
      <w:r w:rsidR="00042210" w:rsidRPr="00592F2B">
        <w:rPr>
          <w:lang w:val="en" w:eastAsia="en-AU"/>
        </w:rPr>
        <w:t>account, where the:</w:t>
      </w:r>
    </w:p>
    <w:p w14:paraId="318E35FB" w14:textId="7D0B45DB" w:rsidR="00042210" w:rsidRPr="00592F2B" w:rsidRDefault="00042210" w:rsidP="00042210">
      <w:pPr>
        <w:pStyle w:val="Bullet2"/>
        <w:rPr>
          <w:lang w:val="en" w:eastAsia="en-AU"/>
        </w:rPr>
      </w:pPr>
      <w:r w:rsidRPr="00592F2B">
        <w:rPr>
          <w:lang w:val="en" w:eastAsia="en-AU"/>
        </w:rPr>
        <w:t>original appropriation still remains in force, the repayment received may be credited to the appropriation used</w:t>
      </w:r>
    </w:p>
    <w:p w14:paraId="5C3C4A5D" w14:textId="3DECC01C" w:rsidR="00042210" w:rsidRPr="00592F2B" w:rsidRDefault="00042210" w:rsidP="00042210">
      <w:pPr>
        <w:pStyle w:val="Bullet2"/>
      </w:pPr>
      <w:proofErr w:type="gramStart"/>
      <w:r w:rsidRPr="00592F2B">
        <w:t>original</w:t>
      </w:r>
      <w:proofErr w:type="gramEnd"/>
      <w:r w:rsidRPr="00592F2B">
        <w:t xml:space="preserve"> appropriation has ceased, </w:t>
      </w:r>
      <w:r w:rsidR="001E0FBD" w:rsidRPr="00592F2B">
        <w:t xml:space="preserve">it cannot be increased and related repayments must be remitted to the OPA as </w:t>
      </w:r>
      <w:r w:rsidRPr="00592F2B">
        <w:rPr>
          <w:iCs/>
        </w:rPr>
        <w:t>administered receipts.</w:t>
      </w:r>
    </w:p>
    <w:p w14:paraId="3E92D082" w14:textId="38B6D90C" w:rsidR="004354B2" w:rsidRPr="006A33EA" w:rsidRDefault="004354B2" w:rsidP="004354B2">
      <w:pPr>
        <w:pStyle w:val="Heading3"/>
      </w:pPr>
      <w:bookmarkStart w:id="58" w:name="_Toc46302461"/>
      <w:r w:rsidRPr="00592F2B">
        <w:t>Repayment to an unlimited special appropriation</w:t>
      </w:r>
      <w:bookmarkEnd w:id="58"/>
    </w:p>
    <w:p w14:paraId="4B9CDFB9" w14:textId="3C979C53" w:rsidR="001A59D0" w:rsidRDefault="001E0FBD" w:rsidP="001A59D0">
      <w:pPr>
        <w:pStyle w:val="NumberedList1"/>
      </w:pPr>
      <w:r w:rsidRPr="00460696">
        <w:t>If a payment is made from a special appropriation which is not limited in amount (</w:t>
      </w:r>
      <w:proofErr w:type="spellStart"/>
      <w:r w:rsidRPr="00460696">
        <w:t>ie</w:t>
      </w:r>
      <w:proofErr w:type="spellEnd"/>
      <w:r w:rsidRPr="00460696">
        <w:t xml:space="preserve"> an unlimited special appropriation) then all related repayment receipts are to be remitted to the OPA as </w:t>
      </w:r>
      <w:r w:rsidRPr="00460696">
        <w:rPr>
          <w:iCs/>
        </w:rPr>
        <w:t>administered receipts</w:t>
      </w:r>
      <w:r w:rsidRPr="00460696">
        <w:t>.</w:t>
      </w:r>
      <w:r w:rsidRPr="00C1364C">
        <w:t xml:space="preserve"> There is no need for an unlimited special app</w:t>
      </w:r>
      <w:r w:rsidR="00042210">
        <w:t>ropriation to retain repayments</w:t>
      </w:r>
      <w:r w:rsidRPr="00C1364C">
        <w:t xml:space="preserve"> as its spending limits and expenditure estima</w:t>
      </w:r>
      <w:r w:rsidR="004354B2">
        <w:t xml:space="preserve">tes can </w:t>
      </w:r>
      <w:r w:rsidRPr="00C1364C">
        <w:t>be increased at any time (consistent with the appropri</w:t>
      </w:r>
      <w:r w:rsidR="001A59D0">
        <w:t>ate policy approval processes).</w:t>
      </w:r>
    </w:p>
    <w:p w14:paraId="6FB7D541" w14:textId="77777777" w:rsidR="00042210" w:rsidRPr="00042210" w:rsidRDefault="001E0FBD" w:rsidP="001A59D0">
      <w:pPr>
        <w:pStyle w:val="NumberedList1"/>
        <w:rPr>
          <w:u w:color="0070C0"/>
        </w:rPr>
      </w:pPr>
      <w:r w:rsidRPr="00C1364C">
        <w:t>In accounting terms, not all receipts are extra revenue. In addition, depending on when</w:t>
      </w:r>
      <w:r>
        <w:t xml:space="preserve"> the repayment is received (</w:t>
      </w:r>
      <w:proofErr w:type="spellStart"/>
      <w:r>
        <w:t>ie</w:t>
      </w:r>
      <w:proofErr w:type="spellEnd"/>
      <w:r w:rsidRPr="00C1364C">
        <w:t xml:space="preserve"> within the same financial year or in a subsequent year), the repayment may be accoun</w:t>
      </w:r>
      <w:r>
        <w:t xml:space="preserve">ted for differently. </w:t>
      </w:r>
    </w:p>
    <w:p w14:paraId="27E17A99" w14:textId="0FFBF94A" w:rsidR="005831D9" w:rsidRPr="001A59D0" w:rsidRDefault="001E0FBD" w:rsidP="001A59D0">
      <w:pPr>
        <w:pStyle w:val="NumberedList1"/>
        <w:rPr>
          <w:rStyle w:val="Hyperlink"/>
          <w:rFonts w:cstheme="minorBidi"/>
          <w:i w:val="0"/>
          <w:u w:val="none"/>
        </w:rPr>
      </w:pPr>
      <w:r>
        <w:t>For more</w:t>
      </w:r>
      <w:r w:rsidRPr="00C1364C">
        <w:t xml:space="preserve"> information on reporting and acc</w:t>
      </w:r>
      <w:r w:rsidR="004354B2">
        <w:t xml:space="preserve">ounting for repayments, see </w:t>
      </w:r>
      <w:hyperlink r:id="rId68" w:history="1">
        <w:r w:rsidRPr="00E84F05">
          <w:rPr>
            <w:rStyle w:val="Hyperlink"/>
          </w:rPr>
          <w:t xml:space="preserve">Commonwealth entities financial </w:t>
        </w:r>
        <w:r>
          <w:rPr>
            <w:rStyle w:val="Hyperlink"/>
          </w:rPr>
          <w:t xml:space="preserve">statements guide </w:t>
        </w:r>
        <w:r w:rsidRPr="00E84F05">
          <w:rPr>
            <w:rStyle w:val="Hyperlink"/>
          </w:rPr>
          <w:t>(RMG 125)</w:t>
        </w:r>
      </w:hyperlink>
      <w:r w:rsidRPr="001A59D0">
        <w:rPr>
          <w:rStyle w:val="Hyperlink"/>
          <w:i w:val="0"/>
          <w:u w:val="none"/>
        </w:rPr>
        <w:t>.</w:t>
      </w:r>
    </w:p>
    <w:p w14:paraId="75486FB9" w14:textId="77777777" w:rsidR="00FC3C28" w:rsidRDefault="00FC3C28">
      <w:pPr>
        <w:suppressAutoHyphens w:val="0"/>
        <w:spacing w:before="0" w:after="120" w:line="440" w:lineRule="atLeast"/>
        <w:rPr>
          <w:rFonts w:asciiTheme="majorHAnsi" w:eastAsia="Times New Roman" w:hAnsiTheme="majorHAnsi" w:cstheme="majorBidi"/>
          <w:bCs/>
          <w:color w:val="1C1C1C" w:themeColor="text2"/>
          <w:sz w:val="40"/>
          <w:szCs w:val="28"/>
          <w:lang w:val="en" w:eastAsia="en-AU"/>
        </w:rPr>
      </w:pPr>
      <w:r>
        <w:rPr>
          <w:rFonts w:eastAsia="Times New Roman"/>
          <w:lang w:val="en" w:eastAsia="en-AU"/>
        </w:rPr>
        <w:br w:type="page"/>
      </w:r>
    </w:p>
    <w:p w14:paraId="543BF1B4" w14:textId="1B3C59A9" w:rsidR="005831D9" w:rsidRPr="00592F2B" w:rsidRDefault="005831D9" w:rsidP="005831D9">
      <w:pPr>
        <w:pStyle w:val="Heading1Numbered"/>
        <w:rPr>
          <w:rFonts w:eastAsia="Times New Roman"/>
          <w:lang w:val="en" w:eastAsia="en-AU"/>
        </w:rPr>
      </w:pPr>
      <w:bookmarkStart w:id="59" w:name="NotRetainable"/>
      <w:bookmarkStart w:id="60" w:name="_Toc46302462"/>
      <w:r w:rsidRPr="00592F2B">
        <w:rPr>
          <w:rFonts w:eastAsia="Times New Roman"/>
          <w:lang w:val="en" w:eastAsia="en-AU"/>
        </w:rPr>
        <w:lastRenderedPageBreak/>
        <w:t>Receipts that cannot be retained</w:t>
      </w:r>
      <w:bookmarkEnd w:id="60"/>
    </w:p>
    <w:bookmarkEnd w:id="59"/>
    <w:p w14:paraId="16324F4A" w14:textId="55AD80FB" w:rsidR="00A201B8" w:rsidRPr="00C1364C" w:rsidRDefault="005831D9" w:rsidP="00A201B8">
      <w:pPr>
        <w:pStyle w:val="NumberedList1"/>
      </w:pPr>
      <w:r>
        <w:t>U</w:t>
      </w:r>
      <w:r w:rsidRPr="00C1364C">
        <w:t xml:space="preserve">nder section 74 of the </w:t>
      </w:r>
      <w:hyperlink r:id="rId69" w:history="1">
        <w:r w:rsidRPr="00160E1A">
          <w:rPr>
            <w:rStyle w:val="Hyperlink"/>
            <w:i w:val="0"/>
          </w:rPr>
          <w:t>PGPA Act</w:t>
        </w:r>
      </w:hyperlink>
      <w:r w:rsidRPr="00023389">
        <w:rPr>
          <w:rStyle w:val="Hyperlink"/>
          <w:i w:val="0"/>
          <w:u w:val="none"/>
        </w:rPr>
        <w:t>, a</w:t>
      </w:r>
      <w:r w:rsidRPr="00023389">
        <w:t>mounts</w:t>
      </w:r>
      <w:r w:rsidRPr="00C1364C">
        <w:t xml:space="preserve"> that are administered in nature are generally not retainable, with the exception of </w:t>
      </w:r>
      <w:hyperlink w:anchor="Repayments" w:history="1">
        <w:r w:rsidRPr="00E00350">
          <w:rPr>
            <w:rStyle w:val="Hyperlink"/>
            <w:i w:val="0"/>
          </w:rPr>
          <w:t>repayments</w:t>
        </w:r>
      </w:hyperlink>
      <w:r w:rsidR="00A201B8">
        <w:rPr>
          <w:rStyle w:val="Hyperlink"/>
          <w:i w:val="0"/>
        </w:rPr>
        <w:t xml:space="preserve"> (subsection 27(4) of the PGPA Rule)</w:t>
      </w:r>
      <w:r w:rsidR="00E00350">
        <w:t xml:space="preserve">. </w:t>
      </w:r>
      <w:r>
        <w:t>S</w:t>
      </w:r>
      <w:r w:rsidRPr="00C1364C">
        <w:t>ub</w:t>
      </w:r>
      <w:r>
        <w:t xml:space="preserve">section 27(6) of the </w:t>
      </w:r>
      <w:hyperlink r:id="rId70" w:history="1">
        <w:r w:rsidRPr="004354B2">
          <w:rPr>
            <w:rStyle w:val="Hyperlink"/>
            <w:bCs w:val="0"/>
            <w:i w:val="0"/>
          </w:rPr>
          <w:t>PGPA Rule</w:t>
        </w:r>
      </w:hyperlink>
      <w:r w:rsidR="00E00350">
        <w:t xml:space="preserve"> </w:t>
      </w:r>
      <w:r w:rsidR="002836AE">
        <w:t xml:space="preserve">provides </w:t>
      </w:r>
      <w:r w:rsidRPr="00A201B8">
        <w:t xml:space="preserve">that </w:t>
      </w:r>
      <w:r w:rsidR="00A201B8" w:rsidRPr="00A201B8">
        <w:rPr>
          <w:rFonts w:cstheme="minorHAnsi"/>
          <w:color w:val="000000"/>
        </w:rPr>
        <w:t>the follo</w:t>
      </w:r>
      <w:r w:rsidR="00A201B8">
        <w:rPr>
          <w:rFonts w:cstheme="minorHAnsi"/>
          <w:color w:val="000000"/>
        </w:rPr>
        <w:t>wing amounts cannot be retained:</w:t>
      </w:r>
    </w:p>
    <w:p w14:paraId="331647AC" w14:textId="779AE011" w:rsidR="005831D9" w:rsidRPr="00C1364C" w:rsidRDefault="005831D9" w:rsidP="005831D9">
      <w:pPr>
        <w:pStyle w:val="Bullet1"/>
        <w:rPr>
          <w:lang w:val="en" w:eastAsia="en-AU"/>
        </w:rPr>
      </w:pPr>
      <w:r w:rsidRPr="00C1364C">
        <w:rPr>
          <w:lang w:val="en" w:eastAsia="en-AU"/>
        </w:rPr>
        <w:t>receip</w:t>
      </w:r>
      <w:r>
        <w:rPr>
          <w:lang w:val="en" w:eastAsia="en-AU"/>
        </w:rPr>
        <w:t>ts to offset expenditure the NCE is</w:t>
      </w:r>
      <w:r w:rsidRPr="00C1364C">
        <w:rPr>
          <w:lang w:val="en" w:eastAsia="en-AU"/>
        </w:rPr>
        <w:t xml:space="preserve"> al</w:t>
      </w:r>
      <w:r>
        <w:rPr>
          <w:lang w:val="en" w:eastAsia="en-AU"/>
        </w:rPr>
        <w:t>ready appropriated for by parliament</w:t>
      </w:r>
      <w:r w:rsidR="00A201B8">
        <w:rPr>
          <w:lang w:val="en" w:eastAsia="en-AU"/>
        </w:rPr>
        <w:t xml:space="preserve">  (paragraph 27(6(a))</w:t>
      </w:r>
    </w:p>
    <w:p w14:paraId="4020BE48" w14:textId="3467F437" w:rsidR="00D94E36" w:rsidRPr="00E00350" w:rsidRDefault="005831D9" w:rsidP="00E00350">
      <w:pPr>
        <w:pStyle w:val="Bullet1"/>
        <w:rPr>
          <w:lang w:val="en" w:eastAsia="en-AU"/>
        </w:rPr>
      </w:pPr>
      <w:proofErr w:type="gramStart"/>
      <w:r w:rsidRPr="00C1364C">
        <w:rPr>
          <w:lang w:val="en" w:eastAsia="en-AU"/>
        </w:rPr>
        <w:t>receipts</w:t>
      </w:r>
      <w:proofErr w:type="gramEnd"/>
      <w:r w:rsidRPr="00C1364C">
        <w:rPr>
          <w:lang w:val="en" w:eastAsia="en-AU"/>
        </w:rPr>
        <w:t xml:space="preserve"> collected under legislation, regulations, rules or othe</w:t>
      </w:r>
      <w:r>
        <w:rPr>
          <w:lang w:val="en" w:eastAsia="en-AU"/>
        </w:rPr>
        <w:t>r legislative instruments</w:t>
      </w:r>
      <w:r w:rsidR="00A201B8">
        <w:rPr>
          <w:lang w:val="en" w:eastAsia="en-AU"/>
        </w:rPr>
        <w:t xml:space="preserve"> (paragraph 27(6)(b))</w:t>
      </w:r>
      <w:r>
        <w:rPr>
          <w:lang w:val="en" w:eastAsia="en-AU"/>
        </w:rPr>
        <w:t>.</w:t>
      </w:r>
    </w:p>
    <w:p w14:paraId="3CC43593" w14:textId="0BF52F73" w:rsidR="005831D9" w:rsidRPr="00C1364C" w:rsidRDefault="005831D9" w:rsidP="005831D9">
      <w:pPr>
        <w:pStyle w:val="Extracttitle"/>
        <w:spacing w:before="240" w:line="276" w:lineRule="auto"/>
        <w:ind w:left="0" w:firstLine="77"/>
      </w:pPr>
      <w:r w:rsidRPr="00C1364C">
        <w:t>Examples</w:t>
      </w:r>
      <w:r w:rsidR="00E00350">
        <w:t xml:space="preserve"> – Receipts that cannot be retained</w:t>
      </w:r>
    </w:p>
    <w:p w14:paraId="4E48149B" w14:textId="77777777" w:rsidR="005831D9" w:rsidRDefault="005831D9" w:rsidP="005831D9">
      <w:pPr>
        <w:pStyle w:val="Bullets1stindent"/>
        <w:numPr>
          <w:ilvl w:val="0"/>
          <w:numId w:val="0"/>
        </w:numPr>
        <w:shd w:val="clear" w:color="auto" w:fill="B4B5DF"/>
      </w:pPr>
      <w:r>
        <w:t>Receipts that are not retainable include amounts:</w:t>
      </w:r>
    </w:p>
    <w:p w14:paraId="3E4B4DBC" w14:textId="77777777" w:rsidR="005831D9" w:rsidRPr="00A1716B" w:rsidRDefault="005831D9" w:rsidP="005831D9">
      <w:pPr>
        <w:pStyle w:val="Bullets1stindent"/>
        <w:numPr>
          <w:ilvl w:val="0"/>
          <w:numId w:val="16"/>
        </w:numPr>
        <w:shd w:val="clear" w:color="auto" w:fill="B4B5DF"/>
        <w:ind w:left="426" w:hanging="426"/>
      </w:pPr>
      <w:r>
        <w:t xml:space="preserve">for </w:t>
      </w:r>
      <w:r w:rsidRPr="00A1716B">
        <w:t>taxes (such as income taxes), except for GST in some circumstances</w:t>
      </w:r>
    </w:p>
    <w:p w14:paraId="69F1ED73" w14:textId="77777777" w:rsidR="005831D9" w:rsidRPr="00A1716B" w:rsidRDefault="005831D9" w:rsidP="005831D9">
      <w:pPr>
        <w:pStyle w:val="Bullets1stindent"/>
        <w:numPr>
          <w:ilvl w:val="0"/>
          <w:numId w:val="16"/>
        </w:numPr>
        <w:shd w:val="clear" w:color="auto" w:fill="B4B5DF"/>
        <w:ind w:left="426" w:hanging="426"/>
      </w:pPr>
      <w:r>
        <w:t xml:space="preserve">for </w:t>
      </w:r>
      <w:r w:rsidRPr="00A1716B">
        <w:t>levies (such as customs levies collected on dutiable goods)</w:t>
      </w:r>
    </w:p>
    <w:p w14:paraId="012F51E9" w14:textId="77777777" w:rsidR="005831D9" w:rsidRPr="00A1716B" w:rsidRDefault="005831D9" w:rsidP="005831D9">
      <w:pPr>
        <w:pStyle w:val="Bullets1stindent"/>
        <w:numPr>
          <w:ilvl w:val="0"/>
          <w:numId w:val="16"/>
        </w:numPr>
        <w:shd w:val="clear" w:color="auto" w:fill="B4B5DF"/>
        <w:ind w:left="426" w:hanging="426"/>
      </w:pPr>
      <w:r>
        <w:t xml:space="preserve">for </w:t>
      </w:r>
      <w:r w:rsidRPr="00A1716B">
        <w:t>fines (such as parking fines)</w:t>
      </w:r>
    </w:p>
    <w:p w14:paraId="0F661829" w14:textId="77777777" w:rsidR="005831D9" w:rsidRPr="00A1716B" w:rsidRDefault="005831D9" w:rsidP="005831D9">
      <w:pPr>
        <w:pStyle w:val="Bullets1stindent"/>
        <w:numPr>
          <w:ilvl w:val="0"/>
          <w:numId w:val="16"/>
        </w:numPr>
        <w:shd w:val="clear" w:color="auto" w:fill="B4B5DF"/>
        <w:ind w:left="426" w:hanging="426"/>
      </w:pPr>
      <w:r>
        <w:t>for statutory fees (</w:t>
      </w:r>
      <w:proofErr w:type="spellStart"/>
      <w:r>
        <w:t>eg</w:t>
      </w:r>
      <w:proofErr w:type="spellEnd"/>
      <w:r w:rsidRPr="00A1716B">
        <w:t xml:space="preserve"> legislatively-imposed fees for citizens utilising services of a regulator)</w:t>
      </w:r>
    </w:p>
    <w:p w14:paraId="5AB99F6E" w14:textId="77777777" w:rsidR="005831D9" w:rsidRPr="00A1716B" w:rsidRDefault="005831D9" w:rsidP="005831D9">
      <w:pPr>
        <w:pStyle w:val="Bullets1stindent"/>
        <w:numPr>
          <w:ilvl w:val="0"/>
          <w:numId w:val="16"/>
        </w:numPr>
        <w:shd w:val="clear" w:color="auto" w:fill="B4B5DF"/>
        <w:ind w:left="426" w:hanging="426"/>
      </w:pPr>
      <w:r>
        <w:t xml:space="preserve">for </w:t>
      </w:r>
      <w:r w:rsidRPr="00A1716B">
        <w:t>statutory charges (such as legislatively-imposed charges for court costs)</w:t>
      </w:r>
    </w:p>
    <w:p w14:paraId="1E262FB1" w14:textId="77777777" w:rsidR="005831D9" w:rsidRDefault="005831D9" w:rsidP="005831D9">
      <w:pPr>
        <w:pStyle w:val="Bullets1stindent"/>
        <w:numPr>
          <w:ilvl w:val="0"/>
          <w:numId w:val="16"/>
        </w:numPr>
        <w:shd w:val="clear" w:color="auto" w:fill="B4B5DF"/>
        <w:ind w:left="426" w:hanging="426"/>
      </w:pPr>
      <w:r>
        <w:t xml:space="preserve">for </w:t>
      </w:r>
      <w:r w:rsidRPr="00A1716B">
        <w:t>penalties (</w:t>
      </w:r>
      <w:r>
        <w:t>such as late-payment penalties)</w:t>
      </w:r>
    </w:p>
    <w:p w14:paraId="3A006AAC" w14:textId="77777777" w:rsidR="005831D9" w:rsidRDefault="005831D9" w:rsidP="005831D9">
      <w:pPr>
        <w:pStyle w:val="Bullets1stindent"/>
        <w:numPr>
          <w:ilvl w:val="0"/>
          <w:numId w:val="16"/>
        </w:numPr>
        <w:shd w:val="clear" w:color="auto" w:fill="B4B5DF"/>
        <w:ind w:left="426" w:hanging="426"/>
      </w:pPr>
      <w:proofErr w:type="gramStart"/>
      <w:r w:rsidRPr="00C1364C">
        <w:rPr>
          <w:lang w:val="en" w:eastAsia="en-AU"/>
        </w:rPr>
        <w:t>debited</w:t>
      </w:r>
      <w:proofErr w:type="gramEnd"/>
      <w:r w:rsidRPr="00C1364C">
        <w:rPr>
          <w:lang w:val="en" w:eastAsia="en-AU"/>
        </w:rPr>
        <w:t xml:space="preserve"> against a spec</w:t>
      </w:r>
      <w:r>
        <w:rPr>
          <w:lang w:val="en" w:eastAsia="en-AU"/>
        </w:rPr>
        <w:t>ial account managed by the NCE</w:t>
      </w:r>
      <w:r>
        <w:t>.</w:t>
      </w:r>
    </w:p>
    <w:p w14:paraId="3D092C5D" w14:textId="77777777" w:rsidR="005831D9" w:rsidRPr="00C1364C" w:rsidRDefault="005831D9" w:rsidP="005831D9">
      <w:pPr>
        <w:pStyle w:val="NumberedList1"/>
      </w:pPr>
      <w:r w:rsidRPr="00C1364C">
        <w:t>If a special account can be debited for payments, these must be made from and recorded as having been paid directly from the special account. No amounts may be transferred from the special account to a departmental annual appropriation item or an administered annual appropriation item.</w:t>
      </w:r>
    </w:p>
    <w:p w14:paraId="23F7CA7F" w14:textId="77777777" w:rsidR="005831D9" w:rsidRPr="00C1364C" w:rsidRDefault="005831D9" w:rsidP="005831D9">
      <w:pPr>
        <w:pStyle w:val="NumberedList1"/>
      </w:pPr>
      <w:r w:rsidRPr="00C1364C">
        <w:t>When a</w:t>
      </w:r>
      <w:r>
        <w:t>n</w:t>
      </w:r>
      <w:r w:rsidRPr="00C1364C">
        <w:t xml:space="preserve"> NCE collects receipts that cannot be retained, it must: </w:t>
      </w:r>
    </w:p>
    <w:p w14:paraId="74203463" w14:textId="77777777" w:rsidR="005831D9" w:rsidRPr="00C1364C" w:rsidRDefault="005831D9" w:rsidP="005831D9">
      <w:pPr>
        <w:pStyle w:val="Bullet1"/>
        <w:rPr>
          <w:lang w:val="en" w:eastAsia="en-AU"/>
        </w:rPr>
      </w:pPr>
      <w:r>
        <w:rPr>
          <w:lang w:val="en" w:eastAsia="en-AU"/>
        </w:rPr>
        <w:t>remit the cash to the OPA</w:t>
      </w:r>
    </w:p>
    <w:p w14:paraId="1286BA65" w14:textId="77777777" w:rsidR="005831D9" w:rsidRPr="00C1364C" w:rsidRDefault="005831D9" w:rsidP="005831D9">
      <w:pPr>
        <w:pStyle w:val="Bullet1"/>
        <w:rPr>
          <w:lang w:val="en" w:eastAsia="en-AU"/>
        </w:rPr>
      </w:pPr>
      <w:r w:rsidRPr="00C1364C">
        <w:rPr>
          <w:lang w:val="en" w:eastAsia="en-AU"/>
        </w:rPr>
        <w:t>record the amount in the NCE accounts and records</w:t>
      </w:r>
      <w:r>
        <w:rPr>
          <w:lang w:val="en" w:eastAsia="en-AU"/>
        </w:rPr>
        <w:t xml:space="preserve"> to show these being </w:t>
      </w:r>
      <w:r w:rsidRPr="00C1364C">
        <w:rPr>
          <w:lang w:val="en" w:eastAsia="en-AU"/>
        </w:rPr>
        <w:t xml:space="preserve">remitted to </w:t>
      </w:r>
      <w:r>
        <w:rPr>
          <w:lang w:val="en" w:eastAsia="en-AU"/>
        </w:rPr>
        <w:t>the OPA</w:t>
      </w:r>
    </w:p>
    <w:p w14:paraId="55A9750E" w14:textId="6971B9FD" w:rsidR="005831D9" w:rsidRPr="00592F2B" w:rsidRDefault="005831D9" w:rsidP="005831D9">
      <w:pPr>
        <w:pStyle w:val="Bullet1"/>
      </w:pPr>
      <w:proofErr w:type="gramStart"/>
      <w:r w:rsidRPr="00C1364C">
        <w:t>record</w:t>
      </w:r>
      <w:proofErr w:type="gramEnd"/>
      <w:r w:rsidRPr="00C1364C">
        <w:t xml:space="preserve"> the amount </w:t>
      </w:r>
      <w:r w:rsidRPr="00592F2B">
        <w:t xml:space="preserve">in the Cash Management module of </w:t>
      </w:r>
      <w:hyperlink r:id="rId71" w:history="1">
        <w:r w:rsidRPr="00592F2B">
          <w:rPr>
            <w:rStyle w:val="Hyperlink"/>
            <w:i w:val="0"/>
          </w:rPr>
          <w:t>CBMS</w:t>
        </w:r>
      </w:hyperlink>
      <w:r w:rsidRPr="00592F2B">
        <w:t xml:space="preserve"> (using the receipt type ‘</w:t>
      </w:r>
      <w:r w:rsidRPr="00592F2B">
        <w:rPr>
          <w:iCs/>
        </w:rPr>
        <w:t>administered receipt’</w:t>
      </w:r>
      <w:r w:rsidRPr="00592F2B">
        <w:t xml:space="preserve"> and with an appropriate title describing the amount being remitted).</w:t>
      </w:r>
    </w:p>
    <w:p w14:paraId="33E60EC7" w14:textId="77777777" w:rsidR="00E00350" w:rsidRPr="00592F2B" w:rsidRDefault="00E00350" w:rsidP="001F4981">
      <w:pPr>
        <w:pStyle w:val="Heading2Numbered"/>
        <w:numPr>
          <w:ilvl w:val="0"/>
          <w:numId w:val="0"/>
        </w:numPr>
      </w:pPr>
      <w:bookmarkStart w:id="61" w:name="Excessreceipts"/>
      <w:bookmarkStart w:id="62" w:name="_Toc46302463"/>
      <w:r w:rsidRPr="00592F2B">
        <w:t>Receipts in excess of costs</w:t>
      </w:r>
      <w:bookmarkEnd w:id="62"/>
    </w:p>
    <w:bookmarkEnd w:id="61"/>
    <w:p w14:paraId="1BD1B2D9" w14:textId="77777777" w:rsidR="00E00350" w:rsidRDefault="00E00350" w:rsidP="00E00350">
      <w:pPr>
        <w:pStyle w:val="NumberedList1"/>
      </w:pPr>
      <w:r w:rsidRPr="00592F2B">
        <w:t>Amounts received that are</w:t>
      </w:r>
      <w:r>
        <w:t xml:space="preserve"> </w:t>
      </w:r>
      <w:r w:rsidRPr="00C1364C">
        <w:t>surpl</w:t>
      </w:r>
      <w:r>
        <w:t xml:space="preserve">us to costs cannot be retained. </w:t>
      </w:r>
      <w:r w:rsidRPr="00C1364C">
        <w:t>If an entity receives an amount surplus to costs incurred in delivering a specific good or activities, the surplus must be</w:t>
      </w:r>
      <w:r>
        <w:t>:</w:t>
      </w:r>
    </w:p>
    <w:p w14:paraId="56C6FE68" w14:textId="77777777" w:rsidR="00E00350" w:rsidRDefault="00E00350" w:rsidP="00E00350">
      <w:pPr>
        <w:pStyle w:val="Bullet1"/>
      </w:pPr>
      <w:r w:rsidRPr="00C1364C">
        <w:t>remitted to the OPA as</w:t>
      </w:r>
      <w:r>
        <w:t xml:space="preserve"> general government revenue and </w:t>
      </w:r>
      <w:r w:rsidRPr="00C1364C">
        <w:t>recorded as an administered receipt in th</w:t>
      </w:r>
      <w:r>
        <w:t xml:space="preserve">e Cash Management module of </w:t>
      </w:r>
      <w:hyperlink r:id="rId72" w:history="1">
        <w:r w:rsidRPr="00251E50">
          <w:rPr>
            <w:rStyle w:val="Hyperlink"/>
            <w:i w:val="0"/>
          </w:rPr>
          <w:t>CBMS</w:t>
        </w:r>
      </w:hyperlink>
      <w:r w:rsidRPr="00C1364C">
        <w:t xml:space="preserve">, or </w:t>
      </w:r>
    </w:p>
    <w:p w14:paraId="2B1AB1E0" w14:textId="77777777" w:rsidR="00E00350" w:rsidRDefault="00E00350" w:rsidP="00E00350">
      <w:pPr>
        <w:pStyle w:val="Bullet1"/>
      </w:pPr>
      <w:proofErr w:type="gramStart"/>
      <w:r>
        <w:lastRenderedPageBreak/>
        <w:t>repaid</w:t>
      </w:r>
      <w:proofErr w:type="gramEnd"/>
      <w:r>
        <w:t xml:space="preserve"> to the client, </w:t>
      </w:r>
      <w:r w:rsidRPr="00C1364C">
        <w:t xml:space="preserve">where appropriate. </w:t>
      </w:r>
    </w:p>
    <w:p w14:paraId="4AF91200" w14:textId="036F63EB" w:rsidR="00E00350" w:rsidRDefault="00E00350" w:rsidP="00E00350">
      <w:pPr>
        <w:pStyle w:val="NumberedList1"/>
      </w:pPr>
      <w:r>
        <w:t>E</w:t>
      </w:r>
      <w:r w:rsidRPr="001B5B09">
        <w:t>ntities</w:t>
      </w:r>
      <w:r>
        <w:t xml:space="preserve"> are encouraged to</w:t>
      </w:r>
      <w:r w:rsidRPr="001B5B09">
        <w:t xml:space="preserve"> </w:t>
      </w:r>
      <w:r>
        <w:t xml:space="preserve">undertake </w:t>
      </w:r>
      <w:r w:rsidRPr="001B5B09">
        <w:t>regular</w:t>
      </w:r>
      <w:r>
        <w:t xml:space="preserve"> reconciliation processes </w:t>
      </w:r>
      <w:r w:rsidRPr="001B5B09">
        <w:t>with clien</w:t>
      </w:r>
      <w:r>
        <w:t>ts, to ensure that only amounts covering</w:t>
      </w:r>
      <w:r w:rsidRPr="001B5B09">
        <w:t xml:space="preserve"> actual costs are reta</w:t>
      </w:r>
      <w:r>
        <w:t>ined.</w:t>
      </w:r>
    </w:p>
    <w:p w14:paraId="36EC5358" w14:textId="77777777" w:rsidR="000D4E5E" w:rsidRPr="00592F2B" w:rsidRDefault="000D4E5E" w:rsidP="001F4981">
      <w:pPr>
        <w:pStyle w:val="Heading2Numbered"/>
        <w:numPr>
          <w:ilvl w:val="0"/>
          <w:numId w:val="0"/>
        </w:numPr>
        <w:ind w:right="4675"/>
        <w:rPr>
          <w:rFonts w:eastAsia="Times New Roman"/>
          <w:lang w:val="en" w:eastAsia="en-AU"/>
        </w:rPr>
      </w:pPr>
      <w:bookmarkStart w:id="63" w:name="_Toc46302464"/>
      <w:r w:rsidRPr="00592F2B">
        <w:rPr>
          <w:rFonts w:eastAsia="Times New Roman"/>
          <w:lang w:val="en" w:eastAsia="en-AU"/>
        </w:rPr>
        <w:t>Authority to charge</w:t>
      </w:r>
      <w:bookmarkEnd w:id="63"/>
      <w:r w:rsidRPr="00592F2B">
        <w:rPr>
          <w:rFonts w:eastAsia="Times New Roman"/>
          <w:lang w:val="en" w:eastAsia="en-AU"/>
        </w:rPr>
        <w:t xml:space="preserve"> </w:t>
      </w:r>
    </w:p>
    <w:p w14:paraId="2346190F" w14:textId="279B6D05" w:rsidR="000D4E5E" w:rsidRDefault="000D4E5E" w:rsidP="000D4E5E">
      <w:pPr>
        <w:pStyle w:val="NumberedList1"/>
      </w:pPr>
      <w:r>
        <w:t xml:space="preserve">NCEs are not </w:t>
      </w:r>
      <w:proofErr w:type="spellStart"/>
      <w:r>
        <w:t>authorised</w:t>
      </w:r>
      <w:proofErr w:type="spellEnd"/>
      <w:r>
        <w:t xml:space="preserve"> by either the PGPA Act or a special account to charge for good</w:t>
      </w:r>
      <w:r w:rsidR="0053114C">
        <w:t>s</w:t>
      </w:r>
      <w:r>
        <w:t xml:space="preserve"> and services</w:t>
      </w:r>
      <w:r w:rsidR="00AD1011">
        <w:t xml:space="preserve">, or </w:t>
      </w:r>
      <w:r w:rsidR="00AD1011" w:rsidRPr="00D674DA">
        <w:t>to recover costs that a NCE has incurred</w:t>
      </w:r>
      <w:r>
        <w:t xml:space="preserve">. </w:t>
      </w:r>
      <w:r w:rsidRPr="00C1364C">
        <w:t xml:space="preserve">The legislative authority to </w:t>
      </w:r>
      <w:r w:rsidRPr="00395E3D">
        <w:t>retain cer</w:t>
      </w:r>
      <w:r>
        <w:t xml:space="preserve">tain receipts </w:t>
      </w:r>
      <w:r w:rsidR="00A02668">
        <w:t xml:space="preserve">also </w:t>
      </w:r>
      <w:r>
        <w:t xml:space="preserve">does not </w:t>
      </w:r>
      <w:proofErr w:type="spellStart"/>
      <w:r>
        <w:t>authorise</w:t>
      </w:r>
      <w:proofErr w:type="spellEnd"/>
      <w:r w:rsidRPr="00395E3D">
        <w:t xml:space="preserve"> </w:t>
      </w:r>
      <w:r>
        <w:t xml:space="preserve">NCEs </w:t>
      </w:r>
      <w:r w:rsidRPr="00395E3D">
        <w:t>t</w:t>
      </w:r>
      <w:r>
        <w:t>o charge for goods and services</w:t>
      </w:r>
      <w:r w:rsidRPr="00395E3D">
        <w:t xml:space="preserve"> and/or t</w:t>
      </w:r>
      <w:r>
        <w:t xml:space="preserve">o recover costs </w:t>
      </w:r>
      <w:r w:rsidRPr="00395E3D">
        <w:t>incurred</w:t>
      </w:r>
      <w:r>
        <w:t>.</w:t>
      </w:r>
    </w:p>
    <w:p w14:paraId="533C0FDE" w14:textId="148DA463" w:rsidR="000D4E5E" w:rsidRPr="00C1364C" w:rsidRDefault="000D4E5E" w:rsidP="000D4E5E">
      <w:pPr>
        <w:pStyle w:val="NumberedList1"/>
      </w:pPr>
      <w:r w:rsidRPr="00C1364C">
        <w:t>To charge no</w:t>
      </w:r>
      <w:r>
        <w:t>n-Commonwealth entities (</w:t>
      </w:r>
      <w:proofErr w:type="spellStart"/>
      <w:r>
        <w:t>eg</w:t>
      </w:r>
      <w:proofErr w:type="spellEnd"/>
      <w:r w:rsidRPr="00C1364C">
        <w:t xml:space="preserve"> individuals, companies or non-government </w:t>
      </w:r>
      <w:proofErr w:type="spellStart"/>
      <w:r w:rsidRPr="00C1364C">
        <w:t>organisations</w:t>
      </w:r>
      <w:proofErr w:type="spellEnd"/>
      <w:r w:rsidRPr="00C1364C">
        <w:t>) for goods and services, or to recover costs,</w:t>
      </w:r>
      <w:r>
        <w:t xml:space="preserve"> an NCE requires:</w:t>
      </w:r>
    </w:p>
    <w:p w14:paraId="42399310" w14:textId="77777777" w:rsidR="000D4E5E" w:rsidRPr="00C1364C" w:rsidRDefault="000D4E5E" w:rsidP="000D4E5E">
      <w:pPr>
        <w:pStyle w:val="Bullet1"/>
        <w:rPr>
          <w:lang w:val="en" w:eastAsia="en-AU"/>
        </w:rPr>
      </w:pPr>
      <w:r w:rsidRPr="00C1364C">
        <w:rPr>
          <w:lang w:val="en" w:eastAsia="en-AU"/>
        </w:rPr>
        <w:t>policy authority to charge from government (</w:t>
      </w:r>
      <w:proofErr w:type="spellStart"/>
      <w:r>
        <w:rPr>
          <w:lang w:val="en" w:eastAsia="en-AU"/>
        </w:rPr>
        <w:t>ie</w:t>
      </w:r>
      <w:proofErr w:type="spellEnd"/>
      <w:r>
        <w:rPr>
          <w:lang w:val="en" w:eastAsia="en-AU"/>
        </w:rPr>
        <w:t xml:space="preserve"> </w:t>
      </w:r>
      <w:r w:rsidRPr="00C1364C">
        <w:rPr>
          <w:lang w:val="en" w:eastAsia="en-AU"/>
        </w:rPr>
        <w:t>by a decision of</w:t>
      </w:r>
      <w:r>
        <w:rPr>
          <w:lang w:val="en" w:eastAsia="en-AU"/>
        </w:rPr>
        <w:t xml:space="preserve"> Cabinet or the Prime Minister) and/or</w:t>
      </w:r>
    </w:p>
    <w:p w14:paraId="35CB975E" w14:textId="77777777" w:rsidR="000D4E5E" w:rsidRPr="00C1364C" w:rsidRDefault="000D4E5E" w:rsidP="000D4E5E">
      <w:pPr>
        <w:pStyle w:val="Bullet1"/>
        <w:rPr>
          <w:lang w:val="en" w:eastAsia="en-AU"/>
        </w:rPr>
      </w:pPr>
      <w:proofErr w:type="gramStart"/>
      <w:r w:rsidRPr="00C1364C">
        <w:rPr>
          <w:lang w:val="en" w:eastAsia="en-AU"/>
        </w:rPr>
        <w:t>l</w:t>
      </w:r>
      <w:r>
        <w:rPr>
          <w:lang w:val="en" w:eastAsia="en-AU"/>
        </w:rPr>
        <w:t>egislative</w:t>
      </w:r>
      <w:proofErr w:type="gramEnd"/>
      <w:r>
        <w:rPr>
          <w:lang w:val="en" w:eastAsia="en-AU"/>
        </w:rPr>
        <w:t xml:space="preserve"> authority to charge, such as </w:t>
      </w:r>
      <w:r w:rsidRPr="00C1364C">
        <w:rPr>
          <w:lang w:val="en" w:eastAsia="en-AU"/>
        </w:rPr>
        <w:t>in an Act relate</w:t>
      </w:r>
      <w:r>
        <w:rPr>
          <w:lang w:val="en" w:eastAsia="en-AU"/>
        </w:rPr>
        <w:t>d to the activity (</w:t>
      </w:r>
      <w:proofErr w:type="spellStart"/>
      <w:r>
        <w:rPr>
          <w:lang w:val="en" w:eastAsia="en-AU"/>
        </w:rPr>
        <w:t>eg</w:t>
      </w:r>
      <w:proofErr w:type="spellEnd"/>
      <w:r>
        <w:rPr>
          <w:lang w:val="en" w:eastAsia="en-AU"/>
        </w:rPr>
        <w:t xml:space="preserve"> </w:t>
      </w:r>
      <w:r w:rsidRPr="00C1364C">
        <w:rPr>
          <w:lang w:val="en" w:eastAsia="en-AU"/>
        </w:rPr>
        <w:t>levies on industry).</w:t>
      </w:r>
    </w:p>
    <w:p w14:paraId="5E7AC0B9" w14:textId="77777777" w:rsidR="000D4E5E" w:rsidRPr="00C1364C" w:rsidRDefault="000D4E5E" w:rsidP="000D4E5E">
      <w:pPr>
        <w:pStyle w:val="NumberedList1"/>
      </w:pPr>
      <w:r w:rsidRPr="00C1364C">
        <w:t xml:space="preserve">How much to charge may be specified in legislation (an Act, rule, regulation or other instrument). If not in legislation, how much to charge must be decided by government, by a Minister responsible for the activity or </w:t>
      </w:r>
      <w:r w:rsidRPr="000D4E5E">
        <w:t xml:space="preserve">by a delegated </w:t>
      </w:r>
      <w:r w:rsidRPr="000D4E5E">
        <w:rPr>
          <w:iCs/>
        </w:rPr>
        <w:t>accountable authority</w:t>
      </w:r>
      <w:r>
        <w:t>, as</w:t>
      </w:r>
      <w:r w:rsidRPr="00C1364C">
        <w:t xml:space="preserve"> defined in section 8 of the </w:t>
      </w:r>
      <w:hyperlink r:id="rId73" w:history="1">
        <w:r w:rsidRPr="00160E1A">
          <w:rPr>
            <w:rStyle w:val="Hyperlink"/>
            <w:i w:val="0"/>
          </w:rPr>
          <w:t>PGPA Act</w:t>
        </w:r>
      </w:hyperlink>
      <w:r w:rsidRPr="00C1364C">
        <w:t>.</w:t>
      </w:r>
    </w:p>
    <w:p w14:paraId="26DCEEB0" w14:textId="40E2CCFB" w:rsidR="00FC3C28" w:rsidRPr="00FC3C28" w:rsidRDefault="000D4E5E" w:rsidP="000951F0">
      <w:pPr>
        <w:pStyle w:val="NumberedList1"/>
        <w:rPr>
          <w:rFonts w:eastAsia="Times New Roman"/>
        </w:rPr>
      </w:pPr>
      <w:r w:rsidRPr="00C1364C">
        <w:t>Charging activities must be consistent w</w:t>
      </w:r>
      <w:r w:rsidRPr="00D55ECD">
        <w:t xml:space="preserve">ith the </w:t>
      </w:r>
      <w:hyperlink r:id="rId74" w:history="1">
        <w:r w:rsidRPr="00D55ECD">
          <w:rPr>
            <w:rStyle w:val="Hyperlink"/>
            <w:i w:val="0"/>
          </w:rPr>
          <w:t>Australian Government Charging Framework.</w:t>
        </w:r>
        <w:r w:rsidRPr="00D55ECD">
          <w:rPr>
            <w:color w:val="007BFF"/>
          </w:rPr>
          <w:t xml:space="preserve"> </w:t>
        </w:r>
      </w:hyperlink>
      <w:r w:rsidRPr="00D55ECD">
        <w:t>If charging for an activity becomes regular (three years in a row) and/or material (over $1 million a year), the entity i</w:t>
      </w:r>
      <w:r w:rsidRPr="00C1364C">
        <w:t>s advised to contact the relevant</w:t>
      </w:r>
      <w:r>
        <w:t xml:space="preserve"> </w:t>
      </w:r>
      <w:r w:rsidR="004354B2">
        <w:t xml:space="preserve">Finance </w:t>
      </w:r>
      <w:r>
        <w:t xml:space="preserve">AAU or </w:t>
      </w:r>
      <w:hyperlink r:id="rId75" w:history="1">
        <w:r w:rsidR="004354B2" w:rsidRPr="00FC3C28">
          <w:rPr>
            <w:rStyle w:val="Hyperlink"/>
            <w:i w:val="0"/>
          </w:rPr>
          <w:t>Charging Policy Team</w:t>
        </w:r>
      </w:hyperlink>
      <w:r w:rsidR="004354B2" w:rsidRPr="00FC3C28">
        <w:rPr>
          <w:rFonts w:cs="MuseoSans-500"/>
          <w:i/>
          <w:u w:color="0070C0"/>
        </w:rPr>
        <w:t xml:space="preserve"> </w:t>
      </w:r>
      <w:r w:rsidR="00FC3C28">
        <w:t xml:space="preserve">to discuss reporting options. </w:t>
      </w:r>
    </w:p>
    <w:p w14:paraId="3CA2A95B" w14:textId="77777777" w:rsidR="00FC3C28" w:rsidRDefault="00FC3C28">
      <w:pPr>
        <w:suppressAutoHyphens w:val="0"/>
        <w:spacing w:before="0" w:after="120" w:line="440" w:lineRule="atLeast"/>
        <w:rPr>
          <w:rFonts w:asciiTheme="majorHAnsi" w:eastAsia="Times New Roman" w:hAnsiTheme="majorHAnsi" w:cstheme="majorBidi"/>
          <w:bCs/>
          <w:color w:val="1C1C1C" w:themeColor="text2"/>
          <w:sz w:val="40"/>
          <w:szCs w:val="28"/>
        </w:rPr>
      </w:pPr>
      <w:r>
        <w:rPr>
          <w:rFonts w:eastAsia="Times New Roman"/>
        </w:rPr>
        <w:br w:type="page"/>
      </w:r>
    </w:p>
    <w:p w14:paraId="31997FCF" w14:textId="2FD94116" w:rsidR="005831D9" w:rsidRPr="00592F2B" w:rsidRDefault="00670CFD" w:rsidP="00FC3C28">
      <w:pPr>
        <w:pStyle w:val="Heading1Numbered"/>
        <w:rPr>
          <w:rFonts w:eastAsia="Times New Roman"/>
        </w:rPr>
      </w:pPr>
      <w:bookmarkStart w:id="64" w:name="_Toc46302465"/>
      <w:r w:rsidRPr="00592F2B">
        <w:rPr>
          <w:rFonts w:eastAsia="Times New Roman"/>
        </w:rPr>
        <w:lastRenderedPageBreak/>
        <w:t>Retained receipt – increasing</w:t>
      </w:r>
      <w:r w:rsidR="005831D9" w:rsidRPr="00592F2B">
        <w:rPr>
          <w:rFonts w:eastAsia="Times New Roman"/>
        </w:rPr>
        <w:t xml:space="preserve"> </w:t>
      </w:r>
      <w:r w:rsidRPr="00592F2B">
        <w:rPr>
          <w:rFonts w:eastAsia="Times New Roman"/>
        </w:rPr>
        <w:t xml:space="preserve">an </w:t>
      </w:r>
      <w:r w:rsidR="005831D9" w:rsidRPr="00592F2B">
        <w:rPr>
          <w:rFonts w:eastAsia="Times New Roman"/>
        </w:rPr>
        <w:t>appropriation</w:t>
      </w:r>
      <w:bookmarkEnd w:id="64"/>
    </w:p>
    <w:p w14:paraId="7F5DADF6" w14:textId="437A8EFF" w:rsidR="005831D9" w:rsidRDefault="005831D9" w:rsidP="00FC3C28">
      <w:pPr>
        <w:pStyle w:val="NumberedList1"/>
      </w:pPr>
      <w:r w:rsidRPr="00C1364C">
        <w:t>Cash received that represents retainable receipts must be transferred from a</w:t>
      </w:r>
      <w:r>
        <w:t>n</w:t>
      </w:r>
      <w:r w:rsidRPr="00C1364C">
        <w:t xml:space="preserve"> NCE’s bank account to the OPA in the Cash Management module of </w:t>
      </w:r>
      <w:hyperlink r:id="rId76" w:history="1">
        <w:r w:rsidR="00822FF8" w:rsidRPr="00022D1B">
          <w:rPr>
            <w:rStyle w:val="Hyperlink"/>
            <w:i w:val="0"/>
          </w:rPr>
          <w:t>CBMS</w:t>
        </w:r>
      </w:hyperlink>
      <w:r w:rsidRPr="00C1364C">
        <w:t>. This will increase the available amounts of cash against the r</w:t>
      </w:r>
      <w:r w:rsidR="00E245F9">
        <w:t>elevan</w:t>
      </w:r>
      <w:r w:rsidR="00FC3C28">
        <w:t>t appropriation in CBMS.</w:t>
      </w:r>
    </w:p>
    <w:p w14:paraId="4FCCB5C3" w14:textId="0B309A50" w:rsidR="00F03095" w:rsidRDefault="00F03095" w:rsidP="00F03095">
      <w:pPr>
        <w:pStyle w:val="NumberedList1"/>
      </w:pPr>
      <w:r>
        <w:t xml:space="preserve">Under </w:t>
      </w:r>
      <w:r w:rsidRPr="00395E3D">
        <w:t xml:space="preserve">subsection 74(2) of the </w:t>
      </w:r>
      <w:hyperlink r:id="rId77" w:history="1">
        <w:hyperlink r:id="rId78" w:history="1">
          <w:r w:rsidRPr="00B84426">
            <w:rPr>
              <w:rStyle w:val="Hyperlink"/>
              <w:i w:val="0"/>
            </w:rPr>
            <w:t>PGPA Act</w:t>
          </w:r>
        </w:hyperlink>
      </w:hyperlink>
      <w:r>
        <w:rPr>
          <w:rStyle w:val="Hyperlink"/>
          <w:rFonts w:cstheme="minorBidi"/>
          <w:i w:val="0"/>
          <w:u w:val="none"/>
        </w:rPr>
        <w:t>, a</w:t>
      </w:r>
      <w:r w:rsidRPr="00395E3D">
        <w:t>n appropriation increase for retainable receipts</w:t>
      </w:r>
      <w:r>
        <w:t xml:space="preserve"> takes effect at the time the</w:t>
      </w:r>
      <w:r w:rsidRPr="00395E3D">
        <w:t xml:space="preserve"> NCE records the amounts in its</w:t>
      </w:r>
      <w:r>
        <w:t xml:space="preserve"> internal accounts and records. W</w:t>
      </w:r>
      <w:r w:rsidRPr="00C1364C">
        <w:t>hen the NCE requires the cash to make paym</w:t>
      </w:r>
      <w:r>
        <w:t xml:space="preserve">ents, it </w:t>
      </w:r>
      <w:r w:rsidRPr="00C1364C">
        <w:t>submit</w:t>
      </w:r>
      <w:r>
        <w:t>s</w:t>
      </w:r>
      <w:r w:rsidRPr="00C1364C">
        <w:t xml:space="preserve"> a </w:t>
      </w:r>
      <w:hyperlink w:anchor="Spendingreceipts" w:history="1">
        <w:r w:rsidRPr="00F03095">
          <w:rPr>
            <w:rStyle w:val="Hyperlink"/>
            <w:i w:val="0"/>
          </w:rPr>
          <w:t>drawdown request</w:t>
        </w:r>
      </w:hyperlink>
      <w:r w:rsidRPr="00C1364C">
        <w:t xml:space="preserve"> in CBMS.</w:t>
      </w:r>
    </w:p>
    <w:p w14:paraId="6C25E5FB" w14:textId="083E229D" w:rsidR="00FC3C28" w:rsidRDefault="00FC3C28" w:rsidP="00FC3C28">
      <w:pPr>
        <w:pStyle w:val="NumberedList1"/>
      </w:pPr>
      <w:r>
        <w:t>Figure 1 shows the decision points and process for retaining a receipt by increasing an appropriation.</w:t>
      </w:r>
    </w:p>
    <w:p w14:paraId="74802F86" w14:textId="1876CED3" w:rsidR="00670CFD" w:rsidRDefault="00670CFD" w:rsidP="00670CFD">
      <w:pPr>
        <w:pStyle w:val="Figuretitle"/>
        <w:ind w:left="993" w:hanging="567"/>
      </w:pPr>
      <w:r>
        <w:t>Retaining a receipt – decision tree</w:t>
      </w:r>
    </w:p>
    <w:p w14:paraId="2C1CB214" w14:textId="393CC8CF" w:rsidR="00670CFD" w:rsidRPr="00C1364C" w:rsidRDefault="0090477C" w:rsidP="00670CFD">
      <w:pPr>
        <w:pStyle w:val="NumberedList1"/>
        <w:numPr>
          <w:ilvl w:val="0"/>
          <w:numId w:val="0"/>
        </w:numPr>
        <w:ind w:left="360"/>
      </w:pPr>
      <w:r>
        <w:rPr>
          <w:noProof/>
          <w:lang w:val="en-AU"/>
        </w:rPr>
        <w:drawing>
          <wp:inline distT="0" distB="0" distL="0" distR="0" wp14:anchorId="6BF085F3" wp14:editId="4986B4F1">
            <wp:extent cx="5073706" cy="6045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aining-a-receipt.png"/>
                    <pic:cNvPicPr/>
                  </pic:nvPicPr>
                  <pic:blipFill>
                    <a:blip r:embed="rId79">
                      <a:extLst>
                        <a:ext uri="{28A0092B-C50C-407E-A947-70E740481C1C}">
                          <a14:useLocalDpi xmlns:a14="http://schemas.microsoft.com/office/drawing/2010/main" val="0"/>
                        </a:ext>
                      </a:extLst>
                    </a:blip>
                    <a:stretch>
                      <a:fillRect/>
                    </a:stretch>
                  </pic:blipFill>
                  <pic:spPr>
                    <a:xfrm>
                      <a:off x="0" y="0"/>
                      <a:ext cx="5074746" cy="6047050"/>
                    </a:xfrm>
                    <a:prstGeom prst="rect">
                      <a:avLst/>
                    </a:prstGeom>
                  </pic:spPr>
                </pic:pic>
              </a:graphicData>
            </a:graphic>
          </wp:inline>
        </w:drawing>
      </w:r>
    </w:p>
    <w:p w14:paraId="7C3E516B" w14:textId="77777777" w:rsidR="00F03095" w:rsidRPr="00592F2B" w:rsidRDefault="00F03095" w:rsidP="00F03095">
      <w:pPr>
        <w:pStyle w:val="NumberedList1"/>
      </w:pPr>
      <w:r w:rsidRPr="00592F2B">
        <w:lastRenderedPageBreak/>
        <w:t xml:space="preserve">Amounts received and credited to a special account are </w:t>
      </w:r>
      <w:r w:rsidRPr="00592F2B">
        <w:rPr>
          <w:iCs/>
        </w:rPr>
        <w:t>not</w:t>
      </w:r>
      <w:r w:rsidRPr="00592F2B">
        <w:t xml:space="preserve"> retainable receipts and cannot be recorded as </w:t>
      </w:r>
      <w:r w:rsidRPr="00592F2B">
        <w:rPr>
          <w:iCs/>
        </w:rPr>
        <w:t>retainable receipts</w:t>
      </w:r>
      <w:r w:rsidRPr="00592F2B">
        <w:t>. Instead, these are recorded as increases to the balance of the special account.</w:t>
      </w:r>
    </w:p>
    <w:p w14:paraId="12D1B275" w14:textId="4B15F3ED" w:rsidR="00FC3C28" w:rsidRPr="00592F2B" w:rsidRDefault="00FC3C28" w:rsidP="00FC3C28">
      <w:pPr>
        <w:pStyle w:val="NumberedList1"/>
      </w:pPr>
      <w:r w:rsidRPr="00592F2B">
        <w:t xml:space="preserve">NCEs must ensure that the </w:t>
      </w:r>
      <w:r w:rsidRPr="00592F2B">
        <w:rPr>
          <w:rFonts w:cs="MuseoSans-500"/>
          <w:u w:color="0070C0"/>
        </w:rPr>
        <w:t>CBMS</w:t>
      </w:r>
      <w:r w:rsidRPr="00592F2B">
        <w:t xml:space="preserve"> records are updated in a timely and accurate manner as CBMS data is used for </w:t>
      </w:r>
      <w:hyperlink w:anchor="publishedannually" w:history="1">
        <w:r w:rsidRPr="00592F2B">
          <w:rPr>
            <w:rStyle w:val="Hyperlink"/>
            <w:i w:val="0"/>
          </w:rPr>
          <w:t>whole-of-government budget balances and financial reporting</w:t>
        </w:r>
      </w:hyperlink>
      <w:r w:rsidRPr="00592F2B">
        <w:t>.</w:t>
      </w:r>
    </w:p>
    <w:p w14:paraId="243BA251" w14:textId="69A9163D" w:rsidR="00135D45" w:rsidRPr="00592F2B" w:rsidRDefault="00135D45" w:rsidP="00135D45">
      <w:pPr>
        <w:pStyle w:val="NumberedList1"/>
        <w:rPr>
          <w:rFonts w:ascii="Arial" w:eastAsia="Times New Roman" w:hAnsi="Arial" w:cs="Arial"/>
          <w:color w:val="212529"/>
        </w:rPr>
      </w:pPr>
      <w:r w:rsidRPr="00592F2B">
        <w:t xml:space="preserve">For more information on recording receipts in the CBMS Cash Management module, </w:t>
      </w:r>
      <w:r w:rsidRPr="00592F2B">
        <w:rPr>
          <w:rFonts w:ascii="Arial" w:eastAsia="Times New Roman" w:hAnsi="Arial" w:cs="Arial"/>
          <w:color w:val="212529"/>
        </w:rPr>
        <w:t xml:space="preserve">contact Finance </w:t>
      </w:r>
      <w:hyperlink r:id="rId80" w:history="1">
        <w:r w:rsidRPr="00592F2B">
          <w:rPr>
            <w:rStyle w:val="Hyperlink"/>
            <w:i w:val="0"/>
          </w:rPr>
          <w:t>OPA Admin Team</w:t>
        </w:r>
      </w:hyperlink>
      <w:r w:rsidRPr="00592F2B">
        <w:rPr>
          <w:rStyle w:val="Hyperlink"/>
          <w:i w:val="0"/>
          <w:u w:val="none"/>
        </w:rPr>
        <w:t>.</w:t>
      </w:r>
    </w:p>
    <w:p w14:paraId="3DE8BD5C" w14:textId="4D02BF79" w:rsidR="005831D9" w:rsidRPr="00592F2B" w:rsidRDefault="005831D9" w:rsidP="001F4981">
      <w:pPr>
        <w:pStyle w:val="Heading2Numbered"/>
        <w:numPr>
          <w:ilvl w:val="0"/>
          <w:numId w:val="0"/>
        </w:numPr>
        <w:tabs>
          <w:tab w:val="left" w:pos="5954"/>
        </w:tabs>
        <w:rPr>
          <w:rFonts w:eastAsia="Times New Roman"/>
          <w:lang w:val="en" w:eastAsia="en-AU"/>
        </w:rPr>
      </w:pPr>
      <w:bookmarkStart w:id="65" w:name="_Toc46302466"/>
      <w:r w:rsidRPr="00592F2B">
        <w:rPr>
          <w:rFonts w:eastAsia="Times New Roman"/>
          <w:lang w:val="en" w:eastAsia="en-AU"/>
        </w:rPr>
        <w:t>Transferring cash collected</w:t>
      </w:r>
      <w:bookmarkEnd w:id="65"/>
    </w:p>
    <w:p w14:paraId="002ABF0A" w14:textId="77777777" w:rsidR="009A40F5" w:rsidRDefault="00EF0380" w:rsidP="009A40F5">
      <w:pPr>
        <w:pStyle w:val="NumberedList1"/>
      </w:pPr>
      <w:r w:rsidRPr="00592F2B">
        <w:t xml:space="preserve">Cash </w:t>
      </w:r>
      <w:r w:rsidR="00822FF8" w:rsidRPr="00592F2B">
        <w:t xml:space="preserve">received that </w:t>
      </w:r>
      <w:r w:rsidRPr="00592F2B">
        <w:t xml:space="preserve">comprises </w:t>
      </w:r>
      <w:r w:rsidRPr="00592F2B">
        <w:rPr>
          <w:iCs/>
        </w:rPr>
        <w:t>retainable receipts</w:t>
      </w:r>
      <w:r w:rsidR="009A40F5" w:rsidRPr="00592F2B">
        <w:t xml:space="preserve"> must be transferred from the</w:t>
      </w:r>
      <w:r w:rsidRPr="00592F2B">
        <w:t xml:space="preserve"> NCE’s</w:t>
      </w:r>
      <w:r w:rsidRPr="00C1364C">
        <w:t xml:space="preserve"> bank account to the OPA. </w:t>
      </w:r>
    </w:p>
    <w:p w14:paraId="58640D38" w14:textId="3BE0183F" w:rsidR="005831D9" w:rsidRPr="00C1364C" w:rsidRDefault="005831D9" w:rsidP="009A40F5">
      <w:pPr>
        <w:pStyle w:val="NumberedList1"/>
      </w:pPr>
      <w:r w:rsidRPr="00C1364C">
        <w:t>In th</w:t>
      </w:r>
      <w:r>
        <w:t xml:space="preserve">e Cash Management module of </w:t>
      </w:r>
      <w:hyperlink r:id="rId81" w:history="1">
        <w:r w:rsidRPr="009A40F5">
          <w:rPr>
            <w:rStyle w:val="Hyperlink"/>
            <w:i w:val="0"/>
          </w:rPr>
          <w:t>CBMS</w:t>
        </w:r>
      </w:hyperlink>
      <w:r w:rsidR="009A40F5" w:rsidRPr="009A40F5">
        <w:rPr>
          <w:rStyle w:val="Hyperlink"/>
          <w:i w:val="0"/>
          <w:u w:val="none"/>
        </w:rPr>
        <w:t>, for</w:t>
      </w:r>
      <w:r w:rsidRPr="009A40F5">
        <w:t>:</w:t>
      </w:r>
      <w:r w:rsidRPr="00C1364C">
        <w:t xml:space="preserve"> </w:t>
      </w:r>
    </w:p>
    <w:p w14:paraId="115C0E6A" w14:textId="25AA5DD3" w:rsidR="005831D9" w:rsidRPr="00A1716B" w:rsidRDefault="005831D9" w:rsidP="009A40F5">
      <w:pPr>
        <w:pStyle w:val="Bullet1"/>
      </w:pPr>
      <w:r w:rsidRPr="009A40F5">
        <w:rPr>
          <w:b/>
        </w:rPr>
        <w:t>transactions related to retainable receipts</w:t>
      </w:r>
      <w:r w:rsidR="00627C87">
        <w:t>—</w:t>
      </w:r>
      <w:r w:rsidR="009A40F5">
        <w:t xml:space="preserve">use </w:t>
      </w:r>
      <w:r w:rsidRPr="00A1716B">
        <w:t>‘Appropriation Receipts (s74)’</w:t>
      </w:r>
      <w:r w:rsidR="009A40F5">
        <w:t xml:space="preserve"> as the</w:t>
      </w:r>
      <w:r w:rsidR="009A40F5" w:rsidRPr="00A1716B">
        <w:t xml:space="preserve"> identifier</w:t>
      </w:r>
    </w:p>
    <w:p w14:paraId="13A1AFA8" w14:textId="21CF48BB" w:rsidR="005831D9" w:rsidRPr="00A1716B" w:rsidRDefault="005831D9" w:rsidP="005831D9">
      <w:pPr>
        <w:pStyle w:val="Bullet1"/>
      </w:pPr>
      <w:r w:rsidRPr="009A40F5">
        <w:rPr>
          <w:b/>
        </w:rPr>
        <w:t>transactions related to repayments receipts</w:t>
      </w:r>
      <w:r w:rsidR="00627C87">
        <w:t>—</w:t>
      </w:r>
      <w:r w:rsidR="009A40F5">
        <w:t xml:space="preserve">use </w:t>
      </w:r>
      <w:r w:rsidRPr="00A1716B">
        <w:t>‘Appropriation Repayments’</w:t>
      </w:r>
      <w:r w:rsidR="009A40F5">
        <w:t xml:space="preserve"> as the</w:t>
      </w:r>
      <w:r w:rsidR="009A40F5" w:rsidRPr="00A1716B">
        <w:t xml:space="preserve"> identifier</w:t>
      </w:r>
    </w:p>
    <w:p w14:paraId="3CDC8DE2" w14:textId="7FD6F1A4" w:rsidR="005831D9" w:rsidRPr="00A1716B" w:rsidRDefault="009A40F5" w:rsidP="005831D9">
      <w:pPr>
        <w:pStyle w:val="Bullet1"/>
      </w:pPr>
      <w:r>
        <w:rPr>
          <w:b/>
        </w:rPr>
        <w:t xml:space="preserve">transactions related to </w:t>
      </w:r>
      <w:r w:rsidR="005831D9" w:rsidRPr="009A40F5">
        <w:rPr>
          <w:b/>
        </w:rPr>
        <w:t>subsequent expenditure of retainable receipts or repayment receipts</w:t>
      </w:r>
      <w:r w:rsidR="00627C87">
        <w:t>—</w:t>
      </w:r>
      <w:r>
        <w:t>use</w:t>
      </w:r>
      <w:r w:rsidR="005831D9" w:rsidRPr="00A1716B">
        <w:t xml:space="preserve"> ‘Drawdown’</w:t>
      </w:r>
      <w:r>
        <w:t xml:space="preserve"> as </w:t>
      </w:r>
      <w:r w:rsidRPr="00A1716B">
        <w:t>the identifier</w:t>
      </w:r>
      <w:r>
        <w:t>, reflecting</w:t>
      </w:r>
      <w:r w:rsidR="005831D9" w:rsidRPr="00A1716B">
        <w:t xml:space="preserve"> an amount of cash being transferred from the </w:t>
      </w:r>
      <w:hyperlink r:id="rId82" w:history="1">
        <w:r w:rsidR="005831D9" w:rsidRPr="00A1716B">
          <w:rPr>
            <w:rStyle w:val="Hyperlink"/>
            <w:rFonts w:cstheme="minorBidi"/>
            <w:i w:val="0"/>
            <w:u w:val="none"/>
          </w:rPr>
          <w:t>OPA Group</w:t>
        </w:r>
      </w:hyperlink>
      <w:r w:rsidR="005831D9" w:rsidRPr="00A1716B">
        <w:t xml:space="preserve"> to one of the NCE’s bank accounts.</w:t>
      </w:r>
      <w:r>
        <w:t xml:space="preserve"> </w:t>
      </w:r>
    </w:p>
    <w:p w14:paraId="27823265" w14:textId="4205EE3E" w:rsidR="002D0B47" w:rsidRDefault="005831D9" w:rsidP="002D0B47">
      <w:pPr>
        <w:pStyle w:val="NumberedList1"/>
      </w:pPr>
      <w:r w:rsidRPr="00C1364C">
        <w:t>Transactions</w:t>
      </w:r>
      <w:r w:rsidR="0037448E">
        <w:t xml:space="preserve"> in CBMS that reflect </w:t>
      </w:r>
      <w:r w:rsidR="002D0B47">
        <w:t xml:space="preserve">retainable </w:t>
      </w:r>
      <w:r w:rsidR="0037448E">
        <w:t>receipts</w:t>
      </w:r>
      <w:r w:rsidR="002D0B47">
        <w:t xml:space="preserve"> and repayment receipts</w:t>
      </w:r>
      <w:r w:rsidR="0037448E">
        <w:t xml:space="preserve"> </w:t>
      </w:r>
      <w:r w:rsidRPr="00C1364C">
        <w:t xml:space="preserve">increase the available </w:t>
      </w:r>
      <w:r w:rsidR="002D0B47">
        <w:t>cash amounts</w:t>
      </w:r>
      <w:r w:rsidRPr="00C1364C">
        <w:t xml:space="preserve"> against the releva</w:t>
      </w:r>
      <w:r w:rsidR="002D0B47">
        <w:t>nt appropriation balance</w:t>
      </w:r>
      <w:r w:rsidRPr="00C1364C">
        <w:t>. When a</w:t>
      </w:r>
      <w:r>
        <w:t>n</w:t>
      </w:r>
      <w:r w:rsidRPr="00C1364C">
        <w:t xml:space="preserve"> NCE requires cash to make payments, a </w:t>
      </w:r>
      <w:r w:rsidR="002D0B47">
        <w:t>drawdown request in CBMS is submitted</w:t>
      </w:r>
      <w:r w:rsidRPr="00C1364C">
        <w:t xml:space="preserve"> to receive the money back from the OPA.</w:t>
      </w:r>
    </w:p>
    <w:p w14:paraId="78918681" w14:textId="7A9F94F1" w:rsidR="00135D45" w:rsidRPr="00135D45" w:rsidRDefault="00135D45" w:rsidP="00135D45">
      <w:pPr>
        <w:pStyle w:val="NumberedList1"/>
        <w:rPr>
          <w:rFonts w:ascii="Arial" w:eastAsia="Times New Roman" w:hAnsi="Arial" w:cs="Arial"/>
          <w:color w:val="212529"/>
        </w:rPr>
      </w:pPr>
      <w:r>
        <w:t xml:space="preserve">For more information, </w:t>
      </w:r>
      <w:r>
        <w:rPr>
          <w:rFonts w:ascii="Arial" w:eastAsia="Times New Roman" w:hAnsi="Arial" w:cs="Arial"/>
          <w:color w:val="212529"/>
        </w:rPr>
        <w:t xml:space="preserve">contact Finance </w:t>
      </w:r>
      <w:hyperlink r:id="rId83" w:history="1">
        <w:r w:rsidRPr="00135D45">
          <w:rPr>
            <w:rStyle w:val="Hyperlink"/>
            <w:i w:val="0"/>
          </w:rPr>
          <w:t>OPA Admin Team</w:t>
        </w:r>
      </w:hyperlink>
      <w:r>
        <w:rPr>
          <w:rStyle w:val="Hyperlink"/>
          <w:i w:val="0"/>
          <w:u w:val="none"/>
        </w:rPr>
        <w:t>.</w:t>
      </w:r>
    </w:p>
    <w:p w14:paraId="4E0950AF" w14:textId="77777777" w:rsidR="00FC3C28" w:rsidRDefault="00FC3C28">
      <w:pPr>
        <w:suppressAutoHyphens w:val="0"/>
        <w:spacing w:before="0" w:after="120" w:line="440" w:lineRule="atLeast"/>
        <w:rPr>
          <w:rFonts w:asciiTheme="majorHAnsi" w:eastAsia="Times New Roman" w:hAnsiTheme="majorHAnsi" w:cstheme="majorBidi"/>
          <w:bCs/>
          <w:color w:val="1C1C1C" w:themeColor="text2"/>
          <w:sz w:val="40"/>
          <w:szCs w:val="28"/>
          <w:lang w:val="en" w:eastAsia="en-AU"/>
        </w:rPr>
      </w:pPr>
      <w:r>
        <w:rPr>
          <w:rFonts w:eastAsia="Times New Roman"/>
          <w:lang w:val="en" w:eastAsia="en-AU"/>
        </w:rPr>
        <w:br w:type="page"/>
      </w:r>
    </w:p>
    <w:p w14:paraId="12C35D78" w14:textId="232E9B52" w:rsidR="00AE6815" w:rsidRPr="00592F2B" w:rsidRDefault="006147FF" w:rsidP="00F837B1">
      <w:pPr>
        <w:pStyle w:val="Heading1Numbered"/>
        <w:rPr>
          <w:rFonts w:eastAsia="Times New Roman"/>
          <w:lang w:val="en" w:eastAsia="en-AU"/>
        </w:rPr>
      </w:pPr>
      <w:bookmarkStart w:id="66" w:name="Spendingreceipts"/>
      <w:bookmarkStart w:id="67" w:name="_Toc46302467"/>
      <w:r w:rsidRPr="00592F2B">
        <w:rPr>
          <w:rFonts w:eastAsia="Times New Roman"/>
          <w:lang w:val="en" w:eastAsia="en-AU"/>
        </w:rPr>
        <w:lastRenderedPageBreak/>
        <w:t xml:space="preserve">How </w:t>
      </w:r>
      <w:r w:rsidR="00AE6815" w:rsidRPr="00592F2B">
        <w:rPr>
          <w:rFonts w:eastAsia="Times New Roman"/>
          <w:lang w:val="en" w:eastAsia="en-AU"/>
        </w:rPr>
        <w:t xml:space="preserve">retainable receipts </w:t>
      </w:r>
      <w:r w:rsidRPr="00592F2B">
        <w:rPr>
          <w:rFonts w:eastAsia="Times New Roman"/>
          <w:lang w:val="en" w:eastAsia="en-AU"/>
        </w:rPr>
        <w:t xml:space="preserve">can </w:t>
      </w:r>
      <w:r w:rsidR="00AE6815" w:rsidRPr="00592F2B">
        <w:rPr>
          <w:rFonts w:eastAsia="Times New Roman"/>
          <w:lang w:val="en" w:eastAsia="en-AU"/>
        </w:rPr>
        <w:t>be spent</w:t>
      </w:r>
      <w:bookmarkEnd w:id="67"/>
    </w:p>
    <w:bookmarkEnd w:id="66"/>
    <w:p w14:paraId="36A459AD" w14:textId="20BD0A74" w:rsidR="00F837B1" w:rsidRDefault="00E245F9" w:rsidP="00725573">
      <w:pPr>
        <w:pStyle w:val="NumberedList1"/>
      </w:pPr>
      <w:r>
        <w:t>Once</w:t>
      </w:r>
      <w:r w:rsidR="00AE6815" w:rsidRPr="00C1364C">
        <w:t xml:space="preserve"> </w:t>
      </w:r>
      <w:r w:rsidR="00725573">
        <w:t>an a</w:t>
      </w:r>
      <w:r w:rsidR="00AE6815" w:rsidRPr="004917A2">
        <w:t xml:space="preserve">ppropriation </w:t>
      </w:r>
      <w:r w:rsidR="00725573">
        <w:t xml:space="preserve">is increased </w:t>
      </w:r>
      <w:r w:rsidR="00AE6815" w:rsidRPr="004917A2">
        <w:t>with retainable receipts, the extra money can be spent on the purposes of that appropriation, but only if the government has agreed</w:t>
      </w:r>
      <w:r w:rsidR="00725573">
        <w:t xml:space="preserve"> (</w:t>
      </w:r>
      <w:proofErr w:type="spellStart"/>
      <w:r w:rsidR="00725573">
        <w:t>ie</w:t>
      </w:r>
      <w:proofErr w:type="spellEnd"/>
      <w:r w:rsidR="00725573">
        <w:t xml:space="preserve"> given policy authority)</w:t>
      </w:r>
      <w:r w:rsidR="00AE6815" w:rsidRPr="004917A2">
        <w:t xml:space="preserve"> to spend the extra amount</w:t>
      </w:r>
      <w:r w:rsidR="00725573">
        <w:t>.</w:t>
      </w:r>
      <w:r w:rsidR="00AE6815" w:rsidRPr="004917A2">
        <w:t xml:space="preserve"> </w:t>
      </w:r>
      <w:r w:rsidR="00AE6815" w:rsidRPr="00C1364C">
        <w:t xml:space="preserve">Spending an appropriation is </w:t>
      </w:r>
      <w:proofErr w:type="spellStart"/>
      <w:r w:rsidR="00AE6815" w:rsidRPr="00C1364C">
        <w:t>authorised</w:t>
      </w:r>
      <w:proofErr w:type="spellEnd"/>
      <w:r w:rsidR="00AE6815" w:rsidRPr="00C1364C">
        <w:t xml:space="preserve"> by government approval of estimates for revenue and expenditure and recorded</w:t>
      </w:r>
      <w:r w:rsidR="00022D1B">
        <w:t xml:space="preserve"> in the </w:t>
      </w:r>
      <w:r w:rsidR="00725573">
        <w:t>‘</w:t>
      </w:r>
      <w:r w:rsidR="00022D1B">
        <w:t>Estimates module</w:t>
      </w:r>
      <w:r w:rsidR="00725573">
        <w:t>’</w:t>
      </w:r>
      <w:r w:rsidR="00022D1B">
        <w:t xml:space="preserve"> of </w:t>
      </w:r>
      <w:hyperlink r:id="rId84" w:history="1">
        <w:r w:rsidR="00022D1B" w:rsidRPr="00725573">
          <w:rPr>
            <w:rStyle w:val="Hyperlink"/>
            <w:i w:val="0"/>
          </w:rPr>
          <w:t>CBMS</w:t>
        </w:r>
      </w:hyperlink>
      <w:r w:rsidR="00AE6815" w:rsidRPr="00C1364C">
        <w:t xml:space="preserve">. </w:t>
      </w:r>
    </w:p>
    <w:p w14:paraId="0F46D810" w14:textId="4DC0D775" w:rsidR="00A46AC4" w:rsidRDefault="00A46AC4" w:rsidP="00A46AC4">
      <w:pPr>
        <w:pStyle w:val="NumberedList1"/>
      </w:pPr>
      <w:r>
        <w:t>W</w:t>
      </w:r>
      <w:r w:rsidRPr="00C1364C">
        <w:t>hen the NCE requires the cash to make paym</w:t>
      </w:r>
      <w:r>
        <w:t xml:space="preserve">ents, it </w:t>
      </w:r>
      <w:r w:rsidRPr="00C1364C">
        <w:t>submit</w:t>
      </w:r>
      <w:r>
        <w:t>s</w:t>
      </w:r>
      <w:r w:rsidRPr="00C1364C">
        <w:t xml:space="preserve"> a </w:t>
      </w:r>
      <w:hyperlink w:anchor="Spendingreceipts" w:history="1">
        <w:r w:rsidRPr="00A46AC4">
          <w:rPr>
            <w:rStyle w:val="Hyperlink"/>
            <w:i w:val="0"/>
            <w:u w:val="none"/>
          </w:rPr>
          <w:t>drawdown request</w:t>
        </w:r>
      </w:hyperlink>
      <w:r w:rsidRPr="00C1364C">
        <w:t xml:space="preserve"> </w:t>
      </w:r>
      <w:r w:rsidR="007C3569">
        <w:t xml:space="preserve">in </w:t>
      </w:r>
      <w:r>
        <w:t>the Cash Management module of</w:t>
      </w:r>
      <w:r w:rsidRPr="00C1364C">
        <w:t xml:space="preserve"> CBMS.</w:t>
      </w:r>
    </w:p>
    <w:p w14:paraId="1E88F70E" w14:textId="2F864ED9" w:rsidR="002049FB" w:rsidRPr="00F41CF4" w:rsidRDefault="00F41CF4" w:rsidP="00A46AC4">
      <w:pPr>
        <w:pStyle w:val="NumberedList1"/>
      </w:pPr>
      <w:r w:rsidRPr="00F41CF4">
        <w:t xml:space="preserve">For information on how and when receipts are </w:t>
      </w:r>
      <w:proofErr w:type="spellStart"/>
      <w:r w:rsidRPr="00F41CF4">
        <w:t>recognised</w:t>
      </w:r>
      <w:proofErr w:type="spellEnd"/>
      <w:r w:rsidRPr="00F41CF4">
        <w:t xml:space="preserve"> in an entity’s financial statements, please refer to the</w:t>
      </w:r>
      <w:r w:rsidR="001B0EDC">
        <w:t xml:space="preserve"> </w:t>
      </w:r>
      <w:hyperlink r:id="rId85" w:tgtFrame="_blank" w:history="1">
        <w:hyperlink r:id="rId86" w:history="1">
          <w:hyperlink r:id="rId87" w:history="1">
            <w:r w:rsidR="001B0EDC" w:rsidRPr="004152D8">
              <w:rPr>
                <w:rStyle w:val="Hyperlink"/>
                <w:i w:val="0"/>
              </w:rPr>
              <w:t>FRR</w:t>
            </w:r>
          </w:hyperlink>
        </w:hyperlink>
      </w:hyperlink>
      <w:r w:rsidR="001B0EDC" w:rsidRPr="00C1364C">
        <w:t xml:space="preserve"> </w:t>
      </w:r>
      <w:r w:rsidR="001B0EDC">
        <w:t>and</w:t>
      </w:r>
      <w:r w:rsidRPr="00F41CF4">
        <w:t xml:space="preserve"> </w:t>
      </w:r>
      <w:hyperlink r:id="rId88" w:history="1">
        <w:r w:rsidRPr="00F41CF4">
          <w:rPr>
            <w:rStyle w:val="Hyperlink"/>
          </w:rPr>
          <w:t>Commonwealth entities financial statements guide (RMG 125)</w:t>
        </w:r>
      </w:hyperlink>
      <w:r w:rsidR="002049FB" w:rsidRPr="00F41CF4">
        <w:t xml:space="preserve">. </w:t>
      </w:r>
    </w:p>
    <w:p w14:paraId="31B9A5E8" w14:textId="3F6CBF98" w:rsidR="00F03095" w:rsidRDefault="00F03095" w:rsidP="00725573">
      <w:pPr>
        <w:pStyle w:val="NumberedList1"/>
      </w:pPr>
      <w:r>
        <w:t>Figure 2 shows the decision points and process for spending a retained receipt.</w:t>
      </w:r>
    </w:p>
    <w:p w14:paraId="6970D8E4" w14:textId="1681FF3E" w:rsidR="00AE5583" w:rsidRDefault="00F421B2" w:rsidP="00D94AF2">
      <w:pPr>
        <w:pStyle w:val="Figuretitle"/>
        <w:spacing w:after="0"/>
        <w:ind w:left="426"/>
      </w:pPr>
      <w:r>
        <w:t xml:space="preserve">Spending a </w:t>
      </w:r>
      <w:r w:rsidR="00F03095">
        <w:t xml:space="preserve">retained </w:t>
      </w:r>
      <w:r>
        <w:t>receipt - decision tree</w:t>
      </w:r>
    </w:p>
    <w:p w14:paraId="16C24907" w14:textId="287B827F" w:rsidR="00A46AC4" w:rsidRPr="00A46AC4" w:rsidRDefault="003D1B55" w:rsidP="00A46AC4">
      <w:pPr>
        <w:pStyle w:val="NumberedList1"/>
        <w:numPr>
          <w:ilvl w:val="0"/>
          <w:numId w:val="0"/>
        </w:numPr>
        <w:ind w:left="425"/>
        <w:rPr>
          <w:rFonts w:ascii="Arial" w:hAnsi="Arial" w:cs="Arial"/>
          <w:color w:val="3B3B3B"/>
          <w:shd w:val="clear" w:color="auto" w:fill="FFFFFF"/>
        </w:rPr>
      </w:pPr>
      <w:r>
        <w:rPr>
          <w:rFonts w:ascii="Arial" w:hAnsi="Arial" w:cs="Arial"/>
          <w:noProof/>
          <w:color w:val="3B3B3B"/>
          <w:shd w:val="clear" w:color="auto" w:fill="FFFFFF"/>
          <w:lang w:val="en-AU"/>
        </w:rPr>
        <w:drawing>
          <wp:inline distT="0" distB="0" distL="0" distR="0" wp14:anchorId="254A026D" wp14:editId="1C623A5E">
            <wp:extent cx="5170811" cy="38151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nding-a-retained-receipt.png"/>
                    <pic:cNvPicPr/>
                  </pic:nvPicPr>
                  <pic:blipFill>
                    <a:blip r:embed="rId89">
                      <a:extLst>
                        <a:ext uri="{28A0092B-C50C-407E-A947-70E740481C1C}">
                          <a14:useLocalDpi xmlns:a14="http://schemas.microsoft.com/office/drawing/2010/main" val="0"/>
                        </a:ext>
                      </a:extLst>
                    </a:blip>
                    <a:stretch>
                      <a:fillRect/>
                    </a:stretch>
                  </pic:blipFill>
                  <pic:spPr>
                    <a:xfrm>
                      <a:off x="0" y="0"/>
                      <a:ext cx="5183123" cy="3824186"/>
                    </a:xfrm>
                    <a:prstGeom prst="rect">
                      <a:avLst/>
                    </a:prstGeom>
                  </pic:spPr>
                </pic:pic>
              </a:graphicData>
            </a:graphic>
          </wp:inline>
        </w:drawing>
      </w:r>
    </w:p>
    <w:p w14:paraId="097886D6" w14:textId="33152504" w:rsidR="00A46AC4" w:rsidRPr="00A46AC4" w:rsidRDefault="00E81A44" w:rsidP="00F837B1">
      <w:pPr>
        <w:pStyle w:val="NumberedList1"/>
      </w:pPr>
      <w:r>
        <w:t>Expected d</w:t>
      </w:r>
      <w:r w:rsidR="00A46AC4">
        <w:t>rawdowns are to be reflected in</w:t>
      </w:r>
      <w:r w:rsidR="00F0337E">
        <w:t xml:space="preserve"> </w:t>
      </w:r>
      <w:r w:rsidR="007C3569">
        <w:t xml:space="preserve">the </w:t>
      </w:r>
      <w:r w:rsidR="00F0337E">
        <w:t>E</w:t>
      </w:r>
      <w:r w:rsidR="00A46AC4">
        <w:t>s</w:t>
      </w:r>
      <w:r w:rsidR="00F0337E">
        <w:t>timates</w:t>
      </w:r>
      <w:r>
        <w:t xml:space="preserve"> module and actual drawdowns are to be reflected in the </w:t>
      </w:r>
      <w:r w:rsidR="00A46AC4">
        <w:t xml:space="preserve">Actuals module of CBMS. </w:t>
      </w:r>
      <w:r w:rsidR="00A04466">
        <w:t xml:space="preserve">For more information, see </w:t>
      </w:r>
      <w:hyperlink w:anchor="Disclosure" w:history="1">
        <w:r w:rsidR="00A04466" w:rsidRPr="00024F9D">
          <w:rPr>
            <w:rStyle w:val="Hyperlink"/>
            <w:i w:val="0"/>
          </w:rPr>
          <w:t>Disclosure of retainable receipts</w:t>
        </w:r>
      </w:hyperlink>
      <w:r w:rsidR="00A04466">
        <w:t>.</w:t>
      </w:r>
    </w:p>
    <w:p w14:paraId="0F82D2A4" w14:textId="2435B664" w:rsidR="00E21BB7" w:rsidRDefault="00847FBF" w:rsidP="00F837B1">
      <w:pPr>
        <w:pStyle w:val="NumberedList1"/>
      </w:pPr>
      <w:r>
        <w:rPr>
          <w:shd w:val="clear" w:color="auto" w:fill="FFFFFF"/>
        </w:rPr>
        <w:t xml:space="preserve">NCEs must ensure that the CBMS records are updated in a timely and accurate manner as the data in CBMS is used to calculate the whole-of-government budget balances and for </w:t>
      </w:r>
      <w:r w:rsidRPr="00024F9D">
        <w:rPr>
          <w:rFonts w:cs="MuseoSans-500"/>
          <w:u w:color="0070C0"/>
        </w:rPr>
        <w:t>whole-of-government financial reportin</w:t>
      </w:r>
      <w:r w:rsidRPr="00024F9D">
        <w:rPr>
          <w:rFonts w:ascii="Arial" w:hAnsi="Arial" w:cs="Arial"/>
          <w:u w:color="0070C0"/>
          <w:shd w:val="clear" w:color="auto" w:fill="FFFFFF"/>
        </w:rPr>
        <w:t>g</w:t>
      </w:r>
      <w:r>
        <w:rPr>
          <w:shd w:val="clear" w:color="auto" w:fill="FFFFFF"/>
        </w:rPr>
        <w:t>.</w:t>
      </w:r>
      <w:r w:rsidR="00E21BB7">
        <w:t xml:space="preserve"> </w:t>
      </w:r>
    </w:p>
    <w:p w14:paraId="3BA2E58F" w14:textId="3983E2D1" w:rsidR="00135D45" w:rsidRPr="00135D45" w:rsidRDefault="00135D45" w:rsidP="00135D45">
      <w:pPr>
        <w:pStyle w:val="NumberedList1"/>
        <w:rPr>
          <w:rFonts w:cs="MuseoSans-500"/>
          <w:i/>
          <w:u w:val="single" w:color="0070C0"/>
        </w:rPr>
      </w:pPr>
      <w:r>
        <w:lastRenderedPageBreak/>
        <w:t xml:space="preserve">For more </w:t>
      </w:r>
      <w:r w:rsidRPr="004152D8">
        <w:t>information on monthly and annual actuals reporting, and variance explanations</w:t>
      </w:r>
      <w:r>
        <w:t xml:space="preserve">, contact Finance </w:t>
      </w:r>
      <w:hyperlink r:id="rId90" w:history="1">
        <w:r w:rsidRPr="00135D45">
          <w:rPr>
            <w:rStyle w:val="Hyperlink"/>
            <w:i w:val="0"/>
          </w:rPr>
          <w:t>Monthly Reporting Team</w:t>
        </w:r>
      </w:hyperlink>
      <w:r w:rsidRPr="00C1364C">
        <w:rPr>
          <w:rFonts w:ascii="Arial" w:eastAsia="Times New Roman" w:hAnsi="Arial" w:cs="Arial"/>
          <w:color w:val="212529"/>
          <w:sz w:val="24"/>
          <w:szCs w:val="24"/>
        </w:rPr>
        <w:t xml:space="preserve"> and </w:t>
      </w:r>
      <w:hyperlink r:id="rId91" w:history="1">
        <w:r w:rsidRPr="00F07BEF">
          <w:rPr>
            <w:rStyle w:val="Hyperlink"/>
            <w:i w:val="0"/>
          </w:rPr>
          <w:t xml:space="preserve">Consolidated Financial </w:t>
        </w:r>
        <w:r w:rsidRPr="00135D45">
          <w:rPr>
            <w:rStyle w:val="Hyperlink"/>
            <w:i w:val="0"/>
          </w:rPr>
          <w:t>Statements Team</w:t>
        </w:r>
      </w:hyperlink>
      <w:r>
        <w:rPr>
          <w:rFonts w:cs="MuseoSans-500"/>
          <w:i/>
          <w:u w:val="single" w:color="0070C0"/>
        </w:rPr>
        <w:t>.</w:t>
      </w:r>
    </w:p>
    <w:p w14:paraId="372A98F3" w14:textId="5A2158CE" w:rsidR="00775FFC" w:rsidRDefault="00775FFC" w:rsidP="00775FFC">
      <w:pPr>
        <w:pStyle w:val="Heading1Numbered"/>
        <w:rPr>
          <w:rFonts w:eastAsia="Times New Roman"/>
          <w:lang w:val="en" w:eastAsia="en-AU"/>
        </w:rPr>
      </w:pPr>
      <w:bookmarkStart w:id="68" w:name="Disclosure"/>
      <w:bookmarkStart w:id="69" w:name="_Toc46302468"/>
      <w:r>
        <w:rPr>
          <w:rFonts w:eastAsia="Times New Roman"/>
          <w:lang w:val="en" w:eastAsia="en-AU"/>
        </w:rPr>
        <w:t>Disclosure of retainable receipts</w:t>
      </w:r>
      <w:bookmarkEnd w:id="69"/>
    </w:p>
    <w:bookmarkEnd w:id="68"/>
    <w:p w14:paraId="07017954" w14:textId="3879EF6F" w:rsidR="005831D9" w:rsidRPr="00C1364C" w:rsidRDefault="005831D9" w:rsidP="005831D9">
      <w:pPr>
        <w:pStyle w:val="NumberedList1"/>
      </w:pPr>
      <w:r w:rsidRPr="00C1364C">
        <w:t>Retainable receipts are reported publi</w:t>
      </w:r>
      <w:r w:rsidR="00B20FAF">
        <w:t>cly in</w:t>
      </w:r>
      <w:r w:rsidRPr="00C1364C">
        <w:t xml:space="preserve">: </w:t>
      </w:r>
    </w:p>
    <w:p w14:paraId="0F1A85F4" w14:textId="5CBE84F5" w:rsidR="005831D9" w:rsidRPr="00C37958" w:rsidRDefault="00CB4BF1" w:rsidP="00C37958">
      <w:pPr>
        <w:pStyle w:val="Bullet1"/>
        <w:rPr>
          <w:lang w:val="en" w:eastAsia="en-AU"/>
        </w:rPr>
      </w:pPr>
      <w:hyperlink r:id="rId92" w:history="1">
        <w:r w:rsidR="00036398" w:rsidRPr="0050652B">
          <w:rPr>
            <w:rStyle w:val="Hyperlink"/>
            <w:i w:val="0"/>
          </w:rPr>
          <w:t>Portfolio Budget Statements</w:t>
        </w:r>
      </w:hyperlink>
      <w:r w:rsidR="00036398">
        <w:t xml:space="preserve"> (PB Statements)</w:t>
      </w:r>
      <w:r w:rsidR="00D94AF2">
        <w:rPr>
          <w:lang w:val="en" w:eastAsia="en-AU"/>
        </w:rPr>
        <w:t>—</w:t>
      </w:r>
      <w:r w:rsidR="00D94AF2" w:rsidRPr="00C1364C">
        <w:rPr>
          <w:lang w:val="en" w:eastAsia="en-AU"/>
        </w:rPr>
        <w:t>NCE</w:t>
      </w:r>
      <w:r w:rsidR="00C231A1">
        <w:rPr>
          <w:lang w:val="en" w:eastAsia="en-AU"/>
        </w:rPr>
        <w:t xml:space="preserve">s </w:t>
      </w:r>
      <w:r w:rsidR="007A471E">
        <w:rPr>
          <w:lang w:val="en" w:eastAsia="en-AU"/>
        </w:rPr>
        <w:t xml:space="preserve">must include </w:t>
      </w:r>
      <w:r w:rsidR="005F73AC">
        <w:rPr>
          <w:lang w:val="en" w:eastAsia="en-AU"/>
        </w:rPr>
        <w:t xml:space="preserve">an </w:t>
      </w:r>
      <w:r w:rsidR="00AB0426">
        <w:rPr>
          <w:lang w:val="en" w:eastAsia="en-AU"/>
        </w:rPr>
        <w:t>estimate</w:t>
      </w:r>
      <w:r w:rsidR="005F73AC">
        <w:rPr>
          <w:lang w:val="en" w:eastAsia="en-AU"/>
        </w:rPr>
        <w:t xml:space="preserve"> of</w:t>
      </w:r>
      <w:r w:rsidR="00AB0426">
        <w:rPr>
          <w:lang w:val="en" w:eastAsia="en-AU"/>
        </w:rPr>
        <w:t xml:space="preserve"> expenses incurred in relation to receipts retained under section 74 of the PGPA Act (</w:t>
      </w:r>
      <w:r w:rsidR="00F4439C">
        <w:rPr>
          <w:lang w:val="en" w:eastAsia="en-AU"/>
        </w:rPr>
        <w:t>published as ‘</w:t>
      </w:r>
      <w:r w:rsidR="00AB0426">
        <w:rPr>
          <w:iCs/>
          <w:lang w:val="en" w:eastAsia="en-AU"/>
        </w:rPr>
        <w:t>s</w:t>
      </w:r>
      <w:r w:rsidR="00D94AF2" w:rsidRPr="00C231A1">
        <w:rPr>
          <w:iCs/>
          <w:lang w:val="en" w:eastAsia="en-AU"/>
        </w:rPr>
        <w:t>74 Retained revenue</w:t>
      </w:r>
      <w:r w:rsidR="00C37958">
        <w:rPr>
          <w:iCs/>
          <w:lang w:val="en" w:eastAsia="en-AU"/>
        </w:rPr>
        <w:t xml:space="preserve"> receipts</w:t>
      </w:r>
      <w:r w:rsidR="00F4439C">
        <w:rPr>
          <w:iCs/>
          <w:lang w:val="en" w:eastAsia="en-AU"/>
        </w:rPr>
        <w:t>’</w:t>
      </w:r>
      <w:r w:rsidR="00AB0426">
        <w:rPr>
          <w:iCs/>
          <w:lang w:val="en" w:eastAsia="en-AU"/>
        </w:rPr>
        <w:t>)</w:t>
      </w:r>
      <w:r w:rsidR="00F0337E">
        <w:rPr>
          <w:lang w:val="en" w:eastAsia="en-AU"/>
        </w:rPr>
        <w:t>.</w:t>
      </w:r>
      <w:r w:rsidR="004F2F94">
        <w:rPr>
          <w:lang w:val="en" w:eastAsia="en-AU"/>
        </w:rPr>
        <w:t xml:space="preserve"> </w:t>
      </w:r>
      <w:r w:rsidR="007A471E">
        <w:t xml:space="preserve">CCEs must include </w:t>
      </w:r>
      <w:r w:rsidR="005F73AC">
        <w:t xml:space="preserve">an </w:t>
      </w:r>
      <w:r w:rsidR="007A471E">
        <w:t>estimate</w:t>
      </w:r>
      <w:r w:rsidR="005F73AC">
        <w:t xml:space="preserve"> of</w:t>
      </w:r>
      <w:r w:rsidR="005831D9" w:rsidRPr="00C1364C">
        <w:t xml:space="preserve"> </w:t>
      </w:r>
      <w:r w:rsidR="005831D9" w:rsidRPr="00C37958">
        <w:rPr>
          <w:iCs/>
        </w:rPr>
        <w:t>external revenue</w:t>
      </w:r>
      <w:r w:rsidR="004F2F94">
        <w:rPr>
          <w:lang w:val="en" w:eastAsia="en-AU"/>
        </w:rPr>
        <w:t xml:space="preserve"> (see the latest</w:t>
      </w:r>
      <w:r w:rsidR="007A471E">
        <w:rPr>
          <w:lang w:val="en" w:eastAsia="en-AU"/>
        </w:rPr>
        <w:t xml:space="preserve"> Finance</w:t>
      </w:r>
      <w:r w:rsidR="004F2F94">
        <w:rPr>
          <w:lang w:val="en" w:eastAsia="en-AU"/>
        </w:rPr>
        <w:t xml:space="preserve"> </w:t>
      </w:r>
      <w:hyperlink r:id="rId93" w:history="1">
        <w:r w:rsidR="004F2F94" w:rsidRPr="0021597E">
          <w:rPr>
            <w:rStyle w:val="Hyperlink"/>
            <w:i w:val="0"/>
            <w:lang w:val="en" w:eastAsia="en-AU"/>
          </w:rPr>
          <w:t>Guide to preparing the Portfolio Budget Statements</w:t>
        </w:r>
      </w:hyperlink>
      <w:r w:rsidR="004F2F94">
        <w:rPr>
          <w:lang w:val="en" w:eastAsia="en-AU"/>
        </w:rPr>
        <w:t>)</w:t>
      </w:r>
    </w:p>
    <w:p w14:paraId="182F771F" w14:textId="51FBB8B8" w:rsidR="00430730" w:rsidRDefault="00CB4BF1" w:rsidP="00F837B1">
      <w:pPr>
        <w:pStyle w:val="Bullet1"/>
      </w:pPr>
      <w:hyperlink r:id="rId94" w:history="1">
        <w:r w:rsidR="005831D9" w:rsidRPr="00F837B1">
          <w:rPr>
            <w:rStyle w:val="Hyperlink"/>
            <w:i w:val="0"/>
            <w:lang w:val="en" w:eastAsia="en-AU"/>
          </w:rPr>
          <w:t>Budget Paper No. 4 – Agency Resourcing</w:t>
        </w:r>
      </w:hyperlink>
      <w:r w:rsidR="005831D9" w:rsidRPr="00F837B1">
        <w:t xml:space="preserve"> (BP4)</w:t>
      </w:r>
      <w:r w:rsidR="007A471E" w:rsidRPr="00F837B1">
        <w:t>—</w:t>
      </w:r>
      <w:r w:rsidR="005831D9" w:rsidRPr="00F837B1">
        <w:t xml:space="preserve">all Commonwealth entities and Commonwealth companies in the general government sector must report revenue in the </w:t>
      </w:r>
      <w:r w:rsidR="007A471E" w:rsidRPr="00F837B1">
        <w:t>‘</w:t>
      </w:r>
      <w:r w:rsidR="005831D9" w:rsidRPr="00F837B1">
        <w:rPr>
          <w:iCs/>
        </w:rPr>
        <w:t>External Revenue</w:t>
      </w:r>
      <w:r w:rsidR="007A471E" w:rsidRPr="00F837B1">
        <w:rPr>
          <w:iCs/>
        </w:rPr>
        <w:t>’</w:t>
      </w:r>
      <w:r w:rsidR="005831D9" w:rsidRPr="00F837B1">
        <w:rPr>
          <w:i/>
          <w:iCs/>
        </w:rPr>
        <w:t xml:space="preserve"> </w:t>
      </w:r>
      <w:r w:rsidR="005831D9" w:rsidRPr="00F837B1">
        <w:t>column of the</w:t>
      </w:r>
      <w:r w:rsidR="005F73AC" w:rsidRPr="00F837B1">
        <w:t xml:space="preserve"> BP4</w:t>
      </w:r>
      <w:r w:rsidR="005831D9" w:rsidRPr="00F837B1">
        <w:t xml:space="preserve"> </w:t>
      </w:r>
      <w:r w:rsidR="007A471E" w:rsidRPr="00F837B1">
        <w:t>‘</w:t>
      </w:r>
      <w:r w:rsidR="005831D9" w:rsidRPr="00F837B1">
        <w:rPr>
          <w:iCs/>
        </w:rPr>
        <w:t>Agency Resourcing Table</w:t>
      </w:r>
      <w:r w:rsidR="007A471E" w:rsidRPr="00F837B1">
        <w:rPr>
          <w:iCs/>
        </w:rPr>
        <w:t>’</w:t>
      </w:r>
      <w:r w:rsidR="00430730">
        <w:t>. In BP4:</w:t>
      </w:r>
    </w:p>
    <w:p w14:paraId="0592D82D" w14:textId="5B2EC66B" w:rsidR="00430730" w:rsidRDefault="00430730" w:rsidP="00430730">
      <w:pPr>
        <w:pStyle w:val="Bullet2"/>
      </w:pPr>
      <w:r>
        <w:t>the f</w:t>
      </w:r>
      <w:r w:rsidR="00F837B1">
        <w:t>igures in the External Revenue column are derived from NCE</w:t>
      </w:r>
      <w:r w:rsidR="00F837B1" w:rsidRPr="00F837B1">
        <w:t xml:space="preserve"> </w:t>
      </w:r>
      <w:r w:rsidR="00F837B1" w:rsidRPr="00F837B1">
        <w:rPr>
          <w:iCs/>
        </w:rPr>
        <w:t>revenue</w:t>
      </w:r>
      <w:r w:rsidR="00F837B1" w:rsidRPr="00F837B1">
        <w:t xml:space="preserve"> estimates in the</w:t>
      </w:r>
      <w:r>
        <w:t xml:space="preserve"> Estimates module of CBMS, </w:t>
      </w:r>
      <w:r w:rsidR="00F837B1" w:rsidRPr="00F837B1">
        <w:t>in particular revenue accoun</w:t>
      </w:r>
      <w:r>
        <w:t>ts that have a cash flow impact</w:t>
      </w:r>
    </w:p>
    <w:p w14:paraId="034ED06F" w14:textId="77777777" w:rsidR="00430730" w:rsidRPr="00430730" w:rsidRDefault="00430730" w:rsidP="00430730">
      <w:pPr>
        <w:pStyle w:val="Bullet2"/>
        <w:rPr>
          <w:rFonts w:cs="MuseoSans-500"/>
          <w:i/>
          <w:u w:color="0070C0"/>
        </w:rPr>
      </w:pPr>
      <w:r>
        <w:t>r</w:t>
      </w:r>
      <w:r w:rsidRPr="00430730">
        <w:t xml:space="preserve">eporting </w:t>
      </w:r>
      <w:r w:rsidRPr="00430730">
        <w:rPr>
          <w:iCs/>
        </w:rPr>
        <w:t>revenue</w:t>
      </w:r>
      <w:r w:rsidRPr="00430730">
        <w:t xml:space="preserve"> rather than </w:t>
      </w:r>
      <w:r w:rsidRPr="00430730">
        <w:rPr>
          <w:iCs/>
        </w:rPr>
        <w:t>receipts</w:t>
      </w:r>
      <w:r w:rsidRPr="00430730">
        <w:t>, recognises that NCEs are not necessarily resourced with all receipts that they col</w:t>
      </w:r>
      <w:r>
        <w:t>lect in a year</w:t>
      </w:r>
    </w:p>
    <w:p w14:paraId="47B69005" w14:textId="441C0DEB" w:rsidR="005831D9" w:rsidRPr="005831D9" w:rsidRDefault="00430730" w:rsidP="00430730">
      <w:pPr>
        <w:pStyle w:val="Bullet1"/>
        <w:rPr>
          <w:rFonts w:cs="MuseoSans-500"/>
          <w:i/>
          <w:u w:color="0070C0"/>
        </w:rPr>
      </w:pPr>
      <w:r>
        <w:t xml:space="preserve"> </w:t>
      </w:r>
      <w:hyperlink r:id="rId95" w:history="1">
        <w:r w:rsidR="00C231A1" w:rsidRPr="00C231A1">
          <w:rPr>
            <w:rStyle w:val="Hyperlink"/>
            <w:i w:val="0"/>
            <w:lang w:val="en" w:eastAsia="en-AU"/>
          </w:rPr>
          <w:t>financial s</w:t>
        </w:r>
        <w:r w:rsidR="005831D9" w:rsidRPr="00C231A1">
          <w:rPr>
            <w:rStyle w:val="Hyperlink"/>
            <w:i w:val="0"/>
            <w:lang w:val="en" w:eastAsia="en-AU"/>
          </w:rPr>
          <w:t>tatements</w:t>
        </w:r>
      </w:hyperlink>
      <w:r w:rsidR="00C231A1">
        <w:rPr>
          <w:lang w:val="en" w:eastAsia="en-AU"/>
        </w:rPr>
        <w:t>—</w:t>
      </w:r>
      <w:r w:rsidR="005831D9" w:rsidRPr="00C1364C">
        <w:rPr>
          <w:lang w:val="en" w:eastAsia="en-AU"/>
        </w:rPr>
        <w:t>all Commonwealth entities must rep</w:t>
      </w:r>
      <w:r w:rsidR="005F73AC">
        <w:rPr>
          <w:lang w:val="en" w:eastAsia="en-AU"/>
        </w:rPr>
        <w:t xml:space="preserve">ort receipts and revenue in </w:t>
      </w:r>
      <w:r w:rsidR="005831D9" w:rsidRPr="00C1364C">
        <w:rPr>
          <w:lang w:val="en" w:eastAsia="en-AU"/>
        </w:rPr>
        <w:t>ann</w:t>
      </w:r>
      <w:r w:rsidR="005F73AC">
        <w:rPr>
          <w:lang w:val="en" w:eastAsia="en-AU"/>
        </w:rPr>
        <w:t xml:space="preserve">ual financial statements, included in </w:t>
      </w:r>
      <w:r w:rsidR="005831D9" w:rsidRPr="00C1364C">
        <w:rPr>
          <w:lang w:val="en" w:eastAsia="en-AU"/>
        </w:rPr>
        <w:t xml:space="preserve">annual reports, consistent with the </w:t>
      </w:r>
      <w:hyperlink r:id="rId96" w:tgtFrame="_blank" w:history="1">
        <w:hyperlink r:id="rId97" w:history="1">
          <w:hyperlink r:id="rId98" w:history="1">
            <w:r w:rsidR="00F43709" w:rsidRPr="004152D8">
              <w:rPr>
                <w:rStyle w:val="Hyperlink"/>
                <w:bCs/>
                <w:i w:val="0"/>
                <w:lang w:val="en" w:eastAsia="en-AU"/>
              </w:rPr>
              <w:t>FRR</w:t>
            </w:r>
          </w:hyperlink>
        </w:hyperlink>
      </w:hyperlink>
      <w:r w:rsidR="005831D9" w:rsidRPr="00C1364C">
        <w:rPr>
          <w:lang w:val="en" w:eastAsia="en-AU"/>
        </w:rPr>
        <w:t xml:space="preserve"> and </w:t>
      </w:r>
      <w:hyperlink r:id="rId99" w:history="1">
        <w:r w:rsidR="005831D9" w:rsidRPr="00E84F05">
          <w:rPr>
            <w:rStyle w:val="Hyperlink"/>
          </w:rPr>
          <w:t xml:space="preserve">Commonwealth entities financial </w:t>
        </w:r>
        <w:r w:rsidR="005831D9">
          <w:rPr>
            <w:rStyle w:val="Hyperlink"/>
          </w:rPr>
          <w:t xml:space="preserve">statements guide </w:t>
        </w:r>
        <w:r w:rsidR="005831D9" w:rsidRPr="00E84F05">
          <w:rPr>
            <w:rStyle w:val="Hyperlink"/>
          </w:rPr>
          <w:t>(RMG 125)</w:t>
        </w:r>
      </w:hyperlink>
      <w:r w:rsidR="005831D9" w:rsidRPr="00A81DAC">
        <w:rPr>
          <w:rStyle w:val="Hyperlink"/>
          <w:u w:val="none"/>
        </w:rPr>
        <w:t>.</w:t>
      </w:r>
    </w:p>
    <w:p w14:paraId="2D1C04D0" w14:textId="127B2C47" w:rsidR="00B94754" w:rsidRPr="00B94754" w:rsidRDefault="00AE6815" w:rsidP="00B94754">
      <w:pPr>
        <w:pStyle w:val="NumberedList1"/>
      </w:pPr>
      <w:r w:rsidRPr="00C1364C">
        <w:t xml:space="preserve">Retainable receipts also form part of the </w:t>
      </w:r>
      <w:bookmarkStart w:id="70" w:name="publishedannually"/>
      <w:r w:rsidRPr="00C1364C">
        <w:t xml:space="preserve">figures published </w:t>
      </w:r>
      <w:r w:rsidR="005E4A97">
        <w:t>annually</w:t>
      </w:r>
      <w:bookmarkEnd w:id="70"/>
      <w:r w:rsidR="005E4A97">
        <w:t xml:space="preserve"> </w:t>
      </w:r>
      <w:r w:rsidRPr="00C1364C">
        <w:t xml:space="preserve">in the </w:t>
      </w:r>
      <w:hyperlink r:id="rId100" w:history="1">
        <w:r w:rsidRPr="00561B99">
          <w:rPr>
            <w:rStyle w:val="Hyperlink"/>
          </w:rPr>
          <w:t>Final Budget Outcome</w:t>
        </w:r>
      </w:hyperlink>
      <w:r w:rsidRPr="002B376D">
        <w:rPr>
          <w:rStyle w:val="Hyperlink"/>
          <w:u w:val="none"/>
        </w:rPr>
        <w:t xml:space="preserve"> </w:t>
      </w:r>
      <w:r w:rsidR="002B376D" w:rsidRPr="002B376D">
        <w:rPr>
          <w:rStyle w:val="Hyperlink"/>
          <w:i w:val="0"/>
          <w:u w:val="none"/>
        </w:rPr>
        <w:t>(FBO)</w:t>
      </w:r>
      <w:r w:rsidR="002B376D">
        <w:rPr>
          <w:rStyle w:val="Hyperlink"/>
          <w:u w:val="none"/>
        </w:rPr>
        <w:t xml:space="preserve"> </w:t>
      </w:r>
      <w:r w:rsidRPr="00C1364C">
        <w:t>and the</w:t>
      </w:r>
      <w:r w:rsidR="00036398">
        <w:t xml:space="preserve"> </w:t>
      </w:r>
      <w:hyperlink r:id="rId101" w:history="1">
        <w:r w:rsidR="00036398" w:rsidRPr="001962A8">
          <w:rPr>
            <w:rStyle w:val="Hyperlink"/>
            <w:i w:val="0"/>
          </w:rPr>
          <w:t>Consolidated Financial Statements</w:t>
        </w:r>
      </w:hyperlink>
      <w:r w:rsidR="00036398">
        <w:rPr>
          <w:rStyle w:val="Hyperlink"/>
          <w:i w:val="0"/>
        </w:rPr>
        <w:t xml:space="preserve"> </w:t>
      </w:r>
      <w:r w:rsidR="00036398" w:rsidRPr="00036398">
        <w:t>(</w:t>
      </w:r>
      <w:hyperlink r:id="rId102" w:history="1">
        <w:r w:rsidRPr="00036398">
          <w:rPr>
            <w:rStyle w:val="Hyperlink"/>
            <w:i w:val="0"/>
            <w:u w:val="none"/>
          </w:rPr>
          <w:t>C</w:t>
        </w:r>
        <w:r w:rsidR="001962A8" w:rsidRPr="00036398">
          <w:rPr>
            <w:rStyle w:val="Hyperlink"/>
            <w:i w:val="0"/>
            <w:u w:val="none"/>
          </w:rPr>
          <w:t>FS</w:t>
        </w:r>
      </w:hyperlink>
      <w:r w:rsidR="00036398" w:rsidRPr="00036398">
        <w:rPr>
          <w:rStyle w:val="Hyperlink"/>
          <w:i w:val="0"/>
          <w:u w:val="none"/>
        </w:rPr>
        <w:t>)</w:t>
      </w:r>
      <w:r w:rsidRPr="00036398">
        <w:t>.</w:t>
      </w:r>
      <w:r w:rsidR="00B20FAF">
        <w:t xml:space="preserve"> </w:t>
      </w:r>
    </w:p>
    <w:p w14:paraId="3C19EE2E" w14:textId="513AA3EC" w:rsidR="00AE6815" w:rsidRDefault="00B94754" w:rsidP="00B94754">
      <w:pPr>
        <w:pStyle w:val="NumberedList1"/>
      </w:pPr>
      <w:r w:rsidRPr="00B94754">
        <w:t>Entities must enter estimates of retainable receipts (as revenue or another appropriate classification) i</w:t>
      </w:r>
      <w:r>
        <w:t xml:space="preserve">n the Estimates module of CBMS. As </w:t>
      </w:r>
      <w:r w:rsidRPr="00B20FAF">
        <w:t xml:space="preserve">BP4, </w:t>
      </w:r>
      <w:r>
        <w:t>the FBO and</w:t>
      </w:r>
      <w:r w:rsidRPr="00B20FAF">
        <w:t xml:space="preserve"> </w:t>
      </w:r>
      <w:r w:rsidRPr="002B376D">
        <w:rPr>
          <w:rFonts w:cs="MuseoSans-500"/>
          <w:u w:color="0070C0"/>
        </w:rPr>
        <w:t>CFS</w:t>
      </w:r>
      <w:r w:rsidRPr="00B20FAF">
        <w:t xml:space="preserve"> are prepared by Finance on an annual basis </w:t>
      </w:r>
      <w:r>
        <w:t>using data</w:t>
      </w:r>
      <w:r w:rsidRPr="00B20FAF">
        <w:t xml:space="preserve"> derived from </w:t>
      </w:r>
      <w:hyperlink r:id="rId103" w:history="1">
        <w:r w:rsidRPr="00B20FAF">
          <w:rPr>
            <w:rStyle w:val="Hyperlink"/>
            <w:i w:val="0"/>
          </w:rPr>
          <w:t>CBMS</w:t>
        </w:r>
      </w:hyperlink>
      <w:r w:rsidRPr="00B94754">
        <w:rPr>
          <w:rStyle w:val="Hyperlink"/>
          <w:i w:val="0"/>
          <w:u w:val="none"/>
        </w:rPr>
        <w:t>,</w:t>
      </w:r>
      <w:r>
        <w:t xml:space="preserve"> i</w:t>
      </w:r>
      <w:r w:rsidR="00B20FAF" w:rsidRPr="00B20FAF">
        <w:t>t is essential that all figures entered in CBMS</w:t>
      </w:r>
      <w:r w:rsidR="00B20FAF">
        <w:t xml:space="preserve"> </w:t>
      </w:r>
      <w:r w:rsidR="00430730">
        <w:t>are accurate.</w:t>
      </w:r>
    </w:p>
    <w:p w14:paraId="034D7B72" w14:textId="1130BD03" w:rsidR="00F03095" w:rsidRDefault="00F03095" w:rsidP="00F03095">
      <w:pPr>
        <w:pStyle w:val="NumberedList1"/>
      </w:pPr>
      <w:r w:rsidRPr="00C1364C">
        <w:t>NCEs must review, and where necessary, revise revenue and expenditure esti</w:t>
      </w:r>
      <w:r>
        <w:t xml:space="preserve">mates at each estimates update. For more information </w:t>
      </w:r>
      <w:r w:rsidRPr="00C1364C">
        <w:t>on the budget process and estimates updates</w:t>
      </w:r>
      <w:r>
        <w:t>,</w:t>
      </w:r>
      <w:r w:rsidRPr="00C1364C">
        <w:t xml:space="preserve"> </w:t>
      </w:r>
      <w:r w:rsidR="000400F9">
        <w:t>please contact the relevant AAU for your entity</w:t>
      </w:r>
      <w:r w:rsidRPr="00C1364C">
        <w:t>.</w:t>
      </w:r>
    </w:p>
    <w:p w14:paraId="0F68525A" w14:textId="77777777" w:rsidR="00135D45" w:rsidRPr="00135D45" w:rsidRDefault="00F03095" w:rsidP="00135D45">
      <w:pPr>
        <w:pStyle w:val="NumberedList1"/>
        <w:rPr>
          <w:rStyle w:val="Hyperlink"/>
          <w:rFonts w:cstheme="minorBidi"/>
          <w:i w:val="0"/>
          <w:u w:val="none"/>
        </w:rPr>
      </w:pPr>
      <w:r>
        <w:t xml:space="preserve">For more information, see </w:t>
      </w:r>
      <w:hyperlink r:id="rId104" w:history="1">
        <w:r w:rsidRPr="00E84F05">
          <w:rPr>
            <w:rStyle w:val="Hyperlink"/>
          </w:rPr>
          <w:t>Guide to Appropriations (RMG 100)</w:t>
        </w:r>
      </w:hyperlink>
      <w:r w:rsidRPr="00F837B1">
        <w:rPr>
          <w:rStyle w:val="Hyperlink"/>
          <w:i w:val="0"/>
          <w:u w:val="none"/>
        </w:rPr>
        <w:t xml:space="preserve"> and</w:t>
      </w:r>
      <w:r>
        <w:rPr>
          <w:rStyle w:val="Hyperlink"/>
          <w:i w:val="0"/>
          <w:u w:val="none"/>
        </w:rPr>
        <w:t xml:space="preserve"> </w:t>
      </w:r>
      <w:hyperlink r:id="rId105" w:history="1">
        <w:r w:rsidRPr="00F837B1">
          <w:rPr>
            <w:rStyle w:val="Hyperlink"/>
            <w:i w:val="0"/>
          </w:rPr>
          <w:t>The Budget process</w:t>
        </w:r>
      </w:hyperlink>
      <w:r w:rsidR="00135D45">
        <w:rPr>
          <w:rStyle w:val="Hyperlink"/>
          <w:i w:val="0"/>
        </w:rPr>
        <w:t>.</w:t>
      </w:r>
    </w:p>
    <w:p w14:paraId="4EBCE7A3" w14:textId="54EF9C46" w:rsidR="00135D45" w:rsidRPr="00135D45" w:rsidRDefault="00135D45" w:rsidP="00135D45">
      <w:pPr>
        <w:pStyle w:val="NumberedList1"/>
        <w:rPr>
          <w:rFonts w:cs="MuseoSans-500"/>
          <w:i/>
          <w:u w:val="single" w:color="0070C0"/>
        </w:rPr>
      </w:pPr>
      <w:r>
        <w:t xml:space="preserve">For more </w:t>
      </w:r>
      <w:r w:rsidRPr="004152D8">
        <w:t>information on monthly and annual actuals reporting, and variance explanations</w:t>
      </w:r>
      <w:r>
        <w:t xml:space="preserve">, contact Finance </w:t>
      </w:r>
      <w:hyperlink r:id="rId106" w:history="1">
        <w:r w:rsidRPr="00135D45">
          <w:rPr>
            <w:rStyle w:val="Hyperlink"/>
            <w:i w:val="0"/>
          </w:rPr>
          <w:t>Monthly Reporting Team</w:t>
        </w:r>
      </w:hyperlink>
      <w:r>
        <w:rPr>
          <w:rFonts w:ascii="Arial" w:eastAsia="Times New Roman" w:hAnsi="Arial" w:cs="Arial"/>
          <w:color w:val="212529"/>
          <w:sz w:val="24"/>
          <w:szCs w:val="24"/>
        </w:rPr>
        <w:t>,</w:t>
      </w:r>
      <w:r w:rsidRPr="00C1364C">
        <w:rPr>
          <w:rFonts w:ascii="Arial" w:eastAsia="Times New Roman" w:hAnsi="Arial" w:cs="Arial"/>
          <w:color w:val="212529"/>
          <w:sz w:val="24"/>
          <w:szCs w:val="24"/>
        </w:rPr>
        <w:t xml:space="preserve"> </w:t>
      </w:r>
      <w:hyperlink r:id="rId107" w:history="1">
        <w:r w:rsidRPr="00F07BEF">
          <w:rPr>
            <w:rStyle w:val="Hyperlink"/>
            <w:i w:val="0"/>
          </w:rPr>
          <w:t xml:space="preserve">Consolidated Financial </w:t>
        </w:r>
        <w:r w:rsidRPr="00135D45">
          <w:rPr>
            <w:rStyle w:val="Hyperlink"/>
            <w:i w:val="0"/>
          </w:rPr>
          <w:t>Statements Team</w:t>
        </w:r>
      </w:hyperlink>
      <w:r w:rsidRPr="00135D45">
        <w:rPr>
          <w:rFonts w:cs="MuseoSans-500"/>
          <w:i/>
        </w:rPr>
        <w:t xml:space="preserve"> </w:t>
      </w:r>
      <w:r w:rsidRPr="00135D45">
        <w:rPr>
          <w:rStyle w:val="Hyperlink"/>
          <w:i w:val="0"/>
          <w:u w:val="none"/>
        </w:rPr>
        <w:t xml:space="preserve">or </w:t>
      </w:r>
      <w:r>
        <w:t>the relevant AAU for your entity.</w:t>
      </w:r>
    </w:p>
    <w:p w14:paraId="3F8EF260" w14:textId="77777777" w:rsidR="00F03095" w:rsidRDefault="00F03095" w:rsidP="001F4981">
      <w:pPr>
        <w:pStyle w:val="Heading2Numbered"/>
        <w:numPr>
          <w:ilvl w:val="0"/>
          <w:numId w:val="0"/>
        </w:numPr>
      </w:pPr>
      <w:bookmarkStart w:id="71" w:name="Agent"/>
      <w:bookmarkStart w:id="72" w:name="_Toc46302469"/>
      <w:r>
        <w:t>Agents of an NCE</w:t>
      </w:r>
      <w:bookmarkEnd w:id="72"/>
    </w:p>
    <w:bookmarkEnd w:id="71"/>
    <w:p w14:paraId="69F515DA" w14:textId="731FD358" w:rsidR="00F03095" w:rsidRPr="00E81A44" w:rsidRDefault="00F03095" w:rsidP="00F03095">
      <w:pPr>
        <w:pStyle w:val="NumberedList1"/>
      </w:pPr>
      <w:r w:rsidRPr="00150EFA">
        <w:t xml:space="preserve">Section 29 of the </w:t>
      </w:r>
      <w:hyperlink r:id="rId108" w:history="1">
        <w:r w:rsidRPr="00E00350">
          <w:rPr>
            <w:rStyle w:val="Hyperlink"/>
            <w:bCs w:val="0"/>
            <w:i w:val="0"/>
          </w:rPr>
          <w:t>PGPA Rule</w:t>
        </w:r>
      </w:hyperlink>
      <w:r w:rsidRPr="00150EFA">
        <w:rPr>
          <w:rStyle w:val="Hyperlink"/>
          <w:bCs w:val="0"/>
          <w:i w:val="0"/>
          <w:u w:val="none"/>
        </w:rPr>
        <w:t xml:space="preserve"> </w:t>
      </w:r>
      <w:r w:rsidRPr="00150EFA">
        <w:t xml:space="preserve">contains rules about the handling of ‘other CRF money’. </w:t>
      </w:r>
      <w:r w:rsidRPr="00E81A44">
        <w:rPr>
          <w:rFonts w:ascii="Arial" w:hAnsi="Arial" w:cs="Arial"/>
          <w:color w:val="3B3B3B"/>
          <w:shd w:val="clear" w:color="auto" w:fill="FFFFFF"/>
        </w:rPr>
        <w:t xml:space="preserve">Other CRF money arises where a person who is not an official, or minister, of an NCE uses or manages money, by receiving, having custody of or spending money for and on </w:t>
      </w:r>
      <w:r w:rsidRPr="00E81A44">
        <w:rPr>
          <w:rFonts w:ascii="Arial" w:hAnsi="Arial" w:cs="Arial"/>
          <w:color w:val="3B3B3B"/>
          <w:shd w:val="clear" w:color="auto" w:fill="FFFFFF"/>
        </w:rPr>
        <w:lastRenderedPageBreak/>
        <w:t xml:space="preserve">behalf of the Commonwealth, as the legal agent of the Commonwealth. The relationship between the Commonwealth and the entity/person is </w:t>
      </w:r>
      <w:r w:rsidR="00E81A44" w:rsidRPr="00E81A44">
        <w:rPr>
          <w:rFonts w:ascii="Arial" w:hAnsi="Arial" w:cs="Arial"/>
          <w:color w:val="3B3B3B"/>
          <w:shd w:val="clear" w:color="auto" w:fill="FFFFFF"/>
        </w:rPr>
        <w:t>set out in a written agreement, such as a contract</w:t>
      </w:r>
      <w:r w:rsidRPr="00E81A44">
        <w:rPr>
          <w:rFonts w:ascii="Arial" w:hAnsi="Arial" w:cs="Arial"/>
          <w:color w:val="3B3B3B"/>
          <w:shd w:val="clear" w:color="auto" w:fill="FFFFFF"/>
        </w:rPr>
        <w:t>.</w:t>
      </w:r>
    </w:p>
    <w:p w14:paraId="7A54493F" w14:textId="3EC02B54" w:rsidR="00F03095" w:rsidRDefault="00F03095" w:rsidP="00F03095">
      <w:pPr>
        <w:pStyle w:val="NumberedList1"/>
      </w:pPr>
      <w:r w:rsidRPr="00E81A44">
        <w:t>Where another NCE or a CCE, Commonwe</w:t>
      </w:r>
      <w:r>
        <w:t>alth company or other party</w:t>
      </w:r>
      <w:r w:rsidRPr="00C1364C">
        <w:t xml:space="preserve"> acts as an agent and collects receipts on behalf of a</w:t>
      </w:r>
      <w:r>
        <w:t xml:space="preserve">n NCE, the responsible entity NCE </w:t>
      </w:r>
      <w:r w:rsidRPr="00C1364C">
        <w:t>remain</w:t>
      </w:r>
      <w:r>
        <w:t>s</w:t>
      </w:r>
      <w:r w:rsidRPr="00C1364C">
        <w:t xml:space="preserve"> accountable for</w:t>
      </w:r>
      <w:r>
        <w:t xml:space="preserve"> and is </w:t>
      </w:r>
      <w:r w:rsidRPr="00C1364C">
        <w:t>required to report</w:t>
      </w:r>
      <w:r>
        <w:t xml:space="preserve"> the receipts</w:t>
      </w:r>
      <w:r w:rsidRPr="00C1364C">
        <w:t xml:space="preserve"> </w:t>
      </w:r>
      <w:r>
        <w:t>as either:</w:t>
      </w:r>
    </w:p>
    <w:p w14:paraId="0E8AFC29" w14:textId="77777777" w:rsidR="00F03095" w:rsidRDefault="00F03095" w:rsidP="00F03095">
      <w:pPr>
        <w:pStyle w:val="Bullet1"/>
      </w:pPr>
      <w:r w:rsidRPr="006B61F6">
        <w:rPr>
          <w:b/>
          <w:iCs/>
        </w:rPr>
        <w:t>retainable receipts</w:t>
      </w:r>
      <w:r>
        <w:t>—</w:t>
      </w:r>
      <w:r w:rsidRPr="00C1364C">
        <w:t>i</w:t>
      </w:r>
      <w:r>
        <w:t>f departmental in nature, or</w:t>
      </w:r>
    </w:p>
    <w:p w14:paraId="04F8778E" w14:textId="77777777" w:rsidR="00F03095" w:rsidRDefault="00F03095" w:rsidP="00F03095">
      <w:pPr>
        <w:pStyle w:val="Bullet1"/>
      </w:pPr>
      <w:proofErr w:type="gramStart"/>
      <w:r w:rsidRPr="006B61F6">
        <w:rPr>
          <w:b/>
          <w:iCs/>
        </w:rPr>
        <w:t>administered</w:t>
      </w:r>
      <w:proofErr w:type="gramEnd"/>
      <w:r w:rsidRPr="006B61F6">
        <w:rPr>
          <w:b/>
          <w:iCs/>
        </w:rPr>
        <w:t xml:space="preserve"> receipts</w:t>
      </w:r>
      <w:r>
        <w:t>—</w:t>
      </w:r>
      <w:r w:rsidRPr="00C1364C">
        <w:t xml:space="preserve">if administered in nature. </w:t>
      </w:r>
    </w:p>
    <w:p w14:paraId="4B0F4113" w14:textId="77777777" w:rsidR="00F03095" w:rsidRPr="00C1364C" w:rsidRDefault="00F03095" w:rsidP="00F03095">
      <w:pPr>
        <w:pStyle w:val="NumberedList1"/>
      </w:pPr>
      <w:r w:rsidRPr="00C1364C">
        <w:t xml:space="preserve">The </w:t>
      </w:r>
      <w:r>
        <w:t xml:space="preserve">agent also </w:t>
      </w:r>
      <w:r w:rsidRPr="00C1364C">
        <w:t>need</w:t>
      </w:r>
      <w:r>
        <w:t>s</w:t>
      </w:r>
      <w:r w:rsidRPr="00C1364C">
        <w:t xml:space="preserve"> to report amounts received and paid on behalf of the NCE. </w:t>
      </w:r>
    </w:p>
    <w:p w14:paraId="2340627A" w14:textId="77777777" w:rsidR="00F03095" w:rsidRDefault="00F03095" w:rsidP="00F03095">
      <w:pPr>
        <w:pStyle w:val="NumberedList1"/>
      </w:pPr>
      <w:r>
        <w:t>For more information, see:</w:t>
      </w:r>
    </w:p>
    <w:p w14:paraId="1A54EAC8" w14:textId="449E66F5" w:rsidR="00F03095" w:rsidRPr="00F03095" w:rsidRDefault="00F03095" w:rsidP="00F03095">
      <w:pPr>
        <w:pStyle w:val="Bullet1"/>
        <w:rPr>
          <w:rFonts w:eastAsia="Times New Roman"/>
          <w:lang w:val="en" w:eastAsia="en-AU"/>
        </w:rPr>
      </w:pPr>
      <w:proofErr w:type="gramStart"/>
      <w:r>
        <w:t>section</w:t>
      </w:r>
      <w:proofErr w:type="gramEnd"/>
      <w:r>
        <w:t xml:space="preserve"> 47 of t</w:t>
      </w:r>
      <w:r w:rsidRPr="00C1364C">
        <w:t>he</w:t>
      </w:r>
      <w:r>
        <w:t xml:space="preserve"> </w:t>
      </w:r>
      <w:hyperlink r:id="rId109" w:tgtFrame="_blank" w:history="1">
        <w:hyperlink r:id="rId110" w:history="1">
          <w:hyperlink r:id="rId111" w:history="1">
            <w:r w:rsidRPr="004152D8">
              <w:rPr>
                <w:rStyle w:val="Hyperlink"/>
                <w:bCs/>
                <w:i w:val="0"/>
                <w:lang w:val="en" w:eastAsia="en-AU"/>
              </w:rPr>
              <w:t>FRR</w:t>
            </w:r>
          </w:hyperlink>
        </w:hyperlink>
      </w:hyperlink>
      <w:r>
        <w:t>—</w:t>
      </w:r>
      <w:r w:rsidRPr="00C1364C">
        <w:t>Disclosures by agent in relation to annual and special</w:t>
      </w:r>
      <w:r>
        <w:t xml:space="preserve"> appropriations</w:t>
      </w:r>
      <w:r w:rsidRPr="00C1364C">
        <w:t>.</w:t>
      </w:r>
      <w:r>
        <w:rPr>
          <w:rFonts w:eastAsia="Times New Roman"/>
          <w:lang w:val="en" w:eastAsia="en-AU"/>
        </w:rPr>
        <w:t xml:space="preserve"> </w:t>
      </w:r>
    </w:p>
    <w:p w14:paraId="0CEE91D1" w14:textId="5B5D8673" w:rsidR="005E4A97" w:rsidRDefault="00CB4BF1" w:rsidP="005E4A97">
      <w:pPr>
        <w:pStyle w:val="Bullet1"/>
        <w:rPr>
          <w:rStyle w:val="Hyperlink"/>
        </w:rPr>
      </w:pPr>
      <w:hyperlink r:id="rId112" w:history="1">
        <w:r w:rsidR="005E4A97" w:rsidRPr="00E84F05">
          <w:rPr>
            <w:rStyle w:val="Hyperlink"/>
          </w:rPr>
          <w:t xml:space="preserve">Commonwealth entities financial </w:t>
        </w:r>
        <w:r w:rsidR="005E4A97">
          <w:rPr>
            <w:rStyle w:val="Hyperlink"/>
          </w:rPr>
          <w:t xml:space="preserve">statements guide </w:t>
        </w:r>
        <w:r w:rsidR="005E4A97" w:rsidRPr="00E84F05">
          <w:rPr>
            <w:rStyle w:val="Hyperlink"/>
          </w:rPr>
          <w:t>(RMG 125)</w:t>
        </w:r>
      </w:hyperlink>
    </w:p>
    <w:p w14:paraId="2DFBC26B" w14:textId="7025B251" w:rsidR="00135D45" w:rsidRPr="00135D45" w:rsidRDefault="00CB4BF1" w:rsidP="00135D45">
      <w:pPr>
        <w:pStyle w:val="Bullet1"/>
        <w:rPr>
          <w:rStyle w:val="Hyperlink"/>
          <w:rFonts w:cstheme="minorBidi"/>
          <w:i w:val="0"/>
          <w:u w:val="none"/>
        </w:rPr>
      </w:pPr>
      <w:hyperlink r:id="rId113" w:history="1">
        <w:r w:rsidR="007A07C2" w:rsidRPr="00E05088">
          <w:rPr>
            <w:rStyle w:val="Hyperlink"/>
          </w:rPr>
          <w:t>The banking of cash by Commonwealth entities (RMG 413)</w:t>
        </w:r>
      </w:hyperlink>
    </w:p>
    <w:p w14:paraId="231A3451" w14:textId="60566735" w:rsidR="005E4A97" w:rsidRPr="00BE7421" w:rsidRDefault="005E4A97" w:rsidP="005E4A97">
      <w:pPr>
        <w:pStyle w:val="Bullet1"/>
        <w:rPr>
          <w:rFonts w:cs="MuseoSans-500"/>
          <w:i/>
          <w:u w:val="single" w:color="0070C0"/>
        </w:rPr>
      </w:pPr>
      <w:r w:rsidRPr="00A81DAC">
        <w:rPr>
          <w:i/>
          <w:iCs/>
        </w:rPr>
        <w:t xml:space="preserve">Quick Reference Guide – Budget Paper No. 4 </w:t>
      </w:r>
      <w:r w:rsidR="00BE7421">
        <w:t>(available in CBMS)</w:t>
      </w:r>
    </w:p>
    <w:p w14:paraId="45522D18" w14:textId="6151D72A" w:rsidR="00135D45" w:rsidRPr="00135D45" w:rsidRDefault="00CB4BF1" w:rsidP="00135D45">
      <w:pPr>
        <w:pStyle w:val="Bullet1"/>
        <w:rPr>
          <w:rFonts w:cs="MuseoSans-500"/>
          <w:i/>
          <w:u w:val="single" w:color="0070C0"/>
        </w:rPr>
      </w:pPr>
      <w:hyperlink r:id="rId114" w:history="1">
        <w:r w:rsidR="00BE7421" w:rsidRPr="00BE7421">
          <w:rPr>
            <w:rStyle w:val="Hyperlink"/>
            <w:i w:val="0"/>
          </w:rPr>
          <w:t>CBMS Training</w:t>
        </w:r>
      </w:hyperlink>
      <w:r w:rsidR="00135D45">
        <w:rPr>
          <w:rStyle w:val="Hyperlink"/>
        </w:rPr>
        <w:t>.</w:t>
      </w:r>
    </w:p>
    <w:p w14:paraId="5C055A3C" w14:textId="77777777" w:rsidR="0067007D" w:rsidRDefault="0067007D">
      <w:pPr>
        <w:suppressAutoHyphens w:val="0"/>
        <w:spacing w:before="0" w:after="120" w:line="440" w:lineRule="atLeast"/>
        <w:rPr>
          <w:rFonts w:ascii="Arial" w:eastAsia="Times New Roman" w:hAnsi="Arial" w:cs="Arial"/>
          <w:color w:val="212529"/>
          <w:sz w:val="36"/>
          <w:szCs w:val="36"/>
          <w:lang w:val="en" w:eastAsia="en-AU"/>
        </w:rPr>
      </w:pPr>
      <w:r>
        <w:rPr>
          <w:rFonts w:ascii="Arial" w:eastAsia="Times New Roman" w:hAnsi="Arial" w:cs="Arial"/>
          <w:color w:val="212529"/>
          <w:sz w:val="36"/>
          <w:szCs w:val="36"/>
          <w:lang w:val="en" w:eastAsia="en-AU"/>
        </w:rPr>
        <w:br w:type="page"/>
      </w:r>
    </w:p>
    <w:p w14:paraId="2893E205" w14:textId="0D2C319C" w:rsidR="00AE6815" w:rsidRPr="008F7335" w:rsidRDefault="008F7335" w:rsidP="008F7335">
      <w:pPr>
        <w:pStyle w:val="Heading1"/>
        <w:shd w:val="clear" w:color="auto" w:fill="BDDCDF" w:themeFill="accent1"/>
      </w:pPr>
      <w:bookmarkStart w:id="73" w:name="_Toc46302470"/>
      <w:r w:rsidRPr="008F7335">
        <w:lastRenderedPageBreak/>
        <w:t>Appendix 1. Frequently asked questions</w:t>
      </w:r>
      <w:bookmarkEnd w:id="73"/>
    </w:p>
    <w:p w14:paraId="4C52A8B7" w14:textId="173625CB" w:rsidR="00AE6815" w:rsidRPr="0067007D" w:rsidRDefault="00AE6815" w:rsidP="00B376C7">
      <w:pPr>
        <w:pStyle w:val="FAQs"/>
      </w:pPr>
      <w:r w:rsidRPr="00592F2B">
        <w:t>Can a</w:t>
      </w:r>
      <w:r w:rsidR="006710C9" w:rsidRPr="00592F2B">
        <w:t>n</w:t>
      </w:r>
      <w:r w:rsidRPr="00592F2B">
        <w:t xml:space="preserve"> NCE re</w:t>
      </w:r>
      <w:r w:rsidR="00667C50" w:rsidRPr="00592F2B">
        <w:t>tain earnings</w:t>
      </w:r>
      <w:r w:rsidR="00667C50">
        <w:t xml:space="preserve"> generated from</w:t>
      </w:r>
      <w:r w:rsidRPr="0067007D">
        <w:t xml:space="preserve"> administered activities to cover costs?</w:t>
      </w:r>
    </w:p>
    <w:p w14:paraId="632BC2CB" w14:textId="423DE644" w:rsidR="00A61865" w:rsidRDefault="00667C50" w:rsidP="00667C50">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No—a</w:t>
      </w:r>
      <w:r w:rsidR="00AE6815" w:rsidRPr="0067007D">
        <w:rPr>
          <w:rFonts w:ascii="Arial" w:eastAsia="Times New Roman" w:hAnsi="Arial" w:cs="Arial"/>
          <w:color w:val="212529"/>
          <w:lang w:val="en" w:eastAsia="en-AU"/>
        </w:rPr>
        <w:t>dministered receipts are general government revenue</w:t>
      </w:r>
      <w:r w:rsidR="0053169B">
        <w:rPr>
          <w:rFonts w:ascii="Arial" w:eastAsia="Times New Roman" w:hAnsi="Arial" w:cs="Arial"/>
          <w:color w:val="212529"/>
          <w:lang w:val="en" w:eastAsia="en-AU"/>
        </w:rPr>
        <w:t xml:space="preserve"> </w:t>
      </w:r>
      <w:r>
        <w:rPr>
          <w:rFonts w:ascii="Arial" w:eastAsia="Times New Roman" w:hAnsi="Arial" w:cs="Arial"/>
          <w:color w:val="212529"/>
          <w:lang w:val="en" w:eastAsia="en-AU"/>
        </w:rPr>
        <w:t>that</w:t>
      </w:r>
      <w:r w:rsidR="00AE6815" w:rsidRPr="0067007D">
        <w:rPr>
          <w:rFonts w:ascii="Arial" w:eastAsia="Times New Roman" w:hAnsi="Arial" w:cs="Arial"/>
          <w:color w:val="212529"/>
          <w:lang w:val="en" w:eastAsia="en-AU"/>
        </w:rPr>
        <w:t xml:space="preserve"> </w:t>
      </w:r>
      <w:r w:rsidR="0053169B">
        <w:rPr>
          <w:rFonts w:ascii="Arial" w:eastAsia="Times New Roman" w:hAnsi="Arial" w:cs="Arial"/>
          <w:color w:val="212529"/>
          <w:lang w:val="en" w:eastAsia="en-AU"/>
        </w:rPr>
        <w:t>NCEs</w:t>
      </w:r>
      <w:r w:rsidR="00AE6815" w:rsidRPr="0067007D">
        <w:rPr>
          <w:rFonts w:ascii="Arial" w:eastAsia="Times New Roman" w:hAnsi="Arial" w:cs="Arial"/>
          <w:color w:val="212529"/>
          <w:lang w:val="en" w:eastAsia="en-AU"/>
        </w:rPr>
        <w:t xml:space="preserve"> </w:t>
      </w:r>
      <w:r w:rsidR="0053169B">
        <w:rPr>
          <w:rFonts w:ascii="Arial" w:eastAsia="Times New Roman" w:hAnsi="Arial" w:cs="Arial"/>
          <w:color w:val="212529"/>
          <w:lang w:val="en" w:eastAsia="en-AU"/>
        </w:rPr>
        <w:t>do</w:t>
      </w:r>
      <w:r w:rsidR="00AE6815" w:rsidRPr="0067007D">
        <w:rPr>
          <w:rFonts w:ascii="Arial" w:eastAsia="Times New Roman" w:hAnsi="Arial" w:cs="Arial"/>
          <w:color w:val="212529"/>
          <w:lang w:val="en" w:eastAsia="en-AU"/>
        </w:rPr>
        <w:t xml:space="preserve"> not have policy authority to retain</w:t>
      </w:r>
      <w:r>
        <w:rPr>
          <w:rFonts w:ascii="Arial" w:eastAsia="Times New Roman" w:hAnsi="Arial" w:cs="Arial"/>
          <w:color w:val="212529"/>
          <w:lang w:val="en" w:eastAsia="en-AU"/>
        </w:rPr>
        <w:t>. S</w:t>
      </w:r>
      <w:r w:rsidR="0053169B">
        <w:rPr>
          <w:rFonts w:ascii="Arial" w:eastAsia="Times New Roman" w:hAnsi="Arial" w:cs="Arial"/>
          <w:color w:val="212529"/>
          <w:lang w:val="en" w:eastAsia="en-AU"/>
        </w:rPr>
        <w:t>uch amounts</w:t>
      </w:r>
      <w:r w:rsidR="00AE6815" w:rsidRPr="0067007D">
        <w:rPr>
          <w:rFonts w:ascii="Arial" w:eastAsia="Times New Roman" w:hAnsi="Arial" w:cs="Arial"/>
          <w:color w:val="212529"/>
          <w:lang w:val="en" w:eastAsia="en-AU"/>
        </w:rPr>
        <w:t xml:space="preserve"> must b</w:t>
      </w:r>
      <w:r>
        <w:rPr>
          <w:rFonts w:ascii="Arial" w:eastAsia="Times New Roman" w:hAnsi="Arial" w:cs="Arial"/>
          <w:color w:val="212529"/>
          <w:lang w:val="en" w:eastAsia="en-AU"/>
        </w:rPr>
        <w:t xml:space="preserve">e remitted to the OPA. </w:t>
      </w:r>
    </w:p>
    <w:p w14:paraId="1A1F5896" w14:textId="37A1797A" w:rsidR="00AE6815" w:rsidRPr="0067007D" w:rsidRDefault="00A61865" w:rsidP="00B376C7">
      <w:pPr>
        <w:spacing w:after="100" w:afterAutospacing="1" w:line="240" w:lineRule="auto"/>
        <w:ind w:left="360"/>
        <w:rPr>
          <w:rFonts w:ascii="Arial" w:eastAsia="Times New Roman" w:hAnsi="Arial" w:cs="Arial"/>
          <w:color w:val="212529"/>
          <w:lang w:val="en" w:eastAsia="en-AU"/>
        </w:rPr>
      </w:pPr>
      <w:r w:rsidRPr="0067007D">
        <w:rPr>
          <w:rFonts w:ascii="Arial" w:eastAsia="Times New Roman" w:hAnsi="Arial" w:cs="Arial"/>
          <w:color w:val="212529"/>
          <w:lang w:val="en" w:eastAsia="en-AU"/>
        </w:rPr>
        <w:t>If a</w:t>
      </w:r>
      <w:r>
        <w:rPr>
          <w:rFonts w:ascii="Arial" w:eastAsia="Times New Roman" w:hAnsi="Arial" w:cs="Arial"/>
          <w:color w:val="212529"/>
          <w:lang w:val="en" w:eastAsia="en-AU"/>
        </w:rPr>
        <w:t>n</w:t>
      </w:r>
      <w:r w:rsidRPr="0067007D">
        <w:rPr>
          <w:rFonts w:ascii="Arial" w:eastAsia="Times New Roman" w:hAnsi="Arial" w:cs="Arial"/>
          <w:color w:val="212529"/>
          <w:lang w:val="en" w:eastAsia="en-AU"/>
        </w:rPr>
        <w:t xml:space="preserve"> NCE needs an additional administered appropriation, it</w:t>
      </w:r>
      <w:r>
        <w:rPr>
          <w:rFonts w:ascii="Arial" w:eastAsia="Times New Roman" w:hAnsi="Arial" w:cs="Arial"/>
          <w:color w:val="212529"/>
          <w:lang w:val="en" w:eastAsia="en-AU"/>
        </w:rPr>
        <w:t xml:space="preserve"> must consult its AAU on </w:t>
      </w:r>
      <w:r w:rsidRPr="0067007D">
        <w:rPr>
          <w:rFonts w:ascii="Arial" w:eastAsia="Times New Roman" w:hAnsi="Arial" w:cs="Arial"/>
          <w:color w:val="212529"/>
          <w:lang w:val="en" w:eastAsia="en-AU"/>
        </w:rPr>
        <w:t>wh</w:t>
      </w:r>
      <w:r>
        <w:rPr>
          <w:rFonts w:ascii="Arial" w:eastAsia="Times New Roman" w:hAnsi="Arial" w:cs="Arial"/>
          <w:color w:val="212529"/>
          <w:lang w:val="en" w:eastAsia="en-AU"/>
        </w:rPr>
        <w:t xml:space="preserve">ether a </w:t>
      </w:r>
      <w:hyperlink r:id="rId115" w:history="1">
        <w:r w:rsidRPr="00725573">
          <w:rPr>
            <w:rStyle w:val="Hyperlink"/>
            <w:i w:val="0"/>
            <w:lang w:val="en" w:eastAsia="en-AU"/>
          </w:rPr>
          <w:t>new policy proposal</w:t>
        </w:r>
      </w:hyperlink>
      <w:r>
        <w:rPr>
          <w:rFonts w:ascii="Arial" w:eastAsia="Times New Roman" w:hAnsi="Arial" w:cs="Arial"/>
          <w:color w:val="212529"/>
          <w:lang w:val="en" w:eastAsia="en-AU"/>
        </w:rPr>
        <w:t xml:space="preserve"> is</w:t>
      </w:r>
      <w:r w:rsidRPr="0067007D">
        <w:rPr>
          <w:rFonts w:ascii="Arial" w:eastAsia="Times New Roman" w:hAnsi="Arial" w:cs="Arial"/>
          <w:color w:val="212529"/>
          <w:lang w:val="en" w:eastAsia="en-AU"/>
        </w:rPr>
        <w:t xml:space="preserve"> required. If policy appro</w:t>
      </w:r>
      <w:r>
        <w:rPr>
          <w:rFonts w:ascii="Arial" w:eastAsia="Times New Roman" w:hAnsi="Arial" w:cs="Arial"/>
          <w:color w:val="212529"/>
          <w:lang w:val="en" w:eastAsia="en-AU"/>
        </w:rPr>
        <w:t>val is given, funding would</w:t>
      </w:r>
      <w:r w:rsidRPr="0067007D">
        <w:rPr>
          <w:rFonts w:ascii="Arial" w:eastAsia="Times New Roman" w:hAnsi="Arial" w:cs="Arial"/>
          <w:color w:val="212529"/>
          <w:lang w:val="en" w:eastAsia="en-AU"/>
        </w:rPr>
        <w:t xml:space="preserve"> </w:t>
      </w:r>
      <w:r>
        <w:rPr>
          <w:rFonts w:ascii="Arial" w:eastAsia="Times New Roman" w:hAnsi="Arial" w:cs="Arial"/>
          <w:color w:val="212529"/>
          <w:lang w:val="en" w:eastAsia="en-AU"/>
        </w:rPr>
        <w:t>be provided in the</w:t>
      </w:r>
      <w:r w:rsidR="00B376C7">
        <w:rPr>
          <w:rFonts w:ascii="Arial" w:eastAsia="Times New Roman" w:hAnsi="Arial" w:cs="Arial"/>
          <w:color w:val="212529"/>
          <w:lang w:val="en" w:eastAsia="en-AU"/>
        </w:rPr>
        <w:t xml:space="preserve"> next annual appropriation Act. </w:t>
      </w:r>
      <w:r w:rsidR="008A33BC">
        <w:rPr>
          <w:rFonts w:ascii="Arial" w:eastAsia="Times New Roman" w:hAnsi="Arial" w:cs="Arial"/>
          <w:color w:val="212529"/>
          <w:lang w:val="en" w:eastAsia="en-AU"/>
        </w:rPr>
        <w:t>For more information, s</w:t>
      </w:r>
      <w:r w:rsidR="0053169B">
        <w:rPr>
          <w:rFonts w:ascii="Arial" w:eastAsia="Times New Roman" w:hAnsi="Arial" w:cs="Arial"/>
          <w:color w:val="212529"/>
          <w:lang w:val="en" w:eastAsia="en-AU"/>
        </w:rPr>
        <w:t xml:space="preserve">ee </w:t>
      </w:r>
      <w:hyperlink w:anchor="Notretainable" w:history="1">
        <w:r w:rsidR="0053169B" w:rsidRPr="0053169B">
          <w:rPr>
            <w:rStyle w:val="Hyperlink"/>
            <w:i w:val="0"/>
            <w:lang w:val="en" w:eastAsia="en-AU"/>
          </w:rPr>
          <w:t>Receipts that cannot be retained</w:t>
        </w:r>
      </w:hyperlink>
      <w:r w:rsidR="00AE6815" w:rsidRPr="0067007D">
        <w:rPr>
          <w:rFonts w:ascii="Arial" w:eastAsia="Times New Roman" w:hAnsi="Arial" w:cs="Arial"/>
          <w:color w:val="212529"/>
          <w:lang w:val="en" w:eastAsia="en-AU"/>
        </w:rPr>
        <w:t>.</w:t>
      </w:r>
    </w:p>
    <w:p w14:paraId="02184048" w14:textId="1CE89284" w:rsidR="00AE6815" w:rsidRPr="0067007D" w:rsidRDefault="00AE6815" w:rsidP="00B376C7">
      <w:pPr>
        <w:pStyle w:val="FAQs"/>
      </w:pPr>
      <w:r w:rsidRPr="0067007D">
        <w:t>Can a</w:t>
      </w:r>
      <w:r w:rsidR="006710C9">
        <w:t>n</w:t>
      </w:r>
      <w:r w:rsidRPr="0067007D">
        <w:t xml:space="preserve"> NCE retain earnings generated from an administered asset (such as land or a building) as retainable receipts?</w:t>
      </w:r>
    </w:p>
    <w:p w14:paraId="17AAB889" w14:textId="25E407DE" w:rsidR="00727529" w:rsidRPr="00727529" w:rsidRDefault="0053169B" w:rsidP="00667C50">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Generally, no</w:t>
      </w:r>
      <w:r w:rsidR="00667C50">
        <w:rPr>
          <w:rFonts w:ascii="Arial" w:eastAsia="Times New Roman" w:hAnsi="Arial" w:cs="Arial"/>
          <w:color w:val="212529"/>
          <w:lang w:val="en" w:eastAsia="en-AU"/>
        </w:rPr>
        <w:t>—m</w:t>
      </w:r>
      <w:r w:rsidR="00AE6815" w:rsidRPr="00727529">
        <w:rPr>
          <w:rFonts w:ascii="Arial" w:eastAsia="Times New Roman" w:hAnsi="Arial" w:cs="Arial"/>
          <w:color w:val="212529"/>
          <w:lang w:val="en" w:eastAsia="en-AU"/>
        </w:rPr>
        <w:t xml:space="preserve">ost earnings generated from an administered asset </w:t>
      </w:r>
      <w:r w:rsidR="00667C50">
        <w:rPr>
          <w:rFonts w:ascii="Arial" w:eastAsia="Times New Roman" w:hAnsi="Arial" w:cs="Arial"/>
          <w:color w:val="212529"/>
          <w:lang w:val="en" w:eastAsia="en-AU"/>
        </w:rPr>
        <w:t xml:space="preserve">are </w:t>
      </w:r>
      <w:r w:rsidRPr="00727529">
        <w:rPr>
          <w:rFonts w:ascii="Arial" w:eastAsia="Times New Roman" w:hAnsi="Arial" w:cs="Arial"/>
          <w:color w:val="212529"/>
          <w:lang w:val="en" w:eastAsia="en-AU"/>
        </w:rPr>
        <w:t>administered in nature</w:t>
      </w:r>
      <w:r w:rsidR="00667C50">
        <w:rPr>
          <w:rFonts w:ascii="Arial" w:eastAsia="Times New Roman" w:hAnsi="Arial" w:cs="Arial"/>
          <w:color w:val="212529"/>
          <w:lang w:val="en" w:eastAsia="en-AU"/>
        </w:rPr>
        <w:t xml:space="preserve"> so are </w:t>
      </w:r>
      <w:r w:rsidR="00727529" w:rsidRPr="00727529">
        <w:rPr>
          <w:rFonts w:ascii="Arial" w:eastAsia="Times New Roman" w:hAnsi="Arial" w:cs="Arial"/>
          <w:color w:val="212529"/>
          <w:lang w:val="en" w:eastAsia="en-AU"/>
        </w:rPr>
        <w:t xml:space="preserve">not covered by section 27 of the </w:t>
      </w:r>
      <w:hyperlink r:id="rId116" w:history="1">
        <w:r w:rsidR="00727529" w:rsidRPr="00667C50">
          <w:rPr>
            <w:rStyle w:val="Hyperlink"/>
            <w:i w:val="0"/>
            <w:lang w:val="en" w:eastAsia="en-AU"/>
          </w:rPr>
          <w:t>PGPA Rule</w:t>
        </w:r>
      </w:hyperlink>
      <w:r w:rsidR="00727529" w:rsidRPr="00727529">
        <w:rPr>
          <w:rFonts w:ascii="Arial" w:eastAsia="Times New Roman" w:hAnsi="Arial" w:cs="Arial"/>
          <w:color w:val="212529"/>
          <w:lang w:val="en" w:eastAsia="en-AU"/>
        </w:rPr>
        <w:t>. However, i</w:t>
      </w:r>
      <w:r w:rsidR="00727529" w:rsidRPr="0053169B">
        <w:rPr>
          <w:rFonts w:ascii="Arial" w:eastAsia="Times New Roman" w:hAnsi="Arial" w:cs="Arial"/>
          <w:color w:val="212529"/>
          <w:lang w:val="en" w:eastAsia="en-AU"/>
        </w:rPr>
        <w:t>n a small number of cases</w:t>
      </w:r>
      <w:r w:rsidR="00667C50">
        <w:rPr>
          <w:rFonts w:ascii="Arial" w:eastAsia="Times New Roman" w:hAnsi="Arial" w:cs="Arial"/>
          <w:color w:val="212529"/>
          <w:lang w:val="en" w:eastAsia="en-AU"/>
        </w:rPr>
        <w:t>,</w:t>
      </w:r>
      <w:r w:rsidR="00727529" w:rsidRPr="0053169B">
        <w:rPr>
          <w:rFonts w:ascii="Arial" w:eastAsia="Times New Roman" w:hAnsi="Arial" w:cs="Arial"/>
          <w:color w:val="212529"/>
          <w:lang w:val="en" w:eastAsia="en-AU"/>
        </w:rPr>
        <w:t xml:space="preserve"> such earnings may be regarded as departmental in nature. </w:t>
      </w:r>
    </w:p>
    <w:p w14:paraId="44FFEA8A" w14:textId="3B8779F1" w:rsidR="00667C50" w:rsidRDefault="00AE6815" w:rsidP="005B43E2">
      <w:pPr>
        <w:spacing w:after="100" w:afterAutospacing="1" w:line="240" w:lineRule="auto"/>
        <w:ind w:left="360"/>
        <w:rPr>
          <w:rFonts w:ascii="Arial" w:eastAsia="Times New Roman" w:hAnsi="Arial" w:cs="Arial"/>
          <w:color w:val="212529"/>
          <w:lang w:val="en" w:eastAsia="en-AU"/>
        </w:rPr>
      </w:pPr>
      <w:r w:rsidRPr="0067007D">
        <w:rPr>
          <w:rFonts w:ascii="Arial" w:eastAsia="Times New Roman" w:hAnsi="Arial" w:cs="Arial"/>
          <w:color w:val="212529"/>
          <w:lang w:val="en" w:eastAsia="en-AU"/>
        </w:rPr>
        <w:t xml:space="preserve">The Finance Minister can approve </w:t>
      </w:r>
      <w:r w:rsidR="0053169B">
        <w:rPr>
          <w:rFonts w:ascii="Arial" w:eastAsia="Times New Roman" w:hAnsi="Arial" w:cs="Arial"/>
          <w:color w:val="212529"/>
          <w:lang w:val="en" w:eastAsia="en-AU"/>
        </w:rPr>
        <w:t xml:space="preserve">the </w:t>
      </w:r>
      <w:r w:rsidRPr="0067007D">
        <w:rPr>
          <w:rFonts w:ascii="Arial" w:eastAsia="Times New Roman" w:hAnsi="Arial" w:cs="Arial"/>
          <w:color w:val="212529"/>
          <w:lang w:val="en" w:eastAsia="en-AU"/>
        </w:rPr>
        <w:t>reclassification of amounts between</w:t>
      </w:r>
      <w:r w:rsidR="005B43E2">
        <w:rPr>
          <w:rFonts w:ascii="Arial" w:eastAsia="Times New Roman" w:hAnsi="Arial" w:cs="Arial"/>
          <w:color w:val="212529"/>
          <w:lang w:val="en" w:eastAsia="en-AU"/>
        </w:rPr>
        <w:t xml:space="preserve"> administered and departmental but r</w:t>
      </w:r>
      <w:r w:rsidR="005B43E2" w:rsidRPr="0067007D">
        <w:rPr>
          <w:rFonts w:ascii="Arial" w:eastAsia="Times New Roman" w:hAnsi="Arial" w:cs="Arial"/>
          <w:color w:val="212529"/>
          <w:lang w:val="en" w:eastAsia="en-AU"/>
        </w:rPr>
        <w:t>eclassifications</w:t>
      </w:r>
      <w:r w:rsidR="005B43E2">
        <w:rPr>
          <w:rFonts w:ascii="Arial" w:eastAsia="Times New Roman" w:hAnsi="Arial" w:cs="Arial"/>
          <w:color w:val="212529"/>
          <w:lang w:val="en" w:eastAsia="en-AU"/>
        </w:rPr>
        <w:t xml:space="preserve"> cannot be made retrospectively. A</w:t>
      </w:r>
      <w:r w:rsidR="005B43E2" w:rsidRPr="0067007D">
        <w:rPr>
          <w:rFonts w:ascii="Arial" w:eastAsia="Times New Roman" w:hAnsi="Arial" w:cs="Arial"/>
          <w:color w:val="212529"/>
          <w:lang w:val="en" w:eastAsia="en-AU"/>
        </w:rPr>
        <w:t>ny changes in funding</w:t>
      </w:r>
      <w:r w:rsidR="005B43E2">
        <w:rPr>
          <w:rFonts w:ascii="Arial" w:eastAsia="Times New Roman" w:hAnsi="Arial" w:cs="Arial"/>
          <w:color w:val="212529"/>
          <w:lang w:val="en" w:eastAsia="en-AU"/>
        </w:rPr>
        <w:t xml:space="preserve"> would be reflected in the next appropriation Bills. </w:t>
      </w:r>
      <w:r w:rsidR="00667C50">
        <w:rPr>
          <w:rFonts w:ascii="Arial" w:eastAsia="Times New Roman" w:hAnsi="Arial" w:cs="Arial"/>
          <w:color w:val="212529"/>
          <w:lang w:val="en" w:eastAsia="en-AU"/>
        </w:rPr>
        <w:t xml:space="preserve">NCEs are to </w:t>
      </w:r>
      <w:r w:rsidR="00667C50" w:rsidRPr="0067007D">
        <w:rPr>
          <w:rFonts w:ascii="Arial" w:eastAsia="Times New Roman" w:hAnsi="Arial" w:cs="Arial"/>
          <w:color w:val="212529"/>
          <w:lang w:val="en" w:eastAsia="en-AU"/>
        </w:rPr>
        <w:t xml:space="preserve">contact their </w:t>
      </w:r>
      <w:r w:rsidR="00667C50">
        <w:rPr>
          <w:rFonts w:ascii="Arial" w:eastAsia="Times New Roman" w:hAnsi="Arial" w:cs="Arial"/>
          <w:color w:val="212529"/>
          <w:lang w:val="en" w:eastAsia="en-AU"/>
        </w:rPr>
        <w:t xml:space="preserve">Finance AAU </w:t>
      </w:r>
      <w:r w:rsidR="00667C50" w:rsidRPr="0067007D">
        <w:rPr>
          <w:rFonts w:ascii="Arial" w:eastAsia="Times New Roman" w:hAnsi="Arial" w:cs="Arial"/>
          <w:color w:val="212529"/>
          <w:lang w:val="en" w:eastAsia="en-AU"/>
        </w:rPr>
        <w:t xml:space="preserve">to discuss </w:t>
      </w:r>
      <w:r w:rsidR="005B43E2">
        <w:rPr>
          <w:rFonts w:ascii="Arial" w:eastAsia="Times New Roman" w:hAnsi="Arial" w:cs="Arial"/>
          <w:color w:val="212529"/>
          <w:lang w:val="en" w:eastAsia="en-AU"/>
        </w:rPr>
        <w:t>such</w:t>
      </w:r>
      <w:r w:rsidR="00667C50">
        <w:rPr>
          <w:rFonts w:ascii="Arial" w:eastAsia="Times New Roman" w:hAnsi="Arial" w:cs="Arial"/>
          <w:color w:val="212529"/>
          <w:lang w:val="en" w:eastAsia="en-AU"/>
        </w:rPr>
        <w:t xml:space="preserve"> issues.</w:t>
      </w:r>
    </w:p>
    <w:p w14:paraId="12AE7B96" w14:textId="7D013956" w:rsidR="00AE6815" w:rsidRPr="0067007D" w:rsidRDefault="00AE6815" w:rsidP="00B376C7">
      <w:pPr>
        <w:pStyle w:val="FAQs"/>
      </w:pPr>
      <w:r w:rsidRPr="0067007D">
        <w:t>Can a</w:t>
      </w:r>
      <w:r w:rsidR="006710C9">
        <w:t>n</w:t>
      </w:r>
      <w:r w:rsidRPr="0067007D">
        <w:t xml:space="preserve"> NCE expend a receipt it has retained, in anticipation of receiving policy authority to make the payment?</w:t>
      </w:r>
    </w:p>
    <w:p w14:paraId="4AC7D8EC" w14:textId="285BB0AE" w:rsidR="00AE6815" w:rsidRPr="0067007D" w:rsidRDefault="00AE6815" w:rsidP="00F421B2">
      <w:pPr>
        <w:spacing w:after="100" w:afterAutospacing="1" w:line="240" w:lineRule="auto"/>
        <w:ind w:left="360"/>
        <w:rPr>
          <w:rFonts w:ascii="Arial" w:eastAsia="Times New Roman" w:hAnsi="Arial" w:cs="Arial"/>
          <w:color w:val="212529"/>
          <w:lang w:val="en" w:eastAsia="en-AU"/>
        </w:rPr>
      </w:pPr>
      <w:r w:rsidRPr="0067007D">
        <w:rPr>
          <w:rFonts w:ascii="Arial" w:eastAsia="Times New Roman" w:hAnsi="Arial" w:cs="Arial"/>
          <w:color w:val="212529"/>
          <w:lang w:val="en" w:eastAsia="en-AU"/>
        </w:rPr>
        <w:t>No</w:t>
      </w:r>
      <w:r w:rsidR="005B43E2">
        <w:rPr>
          <w:rFonts w:ascii="Arial" w:eastAsia="Times New Roman" w:hAnsi="Arial" w:cs="Arial"/>
          <w:color w:val="212529"/>
          <w:lang w:val="en" w:eastAsia="en-AU"/>
        </w:rPr>
        <w:t xml:space="preserve">—an </w:t>
      </w:r>
      <w:r w:rsidRPr="0067007D">
        <w:rPr>
          <w:rFonts w:ascii="Arial" w:eastAsia="Times New Roman" w:hAnsi="Arial" w:cs="Arial"/>
          <w:color w:val="212529"/>
          <w:lang w:val="en" w:eastAsia="en-AU"/>
        </w:rPr>
        <w:t xml:space="preserve">NCE that has retained amounts in accordance with section 27 of the </w:t>
      </w:r>
      <w:hyperlink r:id="rId117" w:history="1">
        <w:r w:rsidR="00160E1A" w:rsidRPr="00160E1A">
          <w:rPr>
            <w:rStyle w:val="Hyperlink"/>
            <w:i w:val="0"/>
          </w:rPr>
          <w:t>PGPA Act</w:t>
        </w:r>
      </w:hyperlink>
      <w:r w:rsidR="00951028">
        <w:rPr>
          <w:rFonts w:ascii="Arial" w:eastAsia="Times New Roman" w:hAnsi="Arial" w:cs="Arial"/>
          <w:color w:val="212529"/>
          <w:lang w:val="en" w:eastAsia="en-AU"/>
        </w:rPr>
        <w:t xml:space="preserve"> can only spend the amounts once </w:t>
      </w:r>
      <w:r w:rsidRPr="0067007D">
        <w:rPr>
          <w:rFonts w:ascii="Arial" w:eastAsia="Times New Roman" w:hAnsi="Arial" w:cs="Arial"/>
          <w:color w:val="212529"/>
          <w:lang w:val="en" w:eastAsia="en-AU"/>
        </w:rPr>
        <w:t>relevant policy authority</w:t>
      </w:r>
      <w:r w:rsidR="00951028">
        <w:rPr>
          <w:rFonts w:ascii="Arial" w:eastAsia="Times New Roman" w:hAnsi="Arial" w:cs="Arial"/>
          <w:color w:val="212529"/>
          <w:lang w:val="en" w:eastAsia="en-AU"/>
        </w:rPr>
        <w:t xml:space="preserve"> from government is received, even if</w:t>
      </w:r>
      <w:r w:rsidRPr="0067007D">
        <w:rPr>
          <w:rFonts w:ascii="Arial" w:eastAsia="Times New Roman" w:hAnsi="Arial" w:cs="Arial"/>
          <w:color w:val="212529"/>
          <w:lang w:val="en" w:eastAsia="en-AU"/>
        </w:rPr>
        <w:t xml:space="preserve"> </w:t>
      </w:r>
      <w:r w:rsidR="00951028">
        <w:rPr>
          <w:rFonts w:ascii="Arial" w:eastAsia="Times New Roman" w:hAnsi="Arial" w:cs="Arial"/>
          <w:color w:val="212529"/>
          <w:lang w:val="en" w:eastAsia="en-AU"/>
        </w:rPr>
        <w:t>policy authority is likely to be granted soon</w:t>
      </w:r>
      <w:r w:rsidRPr="0067007D">
        <w:rPr>
          <w:rFonts w:ascii="Arial" w:eastAsia="Times New Roman" w:hAnsi="Arial" w:cs="Arial"/>
          <w:color w:val="212529"/>
          <w:lang w:val="en" w:eastAsia="en-AU"/>
        </w:rPr>
        <w:t>.</w:t>
      </w:r>
    </w:p>
    <w:p w14:paraId="6FD9AEBF" w14:textId="2B9C9374" w:rsidR="00AE6815" w:rsidRPr="0067007D" w:rsidRDefault="00581734" w:rsidP="00B376C7">
      <w:pPr>
        <w:pStyle w:val="FAQs"/>
      </w:pPr>
      <w:r>
        <w:t xml:space="preserve">Can an NCE retain money </w:t>
      </w:r>
      <w:r w:rsidR="00AE6815" w:rsidRPr="0067007D">
        <w:t xml:space="preserve">left </w:t>
      </w:r>
      <w:r>
        <w:t>to the NCE in a will or</w:t>
      </w:r>
      <w:r w:rsidR="00AE6815" w:rsidRPr="0067007D">
        <w:t xml:space="preserve"> </w:t>
      </w:r>
      <w:r>
        <w:t xml:space="preserve">by </w:t>
      </w:r>
      <w:r w:rsidR="00AE6815" w:rsidRPr="0067007D">
        <w:t>another type of contribution?</w:t>
      </w:r>
    </w:p>
    <w:p w14:paraId="1F90B9F5" w14:textId="1981B776" w:rsidR="00581734" w:rsidRDefault="00480BB3" w:rsidP="00581734">
      <w:pPr>
        <w:spacing w:after="0" w:line="240" w:lineRule="auto"/>
        <w:ind w:left="360"/>
        <w:rPr>
          <w:rFonts w:ascii="Arial" w:eastAsia="Times New Roman" w:hAnsi="Arial" w:cs="Arial"/>
          <w:color w:val="212529"/>
          <w:lang w:val="en" w:eastAsia="en-AU"/>
        </w:rPr>
      </w:pPr>
      <w:r w:rsidRPr="00581734">
        <w:rPr>
          <w:rFonts w:ascii="Arial" w:eastAsia="Times New Roman" w:hAnsi="Arial" w:cs="Arial"/>
          <w:color w:val="212529"/>
          <w:lang w:val="en" w:eastAsia="en-AU"/>
        </w:rPr>
        <w:t>Yes—b</w:t>
      </w:r>
      <w:r w:rsidR="00951028" w:rsidRPr="00581734">
        <w:rPr>
          <w:rFonts w:ascii="Arial" w:eastAsia="Times New Roman" w:hAnsi="Arial" w:cs="Arial"/>
          <w:color w:val="212529"/>
          <w:lang w:val="en" w:eastAsia="en-AU"/>
        </w:rPr>
        <w:t>equests can be retained if</w:t>
      </w:r>
      <w:r w:rsidR="00AE6815" w:rsidRPr="00581734">
        <w:rPr>
          <w:rFonts w:ascii="Arial" w:eastAsia="Times New Roman" w:hAnsi="Arial" w:cs="Arial"/>
          <w:color w:val="212529"/>
          <w:lang w:val="en" w:eastAsia="en-AU"/>
        </w:rPr>
        <w:t xml:space="preserve"> the will</w:t>
      </w:r>
      <w:r w:rsidR="00A61865">
        <w:rPr>
          <w:rFonts w:ascii="Arial" w:eastAsia="Times New Roman" w:hAnsi="Arial" w:cs="Arial"/>
          <w:color w:val="212529"/>
          <w:lang w:val="en" w:eastAsia="en-AU"/>
        </w:rPr>
        <w:t xml:space="preserve"> or other contribution, </w:t>
      </w:r>
      <w:r w:rsidR="00A61865" w:rsidRPr="00581734">
        <w:rPr>
          <w:rFonts w:ascii="Arial" w:eastAsia="Times New Roman" w:hAnsi="Arial" w:cs="Arial"/>
          <w:color w:val="212529"/>
          <w:lang w:val="en" w:eastAsia="en-AU"/>
        </w:rPr>
        <w:t>from persons other than the Commonwealth</w:t>
      </w:r>
      <w:r w:rsidR="00A61865">
        <w:rPr>
          <w:rFonts w:ascii="Arial" w:eastAsia="Times New Roman" w:hAnsi="Arial" w:cs="Arial"/>
          <w:color w:val="212529"/>
          <w:lang w:val="en" w:eastAsia="en-AU"/>
        </w:rPr>
        <w:t>, specifies</w:t>
      </w:r>
      <w:r w:rsidR="00AE6815" w:rsidRPr="00581734">
        <w:rPr>
          <w:rFonts w:ascii="Arial" w:eastAsia="Times New Roman" w:hAnsi="Arial" w:cs="Arial"/>
          <w:color w:val="212529"/>
          <w:lang w:val="en" w:eastAsia="en-AU"/>
        </w:rPr>
        <w:t xml:space="preserve"> </w:t>
      </w:r>
      <w:r w:rsidRPr="00581734">
        <w:rPr>
          <w:rFonts w:ascii="Arial" w:eastAsia="Times New Roman" w:hAnsi="Arial" w:cs="Arial"/>
          <w:color w:val="212529"/>
          <w:lang w:val="en" w:eastAsia="en-AU"/>
        </w:rPr>
        <w:t xml:space="preserve">that </w:t>
      </w:r>
      <w:r w:rsidR="00AE6815" w:rsidRPr="00581734">
        <w:rPr>
          <w:rFonts w:ascii="Arial" w:eastAsia="Times New Roman" w:hAnsi="Arial" w:cs="Arial"/>
          <w:color w:val="212529"/>
          <w:lang w:val="en" w:eastAsia="en-AU"/>
        </w:rPr>
        <w:t>the</w:t>
      </w:r>
      <w:r w:rsidR="00581734">
        <w:rPr>
          <w:rFonts w:ascii="Arial" w:eastAsia="Times New Roman" w:hAnsi="Arial" w:cs="Arial"/>
          <w:color w:val="212529"/>
          <w:lang w:val="en" w:eastAsia="en-AU"/>
        </w:rPr>
        <w:t xml:space="preserve"> amount is to be applied to</w:t>
      </w:r>
      <w:r w:rsidR="00A61865">
        <w:rPr>
          <w:rFonts w:ascii="Arial" w:eastAsia="Times New Roman" w:hAnsi="Arial" w:cs="Arial"/>
          <w:color w:val="212529"/>
          <w:lang w:val="en" w:eastAsia="en-AU"/>
        </w:rPr>
        <w:t>wards</w:t>
      </w:r>
      <w:r w:rsidR="00581734">
        <w:rPr>
          <w:rFonts w:ascii="Arial" w:eastAsia="Times New Roman" w:hAnsi="Arial" w:cs="Arial"/>
          <w:color w:val="212529"/>
          <w:lang w:val="en" w:eastAsia="en-AU"/>
        </w:rPr>
        <w:t>:</w:t>
      </w:r>
    </w:p>
    <w:p w14:paraId="1BAB0E97" w14:textId="77777777" w:rsidR="00581734" w:rsidRDefault="00AE6815" w:rsidP="00581734">
      <w:pPr>
        <w:pStyle w:val="Bullet1"/>
        <w:rPr>
          <w:lang w:val="en" w:eastAsia="en-AU"/>
        </w:rPr>
      </w:pPr>
      <w:r w:rsidRPr="00581734">
        <w:rPr>
          <w:lang w:val="en" w:eastAsia="en-AU"/>
        </w:rPr>
        <w:t>the departmen</w:t>
      </w:r>
      <w:r w:rsidR="00581734">
        <w:rPr>
          <w:lang w:val="en" w:eastAsia="en-AU"/>
        </w:rPr>
        <w:t>tal operations of the NCE</w:t>
      </w:r>
    </w:p>
    <w:p w14:paraId="3A403060" w14:textId="77777777" w:rsidR="00581734" w:rsidRDefault="00581734" w:rsidP="00581734">
      <w:pPr>
        <w:pStyle w:val="Bullet1"/>
        <w:rPr>
          <w:lang w:val="en" w:eastAsia="en-AU"/>
        </w:rPr>
      </w:pPr>
      <w:proofErr w:type="gramStart"/>
      <w:r w:rsidRPr="00581734">
        <w:rPr>
          <w:lang w:val="en" w:eastAsia="en-AU"/>
        </w:rPr>
        <w:t>activities</w:t>
      </w:r>
      <w:proofErr w:type="gramEnd"/>
      <w:r w:rsidRPr="00581734">
        <w:rPr>
          <w:lang w:val="en" w:eastAsia="en-AU"/>
        </w:rPr>
        <w:t xml:space="preserve"> </w:t>
      </w:r>
      <w:r w:rsidR="00AE6815" w:rsidRPr="00581734">
        <w:rPr>
          <w:lang w:val="en" w:eastAsia="en-AU"/>
        </w:rPr>
        <w:t xml:space="preserve">not already funded. </w:t>
      </w:r>
    </w:p>
    <w:p w14:paraId="6B49FC80" w14:textId="0888190D" w:rsidR="001514B7" w:rsidRDefault="001514B7" w:rsidP="001514B7">
      <w:pPr>
        <w:spacing w:after="0" w:line="240" w:lineRule="auto"/>
        <w:ind w:left="360"/>
        <w:rPr>
          <w:rFonts w:ascii="Arial" w:eastAsia="Times New Roman" w:hAnsi="Arial" w:cs="Arial"/>
          <w:color w:val="212529"/>
          <w:lang w:val="en" w:eastAsia="en-AU"/>
        </w:rPr>
      </w:pPr>
      <w:r w:rsidRPr="001514B7">
        <w:rPr>
          <w:rFonts w:ascii="Arial" w:eastAsia="Times New Roman" w:hAnsi="Arial" w:cs="Arial"/>
          <w:color w:val="212529"/>
          <w:lang w:val="en" w:eastAsia="en-AU"/>
        </w:rPr>
        <w:t xml:space="preserve">Other contributions from persons other than the Commonwealth can be retained under </w:t>
      </w:r>
      <w:hyperlink r:id="rId118" w:anchor="_Toc492996819" w:history="1">
        <w:r w:rsidRPr="001514B7">
          <w:rPr>
            <w:rFonts w:ascii="Arial" w:eastAsia="Times New Roman" w:hAnsi="Arial" w:cs="Arial"/>
            <w:i/>
            <w:color w:val="212529"/>
            <w:lang w:val="en" w:eastAsia="en-AU"/>
          </w:rPr>
          <w:t>Item 2</w:t>
        </w:r>
      </w:hyperlink>
      <w:r w:rsidRPr="001514B7">
        <w:rPr>
          <w:rFonts w:ascii="Arial" w:eastAsia="Times New Roman" w:hAnsi="Arial" w:cs="Arial"/>
          <w:color w:val="212529"/>
          <w:lang w:val="en" w:eastAsia="en-AU"/>
        </w:rPr>
        <w:t xml:space="preserve"> in subsection 27(2) of the PGPA Rule. </w:t>
      </w:r>
    </w:p>
    <w:p w14:paraId="575005BC" w14:textId="0EE466D7" w:rsidR="00A61865" w:rsidRPr="00B376C7" w:rsidRDefault="00A61865" w:rsidP="00B376C7">
      <w:pPr>
        <w:spacing w:after="100" w:afterAutospacing="1" w:line="240" w:lineRule="auto"/>
        <w:ind w:left="360"/>
        <w:rPr>
          <w:rFonts w:ascii="Arial" w:eastAsia="Times New Roman" w:hAnsi="Arial" w:cs="Arial"/>
          <w:color w:val="212529"/>
          <w:lang w:val="en" w:eastAsia="en-AU"/>
        </w:rPr>
      </w:pPr>
      <w:r w:rsidRPr="0067007D">
        <w:rPr>
          <w:rFonts w:ascii="Arial" w:eastAsia="Times New Roman" w:hAnsi="Arial" w:cs="Arial"/>
          <w:color w:val="212529"/>
          <w:lang w:val="en" w:eastAsia="en-AU"/>
        </w:rPr>
        <w:t xml:space="preserve">If a will, trust, deed, or other contribution specifies that money is to be applied towards the government in general or for an administered purpose, the NCE should </w:t>
      </w:r>
      <w:proofErr w:type="spellStart"/>
      <w:r w:rsidRPr="0067007D">
        <w:rPr>
          <w:rFonts w:ascii="Arial" w:eastAsia="Times New Roman" w:hAnsi="Arial" w:cs="Arial"/>
          <w:color w:val="212529"/>
          <w:lang w:val="en" w:eastAsia="en-AU"/>
        </w:rPr>
        <w:t>endeavour</w:t>
      </w:r>
      <w:proofErr w:type="spellEnd"/>
      <w:r w:rsidRPr="0067007D">
        <w:rPr>
          <w:rFonts w:ascii="Arial" w:eastAsia="Times New Roman" w:hAnsi="Arial" w:cs="Arial"/>
          <w:color w:val="212529"/>
          <w:lang w:val="en" w:eastAsia="en-AU"/>
        </w:rPr>
        <w:t xml:space="preserve"> to return the money to the payer. If this is not possible, then the money is considered general government revenue and must be remitted to the OPA as an administered receipt.</w:t>
      </w:r>
      <w:r w:rsidR="00B376C7">
        <w:rPr>
          <w:rFonts w:ascii="Arial" w:eastAsia="Times New Roman" w:hAnsi="Arial" w:cs="Arial"/>
          <w:color w:val="212529"/>
          <w:lang w:val="en" w:eastAsia="en-AU"/>
        </w:rPr>
        <w:t xml:space="preserve"> </w:t>
      </w:r>
      <w:r w:rsidR="008A33BC">
        <w:rPr>
          <w:rFonts w:ascii="Arial" w:eastAsia="Times New Roman" w:hAnsi="Arial" w:cs="Arial"/>
          <w:color w:val="212529"/>
          <w:lang w:val="en" w:eastAsia="en-AU"/>
        </w:rPr>
        <w:t xml:space="preserve">For more information, </w:t>
      </w:r>
      <w:r w:rsidR="008A33BC">
        <w:rPr>
          <w:lang w:val="en" w:eastAsia="en-AU"/>
        </w:rPr>
        <w:t>s</w:t>
      </w:r>
      <w:r w:rsidRPr="0067007D">
        <w:rPr>
          <w:lang w:val="en" w:eastAsia="en-AU"/>
        </w:rPr>
        <w:t xml:space="preserve">ee </w:t>
      </w:r>
      <w:hyperlink w:anchor="SponsorshipsBequests" w:history="1">
        <w:r w:rsidRPr="00480BB3">
          <w:rPr>
            <w:rStyle w:val="Hyperlink"/>
            <w:i w:val="0"/>
            <w:lang w:val="en" w:eastAsia="en-AU"/>
          </w:rPr>
          <w:t>Sponsorships, subsidies, gifts, bequests or similar contributions</w:t>
        </w:r>
      </w:hyperlink>
      <w:r w:rsidRPr="00A61865">
        <w:rPr>
          <w:rStyle w:val="Hyperlink"/>
          <w:i w:val="0"/>
          <w:u w:val="none"/>
        </w:rPr>
        <w:t>.</w:t>
      </w:r>
      <w:r w:rsidRPr="00A61865">
        <w:rPr>
          <w:lang w:val="en" w:eastAsia="en-AU"/>
        </w:rPr>
        <w:t xml:space="preserve"> </w:t>
      </w:r>
    </w:p>
    <w:p w14:paraId="2FEDF3B1" w14:textId="4077965F" w:rsidR="00AE6815" w:rsidRPr="0067007D" w:rsidRDefault="00AE6815" w:rsidP="00B376C7">
      <w:pPr>
        <w:pStyle w:val="FAQs"/>
      </w:pPr>
      <w:bookmarkStart w:id="74" w:name="Question5"/>
      <w:r w:rsidRPr="0067007D">
        <w:lastRenderedPageBreak/>
        <w:t>Can a</w:t>
      </w:r>
      <w:r w:rsidR="006710C9">
        <w:t>n</w:t>
      </w:r>
      <w:r w:rsidRPr="0067007D">
        <w:t xml:space="preserve"> NCE retain a repayment related to an amount paid from an unlimited special appropriation?</w:t>
      </w:r>
    </w:p>
    <w:bookmarkEnd w:id="74"/>
    <w:p w14:paraId="13EF6C97" w14:textId="77777777" w:rsidR="008A33BC" w:rsidRDefault="00AE6815" w:rsidP="00A61865">
      <w:pPr>
        <w:spacing w:after="100" w:afterAutospacing="1" w:line="240" w:lineRule="auto"/>
        <w:ind w:left="360"/>
        <w:rPr>
          <w:rFonts w:ascii="Arial" w:eastAsia="Times New Roman" w:hAnsi="Arial" w:cs="Arial"/>
          <w:color w:val="212529"/>
          <w:lang w:val="en" w:eastAsia="en-AU"/>
        </w:rPr>
      </w:pPr>
      <w:r w:rsidRPr="0067007D">
        <w:rPr>
          <w:rFonts w:ascii="Arial" w:eastAsia="Times New Roman" w:hAnsi="Arial" w:cs="Arial"/>
          <w:color w:val="212529"/>
          <w:lang w:val="en" w:eastAsia="en-AU"/>
        </w:rPr>
        <w:t>No</w:t>
      </w:r>
      <w:r w:rsidR="00A61865">
        <w:rPr>
          <w:rFonts w:ascii="Arial" w:eastAsia="Times New Roman" w:hAnsi="Arial" w:cs="Arial"/>
          <w:color w:val="212529"/>
          <w:lang w:val="en" w:eastAsia="en-AU"/>
        </w:rPr>
        <w:t xml:space="preserve">—if </w:t>
      </w:r>
      <w:r w:rsidRPr="0067007D">
        <w:rPr>
          <w:rFonts w:ascii="Arial" w:eastAsia="Times New Roman" w:hAnsi="Arial" w:cs="Arial"/>
          <w:color w:val="212529"/>
          <w:lang w:val="en" w:eastAsia="en-AU"/>
        </w:rPr>
        <w:t>a</w:t>
      </w:r>
      <w:r w:rsidR="006710C9">
        <w:rPr>
          <w:rFonts w:ascii="Arial" w:eastAsia="Times New Roman" w:hAnsi="Arial" w:cs="Arial"/>
          <w:color w:val="212529"/>
          <w:lang w:val="en" w:eastAsia="en-AU"/>
        </w:rPr>
        <w:t>n</w:t>
      </w:r>
      <w:r w:rsidRPr="0067007D">
        <w:rPr>
          <w:rFonts w:ascii="Arial" w:eastAsia="Times New Roman" w:hAnsi="Arial" w:cs="Arial"/>
          <w:color w:val="212529"/>
          <w:lang w:val="en" w:eastAsia="en-AU"/>
        </w:rPr>
        <w:t xml:space="preserve"> NCE makes payments from an unlimited spec</w:t>
      </w:r>
      <w:r w:rsidR="00A61865">
        <w:rPr>
          <w:rFonts w:ascii="Arial" w:eastAsia="Times New Roman" w:hAnsi="Arial" w:cs="Arial"/>
          <w:color w:val="212529"/>
          <w:lang w:val="en" w:eastAsia="en-AU"/>
        </w:rPr>
        <w:t>ial appropriation (</w:t>
      </w:r>
      <w:proofErr w:type="spellStart"/>
      <w:r w:rsidR="00A61865">
        <w:rPr>
          <w:rFonts w:ascii="Arial" w:eastAsia="Times New Roman" w:hAnsi="Arial" w:cs="Arial"/>
          <w:color w:val="212529"/>
          <w:lang w:val="en" w:eastAsia="en-AU"/>
        </w:rPr>
        <w:t>eg</w:t>
      </w:r>
      <w:proofErr w:type="spellEnd"/>
      <w:r w:rsidR="00A61865">
        <w:rPr>
          <w:rFonts w:ascii="Arial" w:eastAsia="Times New Roman" w:hAnsi="Arial" w:cs="Arial"/>
          <w:color w:val="212529"/>
          <w:lang w:val="en" w:eastAsia="en-AU"/>
        </w:rPr>
        <w:t xml:space="preserve"> </w:t>
      </w:r>
      <w:r w:rsidRPr="0067007D">
        <w:rPr>
          <w:rFonts w:ascii="Arial" w:eastAsia="Times New Roman" w:hAnsi="Arial" w:cs="Arial"/>
          <w:color w:val="212529"/>
          <w:lang w:val="en" w:eastAsia="en-AU"/>
        </w:rPr>
        <w:t>as part of a demand-driven entitlement program like social security benefits), then any repayment receipts are to be remitted to th</w:t>
      </w:r>
      <w:r w:rsidR="00A61865">
        <w:rPr>
          <w:rFonts w:ascii="Arial" w:eastAsia="Times New Roman" w:hAnsi="Arial" w:cs="Arial"/>
          <w:color w:val="212529"/>
          <w:lang w:val="en" w:eastAsia="en-AU"/>
        </w:rPr>
        <w:t xml:space="preserve">e OPA as administered receipts. </w:t>
      </w:r>
    </w:p>
    <w:p w14:paraId="7AE77929" w14:textId="78133544" w:rsidR="00A61865" w:rsidRDefault="00AE6815" w:rsidP="00A61865">
      <w:pPr>
        <w:spacing w:after="100" w:afterAutospacing="1" w:line="240" w:lineRule="auto"/>
        <w:ind w:left="360"/>
        <w:rPr>
          <w:rFonts w:ascii="Arial" w:eastAsia="Times New Roman" w:hAnsi="Arial" w:cs="Arial"/>
          <w:color w:val="212529"/>
          <w:lang w:val="en" w:eastAsia="en-AU"/>
        </w:rPr>
      </w:pPr>
      <w:r w:rsidRPr="0067007D">
        <w:rPr>
          <w:rFonts w:ascii="Arial" w:eastAsia="Times New Roman" w:hAnsi="Arial" w:cs="Arial"/>
          <w:color w:val="212529"/>
          <w:lang w:val="en" w:eastAsia="en-AU"/>
        </w:rPr>
        <w:t>If this results in a need to expend more from the unlimited special appropriation at a later time, then the NCE needs to</w:t>
      </w:r>
      <w:r w:rsidR="00A61865">
        <w:rPr>
          <w:rFonts w:ascii="Arial" w:eastAsia="Times New Roman" w:hAnsi="Arial" w:cs="Arial"/>
          <w:color w:val="212529"/>
          <w:lang w:val="en" w:eastAsia="en-AU"/>
        </w:rPr>
        <w:t xml:space="preserve"> increase the:</w:t>
      </w:r>
    </w:p>
    <w:p w14:paraId="0FB521D0" w14:textId="77777777" w:rsidR="00A61865" w:rsidRDefault="00AE6815" w:rsidP="00A61865">
      <w:pPr>
        <w:pStyle w:val="Bullet1"/>
        <w:rPr>
          <w:lang w:val="en" w:eastAsia="en-AU"/>
        </w:rPr>
      </w:pPr>
      <w:r w:rsidRPr="0067007D">
        <w:rPr>
          <w:lang w:val="en" w:eastAsia="en-AU"/>
        </w:rPr>
        <w:t xml:space="preserve">appropriation’s spending limits in the Cash Management module of </w:t>
      </w:r>
      <w:hyperlink r:id="rId119" w:history="1">
        <w:r w:rsidR="00022D1B" w:rsidRPr="00022D1B">
          <w:rPr>
            <w:rStyle w:val="Hyperlink"/>
            <w:i w:val="0"/>
          </w:rPr>
          <w:t>CBMS</w:t>
        </w:r>
      </w:hyperlink>
    </w:p>
    <w:p w14:paraId="6B65070D" w14:textId="41C1DCAC" w:rsidR="00AE6815" w:rsidRPr="008A33BC" w:rsidRDefault="00AE6815" w:rsidP="008A33BC">
      <w:pPr>
        <w:pStyle w:val="Bullet1"/>
        <w:rPr>
          <w:lang w:val="en" w:eastAsia="en-AU"/>
        </w:rPr>
      </w:pPr>
      <w:proofErr w:type="gramStart"/>
      <w:r w:rsidRPr="0067007D">
        <w:rPr>
          <w:lang w:val="en" w:eastAsia="en-AU"/>
        </w:rPr>
        <w:t>expenditure</w:t>
      </w:r>
      <w:proofErr w:type="gramEnd"/>
      <w:r w:rsidRPr="0067007D">
        <w:rPr>
          <w:lang w:val="en" w:eastAsia="en-AU"/>
        </w:rPr>
        <w:t xml:space="preserve"> estimates in the Es</w:t>
      </w:r>
      <w:r w:rsidR="008A33BC">
        <w:rPr>
          <w:lang w:val="en" w:eastAsia="en-AU"/>
        </w:rPr>
        <w:t xml:space="preserve">timates Module of CBMS, </w:t>
      </w:r>
      <w:r w:rsidRPr="008A33BC">
        <w:rPr>
          <w:rFonts w:ascii="Arial" w:eastAsia="Times New Roman" w:hAnsi="Arial" w:cs="Arial"/>
          <w:color w:val="212529"/>
          <w:lang w:val="en" w:eastAsia="en-AU"/>
        </w:rPr>
        <w:t>consistent with the appropriate policy authority an</w:t>
      </w:r>
      <w:r w:rsidR="008A33BC" w:rsidRPr="008A33BC">
        <w:rPr>
          <w:rFonts w:ascii="Arial" w:eastAsia="Times New Roman" w:hAnsi="Arial" w:cs="Arial"/>
          <w:color w:val="212529"/>
          <w:lang w:val="en" w:eastAsia="en-AU"/>
        </w:rPr>
        <w:t xml:space="preserve">d internal approvals processes, </w:t>
      </w:r>
      <w:r w:rsidRPr="008A33BC">
        <w:rPr>
          <w:rFonts w:ascii="Arial" w:eastAsia="Times New Roman" w:hAnsi="Arial" w:cs="Arial"/>
          <w:color w:val="212529"/>
          <w:lang w:val="en" w:eastAsia="en-AU"/>
        </w:rPr>
        <w:t>which may vary from</w:t>
      </w:r>
      <w:r w:rsidR="008A33BC" w:rsidRPr="008A33BC">
        <w:rPr>
          <w:rFonts w:ascii="Arial" w:eastAsia="Times New Roman" w:hAnsi="Arial" w:cs="Arial"/>
          <w:color w:val="212529"/>
          <w:lang w:val="en" w:eastAsia="en-AU"/>
        </w:rPr>
        <w:t xml:space="preserve"> appropriation to appropriation</w:t>
      </w:r>
      <w:r w:rsidRPr="008A33BC">
        <w:rPr>
          <w:rFonts w:ascii="Arial" w:eastAsia="Times New Roman" w:hAnsi="Arial" w:cs="Arial"/>
          <w:color w:val="212529"/>
          <w:lang w:val="en" w:eastAsia="en-AU"/>
        </w:rPr>
        <w:t>.</w:t>
      </w:r>
    </w:p>
    <w:p w14:paraId="3FFFFC04" w14:textId="1ED7FAEB" w:rsidR="00A61865" w:rsidRPr="0067007D" w:rsidRDefault="008A33BC" w:rsidP="00F421B2">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For more information, s</w:t>
      </w:r>
      <w:r w:rsidR="00A61865">
        <w:rPr>
          <w:rFonts w:ascii="Arial" w:eastAsia="Times New Roman" w:hAnsi="Arial" w:cs="Arial"/>
          <w:color w:val="212529"/>
          <w:lang w:val="en" w:eastAsia="en-AU"/>
        </w:rPr>
        <w:t xml:space="preserve">ee </w:t>
      </w:r>
      <w:hyperlink w:anchor="Repayments" w:history="1">
        <w:r w:rsidR="00A61865" w:rsidRPr="00A61865">
          <w:rPr>
            <w:rStyle w:val="Hyperlink"/>
            <w:i w:val="0"/>
            <w:lang w:val="en" w:eastAsia="en-AU"/>
          </w:rPr>
          <w:t>Repayments</w:t>
        </w:r>
      </w:hyperlink>
      <w:r w:rsidR="00A61865">
        <w:rPr>
          <w:rFonts w:ascii="Arial" w:eastAsia="Times New Roman" w:hAnsi="Arial" w:cs="Arial"/>
          <w:color w:val="212529"/>
          <w:lang w:val="en" w:eastAsia="en-AU"/>
        </w:rPr>
        <w:t>.</w:t>
      </w:r>
    </w:p>
    <w:p w14:paraId="1DCC66A0" w14:textId="42765FED" w:rsidR="00AE6815" w:rsidRPr="0067007D" w:rsidRDefault="00AE6815" w:rsidP="00B376C7">
      <w:pPr>
        <w:pStyle w:val="FAQs"/>
      </w:pPr>
      <w:r w:rsidRPr="0067007D">
        <w:t>Can a</w:t>
      </w:r>
      <w:r w:rsidR="006710C9">
        <w:t>n</w:t>
      </w:r>
      <w:r w:rsidRPr="0067007D">
        <w:t xml:space="preserve"> NCE retain a repayment related to an amount paid in a prior year?</w:t>
      </w:r>
    </w:p>
    <w:p w14:paraId="4589C6FD" w14:textId="594C9B5A" w:rsidR="00AE6815" w:rsidRPr="0067007D" w:rsidRDefault="00AE6815" w:rsidP="00D408F1">
      <w:pPr>
        <w:ind w:left="360"/>
        <w:rPr>
          <w:lang w:val="en" w:eastAsia="en-AU"/>
        </w:rPr>
      </w:pPr>
      <w:r w:rsidRPr="0067007D">
        <w:rPr>
          <w:lang w:val="en" w:eastAsia="en-AU"/>
        </w:rPr>
        <w:t>Yes, in some cases</w:t>
      </w:r>
      <w:r w:rsidR="00D408F1">
        <w:rPr>
          <w:lang w:val="en" w:eastAsia="en-AU"/>
        </w:rPr>
        <w:t>. For</w:t>
      </w:r>
      <w:r w:rsidRPr="0067007D">
        <w:rPr>
          <w:lang w:val="en" w:eastAsia="en-AU"/>
        </w:rPr>
        <w:t>:</w:t>
      </w:r>
    </w:p>
    <w:p w14:paraId="1E6E13E2" w14:textId="036BAB59" w:rsidR="008A33BC" w:rsidRPr="008A33BC" w:rsidRDefault="00AE6815" w:rsidP="008A33BC">
      <w:pPr>
        <w:pStyle w:val="Bullet1"/>
        <w:rPr>
          <w:lang w:val="en" w:eastAsia="en-AU"/>
        </w:rPr>
      </w:pPr>
      <w:r w:rsidRPr="009B1585">
        <w:rPr>
          <w:b/>
          <w:iCs/>
          <w:lang w:val="en" w:eastAsia="en-AU"/>
        </w:rPr>
        <w:t>annual departmental or adm</w:t>
      </w:r>
      <w:r w:rsidR="009B1585" w:rsidRPr="009B1585">
        <w:rPr>
          <w:b/>
          <w:iCs/>
          <w:lang w:val="en" w:eastAsia="en-AU"/>
        </w:rPr>
        <w:t>inistered annual appropriations</w:t>
      </w:r>
      <w:r w:rsidR="008A33BC">
        <w:rPr>
          <w:lang w:val="en" w:eastAsia="en-AU"/>
        </w:rPr>
        <w:t>—</w:t>
      </w:r>
      <w:r w:rsidR="008A33BC" w:rsidRPr="0067007D">
        <w:rPr>
          <w:lang w:val="en" w:eastAsia="en-AU"/>
        </w:rPr>
        <w:t xml:space="preserve">yes, the relevant appropriation can be increased, if the appropriation is still in </w:t>
      </w:r>
      <w:r w:rsidR="008A33BC">
        <w:rPr>
          <w:lang w:val="en" w:eastAsia="en-AU"/>
        </w:rPr>
        <w:t>force at the time of receipt</w:t>
      </w:r>
    </w:p>
    <w:p w14:paraId="040FEC4A" w14:textId="348E36D3" w:rsidR="003C3CE5" w:rsidRPr="003C3CE5" w:rsidRDefault="00A03CDC" w:rsidP="00A03CDC">
      <w:pPr>
        <w:pBdr>
          <w:top w:val="single" w:sz="4" w:space="1" w:color="B4B5E9"/>
          <w:left w:val="single" w:sz="4" w:space="4" w:color="B4B5E9"/>
          <w:bottom w:val="single" w:sz="4" w:space="1" w:color="B4B5E9"/>
          <w:right w:val="single" w:sz="4" w:space="4" w:color="B4B5E9"/>
        </w:pBdr>
        <w:shd w:val="clear" w:color="auto" w:fill="B4B5E9"/>
        <w:ind w:left="993"/>
      </w:pPr>
      <w:r w:rsidRPr="00A03CDC">
        <w:rPr>
          <w:b/>
        </w:rPr>
        <w:t xml:space="preserve">Example: </w:t>
      </w:r>
      <w:r w:rsidR="003C3CE5">
        <w:t>An</w:t>
      </w:r>
      <w:r w:rsidR="003C3CE5" w:rsidRPr="0067007D">
        <w:t xml:space="preserve"> NCE made a payment against </w:t>
      </w:r>
      <w:r w:rsidRPr="001A59D0">
        <w:rPr>
          <w:i/>
        </w:rPr>
        <w:t>Appropriation Act (No. 1) 2019</w:t>
      </w:r>
      <w:r w:rsidR="00DF3E01" w:rsidRPr="001A59D0">
        <w:rPr>
          <w:i/>
        </w:rPr>
        <w:noBreakHyphen/>
        <w:t>20</w:t>
      </w:r>
      <w:r w:rsidR="001A59D0">
        <w:t xml:space="preserve"> and</w:t>
      </w:r>
      <w:r w:rsidR="003C3CE5" w:rsidRPr="0067007D">
        <w:t xml:space="preserve"> receive</w:t>
      </w:r>
      <w:r w:rsidR="001A59D0">
        <w:t>s</w:t>
      </w:r>
      <w:r w:rsidR="00DF3E01">
        <w:t xml:space="preserve"> a repayment in August 2020. As the original a</w:t>
      </w:r>
      <w:r w:rsidR="003C3CE5" w:rsidRPr="0067007D">
        <w:t>ppropriation Act remains in force</w:t>
      </w:r>
      <w:r w:rsidR="00DF3E01">
        <w:t xml:space="preserve"> until 1 July 2022</w:t>
      </w:r>
      <w:r w:rsidR="003C3CE5">
        <w:t>, the NCE may re-credit that appropriation.</w:t>
      </w:r>
    </w:p>
    <w:p w14:paraId="66FA14F2" w14:textId="61844C64" w:rsidR="008A33BC" w:rsidRPr="00EC4916" w:rsidRDefault="008A33BC" w:rsidP="00EC4916">
      <w:pPr>
        <w:pStyle w:val="Bullet1"/>
        <w:rPr>
          <w:lang w:val="en" w:eastAsia="en-AU"/>
        </w:rPr>
      </w:pPr>
      <w:r>
        <w:rPr>
          <w:b/>
          <w:iCs/>
          <w:lang w:val="en" w:eastAsia="en-AU"/>
        </w:rPr>
        <w:t>special accounts</w:t>
      </w:r>
      <w:r w:rsidR="00EC4916">
        <w:rPr>
          <w:lang w:val="en" w:eastAsia="en-AU"/>
        </w:rPr>
        <w:t>—</w:t>
      </w:r>
      <w:r w:rsidR="00EC4916" w:rsidRPr="0067007D">
        <w:rPr>
          <w:lang w:val="en" w:eastAsia="en-AU"/>
        </w:rPr>
        <w:t>yes,</w:t>
      </w:r>
      <w:r w:rsidR="00EC4916" w:rsidRPr="00EC4916">
        <w:rPr>
          <w:lang w:val="en" w:eastAsia="en-AU"/>
        </w:rPr>
        <w:t xml:space="preserve"> </w:t>
      </w:r>
      <w:r w:rsidR="00EC4916" w:rsidRPr="0067007D">
        <w:rPr>
          <w:lang w:val="en" w:eastAsia="en-AU"/>
        </w:rPr>
        <w:t xml:space="preserve">the relevant special account can be increased, if the Act or determination that established it is still </w:t>
      </w:r>
      <w:r w:rsidR="00EC4916">
        <w:rPr>
          <w:lang w:val="en" w:eastAsia="en-AU"/>
        </w:rPr>
        <w:t>in force at the time of receipt</w:t>
      </w:r>
    </w:p>
    <w:p w14:paraId="70014D82" w14:textId="4AADC548" w:rsidR="00AE6815" w:rsidRPr="0067007D" w:rsidRDefault="00EC4916" w:rsidP="00EC4916">
      <w:pPr>
        <w:pStyle w:val="Bullet1"/>
        <w:rPr>
          <w:lang w:val="en" w:eastAsia="en-AU"/>
        </w:rPr>
      </w:pPr>
      <w:proofErr w:type="gramStart"/>
      <w:r>
        <w:rPr>
          <w:b/>
          <w:iCs/>
          <w:lang w:val="en" w:eastAsia="en-AU"/>
        </w:rPr>
        <w:t>limited</w:t>
      </w:r>
      <w:proofErr w:type="gramEnd"/>
      <w:r>
        <w:rPr>
          <w:b/>
          <w:iCs/>
          <w:lang w:val="en" w:eastAsia="en-AU"/>
        </w:rPr>
        <w:t xml:space="preserve"> special appropriations</w:t>
      </w:r>
      <w:r>
        <w:rPr>
          <w:lang w:val="en" w:eastAsia="en-AU"/>
        </w:rPr>
        <w:t>—</w:t>
      </w:r>
      <w:r w:rsidR="00AE6815" w:rsidRPr="0067007D">
        <w:rPr>
          <w:lang w:val="en" w:eastAsia="en-AU"/>
        </w:rPr>
        <w:t>yes, the relevant appropriation can be increased, if the appropriation is still in force at the time of receipt.</w:t>
      </w:r>
    </w:p>
    <w:p w14:paraId="39DA0932" w14:textId="3B356848" w:rsidR="00D408F1" w:rsidRDefault="00AE6815" w:rsidP="000608AA">
      <w:pPr>
        <w:pStyle w:val="Bullet1"/>
        <w:rPr>
          <w:lang w:val="en" w:eastAsia="en-AU"/>
        </w:rPr>
      </w:pPr>
      <w:proofErr w:type="gramStart"/>
      <w:r w:rsidRPr="00EC4916">
        <w:rPr>
          <w:b/>
          <w:iCs/>
          <w:lang w:val="en" w:eastAsia="en-AU"/>
        </w:rPr>
        <w:t>u</w:t>
      </w:r>
      <w:r w:rsidR="00A03CDC">
        <w:rPr>
          <w:b/>
          <w:iCs/>
          <w:lang w:val="en" w:eastAsia="en-AU"/>
        </w:rPr>
        <w:t>nlimited</w:t>
      </w:r>
      <w:proofErr w:type="gramEnd"/>
      <w:r w:rsidR="00A03CDC">
        <w:rPr>
          <w:b/>
          <w:iCs/>
          <w:lang w:val="en" w:eastAsia="en-AU"/>
        </w:rPr>
        <w:t xml:space="preserve"> special ap</w:t>
      </w:r>
      <w:r w:rsidR="00DF3E01">
        <w:rPr>
          <w:b/>
          <w:iCs/>
          <w:lang w:val="en" w:eastAsia="en-AU"/>
        </w:rPr>
        <w:t>propriations</w:t>
      </w:r>
      <w:r w:rsidR="00A03CDC">
        <w:rPr>
          <w:lang w:val="en" w:eastAsia="en-AU"/>
        </w:rPr>
        <w:t>—</w:t>
      </w:r>
      <w:r w:rsidRPr="0067007D">
        <w:rPr>
          <w:lang w:val="en" w:eastAsia="en-AU"/>
        </w:rPr>
        <w:t xml:space="preserve">no, repayment receipts are remitted to the </w:t>
      </w:r>
      <w:r w:rsidR="00DF3E01">
        <w:rPr>
          <w:lang w:val="en" w:eastAsia="en-AU"/>
        </w:rPr>
        <w:t>OPA as administered receipts</w:t>
      </w:r>
      <w:r w:rsidR="00D408F1">
        <w:rPr>
          <w:lang w:val="en" w:eastAsia="en-AU"/>
        </w:rPr>
        <w:t xml:space="preserve"> (also see </w:t>
      </w:r>
      <w:hyperlink w:anchor="Question5" w:history="1">
        <w:r w:rsidR="00D408F1" w:rsidRPr="00D408F1">
          <w:rPr>
            <w:rStyle w:val="Hyperlink"/>
            <w:i w:val="0"/>
            <w:lang w:val="en" w:eastAsia="en-AU"/>
          </w:rPr>
          <w:t>Question 5</w:t>
        </w:r>
      </w:hyperlink>
      <w:r w:rsidR="00D408F1" w:rsidRPr="00D408F1">
        <w:rPr>
          <w:rStyle w:val="Hyperlink"/>
          <w:i w:val="0"/>
          <w:u w:val="none"/>
        </w:rPr>
        <w:t>)</w:t>
      </w:r>
      <w:r w:rsidR="00D408F1">
        <w:rPr>
          <w:lang w:val="en" w:eastAsia="en-AU"/>
        </w:rPr>
        <w:t>.</w:t>
      </w:r>
    </w:p>
    <w:p w14:paraId="7D07745A" w14:textId="5B2512AB" w:rsidR="00AE6815" w:rsidRPr="0067007D" w:rsidRDefault="00D408F1" w:rsidP="00D408F1">
      <w:pPr>
        <w:ind w:left="360"/>
        <w:rPr>
          <w:lang w:val="en" w:eastAsia="en-AU"/>
        </w:rPr>
      </w:pPr>
      <w:r w:rsidRPr="00D408F1">
        <w:t>For more information, see</w:t>
      </w:r>
      <w:r w:rsidR="00DF3E01">
        <w:rPr>
          <w:lang w:val="en" w:eastAsia="en-AU"/>
        </w:rPr>
        <w:t xml:space="preserve"> </w:t>
      </w:r>
      <w:hyperlink w:anchor="Repayments" w:history="1">
        <w:r w:rsidR="00DF3E01" w:rsidRPr="00A7276A">
          <w:rPr>
            <w:rStyle w:val="Hyperlink"/>
            <w:i w:val="0"/>
            <w:lang w:val="en" w:eastAsia="en-AU"/>
          </w:rPr>
          <w:t>R</w:t>
        </w:r>
        <w:r w:rsidRPr="00A7276A">
          <w:rPr>
            <w:rStyle w:val="Hyperlink"/>
            <w:i w:val="0"/>
            <w:lang w:val="en" w:eastAsia="en-AU"/>
          </w:rPr>
          <w:t>epayments</w:t>
        </w:r>
      </w:hyperlink>
      <w:r>
        <w:rPr>
          <w:lang w:val="en" w:eastAsia="en-AU"/>
        </w:rPr>
        <w:t>.</w:t>
      </w:r>
    </w:p>
    <w:p w14:paraId="220791EA" w14:textId="07143585" w:rsidR="00AE6815" w:rsidRPr="0067007D" w:rsidRDefault="00AE6815" w:rsidP="00B376C7">
      <w:pPr>
        <w:pStyle w:val="FAQs"/>
      </w:pPr>
      <w:r w:rsidRPr="0067007D">
        <w:t>Can a</w:t>
      </w:r>
      <w:r w:rsidR="006710C9">
        <w:t>n</w:t>
      </w:r>
      <w:r w:rsidRPr="0067007D">
        <w:t xml:space="preserve"> NCE retain money collected in implementing </w:t>
      </w:r>
      <w:r w:rsidRPr="00410DDA">
        <w:t xml:space="preserve">the </w:t>
      </w:r>
      <w:r w:rsidR="00410DDA" w:rsidRPr="00CF5765">
        <w:t>s</w:t>
      </w:r>
      <w:r w:rsidR="00250E24" w:rsidRPr="00CF5765">
        <w:t>hared</w:t>
      </w:r>
      <w:r w:rsidR="00410DDA" w:rsidRPr="00CF5765">
        <w:t xml:space="preserve"> services p</w:t>
      </w:r>
      <w:r w:rsidRPr="00CF5765">
        <w:t>rogram</w:t>
      </w:r>
      <w:r w:rsidRPr="00410DDA">
        <w:t xml:space="preserve"> </w:t>
      </w:r>
      <w:r w:rsidRPr="0067007D">
        <w:t>as retainable receipts?</w:t>
      </w:r>
    </w:p>
    <w:p w14:paraId="652D2D7D" w14:textId="1D9C013C" w:rsidR="00D408F1" w:rsidRPr="00B376C7" w:rsidRDefault="00D408F1" w:rsidP="00B376C7">
      <w:pPr>
        <w:ind w:left="360"/>
        <w:rPr>
          <w:lang w:val="en" w:eastAsia="en-AU"/>
        </w:rPr>
      </w:pPr>
      <w:r>
        <w:rPr>
          <w:lang w:val="en" w:eastAsia="en-AU"/>
        </w:rPr>
        <w:t>Yes</w:t>
      </w:r>
      <w:r>
        <w:rPr>
          <w:rFonts w:ascii="Arial" w:eastAsia="Times New Roman" w:hAnsi="Arial" w:cs="Arial"/>
          <w:color w:val="212529"/>
          <w:lang w:val="en" w:eastAsia="en-AU"/>
        </w:rPr>
        <w:t>—</w:t>
      </w:r>
      <w:r w:rsidR="00AE6815" w:rsidRPr="0067007D">
        <w:rPr>
          <w:lang w:val="en" w:eastAsia="en-AU"/>
        </w:rPr>
        <w:t>if the receipts collected</w:t>
      </w:r>
      <w:r w:rsidR="007C3BAA">
        <w:rPr>
          <w:lang w:val="en" w:eastAsia="en-AU"/>
        </w:rPr>
        <w:t xml:space="preserve"> </w:t>
      </w:r>
      <w:r w:rsidR="007C3BAA" w:rsidRPr="0067007D">
        <w:t xml:space="preserve">in implementing </w:t>
      </w:r>
      <w:r w:rsidR="007C3BAA" w:rsidRPr="00410DDA">
        <w:t xml:space="preserve">the </w:t>
      </w:r>
      <w:hyperlink r:id="rId120" w:history="1">
        <w:r w:rsidR="007C3BAA" w:rsidRPr="00D819E9">
          <w:rPr>
            <w:rStyle w:val="Hyperlink"/>
            <w:i w:val="0"/>
          </w:rPr>
          <w:t>shared services program</w:t>
        </w:r>
      </w:hyperlink>
      <w:r w:rsidR="00AE6815" w:rsidRPr="0067007D">
        <w:rPr>
          <w:lang w:val="en" w:eastAsia="en-AU"/>
        </w:rPr>
        <w:t xml:space="preserve"> are fees for providing goods and services (including prepayments). </w:t>
      </w:r>
      <w:r>
        <w:rPr>
          <w:lang w:val="en" w:eastAsia="en-AU"/>
        </w:rPr>
        <w:t xml:space="preserve">For more information, see </w:t>
      </w:r>
      <w:hyperlink w:anchor="Offsetcosts" w:history="1">
        <w:r w:rsidRPr="00D408F1">
          <w:rPr>
            <w:rStyle w:val="Hyperlink"/>
            <w:i w:val="0"/>
            <w:lang w:val="en" w:eastAsia="en-AU"/>
          </w:rPr>
          <w:t>Offset of costs related to an activity of the entity</w:t>
        </w:r>
      </w:hyperlink>
      <w:r w:rsidRPr="00D408F1">
        <w:rPr>
          <w:rStyle w:val="Hyperlink"/>
          <w:u w:val="none"/>
        </w:rPr>
        <w:t>.</w:t>
      </w:r>
    </w:p>
    <w:p w14:paraId="1235D533" w14:textId="2FD46D1A" w:rsidR="00AE6815" w:rsidRPr="0067007D" w:rsidRDefault="00AE6815" w:rsidP="00B376C7">
      <w:pPr>
        <w:pStyle w:val="FAQs"/>
      </w:pPr>
      <w:r w:rsidRPr="0067007D">
        <w:t>Can a</w:t>
      </w:r>
      <w:r w:rsidR="006710C9">
        <w:t>n</w:t>
      </w:r>
      <w:r w:rsidRPr="0067007D">
        <w:t xml:space="preserve"> NCE increase an annual administered appropriation with money contribute</w:t>
      </w:r>
      <w:r w:rsidR="00410DDA">
        <w:t>d by another government (</w:t>
      </w:r>
      <w:proofErr w:type="spellStart"/>
      <w:r w:rsidR="00410DDA">
        <w:t>eg</w:t>
      </w:r>
      <w:proofErr w:type="spellEnd"/>
      <w:r w:rsidRPr="0067007D">
        <w:t xml:space="preserve"> a state) for a joint activity?</w:t>
      </w:r>
    </w:p>
    <w:p w14:paraId="5CCA9233" w14:textId="295863AE" w:rsidR="007C3BAA" w:rsidRDefault="00410DDA" w:rsidP="007C3BAA">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No—</w:t>
      </w:r>
      <w:r w:rsidR="00AE6815" w:rsidRPr="0067007D">
        <w:rPr>
          <w:rFonts w:ascii="Arial" w:eastAsia="Times New Roman" w:hAnsi="Arial" w:cs="Arial"/>
          <w:color w:val="212529"/>
          <w:lang w:val="en" w:eastAsia="en-AU"/>
        </w:rPr>
        <w:t>the amount cannot increase an annual administered appropriation.</w:t>
      </w:r>
      <w:r w:rsidR="007C3BAA">
        <w:rPr>
          <w:rFonts w:ascii="Arial" w:eastAsia="Times New Roman" w:hAnsi="Arial" w:cs="Arial"/>
          <w:color w:val="212529"/>
          <w:lang w:val="en" w:eastAsia="en-AU"/>
        </w:rPr>
        <w:t xml:space="preserve"> Alternate options are</w:t>
      </w:r>
      <w:r w:rsidR="003364DE">
        <w:rPr>
          <w:rFonts w:ascii="Arial" w:eastAsia="Times New Roman" w:hAnsi="Arial" w:cs="Arial"/>
          <w:color w:val="212529"/>
          <w:lang w:val="en" w:eastAsia="en-AU"/>
        </w:rPr>
        <w:t xml:space="preserve"> to seek agreement from Cabinet or the </w:t>
      </w:r>
      <w:r w:rsidR="003364DE">
        <w:t>Prime Minister</w:t>
      </w:r>
      <w:r w:rsidR="00DA212A" w:rsidRPr="0067007D">
        <w:rPr>
          <w:rFonts w:ascii="Arial" w:eastAsia="Times New Roman" w:hAnsi="Arial" w:cs="Arial"/>
          <w:color w:val="212529"/>
          <w:lang w:val="en" w:eastAsia="en-AU"/>
        </w:rPr>
        <w:t xml:space="preserve"> </w:t>
      </w:r>
      <w:r w:rsidR="00AE6815" w:rsidRPr="0067007D">
        <w:rPr>
          <w:rFonts w:ascii="Arial" w:eastAsia="Times New Roman" w:hAnsi="Arial" w:cs="Arial"/>
          <w:color w:val="212529"/>
          <w:lang w:val="en" w:eastAsia="en-AU"/>
        </w:rPr>
        <w:t>to</w:t>
      </w:r>
      <w:r w:rsidR="007C3BAA">
        <w:rPr>
          <w:rFonts w:ascii="Arial" w:eastAsia="Times New Roman" w:hAnsi="Arial" w:cs="Arial"/>
          <w:color w:val="212529"/>
          <w:lang w:val="en" w:eastAsia="en-AU"/>
        </w:rPr>
        <w:t>:</w:t>
      </w:r>
    </w:p>
    <w:p w14:paraId="2240A806" w14:textId="77777777" w:rsidR="007C3BAA" w:rsidRDefault="00AE6815" w:rsidP="007C3BAA">
      <w:pPr>
        <w:pStyle w:val="Bullet1"/>
        <w:rPr>
          <w:lang w:val="en" w:eastAsia="en-AU"/>
        </w:rPr>
      </w:pPr>
      <w:r w:rsidRPr="0067007D">
        <w:rPr>
          <w:lang w:val="en" w:eastAsia="en-AU"/>
        </w:rPr>
        <w:lastRenderedPageBreak/>
        <w:t>be re</w:t>
      </w:r>
      <w:r w:rsidR="007C3BAA">
        <w:rPr>
          <w:lang w:val="en" w:eastAsia="en-AU"/>
        </w:rPr>
        <w:t>-</w:t>
      </w:r>
      <w:r w:rsidRPr="0067007D">
        <w:rPr>
          <w:lang w:val="en" w:eastAsia="en-AU"/>
        </w:rPr>
        <w:t>appropria</w:t>
      </w:r>
      <w:r w:rsidR="007C3BAA">
        <w:rPr>
          <w:lang w:val="en" w:eastAsia="en-AU"/>
        </w:rPr>
        <w:t xml:space="preserve">ted the amounts received, or </w:t>
      </w:r>
    </w:p>
    <w:p w14:paraId="134492E3" w14:textId="1CD9F120" w:rsidR="00410DDA" w:rsidRDefault="00AE6815" w:rsidP="007C3BAA">
      <w:pPr>
        <w:pStyle w:val="Bullet1"/>
        <w:rPr>
          <w:lang w:val="en" w:eastAsia="en-AU"/>
        </w:rPr>
      </w:pPr>
      <w:proofErr w:type="gramStart"/>
      <w:r w:rsidRPr="0067007D">
        <w:rPr>
          <w:lang w:val="en" w:eastAsia="en-AU"/>
        </w:rPr>
        <w:t>use</w:t>
      </w:r>
      <w:proofErr w:type="gramEnd"/>
      <w:r w:rsidRPr="0067007D">
        <w:rPr>
          <w:lang w:val="en" w:eastAsia="en-AU"/>
        </w:rPr>
        <w:t xml:space="preserve"> an e</w:t>
      </w:r>
      <w:r w:rsidR="007C3BAA">
        <w:rPr>
          <w:lang w:val="en" w:eastAsia="en-AU"/>
        </w:rPr>
        <w:t>xisting special account (</w:t>
      </w:r>
      <w:proofErr w:type="spellStart"/>
      <w:r w:rsidR="007C3BAA">
        <w:rPr>
          <w:lang w:val="en" w:eastAsia="en-AU"/>
        </w:rPr>
        <w:t>eg</w:t>
      </w:r>
      <w:proofErr w:type="spellEnd"/>
      <w:r w:rsidRPr="0067007D">
        <w:rPr>
          <w:lang w:val="en" w:eastAsia="en-AU"/>
        </w:rPr>
        <w:t xml:space="preserve"> a </w:t>
      </w:r>
      <w:r w:rsidR="007C3BAA">
        <w:rPr>
          <w:lang w:val="en" w:eastAsia="en-AU"/>
        </w:rPr>
        <w:t xml:space="preserve">special account for </w:t>
      </w:r>
      <w:r w:rsidR="007C3BAA">
        <w:rPr>
          <w:iCs/>
          <w:lang w:val="en" w:eastAsia="en-AU"/>
        </w:rPr>
        <w:t>services for other e</w:t>
      </w:r>
      <w:r w:rsidRPr="007C3BAA">
        <w:rPr>
          <w:iCs/>
          <w:lang w:val="en" w:eastAsia="en-AU"/>
        </w:rPr>
        <w:t>ntities</w:t>
      </w:r>
      <w:r w:rsidRPr="0067007D">
        <w:rPr>
          <w:i/>
          <w:iCs/>
          <w:lang w:val="en" w:eastAsia="en-AU"/>
        </w:rPr>
        <w:t xml:space="preserve"> </w:t>
      </w:r>
      <w:r w:rsidR="007C3BAA">
        <w:rPr>
          <w:iCs/>
          <w:lang w:val="en" w:eastAsia="en-AU"/>
        </w:rPr>
        <w:t>or trust m</w:t>
      </w:r>
      <w:r w:rsidRPr="007C3BAA">
        <w:rPr>
          <w:iCs/>
          <w:lang w:val="en" w:eastAsia="en-AU"/>
        </w:rPr>
        <w:t>oneys</w:t>
      </w:r>
      <w:r w:rsidRPr="0067007D">
        <w:rPr>
          <w:lang w:val="en" w:eastAsia="en-AU"/>
        </w:rPr>
        <w:t>) to retain t</w:t>
      </w:r>
      <w:r w:rsidR="004152D8">
        <w:rPr>
          <w:lang w:val="en" w:eastAsia="en-AU"/>
        </w:rPr>
        <w:t xml:space="preserve">he amounts received. </w:t>
      </w:r>
    </w:p>
    <w:p w14:paraId="6FAF42DF" w14:textId="45FF9CF4" w:rsidR="00AE6815" w:rsidRPr="0067007D" w:rsidRDefault="004152D8" w:rsidP="00F421B2">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Entities</w:t>
      </w:r>
      <w:r w:rsidR="00AE6815" w:rsidRPr="0067007D">
        <w:rPr>
          <w:rFonts w:ascii="Arial" w:eastAsia="Times New Roman" w:hAnsi="Arial" w:cs="Arial"/>
          <w:color w:val="212529"/>
          <w:lang w:val="en" w:eastAsia="en-AU"/>
        </w:rPr>
        <w:t xml:space="preserve"> wish</w:t>
      </w:r>
      <w:r>
        <w:rPr>
          <w:rFonts w:ascii="Arial" w:eastAsia="Times New Roman" w:hAnsi="Arial" w:cs="Arial"/>
          <w:color w:val="212529"/>
          <w:lang w:val="en" w:eastAsia="en-AU"/>
        </w:rPr>
        <w:t>ing</w:t>
      </w:r>
      <w:r w:rsidR="00AE6815" w:rsidRPr="0067007D">
        <w:rPr>
          <w:rFonts w:ascii="Arial" w:eastAsia="Times New Roman" w:hAnsi="Arial" w:cs="Arial"/>
          <w:color w:val="212529"/>
          <w:lang w:val="en" w:eastAsia="en-AU"/>
        </w:rPr>
        <w:t xml:space="preserve"> to use the latter approach, they should first </w:t>
      </w:r>
      <w:r>
        <w:rPr>
          <w:rFonts w:ascii="Arial" w:eastAsia="Times New Roman" w:hAnsi="Arial" w:cs="Arial"/>
          <w:color w:val="212529"/>
          <w:lang w:val="en" w:eastAsia="en-AU"/>
        </w:rPr>
        <w:t>contact</w:t>
      </w:r>
      <w:r w:rsidR="0011275C">
        <w:rPr>
          <w:rFonts w:ascii="Arial" w:eastAsia="Times New Roman" w:hAnsi="Arial" w:cs="Arial"/>
          <w:color w:val="212529"/>
          <w:lang w:val="en" w:eastAsia="en-AU"/>
        </w:rPr>
        <w:t xml:space="preserve"> Finance</w:t>
      </w:r>
      <w:r>
        <w:rPr>
          <w:rFonts w:ascii="Arial" w:eastAsia="Times New Roman" w:hAnsi="Arial" w:cs="Arial"/>
          <w:color w:val="212529"/>
          <w:lang w:val="en" w:eastAsia="en-AU"/>
        </w:rPr>
        <w:t xml:space="preserve"> </w:t>
      </w:r>
      <w:hyperlink r:id="rId121" w:history="1">
        <w:r w:rsidR="00B376C7">
          <w:rPr>
            <w:rStyle w:val="Hyperlink"/>
            <w:i w:val="0"/>
            <w:lang w:val="en" w:eastAsia="en-AU"/>
          </w:rPr>
          <w:t>S</w:t>
        </w:r>
        <w:r w:rsidR="0011275C" w:rsidRPr="0011275C">
          <w:rPr>
            <w:rStyle w:val="Hyperlink"/>
            <w:i w:val="0"/>
            <w:lang w:val="en" w:eastAsia="en-AU"/>
          </w:rPr>
          <w:t xml:space="preserve">pecial </w:t>
        </w:r>
        <w:r w:rsidR="00B376C7">
          <w:rPr>
            <w:rStyle w:val="Hyperlink"/>
            <w:i w:val="0"/>
            <w:lang w:val="en" w:eastAsia="en-AU"/>
          </w:rPr>
          <w:t>A</w:t>
        </w:r>
        <w:r w:rsidR="0011275C" w:rsidRPr="0011275C">
          <w:rPr>
            <w:rStyle w:val="Hyperlink"/>
            <w:i w:val="0"/>
            <w:lang w:val="en" w:eastAsia="en-AU"/>
          </w:rPr>
          <w:t>ppropriations</w:t>
        </w:r>
      </w:hyperlink>
      <w:r w:rsidR="00B376C7">
        <w:rPr>
          <w:rFonts w:ascii="Arial" w:eastAsia="Times New Roman" w:hAnsi="Arial" w:cs="Arial"/>
          <w:color w:val="212529"/>
          <w:lang w:val="en" w:eastAsia="en-AU"/>
        </w:rPr>
        <w:t xml:space="preserve"> T</w:t>
      </w:r>
      <w:r w:rsidR="007C3BAA">
        <w:rPr>
          <w:rFonts w:ascii="Arial" w:eastAsia="Times New Roman" w:hAnsi="Arial" w:cs="Arial"/>
          <w:color w:val="212529"/>
          <w:lang w:val="en" w:eastAsia="en-AU"/>
        </w:rPr>
        <w:t>eam.</w:t>
      </w:r>
    </w:p>
    <w:p w14:paraId="31A56404" w14:textId="2D57A513" w:rsidR="00AE6815" w:rsidRPr="00906DC5" w:rsidRDefault="00AE6815" w:rsidP="00B376C7">
      <w:pPr>
        <w:pStyle w:val="FAQs"/>
        <w:rPr>
          <w:sz w:val="23"/>
          <w:szCs w:val="23"/>
        </w:rPr>
      </w:pPr>
      <w:r w:rsidRPr="00906DC5">
        <w:rPr>
          <w:sz w:val="23"/>
          <w:szCs w:val="23"/>
        </w:rPr>
        <w:t>Can a</w:t>
      </w:r>
      <w:r w:rsidR="006710C9" w:rsidRPr="00906DC5">
        <w:rPr>
          <w:sz w:val="23"/>
          <w:szCs w:val="23"/>
        </w:rPr>
        <w:t>n</w:t>
      </w:r>
      <w:r w:rsidRPr="00906DC5">
        <w:rPr>
          <w:sz w:val="23"/>
          <w:szCs w:val="23"/>
        </w:rPr>
        <w:t xml:space="preserve"> NCE increase a departmental appropriation with a reimbursement of costs from another NCE, for staff seconded to that other NCE?</w:t>
      </w:r>
    </w:p>
    <w:p w14:paraId="30FAC2CC" w14:textId="7516A8B1" w:rsidR="00AE6815" w:rsidRPr="0067007D" w:rsidRDefault="00C03A4D" w:rsidP="00B376C7">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Yes—for amounts that offset costs</w:t>
      </w:r>
      <w:r w:rsidR="00AE6815" w:rsidRPr="0067007D">
        <w:rPr>
          <w:rFonts w:ascii="Arial" w:eastAsia="Times New Roman" w:hAnsi="Arial" w:cs="Arial"/>
          <w:color w:val="212529"/>
          <w:lang w:val="en" w:eastAsia="en-AU"/>
        </w:rPr>
        <w:t xml:space="preserve">. </w:t>
      </w:r>
      <w:r>
        <w:rPr>
          <w:lang w:val="en" w:eastAsia="en-AU"/>
        </w:rPr>
        <w:t xml:space="preserve">For more information, see </w:t>
      </w:r>
      <w:hyperlink w:anchor="Offsetcosts" w:history="1">
        <w:r w:rsidRPr="00D408F1">
          <w:rPr>
            <w:rStyle w:val="Hyperlink"/>
            <w:i w:val="0"/>
            <w:lang w:val="en" w:eastAsia="en-AU"/>
          </w:rPr>
          <w:t>Offset of costs related to an activity of the entity</w:t>
        </w:r>
      </w:hyperlink>
      <w:r w:rsidR="00AE6815" w:rsidRPr="0067007D">
        <w:rPr>
          <w:rFonts w:ascii="Arial" w:eastAsia="Times New Roman" w:hAnsi="Arial" w:cs="Arial"/>
          <w:color w:val="212529"/>
          <w:lang w:val="en" w:eastAsia="en-AU"/>
        </w:rPr>
        <w:t>.</w:t>
      </w:r>
      <w:r w:rsidR="001514B7">
        <w:rPr>
          <w:rFonts w:ascii="Arial" w:eastAsia="Times New Roman" w:hAnsi="Arial" w:cs="Arial"/>
          <w:color w:val="212529"/>
          <w:lang w:val="en" w:eastAsia="en-AU"/>
        </w:rPr>
        <w:t xml:space="preserve"> </w:t>
      </w:r>
    </w:p>
    <w:p w14:paraId="1F0FE1AE" w14:textId="5F984B3B" w:rsidR="00AE6815" w:rsidRPr="0067007D" w:rsidRDefault="001B12E5" w:rsidP="00B376C7">
      <w:pPr>
        <w:pStyle w:val="FAQs"/>
      </w:pPr>
      <w:r>
        <w:t>If a</w:t>
      </w:r>
      <w:r w:rsidR="006710C9">
        <w:t>n</w:t>
      </w:r>
      <w:r w:rsidR="00AE6815" w:rsidRPr="0067007D">
        <w:t xml:space="preserve"> NCE uses a departmental special account to hold employee provisi</w:t>
      </w:r>
      <w:r w:rsidR="00B553A9">
        <w:t>on balances for employees in position</w:t>
      </w:r>
      <w:r w:rsidR="003D0549">
        <w:t>s</w:t>
      </w:r>
      <w:r w:rsidR="00B553A9">
        <w:t xml:space="preserve"> </w:t>
      </w:r>
      <w:r>
        <w:t>funded by the special account,</w:t>
      </w:r>
      <w:r w:rsidR="000B60E2">
        <w:t> </w:t>
      </w:r>
      <w:r>
        <w:t>c</w:t>
      </w:r>
      <w:r w:rsidR="00B553A9">
        <w:t>an the NCE debit the</w:t>
      </w:r>
      <w:r w:rsidR="00AE6815" w:rsidRPr="0067007D">
        <w:t xml:space="preserve"> special account and credit a departmental appropriation for the leave provision transfer when an employee moves to a departmental appropriation funded position?</w:t>
      </w:r>
    </w:p>
    <w:p w14:paraId="3F519452" w14:textId="6DCFFADD" w:rsidR="00AE6815" w:rsidRPr="0067007D" w:rsidRDefault="00B553A9" w:rsidP="00F421B2">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No—a</w:t>
      </w:r>
      <w:r w:rsidR="00AE6815" w:rsidRPr="0067007D">
        <w:rPr>
          <w:rFonts w:ascii="Arial" w:eastAsia="Times New Roman" w:hAnsi="Arial" w:cs="Arial"/>
          <w:color w:val="212529"/>
          <w:lang w:val="en" w:eastAsia="en-AU"/>
        </w:rPr>
        <w:t xml:space="preserve"> special account determination may contai</w:t>
      </w:r>
      <w:r w:rsidR="00906DC5">
        <w:rPr>
          <w:rFonts w:ascii="Arial" w:eastAsia="Times New Roman" w:hAnsi="Arial" w:cs="Arial"/>
          <w:color w:val="212529"/>
          <w:lang w:val="en" w:eastAsia="en-AU"/>
        </w:rPr>
        <w:t>n purpose clauses that allow</w:t>
      </w:r>
      <w:r w:rsidR="00AE6815" w:rsidRPr="0067007D">
        <w:rPr>
          <w:rFonts w:ascii="Arial" w:eastAsia="Times New Roman" w:hAnsi="Arial" w:cs="Arial"/>
          <w:color w:val="212529"/>
          <w:lang w:val="en" w:eastAsia="en-AU"/>
        </w:rPr>
        <w:t xml:space="preserve"> payments of provision transfers between entities</w:t>
      </w:r>
      <w:r w:rsidR="00906DC5">
        <w:rPr>
          <w:rFonts w:ascii="Arial" w:eastAsia="Times New Roman" w:hAnsi="Arial" w:cs="Arial"/>
          <w:color w:val="212529"/>
          <w:lang w:val="en" w:eastAsia="en-AU"/>
        </w:rPr>
        <w:t xml:space="preserve"> but </w:t>
      </w:r>
      <w:r w:rsidR="00AE6815" w:rsidRPr="0067007D">
        <w:rPr>
          <w:rFonts w:ascii="Arial" w:eastAsia="Times New Roman" w:hAnsi="Arial" w:cs="Arial"/>
          <w:color w:val="212529"/>
          <w:lang w:val="en" w:eastAsia="en-AU"/>
        </w:rPr>
        <w:t xml:space="preserve">the </w:t>
      </w:r>
      <w:hyperlink r:id="rId122" w:history="1">
        <w:r w:rsidR="00160E1A" w:rsidRPr="00160E1A">
          <w:rPr>
            <w:rStyle w:val="Hyperlink"/>
            <w:i w:val="0"/>
          </w:rPr>
          <w:t>PGPA Act</w:t>
        </w:r>
      </w:hyperlink>
      <w:r w:rsidR="00906DC5">
        <w:rPr>
          <w:rFonts w:ascii="Arial" w:eastAsia="Times New Roman" w:hAnsi="Arial" w:cs="Arial"/>
          <w:color w:val="212529"/>
          <w:lang w:val="en" w:eastAsia="en-AU"/>
        </w:rPr>
        <w:t xml:space="preserve"> does not allow </w:t>
      </w:r>
      <w:r w:rsidR="00AE6815" w:rsidRPr="0067007D">
        <w:rPr>
          <w:rFonts w:ascii="Arial" w:eastAsia="Times New Roman" w:hAnsi="Arial" w:cs="Arial"/>
          <w:color w:val="212529"/>
          <w:lang w:val="en" w:eastAsia="en-AU"/>
        </w:rPr>
        <w:t>NCE</w:t>
      </w:r>
      <w:r w:rsidR="00906DC5">
        <w:rPr>
          <w:rFonts w:ascii="Arial" w:eastAsia="Times New Roman" w:hAnsi="Arial" w:cs="Arial"/>
          <w:color w:val="212529"/>
          <w:lang w:val="en" w:eastAsia="en-AU"/>
        </w:rPr>
        <w:t>s</w:t>
      </w:r>
      <w:r w:rsidR="00AE6815" w:rsidRPr="0067007D">
        <w:rPr>
          <w:rFonts w:ascii="Arial" w:eastAsia="Times New Roman" w:hAnsi="Arial" w:cs="Arial"/>
          <w:color w:val="212529"/>
          <w:lang w:val="en" w:eastAsia="en-AU"/>
        </w:rPr>
        <w:t xml:space="preserve"> to credit a departmental appropriation item from a special account for an intra-departmental transfer.</w:t>
      </w:r>
    </w:p>
    <w:p w14:paraId="37B3EBE6" w14:textId="34DA7089" w:rsidR="00AE6815" w:rsidRPr="00CF5765" w:rsidRDefault="00AE6815" w:rsidP="00B376C7">
      <w:pPr>
        <w:pStyle w:val="FAQs"/>
      </w:pPr>
      <w:r w:rsidRPr="00CF5765">
        <w:t>Can a</w:t>
      </w:r>
      <w:r w:rsidR="006710C9" w:rsidRPr="00CF5765">
        <w:t>n</w:t>
      </w:r>
      <w:r w:rsidRPr="00CF5765">
        <w:t xml:space="preserve"> NCE use section 27 of the PGPA Rule to transfer amounts relating to non-financial assets to/from another NCE?</w:t>
      </w:r>
    </w:p>
    <w:p w14:paraId="04A470CC" w14:textId="45327A8D" w:rsidR="00B376C7" w:rsidRDefault="00B553A9" w:rsidP="00240A08">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No—a</w:t>
      </w:r>
      <w:r w:rsidR="00B376C7">
        <w:rPr>
          <w:rFonts w:ascii="Arial" w:eastAsia="Times New Roman" w:hAnsi="Arial" w:cs="Arial"/>
          <w:color w:val="212529"/>
          <w:lang w:val="en" w:eastAsia="en-AU"/>
        </w:rPr>
        <w:t>mounts appropriated to one</w:t>
      </w:r>
      <w:r w:rsidR="00AE6815" w:rsidRPr="0067007D">
        <w:rPr>
          <w:rFonts w:ascii="Arial" w:eastAsia="Times New Roman" w:hAnsi="Arial" w:cs="Arial"/>
          <w:color w:val="212529"/>
          <w:lang w:val="en" w:eastAsia="en-AU"/>
        </w:rPr>
        <w:t xml:space="preserve"> NCE (entity A) to maintain</w:t>
      </w:r>
      <w:r w:rsidR="00B376C7">
        <w:rPr>
          <w:rFonts w:ascii="Arial" w:eastAsia="Times New Roman" w:hAnsi="Arial" w:cs="Arial"/>
          <w:color w:val="212529"/>
          <w:lang w:val="en" w:eastAsia="en-AU"/>
        </w:rPr>
        <w:t xml:space="preserve"> its non-financial assets (</w:t>
      </w:r>
      <w:proofErr w:type="spellStart"/>
      <w:r w:rsidR="00B376C7">
        <w:rPr>
          <w:rFonts w:ascii="Arial" w:eastAsia="Times New Roman" w:hAnsi="Arial" w:cs="Arial"/>
          <w:color w:val="212529"/>
          <w:lang w:val="en" w:eastAsia="en-AU"/>
        </w:rPr>
        <w:t>eg</w:t>
      </w:r>
      <w:proofErr w:type="spellEnd"/>
      <w:r w:rsidR="00B376C7">
        <w:rPr>
          <w:rFonts w:ascii="Arial" w:eastAsia="Times New Roman" w:hAnsi="Arial" w:cs="Arial"/>
          <w:color w:val="212529"/>
          <w:lang w:val="en" w:eastAsia="en-AU"/>
        </w:rPr>
        <w:t xml:space="preserve"> departmental capital budget) cannot be paid</w:t>
      </w:r>
      <w:r w:rsidR="00AE6815" w:rsidRPr="0067007D">
        <w:rPr>
          <w:rFonts w:ascii="Arial" w:eastAsia="Times New Roman" w:hAnsi="Arial" w:cs="Arial"/>
          <w:color w:val="212529"/>
          <w:lang w:val="en" w:eastAsia="en-AU"/>
        </w:rPr>
        <w:t xml:space="preserve"> to another NCE (entity B) to maintain entity B’s assets</w:t>
      </w:r>
      <w:r w:rsidR="00B376C7">
        <w:rPr>
          <w:rFonts w:ascii="Arial" w:eastAsia="Times New Roman" w:hAnsi="Arial" w:cs="Arial"/>
          <w:color w:val="212529"/>
          <w:lang w:val="en" w:eastAsia="en-AU"/>
        </w:rPr>
        <w:t>,</w:t>
      </w:r>
      <w:r w:rsidR="00240A08">
        <w:rPr>
          <w:rFonts w:ascii="Arial" w:eastAsia="Times New Roman" w:hAnsi="Arial" w:cs="Arial"/>
          <w:color w:val="212529"/>
          <w:lang w:val="en" w:eastAsia="en-AU"/>
        </w:rPr>
        <w:t xml:space="preserve"> as entity A would</w:t>
      </w:r>
      <w:r w:rsidR="00B376C7">
        <w:rPr>
          <w:rFonts w:ascii="Arial" w:eastAsia="Times New Roman" w:hAnsi="Arial" w:cs="Arial"/>
          <w:color w:val="212529"/>
          <w:lang w:val="en" w:eastAsia="en-AU"/>
        </w:rPr>
        <w:t xml:space="preserve"> not receive</w:t>
      </w:r>
      <w:r w:rsidR="00AE6815" w:rsidRPr="0067007D">
        <w:rPr>
          <w:rFonts w:ascii="Arial" w:eastAsia="Times New Roman" w:hAnsi="Arial" w:cs="Arial"/>
          <w:color w:val="212529"/>
          <w:lang w:val="en" w:eastAsia="en-AU"/>
        </w:rPr>
        <w:t xml:space="preserve"> a good or service in return for such a payment. </w:t>
      </w:r>
      <w:r w:rsidR="00240A08">
        <w:rPr>
          <w:rFonts w:ascii="Arial" w:eastAsia="Times New Roman" w:hAnsi="Arial" w:cs="Arial"/>
          <w:color w:val="212529"/>
          <w:lang w:val="en" w:eastAsia="en-AU"/>
        </w:rPr>
        <w:t>If</w:t>
      </w:r>
      <w:r w:rsidR="00AE6815" w:rsidRPr="0067007D">
        <w:rPr>
          <w:rFonts w:ascii="Arial" w:eastAsia="Times New Roman" w:hAnsi="Arial" w:cs="Arial"/>
          <w:color w:val="212529"/>
          <w:lang w:val="en" w:eastAsia="en-AU"/>
        </w:rPr>
        <w:t xml:space="preserve"> entity A wish</w:t>
      </w:r>
      <w:r w:rsidR="00240A08">
        <w:rPr>
          <w:rFonts w:ascii="Arial" w:eastAsia="Times New Roman" w:hAnsi="Arial" w:cs="Arial"/>
          <w:color w:val="212529"/>
          <w:lang w:val="en" w:eastAsia="en-AU"/>
        </w:rPr>
        <w:t>es</w:t>
      </w:r>
      <w:r w:rsidR="00AE6815" w:rsidRPr="0067007D">
        <w:rPr>
          <w:rFonts w:ascii="Arial" w:eastAsia="Times New Roman" w:hAnsi="Arial" w:cs="Arial"/>
          <w:color w:val="212529"/>
          <w:lang w:val="en" w:eastAsia="en-AU"/>
        </w:rPr>
        <w:t xml:space="preserve"> to contribute towards joint assets held by en</w:t>
      </w:r>
      <w:r w:rsidR="00240A08">
        <w:rPr>
          <w:rFonts w:ascii="Arial" w:eastAsia="Times New Roman" w:hAnsi="Arial" w:cs="Arial"/>
          <w:color w:val="212529"/>
          <w:lang w:val="en" w:eastAsia="en-AU"/>
        </w:rPr>
        <w:t xml:space="preserve">tity B, entity A should </w:t>
      </w:r>
      <w:r w:rsidR="00AE6815" w:rsidRPr="0067007D">
        <w:rPr>
          <w:rFonts w:ascii="Arial" w:eastAsia="Times New Roman" w:hAnsi="Arial" w:cs="Arial"/>
          <w:color w:val="212529"/>
          <w:lang w:val="en" w:eastAsia="en-AU"/>
        </w:rPr>
        <w:t>seek the Finance Minister’s approval to reduce its appropriations and increase entity B’s appropriations via the Budget process and next avail</w:t>
      </w:r>
      <w:r w:rsidR="00B376C7">
        <w:rPr>
          <w:rFonts w:ascii="Arial" w:eastAsia="Times New Roman" w:hAnsi="Arial" w:cs="Arial"/>
          <w:color w:val="212529"/>
          <w:lang w:val="en" w:eastAsia="en-AU"/>
        </w:rPr>
        <w:t xml:space="preserve">able appropriation Bills. </w:t>
      </w:r>
    </w:p>
    <w:p w14:paraId="67E3DB0D" w14:textId="76CCA8A6" w:rsidR="00AE6815" w:rsidRDefault="00240A08" w:rsidP="00F421B2">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 xml:space="preserve">Under </w:t>
      </w:r>
      <w:r w:rsidRPr="0067007D">
        <w:rPr>
          <w:rFonts w:ascii="Arial" w:eastAsia="Times New Roman" w:hAnsi="Arial" w:cs="Arial"/>
          <w:color w:val="212529"/>
          <w:lang w:val="en" w:eastAsia="en-AU"/>
        </w:rPr>
        <w:t xml:space="preserve">section 66 of the </w:t>
      </w:r>
      <w:hyperlink r:id="rId123" w:history="1">
        <w:r w:rsidRPr="00160E1A">
          <w:rPr>
            <w:rStyle w:val="Hyperlink"/>
            <w:i w:val="0"/>
          </w:rPr>
          <w:t>PGPA Act</w:t>
        </w:r>
      </w:hyperlink>
      <w:r w:rsidRPr="00240A08">
        <w:rPr>
          <w:rStyle w:val="Hyperlink"/>
          <w:i w:val="0"/>
          <w:u w:val="none"/>
        </w:rPr>
        <w:t xml:space="preserve">, </w:t>
      </w:r>
      <w:r>
        <w:rPr>
          <w:rFonts w:ascii="Arial" w:eastAsia="Times New Roman" w:hAnsi="Arial" w:cs="Arial"/>
          <w:color w:val="212529"/>
          <w:lang w:val="en" w:eastAsia="en-AU"/>
        </w:rPr>
        <w:t>in limited cases</w:t>
      </w:r>
      <w:r>
        <w:rPr>
          <w:rStyle w:val="Hyperlink"/>
          <w:i w:val="0"/>
          <w:u w:val="none"/>
        </w:rPr>
        <w:t xml:space="preserve">, </w:t>
      </w:r>
      <w:r w:rsidRPr="00240A08">
        <w:rPr>
          <w:rStyle w:val="Hyperlink"/>
          <w:i w:val="0"/>
          <w:u w:val="none"/>
        </w:rPr>
        <w:t>n</w:t>
      </w:r>
      <w:r w:rsidR="00AE6815" w:rsidRPr="00240A08">
        <w:rPr>
          <w:rFonts w:ascii="Arial" w:eastAsia="Times New Roman" w:hAnsi="Arial" w:cs="Arial"/>
          <w:color w:val="212529"/>
          <w:lang w:val="en" w:eastAsia="en-AU"/>
        </w:rPr>
        <w:t xml:space="preserve">on-financial </w:t>
      </w:r>
      <w:r w:rsidR="00AE6815" w:rsidRPr="0067007D">
        <w:rPr>
          <w:rFonts w:ascii="Arial" w:eastAsia="Times New Roman" w:hAnsi="Arial" w:cs="Arial"/>
          <w:color w:val="212529"/>
          <w:lang w:val="en" w:eastAsia="en-AU"/>
        </w:rPr>
        <w:t>assets themselves can be g</w:t>
      </w:r>
      <w:r>
        <w:rPr>
          <w:rFonts w:ascii="Arial" w:eastAsia="Times New Roman" w:hAnsi="Arial" w:cs="Arial"/>
          <w:color w:val="212529"/>
          <w:lang w:val="en" w:eastAsia="en-AU"/>
        </w:rPr>
        <w:t xml:space="preserve">ifted away however </w:t>
      </w:r>
      <w:r w:rsidR="00AE6815" w:rsidRPr="0067007D">
        <w:rPr>
          <w:rFonts w:ascii="Arial" w:eastAsia="Times New Roman" w:hAnsi="Arial" w:cs="Arial"/>
          <w:color w:val="212529"/>
          <w:lang w:val="en" w:eastAsia="en-AU"/>
        </w:rPr>
        <w:t xml:space="preserve">appropriations can only be transferred between NCEs using the provisions of section 75 of the </w:t>
      </w:r>
      <w:hyperlink r:id="rId124" w:history="1">
        <w:r w:rsidR="00BB27C0" w:rsidRPr="00160E1A">
          <w:rPr>
            <w:rStyle w:val="Hyperlink"/>
            <w:i w:val="0"/>
          </w:rPr>
          <w:t>PGPA Act</w:t>
        </w:r>
      </w:hyperlink>
      <w:r w:rsidR="00AE6815" w:rsidRPr="0067007D">
        <w:rPr>
          <w:rFonts w:ascii="Arial" w:eastAsia="Times New Roman" w:hAnsi="Arial" w:cs="Arial"/>
          <w:color w:val="212529"/>
          <w:lang w:val="en" w:eastAsia="en-AU"/>
        </w:rPr>
        <w:t>, or where the policy authority allows the reduction of the appropriations of one entity and the increase of another’s.</w:t>
      </w:r>
    </w:p>
    <w:p w14:paraId="246EF027" w14:textId="558ED683" w:rsidR="00240A08" w:rsidRPr="0067007D" w:rsidRDefault="00240A08" w:rsidP="00240A08">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For more information,</w:t>
      </w:r>
      <w:r w:rsidR="00D819E9">
        <w:rPr>
          <w:rFonts w:ascii="Arial" w:eastAsia="Times New Roman" w:hAnsi="Arial" w:cs="Arial"/>
          <w:color w:val="212529"/>
          <w:lang w:val="en" w:eastAsia="en-AU"/>
        </w:rPr>
        <w:t xml:space="preserve"> </w:t>
      </w:r>
      <w:r w:rsidR="00E81A44">
        <w:rPr>
          <w:rFonts w:ascii="Arial" w:eastAsia="Times New Roman" w:hAnsi="Arial" w:cs="Arial"/>
          <w:color w:val="212529"/>
          <w:lang w:val="en" w:eastAsia="en-AU"/>
        </w:rPr>
        <w:t xml:space="preserve">please contact </w:t>
      </w:r>
      <w:r w:rsidRPr="0067007D">
        <w:rPr>
          <w:rFonts w:ascii="Arial" w:eastAsia="Times New Roman" w:hAnsi="Arial" w:cs="Arial"/>
          <w:color w:val="212529"/>
          <w:lang w:val="en" w:eastAsia="en-AU"/>
        </w:rPr>
        <w:t xml:space="preserve">your </w:t>
      </w:r>
      <w:r>
        <w:rPr>
          <w:rFonts w:ascii="Arial" w:eastAsia="Times New Roman" w:hAnsi="Arial" w:cs="Arial"/>
          <w:color w:val="212529"/>
          <w:lang w:val="en" w:eastAsia="en-AU"/>
        </w:rPr>
        <w:t>Finance AAU</w:t>
      </w:r>
      <w:r w:rsidR="00E81A44">
        <w:rPr>
          <w:rFonts w:ascii="Arial" w:eastAsia="Times New Roman" w:hAnsi="Arial" w:cs="Arial"/>
          <w:color w:val="212529"/>
          <w:lang w:val="en" w:eastAsia="en-AU"/>
        </w:rPr>
        <w:t xml:space="preserve"> for </w:t>
      </w:r>
      <w:r w:rsidR="00E40F83">
        <w:rPr>
          <w:rFonts w:ascii="Arial" w:eastAsia="Times New Roman" w:hAnsi="Arial" w:cs="Arial"/>
          <w:color w:val="212529"/>
          <w:lang w:val="en" w:eastAsia="en-AU"/>
        </w:rPr>
        <w:t xml:space="preserve">a copy of </w:t>
      </w:r>
      <w:r w:rsidR="00E81A44">
        <w:rPr>
          <w:rFonts w:ascii="Arial" w:eastAsia="Times New Roman" w:hAnsi="Arial" w:cs="Arial"/>
          <w:color w:val="212529"/>
          <w:lang w:val="en" w:eastAsia="en-AU"/>
        </w:rPr>
        <w:t>advice on capital budgeting</w:t>
      </w:r>
      <w:r>
        <w:rPr>
          <w:rFonts w:ascii="Arial" w:eastAsia="Times New Roman" w:hAnsi="Arial" w:cs="Arial"/>
          <w:color w:val="212529"/>
          <w:lang w:val="en" w:eastAsia="en-AU"/>
        </w:rPr>
        <w:t>.</w:t>
      </w:r>
    </w:p>
    <w:p w14:paraId="2B57654E" w14:textId="4BFA649B" w:rsidR="00AE6815" w:rsidRPr="00906DC5" w:rsidRDefault="00AE6815" w:rsidP="00B376C7">
      <w:pPr>
        <w:pStyle w:val="FAQs"/>
        <w:rPr>
          <w:szCs w:val="22"/>
        </w:rPr>
      </w:pPr>
      <w:r w:rsidRPr="00906DC5">
        <w:rPr>
          <w:szCs w:val="22"/>
        </w:rPr>
        <w:t>Can an NCE reclassify amo</w:t>
      </w:r>
      <w:r w:rsidR="00B553A9" w:rsidRPr="00906DC5">
        <w:rPr>
          <w:szCs w:val="22"/>
        </w:rPr>
        <w:t>unts retained as receipts as a d</w:t>
      </w:r>
      <w:r w:rsidR="00F43709" w:rsidRPr="00906DC5">
        <w:rPr>
          <w:szCs w:val="22"/>
        </w:rPr>
        <w:t>epartmental capital b</w:t>
      </w:r>
      <w:r w:rsidRPr="00906DC5">
        <w:rPr>
          <w:szCs w:val="22"/>
        </w:rPr>
        <w:t>udget?</w:t>
      </w:r>
    </w:p>
    <w:p w14:paraId="4332CD04" w14:textId="77777777" w:rsidR="00F43709" w:rsidRDefault="00B553A9" w:rsidP="00F421B2">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No—t</w:t>
      </w:r>
      <w:r w:rsidR="00AE6815" w:rsidRPr="0067007D">
        <w:rPr>
          <w:rFonts w:ascii="Arial" w:eastAsia="Times New Roman" w:hAnsi="Arial" w:cs="Arial"/>
          <w:color w:val="212529"/>
          <w:lang w:val="en" w:eastAsia="en-AU"/>
        </w:rPr>
        <w:t>he receipts must continue to be reported as departmental revenue, and reported as an adjustment to the entity’s dep</w:t>
      </w:r>
      <w:r w:rsidR="00F43709">
        <w:rPr>
          <w:rFonts w:ascii="Arial" w:eastAsia="Times New Roman" w:hAnsi="Arial" w:cs="Arial"/>
          <w:color w:val="212529"/>
          <w:lang w:val="en" w:eastAsia="en-AU"/>
        </w:rPr>
        <w:t>artmental appropriation in the a</w:t>
      </w:r>
      <w:r w:rsidR="00AE6815" w:rsidRPr="0067007D">
        <w:rPr>
          <w:rFonts w:ascii="Arial" w:eastAsia="Times New Roman" w:hAnsi="Arial" w:cs="Arial"/>
          <w:color w:val="212529"/>
          <w:lang w:val="en" w:eastAsia="en-AU"/>
        </w:rPr>
        <w:t xml:space="preserve">ppropriations note to the financial statements. </w:t>
      </w:r>
    </w:p>
    <w:p w14:paraId="074A549F" w14:textId="77777777" w:rsidR="00B376C7" w:rsidRDefault="00AE6815" w:rsidP="00B376C7">
      <w:pPr>
        <w:spacing w:after="100" w:afterAutospacing="1" w:line="240" w:lineRule="auto"/>
        <w:ind w:left="360"/>
        <w:rPr>
          <w:rFonts w:ascii="Arial" w:eastAsia="Times New Roman" w:hAnsi="Arial" w:cs="Arial"/>
          <w:color w:val="212529"/>
          <w:lang w:val="en" w:eastAsia="en-AU"/>
        </w:rPr>
      </w:pPr>
      <w:r w:rsidRPr="0067007D">
        <w:rPr>
          <w:rFonts w:ascii="Arial" w:eastAsia="Times New Roman" w:hAnsi="Arial" w:cs="Arial"/>
          <w:color w:val="212529"/>
          <w:lang w:val="en" w:eastAsia="en-AU"/>
        </w:rPr>
        <w:t>Entities can however spend the receipts retained on the departmental operations relating to the receipt, including capital expenditure. Entities should refer to the relevant capital budgeting policy.</w:t>
      </w:r>
    </w:p>
    <w:p w14:paraId="44E87F33" w14:textId="18293B6E" w:rsidR="0067007D" w:rsidRPr="00B376C7" w:rsidRDefault="00B376C7" w:rsidP="00B376C7">
      <w:pPr>
        <w:spacing w:after="100" w:afterAutospacing="1" w:line="240" w:lineRule="auto"/>
        <w:ind w:left="360"/>
        <w:rPr>
          <w:rFonts w:ascii="Arial" w:eastAsia="Times New Roman" w:hAnsi="Arial" w:cs="Arial"/>
          <w:color w:val="212529"/>
          <w:lang w:val="en" w:eastAsia="en-AU"/>
        </w:rPr>
      </w:pPr>
      <w:r>
        <w:rPr>
          <w:rFonts w:ascii="Arial" w:eastAsia="Times New Roman" w:hAnsi="Arial" w:cs="Arial"/>
          <w:color w:val="212529"/>
          <w:lang w:val="en" w:eastAsia="en-AU"/>
        </w:rPr>
        <w:t>For more information,</w:t>
      </w:r>
      <w:r w:rsidRPr="0067007D">
        <w:rPr>
          <w:rFonts w:ascii="Arial" w:eastAsia="Times New Roman" w:hAnsi="Arial" w:cs="Arial"/>
          <w:color w:val="212529"/>
          <w:lang w:val="en" w:eastAsia="en-AU"/>
        </w:rPr>
        <w:t xml:space="preserve"> see s</w:t>
      </w:r>
      <w:r>
        <w:rPr>
          <w:rFonts w:ascii="Arial" w:eastAsia="Times New Roman" w:hAnsi="Arial" w:cs="Arial"/>
          <w:color w:val="212529"/>
          <w:lang w:val="en" w:eastAsia="en-AU"/>
        </w:rPr>
        <w:t xml:space="preserve">ections 37(a), 43(b) of the </w:t>
      </w:r>
      <w:hyperlink r:id="rId125" w:history="1">
        <w:r w:rsidRPr="004152D8">
          <w:rPr>
            <w:rStyle w:val="Hyperlink"/>
            <w:bCs/>
            <w:i w:val="0"/>
            <w:lang w:val="en" w:eastAsia="en-AU"/>
          </w:rPr>
          <w:t>FRR</w:t>
        </w:r>
      </w:hyperlink>
      <w:r w:rsidRPr="0067007D">
        <w:rPr>
          <w:rFonts w:ascii="Arial" w:eastAsia="Times New Roman" w:hAnsi="Arial" w:cs="Arial"/>
          <w:color w:val="212529"/>
          <w:lang w:val="en" w:eastAsia="en-AU"/>
        </w:rPr>
        <w:t xml:space="preserve"> and associated guidance on the Finance website.</w:t>
      </w:r>
      <w:r w:rsidR="0067007D">
        <w:rPr>
          <w:rFonts w:ascii="Arial" w:eastAsia="Times New Roman" w:hAnsi="Arial" w:cs="Arial"/>
          <w:color w:val="212529"/>
          <w:sz w:val="36"/>
          <w:szCs w:val="36"/>
          <w:lang w:val="en" w:eastAsia="en-AU"/>
        </w:rPr>
        <w:br w:type="page"/>
      </w:r>
    </w:p>
    <w:p w14:paraId="16BB3A72" w14:textId="31919552" w:rsidR="00AE6815" w:rsidRPr="008F7335" w:rsidRDefault="00D94AF2" w:rsidP="008F7335">
      <w:pPr>
        <w:pStyle w:val="Heading1"/>
        <w:shd w:val="clear" w:color="auto" w:fill="BDDCDF" w:themeFill="accent1"/>
      </w:pPr>
      <w:bookmarkStart w:id="75" w:name="_Toc46302471"/>
      <w:r>
        <w:lastRenderedPageBreak/>
        <w:t>Appendix 2</w:t>
      </w:r>
      <w:r w:rsidR="008F7335">
        <w:t xml:space="preserve">. </w:t>
      </w:r>
      <w:r w:rsidR="00AE6815" w:rsidRPr="008F7335">
        <w:t>Abbreviations</w:t>
      </w:r>
      <w:bookmarkEnd w:id="75"/>
    </w:p>
    <w:tbl>
      <w:tblPr>
        <w:tblW w:w="9760" w:type="dxa"/>
        <w:tblCellMar>
          <w:top w:w="15" w:type="dxa"/>
          <w:left w:w="15" w:type="dxa"/>
          <w:bottom w:w="15" w:type="dxa"/>
          <w:right w:w="15" w:type="dxa"/>
        </w:tblCellMar>
        <w:tblLook w:val="04A0" w:firstRow="1" w:lastRow="0" w:firstColumn="1" w:lastColumn="0" w:noHBand="0" w:noVBand="1"/>
        <w:tblCaption w:val="Abbreviations"/>
        <w:tblDescription w:val="This table lists the abbreviations used in this guide and provides the full title for each."/>
      </w:tblPr>
      <w:tblGrid>
        <w:gridCol w:w="1843"/>
        <w:gridCol w:w="7917"/>
      </w:tblGrid>
      <w:tr w:rsidR="00AE6815" w:rsidRPr="00C1364C" w14:paraId="61716F0C" w14:textId="77777777" w:rsidTr="00722A4D">
        <w:tc>
          <w:tcPr>
            <w:tcW w:w="1843" w:type="dxa"/>
            <w:vAlign w:val="center"/>
            <w:hideMark/>
          </w:tcPr>
          <w:p w14:paraId="3B1E3C02" w14:textId="2801067E" w:rsidR="00AE6815" w:rsidRPr="003948BE" w:rsidRDefault="00CB4BF1" w:rsidP="000B15B1">
            <w:pPr>
              <w:spacing w:after="0" w:line="240" w:lineRule="auto"/>
              <w:rPr>
                <w:rFonts w:ascii="Arial" w:eastAsia="Times New Roman" w:hAnsi="Arial" w:cs="Arial"/>
                <w:color w:val="212529"/>
                <w:lang w:eastAsia="en-AU"/>
              </w:rPr>
            </w:pPr>
            <w:hyperlink r:id="rId126" w:anchor="-abbreviations-used-" w:history="1"/>
            <w:r w:rsidR="00AE6815" w:rsidRPr="003948BE">
              <w:rPr>
                <w:rFonts w:ascii="Arial" w:eastAsia="Times New Roman" w:hAnsi="Arial" w:cs="Arial"/>
                <w:color w:val="212529"/>
                <w:lang w:eastAsia="en-AU"/>
              </w:rPr>
              <w:t>AAU</w:t>
            </w:r>
          </w:p>
        </w:tc>
        <w:tc>
          <w:tcPr>
            <w:tcW w:w="7917" w:type="dxa"/>
            <w:vAlign w:val="center"/>
            <w:hideMark/>
          </w:tcPr>
          <w:p w14:paraId="11F0E442" w14:textId="77777777" w:rsidR="00AE6815" w:rsidRPr="003948BE" w:rsidRDefault="00AE6815"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Agency Advice Unit (in Finance)</w:t>
            </w:r>
          </w:p>
        </w:tc>
      </w:tr>
      <w:tr w:rsidR="00AE6815" w:rsidRPr="00C1364C" w14:paraId="2E5FADDC" w14:textId="77777777" w:rsidTr="00722A4D">
        <w:tc>
          <w:tcPr>
            <w:tcW w:w="1843" w:type="dxa"/>
            <w:vAlign w:val="center"/>
            <w:hideMark/>
          </w:tcPr>
          <w:p w14:paraId="16D1161E"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BP4</w:t>
            </w:r>
          </w:p>
        </w:tc>
        <w:tc>
          <w:tcPr>
            <w:tcW w:w="7917" w:type="dxa"/>
            <w:vAlign w:val="center"/>
            <w:hideMark/>
          </w:tcPr>
          <w:p w14:paraId="6E4A2AFA" w14:textId="65EC0C2E" w:rsidR="00AE6815" w:rsidRPr="00904B9C" w:rsidRDefault="00CB4BF1" w:rsidP="00B94754">
            <w:pPr>
              <w:spacing w:after="0" w:line="240" w:lineRule="auto"/>
              <w:ind w:left="125" w:right="271"/>
              <w:rPr>
                <w:rStyle w:val="Hyperlink"/>
              </w:rPr>
            </w:pPr>
            <w:hyperlink r:id="rId127" w:history="1">
              <w:r w:rsidR="00AE6815" w:rsidRPr="00904B9C">
                <w:rPr>
                  <w:rStyle w:val="Hyperlink"/>
                  <w:lang w:eastAsia="en-AU"/>
                </w:rPr>
                <w:t>Budget Paper No. 4</w:t>
              </w:r>
              <w:r w:rsidR="00904B9C" w:rsidRPr="00904B9C">
                <w:rPr>
                  <w:rStyle w:val="Hyperlink"/>
                  <w:lang w:eastAsia="en-AU"/>
                </w:rPr>
                <w:t xml:space="preserve"> – Agency Resourcing</w:t>
              </w:r>
            </w:hyperlink>
          </w:p>
        </w:tc>
      </w:tr>
      <w:tr w:rsidR="00AE6815" w:rsidRPr="00C1364C" w14:paraId="3FACAE49" w14:textId="77777777" w:rsidTr="00722A4D">
        <w:tc>
          <w:tcPr>
            <w:tcW w:w="1843" w:type="dxa"/>
            <w:vAlign w:val="center"/>
            <w:hideMark/>
          </w:tcPr>
          <w:p w14:paraId="279DA046"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CBMS</w:t>
            </w:r>
          </w:p>
        </w:tc>
        <w:tc>
          <w:tcPr>
            <w:tcW w:w="7917" w:type="dxa"/>
            <w:vAlign w:val="center"/>
            <w:hideMark/>
          </w:tcPr>
          <w:p w14:paraId="651A5E9E" w14:textId="77777777" w:rsidR="00AE6815" w:rsidRPr="003948BE" w:rsidRDefault="00AE6815"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Central Budget Management System</w:t>
            </w:r>
          </w:p>
        </w:tc>
      </w:tr>
      <w:tr w:rsidR="001A59D0" w:rsidRPr="00C1364C" w14:paraId="469E9880" w14:textId="77777777" w:rsidTr="00722A4D">
        <w:tc>
          <w:tcPr>
            <w:tcW w:w="1843" w:type="dxa"/>
            <w:vAlign w:val="center"/>
          </w:tcPr>
          <w:p w14:paraId="22A0D9B7" w14:textId="42FADD54" w:rsidR="001A59D0" w:rsidRPr="003948BE" w:rsidRDefault="001A59D0" w:rsidP="001A59D0">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CCE</w:t>
            </w:r>
          </w:p>
        </w:tc>
        <w:tc>
          <w:tcPr>
            <w:tcW w:w="7917" w:type="dxa"/>
            <w:vAlign w:val="center"/>
          </w:tcPr>
          <w:p w14:paraId="0FCD00A6" w14:textId="2D09B576" w:rsidR="001A59D0" w:rsidRPr="003948BE" w:rsidRDefault="001A59D0"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Corporate Commonwealth entity</w:t>
            </w:r>
          </w:p>
        </w:tc>
      </w:tr>
      <w:tr w:rsidR="00AE6815" w:rsidRPr="00C1364C" w14:paraId="4F57A8A1" w14:textId="77777777" w:rsidTr="00722A4D">
        <w:tc>
          <w:tcPr>
            <w:tcW w:w="1843" w:type="dxa"/>
            <w:vAlign w:val="center"/>
            <w:hideMark/>
          </w:tcPr>
          <w:p w14:paraId="5EA70D05"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CFO</w:t>
            </w:r>
          </w:p>
        </w:tc>
        <w:tc>
          <w:tcPr>
            <w:tcW w:w="7917" w:type="dxa"/>
            <w:vAlign w:val="center"/>
            <w:hideMark/>
          </w:tcPr>
          <w:p w14:paraId="49AB653D" w14:textId="77777777" w:rsidR="00AE6815" w:rsidRPr="003948BE" w:rsidRDefault="00AE6815"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Chief Financial Officer</w:t>
            </w:r>
          </w:p>
        </w:tc>
      </w:tr>
      <w:tr w:rsidR="00AE6815" w:rsidRPr="00C1364C" w14:paraId="0845055E" w14:textId="77777777" w:rsidTr="00722A4D">
        <w:tc>
          <w:tcPr>
            <w:tcW w:w="1843" w:type="dxa"/>
            <w:vAlign w:val="center"/>
            <w:hideMark/>
          </w:tcPr>
          <w:p w14:paraId="70ED0FA9"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CFS</w:t>
            </w:r>
          </w:p>
        </w:tc>
        <w:tc>
          <w:tcPr>
            <w:tcW w:w="7917" w:type="dxa"/>
            <w:vAlign w:val="center"/>
            <w:hideMark/>
          </w:tcPr>
          <w:p w14:paraId="517ECB2B" w14:textId="77777777" w:rsidR="00AE6815" w:rsidRPr="003948BE" w:rsidRDefault="00AE6815"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Consolidated Financial Statements</w:t>
            </w:r>
          </w:p>
        </w:tc>
      </w:tr>
      <w:tr w:rsidR="00AE6815" w:rsidRPr="00C1364C" w14:paraId="36AF521E" w14:textId="77777777" w:rsidTr="00722A4D">
        <w:tc>
          <w:tcPr>
            <w:tcW w:w="1843" w:type="dxa"/>
            <w:vAlign w:val="center"/>
            <w:hideMark/>
          </w:tcPr>
          <w:p w14:paraId="5AEBAB55"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CRF</w:t>
            </w:r>
          </w:p>
        </w:tc>
        <w:tc>
          <w:tcPr>
            <w:tcW w:w="7917" w:type="dxa"/>
            <w:vAlign w:val="center"/>
            <w:hideMark/>
          </w:tcPr>
          <w:p w14:paraId="1E18C0F6" w14:textId="77777777" w:rsidR="00AE6815" w:rsidRPr="003948BE" w:rsidRDefault="00AE6815"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Consolidated Revenue Fund</w:t>
            </w:r>
          </w:p>
        </w:tc>
      </w:tr>
      <w:tr w:rsidR="001A59D0" w:rsidRPr="00C1364C" w14:paraId="4E54A46A" w14:textId="77777777" w:rsidTr="00722A4D">
        <w:tc>
          <w:tcPr>
            <w:tcW w:w="1843" w:type="dxa"/>
            <w:vAlign w:val="center"/>
          </w:tcPr>
          <w:p w14:paraId="49968994" w14:textId="64CF471A" w:rsidR="001A59D0" w:rsidRPr="003948BE" w:rsidRDefault="001A59D0" w:rsidP="000B15B1">
            <w:pPr>
              <w:spacing w:after="0" w:line="240" w:lineRule="auto"/>
              <w:rPr>
                <w:rFonts w:ascii="Arial" w:eastAsia="Times New Roman" w:hAnsi="Arial" w:cs="Arial"/>
                <w:color w:val="212529"/>
                <w:lang w:eastAsia="en-AU"/>
              </w:rPr>
            </w:pPr>
            <w:r>
              <w:rPr>
                <w:rFonts w:ascii="Arial" w:eastAsia="Times New Roman" w:hAnsi="Arial" w:cs="Arial"/>
                <w:color w:val="212529"/>
                <w:lang w:eastAsia="en-AU"/>
              </w:rPr>
              <w:t>FBO</w:t>
            </w:r>
          </w:p>
        </w:tc>
        <w:tc>
          <w:tcPr>
            <w:tcW w:w="7917" w:type="dxa"/>
            <w:vAlign w:val="center"/>
          </w:tcPr>
          <w:p w14:paraId="2F28E136" w14:textId="083BC98F" w:rsidR="001A59D0" w:rsidRPr="003948BE" w:rsidRDefault="001A59D0" w:rsidP="00B94754">
            <w:pPr>
              <w:spacing w:after="0" w:line="240" w:lineRule="auto"/>
              <w:ind w:left="125" w:right="271"/>
              <w:rPr>
                <w:rFonts w:ascii="Arial" w:eastAsia="Times New Roman" w:hAnsi="Arial" w:cs="Arial"/>
                <w:color w:val="212529"/>
                <w:lang w:eastAsia="en-AU"/>
              </w:rPr>
            </w:pPr>
            <w:r>
              <w:rPr>
                <w:rFonts w:ascii="Arial" w:eastAsia="Times New Roman" w:hAnsi="Arial" w:cs="Arial"/>
                <w:color w:val="212529"/>
                <w:lang w:eastAsia="en-AU"/>
              </w:rPr>
              <w:t>Final Budget Outcome</w:t>
            </w:r>
          </w:p>
        </w:tc>
      </w:tr>
      <w:tr w:rsidR="001A59D0" w:rsidRPr="00C1364C" w14:paraId="28EAA214" w14:textId="77777777" w:rsidTr="00722A4D">
        <w:tc>
          <w:tcPr>
            <w:tcW w:w="1843" w:type="dxa"/>
            <w:vAlign w:val="center"/>
          </w:tcPr>
          <w:p w14:paraId="336EF015" w14:textId="4E5BD032" w:rsidR="001A59D0" w:rsidRPr="003948BE" w:rsidRDefault="001A59D0" w:rsidP="000B15B1">
            <w:pPr>
              <w:spacing w:after="0" w:line="240" w:lineRule="auto"/>
              <w:rPr>
                <w:rFonts w:ascii="Arial" w:eastAsia="Times New Roman" w:hAnsi="Arial" w:cs="Arial"/>
                <w:color w:val="212529"/>
                <w:lang w:eastAsia="en-AU"/>
              </w:rPr>
            </w:pPr>
            <w:r>
              <w:rPr>
                <w:rFonts w:ascii="Arial" w:eastAsia="Times New Roman" w:hAnsi="Arial" w:cs="Arial"/>
                <w:color w:val="212529"/>
                <w:lang w:eastAsia="en-AU"/>
              </w:rPr>
              <w:t>Finance</w:t>
            </w:r>
          </w:p>
        </w:tc>
        <w:tc>
          <w:tcPr>
            <w:tcW w:w="7917" w:type="dxa"/>
            <w:vAlign w:val="center"/>
          </w:tcPr>
          <w:p w14:paraId="41FD2E6B" w14:textId="3EF558F5" w:rsidR="001A59D0" w:rsidRDefault="001A59D0" w:rsidP="00B94754">
            <w:pPr>
              <w:spacing w:after="0" w:line="240" w:lineRule="auto"/>
              <w:ind w:left="125" w:right="271"/>
            </w:pPr>
            <w:r>
              <w:t>Department of Finance</w:t>
            </w:r>
          </w:p>
        </w:tc>
      </w:tr>
      <w:tr w:rsidR="001A59D0" w:rsidRPr="00C1364C" w14:paraId="3D0A6B4A" w14:textId="77777777" w:rsidTr="00722A4D">
        <w:tc>
          <w:tcPr>
            <w:tcW w:w="1843" w:type="dxa"/>
            <w:vAlign w:val="center"/>
          </w:tcPr>
          <w:p w14:paraId="2DD11798" w14:textId="07AF28F3" w:rsidR="001A59D0" w:rsidRDefault="001A59D0" w:rsidP="000B15B1">
            <w:pPr>
              <w:spacing w:after="0" w:line="240" w:lineRule="auto"/>
              <w:rPr>
                <w:rFonts w:ascii="Arial" w:eastAsia="Times New Roman" w:hAnsi="Arial" w:cs="Arial"/>
                <w:color w:val="212529"/>
                <w:lang w:eastAsia="en-AU"/>
              </w:rPr>
            </w:pPr>
            <w:r>
              <w:rPr>
                <w:rFonts w:ascii="Arial" w:eastAsia="Times New Roman" w:hAnsi="Arial" w:cs="Arial"/>
                <w:color w:val="212529"/>
                <w:lang w:eastAsia="en-AU"/>
              </w:rPr>
              <w:t>Finance Minister</w:t>
            </w:r>
          </w:p>
        </w:tc>
        <w:tc>
          <w:tcPr>
            <w:tcW w:w="7917" w:type="dxa"/>
            <w:vAlign w:val="center"/>
          </w:tcPr>
          <w:p w14:paraId="4982E14F" w14:textId="557FE831" w:rsidR="001A59D0" w:rsidRDefault="001A59D0" w:rsidP="00B94754">
            <w:pPr>
              <w:spacing w:after="0" w:line="240" w:lineRule="auto"/>
              <w:ind w:left="125" w:right="271"/>
            </w:pPr>
            <w:r>
              <w:t>Minister for Finance</w:t>
            </w:r>
          </w:p>
        </w:tc>
      </w:tr>
      <w:tr w:rsidR="00AE6815" w:rsidRPr="00C1364C" w14:paraId="04C322B0" w14:textId="77777777" w:rsidTr="00722A4D">
        <w:tc>
          <w:tcPr>
            <w:tcW w:w="1843" w:type="dxa"/>
            <w:vAlign w:val="center"/>
            <w:hideMark/>
          </w:tcPr>
          <w:p w14:paraId="7D90A18D"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FOI Act</w:t>
            </w:r>
          </w:p>
        </w:tc>
        <w:tc>
          <w:tcPr>
            <w:tcW w:w="7917" w:type="dxa"/>
            <w:vAlign w:val="center"/>
            <w:hideMark/>
          </w:tcPr>
          <w:p w14:paraId="3092A4A5" w14:textId="550A2799" w:rsidR="00AE6815" w:rsidRPr="00F61AF7" w:rsidRDefault="00CB4BF1" w:rsidP="00B94754">
            <w:pPr>
              <w:spacing w:after="0" w:line="240" w:lineRule="auto"/>
              <w:ind w:left="125" w:right="271"/>
              <w:rPr>
                <w:rStyle w:val="Hyperlink"/>
              </w:rPr>
            </w:pPr>
            <w:hyperlink r:id="rId128" w:history="1">
              <w:r w:rsidR="00AE6815" w:rsidRPr="00F61AF7">
                <w:rPr>
                  <w:rStyle w:val="Hyperlink"/>
                  <w:lang w:eastAsia="en-AU"/>
                </w:rPr>
                <w:t>Freedom of Information Act 1982</w:t>
              </w:r>
            </w:hyperlink>
          </w:p>
        </w:tc>
      </w:tr>
      <w:tr w:rsidR="00AE6815" w:rsidRPr="00C1364C" w14:paraId="2EA3F4B8" w14:textId="77777777" w:rsidTr="00722A4D">
        <w:tc>
          <w:tcPr>
            <w:tcW w:w="1843" w:type="dxa"/>
            <w:vAlign w:val="center"/>
            <w:hideMark/>
          </w:tcPr>
          <w:p w14:paraId="4D167E1F"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FRR</w:t>
            </w:r>
          </w:p>
        </w:tc>
        <w:tc>
          <w:tcPr>
            <w:tcW w:w="7917" w:type="dxa"/>
            <w:vAlign w:val="center"/>
            <w:hideMark/>
          </w:tcPr>
          <w:p w14:paraId="72F15056" w14:textId="22591866" w:rsidR="00AE6815" w:rsidRPr="00F61AF7" w:rsidRDefault="00CB4BF1" w:rsidP="00B94754">
            <w:pPr>
              <w:spacing w:after="0" w:line="240" w:lineRule="auto"/>
              <w:ind w:left="125" w:right="271"/>
              <w:rPr>
                <w:rStyle w:val="Hyperlink"/>
              </w:rPr>
            </w:pPr>
            <w:hyperlink r:id="rId129" w:history="1">
              <w:r w:rsidR="00F61AF7" w:rsidRPr="00F61AF7">
                <w:rPr>
                  <w:rStyle w:val="Hyperlink"/>
                </w:rPr>
                <w:t>Public Governance, Performance and Accountability (Financial Reporting) Rule 2015</w:t>
              </w:r>
            </w:hyperlink>
          </w:p>
        </w:tc>
      </w:tr>
      <w:tr w:rsidR="00AE6815" w:rsidRPr="00C1364C" w14:paraId="0C996047" w14:textId="77777777" w:rsidTr="00722A4D">
        <w:tc>
          <w:tcPr>
            <w:tcW w:w="1843" w:type="dxa"/>
            <w:vAlign w:val="center"/>
            <w:hideMark/>
          </w:tcPr>
          <w:p w14:paraId="62F00BE3"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NCE</w:t>
            </w:r>
          </w:p>
        </w:tc>
        <w:tc>
          <w:tcPr>
            <w:tcW w:w="7917" w:type="dxa"/>
            <w:vAlign w:val="center"/>
            <w:hideMark/>
          </w:tcPr>
          <w:p w14:paraId="2E04E386" w14:textId="77777777" w:rsidR="00AE6815" w:rsidRPr="003948BE" w:rsidRDefault="00AE6815"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Non-corporate Commonwealth entity</w:t>
            </w:r>
          </w:p>
        </w:tc>
      </w:tr>
      <w:tr w:rsidR="00AE6815" w:rsidRPr="00C1364C" w14:paraId="6E3D3114" w14:textId="77777777" w:rsidTr="00722A4D">
        <w:tc>
          <w:tcPr>
            <w:tcW w:w="1843" w:type="dxa"/>
            <w:vAlign w:val="center"/>
            <w:hideMark/>
          </w:tcPr>
          <w:p w14:paraId="730F3A0A"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OPA</w:t>
            </w:r>
          </w:p>
        </w:tc>
        <w:tc>
          <w:tcPr>
            <w:tcW w:w="7917" w:type="dxa"/>
            <w:vAlign w:val="center"/>
            <w:hideMark/>
          </w:tcPr>
          <w:p w14:paraId="2A327EF4" w14:textId="77777777" w:rsidR="00AE6815" w:rsidRPr="003948BE" w:rsidRDefault="00AE6815"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Official Public Account</w:t>
            </w:r>
          </w:p>
        </w:tc>
      </w:tr>
      <w:tr w:rsidR="00AE6815" w:rsidRPr="00C1364C" w14:paraId="1F08875E" w14:textId="77777777" w:rsidTr="00722A4D">
        <w:tc>
          <w:tcPr>
            <w:tcW w:w="1843" w:type="dxa"/>
            <w:vAlign w:val="center"/>
            <w:hideMark/>
          </w:tcPr>
          <w:p w14:paraId="3C90AF52" w14:textId="76257DAC"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PB</w:t>
            </w:r>
            <w:r w:rsidR="0050652B">
              <w:rPr>
                <w:rFonts w:ascii="Arial" w:eastAsia="Times New Roman" w:hAnsi="Arial" w:cs="Arial"/>
                <w:color w:val="212529"/>
                <w:lang w:eastAsia="en-AU"/>
              </w:rPr>
              <w:t xml:space="preserve"> </w:t>
            </w:r>
            <w:r w:rsidRPr="003948BE">
              <w:rPr>
                <w:rFonts w:ascii="Arial" w:eastAsia="Times New Roman" w:hAnsi="Arial" w:cs="Arial"/>
                <w:color w:val="212529"/>
                <w:lang w:eastAsia="en-AU"/>
              </w:rPr>
              <w:t>S</w:t>
            </w:r>
            <w:r w:rsidR="0050652B">
              <w:rPr>
                <w:rFonts w:ascii="Arial" w:eastAsia="Times New Roman" w:hAnsi="Arial" w:cs="Arial"/>
                <w:color w:val="212529"/>
                <w:lang w:eastAsia="en-AU"/>
              </w:rPr>
              <w:t>tatements</w:t>
            </w:r>
          </w:p>
        </w:tc>
        <w:tc>
          <w:tcPr>
            <w:tcW w:w="7917" w:type="dxa"/>
            <w:vAlign w:val="center"/>
            <w:hideMark/>
          </w:tcPr>
          <w:p w14:paraId="15A2BBBA" w14:textId="77777777" w:rsidR="00AE6815" w:rsidRPr="003948BE" w:rsidRDefault="00AE6815" w:rsidP="00B94754">
            <w:pPr>
              <w:spacing w:after="0" w:line="240" w:lineRule="auto"/>
              <w:ind w:left="125" w:right="271"/>
              <w:rPr>
                <w:rFonts w:ascii="Arial" w:eastAsia="Times New Roman" w:hAnsi="Arial" w:cs="Arial"/>
                <w:color w:val="212529"/>
                <w:lang w:eastAsia="en-AU"/>
              </w:rPr>
            </w:pPr>
            <w:r w:rsidRPr="003948BE">
              <w:rPr>
                <w:rFonts w:ascii="Arial" w:eastAsia="Times New Roman" w:hAnsi="Arial" w:cs="Arial"/>
                <w:color w:val="212529"/>
                <w:lang w:eastAsia="en-AU"/>
              </w:rPr>
              <w:t>Portfolio Budget Statement</w:t>
            </w:r>
          </w:p>
        </w:tc>
      </w:tr>
      <w:tr w:rsidR="00AE6815" w:rsidRPr="00C1364C" w14:paraId="40FF643B" w14:textId="77777777" w:rsidTr="00722A4D">
        <w:tc>
          <w:tcPr>
            <w:tcW w:w="1843" w:type="dxa"/>
            <w:vAlign w:val="center"/>
            <w:hideMark/>
          </w:tcPr>
          <w:p w14:paraId="253DEEDA" w14:textId="77777777" w:rsidR="00AE6815" w:rsidRPr="003948BE" w:rsidRDefault="00AE6815" w:rsidP="000B15B1">
            <w:pPr>
              <w:spacing w:after="0" w:line="240" w:lineRule="auto"/>
              <w:rPr>
                <w:rFonts w:ascii="Arial" w:eastAsia="Times New Roman" w:hAnsi="Arial" w:cs="Arial"/>
                <w:color w:val="212529"/>
                <w:lang w:eastAsia="en-AU"/>
              </w:rPr>
            </w:pPr>
            <w:r w:rsidRPr="003948BE">
              <w:rPr>
                <w:rFonts w:ascii="Arial" w:eastAsia="Times New Roman" w:hAnsi="Arial" w:cs="Arial"/>
                <w:color w:val="212529"/>
                <w:lang w:eastAsia="en-AU"/>
              </w:rPr>
              <w:t>PGPA Act</w:t>
            </w:r>
          </w:p>
        </w:tc>
        <w:tc>
          <w:tcPr>
            <w:tcW w:w="7917" w:type="dxa"/>
            <w:vAlign w:val="center"/>
            <w:hideMark/>
          </w:tcPr>
          <w:p w14:paraId="5400E288" w14:textId="77777777" w:rsidR="00AE6815" w:rsidRPr="00904B9C" w:rsidRDefault="00CB4BF1" w:rsidP="00B94754">
            <w:pPr>
              <w:spacing w:after="0" w:line="240" w:lineRule="auto"/>
              <w:ind w:left="125" w:right="271"/>
              <w:rPr>
                <w:rStyle w:val="Hyperlink"/>
              </w:rPr>
            </w:pPr>
            <w:hyperlink r:id="rId130" w:tgtFrame="_blank" w:history="1">
              <w:r w:rsidR="00AE6815" w:rsidRPr="00904B9C">
                <w:rPr>
                  <w:rStyle w:val="Hyperlink"/>
                </w:rPr>
                <w:t>Public Governance, Performance and Accountability Act 2013</w:t>
              </w:r>
            </w:hyperlink>
            <w:r w:rsidR="00AE6815" w:rsidRPr="00904B9C">
              <w:rPr>
                <w:rStyle w:val="Hyperlink"/>
              </w:rPr>
              <w:t xml:space="preserve"> </w:t>
            </w:r>
          </w:p>
        </w:tc>
      </w:tr>
      <w:tr w:rsidR="001A59D0" w:rsidRPr="00C1364C" w14:paraId="482C6A42" w14:textId="77777777" w:rsidTr="00722A4D">
        <w:tc>
          <w:tcPr>
            <w:tcW w:w="1843" w:type="dxa"/>
            <w:vAlign w:val="center"/>
          </w:tcPr>
          <w:p w14:paraId="2690C088" w14:textId="10D934A3" w:rsidR="001A59D0" w:rsidRPr="003948BE" w:rsidRDefault="001A59D0" w:rsidP="001A59D0">
            <w:pPr>
              <w:spacing w:after="0" w:line="240" w:lineRule="auto"/>
              <w:rPr>
                <w:rFonts w:ascii="Arial" w:eastAsia="Times New Roman" w:hAnsi="Arial" w:cs="Arial"/>
                <w:color w:val="212529"/>
                <w:lang w:eastAsia="en-AU"/>
              </w:rPr>
            </w:pPr>
            <w:r>
              <w:rPr>
                <w:rFonts w:ascii="Arial" w:eastAsia="Times New Roman" w:hAnsi="Arial" w:cs="Arial"/>
                <w:color w:val="212529"/>
                <w:lang w:eastAsia="en-AU"/>
              </w:rPr>
              <w:t>PGPA Rule</w:t>
            </w:r>
          </w:p>
        </w:tc>
        <w:tc>
          <w:tcPr>
            <w:tcW w:w="7917" w:type="dxa"/>
            <w:vAlign w:val="center"/>
          </w:tcPr>
          <w:p w14:paraId="1A36ECF0" w14:textId="69AD5C3B" w:rsidR="001A59D0" w:rsidRPr="001A59D0" w:rsidRDefault="00CB4BF1" w:rsidP="00B94754">
            <w:pPr>
              <w:spacing w:line="240" w:lineRule="auto"/>
              <w:ind w:left="125" w:right="271"/>
              <w:rPr>
                <w:rStyle w:val="Hyperlink"/>
              </w:rPr>
            </w:pPr>
            <w:hyperlink r:id="rId131" w:tgtFrame="_blank" w:history="1">
              <w:r w:rsidR="001A59D0" w:rsidRPr="001A59D0">
                <w:rPr>
                  <w:rStyle w:val="Hyperlink"/>
                </w:rPr>
                <w:t>Public Governance, Performance and Accountability Rule 2014</w:t>
              </w:r>
            </w:hyperlink>
            <w:r w:rsidR="001A59D0" w:rsidRPr="001A59D0">
              <w:rPr>
                <w:rStyle w:val="Hyperlink"/>
              </w:rPr>
              <w:t xml:space="preserve"> (PGPA Rule)</w:t>
            </w:r>
          </w:p>
        </w:tc>
      </w:tr>
      <w:tr w:rsidR="001A59D0" w:rsidRPr="00C1364C" w14:paraId="4E58528F" w14:textId="77777777" w:rsidTr="00722A4D">
        <w:tc>
          <w:tcPr>
            <w:tcW w:w="1843" w:type="dxa"/>
            <w:vAlign w:val="center"/>
          </w:tcPr>
          <w:p w14:paraId="464AF66B" w14:textId="12F238C2" w:rsidR="001A59D0" w:rsidRPr="003948BE" w:rsidRDefault="001A59D0" w:rsidP="001A59D0">
            <w:pPr>
              <w:spacing w:after="0" w:line="240" w:lineRule="auto"/>
              <w:rPr>
                <w:rFonts w:ascii="Arial" w:eastAsia="Times New Roman" w:hAnsi="Arial" w:cs="Arial"/>
                <w:color w:val="212529"/>
                <w:lang w:eastAsia="en-AU"/>
              </w:rPr>
            </w:pPr>
            <w:r>
              <w:rPr>
                <w:rFonts w:ascii="Arial" w:eastAsia="Times New Roman" w:hAnsi="Arial" w:cs="Arial"/>
                <w:color w:val="212529"/>
                <w:lang w:eastAsia="en-AU"/>
              </w:rPr>
              <w:t>RMG</w:t>
            </w:r>
          </w:p>
        </w:tc>
        <w:tc>
          <w:tcPr>
            <w:tcW w:w="7917" w:type="dxa"/>
            <w:vAlign w:val="center"/>
          </w:tcPr>
          <w:p w14:paraId="44DC3133" w14:textId="1734FCFC" w:rsidR="001A59D0" w:rsidRDefault="001A59D0" w:rsidP="00B94754">
            <w:pPr>
              <w:spacing w:after="0" w:line="240" w:lineRule="auto"/>
              <w:ind w:left="125" w:right="271"/>
            </w:pPr>
            <w:r>
              <w:t>Resource Management Guide</w:t>
            </w:r>
          </w:p>
        </w:tc>
      </w:tr>
    </w:tbl>
    <w:p w14:paraId="01201CF3" w14:textId="77777777" w:rsidR="00AE6815" w:rsidRPr="009561A0" w:rsidRDefault="00AE6815" w:rsidP="00D94E36"/>
    <w:sectPr w:rsidR="00AE6815" w:rsidRPr="009561A0" w:rsidSect="005B696C">
      <w:headerReference w:type="even" r:id="rId132"/>
      <w:headerReference w:type="default" r:id="rId133"/>
      <w:footerReference w:type="even" r:id="rId134"/>
      <w:footerReference w:type="default" r:id="rId135"/>
      <w:headerReference w:type="first" r:id="rId136"/>
      <w:footerReference w:type="first" r:id="rId137"/>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F7F2" w14:textId="77777777" w:rsidR="00FD53F5" w:rsidRDefault="00FD53F5" w:rsidP="00EF4574">
      <w:pPr>
        <w:spacing w:before="0" w:after="0" w:line="240" w:lineRule="auto"/>
      </w:pPr>
      <w:r>
        <w:separator/>
      </w:r>
    </w:p>
    <w:p w14:paraId="779FEF14" w14:textId="77777777" w:rsidR="00FD53F5" w:rsidRDefault="00FD53F5"/>
  </w:endnote>
  <w:endnote w:type="continuationSeparator" w:id="0">
    <w:p w14:paraId="20527CD4" w14:textId="77777777" w:rsidR="00FD53F5" w:rsidRDefault="00FD53F5" w:rsidP="00EF4574">
      <w:pPr>
        <w:spacing w:before="0" w:after="0" w:line="240" w:lineRule="auto"/>
      </w:pPr>
      <w:r>
        <w:continuationSeparator/>
      </w:r>
    </w:p>
    <w:p w14:paraId="178B9BCC" w14:textId="77777777" w:rsidR="00FD53F5" w:rsidRDefault="00FD5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2A3B" w14:textId="77777777" w:rsidR="00FD53F5" w:rsidRDefault="00FD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DC52" w14:textId="34537843" w:rsidR="00FD53F5" w:rsidRDefault="00FD53F5" w:rsidP="005B696C">
    <w:pPr>
      <w:pStyle w:val="Footer"/>
    </w:pPr>
    <w:r>
      <w:rPr>
        <w:noProof/>
        <w:lang w:eastAsia="en-AU"/>
      </w:rPr>
      <mc:AlternateContent>
        <mc:Choice Requires="wps">
          <w:drawing>
            <wp:anchor distT="0" distB="0" distL="114300" distR="114300" simplePos="0" relativeHeight="251655168" behindDoc="1" locked="0" layoutInCell="1" allowOverlap="1" wp14:anchorId="4B0178D1" wp14:editId="1284D154">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1DD6E" w14:textId="77777777" w:rsidR="00FD53F5" w:rsidRDefault="00FD53F5"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178D1" id="Oval 5" o:spid="_x0000_s1026" style="position:absolute;margin-left:499.35pt;margin-top:793.45pt;width:25.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14:paraId="4801DD6E" w14:textId="77777777" w:rsidR="00FD53F5" w:rsidRDefault="00FD53F5"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CB4BF1">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3FCA" w14:textId="77777777" w:rsidR="00FD53F5" w:rsidRDefault="00FD53F5">
    <w:pPr>
      <w:pStyle w:val="Footer"/>
    </w:pPr>
  </w:p>
  <w:p w14:paraId="6B380AE9" w14:textId="7D9BC0AF" w:rsidR="00FD53F5" w:rsidRDefault="00FD53F5" w:rsidP="000A6A8B">
    <w:pPr>
      <w:pStyle w:val="Footer"/>
      <w:jc w:val="center"/>
      <w:rPr>
        <w:rStyle w:val="Classification"/>
      </w:rPr>
    </w:pPr>
  </w:p>
  <w:p w14:paraId="60078760" w14:textId="77777777" w:rsidR="00FD53F5" w:rsidRPr="000A6A8B" w:rsidRDefault="00FD53F5"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F5F0E" w14:textId="77777777" w:rsidR="00FD53F5" w:rsidRDefault="00FD53F5" w:rsidP="0020122A">
      <w:pPr>
        <w:pStyle w:val="FootnoteSeparator"/>
      </w:pPr>
    </w:p>
  </w:footnote>
  <w:footnote w:type="continuationSeparator" w:id="0">
    <w:p w14:paraId="727CAF57" w14:textId="77777777" w:rsidR="00FD53F5" w:rsidRDefault="00FD53F5" w:rsidP="00EF4574">
      <w:pPr>
        <w:spacing w:before="0" w:after="0" w:line="240" w:lineRule="auto"/>
      </w:pPr>
      <w:r>
        <w:continuationSeparator/>
      </w:r>
    </w:p>
    <w:p w14:paraId="345F85BB" w14:textId="77777777" w:rsidR="00FD53F5" w:rsidRDefault="00FD53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E7CD" w14:textId="77777777" w:rsidR="00FD53F5" w:rsidRDefault="00FD5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8896" w14:textId="08032381" w:rsidR="00FD53F5" w:rsidRPr="00DB6D69" w:rsidRDefault="00FD53F5">
    <w:pPr>
      <w:pStyle w:val="Header"/>
      <w:rPr>
        <w:b/>
      </w:rPr>
    </w:pPr>
    <w:r w:rsidRPr="00DB6D69">
      <w:rPr>
        <w:b/>
      </w:rPr>
      <w:t>Department of Finance</w:t>
    </w:r>
  </w:p>
  <w:p w14:paraId="264DBDE8" w14:textId="10FCD530" w:rsidR="00FD53F5" w:rsidRDefault="00FD53F5">
    <w:pPr>
      <w:pStyle w:val="Header"/>
    </w:pPr>
    <w:r w:rsidRPr="00AE6815">
      <w:t>Retainable receipts (RMG 307)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EDD7" w14:textId="53B57CEF" w:rsidR="00FD53F5" w:rsidRDefault="00FD53F5" w:rsidP="000A6A8B">
    <w:pPr>
      <w:pStyle w:val="Header"/>
      <w:jc w:val="center"/>
    </w:pPr>
    <w:r>
      <w:rPr>
        <w:noProof/>
        <w:lang w:eastAsia="en-AU"/>
      </w:rPr>
      <w:drawing>
        <wp:anchor distT="0" distB="0" distL="114300" distR="114300" simplePos="0" relativeHeight="251658240" behindDoc="1" locked="0" layoutInCell="1" allowOverlap="1" wp14:anchorId="0C5F5078" wp14:editId="3F9ED3FA">
          <wp:simplePos x="0" y="0"/>
          <wp:positionH relativeFrom="page">
            <wp:posOffset>0</wp:posOffset>
          </wp:positionH>
          <wp:positionV relativeFrom="page">
            <wp:posOffset>0</wp:posOffset>
          </wp:positionV>
          <wp:extent cx="7559640" cy="10694160"/>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7216" behindDoc="1" locked="0" layoutInCell="1" allowOverlap="1" wp14:anchorId="4B36E321" wp14:editId="13B44381">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C34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" adj="21600" fillcolor="#92c5c5 [3205]" stroked="f" strokeweight="1pt"/>
          </w:pict>
        </mc:Fallback>
      </mc:AlternateContent>
    </w:r>
    <w:r>
      <w:rPr>
        <w:noProof/>
        <w:lang w:eastAsia="en-AU"/>
      </w:rPr>
      <mc:AlternateContent>
        <mc:Choice Requires="wps">
          <w:drawing>
            <wp:anchor distT="0" distB="0" distL="114300" distR="114300" simplePos="0" relativeHeight="251656192" behindDoc="1" locked="0" layoutInCell="1" allowOverlap="1" wp14:anchorId="058E6F87" wp14:editId="44594258">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EF2AC" id="Rectangle 2" o:spid="_x0000_s1026" style="position:absolute;margin-left:-49.9pt;margin-top:206.65pt;width:558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" fillcolor="#bddcdf [3204]" stroked="f" strokeweight="1pt"/>
          </w:pict>
        </mc:Fallback>
      </mc:AlternateContent>
    </w:r>
    <w:r>
      <w:rPr>
        <w:noProof/>
        <w:lang w:eastAsia="en-AU"/>
      </w:rPr>
      <w:drawing>
        <wp:anchor distT="0" distB="0" distL="114300" distR="114300" simplePos="0" relativeHeight="251659264" behindDoc="0" locked="0" layoutInCell="1" allowOverlap="1" wp14:anchorId="2F52FB91" wp14:editId="1D89BC19">
          <wp:simplePos x="0" y="0"/>
          <wp:positionH relativeFrom="page">
            <wp:posOffset>900430</wp:posOffset>
          </wp:positionH>
          <wp:positionV relativeFrom="page">
            <wp:posOffset>900430</wp:posOffset>
          </wp:positionV>
          <wp:extent cx="2350800" cy="5749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D7C2EA4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1BD4530"/>
    <w:multiLevelType w:val="multilevel"/>
    <w:tmpl w:val="4AFE8AB0"/>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6096"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C01690F"/>
    <w:multiLevelType w:val="multilevel"/>
    <w:tmpl w:val="6218BC4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C5D37F3"/>
    <w:multiLevelType w:val="hybridMultilevel"/>
    <w:tmpl w:val="60DE92D0"/>
    <w:lvl w:ilvl="0" w:tplc="ABFC72AC">
      <w:start w:val="1"/>
      <w:numFmt w:val="decimal"/>
      <w:pStyle w:val="FAQ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FC51F27"/>
    <w:multiLevelType w:val="hybridMultilevel"/>
    <w:tmpl w:val="FCFE2A98"/>
    <w:lvl w:ilvl="0" w:tplc="508CA3A6">
      <w:start w:val="1"/>
      <w:numFmt w:val="decimal"/>
      <w:pStyle w:val="Boxedquestion"/>
      <w:lvlText w:val="%1."/>
      <w:lvlJc w:val="left"/>
      <w:pPr>
        <w:ind w:left="5322"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1"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B3205F3"/>
    <w:multiLevelType w:val="hybridMultilevel"/>
    <w:tmpl w:val="1CF2F58E"/>
    <w:lvl w:ilvl="0" w:tplc="061CCC98">
      <w:start w:val="1"/>
      <w:numFmt w:val="decimal"/>
      <w:pStyle w:val="NumberedParagraph"/>
      <w:lvlText w:val="%1."/>
      <w:lvlJc w:val="left"/>
      <w:pPr>
        <w:ind w:left="1353" w:hanging="360"/>
      </w:pPr>
    </w:lvl>
    <w:lvl w:ilvl="1" w:tplc="0C090019" w:tentative="1">
      <w:start w:val="1"/>
      <w:numFmt w:val="lowerLetter"/>
      <w:pStyle w:val="NumberedList2"/>
      <w:lvlText w:val="%2."/>
      <w:lvlJc w:val="left"/>
      <w:pPr>
        <w:ind w:left="1440" w:hanging="360"/>
      </w:pPr>
    </w:lvl>
    <w:lvl w:ilvl="2" w:tplc="0C09001B">
      <w:start w:val="1"/>
      <w:numFmt w:val="lowerRoman"/>
      <w:pStyle w:val="NumberedList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4"/>
  </w:num>
  <w:num w:numId="3">
    <w:abstractNumId w:val="12"/>
  </w:num>
  <w:num w:numId="4">
    <w:abstractNumId w:val="14"/>
  </w:num>
  <w:num w:numId="5">
    <w:abstractNumId w:val="10"/>
    <w:lvlOverride w:ilvl="6">
      <w:lvl w:ilvl="6">
        <w:start w:val="1"/>
        <w:numFmt w:val="decimal"/>
        <w:lvlRestart w:val="0"/>
        <w:pStyle w:val="Figuretitle"/>
        <w:suff w:val="space"/>
        <w:lvlText w:val="Figure %7:"/>
        <w:lvlJc w:val="left"/>
        <w:pPr>
          <w:ind w:left="4112" w:firstLine="0"/>
        </w:pPr>
        <w:rPr>
          <w:rFonts w:hint="default"/>
        </w:rPr>
      </w:lvl>
    </w:lvlOverride>
  </w:num>
  <w:num w:numId="6">
    <w:abstractNumId w:val="3"/>
  </w:num>
  <w:num w:numId="7">
    <w:abstractNumId w:val="15"/>
  </w:num>
  <w:num w:numId="8">
    <w:abstractNumId w:val="9"/>
  </w:num>
  <w:num w:numId="9">
    <w:abstractNumId w:val="2"/>
  </w:num>
  <w:num w:numId="10">
    <w:abstractNumId w:val="11"/>
  </w:num>
  <w:num w:numId="11">
    <w:abstractNumId w:val="13"/>
  </w:num>
  <w:num w:numId="12">
    <w:abstractNumId w:val="0"/>
  </w:num>
  <w:num w:numId="13">
    <w:abstractNumId w:val="7"/>
  </w:num>
  <w:num w:numId="14">
    <w:abstractNumId w:val="1"/>
  </w:num>
  <w:num w:numId="15">
    <w:abstractNumId w:val="17"/>
  </w:num>
  <w:num w:numId="16">
    <w:abstractNumId w:val="5"/>
  </w:num>
  <w:num w:numId="17">
    <w:abstractNumId w:val="9"/>
  </w:num>
  <w:num w:numId="18">
    <w:abstractNumId w:val="9"/>
  </w:num>
  <w:num w:numId="19">
    <w:abstractNumId w:val="9"/>
  </w:num>
  <w:num w:numId="20">
    <w:abstractNumId w:val="9"/>
  </w:num>
  <w:num w:numId="21">
    <w:abstractNumId w:val="9"/>
  </w:num>
  <w:num w:numId="22">
    <w:abstractNumId w:val="6"/>
  </w:num>
  <w:num w:numId="23">
    <w:abstractNumId w:val="10"/>
    <w:lvlOverride w:ilvl="6">
      <w:lvl w:ilvl="6">
        <w:start w:val="1"/>
        <w:numFmt w:val="decimal"/>
        <w:lvlRestart w:val="0"/>
        <w:pStyle w:val="Figuretitle"/>
        <w:suff w:val="space"/>
        <w:lvlText w:val="Figure %7:"/>
        <w:lvlJc w:val="left"/>
        <w:pPr>
          <w:ind w:left="0" w:firstLine="0"/>
        </w:pPr>
        <w:rPr>
          <w:rFonts w:hint="default"/>
        </w:rPr>
      </w:lvl>
    </w:lvlOverride>
  </w:num>
  <w:num w:numId="24">
    <w:abstractNumId w:val="10"/>
  </w:num>
  <w:num w:numId="25">
    <w:abstractNumId w:val="8"/>
  </w:num>
  <w:num w:numId="26">
    <w:abstractNumId w:val="9"/>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1B1"/>
    <w:rsid w:val="00003F3C"/>
    <w:rsid w:val="000205B7"/>
    <w:rsid w:val="00022D1B"/>
    <w:rsid w:val="00023389"/>
    <w:rsid w:val="00024F9D"/>
    <w:rsid w:val="0002782F"/>
    <w:rsid w:val="0003233F"/>
    <w:rsid w:val="0003284C"/>
    <w:rsid w:val="00036092"/>
    <w:rsid w:val="00036398"/>
    <w:rsid w:val="000400F9"/>
    <w:rsid w:val="00042210"/>
    <w:rsid w:val="0004584A"/>
    <w:rsid w:val="00051850"/>
    <w:rsid w:val="00054E4D"/>
    <w:rsid w:val="0005548B"/>
    <w:rsid w:val="00060073"/>
    <w:rsid w:val="000603C7"/>
    <w:rsid w:val="000608AA"/>
    <w:rsid w:val="000637B1"/>
    <w:rsid w:val="00074576"/>
    <w:rsid w:val="00076DA8"/>
    <w:rsid w:val="0007756C"/>
    <w:rsid w:val="000829F4"/>
    <w:rsid w:val="000951F0"/>
    <w:rsid w:val="000965F4"/>
    <w:rsid w:val="000A3728"/>
    <w:rsid w:val="000A435E"/>
    <w:rsid w:val="000A4B30"/>
    <w:rsid w:val="000A6A8B"/>
    <w:rsid w:val="000B15B1"/>
    <w:rsid w:val="000B60E2"/>
    <w:rsid w:val="000C2A48"/>
    <w:rsid w:val="000C32F3"/>
    <w:rsid w:val="000C5F75"/>
    <w:rsid w:val="000D0544"/>
    <w:rsid w:val="000D4E5E"/>
    <w:rsid w:val="000D55A4"/>
    <w:rsid w:val="000D60B1"/>
    <w:rsid w:val="000F657E"/>
    <w:rsid w:val="001123A8"/>
    <w:rsid w:val="0011275C"/>
    <w:rsid w:val="00132249"/>
    <w:rsid w:val="001350E9"/>
    <w:rsid w:val="00135D45"/>
    <w:rsid w:val="00136530"/>
    <w:rsid w:val="00147824"/>
    <w:rsid w:val="0015019A"/>
    <w:rsid w:val="0015074D"/>
    <w:rsid w:val="00150EFA"/>
    <w:rsid w:val="001514B7"/>
    <w:rsid w:val="00153FA1"/>
    <w:rsid w:val="001541EA"/>
    <w:rsid w:val="00154890"/>
    <w:rsid w:val="00160E1A"/>
    <w:rsid w:val="001612A4"/>
    <w:rsid w:val="00174938"/>
    <w:rsid w:val="00174E45"/>
    <w:rsid w:val="00184DAD"/>
    <w:rsid w:val="001859F5"/>
    <w:rsid w:val="00192EF0"/>
    <w:rsid w:val="001935DA"/>
    <w:rsid w:val="001962A8"/>
    <w:rsid w:val="001A0BB9"/>
    <w:rsid w:val="001A36F5"/>
    <w:rsid w:val="001A57DA"/>
    <w:rsid w:val="001A59D0"/>
    <w:rsid w:val="001B0EDC"/>
    <w:rsid w:val="001B12E5"/>
    <w:rsid w:val="001B5B09"/>
    <w:rsid w:val="001B772C"/>
    <w:rsid w:val="001B7CE0"/>
    <w:rsid w:val="001C6EA7"/>
    <w:rsid w:val="001C7759"/>
    <w:rsid w:val="001D11C3"/>
    <w:rsid w:val="001D3013"/>
    <w:rsid w:val="001D7EB4"/>
    <w:rsid w:val="001E025A"/>
    <w:rsid w:val="001E0FBD"/>
    <w:rsid w:val="001E1200"/>
    <w:rsid w:val="001E1DC0"/>
    <w:rsid w:val="001E2069"/>
    <w:rsid w:val="001E5E4D"/>
    <w:rsid w:val="001F3231"/>
    <w:rsid w:val="001F4981"/>
    <w:rsid w:val="0020122A"/>
    <w:rsid w:val="002049FB"/>
    <w:rsid w:val="00210DAB"/>
    <w:rsid w:val="0021597E"/>
    <w:rsid w:val="002213DA"/>
    <w:rsid w:val="00227469"/>
    <w:rsid w:val="0023233D"/>
    <w:rsid w:val="00240A08"/>
    <w:rsid w:val="00241B37"/>
    <w:rsid w:val="00242A9E"/>
    <w:rsid w:val="00242D30"/>
    <w:rsid w:val="00250E24"/>
    <w:rsid w:val="00251E50"/>
    <w:rsid w:val="002524EF"/>
    <w:rsid w:val="002541E0"/>
    <w:rsid w:val="002676C9"/>
    <w:rsid w:val="00267BF3"/>
    <w:rsid w:val="00275E01"/>
    <w:rsid w:val="00277FC4"/>
    <w:rsid w:val="002809A5"/>
    <w:rsid w:val="002836AE"/>
    <w:rsid w:val="0028602A"/>
    <w:rsid w:val="002919A5"/>
    <w:rsid w:val="002921AF"/>
    <w:rsid w:val="002941CC"/>
    <w:rsid w:val="002A305C"/>
    <w:rsid w:val="002A554E"/>
    <w:rsid w:val="002A6312"/>
    <w:rsid w:val="002B376D"/>
    <w:rsid w:val="002B40C5"/>
    <w:rsid w:val="002B782D"/>
    <w:rsid w:val="002C6290"/>
    <w:rsid w:val="002C6ED3"/>
    <w:rsid w:val="002D0B47"/>
    <w:rsid w:val="002D1AAE"/>
    <w:rsid w:val="002D2DBF"/>
    <w:rsid w:val="002D5627"/>
    <w:rsid w:val="002D7560"/>
    <w:rsid w:val="002F0BD5"/>
    <w:rsid w:val="00301144"/>
    <w:rsid w:val="003109AB"/>
    <w:rsid w:val="003140C3"/>
    <w:rsid w:val="003148B7"/>
    <w:rsid w:val="00314E57"/>
    <w:rsid w:val="003158C3"/>
    <w:rsid w:val="003164C5"/>
    <w:rsid w:val="003274CD"/>
    <w:rsid w:val="003364DE"/>
    <w:rsid w:val="00340E3F"/>
    <w:rsid w:val="00344994"/>
    <w:rsid w:val="00346C9E"/>
    <w:rsid w:val="0035119D"/>
    <w:rsid w:val="0035645A"/>
    <w:rsid w:val="00360E00"/>
    <w:rsid w:val="00362D50"/>
    <w:rsid w:val="00365C5B"/>
    <w:rsid w:val="003671C7"/>
    <w:rsid w:val="00373420"/>
    <w:rsid w:val="0037448E"/>
    <w:rsid w:val="00380CBC"/>
    <w:rsid w:val="00380F99"/>
    <w:rsid w:val="003825CC"/>
    <w:rsid w:val="003829F1"/>
    <w:rsid w:val="00390B07"/>
    <w:rsid w:val="003948BE"/>
    <w:rsid w:val="00395E3D"/>
    <w:rsid w:val="00396E11"/>
    <w:rsid w:val="003A16AC"/>
    <w:rsid w:val="003A71C5"/>
    <w:rsid w:val="003B41ED"/>
    <w:rsid w:val="003B4F12"/>
    <w:rsid w:val="003C0E5E"/>
    <w:rsid w:val="003C3CE5"/>
    <w:rsid w:val="003C7CC1"/>
    <w:rsid w:val="003D0549"/>
    <w:rsid w:val="003D1B55"/>
    <w:rsid w:val="003D295A"/>
    <w:rsid w:val="003D4335"/>
    <w:rsid w:val="003E3F0B"/>
    <w:rsid w:val="003E6739"/>
    <w:rsid w:val="003F0614"/>
    <w:rsid w:val="00401A0F"/>
    <w:rsid w:val="00404EC9"/>
    <w:rsid w:val="00410906"/>
    <w:rsid w:val="00410DDA"/>
    <w:rsid w:val="004124E3"/>
    <w:rsid w:val="004152D8"/>
    <w:rsid w:val="00423F31"/>
    <w:rsid w:val="0042413C"/>
    <w:rsid w:val="00430730"/>
    <w:rsid w:val="00431899"/>
    <w:rsid w:val="0043386D"/>
    <w:rsid w:val="00433B23"/>
    <w:rsid w:val="004354B2"/>
    <w:rsid w:val="0044444A"/>
    <w:rsid w:val="004540AD"/>
    <w:rsid w:val="0045629A"/>
    <w:rsid w:val="0046056E"/>
    <w:rsid w:val="00460696"/>
    <w:rsid w:val="00462171"/>
    <w:rsid w:val="00462267"/>
    <w:rsid w:val="0046531A"/>
    <w:rsid w:val="0046676C"/>
    <w:rsid w:val="00472A7B"/>
    <w:rsid w:val="0047380F"/>
    <w:rsid w:val="00480BB3"/>
    <w:rsid w:val="0048297B"/>
    <w:rsid w:val="00485FEA"/>
    <w:rsid w:val="00486804"/>
    <w:rsid w:val="004917A2"/>
    <w:rsid w:val="00492043"/>
    <w:rsid w:val="004946A0"/>
    <w:rsid w:val="004A0D66"/>
    <w:rsid w:val="004A2DB4"/>
    <w:rsid w:val="004A30B1"/>
    <w:rsid w:val="004A741A"/>
    <w:rsid w:val="004B1012"/>
    <w:rsid w:val="004B1F28"/>
    <w:rsid w:val="004B3775"/>
    <w:rsid w:val="004C2A06"/>
    <w:rsid w:val="004C340E"/>
    <w:rsid w:val="004C3D75"/>
    <w:rsid w:val="004C5E5E"/>
    <w:rsid w:val="004C7199"/>
    <w:rsid w:val="004D1D20"/>
    <w:rsid w:val="004D4559"/>
    <w:rsid w:val="004E058F"/>
    <w:rsid w:val="004E08E0"/>
    <w:rsid w:val="004E3B87"/>
    <w:rsid w:val="004E4018"/>
    <w:rsid w:val="004E71F5"/>
    <w:rsid w:val="004E7865"/>
    <w:rsid w:val="004F2F94"/>
    <w:rsid w:val="004F5551"/>
    <w:rsid w:val="004F68A6"/>
    <w:rsid w:val="0050652B"/>
    <w:rsid w:val="005106EC"/>
    <w:rsid w:val="00510921"/>
    <w:rsid w:val="00510AD3"/>
    <w:rsid w:val="0051199A"/>
    <w:rsid w:val="00513348"/>
    <w:rsid w:val="0053114C"/>
    <w:rsid w:val="0053169B"/>
    <w:rsid w:val="00533B5D"/>
    <w:rsid w:val="00537918"/>
    <w:rsid w:val="00543D33"/>
    <w:rsid w:val="005470A9"/>
    <w:rsid w:val="0055288B"/>
    <w:rsid w:val="005570E8"/>
    <w:rsid w:val="00561B99"/>
    <w:rsid w:val="00566CF9"/>
    <w:rsid w:val="00567A0F"/>
    <w:rsid w:val="00570B7C"/>
    <w:rsid w:val="00576A57"/>
    <w:rsid w:val="00580880"/>
    <w:rsid w:val="00581734"/>
    <w:rsid w:val="00582D93"/>
    <w:rsid w:val="005831D9"/>
    <w:rsid w:val="00592F2B"/>
    <w:rsid w:val="005970EA"/>
    <w:rsid w:val="005A0F23"/>
    <w:rsid w:val="005A1117"/>
    <w:rsid w:val="005A2826"/>
    <w:rsid w:val="005A2E8F"/>
    <w:rsid w:val="005A6119"/>
    <w:rsid w:val="005B43E2"/>
    <w:rsid w:val="005B696C"/>
    <w:rsid w:val="005C2D27"/>
    <w:rsid w:val="005C37F0"/>
    <w:rsid w:val="005D2D36"/>
    <w:rsid w:val="005D75AA"/>
    <w:rsid w:val="005E0771"/>
    <w:rsid w:val="005E4A97"/>
    <w:rsid w:val="005E5CB9"/>
    <w:rsid w:val="005F4556"/>
    <w:rsid w:val="005F73AC"/>
    <w:rsid w:val="00607B55"/>
    <w:rsid w:val="006147FF"/>
    <w:rsid w:val="00622A59"/>
    <w:rsid w:val="00623BA1"/>
    <w:rsid w:val="0062675A"/>
    <w:rsid w:val="00627C87"/>
    <w:rsid w:val="006346BC"/>
    <w:rsid w:val="00637DC2"/>
    <w:rsid w:val="00645EBD"/>
    <w:rsid w:val="00651D18"/>
    <w:rsid w:val="006550AC"/>
    <w:rsid w:val="00657AFC"/>
    <w:rsid w:val="0066050C"/>
    <w:rsid w:val="006618E1"/>
    <w:rsid w:val="00666291"/>
    <w:rsid w:val="0066652A"/>
    <w:rsid w:val="00667C50"/>
    <w:rsid w:val="0067007D"/>
    <w:rsid w:val="00670172"/>
    <w:rsid w:val="006707FE"/>
    <w:rsid w:val="00670CFD"/>
    <w:rsid w:val="006710C9"/>
    <w:rsid w:val="00682167"/>
    <w:rsid w:val="006A1AF5"/>
    <w:rsid w:val="006A1DB4"/>
    <w:rsid w:val="006A33EA"/>
    <w:rsid w:val="006A4AC7"/>
    <w:rsid w:val="006B1465"/>
    <w:rsid w:val="006B2954"/>
    <w:rsid w:val="006B61F6"/>
    <w:rsid w:val="006C42AF"/>
    <w:rsid w:val="006C4DD1"/>
    <w:rsid w:val="006C65C2"/>
    <w:rsid w:val="006D7CAA"/>
    <w:rsid w:val="006E4D56"/>
    <w:rsid w:val="006F3056"/>
    <w:rsid w:val="006F3A1C"/>
    <w:rsid w:val="006F4729"/>
    <w:rsid w:val="006F4732"/>
    <w:rsid w:val="00706C0C"/>
    <w:rsid w:val="00710DD9"/>
    <w:rsid w:val="007112C0"/>
    <w:rsid w:val="00711D8E"/>
    <w:rsid w:val="00712672"/>
    <w:rsid w:val="00720FA6"/>
    <w:rsid w:val="00722A4D"/>
    <w:rsid w:val="00725573"/>
    <w:rsid w:val="00727295"/>
    <w:rsid w:val="00727529"/>
    <w:rsid w:val="00727C9A"/>
    <w:rsid w:val="00734CE8"/>
    <w:rsid w:val="00734E3F"/>
    <w:rsid w:val="00736985"/>
    <w:rsid w:val="00737A13"/>
    <w:rsid w:val="00740B96"/>
    <w:rsid w:val="00741E47"/>
    <w:rsid w:val="00745799"/>
    <w:rsid w:val="00746A25"/>
    <w:rsid w:val="007520B2"/>
    <w:rsid w:val="00761E32"/>
    <w:rsid w:val="00763C2A"/>
    <w:rsid w:val="00772193"/>
    <w:rsid w:val="00775FFC"/>
    <w:rsid w:val="0078690D"/>
    <w:rsid w:val="00793ABC"/>
    <w:rsid w:val="00797A42"/>
    <w:rsid w:val="007A07C2"/>
    <w:rsid w:val="007A367C"/>
    <w:rsid w:val="007A471E"/>
    <w:rsid w:val="007B6200"/>
    <w:rsid w:val="007C2F35"/>
    <w:rsid w:val="007C3569"/>
    <w:rsid w:val="007C3BAA"/>
    <w:rsid w:val="007C67E9"/>
    <w:rsid w:val="007D4D14"/>
    <w:rsid w:val="007E7C17"/>
    <w:rsid w:val="007F23DB"/>
    <w:rsid w:val="007F400F"/>
    <w:rsid w:val="00800799"/>
    <w:rsid w:val="00801B9F"/>
    <w:rsid w:val="0081126C"/>
    <w:rsid w:val="00822FF8"/>
    <w:rsid w:val="00824649"/>
    <w:rsid w:val="008326AE"/>
    <w:rsid w:val="00840DE3"/>
    <w:rsid w:val="0084135B"/>
    <w:rsid w:val="008436BE"/>
    <w:rsid w:val="0084520B"/>
    <w:rsid w:val="00847FBF"/>
    <w:rsid w:val="00853F7D"/>
    <w:rsid w:val="0086650F"/>
    <w:rsid w:val="00873D7E"/>
    <w:rsid w:val="00876A97"/>
    <w:rsid w:val="00880B3F"/>
    <w:rsid w:val="00882639"/>
    <w:rsid w:val="00893904"/>
    <w:rsid w:val="00895F2E"/>
    <w:rsid w:val="008A05DD"/>
    <w:rsid w:val="008A33BC"/>
    <w:rsid w:val="008B62C7"/>
    <w:rsid w:val="008C1AE9"/>
    <w:rsid w:val="008C3E10"/>
    <w:rsid w:val="008D4A99"/>
    <w:rsid w:val="008E6B6A"/>
    <w:rsid w:val="008F3454"/>
    <w:rsid w:val="008F4C42"/>
    <w:rsid w:val="008F691E"/>
    <w:rsid w:val="008F7335"/>
    <w:rsid w:val="00902127"/>
    <w:rsid w:val="0090274C"/>
    <w:rsid w:val="00903AF5"/>
    <w:rsid w:val="0090477C"/>
    <w:rsid w:val="00904B9C"/>
    <w:rsid w:val="00906DC5"/>
    <w:rsid w:val="0092289A"/>
    <w:rsid w:val="009262D4"/>
    <w:rsid w:val="00934596"/>
    <w:rsid w:val="00941CFB"/>
    <w:rsid w:val="009427BE"/>
    <w:rsid w:val="00951028"/>
    <w:rsid w:val="00953F91"/>
    <w:rsid w:val="009545C1"/>
    <w:rsid w:val="00955214"/>
    <w:rsid w:val="009561A0"/>
    <w:rsid w:val="00971550"/>
    <w:rsid w:val="0097573B"/>
    <w:rsid w:val="009763B6"/>
    <w:rsid w:val="00994FDA"/>
    <w:rsid w:val="00996007"/>
    <w:rsid w:val="009A05E7"/>
    <w:rsid w:val="009A08BD"/>
    <w:rsid w:val="009A2DA7"/>
    <w:rsid w:val="009A40F5"/>
    <w:rsid w:val="009B094C"/>
    <w:rsid w:val="009B1585"/>
    <w:rsid w:val="009B3AC7"/>
    <w:rsid w:val="009B4D3B"/>
    <w:rsid w:val="009C3084"/>
    <w:rsid w:val="009C49E4"/>
    <w:rsid w:val="009D06E3"/>
    <w:rsid w:val="009D7407"/>
    <w:rsid w:val="009D77E2"/>
    <w:rsid w:val="009E0866"/>
    <w:rsid w:val="009E1AAB"/>
    <w:rsid w:val="009E2850"/>
    <w:rsid w:val="009E6BBA"/>
    <w:rsid w:val="009F52B7"/>
    <w:rsid w:val="009F5BFB"/>
    <w:rsid w:val="009F6006"/>
    <w:rsid w:val="00A02668"/>
    <w:rsid w:val="00A03408"/>
    <w:rsid w:val="00A03CDC"/>
    <w:rsid w:val="00A04466"/>
    <w:rsid w:val="00A061B9"/>
    <w:rsid w:val="00A10080"/>
    <w:rsid w:val="00A120E1"/>
    <w:rsid w:val="00A163CB"/>
    <w:rsid w:val="00A1716B"/>
    <w:rsid w:val="00A201B8"/>
    <w:rsid w:val="00A20495"/>
    <w:rsid w:val="00A20E8E"/>
    <w:rsid w:val="00A24A62"/>
    <w:rsid w:val="00A270FE"/>
    <w:rsid w:val="00A313EC"/>
    <w:rsid w:val="00A31C9F"/>
    <w:rsid w:val="00A332C9"/>
    <w:rsid w:val="00A34EDC"/>
    <w:rsid w:val="00A432F1"/>
    <w:rsid w:val="00A46AC4"/>
    <w:rsid w:val="00A57A9E"/>
    <w:rsid w:val="00A61865"/>
    <w:rsid w:val="00A63DCA"/>
    <w:rsid w:val="00A664D3"/>
    <w:rsid w:val="00A724A2"/>
    <w:rsid w:val="00A7276A"/>
    <w:rsid w:val="00A75FD9"/>
    <w:rsid w:val="00A77E73"/>
    <w:rsid w:val="00A81DAC"/>
    <w:rsid w:val="00A82B42"/>
    <w:rsid w:val="00A84B0D"/>
    <w:rsid w:val="00A860DC"/>
    <w:rsid w:val="00A868E8"/>
    <w:rsid w:val="00A950A3"/>
    <w:rsid w:val="00A96093"/>
    <w:rsid w:val="00AB0426"/>
    <w:rsid w:val="00AB19CF"/>
    <w:rsid w:val="00AC164A"/>
    <w:rsid w:val="00AD1011"/>
    <w:rsid w:val="00AD13C3"/>
    <w:rsid w:val="00AE5583"/>
    <w:rsid w:val="00AE6815"/>
    <w:rsid w:val="00AF2050"/>
    <w:rsid w:val="00AF5BED"/>
    <w:rsid w:val="00AF6D1A"/>
    <w:rsid w:val="00AF7EDE"/>
    <w:rsid w:val="00B00854"/>
    <w:rsid w:val="00B13B6E"/>
    <w:rsid w:val="00B20FAF"/>
    <w:rsid w:val="00B247D1"/>
    <w:rsid w:val="00B272FA"/>
    <w:rsid w:val="00B30B1C"/>
    <w:rsid w:val="00B329B6"/>
    <w:rsid w:val="00B32F99"/>
    <w:rsid w:val="00B34BDB"/>
    <w:rsid w:val="00B376C7"/>
    <w:rsid w:val="00B37C2E"/>
    <w:rsid w:val="00B41953"/>
    <w:rsid w:val="00B503CE"/>
    <w:rsid w:val="00B511F2"/>
    <w:rsid w:val="00B553A9"/>
    <w:rsid w:val="00B55A9E"/>
    <w:rsid w:val="00B57D49"/>
    <w:rsid w:val="00B65234"/>
    <w:rsid w:val="00B66BB7"/>
    <w:rsid w:val="00B80BE7"/>
    <w:rsid w:val="00B84426"/>
    <w:rsid w:val="00B901B9"/>
    <w:rsid w:val="00B92250"/>
    <w:rsid w:val="00B92FC6"/>
    <w:rsid w:val="00B94754"/>
    <w:rsid w:val="00BA2831"/>
    <w:rsid w:val="00BA5573"/>
    <w:rsid w:val="00BA7C45"/>
    <w:rsid w:val="00BB26C5"/>
    <w:rsid w:val="00BB27C0"/>
    <w:rsid w:val="00BC0C63"/>
    <w:rsid w:val="00BC642B"/>
    <w:rsid w:val="00BE2535"/>
    <w:rsid w:val="00BE3950"/>
    <w:rsid w:val="00BE7421"/>
    <w:rsid w:val="00BF3BA2"/>
    <w:rsid w:val="00BF4DE6"/>
    <w:rsid w:val="00BF6958"/>
    <w:rsid w:val="00C009FE"/>
    <w:rsid w:val="00C03A4D"/>
    <w:rsid w:val="00C04038"/>
    <w:rsid w:val="00C043BD"/>
    <w:rsid w:val="00C11E88"/>
    <w:rsid w:val="00C15CE8"/>
    <w:rsid w:val="00C22C5C"/>
    <w:rsid w:val="00C231A1"/>
    <w:rsid w:val="00C24FF4"/>
    <w:rsid w:val="00C26390"/>
    <w:rsid w:val="00C30746"/>
    <w:rsid w:val="00C3720A"/>
    <w:rsid w:val="00C373BC"/>
    <w:rsid w:val="00C37958"/>
    <w:rsid w:val="00C42CDE"/>
    <w:rsid w:val="00C506AF"/>
    <w:rsid w:val="00C51FD9"/>
    <w:rsid w:val="00C61A15"/>
    <w:rsid w:val="00C6347E"/>
    <w:rsid w:val="00C746C8"/>
    <w:rsid w:val="00C76AC1"/>
    <w:rsid w:val="00C80EA3"/>
    <w:rsid w:val="00C81087"/>
    <w:rsid w:val="00C82F42"/>
    <w:rsid w:val="00C87A54"/>
    <w:rsid w:val="00CA37B1"/>
    <w:rsid w:val="00CA537C"/>
    <w:rsid w:val="00CA7227"/>
    <w:rsid w:val="00CB1959"/>
    <w:rsid w:val="00CB1B95"/>
    <w:rsid w:val="00CB3509"/>
    <w:rsid w:val="00CB4BF1"/>
    <w:rsid w:val="00CD0B51"/>
    <w:rsid w:val="00CD57ED"/>
    <w:rsid w:val="00CD7ACB"/>
    <w:rsid w:val="00CF3314"/>
    <w:rsid w:val="00CF5765"/>
    <w:rsid w:val="00D0296C"/>
    <w:rsid w:val="00D1013C"/>
    <w:rsid w:val="00D10364"/>
    <w:rsid w:val="00D11937"/>
    <w:rsid w:val="00D17EC6"/>
    <w:rsid w:val="00D22869"/>
    <w:rsid w:val="00D25200"/>
    <w:rsid w:val="00D408F1"/>
    <w:rsid w:val="00D4159E"/>
    <w:rsid w:val="00D46D82"/>
    <w:rsid w:val="00D504B5"/>
    <w:rsid w:val="00D55ECD"/>
    <w:rsid w:val="00D641B9"/>
    <w:rsid w:val="00D65478"/>
    <w:rsid w:val="00D671CB"/>
    <w:rsid w:val="00D71430"/>
    <w:rsid w:val="00D7288F"/>
    <w:rsid w:val="00D728C1"/>
    <w:rsid w:val="00D819E9"/>
    <w:rsid w:val="00D8467F"/>
    <w:rsid w:val="00D8714E"/>
    <w:rsid w:val="00D94AF2"/>
    <w:rsid w:val="00D94E36"/>
    <w:rsid w:val="00DA1BE1"/>
    <w:rsid w:val="00DA212A"/>
    <w:rsid w:val="00DA3799"/>
    <w:rsid w:val="00DB6D69"/>
    <w:rsid w:val="00DC430B"/>
    <w:rsid w:val="00DD1779"/>
    <w:rsid w:val="00DE2641"/>
    <w:rsid w:val="00DE2986"/>
    <w:rsid w:val="00DF25F7"/>
    <w:rsid w:val="00DF3E01"/>
    <w:rsid w:val="00E00350"/>
    <w:rsid w:val="00E0084C"/>
    <w:rsid w:val="00E00F9F"/>
    <w:rsid w:val="00E02371"/>
    <w:rsid w:val="00E05088"/>
    <w:rsid w:val="00E103D5"/>
    <w:rsid w:val="00E15D93"/>
    <w:rsid w:val="00E20BCA"/>
    <w:rsid w:val="00E21BB7"/>
    <w:rsid w:val="00E245F9"/>
    <w:rsid w:val="00E249CF"/>
    <w:rsid w:val="00E357B7"/>
    <w:rsid w:val="00E40D77"/>
    <w:rsid w:val="00E40F83"/>
    <w:rsid w:val="00E41944"/>
    <w:rsid w:val="00E46474"/>
    <w:rsid w:val="00E51C40"/>
    <w:rsid w:val="00E53800"/>
    <w:rsid w:val="00E6081F"/>
    <w:rsid w:val="00E60A81"/>
    <w:rsid w:val="00E60FC8"/>
    <w:rsid w:val="00E6422F"/>
    <w:rsid w:val="00E67395"/>
    <w:rsid w:val="00E711B5"/>
    <w:rsid w:val="00E7335D"/>
    <w:rsid w:val="00E81A44"/>
    <w:rsid w:val="00E84F05"/>
    <w:rsid w:val="00EA04B2"/>
    <w:rsid w:val="00EA20F3"/>
    <w:rsid w:val="00EA6B4A"/>
    <w:rsid w:val="00EA7219"/>
    <w:rsid w:val="00EB2ED1"/>
    <w:rsid w:val="00EB5E5A"/>
    <w:rsid w:val="00EC031C"/>
    <w:rsid w:val="00EC4916"/>
    <w:rsid w:val="00EC7A06"/>
    <w:rsid w:val="00EC7F63"/>
    <w:rsid w:val="00ED43D1"/>
    <w:rsid w:val="00EE01CD"/>
    <w:rsid w:val="00EE3C26"/>
    <w:rsid w:val="00EE4EE1"/>
    <w:rsid w:val="00EF0380"/>
    <w:rsid w:val="00EF4574"/>
    <w:rsid w:val="00EF467C"/>
    <w:rsid w:val="00F01793"/>
    <w:rsid w:val="00F03095"/>
    <w:rsid w:val="00F0337E"/>
    <w:rsid w:val="00F07BEF"/>
    <w:rsid w:val="00F138AA"/>
    <w:rsid w:val="00F139C9"/>
    <w:rsid w:val="00F25657"/>
    <w:rsid w:val="00F2684E"/>
    <w:rsid w:val="00F3121A"/>
    <w:rsid w:val="00F34FEB"/>
    <w:rsid w:val="00F403A3"/>
    <w:rsid w:val="00F4157A"/>
    <w:rsid w:val="00F41CF4"/>
    <w:rsid w:val="00F421B2"/>
    <w:rsid w:val="00F42B3A"/>
    <w:rsid w:val="00F43709"/>
    <w:rsid w:val="00F4439C"/>
    <w:rsid w:val="00F448F9"/>
    <w:rsid w:val="00F5466F"/>
    <w:rsid w:val="00F565A3"/>
    <w:rsid w:val="00F61AF7"/>
    <w:rsid w:val="00F729EF"/>
    <w:rsid w:val="00F77CAE"/>
    <w:rsid w:val="00F80913"/>
    <w:rsid w:val="00F837B1"/>
    <w:rsid w:val="00F8520E"/>
    <w:rsid w:val="00F96BB9"/>
    <w:rsid w:val="00FA59DC"/>
    <w:rsid w:val="00FB08C1"/>
    <w:rsid w:val="00FB312F"/>
    <w:rsid w:val="00FB44AA"/>
    <w:rsid w:val="00FC20BB"/>
    <w:rsid w:val="00FC2EB0"/>
    <w:rsid w:val="00FC3C28"/>
    <w:rsid w:val="00FD0EFB"/>
    <w:rsid w:val="00FD53F5"/>
    <w:rsid w:val="00FD7C4E"/>
    <w:rsid w:val="00FE2961"/>
    <w:rsid w:val="00FE29C0"/>
    <w:rsid w:val="00FE681E"/>
    <w:rsid w:val="00FE6D51"/>
    <w:rsid w:val="00FF4371"/>
    <w:rsid w:val="00FF7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83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pPr>
      <w:numPr>
        <w:ilvl w:val="2"/>
        <w:numId w:val="13"/>
      </w:numPr>
    </w:pPr>
  </w:style>
  <w:style w:type="paragraph" w:customStyle="1" w:styleId="Bullet2">
    <w:name w:val="Bullet 2"/>
    <w:basedOn w:val="Bullet3"/>
    <w:qFormat/>
    <w:rsid w:val="00A1716B"/>
    <w:pPr>
      <w:numPr>
        <w:numId w:val="14"/>
      </w:numPr>
      <w:spacing w:before="240" w:after="0" w:line="240" w:lineRule="auto"/>
      <w:ind w:left="1136"/>
    </w:pPr>
    <w:rPr>
      <w:bCs w:val="0"/>
      <w:shd w:val="clear" w:color="auto" w:fill="FFFFFF"/>
      <w:lang w:val="en-AU" w:eastAsia="en-US"/>
    </w:rPr>
  </w:style>
  <w:style w:type="paragraph" w:customStyle="1" w:styleId="Bullet3">
    <w:name w:val="Bullet 3"/>
    <w:basedOn w:val="NumberedList1"/>
    <w:qFormat/>
    <w:rsid w:val="00F8520E"/>
  </w:style>
  <w:style w:type="paragraph" w:customStyle="1" w:styleId="NumberedList1">
    <w:name w:val="Numbered List 1"/>
    <w:basedOn w:val="NumberedParagraph"/>
    <w:qFormat/>
    <w:rsid w:val="0067007D"/>
    <w:rPr>
      <w:lang w:val="en" w:eastAsia="en-AU"/>
    </w:r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2"/>
      </w:numPr>
    </w:pPr>
  </w:style>
  <w:style w:type="paragraph" w:customStyle="1" w:styleId="Heading2Numbered">
    <w:name w:val="Heading 2 Numbered"/>
    <w:basedOn w:val="Heading2"/>
    <w:next w:val="Normal"/>
    <w:qFormat/>
    <w:rsid w:val="00D46D82"/>
    <w:pPr>
      <w:numPr>
        <w:ilvl w:val="1"/>
        <w:numId w:val="2"/>
      </w:numPr>
    </w:pPr>
    <w:rPr>
      <w:bCs/>
    </w:rPr>
  </w:style>
  <w:style w:type="paragraph" w:customStyle="1" w:styleId="Heading3Numbered">
    <w:name w:val="Heading 3 Numbered"/>
    <w:basedOn w:val="Heading3"/>
    <w:next w:val="Normal"/>
    <w:qFormat/>
    <w:rsid w:val="001D7EB4"/>
    <w:pPr>
      <w:numPr>
        <w:ilvl w:val="2"/>
        <w:numId w:val="2"/>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2"/>
      </w:numPr>
    </w:pPr>
  </w:style>
  <w:style w:type="numbering" w:customStyle="1" w:styleId="HeadingsList">
    <w:name w:val="Headings List"/>
    <w:uiPriority w:val="99"/>
    <w:rsid w:val="001E1DC0"/>
    <w:pPr>
      <w:numPr>
        <w:numId w:val="2"/>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B272FA"/>
    <w:pPr>
      <w:tabs>
        <w:tab w:val="left" w:pos="709"/>
        <w:tab w:val="right" w:pos="9072"/>
      </w:tabs>
      <w:spacing w:before="0" w:after="120" w:line="240" w:lineRule="auto"/>
    </w:pPr>
    <w:rPr>
      <w:b/>
      <w:sz w:val="23"/>
    </w:rPr>
  </w:style>
  <w:style w:type="paragraph" w:styleId="TOC2">
    <w:name w:val="toc 2"/>
    <w:basedOn w:val="Normal"/>
    <w:next w:val="Normal"/>
    <w:autoRedefine/>
    <w:uiPriority w:val="39"/>
    <w:unhideWhenUsed/>
    <w:rsid w:val="00B272FA"/>
    <w:pPr>
      <w:tabs>
        <w:tab w:val="left" w:pos="709"/>
        <w:tab w:val="right" w:pos="9072"/>
      </w:tabs>
      <w:spacing w:before="0" w:after="120" w:line="240" w:lineRule="auto"/>
      <w:ind w:left="709" w:hanging="709"/>
    </w:pPr>
  </w:style>
  <w:style w:type="paragraph" w:styleId="TOC3">
    <w:name w:val="toc 3"/>
    <w:basedOn w:val="Normal"/>
    <w:next w:val="Normal"/>
    <w:autoRedefine/>
    <w:uiPriority w:val="39"/>
    <w:unhideWhenUsed/>
    <w:rsid w:val="00A664D3"/>
    <w:pPr>
      <w:tabs>
        <w:tab w:val="right" w:pos="9072"/>
      </w:tabs>
      <w:spacing w:before="0" w:after="120" w:line="240" w:lineRule="auto"/>
      <w:ind w:left="1418" w:hanging="425"/>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qFormat/>
    <w:rsid w:val="00E84F05"/>
    <w:rPr>
      <w:rFonts w:cs="MuseoSans-500"/>
      <w:i/>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5470A9"/>
    <w:pPr>
      <w:spacing w:after="180"/>
    </w:p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qFormat/>
    <w:rsid w:val="002676C9"/>
    <w:pPr>
      <w:numPr>
        <w:numId w:val="8"/>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9"/>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6"/>
      </w:numPr>
    </w:pPr>
  </w:style>
  <w:style w:type="paragraph" w:customStyle="1" w:styleId="Figuretitle">
    <w:name w:val="Figure title"/>
    <w:next w:val="BodyText1"/>
    <w:link w:val="FiguretitleChar"/>
    <w:qFormat/>
    <w:rsid w:val="00396E11"/>
    <w:pPr>
      <w:keepNext/>
      <w:keepLines/>
      <w:numPr>
        <w:ilvl w:val="6"/>
        <w:numId w:val="5"/>
      </w:numPr>
      <w:spacing w:before="340" w:after="170" w:line="240" w:lineRule="auto"/>
      <w:ind w:left="6521"/>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6"/>
      </w:numPr>
      <w:tabs>
        <w:tab w:val="clear" w:pos="284"/>
      </w:tabs>
      <w:ind w:left="852"/>
    </w:pPr>
  </w:style>
  <w:style w:type="numbering" w:customStyle="1" w:styleId="Numbers">
    <w:name w:val="Numbers"/>
    <w:basedOn w:val="NoList"/>
    <w:rsid w:val="00396E11"/>
    <w:pPr>
      <w:numPr>
        <w:numId w:val="24"/>
      </w:numPr>
    </w:pPr>
  </w:style>
  <w:style w:type="paragraph" w:customStyle="1" w:styleId="Bulletslast2ndindent">
    <w:name w:val="Bullets last (2nd indent)"/>
    <w:basedOn w:val="BodyText1"/>
    <w:semiHidden/>
    <w:rsid w:val="00396E11"/>
    <w:pPr>
      <w:numPr>
        <w:ilvl w:val="3"/>
        <w:numId w:val="6"/>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6"/>
      </w:numPr>
    </w:pPr>
  </w:style>
  <w:style w:type="paragraph" w:customStyle="1" w:styleId="Tablebullets1stindent">
    <w:name w:val="Table bullets (1st indent)"/>
    <w:basedOn w:val="Tablebodytext"/>
    <w:qFormat/>
    <w:rsid w:val="00242A9E"/>
    <w:pPr>
      <w:numPr>
        <w:ilvl w:val="5"/>
        <w:numId w:val="6"/>
      </w:numPr>
      <w:spacing w:before="177" w:after="177"/>
    </w:pPr>
    <w:rPr>
      <w:sz w:val="22"/>
    </w:r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5"/>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5"/>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qFormat/>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5"/>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7"/>
      </w:numPr>
    </w:pPr>
    <w:rPr>
      <w:lang w:val="en-US"/>
    </w:rPr>
  </w:style>
  <w:style w:type="character" w:customStyle="1" w:styleId="BodyText1Char">
    <w:name w:val="Body Text1 Char"/>
    <w:basedOn w:val="DefaultParagraphFont"/>
    <w:link w:val="BodyText1"/>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ormal"/>
    <w:autoRedefine/>
    <w:qFormat/>
    <w:rsid w:val="00824649"/>
    <w:pPr>
      <w:numPr>
        <w:numId w:val="15"/>
      </w:numPr>
      <w:ind w:left="425" w:hanging="425"/>
    </w:pPr>
    <w:rPr>
      <w:bCs/>
    </w:rPr>
  </w:style>
  <w:style w:type="paragraph" w:styleId="ListParagraph">
    <w:name w:val="List Paragraph"/>
    <w:aliases w:val="NFP GP Bulleted List,List Paragraph1,Recommendation,List Paragraph11,1 heading,Bullet Point,Bullet point,Bullet points,Bulleted Para,Content descriptions,FooterText,L,NAST Quote,Paragraphe de liste1,bullet point list,numbered,列出段落,列出段落1"/>
    <w:basedOn w:val="Normal"/>
    <w:link w:val="ListParagraphChar"/>
    <w:uiPriority w:val="34"/>
    <w:qFormat/>
    <w:rsid w:val="00396E11"/>
    <w:pPr>
      <w:numPr>
        <w:numId w:val="10"/>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1"/>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6"/>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character" w:customStyle="1" w:styleId="ListParagraphChar">
    <w:name w:val="List Paragraph Char"/>
    <w:aliases w:val="NFP GP Bulleted List Char,List Paragraph1 Char,Recommendation Char,List Paragraph11 Char,1 heading Char,Bullet Point Char,Bullet point Char,Bullet points Char,Bulleted Para Char,Content descriptions Char,FooterText Char,L Char"/>
    <w:basedOn w:val="DefaultParagraphFont"/>
    <w:link w:val="ListParagraph"/>
    <w:uiPriority w:val="34"/>
    <w:rsid w:val="003948BE"/>
    <w:rPr>
      <w:rFonts w:ascii="Cambria" w:eastAsia="Cambria" w:hAnsi="Cambria" w:cs="Times New Roman"/>
    </w:rPr>
  </w:style>
  <w:style w:type="paragraph" w:customStyle="1" w:styleId="Extracttitle">
    <w:name w:val="Extract title"/>
    <w:basedOn w:val="NoSpacing"/>
    <w:link w:val="ExtracttitleChar"/>
    <w:qFormat/>
    <w:rsid w:val="003948BE"/>
    <w:pPr>
      <w:ind w:left="567" w:hanging="567"/>
    </w:pPr>
    <w:rPr>
      <w:rFonts w:asciiTheme="minorHAnsi" w:hAnsiTheme="minorHAnsi" w:cstheme="minorHAnsi"/>
      <w:b/>
      <w:sz w:val="20"/>
      <w:szCs w:val="20"/>
    </w:rPr>
  </w:style>
  <w:style w:type="character" w:customStyle="1" w:styleId="ExtracttitleChar">
    <w:name w:val="Extract title Char"/>
    <w:basedOn w:val="DefaultParagraphFont"/>
    <w:link w:val="Extracttitle"/>
    <w:rsid w:val="003948BE"/>
    <w:rPr>
      <w:rFonts w:eastAsia="Cambria" w:cstheme="minorHAnsi"/>
      <w:b/>
      <w:sz w:val="20"/>
      <w:szCs w:val="20"/>
    </w:rPr>
  </w:style>
  <w:style w:type="paragraph" w:customStyle="1" w:styleId="acthead5">
    <w:name w:val="acthead5"/>
    <w:basedOn w:val="Normal"/>
    <w:rsid w:val="003948BE"/>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3948BE"/>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948BE"/>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6707FE"/>
  </w:style>
  <w:style w:type="paragraph" w:customStyle="1" w:styleId="subsectionhead">
    <w:name w:val="subsectionhead"/>
    <w:basedOn w:val="Normal"/>
    <w:rsid w:val="006707FE"/>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6707FE"/>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headbold">
    <w:name w:val="soheadbold"/>
    <w:basedOn w:val="Normal"/>
    <w:rsid w:val="006D7CAA"/>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text">
    <w:name w:val="sotext"/>
    <w:basedOn w:val="Normal"/>
    <w:rsid w:val="006D7CAA"/>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0">
    <w:name w:val="tabletext"/>
    <w:basedOn w:val="Normal"/>
    <w:rsid w:val="006D7CAA"/>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heading"/>
    <w:basedOn w:val="Normal"/>
    <w:rsid w:val="006D7CAA"/>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6D7CAA"/>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yperlink1">
    <w:name w:val="Hyperlink 1"/>
    <w:basedOn w:val="Normal"/>
    <w:link w:val="Hyperlink1Char"/>
    <w:qFormat/>
    <w:rsid w:val="00E84F05"/>
    <w:pPr>
      <w:spacing w:after="120" w:line="260" w:lineRule="exact"/>
    </w:pPr>
    <w:rPr>
      <w:rFonts w:eastAsia="Times New Roman"/>
      <w:szCs w:val="24"/>
    </w:rPr>
  </w:style>
  <w:style w:type="paragraph" w:customStyle="1" w:styleId="shortt">
    <w:name w:val="shortt"/>
    <w:basedOn w:val="Normal"/>
    <w:rsid w:val="00904B9C"/>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yperlink1Char">
    <w:name w:val="Hyperlink 1 Char"/>
    <w:basedOn w:val="DefaultParagraphFont"/>
    <w:link w:val="Hyperlink1"/>
    <w:rsid w:val="00E84F05"/>
    <w:rPr>
      <w:rFonts w:eastAsia="Times New Roman"/>
      <w:szCs w:val="24"/>
    </w:rPr>
  </w:style>
  <w:style w:type="paragraph" w:customStyle="1" w:styleId="FAQs">
    <w:name w:val="FAQs"/>
    <w:basedOn w:val="Figuretitle"/>
    <w:link w:val="FAQsChar"/>
    <w:qFormat/>
    <w:rsid w:val="00906DC5"/>
    <w:pPr>
      <w:numPr>
        <w:ilvl w:val="0"/>
        <w:numId w:val="22"/>
      </w:numPr>
    </w:pPr>
    <w:rPr>
      <w:sz w:val="22"/>
      <w:lang w:eastAsia="en-AU"/>
    </w:rPr>
  </w:style>
  <w:style w:type="character" w:customStyle="1" w:styleId="FiguretitleChar">
    <w:name w:val="Figure title Char"/>
    <w:basedOn w:val="DefaultParagraphFont"/>
    <w:link w:val="Figuretitle"/>
    <w:rsid w:val="00F421B2"/>
    <w:rPr>
      <w:rFonts w:ascii="Arial" w:eastAsia="Times New Roman" w:hAnsi="Arial" w:cs="Times New Roman"/>
      <w:b/>
      <w:color w:val="005A77"/>
      <w:spacing w:val="-6"/>
      <w:sz w:val="24"/>
      <w:szCs w:val="24"/>
      <w:lang w:val="en-US"/>
    </w:rPr>
  </w:style>
  <w:style w:type="character" w:customStyle="1" w:styleId="FAQsChar">
    <w:name w:val="FAQs Char"/>
    <w:basedOn w:val="FiguretitleChar"/>
    <w:link w:val="FAQs"/>
    <w:rsid w:val="00906DC5"/>
    <w:rPr>
      <w:rFonts w:ascii="Arial" w:eastAsia="Times New Roman" w:hAnsi="Arial" w:cs="Times New Roman"/>
      <w:b/>
      <w:color w:val="005A77"/>
      <w:spacing w:val="-6"/>
      <w:sz w:val="24"/>
      <w:szCs w:val="24"/>
      <w:lang w:val="en-US" w:eastAsia="en-AU"/>
    </w:rPr>
  </w:style>
  <w:style w:type="paragraph" w:customStyle="1" w:styleId="Boxedquestion">
    <w:name w:val="Boxed question"/>
    <w:basedOn w:val="Boxed2Text"/>
    <w:link w:val="BoxedquestionChar"/>
    <w:qFormat/>
    <w:rsid w:val="00CF5765"/>
    <w:pPr>
      <w:numPr>
        <w:numId w:val="25"/>
      </w:numPr>
      <w:shd w:val="clear" w:color="auto" w:fill="D0D0CE"/>
      <w:ind w:left="709" w:hanging="425"/>
    </w:pPr>
  </w:style>
  <w:style w:type="character" w:customStyle="1" w:styleId="BoxedquestionChar">
    <w:name w:val="Boxed question Char"/>
    <w:basedOn w:val="Boxed2TextChar"/>
    <w:link w:val="Boxedquestion"/>
    <w:rsid w:val="00CF5765"/>
    <w:rPr>
      <w:shd w:val="clear" w:color="auto" w:fill="D0D0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1000">
      <w:bodyDiv w:val="1"/>
      <w:marLeft w:val="0"/>
      <w:marRight w:val="0"/>
      <w:marTop w:val="0"/>
      <w:marBottom w:val="0"/>
      <w:divBdr>
        <w:top w:val="none" w:sz="0" w:space="0" w:color="auto"/>
        <w:left w:val="none" w:sz="0" w:space="0" w:color="auto"/>
        <w:bottom w:val="none" w:sz="0" w:space="0" w:color="auto"/>
        <w:right w:val="none" w:sz="0" w:space="0" w:color="auto"/>
      </w:divBdr>
    </w:div>
    <w:div w:id="863320819">
      <w:bodyDiv w:val="1"/>
      <w:marLeft w:val="0"/>
      <w:marRight w:val="0"/>
      <w:marTop w:val="0"/>
      <w:marBottom w:val="0"/>
      <w:divBdr>
        <w:top w:val="none" w:sz="0" w:space="0" w:color="auto"/>
        <w:left w:val="none" w:sz="0" w:space="0" w:color="auto"/>
        <w:bottom w:val="none" w:sz="0" w:space="0" w:color="auto"/>
        <w:right w:val="none" w:sz="0" w:space="0" w:color="auto"/>
      </w:divBdr>
    </w:div>
    <w:div w:id="1018388415">
      <w:bodyDiv w:val="1"/>
      <w:marLeft w:val="0"/>
      <w:marRight w:val="0"/>
      <w:marTop w:val="0"/>
      <w:marBottom w:val="0"/>
      <w:divBdr>
        <w:top w:val="none" w:sz="0" w:space="0" w:color="auto"/>
        <w:left w:val="none" w:sz="0" w:space="0" w:color="auto"/>
        <w:bottom w:val="none" w:sz="0" w:space="0" w:color="auto"/>
        <w:right w:val="none" w:sz="0" w:space="0" w:color="auto"/>
      </w:divBdr>
      <w:divsChild>
        <w:div w:id="145588168">
          <w:marLeft w:val="1134"/>
          <w:marRight w:val="0"/>
          <w:marTop w:val="0"/>
          <w:marBottom w:val="0"/>
          <w:divBdr>
            <w:top w:val="single" w:sz="8" w:space="5" w:color="auto"/>
            <w:left w:val="single" w:sz="8" w:space="5" w:color="auto"/>
            <w:bottom w:val="single" w:sz="8" w:space="5" w:color="auto"/>
            <w:right w:val="single" w:sz="8" w:space="5" w:color="auto"/>
          </w:divBdr>
        </w:div>
      </w:divsChild>
    </w:div>
    <w:div w:id="1210143575">
      <w:bodyDiv w:val="1"/>
      <w:marLeft w:val="0"/>
      <w:marRight w:val="0"/>
      <w:marTop w:val="0"/>
      <w:marBottom w:val="0"/>
      <w:divBdr>
        <w:top w:val="none" w:sz="0" w:space="0" w:color="auto"/>
        <w:left w:val="none" w:sz="0" w:space="0" w:color="auto"/>
        <w:bottom w:val="none" w:sz="0" w:space="0" w:color="auto"/>
        <w:right w:val="none" w:sz="0" w:space="0" w:color="auto"/>
      </w:divBdr>
    </w:div>
    <w:div w:id="1651788053">
      <w:bodyDiv w:val="1"/>
      <w:marLeft w:val="0"/>
      <w:marRight w:val="0"/>
      <w:marTop w:val="0"/>
      <w:marBottom w:val="0"/>
      <w:divBdr>
        <w:top w:val="none" w:sz="0" w:space="0" w:color="auto"/>
        <w:left w:val="none" w:sz="0" w:space="0" w:color="auto"/>
        <w:bottom w:val="none" w:sz="0" w:space="0" w:color="auto"/>
        <w:right w:val="none" w:sz="0" w:space="0" w:color="auto"/>
      </w:divBdr>
    </w:div>
    <w:div w:id="177787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ries/F2014L00911" TargetMode="External"/><Relationship Id="rId117" Type="http://schemas.openxmlformats.org/officeDocument/2006/relationships/hyperlink" Target="https://www.legislation.gov.au/Series/C2013A00123" TargetMode="External"/><Relationship Id="rId21" Type="http://schemas.openxmlformats.org/officeDocument/2006/relationships/hyperlink" Target="https://www.finance.gov.au/government/managing-commonwealth-resources/banking-cash-commonwealth-entities-rmg-413" TargetMode="External"/><Relationship Id="rId42" Type="http://schemas.openxmlformats.org/officeDocument/2006/relationships/hyperlink" Target="https://www.legislation.gov.au/Series/F2014L00911" TargetMode="External"/><Relationship Id="rId47" Type="http://schemas.openxmlformats.org/officeDocument/2006/relationships/hyperlink" Target="https://reserves.defencejobs.gov.au/whats-involved" TargetMode="External"/><Relationship Id="rId63" Type="http://schemas.openxmlformats.org/officeDocument/2006/relationships/hyperlink" Target="https://www.legislation.gov.au/Series/F2015L00131" TargetMode="External"/><Relationship Id="rId68" Type="http://schemas.openxmlformats.org/officeDocument/2006/relationships/hyperlink" Target="https://www.finance.gov.au/publications/resource-management-guides/commonwealth-entities-financial-statements-guide-rmg-125" TargetMode="External"/><Relationship Id="rId84" Type="http://schemas.openxmlformats.org/officeDocument/2006/relationships/hyperlink" Target="https://www.finance.gov.au/government/federal-budget/central-budget-management-system-cbms" TargetMode="External"/><Relationship Id="rId89" Type="http://schemas.openxmlformats.org/officeDocument/2006/relationships/image" Target="media/image3.png"/><Relationship Id="rId112" Type="http://schemas.openxmlformats.org/officeDocument/2006/relationships/hyperlink" Target="https://www.finance.gov.au/publications/resource-management-guides/commonwealth-entities-financial-statements-guide-rmg-125" TargetMode="External"/><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hyperlink" Target="https://www.finance.gov.au/government/federal-budget/central-budget-management-system-cbms" TargetMode="External"/><Relationship Id="rId107" Type="http://schemas.openxmlformats.org/officeDocument/2006/relationships/hyperlink" Target="mailto:CFSTeam@finance.gov.au" TargetMode="External"/><Relationship Id="rId11" Type="http://schemas.openxmlformats.org/officeDocument/2006/relationships/footnotes" Target="footnotes.xml"/><Relationship Id="rId32" Type="http://schemas.openxmlformats.org/officeDocument/2006/relationships/hyperlink" Target="https://www.legislation.gov.au/Series/C2013A00123" TargetMode="External"/><Relationship Id="rId37" Type="http://schemas.openxmlformats.org/officeDocument/2006/relationships/hyperlink" Target="https://www.legislation.gov.au/Series/F2014L00911" TargetMode="External"/><Relationship Id="rId53" Type="http://schemas.openxmlformats.org/officeDocument/2006/relationships/hyperlink" Target="https://www.legislation.gov.au/Series/F2014L00911" TargetMode="External"/><Relationship Id="rId58" Type="http://schemas.openxmlformats.org/officeDocument/2006/relationships/hyperlink" Target="https://www.legislation.gov.au/Series/C2013A00123" TargetMode="External"/><Relationship Id="rId74" Type="http://schemas.openxmlformats.org/officeDocument/2006/relationships/hyperlink" Target="https://www.finance.gov.au/government/managing-commonwealth-resources/managing-money-property/managing-money/australian-government-charging-framework" TargetMode="External"/><Relationship Id="rId79" Type="http://schemas.openxmlformats.org/officeDocument/2006/relationships/image" Target="media/image2.png"/><Relationship Id="rId102" Type="http://schemas.openxmlformats.org/officeDocument/2006/relationships/hyperlink" Target="https://www.finance.gov.au/publications/commonwealth-consolidated-financial-statements" TargetMode="External"/><Relationship Id="rId123" Type="http://schemas.openxmlformats.org/officeDocument/2006/relationships/hyperlink" Target="https://www.legislation.gov.au/Series/C2013A00123" TargetMode="External"/><Relationship Id="rId128" Type="http://schemas.openxmlformats.org/officeDocument/2006/relationships/hyperlink" Target="https://www.legislation.gov.au/Series/C2004A02562" TargetMode="External"/><Relationship Id="rId5" Type="http://schemas.openxmlformats.org/officeDocument/2006/relationships/customXml" Target="../customXml/item5.xml"/><Relationship Id="rId90" Type="http://schemas.openxmlformats.org/officeDocument/2006/relationships/hyperlink" Target="mailto:MonthlyReportingTeam@finance.gov.au" TargetMode="External"/><Relationship Id="rId95" Type="http://schemas.openxmlformats.org/officeDocument/2006/relationships/hyperlink" Target="https://www.finance.gov.au/government/financial-reporting-accounting-policy/financial-reporting-commonwealth-entities" TargetMode="External"/><Relationship Id="rId22" Type="http://schemas.openxmlformats.org/officeDocument/2006/relationships/hyperlink" Target="https://www.finance.gov.au/about-us/glossary/pgpa/term-consolidated-revenue-fund-crf" TargetMode="External"/><Relationship Id="rId27" Type="http://schemas.openxmlformats.org/officeDocument/2006/relationships/hyperlink" Target="https://www.legislation.gov.au/Series/C2013A00123" TargetMode="External"/><Relationship Id="rId43" Type="http://schemas.openxmlformats.org/officeDocument/2006/relationships/hyperlink" Target="https://www.legislation.gov.au/Series/F2014L00911" TargetMode="External"/><Relationship Id="rId48" Type="http://schemas.openxmlformats.org/officeDocument/2006/relationships/hyperlink" Target="https://www.legislation.gov.au/Series/F2014L00911" TargetMode="External"/><Relationship Id="rId64" Type="http://schemas.openxmlformats.org/officeDocument/2006/relationships/hyperlink" Target="https://www.legislation.gov.au/Series/F2015L00131" TargetMode="External"/><Relationship Id="rId69" Type="http://schemas.openxmlformats.org/officeDocument/2006/relationships/hyperlink" Target="https://www.legislation.gov.au/Series/C2013A00123" TargetMode="External"/><Relationship Id="rId113" Type="http://schemas.openxmlformats.org/officeDocument/2006/relationships/hyperlink" Target="https://www.finance.gov.au/government/managing-commonwealth-resources/banking-cash-commonwealth-entities-rmg-413" TargetMode="External"/><Relationship Id="rId118" Type="http://schemas.openxmlformats.org/officeDocument/2006/relationships/hyperlink" Target="https://www.legislation.gov.au/Details/F2017C00730/Html/Text" TargetMode="External"/><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legislation.gov.au/Series/C2004A02562" TargetMode="External"/><Relationship Id="rId72" Type="http://schemas.openxmlformats.org/officeDocument/2006/relationships/hyperlink" Target="https://www.finance.gov.au/government/federal-budget/central-budget-management-system-cbms" TargetMode="External"/><Relationship Id="rId80" Type="http://schemas.openxmlformats.org/officeDocument/2006/relationships/hyperlink" Target="mailto:OPAAdmin@finance.gov.au" TargetMode="External"/><Relationship Id="rId85" Type="http://schemas.openxmlformats.org/officeDocument/2006/relationships/hyperlink" Target="https://www.legislation.gov.au/Series/F2015L00131" TargetMode="External"/><Relationship Id="rId93" Type="http://schemas.openxmlformats.org/officeDocument/2006/relationships/hyperlink" Target="https://www.finance.gov.au/government/managing-commonwealth-resources/managing-money-property/managing-money/annual-appropriations/portfolio-budget-statements" TargetMode="External"/><Relationship Id="rId98" Type="http://schemas.openxmlformats.org/officeDocument/2006/relationships/hyperlink" Target="https://www.legislation.gov.au/Series/F2015L00131" TargetMode="External"/><Relationship Id="rId121" Type="http://schemas.openxmlformats.org/officeDocument/2006/relationships/hyperlink" Target="mailto:Special.Appropriations%20%3cSpecial.Appropriations@finance.gov.au%3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publications/resource-management-guides/guide-appropriations-rmg-100" TargetMode="External"/><Relationship Id="rId25" Type="http://schemas.openxmlformats.org/officeDocument/2006/relationships/hyperlink" Target="https://www.legislation.gov.au/Series/C2013A00123" TargetMode="External"/><Relationship Id="rId33" Type="http://schemas.openxmlformats.org/officeDocument/2006/relationships/hyperlink" Target="https://www.legislation.gov.au/Series/C2013A00123" TargetMode="External"/><Relationship Id="rId38" Type="http://schemas.openxmlformats.org/officeDocument/2006/relationships/hyperlink" Target="https://www.legislation.gov.au/Series/F2014L00911" TargetMode="External"/><Relationship Id="rId46" Type="http://schemas.openxmlformats.org/officeDocument/2006/relationships/hyperlink" Target="https://www.dss.gov.au/our-responsibilities/families-and-children/programmes-services/paid-parental-leave-scheme" TargetMode="External"/><Relationship Id="rId59" Type="http://schemas.openxmlformats.org/officeDocument/2006/relationships/hyperlink" Target="https://www.legislation.gov.au/Series/F2014L00911" TargetMode="External"/><Relationship Id="rId67" Type="http://schemas.openxmlformats.org/officeDocument/2006/relationships/hyperlink" Target="https://www.legislation.gov.au/Series/F2014L00911" TargetMode="External"/><Relationship Id="rId103" Type="http://schemas.openxmlformats.org/officeDocument/2006/relationships/hyperlink" Target="https://www.finance.gov.au/government/federal-budget/central-budget-management-system-cbms" TargetMode="External"/><Relationship Id="rId108" Type="http://schemas.openxmlformats.org/officeDocument/2006/relationships/hyperlink" Target="https://www.legislation.gov.au/Series/F2014L00911" TargetMode="External"/><Relationship Id="rId116" Type="http://schemas.openxmlformats.org/officeDocument/2006/relationships/hyperlink" Target="https://www.legislation.gov.au/Series/F2014L00911" TargetMode="External"/><Relationship Id="rId124" Type="http://schemas.openxmlformats.org/officeDocument/2006/relationships/hyperlink" Target="https://www.legislation.gov.au/Series/C2013A00123" TargetMode="External"/><Relationship Id="rId129" Type="http://schemas.openxmlformats.org/officeDocument/2006/relationships/hyperlink" Target="https://www.legislation.gov.au/Series/F2015L00131" TargetMode="External"/><Relationship Id="rId137" Type="http://schemas.openxmlformats.org/officeDocument/2006/relationships/footer" Target="footer3.xml"/><Relationship Id="rId20" Type="http://schemas.openxmlformats.org/officeDocument/2006/relationships/hyperlink" Target="https://www.finance.gov.au/publications/resource-management-guides/australian-government-cost-recovery-guidelines-rmg-304" TargetMode="External"/><Relationship Id="rId41" Type="http://schemas.openxmlformats.org/officeDocument/2006/relationships/hyperlink" Target="https://www.legislation.gov.au/Series/C2013A00123" TargetMode="External"/><Relationship Id="rId54" Type="http://schemas.openxmlformats.org/officeDocument/2006/relationships/hyperlink" Target="https://www.finance.gov.au/publications/resource-management-guides/guide-appropriations-rmg-100" TargetMode="External"/><Relationship Id="rId62" Type="http://schemas.openxmlformats.org/officeDocument/2006/relationships/hyperlink" Target="https://www.legislation.gov.au/Series/C2013A00123" TargetMode="External"/><Relationship Id="rId70" Type="http://schemas.openxmlformats.org/officeDocument/2006/relationships/hyperlink" Target="https://www.legislation.gov.au/Series/F2014L00911" TargetMode="External"/><Relationship Id="rId75" Type="http://schemas.openxmlformats.org/officeDocument/2006/relationships/hyperlink" Target="mailto:ChargingPolicy@finance.gov.au" TargetMode="External"/><Relationship Id="rId83" Type="http://schemas.openxmlformats.org/officeDocument/2006/relationships/hyperlink" Target="mailto:OPAAdmin@finance.gov.au" TargetMode="External"/><Relationship Id="rId88" Type="http://schemas.openxmlformats.org/officeDocument/2006/relationships/hyperlink" Target="https://www.finance.gov.au/publications/resource-management-guides/commonwealth-entities-financial-statements-guide-rmg-125" TargetMode="External"/><Relationship Id="rId91" Type="http://schemas.openxmlformats.org/officeDocument/2006/relationships/hyperlink" Target="mailto:CFSTeam@finance.gov.au" TargetMode="External"/><Relationship Id="rId96" Type="http://schemas.openxmlformats.org/officeDocument/2006/relationships/hyperlink" Target="https://www.legislation.gov.au/Series/F2015L00131" TargetMode="External"/><Relationship Id="rId111" Type="http://schemas.openxmlformats.org/officeDocument/2006/relationships/hyperlink" Target="https://www.legislation.gov.au/Series/F2015L00131"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dpmc.gov.au/government/its-honour" TargetMode="External"/><Relationship Id="rId23" Type="http://schemas.openxmlformats.org/officeDocument/2006/relationships/hyperlink" Target="https://www.rba.gov.au/fin-services/banking.html" TargetMode="External"/><Relationship Id="rId28" Type="http://schemas.openxmlformats.org/officeDocument/2006/relationships/hyperlink" Target="https://www.legislation.gov.au/Series/C2013A00123" TargetMode="External"/><Relationship Id="rId36" Type="http://schemas.openxmlformats.org/officeDocument/2006/relationships/hyperlink" Target="https://www.legislation.gov.au/Series/F2014L00911" TargetMode="External"/><Relationship Id="rId49" Type="http://schemas.openxmlformats.org/officeDocument/2006/relationships/hyperlink" Target="https://www.legislation.gov.au/Series/F2014L00911" TargetMode="External"/><Relationship Id="rId57" Type="http://schemas.openxmlformats.org/officeDocument/2006/relationships/hyperlink" Target="https://www.legislation.gov.au/Series/C2013A00123" TargetMode="External"/><Relationship Id="rId106" Type="http://schemas.openxmlformats.org/officeDocument/2006/relationships/hyperlink" Target="mailto:MonthlyReportingTeam@finance.gov.au" TargetMode="External"/><Relationship Id="rId114" Type="http://schemas.openxmlformats.org/officeDocument/2006/relationships/hyperlink" Target="https://www.finance.gov.au/government/federal-budget/central-budget-management-system-cbms/cbms-training" TargetMode="External"/><Relationship Id="rId119" Type="http://schemas.openxmlformats.org/officeDocument/2006/relationships/hyperlink" Target="https://www.finance.gov.au/government/federal-budget/central-budget-management-system-cbms" TargetMode="External"/><Relationship Id="rId127" Type="http://schemas.openxmlformats.org/officeDocument/2006/relationships/hyperlink" Target="https://budget.gov.au/" TargetMode="External"/><Relationship Id="rId10" Type="http://schemas.openxmlformats.org/officeDocument/2006/relationships/webSettings" Target="webSettings.xml"/><Relationship Id="rId31" Type="http://schemas.openxmlformats.org/officeDocument/2006/relationships/hyperlink" Target="https://www.legislation.gov.au/Series/F2014L00911" TargetMode="External"/><Relationship Id="rId44" Type="http://schemas.openxmlformats.org/officeDocument/2006/relationships/hyperlink" Target="https://www.legislation.gov.au/Series/F2014L00911" TargetMode="External"/><Relationship Id="rId52" Type="http://schemas.openxmlformats.org/officeDocument/2006/relationships/hyperlink" Target="https://www.legislation.gov.au/Series/F2014L00911" TargetMode="External"/><Relationship Id="rId60" Type="http://schemas.openxmlformats.org/officeDocument/2006/relationships/hyperlink" Target="https://www.legislation.gov.au/Series/C2013A00123" TargetMode="External"/><Relationship Id="rId65" Type="http://schemas.openxmlformats.org/officeDocument/2006/relationships/hyperlink" Target="https://www.legislation.gov.au/Series/F2015L00131" TargetMode="External"/><Relationship Id="rId73" Type="http://schemas.openxmlformats.org/officeDocument/2006/relationships/hyperlink" Target="https://www.legislation.gov.au/Series/C2013A00123" TargetMode="External"/><Relationship Id="rId78" Type="http://schemas.openxmlformats.org/officeDocument/2006/relationships/hyperlink" Target="https://www.legislation.gov.au/Series/C2013A00123" TargetMode="External"/><Relationship Id="rId81" Type="http://schemas.openxmlformats.org/officeDocument/2006/relationships/hyperlink" Target="https://www.finance.gov.au/government/federal-budget/central-budget-management-system-cbms" TargetMode="External"/><Relationship Id="rId86" Type="http://schemas.openxmlformats.org/officeDocument/2006/relationships/hyperlink" Target="https://www.legislation.gov.au/Series/F2015L00131" TargetMode="External"/><Relationship Id="rId94" Type="http://schemas.openxmlformats.org/officeDocument/2006/relationships/hyperlink" Target="https://budget.gov.au/" TargetMode="External"/><Relationship Id="rId99" Type="http://schemas.openxmlformats.org/officeDocument/2006/relationships/hyperlink" Target="https://www.finance.gov.au/publications/resource-management-guides/commonwealth-entities-financial-statements-guide-rmg-125" TargetMode="External"/><Relationship Id="rId101" Type="http://schemas.openxmlformats.org/officeDocument/2006/relationships/hyperlink" Target="https://www.finance.gov.au/publications/commonwealth-consolidated-financial-statements" TargetMode="External"/><Relationship Id="rId122" Type="http://schemas.openxmlformats.org/officeDocument/2006/relationships/hyperlink" Target="https://www.legislation.gov.au/Series/C2013A00123" TargetMode="External"/><Relationship Id="rId130" Type="http://schemas.openxmlformats.org/officeDocument/2006/relationships/hyperlink" Target="https://www.legislation.gov.au/Series/C2013A00123" TargetMode="External"/><Relationship Id="rId13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creativecommons.org/licenses/by/3.0/au/" TargetMode="External"/><Relationship Id="rId18" Type="http://schemas.openxmlformats.org/officeDocument/2006/relationships/hyperlink" Target="https://www.finance.gov.au/publications/resource-management-guides/commonwealth-entities-financial-statements-guide-rmg-125" TargetMode="External"/><Relationship Id="rId39" Type="http://schemas.openxmlformats.org/officeDocument/2006/relationships/hyperlink" Target="https://reserves.defencejobs.gov.au/whats-involved" TargetMode="External"/><Relationship Id="rId109" Type="http://schemas.openxmlformats.org/officeDocument/2006/relationships/hyperlink" Target="https://www.legislation.gov.au/Series/F2015L00131" TargetMode="External"/><Relationship Id="rId34" Type="http://schemas.openxmlformats.org/officeDocument/2006/relationships/hyperlink" Target="https://www.legislation.gov.au/Series/F2014L00911" TargetMode="External"/><Relationship Id="rId50" Type="http://schemas.openxmlformats.org/officeDocument/2006/relationships/hyperlink" Target="https://www.legislation.gov.au/Series/F2014L00911" TargetMode="External"/><Relationship Id="rId55" Type="http://schemas.openxmlformats.org/officeDocument/2006/relationships/hyperlink" Target="mailto:Special.Appropriations%20%3cSpecial.Appropriations@finance.gov.au%3e" TargetMode="External"/><Relationship Id="rId76" Type="http://schemas.openxmlformats.org/officeDocument/2006/relationships/hyperlink" Target="https://www.finance.gov.au/government/federal-budget/central-budget-management-system-cbms" TargetMode="External"/><Relationship Id="rId97" Type="http://schemas.openxmlformats.org/officeDocument/2006/relationships/hyperlink" Target="https://www.legislation.gov.au/Series/F2015L00131" TargetMode="External"/><Relationship Id="rId104" Type="http://schemas.openxmlformats.org/officeDocument/2006/relationships/hyperlink" Target="https://www.finance.gov.au/publications/resource-management-guides/guide-appropriations-rmg-100" TargetMode="External"/><Relationship Id="rId120" Type="http://schemas.openxmlformats.org/officeDocument/2006/relationships/hyperlink" Target="https://www.finance.gov.au/government/shared-services-program/overview-shared-services-program" TargetMode="External"/><Relationship Id="rId125" Type="http://schemas.openxmlformats.org/officeDocument/2006/relationships/hyperlink" Target="https://www.legislation.gov.au/Series/F2015L00131" TargetMode="External"/><Relationship Id="rId7" Type="http://schemas.openxmlformats.org/officeDocument/2006/relationships/numbering" Target="numbering.xml"/><Relationship Id="rId71" Type="http://schemas.openxmlformats.org/officeDocument/2006/relationships/hyperlink" Target="https://www.finance.gov.au/government/federal-budget/central-budget-management-system-cbms" TargetMode="External"/><Relationship Id="rId92" Type="http://schemas.openxmlformats.org/officeDocument/2006/relationships/hyperlink" Target="https://www.finance.gov.au/government/managing-commonwealth-resources/managing-money-property/managing-money/annual-appropriations/portfolio-budget-statements" TargetMode="External"/><Relationship Id="rId2" Type="http://schemas.openxmlformats.org/officeDocument/2006/relationships/customXml" Target="../customXml/item2.xml"/><Relationship Id="rId29" Type="http://schemas.openxmlformats.org/officeDocument/2006/relationships/hyperlink" Target="https://www.finance.gov.au/publications/resource-management-guides/guide-appropriations-rmg-100" TargetMode="External"/><Relationship Id="rId24" Type="http://schemas.openxmlformats.org/officeDocument/2006/relationships/hyperlink" Target="https://www.legislation.gov.au/Series/C2013A00123" TargetMode="External"/><Relationship Id="rId40" Type="http://schemas.openxmlformats.org/officeDocument/2006/relationships/hyperlink" Target="https://www.legislation.gov.au/Series/F2014L00911" TargetMode="External"/><Relationship Id="rId45" Type="http://schemas.openxmlformats.org/officeDocument/2006/relationships/hyperlink" Target="https://www.legislation.gov.au/Series/F2014L00911" TargetMode="External"/><Relationship Id="rId66" Type="http://schemas.openxmlformats.org/officeDocument/2006/relationships/hyperlink" Target="https://www.finance.gov.au/publications/resource-management-guides/commonwealth-entities-financial-statements-guide-rmg-125" TargetMode="External"/><Relationship Id="rId87" Type="http://schemas.openxmlformats.org/officeDocument/2006/relationships/hyperlink" Target="https://www.legislation.gov.au/Series/F2015L00131" TargetMode="External"/><Relationship Id="rId110" Type="http://schemas.openxmlformats.org/officeDocument/2006/relationships/hyperlink" Target="https://www.legislation.gov.au/Series/F2015L00131" TargetMode="External"/><Relationship Id="rId115" Type="http://schemas.openxmlformats.org/officeDocument/2006/relationships/hyperlink" Target="https://www.finance.gov.au/about-us/glossary/pgpa/term-new-policy-proposals-npps" TargetMode="External"/><Relationship Id="rId131" Type="http://schemas.openxmlformats.org/officeDocument/2006/relationships/hyperlink" Target="https://www.legislation.gov.au/Series/F2014L00911" TargetMode="External"/><Relationship Id="rId136" Type="http://schemas.openxmlformats.org/officeDocument/2006/relationships/header" Target="header3.xml"/><Relationship Id="rId61" Type="http://schemas.openxmlformats.org/officeDocument/2006/relationships/hyperlink" Target="mailto:pgpa@finance.gov.au" TargetMode="External"/><Relationship Id="rId82" Type="http://schemas.openxmlformats.org/officeDocument/2006/relationships/hyperlink" Target="https://www.rba.gov.au/fin-services/banking.html" TargetMode="External"/><Relationship Id="rId19" Type="http://schemas.openxmlformats.org/officeDocument/2006/relationships/hyperlink" Target="https://www.finance.gov.au/publications/resource-management-guides/australian-government-charging-framework-rmg-302" TargetMode="External"/><Relationship Id="rId14" Type="http://schemas.openxmlformats.org/officeDocument/2006/relationships/image" Target="media/image1.emf"/><Relationship Id="rId30" Type="http://schemas.openxmlformats.org/officeDocument/2006/relationships/hyperlink" Target="https://www.legislation.gov.au/Series/F2014L00911" TargetMode="External"/><Relationship Id="rId35" Type="http://schemas.openxmlformats.org/officeDocument/2006/relationships/hyperlink" Target="mailto:Special.Appropriations%20%3cSpecial.Appropriations@finance.gov.au%3e" TargetMode="External"/><Relationship Id="rId56" Type="http://schemas.openxmlformats.org/officeDocument/2006/relationships/hyperlink" Target="https://www.legislation.gov.au/Series/F2014L00911" TargetMode="External"/><Relationship Id="rId77" Type="http://schemas.openxmlformats.org/officeDocument/2006/relationships/hyperlink" Target="https://www.legislation.gov.au/Series/C2013A00123" TargetMode="External"/><Relationship Id="rId100" Type="http://schemas.openxmlformats.org/officeDocument/2006/relationships/hyperlink" Target="https://budget.gov.au/2019-20/content/fbo/index.htm" TargetMode="External"/><Relationship Id="rId105" Type="http://schemas.openxmlformats.org/officeDocument/2006/relationships/hyperlink" Target="https://www.finance.gov.au/government/federal-budget/budget-process" TargetMode="External"/><Relationship Id="rId126" Type="http://schemas.openxmlformats.org/officeDocument/2006/relationships/hyperlink" Target="https://www.finance.gov.au/publications/resource-management-guides/retainable-receipts-rmg-30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Special Appropriations</TermName>
          <TermId xmlns="http://schemas.microsoft.com/office/infopath/2007/PartnerControls">4d6dc14f-ec13-4bc9-b2c0-87860d28c371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4a0e1069-ce77-47a0-9431-178ab1ddd02d">FIN201933577-1439080521-21144</_dlc_DocId>
    <_dlc_DocIdUrl xmlns="4a0e1069-ce77-47a0-9431-178ab1ddd02d">
      <Url>https://f1.prdmgd.finance.gov.au/sites/50033577/_layouts/15/DocIdRedir.aspx?ID=FIN201933577-1439080521-21144</Url>
      <Description>FIN201933577-1439080521-21144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8C30AA860100A4FB52E3FAB0D077D2D" ma:contentTypeVersion="147" ma:contentTypeDescription="Create a new document." ma:contentTypeScope="" ma:versionID="056eb7b22f72170c08bfde33c9115169">
  <xsd:schema xmlns:xsd="http://www.w3.org/2001/XMLSchema" xmlns:xs="http://www.w3.org/2001/XMLSchema" xmlns:p="http://schemas.microsoft.com/office/2006/metadata/properties" xmlns:ns1="http://schemas.microsoft.com/sharepoint/v3" xmlns:ns2="82ff9d9b-d3fc-4aad-bc42-9949ee83b815" xmlns:ns3="4a0e1069-ce77-47a0-9431-178ab1ddd02d" targetNamespace="http://schemas.microsoft.com/office/2006/metadata/properties" ma:root="true" ma:fieldsID="80f4ebb0f67fb243f6405791b007e2f5" ns1:_="" ns2:_="" ns3:_="">
    <xsd:import namespace="http://schemas.microsoft.com/sharepoint/v3"/>
    <xsd:import namespace="82ff9d9b-d3fc-4aad-bc42-9949ee83b815"/>
    <xsd:import namespace="4a0e1069-ce77-47a0-9431-178ab1ddd02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a3d62bf1-3ca0-4ea2-ae64-67ae2c8b2bd8}" ma:internalName="TaxCatchAll" ma:showField="CatchAllData" ma:web="4a0e1069-ce77-47a0-9431-178ab1ddd02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a3d62bf1-3ca0-4ea2-ae64-67ae2c8b2bd8}" ma:internalName="TaxCatchAllLabel" ma:readOnly="true" ma:showField="CatchAllDataLabel" ma:web="4a0e1069-ce77-47a0-9431-178ab1ddd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e1069-ce77-47a0-9431-178ab1ddd02d"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2C26-5AE9-4B5D-9AA5-0D425474EAD2}">
  <ds:schemaRefs>
    <ds:schemaRef ds:uri="http://schemas.microsoft.com/office/2006/documentManagement/types"/>
    <ds:schemaRef ds:uri="http://schemas.microsoft.com/office/2006/metadata/properties"/>
    <ds:schemaRef ds:uri="82ff9d9b-d3fc-4aad-bc42-9949ee83b815"/>
    <ds:schemaRef ds:uri="http://purl.org/dc/elements/1.1/"/>
    <ds:schemaRef ds:uri="4a0e1069-ce77-47a0-9431-178ab1ddd02d"/>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36183DD-EB96-4E4E-8F6B-EB98DB8B27FF}">
  <ds:schemaRefs>
    <ds:schemaRef ds:uri="http://schemas.microsoft.com/sharepoint/events"/>
  </ds:schemaRefs>
</ds:datastoreItem>
</file>

<file path=customXml/itemProps3.xml><?xml version="1.0" encoding="utf-8"?>
<ds:datastoreItem xmlns:ds="http://schemas.openxmlformats.org/officeDocument/2006/customXml" ds:itemID="{CD628AF7-3543-4171-AFE3-8CFB5F69F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a0e1069-ce77-47a0-9431-178ab1ddd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48CE0-E3F7-42FB-8BF2-2652A5689E97}">
  <ds:schemaRefs>
    <ds:schemaRef ds:uri="http://schemas.microsoft.com/sharepoint/v3/contenttype/forms"/>
  </ds:schemaRefs>
</ds:datastoreItem>
</file>

<file path=customXml/itemProps5.xml><?xml version="1.0" encoding="utf-8"?>
<ds:datastoreItem xmlns:ds="http://schemas.openxmlformats.org/officeDocument/2006/customXml" ds:itemID="{611E50AF-9099-4EA6-800A-00BD635B4897}">
  <ds:schemaRefs>
    <ds:schemaRef ds:uri="Microsoft.SharePoint.Taxonomy.ContentTypeSync"/>
  </ds:schemaRefs>
</ds:datastoreItem>
</file>

<file path=customXml/itemProps6.xml><?xml version="1.0" encoding="utf-8"?>
<ds:datastoreItem xmlns:ds="http://schemas.openxmlformats.org/officeDocument/2006/customXml" ds:itemID="{E72C8B35-4DD6-4E03-A69B-F9F41CFC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7817</Words>
  <Characters>44559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2020-07-21T23:23:00Z</dcterms:created>
  <dcterms:modified xsi:type="dcterms:W3CDTF">2020-07-21T23:27:00Z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0x010100B321FEA60C5BA343A52BC94EC00ABC9E0700B8C30AA860100A4FB52E3FAB0D077D2D</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Function and Activity">
    <vt:lpwstr/>
  </property>
  <property fmtid="{D5CDD505-2E9C-101B-9397-08002B2CF9AE}" pid="6" name="OrgUnit">
    <vt:lpwstr>1;#Special Appropriations|4d6dc14f-ec13-4bc9-b2c0-87860d28c371</vt:lpwstr>
  </property>
  <property fmtid="{D5CDD505-2E9C-101B-9397-08002B2CF9AE}" pid="7" name="InitiatingEntity">
    <vt:lpwstr>2;#Department of Finance|fd660e8f-8f31-49bd-92a3-d31d4da31afe</vt:lpwstr>
  </property>
  <property fmtid="{D5CDD505-2E9C-101B-9397-08002B2CF9AE}" pid="8" name="_dlc_DocIdItemGuid">
    <vt:lpwstr>f284d0f5-b684-45c9-89a3-8e9f5e8a889e</vt:lpwstr>
  </property>
</Properties>
</file>