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2AD6" w14:textId="4F2CF3B1" w:rsidR="009B07E0" w:rsidRPr="00F94CF5" w:rsidRDefault="00DF33A3" w:rsidP="000C2A48">
      <w:r>
        <w:t xml:space="preserve"> </w:t>
      </w:r>
    </w:p>
    <w:p w14:paraId="146656DF" w14:textId="77777777" w:rsidR="009B07E0" w:rsidRPr="00F94CF5" w:rsidRDefault="009B07E0" w:rsidP="00DB6D69">
      <w:pPr>
        <w:pStyle w:val="Title"/>
        <w:rPr>
          <w:rFonts w:ascii="Calibri" w:hAnsi="Calibri"/>
          <w:b/>
          <w:color w:val="000000"/>
          <w:sz w:val="22"/>
          <w:szCs w:val="22"/>
        </w:rPr>
      </w:pPr>
    </w:p>
    <w:p w14:paraId="351F57B1" w14:textId="78E47F70" w:rsidR="009B07E0" w:rsidRPr="00F94CF5" w:rsidRDefault="009B07E0" w:rsidP="00F94CF5">
      <w:pPr>
        <w:pStyle w:val="Title"/>
        <w:rPr>
          <w:b/>
        </w:rPr>
      </w:pPr>
      <w:bookmarkStart w:id="0" w:name="_Toc39570215"/>
      <w:r w:rsidRPr="00F94CF5">
        <w:rPr>
          <w:b/>
        </w:rPr>
        <w:t>Grant</w:t>
      </w:r>
      <w:r w:rsidR="00E2772A">
        <w:rPr>
          <w:b/>
        </w:rPr>
        <w:t>s</w:t>
      </w:r>
      <w:r w:rsidRPr="00F94CF5">
        <w:rPr>
          <w:b/>
        </w:rPr>
        <w:t>, Procurement</w:t>
      </w:r>
      <w:r w:rsidR="00E2772A">
        <w:rPr>
          <w:b/>
        </w:rPr>
        <w:t>s</w:t>
      </w:r>
      <w:r w:rsidRPr="00F94CF5">
        <w:rPr>
          <w:b/>
        </w:rPr>
        <w:t xml:space="preserve"> </w:t>
      </w:r>
      <w:r w:rsidR="00E2772A">
        <w:rPr>
          <w:b/>
        </w:rPr>
        <w:t>and</w:t>
      </w:r>
      <w:r w:rsidR="00E2772A" w:rsidRPr="00F94CF5">
        <w:rPr>
          <w:b/>
        </w:rPr>
        <w:t xml:space="preserve"> </w:t>
      </w:r>
      <w:r w:rsidRPr="00F94CF5">
        <w:rPr>
          <w:b/>
        </w:rPr>
        <w:t>other financial arrangement</w:t>
      </w:r>
      <w:r w:rsidR="00143A70">
        <w:rPr>
          <w:b/>
        </w:rPr>
        <w:t>s</w:t>
      </w:r>
      <w:bookmarkEnd w:id="0"/>
    </w:p>
    <w:p w14:paraId="0E74015D" w14:textId="77777777" w:rsidR="009B07E0" w:rsidRPr="00F94CF5" w:rsidRDefault="009B07E0">
      <w:pPr>
        <w:jc w:val="right"/>
        <w:rPr>
          <w:color w:val="000000"/>
          <w:sz w:val="34"/>
          <w:szCs w:val="34"/>
        </w:rPr>
      </w:pPr>
      <w:bookmarkStart w:id="1" w:name="_GoBack"/>
      <w:r w:rsidRPr="00F94CF5">
        <w:rPr>
          <w:sz w:val="34"/>
          <w:szCs w:val="34"/>
        </w:rPr>
        <w:t>Resource Management Guide No. 411</w:t>
      </w:r>
    </w:p>
    <w:bookmarkEnd w:id="1"/>
    <w:p w14:paraId="1364FB05" w14:textId="77777777" w:rsidR="009B07E0" w:rsidRPr="00BB756B" w:rsidRDefault="009B07E0" w:rsidP="00F94CF5"/>
    <w:p w14:paraId="23FEA511" w14:textId="77777777" w:rsidR="009B07E0" w:rsidRPr="00BB756B" w:rsidRDefault="009B07E0" w:rsidP="00F94CF5"/>
    <w:p w14:paraId="7B0F4421" w14:textId="77777777" w:rsidR="009B07E0" w:rsidRPr="00BB756B" w:rsidRDefault="009B07E0" w:rsidP="00F94CF5"/>
    <w:p w14:paraId="13B5A6B8" w14:textId="77777777" w:rsidR="009B07E0" w:rsidRPr="00BB756B" w:rsidRDefault="009B07E0"/>
    <w:p w14:paraId="3AC996B8" w14:textId="6245E7B6" w:rsidR="009B07E0" w:rsidRPr="00BB756B" w:rsidRDefault="00BB1664">
      <w:r>
        <w:t>JUNE</w:t>
      </w:r>
      <w:r w:rsidR="00B13E05">
        <w:t xml:space="preserve"> </w:t>
      </w:r>
      <w:r w:rsidR="005014F6">
        <w:t>2018</w:t>
      </w:r>
      <w:r w:rsidR="009B07E0" w:rsidRPr="00BB756B">
        <w:br w:type="page"/>
      </w:r>
    </w:p>
    <w:p w14:paraId="7B3A0923" w14:textId="1CCE9CC4" w:rsidR="009B07E0" w:rsidRPr="005A01B5" w:rsidRDefault="009B07E0" w:rsidP="005E5CB9">
      <w:r w:rsidRPr="005A01B5">
        <w:lastRenderedPageBreak/>
        <w:t>© Commonwealth of Australia 201</w:t>
      </w:r>
      <w:r w:rsidR="00B13E05">
        <w:t>8</w:t>
      </w:r>
    </w:p>
    <w:p w14:paraId="0E2E4E6C" w14:textId="77777777" w:rsidR="00E34BB7" w:rsidRPr="00E34BB7" w:rsidRDefault="009B07E0" w:rsidP="00E34BB7">
      <w:pPr>
        <w:rPr>
          <w:highlight w:val="yellow"/>
        </w:rPr>
      </w:pPr>
      <w:r w:rsidRPr="005A01B5">
        <w:t xml:space="preserve">ISBN: </w:t>
      </w:r>
      <w:r w:rsidR="00E34BB7" w:rsidRPr="00E34BB7">
        <w:t>978-1-925537-19-2 (online)</w:t>
      </w:r>
    </w:p>
    <w:p w14:paraId="77A7BB28" w14:textId="77777777" w:rsidR="009B07E0" w:rsidRPr="005A01B5" w:rsidRDefault="009B07E0" w:rsidP="005E5CB9">
      <w:r w:rsidRPr="005A01B5">
        <w:t>With the exception of the Commonwealth Coat of Arms and where otherwise noted, all material presented in this document is provided under a Creative Commons Attribution 3.0 Australia (</w:t>
      </w:r>
      <w:hyperlink r:id="rId13" w:history="1">
        <w:r w:rsidRPr="005A01B5">
          <w:rPr>
            <w:rStyle w:val="Hyperlink"/>
          </w:rPr>
          <w:t>http://creativecommons.org/licenses/by/3.0/au</w:t>
        </w:r>
      </w:hyperlink>
      <w:r w:rsidRPr="005A01B5">
        <w:t>) licence.</w:t>
      </w:r>
    </w:p>
    <w:p w14:paraId="78C3D3A8" w14:textId="23334DD8" w:rsidR="009B07E0" w:rsidRPr="005A01B5" w:rsidRDefault="00596985" w:rsidP="005E5CB9">
      <w:r w:rsidRPr="005A01B5">
        <w:rPr>
          <w:noProof/>
          <w:lang w:eastAsia="en-AU"/>
        </w:rPr>
        <w:drawing>
          <wp:inline distT="0" distB="0" distL="0" distR="0" wp14:anchorId="57384977" wp14:editId="38E779AA">
            <wp:extent cx="1133475" cy="390525"/>
            <wp:effectExtent l="0" t="0" r="0" b="0"/>
            <wp:docPr id="7"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p w14:paraId="0B9BC40D" w14:textId="77777777" w:rsidR="009B07E0" w:rsidRPr="005A01B5" w:rsidRDefault="009B07E0" w:rsidP="005E5CB9">
      <w:r w:rsidRPr="005A01B5">
        <w:t>The details of the relevant licence conditions are available on the Creative Commons website (accessible using the links provided) as is the full legal code for the CC BY 3 AU licence.</w:t>
      </w:r>
    </w:p>
    <w:p w14:paraId="783C0378" w14:textId="158B0CE7" w:rsidR="009B07E0" w:rsidRPr="005A01B5" w:rsidRDefault="009B07E0" w:rsidP="008A4032">
      <w:pPr>
        <w:spacing w:before="240"/>
      </w:pPr>
      <w:r w:rsidRPr="005A01B5">
        <w:rPr>
          <w:b/>
        </w:rPr>
        <w:t>Use of the Coat of Arms</w:t>
      </w:r>
      <w:r w:rsidR="008A4032">
        <w:br/>
      </w:r>
      <w:r w:rsidRPr="005A01B5">
        <w:t xml:space="preserve">The terms under which the Coat of Arms can be used are detailed on the following website: </w:t>
      </w:r>
      <w:hyperlink r:id="rId15" w:history="1">
        <w:r w:rsidRPr="005A01B5">
          <w:rPr>
            <w:rStyle w:val="Hyperlink"/>
            <w:rFonts w:cs="Times New Roman"/>
          </w:rPr>
          <w:t>www.dpmc.gov.au/government/its-honour</w:t>
        </w:r>
      </w:hyperlink>
      <w:r w:rsidRPr="005A01B5">
        <w:t>.</w:t>
      </w:r>
    </w:p>
    <w:p w14:paraId="315DFF04" w14:textId="77777777" w:rsidR="009B07E0" w:rsidRPr="005A01B5" w:rsidRDefault="009B07E0" w:rsidP="005E5CB9">
      <w:pPr>
        <w:spacing w:before="240"/>
        <w:rPr>
          <w:b/>
        </w:rPr>
      </w:pPr>
      <w:r w:rsidRPr="005A01B5">
        <w:rPr>
          <w:b/>
        </w:rPr>
        <w:t>Contact us</w:t>
      </w:r>
    </w:p>
    <w:p w14:paraId="7E0D0FFF" w14:textId="77777777" w:rsidR="009B07E0" w:rsidRPr="005A01B5" w:rsidRDefault="009B07E0" w:rsidP="005E5CB9">
      <w:r w:rsidRPr="005A01B5">
        <w:t xml:space="preserve">Please direct questions or comments about the guide to: </w:t>
      </w:r>
    </w:p>
    <w:p w14:paraId="562B97C8" w14:textId="77777777" w:rsidR="009B07E0" w:rsidRPr="005A01B5" w:rsidRDefault="009B07E0" w:rsidP="005E5CB9">
      <w:pPr>
        <w:spacing w:before="0" w:after="0" w:line="240" w:lineRule="auto"/>
        <w:rPr>
          <w:color w:val="000000"/>
        </w:rPr>
      </w:pPr>
      <w:r w:rsidRPr="005A01B5">
        <w:rPr>
          <w:color w:val="000000"/>
        </w:rPr>
        <w:t>Resource Management Branch</w:t>
      </w:r>
    </w:p>
    <w:p w14:paraId="616AAE18" w14:textId="77777777" w:rsidR="009B07E0" w:rsidRPr="005A01B5" w:rsidRDefault="009B07E0" w:rsidP="005E5CB9">
      <w:pPr>
        <w:spacing w:before="0" w:after="0" w:line="240" w:lineRule="auto"/>
        <w:rPr>
          <w:color w:val="000000"/>
        </w:rPr>
      </w:pPr>
      <w:r w:rsidRPr="005A01B5">
        <w:rPr>
          <w:color w:val="000000"/>
        </w:rPr>
        <w:t>Department of Finance</w:t>
      </w:r>
    </w:p>
    <w:p w14:paraId="54A5B1C6" w14:textId="77777777" w:rsidR="009B07E0" w:rsidRPr="005A01B5" w:rsidRDefault="009B07E0" w:rsidP="005E5CB9">
      <w:pPr>
        <w:spacing w:before="0" w:after="0" w:line="240" w:lineRule="auto"/>
        <w:rPr>
          <w:color w:val="000000"/>
        </w:rPr>
      </w:pPr>
      <w:r w:rsidRPr="005A01B5">
        <w:rPr>
          <w:color w:val="000000"/>
        </w:rPr>
        <w:t>1 Canberra Avenue</w:t>
      </w:r>
    </w:p>
    <w:p w14:paraId="73A1D7B6" w14:textId="77777777" w:rsidR="009B07E0" w:rsidRPr="005A01B5" w:rsidRDefault="009B07E0" w:rsidP="009A08BD">
      <w:pPr>
        <w:spacing w:before="0" w:after="120" w:line="240" w:lineRule="auto"/>
        <w:rPr>
          <w:color w:val="000000"/>
        </w:rPr>
      </w:pPr>
      <w:r w:rsidRPr="005A01B5">
        <w:rPr>
          <w:color w:val="000000"/>
        </w:rPr>
        <w:t>Forrest ACT 2603</w:t>
      </w:r>
    </w:p>
    <w:p w14:paraId="22DD58B4" w14:textId="77777777" w:rsidR="009B07E0" w:rsidRPr="005A01B5" w:rsidRDefault="009B07E0" w:rsidP="009A08BD">
      <w:pPr>
        <w:spacing w:before="0" w:after="120" w:line="240" w:lineRule="auto"/>
        <w:rPr>
          <w:color w:val="000000"/>
        </w:rPr>
      </w:pPr>
      <w:r w:rsidRPr="005A01B5">
        <w:rPr>
          <w:color w:val="000000"/>
        </w:rPr>
        <w:t xml:space="preserve">Email: </w:t>
      </w:r>
      <w:hyperlink r:id="rId16" w:history="1">
        <w:r w:rsidRPr="005A01B5">
          <w:rPr>
            <w:rStyle w:val="Hyperlink"/>
          </w:rPr>
          <w:t>grants@finance.gov.au</w:t>
        </w:r>
      </w:hyperlink>
    </w:p>
    <w:p w14:paraId="20A0C756" w14:textId="77777777" w:rsidR="009B07E0" w:rsidRPr="005A01B5" w:rsidRDefault="009B07E0" w:rsidP="004E71F5">
      <w:pPr>
        <w:spacing w:before="0" w:after="120" w:line="240" w:lineRule="auto"/>
        <w:rPr>
          <w:rStyle w:val="Hyperlink"/>
          <w:rFonts w:cs="Arial"/>
          <w:color w:val="000000"/>
        </w:rPr>
      </w:pPr>
      <w:r w:rsidRPr="005A01B5">
        <w:rPr>
          <w:color w:val="000000"/>
        </w:rPr>
        <w:t>Internet:</w:t>
      </w:r>
      <w:r w:rsidRPr="005A01B5">
        <w:rPr>
          <w:color w:val="000000"/>
          <w:lang w:val="en-US"/>
        </w:rPr>
        <w:t xml:space="preserve"> </w:t>
      </w:r>
      <w:hyperlink r:id="rId17" w:history="1">
        <w:r w:rsidRPr="005A01B5">
          <w:rPr>
            <w:rStyle w:val="Hyperlink"/>
            <w:rFonts w:cs="Arial"/>
          </w:rPr>
          <w:t>www.finance.gov.au</w:t>
        </w:r>
      </w:hyperlink>
    </w:p>
    <w:p w14:paraId="2FF34AEF" w14:textId="77777777" w:rsidR="00C71263" w:rsidRPr="00D12998" w:rsidRDefault="00C71263" w:rsidP="00D12998">
      <w:pPr>
        <w:pStyle w:val="Heading1"/>
      </w:pPr>
      <w:bookmarkStart w:id="2" w:name="_Toc39570216"/>
      <w:r w:rsidRPr="00D12998">
        <w:t>Resources</w:t>
      </w:r>
      <w:bookmarkEnd w:id="2"/>
    </w:p>
    <w:p w14:paraId="2ED6C602" w14:textId="5C113213" w:rsidR="00C71263" w:rsidRPr="004D2497" w:rsidRDefault="004D2497" w:rsidP="008A4032">
      <w:pPr>
        <w:spacing w:before="0" w:after="0"/>
        <w:rPr>
          <w:rStyle w:val="Hyperlink"/>
        </w:rPr>
      </w:pPr>
      <w:r>
        <w:rPr>
          <w:rFonts w:cs="MuseoSans-500"/>
          <w:i/>
          <w:u w:color="0070C0"/>
        </w:rPr>
        <w:fldChar w:fldCharType="begin"/>
      </w:r>
      <w:r>
        <w:rPr>
          <w:rFonts w:cs="MuseoSans-500"/>
          <w:i/>
          <w:u w:color="0070C0"/>
        </w:rPr>
        <w:instrText>HYPERLINK "https://www.finance.gov.au/resource-management/grants/"</w:instrText>
      </w:r>
      <w:r>
        <w:rPr>
          <w:rFonts w:cs="MuseoSans-500"/>
          <w:i/>
          <w:u w:color="0070C0"/>
        </w:rPr>
        <w:fldChar w:fldCharType="separate"/>
      </w:r>
      <w:r w:rsidR="00C71263" w:rsidRPr="004D2497">
        <w:rPr>
          <w:rStyle w:val="Hyperlink"/>
        </w:rPr>
        <w:t>Commonwealth Grants Rules and Guidelines 2017</w:t>
      </w:r>
    </w:p>
    <w:p w14:paraId="00770D27" w14:textId="110A4201" w:rsidR="00C71263" w:rsidRPr="00335427" w:rsidRDefault="004D2497" w:rsidP="008A4032">
      <w:pPr>
        <w:spacing w:before="0" w:after="0"/>
        <w:rPr>
          <w:color w:val="005A77"/>
          <w:u w:val="single"/>
        </w:rPr>
      </w:pPr>
      <w:r>
        <w:rPr>
          <w:rFonts w:cs="MuseoSans-500"/>
          <w:i/>
          <w:u w:color="0070C0"/>
        </w:rPr>
        <w:fldChar w:fldCharType="end"/>
      </w:r>
      <w:r w:rsidR="00C71263" w:rsidRPr="00335427">
        <w:rPr>
          <w:rStyle w:val="Hyperlink"/>
        </w:rPr>
        <w:t>Commonwealth Procurement Rules</w:t>
      </w:r>
    </w:p>
    <w:p w14:paraId="72403D26" w14:textId="77777777" w:rsidR="00C71263" w:rsidRPr="00335427" w:rsidRDefault="002471D3" w:rsidP="008A4032">
      <w:pPr>
        <w:spacing w:before="0" w:after="0"/>
      </w:pPr>
      <w:hyperlink r:id="rId18" w:history="1">
        <w:r w:rsidR="00C71263" w:rsidRPr="00335427">
          <w:rPr>
            <w:rStyle w:val="Hyperlink"/>
          </w:rPr>
          <w:t>Public Governance, Performance and Accountability Act 2013</w:t>
        </w:r>
      </w:hyperlink>
    </w:p>
    <w:p w14:paraId="2576CC8D" w14:textId="77777777" w:rsidR="00C71263" w:rsidRPr="00335427" w:rsidRDefault="002471D3" w:rsidP="008A4032">
      <w:pPr>
        <w:spacing w:before="0" w:after="0"/>
      </w:pPr>
      <w:hyperlink r:id="rId19" w:history="1">
        <w:r w:rsidR="00C71263" w:rsidRPr="00335427">
          <w:rPr>
            <w:rStyle w:val="Hyperlink"/>
          </w:rPr>
          <w:t>Financial Framework (Supplementary Powers) Act 1997</w:t>
        </w:r>
      </w:hyperlink>
    </w:p>
    <w:p w14:paraId="5991F1E5" w14:textId="77777777" w:rsidR="00C71263" w:rsidRPr="00335427" w:rsidRDefault="002471D3" w:rsidP="008A4032">
      <w:pPr>
        <w:spacing w:before="0" w:after="0"/>
        <w:rPr>
          <w:color w:val="005A77"/>
          <w:u w:val="single"/>
        </w:rPr>
      </w:pPr>
      <w:hyperlink r:id="rId20" w:history="1">
        <w:r w:rsidR="00C71263" w:rsidRPr="00335427">
          <w:rPr>
            <w:rStyle w:val="Hyperlink"/>
          </w:rPr>
          <w:t>Financial Framework (Supplementary Powers) Regulations 1997</w:t>
        </w:r>
      </w:hyperlink>
    </w:p>
    <w:p w14:paraId="4EF9D2A1" w14:textId="77777777" w:rsidR="00C71263" w:rsidRPr="00335427" w:rsidRDefault="002471D3" w:rsidP="008A4032">
      <w:pPr>
        <w:spacing w:before="0" w:after="0"/>
        <w:rPr>
          <w:color w:val="005A77"/>
          <w:u w:val="single"/>
        </w:rPr>
      </w:pPr>
      <w:hyperlink r:id="rId21" w:history="1">
        <w:r w:rsidR="00C71263" w:rsidRPr="00335427">
          <w:rPr>
            <w:rStyle w:val="Hyperlink"/>
          </w:rPr>
          <w:t>Resource Management Guide No. 400: Approving Commitments of Relevant Money</w:t>
        </w:r>
      </w:hyperlink>
    </w:p>
    <w:p w14:paraId="61124EAA" w14:textId="0605CE3F" w:rsidR="00C71263" w:rsidRPr="004228C0" w:rsidRDefault="002471D3" w:rsidP="008A4032">
      <w:pPr>
        <w:spacing w:before="0" w:after="0"/>
        <w:rPr>
          <w:rStyle w:val="Hyperlink"/>
          <w:i w:val="0"/>
        </w:rPr>
      </w:pPr>
      <w:hyperlink r:id="rId22" w:history="1">
        <w:r w:rsidR="00C71263" w:rsidRPr="004D2497">
          <w:rPr>
            <w:rStyle w:val="Hyperlink"/>
            <w:rFonts w:cs="Times New Roman"/>
          </w:rPr>
          <w:t xml:space="preserve">Resource Management Guide No. 412: Grants </w:t>
        </w:r>
        <w:r w:rsidR="00AF523F" w:rsidRPr="004D2497">
          <w:rPr>
            <w:rStyle w:val="Hyperlink"/>
          </w:rPr>
          <w:t>–</w:t>
        </w:r>
        <w:r w:rsidR="00C71263" w:rsidRPr="004D2497">
          <w:rPr>
            <w:rStyle w:val="Hyperlink"/>
            <w:rFonts w:cs="Times New Roman"/>
          </w:rPr>
          <w:t xml:space="preserve"> Briefing</w:t>
        </w:r>
        <w:r w:rsidR="00AF523F" w:rsidRPr="004D2497">
          <w:rPr>
            <w:rStyle w:val="Hyperlink"/>
          </w:rPr>
          <w:t xml:space="preserve">, Reporting, Evaluating and Election </w:t>
        </w:r>
        <w:r w:rsidR="00F0758C" w:rsidRPr="004D2497">
          <w:rPr>
            <w:rStyle w:val="Hyperlink"/>
          </w:rPr>
          <w:t>C</w:t>
        </w:r>
        <w:r w:rsidR="00AF523F" w:rsidRPr="004D2497">
          <w:rPr>
            <w:rStyle w:val="Hyperlink"/>
          </w:rPr>
          <w:t>ommitments</w:t>
        </w:r>
      </w:hyperlink>
    </w:p>
    <w:p w14:paraId="1660CA58" w14:textId="430E77C1" w:rsidR="00C71263" w:rsidRPr="00335427" w:rsidRDefault="002471D3" w:rsidP="00310D4A">
      <w:pPr>
        <w:spacing w:before="0" w:after="120"/>
      </w:pPr>
      <w:hyperlink r:id="rId23" w:history="1">
        <w:r w:rsidR="00C71263" w:rsidRPr="004D2497">
          <w:rPr>
            <w:rStyle w:val="Hyperlink"/>
          </w:rPr>
          <w:t>R</w:t>
        </w:r>
        <w:r w:rsidR="004228C0" w:rsidRPr="004D2497">
          <w:rPr>
            <w:rStyle w:val="Hyperlink"/>
          </w:rPr>
          <w:t>esource Management Guide No.421:</w:t>
        </w:r>
        <w:r w:rsidR="00C71263" w:rsidRPr="004D2497">
          <w:rPr>
            <w:rStyle w:val="Hyperlink"/>
          </w:rPr>
          <w:t xml:space="preserve"> Publishing and Reporting Grants</w:t>
        </w:r>
        <w:r w:rsidR="00AF523F" w:rsidRPr="004D2497">
          <w:rPr>
            <w:rStyle w:val="Hyperlink"/>
          </w:rPr>
          <w:t xml:space="preserve"> and</w:t>
        </w:r>
        <w:r w:rsidR="00C71263" w:rsidRPr="004D2497">
          <w:rPr>
            <w:rStyle w:val="Hyperlink"/>
          </w:rPr>
          <w:t xml:space="preserve"> GrantConnect</w:t>
        </w:r>
      </w:hyperlink>
    </w:p>
    <w:p w14:paraId="2C4B0E39" w14:textId="77777777" w:rsidR="00595AF0" w:rsidRDefault="00595AF0" w:rsidP="004E71F5">
      <w:pPr>
        <w:spacing w:before="0" w:after="120" w:line="240" w:lineRule="auto"/>
      </w:pPr>
    </w:p>
    <w:p w14:paraId="32380136" w14:textId="0994CB61" w:rsidR="009B07E0" w:rsidRPr="005A01B5" w:rsidRDefault="00C71263" w:rsidP="004E71F5">
      <w:pPr>
        <w:spacing w:before="0" w:after="120" w:line="240" w:lineRule="auto"/>
        <w:rPr>
          <w:rStyle w:val="Hyperlink"/>
          <w:rFonts w:cs="Arial"/>
          <w:i w:val="0"/>
          <w:color w:val="000000"/>
          <w:u w:val="none"/>
        </w:rPr>
      </w:pPr>
      <w:r w:rsidRPr="00335427">
        <w:br/>
      </w:r>
    </w:p>
    <w:p w14:paraId="299337AE" w14:textId="77777777" w:rsidR="009B07E0" w:rsidRPr="005A01B5" w:rsidRDefault="009B07E0" w:rsidP="00275E0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60" w:lineRule="exact"/>
        <w:ind w:left="60" w:right="60"/>
        <w:rPr>
          <w:rFonts w:cs="Arial"/>
          <w:color w:val="000000"/>
          <w:lang w:eastAsia="en-AU"/>
        </w:rPr>
      </w:pPr>
      <w:r w:rsidRPr="005A01B5">
        <w:rPr>
          <w:rFonts w:cs="Arial"/>
          <w:color w:val="000000"/>
          <w:lang w:eastAsia="en-AU"/>
        </w:rPr>
        <w:t>The words ‘</w:t>
      </w:r>
      <w:r w:rsidRPr="005A01B5">
        <w:rPr>
          <w:rFonts w:cs="Arial"/>
          <w:b/>
          <w:bCs/>
          <w:color w:val="000000"/>
          <w:lang w:eastAsia="en-AU"/>
        </w:rPr>
        <w:t>must</w:t>
      </w:r>
      <w:r w:rsidRPr="005A01B5">
        <w:rPr>
          <w:rFonts w:cs="Arial"/>
          <w:color w:val="000000"/>
          <w:lang w:eastAsia="en-AU"/>
        </w:rPr>
        <w:t>’, ‘</w:t>
      </w:r>
      <w:r w:rsidRPr="005A01B5">
        <w:rPr>
          <w:rFonts w:cs="Arial"/>
          <w:b/>
          <w:bCs/>
          <w:color w:val="000000"/>
          <w:lang w:eastAsia="en-AU"/>
        </w:rPr>
        <w:t>required</w:t>
      </w:r>
      <w:r w:rsidRPr="005A01B5">
        <w:rPr>
          <w:rFonts w:cs="Arial"/>
          <w:color w:val="000000"/>
          <w:lang w:eastAsia="en-AU"/>
        </w:rPr>
        <w:t>’, ‘</w:t>
      </w:r>
      <w:r w:rsidRPr="005A01B5">
        <w:rPr>
          <w:rFonts w:cs="Arial"/>
          <w:b/>
          <w:bCs/>
          <w:color w:val="000000"/>
          <w:lang w:eastAsia="en-AU"/>
        </w:rPr>
        <w:t>requires</w:t>
      </w:r>
      <w:r w:rsidRPr="005A01B5">
        <w:rPr>
          <w:rFonts w:cs="Arial"/>
          <w:color w:val="000000"/>
          <w:lang w:eastAsia="en-AU"/>
        </w:rPr>
        <w:t>’ and ‘</w:t>
      </w:r>
      <w:r w:rsidRPr="005A01B5">
        <w:rPr>
          <w:rFonts w:cs="Arial"/>
          <w:b/>
          <w:bCs/>
          <w:color w:val="000000"/>
          <w:lang w:eastAsia="en-AU"/>
        </w:rPr>
        <w:t>requiring</w:t>
      </w:r>
      <w:r w:rsidRPr="005A01B5">
        <w:rPr>
          <w:rFonts w:cs="Arial"/>
          <w:color w:val="000000"/>
          <w:lang w:eastAsia="en-AU"/>
        </w:rPr>
        <w:t xml:space="preserve">’ denote mandatory compliance by accountable authorities/officials. The use of the words ‘could’, ‘may’, ‘encouraged’ or ‘consider’ convey non-mandatory guidance. The guidance to which these words relate may or may not be applied by accountable authorities/officials in their approach to resource management, depending on the operating circumstances of the entity and its appetite for risk. </w:t>
      </w:r>
    </w:p>
    <w:p w14:paraId="7728EE3E" w14:textId="77777777" w:rsidR="009B07E0" w:rsidRPr="005A01B5" w:rsidRDefault="009B07E0" w:rsidP="006C4DD1"/>
    <w:p w14:paraId="7848AF0A" w14:textId="77777777" w:rsidR="009B07E0" w:rsidRPr="00C5636B" w:rsidRDefault="009B07E0" w:rsidP="00396E11">
      <w:pPr>
        <w:spacing w:before="0" w:after="120" w:line="240" w:lineRule="auto"/>
        <w:rPr>
          <w:rFonts w:cs="Arial"/>
          <w:color w:val="92C5C5"/>
          <w:sz w:val="42"/>
          <w:szCs w:val="42"/>
        </w:rPr>
      </w:pPr>
      <w:r w:rsidRPr="00C5636B">
        <w:rPr>
          <w:rFonts w:cs="Arial"/>
          <w:color w:val="92C5C5"/>
          <w:sz w:val="42"/>
          <w:szCs w:val="42"/>
        </w:rPr>
        <w:t>Contents</w:t>
      </w:r>
    </w:p>
    <w:p w14:paraId="56FC1B10" w14:textId="7B37DBDF" w:rsidR="004C55D4" w:rsidRPr="002471D3" w:rsidRDefault="009B07E0">
      <w:pPr>
        <w:pStyle w:val="TOC1"/>
        <w:rPr>
          <w:rFonts w:asciiTheme="minorHAnsi" w:eastAsiaTheme="minorEastAsia" w:hAnsiTheme="minorHAnsi" w:cstheme="minorBidi"/>
          <w:b w:val="0"/>
          <w:noProof/>
          <w:sz w:val="22"/>
          <w:highlight w:val="lightGray"/>
          <w:lang w:eastAsia="en-AU"/>
        </w:rPr>
      </w:pPr>
      <w:r w:rsidRPr="005A01B5">
        <w:rPr>
          <w:caps/>
          <w:sz w:val="22"/>
        </w:rPr>
        <w:fldChar w:fldCharType="begin"/>
      </w:r>
      <w:r w:rsidRPr="005A01B5">
        <w:rPr>
          <w:caps/>
          <w:sz w:val="22"/>
        </w:rPr>
        <w:instrText xml:space="preserve"> TOC \o "1-3" \h \z \u </w:instrText>
      </w:r>
      <w:r w:rsidRPr="005A01B5">
        <w:rPr>
          <w:caps/>
          <w:sz w:val="22"/>
        </w:rPr>
        <w:fldChar w:fldCharType="separate"/>
      </w:r>
      <w:hyperlink w:anchor="_Toc39570215" w:history="1">
        <w:r w:rsidR="004C55D4" w:rsidRPr="002471D3">
          <w:rPr>
            <w:rStyle w:val="Hyperlink"/>
            <w:noProof/>
            <w:highlight w:val="lightGray"/>
          </w:rPr>
          <w:t>Grants, Procurements and other financial arrangements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_Toc39570215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1</w:t>
        </w:r>
        <w:r w:rsidR="004C55D4" w:rsidRPr="002471D3">
          <w:rPr>
            <w:noProof/>
            <w:webHidden/>
            <w:highlight w:val="lightGray"/>
          </w:rPr>
          <w:fldChar w:fldCharType="end"/>
        </w:r>
      </w:hyperlink>
    </w:p>
    <w:p w14:paraId="20A72B93" w14:textId="2E6DDC21" w:rsidR="004C55D4" w:rsidRPr="002471D3" w:rsidRDefault="002471D3">
      <w:pPr>
        <w:pStyle w:val="TOC1"/>
        <w:rPr>
          <w:rFonts w:asciiTheme="minorHAnsi" w:eastAsiaTheme="minorEastAsia" w:hAnsiTheme="minorHAnsi" w:cstheme="minorBidi"/>
          <w:b w:val="0"/>
          <w:noProof/>
          <w:sz w:val="22"/>
          <w:highlight w:val="lightGray"/>
          <w:lang w:eastAsia="en-AU"/>
        </w:rPr>
      </w:pPr>
      <w:hyperlink w:anchor="_Toc39570216" w:history="1">
        <w:r w:rsidR="004C55D4" w:rsidRPr="002471D3">
          <w:rPr>
            <w:rStyle w:val="Hyperlink"/>
            <w:noProof/>
            <w:highlight w:val="lightGray"/>
          </w:rPr>
          <w:t>Resources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_Toc39570216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2</w:t>
        </w:r>
        <w:r w:rsidR="004C55D4" w:rsidRPr="002471D3">
          <w:rPr>
            <w:noProof/>
            <w:webHidden/>
            <w:highlight w:val="lightGray"/>
          </w:rPr>
          <w:fldChar w:fldCharType="end"/>
        </w:r>
      </w:hyperlink>
    </w:p>
    <w:p w14:paraId="483F7C6B" w14:textId="2DC812C0" w:rsidR="004C55D4" w:rsidRPr="002471D3" w:rsidRDefault="002471D3">
      <w:pPr>
        <w:pStyle w:val="TOC1"/>
        <w:rPr>
          <w:rFonts w:asciiTheme="minorHAnsi" w:eastAsiaTheme="minorEastAsia" w:hAnsiTheme="minorHAnsi" w:cstheme="minorBidi"/>
          <w:b w:val="0"/>
          <w:noProof/>
          <w:sz w:val="22"/>
          <w:highlight w:val="lightGray"/>
          <w:lang w:eastAsia="en-AU"/>
        </w:rPr>
      </w:pPr>
      <w:hyperlink w:anchor="_Toc39570217" w:history="1">
        <w:r w:rsidR="004C55D4" w:rsidRPr="002471D3">
          <w:rPr>
            <w:rStyle w:val="Hyperlink"/>
            <w:noProof/>
            <w:highlight w:val="lightGray"/>
          </w:rPr>
          <w:t>Purpose</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_Toc39570217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4</w:t>
        </w:r>
        <w:r w:rsidR="004C55D4" w:rsidRPr="002471D3">
          <w:rPr>
            <w:noProof/>
            <w:webHidden/>
            <w:highlight w:val="lightGray"/>
          </w:rPr>
          <w:fldChar w:fldCharType="end"/>
        </w:r>
      </w:hyperlink>
    </w:p>
    <w:p w14:paraId="469502CA" w14:textId="68C29948" w:rsidR="004C55D4" w:rsidRPr="002471D3" w:rsidRDefault="002471D3">
      <w:pPr>
        <w:pStyle w:val="TOC1"/>
        <w:rPr>
          <w:rFonts w:asciiTheme="minorHAnsi" w:eastAsiaTheme="minorEastAsia" w:hAnsiTheme="minorHAnsi" w:cstheme="minorBidi"/>
          <w:b w:val="0"/>
          <w:noProof/>
          <w:sz w:val="22"/>
          <w:highlight w:val="lightGray"/>
          <w:lang w:eastAsia="en-AU"/>
        </w:rPr>
      </w:pPr>
      <w:hyperlink w:anchor="_Toc39570218" w:history="1">
        <w:r w:rsidR="004C55D4" w:rsidRPr="002471D3">
          <w:rPr>
            <w:rStyle w:val="Hyperlink"/>
            <w:noProof/>
            <w:highlight w:val="lightGray"/>
          </w:rPr>
          <w:t>Audience</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_Toc39570218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4</w:t>
        </w:r>
        <w:r w:rsidR="004C55D4" w:rsidRPr="002471D3">
          <w:rPr>
            <w:noProof/>
            <w:webHidden/>
            <w:highlight w:val="lightGray"/>
          </w:rPr>
          <w:fldChar w:fldCharType="end"/>
        </w:r>
      </w:hyperlink>
    </w:p>
    <w:p w14:paraId="5D98EB21" w14:textId="519C0B2B" w:rsidR="004C55D4" w:rsidRPr="002471D3" w:rsidRDefault="002471D3">
      <w:pPr>
        <w:pStyle w:val="TOC1"/>
        <w:rPr>
          <w:rFonts w:asciiTheme="minorHAnsi" w:eastAsiaTheme="minorEastAsia" w:hAnsiTheme="minorHAnsi" w:cstheme="minorBidi"/>
          <w:b w:val="0"/>
          <w:noProof/>
          <w:sz w:val="22"/>
          <w:highlight w:val="lightGray"/>
          <w:lang w:eastAsia="en-AU"/>
        </w:rPr>
      </w:pPr>
      <w:hyperlink w:anchor="_Toc39570219" w:history="1">
        <w:r w:rsidR="004C55D4" w:rsidRPr="002471D3">
          <w:rPr>
            <w:rStyle w:val="Hyperlink"/>
            <w:noProof/>
            <w:highlight w:val="lightGray"/>
          </w:rPr>
          <w:t>Key points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_Toc39570219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4</w:t>
        </w:r>
        <w:r w:rsidR="004C55D4" w:rsidRPr="002471D3">
          <w:rPr>
            <w:noProof/>
            <w:webHidden/>
            <w:highlight w:val="lightGray"/>
          </w:rPr>
          <w:fldChar w:fldCharType="end"/>
        </w:r>
      </w:hyperlink>
    </w:p>
    <w:p w14:paraId="4E813278" w14:textId="07C0AF35" w:rsidR="004C55D4" w:rsidRPr="002471D3" w:rsidRDefault="002471D3">
      <w:pPr>
        <w:pStyle w:val="TOC1"/>
        <w:rPr>
          <w:rFonts w:asciiTheme="minorHAnsi" w:eastAsiaTheme="minorEastAsia" w:hAnsiTheme="minorHAnsi" w:cstheme="minorBidi"/>
          <w:b w:val="0"/>
          <w:noProof/>
          <w:sz w:val="22"/>
          <w:highlight w:val="lightGray"/>
          <w:lang w:eastAsia="en-AU"/>
        </w:rPr>
      </w:pPr>
      <w:hyperlink w:anchor="_Toc39570220" w:history="1">
        <w:r w:rsidR="004C55D4" w:rsidRPr="002471D3">
          <w:rPr>
            <w:rStyle w:val="Hyperlink"/>
            <w:noProof/>
            <w:highlight w:val="lightGray"/>
          </w:rPr>
          <w:t>Introduction</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_Toc39570220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5</w:t>
        </w:r>
        <w:r w:rsidR="004C55D4" w:rsidRPr="002471D3">
          <w:rPr>
            <w:noProof/>
            <w:webHidden/>
            <w:highlight w:val="lightGray"/>
          </w:rPr>
          <w:fldChar w:fldCharType="end"/>
        </w:r>
      </w:hyperlink>
    </w:p>
    <w:p w14:paraId="4D7A0B7F" w14:textId="494796D5" w:rsidR="004C55D4" w:rsidRPr="002471D3" w:rsidRDefault="002471D3">
      <w:pPr>
        <w:pStyle w:val="TOC1"/>
        <w:rPr>
          <w:rFonts w:asciiTheme="minorHAnsi" w:eastAsiaTheme="minorEastAsia" w:hAnsiTheme="minorHAnsi" w:cstheme="minorBidi"/>
          <w:b w:val="0"/>
          <w:noProof/>
          <w:sz w:val="22"/>
          <w:highlight w:val="lightGray"/>
          <w:lang w:eastAsia="en-AU"/>
        </w:rPr>
      </w:pPr>
      <w:hyperlink w:anchor="_Toc39570221" w:history="1">
        <w:r w:rsidR="004C55D4" w:rsidRPr="002471D3">
          <w:rPr>
            <w:rStyle w:val="Hyperlink"/>
            <w:noProof/>
            <w:highlight w:val="lightGray"/>
          </w:rPr>
          <w:t>Part 1 – Grants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_Toc39570221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5</w:t>
        </w:r>
        <w:r w:rsidR="004C55D4" w:rsidRPr="002471D3">
          <w:rPr>
            <w:noProof/>
            <w:webHidden/>
            <w:highlight w:val="lightGray"/>
          </w:rPr>
          <w:fldChar w:fldCharType="end"/>
        </w:r>
      </w:hyperlink>
    </w:p>
    <w:p w14:paraId="5E17E22C" w14:textId="19E2FBBA" w:rsidR="004C55D4" w:rsidRPr="002471D3" w:rsidRDefault="002471D3">
      <w:pPr>
        <w:pStyle w:val="TOC3"/>
        <w:rPr>
          <w:rFonts w:asciiTheme="minorHAnsi" w:eastAsiaTheme="minorEastAsia" w:hAnsiTheme="minorHAnsi" w:cstheme="minorBidi"/>
          <w:noProof/>
          <w:highlight w:val="lightGray"/>
          <w:lang w:eastAsia="en-AU"/>
        </w:rPr>
      </w:pPr>
      <w:hyperlink w:anchor="_Toc39570222" w:history="1">
        <w:r w:rsidR="004C55D4" w:rsidRPr="002471D3">
          <w:rPr>
            <w:rStyle w:val="Hyperlink"/>
            <w:noProof/>
            <w:highlight w:val="lightGray"/>
          </w:rPr>
          <w:t>Gifts of relevant money</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_Toc39570222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6</w:t>
        </w:r>
        <w:r w:rsidR="004C55D4" w:rsidRPr="002471D3">
          <w:rPr>
            <w:noProof/>
            <w:webHidden/>
            <w:highlight w:val="lightGray"/>
          </w:rPr>
          <w:fldChar w:fldCharType="end"/>
        </w:r>
      </w:hyperlink>
    </w:p>
    <w:p w14:paraId="554CA66C" w14:textId="5D160D5D" w:rsidR="004C55D4" w:rsidRPr="002471D3" w:rsidRDefault="002471D3">
      <w:pPr>
        <w:pStyle w:val="TOC3"/>
        <w:rPr>
          <w:rFonts w:asciiTheme="minorHAnsi" w:eastAsiaTheme="minorEastAsia" w:hAnsiTheme="minorHAnsi" w:cstheme="minorBidi"/>
          <w:noProof/>
          <w:highlight w:val="lightGray"/>
          <w:lang w:eastAsia="en-AU"/>
        </w:rPr>
      </w:pPr>
      <w:hyperlink w:anchor="_Toc39570223" w:history="1">
        <w:r w:rsidR="004C55D4" w:rsidRPr="002471D3">
          <w:rPr>
            <w:rStyle w:val="Hyperlink"/>
            <w:noProof/>
            <w:highlight w:val="lightGray"/>
          </w:rPr>
          <w:t>Benefits or entitlement payments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_Toc39570223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6</w:t>
        </w:r>
        <w:r w:rsidR="004C55D4" w:rsidRPr="002471D3">
          <w:rPr>
            <w:noProof/>
            <w:webHidden/>
            <w:highlight w:val="lightGray"/>
          </w:rPr>
          <w:fldChar w:fldCharType="end"/>
        </w:r>
      </w:hyperlink>
    </w:p>
    <w:p w14:paraId="78996169" w14:textId="209AA9A0" w:rsidR="004C55D4" w:rsidRPr="002471D3" w:rsidRDefault="002471D3">
      <w:pPr>
        <w:pStyle w:val="TOC3"/>
        <w:rPr>
          <w:rFonts w:asciiTheme="minorHAnsi" w:eastAsiaTheme="minorEastAsia" w:hAnsiTheme="minorHAnsi" w:cstheme="minorBidi"/>
          <w:noProof/>
          <w:highlight w:val="lightGray"/>
          <w:lang w:eastAsia="en-AU"/>
        </w:rPr>
      </w:pPr>
      <w:hyperlink w:anchor="_Toc39570224" w:history="1">
        <w:r w:rsidR="004C55D4" w:rsidRPr="002471D3">
          <w:rPr>
            <w:rStyle w:val="Hyperlink"/>
            <w:noProof/>
            <w:highlight w:val="lightGray"/>
          </w:rPr>
          <w:t>Subsidies or Rebates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_Toc39570224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6</w:t>
        </w:r>
        <w:r w:rsidR="004C55D4" w:rsidRPr="002471D3">
          <w:rPr>
            <w:noProof/>
            <w:webHidden/>
            <w:highlight w:val="lightGray"/>
          </w:rPr>
          <w:fldChar w:fldCharType="end"/>
        </w:r>
      </w:hyperlink>
    </w:p>
    <w:p w14:paraId="2F3AF3BB" w14:textId="0AD6F24F" w:rsidR="004C55D4" w:rsidRPr="002471D3" w:rsidRDefault="002471D3">
      <w:pPr>
        <w:pStyle w:val="TOC3"/>
        <w:rPr>
          <w:rFonts w:asciiTheme="minorHAnsi" w:eastAsiaTheme="minorEastAsia" w:hAnsiTheme="minorHAnsi" w:cstheme="minorBidi"/>
          <w:noProof/>
          <w:highlight w:val="lightGray"/>
          <w:lang w:eastAsia="en-AU"/>
        </w:rPr>
      </w:pPr>
      <w:hyperlink w:anchor="_Toc39570225" w:history="1">
        <w:r w:rsidR="004C55D4" w:rsidRPr="002471D3">
          <w:rPr>
            <w:rStyle w:val="Hyperlink"/>
            <w:noProof/>
            <w:highlight w:val="lightGray"/>
          </w:rPr>
          <w:t>Sponsorships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_Toc39570225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7</w:t>
        </w:r>
        <w:r w:rsidR="004C55D4" w:rsidRPr="002471D3">
          <w:rPr>
            <w:noProof/>
            <w:webHidden/>
            <w:highlight w:val="lightGray"/>
          </w:rPr>
          <w:fldChar w:fldCharType="end"/>
        </w:r>
      </w:hyperlink>
    </w:p>
    <w:p w14:paraId="03A506B5" w14:textId="717C57B5" w:rsidR="004C55D4" w:rsidRPr="002471D3" w:rsidRDefault="002471D3">
      <w:pPr>
        <w:pStyle w:val="TOC3"/>
        <w:rPr>
          <w:rFonts w:asciiTheme="minorHAnsi" w:eastAsiaTheme="minorEastAsia" w:hAnsiTheme="minorHAnsi" w:cstheme="minorBidi"/>
          <w:noProof/>
          <w:highlight w:val="lightGray"/>
          <w:lang w:eastAsia="en-AU"/>
        </w:rPr>
      </w:pPr>
      <w:hyperlink w:anchor="_Toc39570226" w:history="1">
        <w:r w:rsidR="004C55D4" w:rsidRPr="002471D3">
          <w:rPr>
            <w:rStyle w:val="Hyperlink"/>
            <w:noProof/>
            <w:highlight w:val="lightGray"/>
          </w:rPr>
          <w:t>Scholarships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_Toc39570226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7</w:t>
        </w:r>
        <w:r w:rsidR="004C55D4" w:rsidRPr="002471D3">
          <w:rPr>
            <w:noProof/>
            <w:webHidden/>
            <w:highlight w:val="lightGray"/>
          </w:rPr>
          <w:fldChar w:fldCharType="end"/>
        </w:r>
      </w:hyperlink>
    </w:p>
    <w:p w14:paraId="6CFF02F3" w14:textId="1D1551B5" w:rsidR="004C55D4" w:rsidRPr="002471D3" w:rsidRDefault="002471D3">
      <w:pPr>
        <w:pStyle w:val="TOC3"/>
        <w:rPr>
          <w:rFonts w:asciiTheme="minorHAnsi" w:eastAsiaTheme="minorEastAsia" w:hAnsiTheme="minorHAnsi" w:cstheme="minorBidi"/>
          <w:noProof/>
          <w:highlight w:val="lightGray"/>
          <w:lang w:eastAsia="en-AU"/>
        </w:rPr>
      </w:pPr>
      <w:hyperlink w:anchor="_Toc39570227" w:history="1">
        <w:r w:rsidR="004C55D4" w:rsidRPr="002471D3">
          <w:rPr>
            <w:rStyle w:val="Hyperlink"/>
            <w:noProof/>
            <w:highlight w:val="lightGray"/>
          </w:rPr>
          <w:t>Arrangements taken not to be grants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_Toc39570227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7</w:t>
        </w:r>
        <w:r w:rsidR="004C55D4" w:rsidRPr="002471D3">
          <w:rPr>
            <w:noProof/>
            <w:webHidden/>
            <w:highlight w:val="lightGray"/>
          </w:rPr>
          <w:fldChar w:fldCharType="end"/>
        </w:r>
      </w:hyperlink>
    </w:p>
    <w:p w14:paraId="0E212322" w14:textId="2EE1940C" w:rsidR="004C55D4" w:rsidRPr="002471D3" w:rsidRDefault="002471D3">
      <w:pPr>
        <w:pStyle w:val="TOC1"/>
        <w:rPr>
          <w:rFonts w:asciiTheme="minorHAnsi" w:eastAsiaTheme="minorEastAsia" w:hAnsiTheme="minorHAnsi" w:cstheme="minorBidi"/>
          <w:b w:val="0"/>
          <w:noProof/>
          <w:sz w:val="22"/>
          <w:highlight w:val="lightGray"/>
          <w:lang w:eastAsia="en-AU"/>
        </w:rPr>
      </w:pPr>
      <w:hyperlink w:anchor="_Toc39570228" w:history="1">
        <w:r w:rsidR="004C55D4" w:rsidRPr="002471D3">
          <w:rPr>
            <w:rStyle w:val="Hyperlink"/>
            <w:noProof/>
            <w:highlight w:val="lightGray"/>
          </w:rPr>
          <w:t>Part 2 – Procurements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_Toc39570228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8</w:t>
        </w:r>
        <w:r w:rsidR="004C55D4" w:rsidRPr="002471D3">
          <w:rPr>
            <w:noProof/>
            <w:webHidden/>
            <w:highlight w:val="lightGray"/>
          </w:rPr>
          <w:fldChar w:fldCharType="end"/>
        </w:r>
      </w:hyperlink>
    </w:p>
    <w:p w14:paraId="284D96C3" w14:textId="559BFD3D" w:rsidR="004C55D4" w:rsidRPr="002471D3" w:rsidRDefault="002471D3">
      <w:pPr>
        <w:pStyle w:val="TOC3"/>
        <w:rPr>
          <w:rFonts w:asciiTheme="minorHAnsi" w:eastAsiaTheme="minorEastAsia" w:hAnsiTheme="minorHAnsi" w:cstheme="minorBidi"/>
          <w:noProof/>
          <w:highlight w:val="lightGray"/>
          <w:lang w:eastAsia="en-AU"/>
        </w:rPr>
      </w:pPr>
      <w:hyperlink w:anchor="_Toc39570229" w:history="1">
        <w:r w:rsidR="004C55D4" w:rsidRPr="002471D3">
          <w:rPr>
            <w:rStyle w:val="Hyperlink"/>
            <w:noProof/>
            <w:highlight w:val="lightGray"/>
          </w:rPr>
          <w:t>Procurements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_Toc39570229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8</w:t>
        </w:r>
        <w:r w:rsidR="004C55D4" w:rsidRPr="002471D3">
          <w:rPr>
            <w:noProof/>
            <w:webHidden/>
            <w:highlight w:val="lightGray"/>
          </w:rPr>
          <w:fldChar w:fldCharType="end"/>
        </w:r>
      </w:hyperlink>
    </w:p>
    <w:p w14:paraId="439D6E49" w14:textId="3AC4168E" w:rsidR="004C55D4" w:rsidRPr="002471D3" w:rsidRDefault="002471D3">
      <w:pPr>
        <w:pStyle w:val="TOC3"/>
        <w:rPr>
          <w:rFonts w:asciiTheme="minorHAnsi" w:eastAsiaTheme="minorEastAsia" w:hAnsiTheme="minorHAnsi" w:cstheme="minorBidi"/>
          <w:noProof/>
          <w:highlight w:val="lightGray"/>
          <w:lang w:eastAsia="en-AU"/>
        </w:rPr>
      </w:pPr>
      <w:hyperlink w:anchor="_Toc39570230" w:history="1">
        <w:r w:rsidR="004C55D4" w:rsidRPr="002471D3">
          <w:rPr>
            <w:rStyle w:val="Hyperlink"/>
            <w:noProof/>
            <w:highlight w:val="lightGray"/>
          </w:rPr>
          <w:t>Memberships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_Toc39570230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8</w:t>
        </w:r>
        <w:r w:rsidR="004C55D4" w:rsidRPr="002471D3">
          <w:rPr>
            <w:noProof/>
            <w:webHidden/>
            <w:highlight w:val="lightGray"/>
          </w:rPr>
          <w:fldChar w:fldCharType="end"/>
        </w:r>
      </w:hyperlink>
    </w:p>
    <w:p w14:paraId="099CD03F" w14:textId="2A092275" w:rsidR="004C55D4" w:rsidRPr="002471D3" w:rsidRDefault="002471D3">
      <w:pPr>
        <w:pStyle w:val="TOC3"/>
        <w:rPr>
          <w:rFonts w:asciiTheme="minorHAnsi" w:eastAsiaTheme="minorEastAsia" w:hAnsiTheme="minorHAnsi" w:cstheme="minorBidi"/>
          <w:noProof/>
          <w:highlight w:val="lightGray"/>
          <w:lang w:eastAsia="en-AU"/>
        </w:rPr>
      </w:pPr>
      <w:hyperlink w:anchor="_Toc39570231" w:history="1">
        <w:r w:rsidR="004C55D4" w:rsidRPr="002471D3">
          <w:rPr>
            <w:rStyle w:val="Hyperlink"/>
            <w:noProof/>
            <w:highlight w:val="lightGray"/>
          </w:rPr>
          <w:t>Arrangements not considered to be procurements</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_Toc39570231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8</w:t>
        </w:r>
        <w:r w:rsidR="004C55D4" w:rsidRPr="002471D3">
          <w:rPr>
            <w:noProof/>
            <w:webHidden/>
            <w:highlight w:val="lightGray"/>
          </w:rPr>
          <w:fldChar w:fldCharType="end"/>
        </w:r>
      </w:hyperlink>
    </w:p>
    <w:p w14:paraId="5FEDBFAD" w14:textId="5579280C" w:rsidR="004C55D4" w:rsidRDefault="002471D3">
      <w:pPr>
        <w:pStyle w:val="TOC3"/>
        <w:rPr>
          <w:rFonts w:asciiTheme="minorHAnsi" w:eastAsiaTheme="minorEastAsia" w:hAnsiTheme="minorHAnsi" w:cstheme="minorBidi"/>
          <w:noProof/>
          <w:lang w:eastAsia="en-AU"/>
        </w:rPr>
      </w:pPr>
      <w:hyperlink w:anchor="_Toc39570232" w:history="1">
        <w:r w:rsidR="004C55D4" w:rsidRPr="002471D3">
          <w:rPr>
            <w:rStyle w:val="Hyperlink"/>
            <w:noProof/>
            <w:highlight w:val="lightGray"/>
          </w:rPr>
          <w:t>Acquisition of goods and services by an NCE from an NCE</w:t>
        </w:r>
        <w:r w:rsidR="004C55D4" w:rsidRPr="002471D3">
          <w:rPr>
            <w:noProof/>
            <w:webHidden/>
            <w:highlight w:val="lightGray"/>
          </w:rPr>
          <w:tab/>
        </w:r>
        <w:r w:rsidR="004C55D4" w:rsidRPr="002471D3">
          <w:rPr>
            <w:noProof/>
            <w:webHidden/>
            <w:highlight w:val="lightGray"/>
          </w:rPr>
          <w:fldChar w:fldCharType="begin"/>
        </w:r>
        <w:r w:rsidR="004C55D4" w:rsidRPr="002471D3">
          <w:rPr>
            <w:noProof/>
            <w:webHidden/>
            <w:highlight w:val="lightGray"/>
          </w:rPr>
          <w:instrText xml:space="preserve"> PAGEREF _Toc39570232 \h </w:instrText>
        </w:r>
        <w:r w:rsidR="004C55D4" w:rsidRPr="002471D3">
          <w:rPr>
            <w:noProof/>
            <w:webHidden/>
            <w:highlight w:val="lightGray"/>
          </w:rPr>
        </w:r>
        <w:r w:rsidR="004C55D4" w:rsidRPr="002471D3">
          <w:rPr>
            <w:noProof/>
            <w:webHidden/>
            <w:highlight w:val="lightGray"/>
          </w:rPr>
          <w:fldChar w:fldCharType="separate"/>
        </w:r>
        <w:r w:rsidR="004C55D4" w:rsidRPr="002471D3">
          <w:rPr>
            <w:noProof/>
            <w:webHidden/>
            <w:highlight w:val="lightGray"/>
          </w:rPr>
          <w:t>8</w:t>
        </w:r>
        <w:r w:rsidR="004C55D4" w:rsidRPr="002471D3">
          <w:rPr>
            <w:noProof/>
            <w:webHidden/>
            <w:highlight w:val="lightGray"/>
          </w:rPr>
          <w:fldChar w:fldCharType="end"/>
        </w:r>
      </w:hyperlink>
    </w:p>
    <w:p w14:paraId="3EDF31EE" w14:textId="58AA450B" w:rsidR="004C55D4" w:rsidRDefault="002471D3">
      <w:pPr>
        <w:pStyle w:val="TOC1"/>
        <w:rPr>
          <w:rFonts w:asciiTheme="minorHAnsi" w:eastAsiaTheme="minorEastAsia" w:hAnsiTheme="minorHAnsi" w:cstheme="minorBidi"/>
          <w:b w:val="0"/>
          <w:noProof/>
          <w:sz w:val="22"/>
          <w:lang w:eastAsia="en-AU"/>
        </w:rPr>
      </w:pPr>
      <w:hyperlink w:anchor="_Toc39570233" w:history="1">
        <w:r w:rsidR="004C55D4" w:rsidRPr="00637668">
          <w:rPr>
            <w:rStyle w:val="Hyperlink"/>
            <w:noProof/>
          </w:rPr>
          <w:t>Part 3 – Other financial arrangements</w:t>
        </w:r>
        <w:r w:rsidR="004C55D4">
          <w:rPr>
            <w:noProof/>
            <w:webHidden/>
          </w:rPr>
          <w:tab/>
        </w:r>
        <w:r w:rsidR="004C55D4">
          <w:rPr>
            <w:noProof/>
            <w:webHidden/>
          </w:rPr>
          <w:fldChar w:fldCharType="begin"/>
        </w:r>
        <w:r w:rsidR="004C55D4">
          <w:rPr>
            <w:noProof/>
            <w:webHidden/>
          </w:rPr>
          <w:instrText xml:space="preserve"> PAGEREF _Toc39570233 \h </w:instrText>
        </w:r>
        <w:r w:rsidR="004C55D4">
          <w:rPr>
            <w:noProof/>
            <w:webHidden/>
          </w:rPr>
        </w:r>
        <w:r w:rsidR="004C55D4">
          <w:rPr>
            <w:noProof/>
            <w:webHidden/>
          </w:rPr>
          <w:fldChar w:fldCharType="separate"/>
        </w:r>
        <w:r w:rsidR="004C55D4">
          <w:rPr>
            <w:noProof/>
            <w:webHidden/>
          </w:rPr>
          <w:t>10</w:t>
        </w:r>
        <w:r w:rsidR="004C55D4">
          <w:rPr>
            <w:noProof/>
            <w:webHidden/>
          </w:rPr>
          <w:fldChar w:fldCharType="end"/>
        </w:r>
      </w:hyperlink>
    </w:p>
    <w:p w14:paraId="138B4863" w14:textId="72B51D4F" w:rsidR="004C55D4" w:rsidRDefault="002471D3">
      <w:pPr>
        <w:pStyle w:val="TOC3"/>
        <w:rPr>
          <w:rFonts w:asciiTheme="minorHAnsi" w:eastAsiaTheme="minorEastAsia" w:hAnsiTheme="minorHAnsi" w:cstheme="minorBidi"/>
          <w:noProof/>
          <w:lang w:eastAsia="en-AU"/>
        </w:rPr>
      </w:pPr>
      <w:hyperlink w:anchor="_Toc39570234" w:history="1">
        <w:r w:rsidR="004C55D4" w:rsidRPr="00637668">
          <w:rPr>
            <w:rStyle w:val="Hyperlink"/>
            <w:noProof/>
          </w:rPr>
          <w:t>Act of grace payments</w:t>
        </w:r>
        <w:r w:rsidR="004C55D4">
          <w:rPr>
            <w:noProof/>
            <w:webHidden/>
          </w:rPr>
          <w:tab/>
        </w:r>
        <w:r w:rsidR="004C55D4">
          <w:rPr>
            <w:noProof/>
            <w:webHidden/>
          </w:rPr>
          <w:fldChar w:fldCharType="begin"/>
        </w:r>
        <w:r w:rsidR="004C55D4">
          <w:rPr>
            <w:noProof/>
            <w:webHidden/>
          </w:rPr>
          <w:instrText xml:space="preserve"> PAGEREF _Toc39570234 \h </w:instrText>
        </w:r>
        <w:r w:rsidR="004C55D4">
          <w:rPr>
            <w:noProof/>
            <w:webHidden/>
          </w:rPr>
        </w:r>
        <w:r w:rsidR="004C55D4">
          <w:rPr>
            <w:noProof/>
            <w:webHidden/>
          </w:rPr>
          <w:fldChar w:fldCharType="separate"/>
        </w:r>
        <w:r w:rsidR="004C55D4">
          <w:rPr>
            <w:noProof/>
            <w:webHidden/>
          </w:rPr>
          <w:t>10</w:t>
        </w:r>
        <w:r w:rsidR="004C55D4">
          <w:rPr>
            <w:noProof/>
            <w:webHidden/>
          </w:rPr>
          <w:fldChar w:fldCharType="end"/>
        </w:r>
      </w:hyperlink>
    </w:p>
    <w:p w14:paraId="6164B808" w14:textId="3E76852E" w:rsidR="004C55D4" w:rsidRDefault="002471D3">
      <w:pPr>
        <w:pStyle w:val="TOC3"/>
        <w:rPr>
          <w:rFonts w:asciiTheme="minorHAnsi" w:eastAsiaTheme="minorEastAsia" w:hAnsiTheme="minorHAnsi" w:cstheme="minorBidi"/>
          <w:noProof/>
          <w:lang w:eastAsia="en-AU"/>
        </w:rPr>
      </w:pPr>
      <w:hyperlink w:anchor="_Toc39570235" w:history="1">
        <w:r w:rsidR="004C55D4" w:rsidRPr="00637668">
          <w:rPr>
            <w:rStyle w:val="Hyperlink"/>
            <w:noProof/>
          </w:rPr>
          <w:t>Compensation payments</w:t>
        </w:r>
        <w:r w:rsidR="004C55D4">
          <w:rPr>
            <w:noProof/>
            <w:webHidden/>
          </w:rPr>
          <w:tab/>
        </w:r>
        <w:r w:rsidR="004C55D4">
          <w:rPr>
            <w:noProof/>
            <w:webHidden/>
          </w:rPr>
          <w:fldChar w:fldCharType="begin"/>
        </w:r>
        <w:r w:rsidR="004C55D4">
          <w:rPr>
            <w:noProof/>
            <w:webHidden/>
          </w:rPr>
          <w:instrText xml:space="preserve"> PAGEREF _Toc39570235 \h </w:instrText>
        </w:r>
        <w:r w:rsidR="004C55D4">
          <w:rPr>
            <w:noProof/>
            <w:webHidden/>
          </w:rPr>
        </w:r>
        <w:r w:rsidR="004C55D4">
          <w:rPr>
            <w:noProof/>
            <w:webHidden/>
          </w:rPr>
          <w:fldChar w:fldCharType="separate"/>
        </w:r>
        <w:r w:rsidR="004C55D4">
          <w:rPr>
            <w:noProof/>
            <w:webHidden/>
          </w:rPr>
          <w:t>10</w:t>
        </w:r>
        <w:r w:rsidR="004C55D4">
          <w:rPr>
            <w:noProof/>
            <w:webHidden/>
          </w:rPr>
          <w:fldChar w:fldCharType="end"/>
        </w:r>
      </w:hyperlink>
    </w:p>
    <w:p w14:paraId="6FF50257" w14:textId="194E7B00" w:rsidR="004C55D4" w:rsidRDefault="002471D3">
      <w:pPr>
        <w:pStyle w:val="TOC3"/>
        <w:rPr>
          <w:rFonts w:asciiTheme="minorHAnsi" w:eastAsiaTheme="minorEastAsia" w:hAnsiTheme="minorHAnsi" w:cstheme="minorBidi"/>
          <w:noProof/>
          <w:lang w:eastAsia="en-AU"/>
        </w:rPr>
      </w:pPr>
      <w:hyperlink w:anchor="_Toc39570236" w:history="1">
        <w:r w:rsidR="004C55D4" w:rsidRPr="00637668">
          <w:rPr>
            <w:rStyle w:val="Hyperlink"/>
            <w:noProof/>
          </w:rPr>
          <w:t>A payment to a person of a benefit or entitlement established by specific legislation</w:t>
        </w:r>
        <w:r w:rsidR="004C55D4">
          <w:rPr>
            <w:noProof/>
            <w:webHidden/>
          </w:rPr>
          <w:tab/>
        </w:r>
        <w:r w:rsidR="004C55D4">
          <w:rPr>
            <w:noProof/>
            <w:webHidden/>
          </w:rPr>
          <w:fldChar w:fldCharType="begin"/>
        </w:r>
        <w:r w:rsidR="004C55D4">
          <w:rPr>
            <w:noProof/>
            <w:webHidden/>
          </w:rPr>
          <w:instrText xml:space="preserve"> PAGEREF _Toc39570236 \h </w:instrText>
        </w:r>
        <w:r w:rsidR="004C55D4">
          <w:rPr>
            <w:noProof/>
            <w:webHidden/>
          </w:rPr>
        </w:r>
        <w:r w:rsidR="004C55D4">
          <w:rPr>
            <w:noProof/>
            <w:webHidden/>
          </w:rPr>
          <w:fldChar w:fldCharType="separate"/>
        </w:r>
        <w:r w:rsidR="004C55D4">
          <w:rPr>
            <w:noProof/>
            <w:webHidden/>
          </w:rPr>
          <w:t>10</w:t>
        </w:r>
        <w:r w:rsidR="004C55D4">
          <w:rPr>
            <w:noProof/>
            <w:webHidden/>
          </w:rPr>
          <w:fldChar w:fldCharType="end"/>
        </w:r>
      </w:hyperlink>
    </w:p>
    <w:p w14:paraId="2567B1FA" w14:textId="6163D865" w:rsidR="004C55D4" w:rsidRDefault="002471D3">
      <w:pPr>
        <w:pStyle w:val="TOC3"/>
        <w:rPr>
          <w:rFonts w:asciiTheme="minorHAnsi" w:eastAsiaTheme="minorEastAsia" w:hAnsiTheme="minorHAnsi" w:cstheme="minorBidi"/>
          <w:noProof/>
          <w:lang w:eastAsia="en-AU"/>
        </w:rPr>
      </w:pPr>
      <w:hyperlink w:anchor="_Toc39570237" w:history="1">
        <w:r w:rsidR="004C55D4" w:rsidRPr="00637668">
          <w:rPr>
            <w:rStyle w:val="Hyperlink"/>
            <w:noProof/>
          </w:rPr>
          <w:t>Tax concessions or offsets</w:t>
        </w:r>
        <w:r w:rsidR="004C55D4">
          <w:rPr>
            <w:noProof/>
            <w:webHidden/>
          </w:rPr>
          <w:tab/>
        </w:r>
        <w:r w:rsidR="004C55D4">
          <w:rPr>
            <w:noProof/>
            <w:webHidden/>
          </w:rPr>
          <w:fldChar w:fldCharType="begin"/>
        </w:r>
        <w:r w:rsidR="004C55D4">
          <w:rPr>
            <w:noProof/>
            <w:webHidden/>
          </w:rPr>
          <w:instrText xml:space="preserve"> PAGEREF _Toc39570237 \h </w:instrText>
        </w:r>
        <w:r w:rsidR="004C55D4">
          <w:rPr>
            <w:noProof/>
            <w:webHidden/>
          </w:rPr>
        </w:r>
        <w:r w:rsidR="004C55D4">
          <w:rPr>
            <w:noProof/>
            <w:webHidden/>
          </w:rPr>
          <w:fldChar w:fldCharType="separate"/>
        </w:r>
        <w:r w:rsidR="004C55D4">
          <w:rPr>
            <w:noProof/>
            <w:webHidden/>
          </w:rPr>
          <w:t>11</w:t>
        </w:r>
        <w:r w:rsidR="004C55D4">
          <w:rPr>
            <w:noProof/>
            <w:webHidden/>
          </w:rPr>
          <w:fldChar w:fldCharType="end"/>
        </w:r>
      </w:hyperlink>
    </w:p>
    <w:p w14:paraId="16238CBA" w14:textId="643DB0F5" w:rsidR="004C55D4" w:rsidRDefault="002471D3">
      <w:pPr>
        <w:pStyle w:val="TOC3"/>
        <w:rPr>
          <w:rFonts w:asciiTheme="minorHAnsi" w:eastAsiaTheme="minorEastAsia" w:hAnsiTheme="minorHAnsi" w:cstheme="minorBidi"/>
          <w:noProof/>
          <w:lang w:eastAsia="en-AU"/>
        </w:rPr>
      </w:pPr>
      <w:hyperlink w:anchor="_Toc39570238" w:history="1">
        <w:r w:rsidR="004C55D4" w:rsidRPr="00637668">
          <w:rPr>
            <w:rStyle w:val="Hyperlink"/>
            <w:noProof/>
          </w:rPr>
          <w:t>Investments</w:t>
        </w:r>
        <w:r w:rsidR="004C55D4">
          <w:rPr>
            <w:noProof/>
            <w:webHidden/>
          </w:rPr>
          <w:tab/>
        </w:r>
        <w:r w:rsidR="004C55D4">
          <w:rPr>
            <w:noProof/>
            <w:webHidden/>
          </w:rPr>
          <w:fldChar w:fldCharType="begin"/>
        </w:r>
        <w:r w:rsidR="004C55D4">
          <w:rPr>
            <w:noProof/>
            <w:webHidden/>
          </w:rPr>
          <w:instrText xml:space="preserve"> PAGEREF _Toc39570238 \h </w:instrText>
        </w:r>
        <w:r w:rsidR="004C55D4">
          <w:rPr>
            <w:noProof/>
            <w:webHidden/>
          </w:rPr>
        </w:r>
        <w:r w:rsidR="004C55D4">
          <w:rPr>
            <w:noProof/>
            <w:webHidden/>
          </w:rPr>
          <w:fldChar w:fldCharType="separate"/>
        </w:r>
        <w:r w:rsidR="004C55D4">
          <w:rPr>
            <w:noProof/>
            <w:webHidden/>
          </w:rPr>
          <w:t>11</w:t>
        </w:r>
        <w:r w:rsidR="004C55D4">
          <w:rPr>
            <w:noProof/>
            <w:webHidden/>
          </w:rPr>
          <w:fldChar w:fldCharType="end"/>
        </w:r>
      </w:hyperlink>
    </w:p>
    <w:p w14:paraId="6CDA8B4B" w14:textId="16DA1647" w:rsidR="004C55D4" w:rsidRDefault="002471D3">
      <w:pPr>
        <w:pStyle w:val="TOC3"/>
        <w:rPr>
          <w:rFonts w:asciiTheme="minorHAnsi" w:eastAsiaTheme="minorEastAsia" w:hAnsiTheme="minorHAnsi" w:cstheme="minorBidi"/>
          <w:noProof/>
          <w:lang w:eastAsia="en-AU"/>
        </w:rPr>
      </w:pPr>
      <w:hyperlink w:anchor="_Toc39570239" w:history="1">
        <w:r w:rsidR="004C55D4" w:rsidRPr="00637668">
          <w:rPr>
            <w:rStyle w:val="Hyperlink"/>
            <w:noProof/>
          </w:rPr>
          <w:t>Loans</w:t>
        </w:r>
        <w:r w:rsidR="004C55D4">
          <w:rPr>
            <w:noProof/>
            <w:webHidden/>
          </w:rPr>
          <w:tab/>
        </w:r>
        <w:r w:rsidR="004C55D4">
          <w:rPr>
            <w:noProof/>
            <w:webHidden/>
          </w:rPr>
          <w:fldChar w:fldCharType="begin"/>
        </w:r>
        <w:r w:rsidR="004C55D4">
          <w:rPr>
            <w:noProof/>
            <w:webHidden/>
          </w:rPr>
          <w:instrText xml:space="preserve"> PAGEREF _Toc39570239 \h </w:instrText>
        </w:r>
        <w:r w:rsidR="004C55D4">
          <w:rPr>
            <w:noProof/>
            <w:webHidden/>
          </w:rPr>
        </w:r>
        <w:r w:rsidR="004C55D4">
          <w:rPr>
            <w:noProof/>
            <w:webHidden/>
          </w:rPr>
          <w:fldChar w:fldCharType="separate"/>
        </w:r>
        <w:r w:rsidR="004C55D4">
          <w:rPr>
            <w:noProof/>
            <w:webHidden/>
          </w:rPr>
          <w:t>11</w:t>
        </w:r>
        <w:r w:rsidR="004C55D4">
          <w:rPr>
            <w:noProof/>
            <w:webHidden/>
          </w:rPr>
          <w:fldChar w:fldCharType="end"/>
        </w:r>
      </w:hyperlink>
    </w:p>
    <w:p w14:paraId="171EA047" w14:textId="6FDDBAFF" w:rsidR="004C55D4" w:rsidRDefault="002471D3">
      <w:pPr>
        <w:pStyle w:val="TOC3"/>
        <w:rPr>
          <w:rFonts w:asciiTheme="minorHAnsi" w:eastAsiaTheme="minorEastAsia" w:hAnsiTheme="minorHAnsi" w:cstheme="minorBidi"/>
          <w:noProof/>
          <w:lang w:eastAsia="en-AU"/>
        </w:rPr>
      </w:pPr>
      <w:hyperlink w:anchor="_Toc39570240" w:history="1">
        <w:r w:rsidR="004C55D4" w:rsidRPr="00637668">
          <w:rPr>
            <w:rStyle w:val="Hyperlink"/>
            <w:noProof/>
          </w:rPr>
          <w:t>Gifts of relevant property</w:t>
        </w:r>
        <w:r w:rsidR="004C55D4">
          <w:rPr>
            <w:noProof/>
            <w:webHidden/>
          </w:rPr>
          <w:tab/>
        </w:r>
        <w:r w:rsidR="004C55D4">
          <w:rPr>
            <w:noProof/>
            <w:webHidden/>
          </w:rPr>
          <w:fldChar w:fldCharType="begin"/>
        </w:r>
        <w:r w:rsidR="004C55D4">
          <w:rPr>
            <w:noProof/>
            <w:webHidden/>
          </w:rPr>
          <w:instrText xml:space="preserve"> PAGEREF _Toc39570240 \h </w:instrText>
        </w:r>
        <w:r w:rsidR="004C55D4">
          <w:rPr>
            <w:noProof/>
            <w:webHidden/>
          </w:rPr>
        </w:r>
        <w:r w:rsidR="004C55D4">
          <w:rPr>
            <w:noProof/>
            <w:webHidden/>
          </w:rPr>
          <w:fldChar w:fldCharType="separate"/>
        </w:r>
        <w:r w:rsidR="004C55D4">
          <w:rPr>
            <w:noProof/>
            <w:webHidden/>
          </w:rPr>
          <w:t>12</w:t>
        </w:r>
        <w:r w:rsidR="004C55D4">
          <w:rPr>
            <w:noProof/>
            <w:webHidden/>
          </w:rPr>
          <w:fldChar w:fldCharType="end"/>
        </w:r>
      </w:hyperlink>
    </w:p>
    <w:p w14:paraId="0CF78A27" w14:textId="4EBCB879" w:rsidR="004C55D4" w:rsidRDefault="002471D3">
      <w:pPr>
        <w:pStyle w:val="TOC3"/>
        <w:rPr>
          <w:rFonts w:asciiTheme="minorHAnsi" w:eastAsiaTheme="minorEastAsia" w:hAnsiTheme="minorHAnsi" w:cstheme="minorBidi"/>
          <w:noProof/>
          <w:lang w:eastAsia="en-AU"/>
        </w:rPr>
      </w:pPr>
      <w:hyperlink w:anchor="_Toc39570241" w:history="1">
        <w:r w:rsidR="004C55D4" w:rsidRPr="00637668">
          <w:rPr>
            <w:rStyle w:val="Hyperlink"/>
            <w:noProof/>
          </w:rPr>
          <w:t>Payments to the States and Territories</w:t>
        </w:r>
        <w:r w:rsidR="004C55D4">
          <w:rPr>
            <w:noProof/>
            <w:webHidden/>
          </w:rPr>
          <w:tab/>
        </w:r>
        <w:r w:rsidR="004C55D4">
          <w:rPr>
            <w:noProof/>
            <w:webHidden/>
          </w:rPr>
          <w:fldChar w:fldCharType="begin"/>
        </w:r>
        <w:r w:rsidR="004C55D4">
          <w:rPr>
            <w:noProof/>
            <w:webHidden/>
          </w:rPr>
          <w:instrText xml:space="preserve"> PAGEREF _Toc39570241 \h </w:instrText>
        </w:r>
        <w:r w:rsidR="004C55D4">
          <w:rPr>
            <w:noProof/>
            <w:webHidden/>
          </w:rPr>
        </w:r>
        <w:r w:rsidR="004C55D4">
          <w:rPr>
            <w:noProof/>
            <w:webHidden/>
          </w:rPr>
          <w:fldChar w:fldCharType="separate"/>
        </w:r>
        <w:r w:rsidR="004C55D4">
          <w:rPr>
            <w:noProof/>
            <w:webHidden/>
          </w:rPr>
          <w:t>12</w:t>
        </w:r>
        <w:r w:rsidR="004C55D4">
          <w:rPr>
            <w:noProof/>
            <w:webHidden/>
          </w:rPr>
          <w:fldChar w:fldCharType="end"/>
        </w:r>
      </w:hyperlink>
    </w:p>
    <w:p w14:paraId="0F7BC327" w14:textId="27526475" w:rsidR="004C55D4" w:rsidRDefault="002471D3">
      <w:pPr>
        <w:pStyle w:val="TOC1"/>
        <w:rPr>
          <w:rFonts w:asciiTheme="minorHAnsi" w:eastAsiaTheme="minorEastAsia" w:hAnsiTheme="minorHAnsi" w:cstheme="minorBidi"/>
          <w:b w:val="0"/>
          <w:noProof/>
          <w:sz w:val="22"/>
          <w:lang w:eastAsia="en-AU"/>
        </w:rPr>
      </w:pPr>
      <w:hyperlink w:anchor="_Toc39570242" w:history="1">
        <w:r w:rsidR="004C55D4" w:rsidRPr="00637668">
          <w:rPr>
            <w:rStyle w:val="Hyperlink"/>
            <w:noProof/>
          </w:rPr>
          <w:t>Attachment A – Financial Arrangements Matrix</w:t>
        </w:r>
        <w:r w:rsidR="004C55D4">
          <w:rPr>
            <w:noProof/>
            <w:webHidden/>
          </w:rPr>
          <w:tab/>
        </w:r>
        <w:r w:rsidR="004C55D4">
          <w:rPr>
            <w:noProof/>
            <w:webHidden/>
          </w:rPr>
          <w:fldChar w:fldCharType="begin"/>
        </w:r>
        <w:r w:rsidR="004C55D4">
          <w:rPr>
            <w:noProof/>
            <w:webHidden/>
          </w:rPr>
          <w:instrText xml:space="preserve"> PAGEREF _Toc39570242 \h </w:instrText>
        </w:r>
        <w:r w:rsidR="004C55D4">
          <w:rPr>
            <w:noProof/>
            <w:webHidden/>
          </w:rPr>
        </w:r>
        <w:r w:rsidR="004C55D4">
          <w:rPr>
            <w:noProof/>
            <w:webHidden/>
          </w:rPr>
          <w:fldChar w:fldCharType="separate"/>
        </w:r>
        <w:r w:rsidR="004C55D4">
          <w:rPr>
            <w:noProof/>
            <w:webHidden/>
          </w:rPr>
          <w:t>13</w:t>
        </w:r>
        <w:r w:rsidR="004C55D4">
          <w:rPr>
            <w:noProof/>
            <w:webHidden/>
          </w:rPr>
          <w:fldChar w:fldCharType="end"/>
        </w:r>
      </w:hyperlink>
    </w:p>
    <w:p w14:paraId="19FA5F80" w14:textId="7574CCE1" w:rsidR="004C55D4" w:rsidRDefault="002471D3">
      <w:pPr>
        <w:pStyle w:val="TOC1"/>
        <w:rPr>
          <w:rFonts w:asciiTheme="minorHAnsi" w:eastAsiaTheme="minorEastAsia" w:hAnsiTheme="minorHAnsi" w:cstheme="minorBidi"/>
          <w:b w:val="0"/>
          <w:noProof/>
          <w:sz w:val="22"/>
          <w:lang w:eastAsia="en-AU"/>
        </w:rPr>
      </w:pPr>
      <w:hyperlink w:anchor="_Toc39570243" w:history="1">
        <w:r w:rsidR="004C55D4" w:rsidRPr="00637668">
          <w:rPr>
            <w:rStyle w:val="Hyperlink"/>
            <w:noProof/>
          </w:rPr>
          <w:t>Attachment B – Considerations to assist officials in determining financial arrangements</w:t>
        </w:r>
        <w:r w:rsidR="004C55D4">
          <w:rPr>
            <w:noProof/>
            <w:webHidden/>
          </w:rPr>
          <w:tab/>
        </w:r>
        <w:r w:rsidR="004C55D4">
          <w:rPr>
            <w:noProof/>
            <w:webHidden/>
          </w:rPr>
          <w:fldChar w:fldCharType="begin"/>
        </w:r>
        <w:r w:rsidR="004C55D4">
          <w:rPr>
            <w:noProof/>
            <w:webHidden/>
          </w:rPr>
          <w:instrText xml:space="preserve"> PAGEREF _Toc39570243 \h </w:instrText>
        </w:r>
        <w:r w:rsidR="004C55D4">
          <w:rPr>
            <w:noProof/>
            <w:webHidden/>
          </w:rPr>
        </w:r>
        <w:r w:rsidR="004C55D4">
          <w:rPr>
            <w:noProof/>
            <w:webHidden/>
          </w:rPr>
          <w:fldChar w:fldCharType="separate"/>
        </w:r>
        <w:r w:rsidR="004C55D4">
          <w:rPr>
            <w:noProof/>
            <w:webHidden/>
          </w:rPr>
          <w:t>17</w:t>
        </w:r>
        <w:r w:rsidR="004C55D4">
          <w:rPr>
            <w:noProof/>
            <w:webHidden/>
          </w:rPr>
          <w:fldChar w:fldCharType="end"/>
        </w:r>
      </w:hyperlink>
    </w:p>
    <w:p w14:paraId="352E6B0C" w14:textId="2A3C6B7F" w:rsidR="004C55D4" w:rsidRDefault="002471D3">
      <w:pPr>
        <w:pStyle w:val="TOC1"/>
        <w:rPr>
          <w:rFonts w:asciiTheme="minorHAnsi" w:eastAsiaTheme="minorEastAsia" w:hAnsiTheme="minorHAnsi" w:cstheme="minorBidi"/>
          <w:b w:val="0"/>
          <w:noProof/>
          <w:sz w:val="22"/>
          <w:lang w:eastAsia="en-AU"/>
        </w:rPr>
      </w:pPr>
      <w:hyperlink w:anchor="_Toc39570244" w:history="1">
        <w:r w:rsidR="004C55D4" w:rsidRPr="00637668">
          <w:rPr>
            <w:rStyle w:val="Hyperlink"/>
            <w:noProof/>
          </w:rPr>
          <w:t>Appendix 1 – Glossary</w:t>
        </w:r>
        <w:r w:rsidR="004C55D4">
          <w:rPr>
            <w:noProof/>
            <w:webHidden/>
          </w:rPr>
          <w:tab/>
        </w:r>
        <w:r w:rsidR="004C55D4">
          <w:rPr>
            <w:noProof/>
            <w:webHidden/>
          </w:rPr>
          <w:fldChar w:fldCharType="begin"/>
        </w:r>
        <w:r w:rsidR="004C55D4">
          <w:rPr>
            <w:noProof/>
            <w:webHidden/>
          </w:rPr>
          <w:instrText xml:space="preserve"> PAGEREF _Toc39570244 \h </w:instrText>
        </w:r>
        <w:r w:rsidR="004C55D4">
          <w:rPr>
            <w:noProof/>
            <w:webHidden/>
          </w:rPr>
        </w:r>
        <w:r w:rsidR="004C55D4">
          <w:rPr>
            <w:noProof/>
            <w:webHidden/>
          </w:rPr>
          <w:fldChar w:fldCharType="separate"/>
        </w:r>
        <w:r w:rsidR="004C55D4">
          <w:rPr>
            <w:noProof/>
            <w:webHidden/>
          </w:rPr>
          <w:t>19</w:t>
        </w:r>
        <w:r w:rsidR="004C55D4">
          <w:rPr>
            <w:noProof/>
            <w:webHidden/>
          </w:rPr>
          <w:fldChar w:fldCharType="end"/>
        </w:r>
      </w:hyperlink>
    </w:p>
    <w:p w14:paraId="24CF108D" w14:textId="33797EA4" w:rsidR="009B07E0" w:rsidRPr="005A01B5" w:rsidRDefault="009B07E0" w:rsidP="00396E11">
      <w:r w:rsidRPr="005A01B5">
        <w:rPr>
          <w:caps/>
        </w:rPr>
        <w:fldChar w:fldCharType="end"/>
      </w:r>
      <w:r w:rsidRPr="005A01B5">
        <w:br w:type="page"/>
      </w:r>
    </w:p>
    <w:p w14:paraId="36BAA9A5" w14:textId="77777777" w:rsidR="009B07E0" w:rsidRPr="005A01B5" w:rsidRDefault="009B07E0" w:rsidP="00BB756B">
      <w:pPr>
        <w:pStyle w:val="Heading1"/>
      </w:pPr>
      <w:bookmarkStart w:id="3" w:name="_Toc39570217"/>
      <w:bookmarkStart w:id="4" w:name="_Toc462156017"/>
      <w:bookmarkStart w:id="5" w:name="_Toc462158389"/>
      <w:bookmarkStart w:id="6" w:name="_Toc462158444"/>
      <w:bookmarkStart w:id="7" w:name="_Toc462158497"/>
      <w:bookmarkStart w:id="8" w:name="_Toc462158567"/>
      <w:bookmarkStart w:id="9" w:name="_Toc462158687"/>
      <w:bookmarkStart w:id="10" w:name="Audience"/>
      <w:r w:rsidRPr="00E033C5">
        <w:lastRenderedPageBreak/>
        <w:t>Purpose</w:t>
      </w:r>
      <w:bookmarkEnd w:id="3"/>
      <w:r w:rsidRPr="005A01B5">
        <w:t xml:space="preserve"> </w:t>
      </w:r>
    </w:p>
    <w:p w14:paraId="320AF02A" w14:textId="77777777" w:rsidR="009B07E0" w:rsidRPr="005A01B5" w:rsidRDefault="009B07E0" w:rsidP="00625805">
      <w:pPr>
        <w:pStyle w:val="Bullets1stindent"/>
      </w:pPr>
      <w:r w:rsidRPr="005A01B5">
        <w:rPr>
          <w:rFonts w:cs="Arial"/>
          <w:bCs/>
          <w:lang w:val="en-US"/>
        </w:rPr>
        <w:t xml:space="preserve">The </w:t>
      </w:r>
      <w:r w:rsidRPr="005A01B5">
        <w:rPr>
          <w:rFonts w:cs="Arial"/>
          <w:bCs/>
          <w:i/>
          <w:lang w:val="en-US"/>
        </w:rPr>
        <w:t>Commonwealth Grants Rules</w:t>
      </w:r>
      <w:r w:rsidRPr="005A01B5">
        <w:rPr>
          <w:rFonts w:cs="Arial"/>
          <w:bCs/>
          <w:lang w:val="en-US"/>
        </w:rPr>
        <w:t xml:space="preserve"> </w:t>
      </w:r>
      <w:r w:rsidRPr="005A01B5">
        <w:rPr>
          <w:rFonts w:cs="Arial"/>
          <w:bCs/>
          <w:i/>
          <w:lang w:val="en-US"/>
        </w:rPr>
        <w:t>and Guidelines 2017</w:t>
      </w:r>
      <w:r w:rsidRPr="005A01B5">
        <w:rPr>
          <w:rFonts w:cs="Arial"/>
          <w:bCs/>
          <w:lang w:val="en-US"/>
        </w:rPr>
        <w:t xml:space="preserve"> (CGRGs) and </w:t>
      </w:r>
      <w:r w:rsidRPr="005A01B5">
        <w:rPr>
          <w:rFonts w:cs="Arial"/>
          <w:bCs/>
          <w:i/>
          <w:lang w:val="en-US"/>
        </w:rPr>
        <w:t>Commonwealth Procurement Rules</w:t>
      </w:r>
      <w:r w:rsidRPr="005A01B5">
        <w:rPr>
          <w:rFonts w:cs="Arial"/>
          <w:bCs/>
          <w:lang w:val="en-US"/>
        </w:rPr>
        <w:t xml:space="preserve"> (CPRs) establish the Australian Government’s policy framework for grants administration and procurement.  </w:t>
      </w:r>
      <w:r w:rsidRPr="005A01B5">
        <w:rPr>
          <w:lang w:val="en-US"/>
        </w:rPr>
        <w:t xml:space="preserve">The CGRGs and CPRs are issued by the Finance Minister under the </w:t>
      </w:r>
      <w:r w:rsidRPr="005A01B5">
        <w:rPr>
          <w:i/>
          <w:lang w:val="en-US"/>
        </w:rPr>
        <w:t>Public Governance, Performance and Accountability Act 2013</w:t>
      </w:r>
      <w:r w:rsidRPr="005A01B5">
        <w:rPr>
          <w:lang w:val="en-US"/>
        </w:rPr>
        <w:br/>
        <w:t xml:space="preserve">(PGPA Act). </w:t>
      </w:r>
    </w:p>
    <w:p w14:paraId="68AC5133" w14:textId="77777777" w:rsidR="009B07E0" w:rsidRPr="005A01B5" w:rsidRDefault="009B07E0" w:rsidP="00D22E4B">
      <w:pPr>
        <w:pStyle w:val="BodyText"/>
        <w:rPr>
          <w:rFonts w:ascii="Arial" w:hAnsi="Arial" w:cs="Arial"/>
          <w:bCs/>
          <w:lang w:val="en-US"/>
        </w:rPr>
      </w:pPr>
      <w:r w:rsidRPr="005A01B5">
        <w:rPr>
          <w:rFonts w:ascii="Arial" w:hAnsi="Arial" w:cs="Arial"/>
          <w:bCs/>
          <w:lang w:val="en-US"/>
        </w:rPr>
        <w:t xml:space="preserve">The purpose of this guide is to provide detailed information to non-corporate Commonwealth entities (NCEs) on how to distinguish between grants, procurements and other financial arrangements, and the relevant framework that applies. </w:t>
      </w:r>
    </w:p>
    <w:p w14:paraId="35B3F87B" w14:textId="77777777" w:rsidR="009B07E0" w:rsidRPr="00E033C5" w:rsidRDefault="009B07E0" w:rsidP="00BB756B">
      <w:pPr>
        <w:pStyle w:val="Heading1"/>
      </w:pPr>
      <w:bookmarkStart w:id="11" w:name="_Toc39570218"/>
      <w:r w:rsidRPr="00E033C5">
        <w:t>Audience</w:t>
      </w:r>
      <w:bookmarkEnd w:id="4"/>
      <w:bookmarkEnd w:id="5"/>
      <w:bookmarkEnd w:id="6"/>
      <w:bookmarkEnd w:id="7"/>
      <w:bookmarkEnd w:id="8"/>
      <w:bookmarkEnd w:id="9"/>
      <w:bookmarkEnd w:id="11"/>
    </w:p>
    <w:p w14:paraId="54505030" w14:textId="747D0BC5" w:rsidR="009B07E0" w:rsidRPr="005A01B5" w:rsidRDefault="009B07E0" w:rsidP="000B0AE5">
      <w:bookmarkStart w:id="12" w:name="_Toc390678609"/>
      <w:bookmarkStart w:id="13" w:name="_Toc390678658"/>
      <w:bookmarkStart w:id="14" w:name="_Toc462156018"/>
      <w:bookmarkStart w:id="15" w:name="_Toc462158390"/>
      <w:bookmarkStart w:id="16" w:name="_Toc462158445"/>
      <w:bookmarkStart w:id="17" w:name="_Toc462158498"/>
      <w:bookmarkStart w:id="18" w:name="_Toc462158568"/>
      <w:bookmarkStart w:id="19" w:name="_Toc462158688"/>
      <w:bookmarkEnd w:id="10"/>
      <w:r w:rsidRPr="005A01B5">
        <w:t xml:space="preserve">This </w:t>
      </w:r>
      <w:r w:rsidR="00AF523F">
        <w:t>Resource Management G</w:t>
      </w:r>
      <w:r w:rsidR="00AF523F" w:rsidRPr="005A01B5">
        <w:t>uide</w:t>
      </w:r>
      <w:r w:rsidR="00AF523F">
        <w:t xml:space="preserve"> (RMG)</w:t>
      </w:r>
      <w:r w:rsidR="00AF523F" w:rsidRPr="005A01B5">
        <w:t xml:space="preserve"> </w:t>
      </w:r>
      <w:r w:rsidRPr="005A01B5">
        <w:t>is relevant to accountable authorities and officials involved in resource management in all NCEs</w:t>
      </w:r>
      <w:r w:rsidRPr="005A01B5">
        <w:rPr>
          <w:rStyle w:val="FootnoteReference"/>
        </w:rPr>
        <w:footnoteReference w:id="1"/>
      </w:r>
      <w:r w:rsidRPr="005A01B5">
        <w:t xml:space="preserve">. It is also relevant to prescribed corporate </w:t>
      </w:r>
      <w:r w:rsidR="00787197" w:rsidRPr="005A01B5">
        <w:t xml:space="preserve">Commonwealth </w:t>
      </w:r>
      <w:r w:rsidRPr="005A01B5">
        <w:t>entities</w:t>
      </w:r>
      <w:r w:rsidR="00AF523F">
        <w:t xml:space="preserve"> (CCEs)</w:t>
      </w:r>
      <w:r w:rsidRPr="005A01B5">
        <w:t xml:space="preserve"> with respect to the CPRs.</w:t>
      </w:r>
    </w:p>
    <w:p w14:paraId="2821228C" w14:textId="77777777" w:rsidR="009B07E0" w:rsidRPr="00E033C5" w:rsidRDefault="009B07E0" w:rsidP="00BB756B">
      <w:pPr>
        <w:pStyle w:val="Heading1"/>
      </w:pPr>
      <w:bookmarkStart w:id="20" w:name="_Toc39570219"/>
      <w:r w:rsidRPr="00E033C5">
        <w:t>Key points</w:t>
      </w:r>
      <w:bookmarkEnd w:id="12"/>
      <w:bookmarkEnd w:id="13"/>
      <w:bookmarkEnd w:id="14"/>
      <w:bookmarkEnd w:id="15"/>
      <w:bookmarkEnd w:id="16"/>
      <w:bookmarkEnd w:id="17"/>
      <w:bookmarkEnd w:id="18"/>
      <w:bookmarkEnd w:id="19"/>
      <w:bookmarkEnd w:id="20"/>
    </w:p>
    <w:p w14:paraId="1A3717EC" w14:textId="77777777" w:rsidR="009B07E0" w:rsidRPr="005A01B5" w:rsidRDefault="009B07E0" w:rsidP="00AA4C62">
      <w:r w:rsidRPr="005A01B5">
        <w:t xml:space="preserve">This guide: </w:t>
      </w:r>
    </w:p>
    <w:p w14:paraId="497C26C9" w14:textId="69C89792" w:rsidR="005014F6" w:rsidRPr="00E033C5" w:rsidRDefault="005014F6" w:rsidP="005014F6">
      <w:pPr>
        <w:pStyle w:val="Bullets1stindent"/>
        <w:numPr>
          <w:ilvl w:val="0"/>
          <w:numId w:val="34"/>
        </w:numPr>
      </w:pPr>
      <w:bookmarkStart w:id="21" w:name="_Toc390678610"/>
      <w:bookmarkStart w:id="22" w:name="_Toc390678659"/>
      <w:bookmarkStart w:id="23" w:name="_Toc462156019"/>
      <w:bookmarkStart w:id="24" w:name="_Toc462158391"/>
      <w:bookmarkStart w:id="25" w:name="_Toc462158446"/>
      <w:bookmarkStart w:id="26" w:name="_Toc462158499"/>
      <w:bookmarkStart w:id="27" w:name="_Toc462158569"/>
      <w:bookmarkStart w:id="28" w:name="_Toc462158689"/>
      <w:r w:rsidRPr="00E033C5">
        <w:t xml:space="preserve">replaces </w:t>
      </w:r>
      <w:r w:rsidR="00AF523F">
        <w:t>RMG</w:t>
      </w:r>
      <w:r w:rsidRPr="00E033C5">
        <w:t xml:space="preserve"> 411 (dated 2014): Grants, Procurements and</w:t>
      </w:r>
      <w:r>
        <w:t xml:space="preserve"> other Financial Arrangements</w:t>
      </w:r>
      <w:r w:rsidR="00CA2F7D">
        <w:t>;</w:t>
      </w:r>
    </w:p>
    <w:p w14:paraId="0B919FA9" w14:textId="707E0282" w:rsidR="009B07E0" w:rsidRPr="00E033C5" w:rsidRDefault="009B07E0" w:rsidP="00AA4C62">
      <w:pPr>
        <w:pStyle w:val="Bullets1stindent"/>
        <w:numPr>
          <w:ilvl w:val="0"/>
          <w:numId w:val="34"/>
        </w:numPr>
      </w:pPr>
      <w:r w:rsidRPr="00E033C5">
        <w:t>reflects the resource management framework under the PGPA Act</w:t>
      </w:r>
      <w:r w:rsidR="00CA2F7D">
        <w:t>;</w:t>
      </w:r>
    </w:p>
    <w:p w14:paraId="6CA6BF74" w14:textId="7DFCB276" w:rsidR="009B07E0" w:rsidRPr="00E033C5" w:rsidRDefault="009B07E0" w:rsidP="00AA4C62">
      <w:pPr>
        <w:pStyle w:val="Bullets1stindent"/>
        <w:numPr>
          <w:ilvl w:val="0"/>
          <w:numId w:val="34"/>
        </w:numPr>
      </w:pPr>
      <w:r w:rsidRPr="00E033C5">
        <w:t>provides guidance on common forms of financial arrangements available to achieve Australian Government policy objectives. To facilitate a particular outcome, accountable authorities and officials may decide to use a specific financial arrangement or a combination of financial arrangements</w:t>
      </w:r>
      <w:r w:rsidR="00CA2F7D">
        <w:t>;</w:t>
      </w:r>
      <w:r w:rsidR="00CA2F7D" w:rsidRPr="00E033C5">
        <w:t xml:space="preserve"> </w:t>
      </w:r>
      <w:r w:rsidRPr="00E033C5">
        <w:t xml:space="preserve">and  </w:t>
      </w:r>
    </w:p>
    <w:p w14:paraId="553D0759" w14:textId="308A793C" w:rsidR="005014F6" w:rsidRPr="00E033C5" w:rsidRDefault="005014F6" w:rsidP="005014F6">
      <w:pPr>
        <w:pStyle w:val="Bullets1stindent"/>
        <w:numPr>
          <w:ilvl w:val="0"/>
          <w:numId w:val="34"/>
        </w:numPr>
      </w:pPr>
      <w:r w:rsidRPr="00E033C5">
        <w:t>provides guidance for officials on how to determine whether to use a grant, procurement or other type of financial arrangement</w:t>
      </w:r>
      <w:r>
        <w:t>.</w:t>
      </w:r>
    </w:p>
    <w:p w14:paraId="4C42FF24" w14:textId="77777777" w:rsidR="00D208E8" w:rsidRDefault="00D208E8">
      <w:pPr>
        <w:suppressAutoHyphens w:val="0"/>
        <w:spacing w:before="0" w:after="0" w:line="240" w:lineRule="auto"/>
        <w:rPr>
          <w:rFonts w:eastAsia="Times New Roman"/>
          <w:bCs/>
          <w:color w:val="1C1C1C"/>
          <w:sz w:val="40"/>
          <w:szCs w:val="28"/>
        </w:rPr>
      </w:pPr>
      <w:bookmarkStart w:id="29" w:name="_Toc463364660"/>
      <w:bookmarkStart w:id="30" w:name="_Toc462156020"/>
      <w:bookmarkStart w:id="31" w:name="_Toc462158392"/>
      <w:bookmarkStart w:id="32" w:name="_Toc462158447"/>
      <w:bookmarkStart w:id="33" w:name="_Toc462158500"/>
      <w:bookmarkStart w:id="34" w:name="_Toc462158570"/>
      <w:bookmarkStart w:id="35" w:name="_Toc462158690"/>
      <w:bookmarkEnd w:id="21"/>
      <w:bookmarkEnd w:id="22"/>
      <w:bookmarkEnd w:id="23"/>
      <w:bookmarkEnd w:id="24"/>
      <w:bookmarkEnd w:id="25"/>
      <w:bookmarkEnd w:id="26"/>
      <w:bookmarkEnd w:id="27"/>
      <w:bookmarkEnd w:id="28"/>
      <w:r>
        <w:br w:type="page"/>
      </w:r>
    </w:p>
    <w:p w14:paraId="4F85B8A4" w14:textId="4BD883BE" w:rsidR="009B07E0" w:rsidRPr="00E033C5" w:rsidRDefault="009B07E0" w:rsidP="00BB756B">
      <w:pPr>
        <w:pStyle w:val="Heading1"/>
      </w:pPr>
      <w:bookmarkStart w:id="36" w:name="_Toc39570220"/>
      <w:r w:rsidRPr="00E033C5">
        <w:lastRenderedPageBreak/>
        <w:t>Introduction</w:t>
      </w:r>
      <w:bookmarkEnd w:id="29"/>
      <w:bookmarkEnd w:id="36"/>
    </w:p>
    <w:p w14:paraId="5809505B" w14:textId="3F23DF28" w:rsidR="009B07E0" w:rsidRPr="00E033C5" w:rsidRDefault="000D6C70" w:rsidP="00AA4C62">
      <w:pPr>
        <w:pStyle w:val="Bullets1stindent"/>
        <w:numPr>
          <w:ilvl w:val="0"/>
          <w:numId w:val="24"/>
        </w:numPr>
      </w:pPr>
      <w:r>
        <w:t>A</w:t>
      </w:r>
      <w:r w:rsidR="009B07E0" w:rsidRPr="00E033C5">
        <w:t xml:space="preserve"> range of financial arrangements can be used to address policy outcomes.  At the outset, the decision to use a particular financial arrangement should be part of a considered process to assess whether </w:t>
      </w:r>
      <w:r>
        <w:t xml:space="preserve">a particular financial arrangement, such as a grant, is </w:t>
      </w:r>
      <w:r w:rsidR="009B07E0" w:rsidRPr="00E033C5">
        <w:t>the most appropriate mechanism to address the Government’s policy outcomes.  All decisions to use a particular financial arrangement should be underpinned by analysis and a strong policy rationale.</w:t>
      </w:r>
    </w:p>
    <w:p w14:paraId="785C98A9" w14:textId="6F52F409" w:rsidR="009B07E0" w:rsidRPr="00E033C5" w:rsidRDefault="009B07E0" w:rsidP="00AA4C62">
      <w:pPr>
        <w:pStyle w:val="Bullets1stindent"/>
        <w:numPr>
          <w:ilvl w:val="0"/>
          <w:numId w:val="24"/>
        </w:numPr>
      </w:pPr>
      <w:r w:rsidRPr="00E033C5">
        <w:t xml:space="preserve">In determining which financial arrangement to use </w:t>
      </w:r>
      <w:r w:rsidR="000D6C70" w:rsidRPr="00E033C5">
        <w:t>to address the Government's policy outcomes</w:t>
      </w:r>
      <w:r w:rsidR="000D6C70">
        <w:t>,</w:t>
      </w:r>
      <w:r w:rsidR="000D6C70" w:rsidRPr="00E033C5">
        <w:t xml:space="preserve"> </w:t>
      </w:r>
      <w:r w:rsidRPr="00E033C5">
        <w:t>officials should focus on the substantive purpose and characteristics of the arrangement</w:t>
      </w:r>
      <w:r w:rsidR="000D6C70">
        <w:t>.</w:t>
      </w:r>
      <w:r w:rsidRPr="00E033C5">
        <w:t xml:space="preserve"> </w:t>
      </w:r>
      <w:r w:rsidR="000D6C70">
        <w:t xml:space="preserve">Officials should </w:t>
      </w:r>
      <w:r w:rsidRPr="00E033C5">
        <w:t xml:space="preserve">document the reasons for deciding to use a particular arrangement. Officials </w:t>
      </w:r>
      <w:r w:rsidRPr="00E033C5">
        <w:rPr>
          <w:b/>
        </w:rPr>
        <w:t xml:space="preserve">must </w:t>
      </w:r>
      <w:r w:rsidRPr="00E033C5">
        <w:t xml:space="preserve">apply the relevant framework (i.e. policy, processes and legal requirements) to the financial arrangement once chosen.  Officials </w:t>
      </w:r>
      <w:r w:rsidRPr="00E033C5">
        <w:rPr>
          <w:b/>
        </w:rPr>
        <w:t xml:space="preserve">must </w:t>
      </w:r>
      <w:r w:rsidRPr="00E033C5">
        <w:t>also ensure that they use the latest versions of the CPRs and CGRGs</w:t>
      </w:r>
      <w:r w:rsidRPr="00E033C5">
        <w:rPr>
          <w:i/>
        </w:rPr>
        <w:t xml:space="preserve"> </w:t>
      </w:r>
      <w:r w:rsidRPr="00E033C5">
        <w:t>when characterising an arrangement</w:t>
      </w:r>
      <w:r w:rsidRPr="00E033C5">
        <w:rPr>
          <w:i/>
        </w:rPr>
        <w:t xml:space="preserve">. </w:t>
      </w:r>
    </w:p>
    <w:p w14:paraId="135970ED" w14:textId="3638BD5E" w:rsidR="009B07E0" w:rsidRPr="00E033C5" w:rsidRDefault="009B07E0" w:rsidP="00AA4C62">
      <w:pPr>
        <w:pStyle w:val="ListParagraph"/>
        <w:numPr>
          <w:ilvl w:val="0"/>
          <w:numId w:val="24"/>
        </w:numPr>
      </w:pPr>
      <w:r w:rsidRPr="00E033C5">
        <w:rPr>
          <w:rFonts w:ascii="Arial" w:hAnsi="Arial"/>
        </w:rPr>
        <w:t xml:space="preserve">In addition to the guidance contained in this RMG, there are </w:t>
      </w:r>
      <w:r w:rsidR="00C52765">
        <w:rPr>
          <w:rFonts w:ascii="Arial" w:hAnsi="Arial"/>
        </w:rPr>
        <w:t>two</w:t>
      </w:r>
      <w:r w:rsidRPr="00E033C5">
        <w:rPr>
          <w:rFonts w:ascii="Arial" w:hAnsi="Arial"/>
        </w:rPr>
        <w:t xml:space="preserve"> </w:t>
      </w:r>
      <w:r w:rsidRPr="00AF523F">
        <w:rPr>
          <w:rFonts w:ascii="Arial" w:hAnsi="Arial" w:cs="Arial"/>
        </w:rPr>
        <w:t>tools attached</w:t>
      </w:r>
      <w:r w:rsidRPr="00CA2F7D">
        <w:rPr>
          <w:rFonts w:ascii="Arial" w:hAnsi="Arial" w:cs="Arial"/>
        </w:rPr>
        <w:t xml:space="preserve"> to </w:t>
      </w:r>
      <w:r w:rsidRPr="00AF523F">
        <w:rPr>
          <w:rFonts w:ascii="Arial" w:hAnsi="Arial" w:cs="Arial"/>
        </w:rPr>
        <w:t>assist</w:t>
      </w:r>
      <w:r w:rsidRPr="00E033C5">
        <w:rPr>
          <w:rFonts w:ascii="Arial" w:hAnsi="Arial"/>
        </w:rPr>
        <w:t xml:space="preserve"> entities to comply with the requirements under the PGPA Act and promote the proper use of public resources:</w:t>
      </w:r>
    </w:p>
    <w:p w14:paraId="694DEC5E" w14:textId="671EF547" w:rsidR="009B07E0" w:rsidRPr="00E033C5" w:rsidRDefault="009B07E0" w:rsidP="00E50881">
      <w:pPr>
        <w:pStyle w:val="ListParagraph"/>
        <w:numPr>
          <w:ilvl w:val="1"/>
          <w:numId w:val="24"/>
        </w:numPr>
      </w:pPr>
      <w:r w:rsidRPr="00E033C5">
        <w:rPr>
          <w:rFonts w:ascii="Arial" w:hAnsi="Arial"/>
        </w:rPr>
        <w:t xml:space="preserve">A summary of the typical types of financial arrangements, and a list of relevant guidance material at </w:t>
      </w:r>
      <w:r w:rsidRPr="00E033C5">
        <w:rPr>
          <w:rFonts w:ascii="Arial" w:hAnsi="Arial"/>
          <w:u w:val="single"/>
        </w:rPr>
        <w:t>Attachment A</w:t>
      </w:r>
      <w:r w:rsidRPr="00E033C5">
        <w:rPr>
          <w:rFonts w:ascii="Arial" w:hAnsi="Arial"/>
        </w:rPr>
        <w:t>;</w:t>
      </w:r>
      <w:r w:rsidR="00CA2F7D">
        <w:rPr>
          <w:rFonts w:ascii="Arial" w:hAnsi="Arial"/>
        </w:rPr>
        <w:t xml:space="preserve"> and</w:t>
      </w:r>
    </w:p>
    <w:p w14:paraId="3F3E5F4B" w14:textId="5C68E69E" w:rsidR="009B07E0" w:rsidRPr="00E033C5" w:rsidRDefault="00A110FD" w:rsidP="008F253B">
      <w:pPr>
        <w:pStyle w:val="ListParagraph"/>
        <w:numPr>
          <w:ilvl w:val="1"/>
          <w:numId w:val="24"/>
        </w:numPr>
        <w:spacing w:after="120"/>
        <w:ind w:left="1077" w:hanging="357"/>
      </w:pPr>
      <w:r>
        <w:rPr>
          <w:rFonts w:ascii="Arial" w:hAnsi="Arial"/>
        </w:rPr>
        <w:t>A list of</w:t>
      </w:r>
      <w:r w:rsidR="00334B15">
        <w:rPr>
          <w:rFonts w:ascii="Arial" w:hAnsi="Arial"/>
        </w:rPr>
        <w:t xml:space="preserve"> considerations that may assist in</w:t>
      </w:r>
      <w:r w:rsidR="009B07E0" w:rsidRPr="00E033C5">
        <w:rPr>
          <w:rFonts w:ascii="Arial" w:hAnsi="Arial"/>
        </w:rPr>
        <w:t xml:space="preserve"> identifying the most likely type of financial arrangement for common Government activities at </w:t>
      </w:r>
      <w:r w:rsidR="009B07E0" w:rsidRPr="00E033C5">
        <w:rPr>
          <w:rFonts w:ascii="Arial" w:hAnsi="Arial"/>
          <w:u w:val="single"/>
        </w:rPr>
        <w:t xml:space="preserve">Attachment </w:t>
      </w:r>
      <w:r w:rsidR="00334B15">
        <w:rPr>
          <w:rFonts w:ascii="Arial" w:hAnsi="Arial"/>
          <w:u w:val="single"/>
        </w:rPr>
        <w:t>B</w:t>
      </w:r>
      <w:r w:rsidR="009B07E0" w:rsidRPr="00E033C5">
        <w:rPr>
          <w:rFonts w:ascii="Arial" w:hAnsi="Arial"/>
        </w:rPr>
        <w:t xml:space="preserve">. </w:t>
      </w:r>
    </w:p>
    <w:p w14:paraId="39FA13A1" w14:textId="43D0D87D" w:rsidR="0004507F" w:rsidRPr="00E033C5" w:rsidRDefault="000D6C70" w:rsidP="00D836D5">
      <w:pPr>
        <w:pStyle w:val="Bullets1stindent"/>
        <w:numPr>
          <w:ilvl w:val="0"/>
          <w:numId w:val="24"/>
        </w:numPr>
      </w:pPr>
      <w:r>
        <w:t>These tools are aids and are not designed to capture each particular circumstance</w:t>
      </w:r>
      <w:r w:rsidR="00A110FD">
        <w:t>, nor are the lists exclusive</w:t>
      </w:r>
      <w:r>
        <w:t xml:space="preserve">. </w:t>
      </w:r>
      <w:r w:rsidR="009B07E0" w:rsidRPr="00E033C5">
        <w:t>Officials should consult these tools to consider the most appropriate financial arrangement prior to seeking advice from Finance.</w:t>
      </w:r>
      <w:r w:rsidRPr="000D6C70">
        <w:t xml:space="preserve"> </w:t>
      </w:r>
    </w:p>
    <w:p w14:paraId="1D333A33" w14:textId="77777777" w:rsidR="009B07E0" w:rsidRPr="00E033C5" w:rsidRDefault="009B07E0" w:rsidP="00C5636B">
      <w:pPr>
        <w:pStyle w:val="Heading1"/>
        <w:shd w:val="clear" w:color="auto" w:fill="BDDCDF"/>
      </w:pPr>
      <w:bookmarkStart w:id="37" w:name="_Toc39570221"/>
      <w:r w:rsidRPr="00E033C5">
        <w:t xml:space="preserve">Part 1 – </w:t>
      </w:r>
      <w:bookmarkEnd w:id="30"/>
      <w:bookmarkEnd w:id="31"/>
      <w:bookmarkEnd w:id="32"/>
      <w:bookmarkEnd w:id="33"/>
      <w:bookmarkEnd w:id="34"/>
      <w:bookmarkEnd w:id="35"/>
      <w:r w:rsidRPr="00E033C5">
        <w:t>Grants</w:t>
      </w:r>
      <w:bookmarkEnd w:id="37"/>
    </w:p>
    <w:p w14:paraId="514C6FFF" w14:textId="7881B063" w:rsidR="009B07E0" w:rsidRPr="005A01B5" w:rsidRDefault="009B07E0" w:rsidP="00AA4C62">
      <w:pPr>
        <w:pStyle w:val="NumberedList1"/>
        <w:numPr>
          <w:ilvl w:val="0"/>
          <w:numId w:val="24"/>
        </w:numPr>
      </w:pPr>
      <w:bookmarkStart w:id="38" w:name="_Toc308092705"/>
      <w:r w:rsidRPr="00E033C5">
        <w:t xml:space="preserve">The CGRGs are issued by the Finance Minister under section 105C of the PGPA Act.  </w:t>
      </w:r>
      <w:r w:rsidR="000D6C70">
        <w:t xml:space="preserve">The CGRGs establish the overarching Commonwealth grants policy framework and articulate the Government’s expectations in relation to grants administration. </w:t>
      </w:r>
      <w:r w:rsidRPr="00E033C5">
        <w:t xml:space="preserve">The CGRGs can be found on the Finance website at: </w:t>
      </w:r>
      <w:hyperlink r:id="rId24" w:history="1">
        <w:r w:rsidRPr="005A01B5">
          <w:rPr>
            <w:rStyle w:val="Hyperlink"/>
            <w:rFonts w:cs="Times New Roman"/>
          </w:rPr>
          <w:t>http://www.finance.gov.au/resource-management/grants/</w:t>
        </w:r>
      </w:hyperlink>
      <w:r w:rsidRPr="005A01B5">
        <w:t>.</w:t>
      </w:r>
    </w:p>
    <w:p w14:paraId="09553AE7" w14:textId="77777777" w:rsidR="009B0608" w:rsidRDefault="000D6C70" w:rsidP="00AA4C62">
      <w:pPr>
        <w:pStyle w:val="NumberedList1"/>
        <w:numPr>
          <w:ilvl w:val="0"/>
          <w:numId w:val="24"/>
        </w:numPr>
      </w:pPr>
      <w:r>
        <w:t>Grants are widely used to achieve Government policy outcomes. Types of grants may include but are not limited to: research grants; grants that provide for the delivery of services such as health services and legal services</w:t>
      </w:r>
      <w:r w:rsidR="009B0608">
        <w:t xml:space="preserve">; grants that help fund infrastructure; or grants that help build capacity. </w:t>
      </w:r>
    </w:p>
    <w:p w14:paraId="26D69BEA" w14:textId="6A24B8FB" w:rsidR="009B07E0" w:rsidRPr="005A01B5" w:rsidRDefault="009B0608" w:rsidP="00CA2F7D">
      <w:pPr>
        <w:pStyle w:val="NumberedList1"/>
        <w:numPr>
          <w:ilvl w:val="0"/>
          <w:numId w:val="24"/>
        </w:numPr>
      </w:pPr>
      <w:r w:rsidRPr="005A01B5">
        <w:t>For the purposes of the CGRGs</w:t>
      </w:r>
      <w:r w:rsidR="00BD600C">
        <w:t>,</w:t>
      </w:r>
      <w:r>
        <w:t xml:space="preserve"> a</w:t>
      </w:r>
      <w:r w:rsidR="009B07E0" w:rsidRPr="005A01B5">
        <w:t xml:space="preserve"> </w:t>
      </w:r>
      <w:r w:rsidR="00E97F9B" w:rsidRPr="005A01B5">
        <w:t>g</w:t>
      </w:r>
      <w:r w:rsidR="009B07E0" w:rsidRPr="005A01B5">
        <w:t>rant is defined in paragraph 2.3 of the CGRGs as:</w:t>
      </w:r>
      <w:r w:rsidR="00F468B4">
        <w:t xml:space="preserve"> </w:t>
      </w:r>
      <w:r w:rsidR="009B07E0" w:rsidRPr="005A01B5">
        <w:t>an arrangement for the provision of financial assistance by the Commonwealth or on behalf of the Commonwealth:</w:t>
      </w:r>
    </w:p>
    <w:p w14:paraId="122825EB" w14:textId="77777777" w:rsidR="009B07E0" w:rsidRPr="005A01B5" w:rsidRDefault="009B07E0" w:rsidP="00D208E8">
      <w:pPr>
        <w:pStyle w:val="NumberedList1"/>
        <w:spacing w:before="0"/>
        <w:ind w:left="1440" w:hanging="720"/>
      </w:pPr>
      <w:r w:rsidRPr="005A01B5">
        <w:t>a.</w:t>
      </w:r>
      <w:r w:rsidRPr="005A01B5">
        <w:tab/>
        <w:t>under which relevant money or other CRF money is to be paid to a grantee other than the Commonwealth; and</w:t>
      </w:r>
    </w:p>
    <w:p w14:paraId="29436DE8" w14:textId="77777777" w:rsidR="009B07E0" w:rsidRPr="005A01B5" w:rsidRDefault="009B07E0" w:rsidP="00D208E8">
      <w:pPr>
        <w:pStyle w:val="NumberedList1"/>
        <w:spacing w:before="0"/>
        <w:ind w:left="1440" w:hanging="720"/>
      </w:pPr>
      <w:r w:rsidRPr="005A01B5">
        <w:t>b.</w:t>
      </w:r>
      <w:r w:rsidRPr="005A01B5">
        <w:tab/>
        <w:t>which is intended to help address one or more of the Australian Government’s policy outcomes while assisting the grantee achieve its objectives.</w:t>
      </w:r>
    </w:p>
    <w:p w14:paraId="1ADC2657" w14:textId="77777777" w:rsidR="009B07E0" w:rsidRPr="005A01B5" w:rsidRDefault="009B07E0" w:rsidP="00D208E8">
      <w:pPr>
        <w:pStyle w:val="NumberedList1"/>
        <w:spacing w:before="0"/>
        <w:ind w:left="360" w:firstLine="0"/>
      </w:pPr>
      <w:r w:rsidRPr="005A01B5">
        <w:t>Where an arrangement meets the definition of a grant, then the CGRGs apply.</w:t>
      </w:r>
    </w:p>
    <w:p w14:paraId="0AB78EE8" w14:textId="33CDAA97" w:rsidR="009B07E0" w:rsidRPr="005A01B5" w:rsidRDefault="009B07E0" w:rsidP="00CA2F7D">
      <w:pPr>
        <w:pStyle w:val="NumberedList1"/>
        <w:numPr>
          <w:ilvl w:val="0"/>
          <w:numId w:val="24"/>
        </w:numPr>
      </w:pPr>
      <w:r w:rsidRPr="005A01B5">
        <w:lastRenderedPageBreak/>
        <w:t>A grant can be allocated through different ways, ranging from one-off or ad</w:t>
      </w:r>
      <w:r w:rsidR="00BE16CC">
        <w:t xml:space="preserve"> </w:t>
      </w:r>
      <w:r w:rsidRPr="005A01B5">
        <w:t xml:space="preserve">hoc </w:t>
      </w:r>
      <w:r w:rsidR="009561BC">
        <w:t>grants</w:t>
      </w:r>
      <w:r w:rsidRPr="005A01B5">
        <w:t xml:space="preserve">, </w:t>
      </w:r>
      <w:r w:rsidR="009561BC">
        <w:t xml:space="preserve">demand-driven grants, or grants </w:t>
      </w:r>
      <w:r w:rsidR="009561BC" w:rsidRPr="005A01B5">
        <w:t>made as a result of competitive assessment</w:t>
      </w:r>
      <w:r w:rsidRPr="005A01B5">
        <w:t>.  Entities should apply the requirements and the principles of the CGRGs according to the nature of the grant they are administering.</w:t>
      </w:r>
    </w:p>
    <w:p w14:paraId="3EF20FB5" w14:textId="04E3B3F4" w:rsidR="009B07E0" w:rsidRPr="005A01B5" w:rsidRDefault="00C11007" w:rsidP="008F253B">
      <w:pPr>
        <w:pStyle w:val="NumberedList1"/>
        <w:numPr>
          <w:ilvl w:val="0"/>
          <w:numId w:val="24"/>
        </w:numPr>
        <w:ind w:left="426" w:hanging="426"/>
      </w:pPr>
      <w:r w:rsidRPr="005A01B5">
        <w:t>E</w:t>
      </w:r>
      <w:r w:rsidR="009B07E0" w:rsidRPr="005A01B5">
        <w:t xml:space="preserve">xpenditure </w:t>
      </w:r>
      <w:r w:rsidRPr="005A01B5">
        <w:t xml:space="preserve">that </w:t>
      </w:r>
      <w:r w:rsidR="009B07E0" w:rsidRPr="005A01B5">
        <w:t xml:space="preserve">does not relate to the ordinary </w:t>
      </w:r>
      <w:r w:rsidRPr="005A01B5">
        <w:t>and well-recognised</w:t>
      </w:r>
      <w:r w:rsidR="009B07E0" w:rsidRPr="005A01B5">
        <w:t xml:space="preserve"> functions of government requires legislative authority in addition to an appropriation act.  The </w:t>
      </w:r>
      <w:r w:rsidRPr="005A01B5">
        <w:t xml:space="preserve">legislative </w:t>
      </w:r>
      <w:r w:rsidR="009B07E0" w:rsidRPr="005A01B5">
        <w:t xml:space="preserve">authority can be established in </w:t>
      </w:r>
      <w:r w:rsidR="00C63AB0" w:rsidRPr="005A01B5">
        <w:t>a portfolio’s primary</w:t>
      </w:r>
      <w:r w:rsidR="009B07E0" w:rsidRPr="005A01B5">
        <w:t xml:space="preserve"> legislation</w:t>
      </w:r>
      <w:r w:rsidRPr="005A01B5">
        <w:t xml:space="preserve">, the </w:t>
      </w:r>
      <w:r w:rsidRPr="005A01B5">
        <w:rPr>
          <w:i/>
        </w:rPr>
        <w:t xml:space="preserve">Federal Financial Relations Act </w:t>
      </w:r>
      <w:r w:rsidR="00027CB2" w:rsidRPr="005A01B5">
        <w:rPr>
          <w:i/>
        </w:rPr>
        <w:t>2009</w:t>
      </w:r>
      <w:r w:rsidR="00027CB2" w:rsidRPr="005A01B5">
        <w:t>,</w:t>
      </w:r>
      <w:r w:rsidR="009B07E0" w:rsidRPr="005A01B5">
        <w:t xml:space="preserve"> or by </w:t>
      </w:r>
      <w:r w:rsidRPr="005A01B5">
        <w:t xml:space="preserve">delegated legislation such as </w:t>
      </w:r>
      <w:r w:rsidR="009B07E0" w:rsidRPr="005A01B5">
        <w:t>regulation</w:t>
      </w:r>
      <w:r w:rsidRPr="005A01B5">
        <w:t>s or other</w:t>
      </w:r>
      <w:r w:rsidR="00027CB2" w:rsidRPr="005A01B5">
        <w:t xml:space="preserve"> legislative instruments</w:t>
      </w:r>
      <w:r w:rsidR="009B07E0" w:rsidRPr="005A01B5">
        <w:t xml:space="preserve">.  Many grants are authorised </w:t>
      </w:r>
      <w:r w:rsidR="00C63AB0" w:rsidRPr="005A01B5">
        <w:t xml:space="preserve">under </w:t>
      </w:r>
      <w:r w:rsidR="009B07E0" w:rsidRPr="005A01B5">
        <w:t xml:space="preserve">section 32B of the </w:t>
      </w:r>
      <w:r w:rsidR="009B07E0" w:rsidRPr="005A01B5">
        <w:rPr>
          <w:i/>
        </w:rPr>
        <w:t xml:space="preserve">Financial Framework </w:t>
      </w:r>
      <w:r w:rsidR="00787197" w:rsidRPr="005A01B5">
        <w:rPr>
          <w:i/>
        </w:rPr>
        <w:t>(</w:t>
      </w:r>
      <w:r w:rsidR="009B07E0" w:rsidRPr="005A01B5">
        <w:rPr>
          <w:i/>
        </w:rPr>
        <w:t>Supplementary Powers</w:t>
      </w:r>
      <w:r w:rsidR="00787197" w:rsidRPr="005A01B5">
        <w:rPr>
          <w:i/>
        </w:rPr>
        <w:t>)</w:t>
      </w:r>
      <w:r w:rsidR="009B07E0" w:rsidRPr="005A01B5">
        <w:rPr>
          <w:i/>
        </w:rPr>
        <w:t xml:space="preserve"> Act 1997 </w:t>
      </w:r>
      <w:r w:rsidR="009B07E0" w:rsidRPr="005A01B5">
        <w:t>(FF</w:t>
      </w:r>
      <w:r w:rsidR="00787197" w:rsidRPr="005A01B5">
        <w:t>(</w:t>
      </w:r>
      <w:r w:rsidR="009B07E0" w:rsidRPr="005A01B5">
        <w:t>SP</w:t>
      </w:r>
      <w:r w:rsidR="00787197" w:rsidRPr="005A01B5">
        <w:t>)</w:t>
      </w:r>
      <w:r w:rsidR="009B07E0" w:rsidRPr="005A01B5">
        <w:t xml:space="preserve"> Act) </w:t>
      </w:r>
      <w:r w:rsidR="00E80D91" w:rsidRPr="005A01B5">
        <w:t>and are</w:t>
      </w:r>
      <w:r w:rsidR="00C63AB0" w:rsidRPr="005A01B5">
        <w:t xml:space="preserve"> listed in </w:t>
      </w:r>
      <w:r w:rsidR="009B07E0" w:rsidRPr="005A01B5">
        <w:t>Schedule</w:t>
      </w:r>
      <w:r w:rsidR="00C63AB0" w:rsidRPr="005A01B5">
        <w:t> </w:t>
      </w:r>
      <w:r w:rsidR="009B07E0" w:rsidRPr="005A01B5">
        <w:t>1AA or Schedule</w:t>
      </w:r>
      <w:r w:rsidR="00C63AB0" w:rsidRPr="005A01B5">
        <w:t> </w:t>
      </w:r>
      <w:r w:rsidR="009B07E0" w:rsidRPr="005A01B5">
        <w:t xml:space="preserve">1AB </w:t>
      </w:r>
      <w:r w:rsidR="00787197" w:rsidRPr="005A01B5">
        <w:t xml:space="preserve">to </w:t>
      </w:r>
      <w:r w:rsidR="009B07E0" w:rsidRPr="005A01B5">
        <w:t xml:space="preserve">the </w:t>
      </w:r>
      <w:r w:rsidR="00787197" w:rsidRPr="005A01B5">
        <w:rPr>
          <w:i/>
        </w:rPr>
        <w:t>Financial Framework (Supplementary Powers) Regulations 1997</w:t>
      </w:r>
      <w:r w:rsidR="00787197" w:rsidRPr="005A01B5">
        <w:t xml:space="preserve"> (the </w:t>
      </w:r>
      <w:r w:rsidR="009B07E0" w:rsidRPr="005A01B5">
        <w:t>FF</w:t>
      </w:r>
      <w:r w:rsidR="00787197" w:rsidRPr="005A01B5">
        <w:t>(</w:t>
      </w:r>
      <w:r w:rsidR="009B07E0" w:rsidRPr="005A01B5">
        <w:t>SP</w:t>
      </w:r>
      <w:r w:rsidR="00787197" w:rsidRPr="005A01B5">
        <w:t>)</w:t>
      </w:r>
      <w:r w:rsidR="009B07E0" w:rsidRPr="005A01B5">
        <w:t xml:space="preserve"> Regulations</w:t>
      </w:r>
      <w:r w:rsidR="00787197" w:rsidRPr="005A01B5">
        <w:t>)</w:t>
      </w:r>
      <w:r w:rsidR="009B07E0" w:rsidRPr="005A01B5">
        <w:t>.</w:t>
      </w:r>
    </w:p>
    <w:p w14:paraId="675159C9" w14:textId="77777777" w:rsidR="009B07E0" w:rsidRPr="005A01B5" w:rsidRDefault="009B07E0" w:rsidP="00AA4C62">
      <w:pPr>
        <w:pStyle w:val="NumberedList1"/>
        <w:numPr>
          <w:ilvl w:val="0"/>
          <w:numId w:val="24"/>
        </w:numPr>
      </w:pPr>
      <w:r w:rsidRPr="005A01B5">
        <w:t>Common types of Government spending activities that are usually defined as grants are listed below.</w:t>
      </w:r>
    </w:p>
    <w:p w14:paraId="36EE555A" w14:textId="77777777" w:rsidR="009B07E0" w:rsidRPr="00E033C5" w:rsidRDefault="009B07E0" w:rsidP="00BB756B">
      <w:pPr>
        <w:pStyle w:val="Heading3"/>
      </w:pPr>
      <w:bookmarkStart w:id="39" w:name="_Toc39570222"/>
      <w:r w:rsidRPr="00E033C5">
        <w:t>Gifts of relevant money</w:t>
      </w:r>
      <w:bookmarkEnd w:id="39"/>
    </w:p>
    <w:p w14:paraId="704D35A9" w14:textId="42D3D40A" w:rsidR="009B07E0" w:rsidRDefault="009B07E0" w:rsidP="008F253B">
      <w:pPr>
        <w:pStyle w:val="NumberedList1"/>
        <w:numPr>
          <w:ilvl w:val="0"/>
          <w:numId w:val="24"/>
        </w:numPr>
        <w:ind w:left="426" w:hanging="426"/>
      </w:pPr>
      <w:r w:rsidRPr="005A01B5">
        <w:t xml:space="preserve">A gift of relevant money is a grant.  Like all payments of relevant money, a gift of relevant money </w:t>
      </w:r>
      <w:r w:rsidRPr="005A01B5">
        <w:rPr>
          <w:b/>
        </w:rPr>
        <w:t>must</w:t>
      </w:r>
      <w:r w:rsidRPr="005A01B5">
        <w:t xml:space="preserve"> be a ‘proper’ use of public resources. </w:t>
      </w:r>
    </w:p>
    <w:p w14:paraId="537A6590" w14:textId="621C9E88" w:rsidR="009B0608" w:rsidRPr="005A01B5" w:rsidRDefault="009B0608" w:rsidP="008F253B">
      <w:pPr>
        <w:pStyle w:val="NumberedList1"/>
        <w:numPr>
          <w:ilvl w:val="0"/>
          <w:numId w:val="24"/>
        </w:numPr>
        <w:ind w:left="426" w:hanging="426"/>
      </w:pPr>
      <w:r>
        <w:t xml:space="preserve">Gifts of relevant money generally do not have terms and conditions applied </w:t>
      </w:r>
      <w:r w:rsidR="00A110FD">
        <w:t xml:space="preserve">and </w:t>
      </w:r>
      <w:r w:rsidR="00BD600C">
        <w:t>do not require a recipient to undertake the expenditure in accordance with a specified purpose</w:t>
      </w:r>
      <w:r w:rsidR="00595AF0">
        <w:t>.</w:t>
      </w:r>
      <w:r>
        <w:t xml:space="preserve"> The CGRGs apply to gifts of relevant money.</w:t>
      </w:r>
    </w:p>
    <w:p w14:paraId="5D1077AC" w14:textId="77777777" w:rsidR="009B07E0" w:rsidRPr="00E033C5" w:rsidRDefault="009B07E0" w:rsidP="00BB756B">
      <w:pPr>
        <w:pStyle w:val="Heading3"/>
      </w:pPr>
      <w:bookmarkStart w:id="40" w:name="_Toc39570223"/>
      <w:r w:rsidRPr="00E033C5">
        <w:t>Benefits or entitlement payments</w:t>
      </w:r>
      <w:bookmarkEnd w:id="40"/>
      <w:r w:rsidRPr="00E033C5">
        <w:t xml:space="preserve"> </w:t>
      </w:r>
    </w:p>
    <w:p w14:paraId="5BCBF53F" w14:textId="3C114AD2" w:rsidR="009B07E0" w:rsidRPr="005A01B5" w:rsidRDefault="009B07E0" w:rsidP="008F253B">
      <w:pPr>
        <w:pStyle w:val="NumberedList1"/>
        <w:numPr>
          <w:ilvl w:val="0"/>
          <w:numId w:val="24"/>
        </w:numPr>
        <w:ind w:left="426" w:hanging="426"/>
      </w:pPr>
      <w:r w:rsidRPr="005A01B5">
        <w:t>Where a benefit or entitlement payment is not established through specific legislation</w:t>
      </w:r>
      <w:r w:rsidR="00BD600C">
        <w:t xml:space="preserve"> (see para</w:t>
      </w:r>
      <w:r w:rsidR="00334B15">
        <w:t>graphs</w:t>
      </w:r>
      <w:r w:rsidR="00BD600C">
        <w:t xml:space="preserve"> 31-33</w:t>
      </w:r>
      <w:r w:rsidR="00A110FD">
        <w:t xml:space="preserve"> below</w:t>
      </w:r>
      <w:r w:rsidR="00BD600C">
        <w:t>)</w:t>
      </w:r>
      <w:r w:rsidRPr="005A01B5">
        <w:t xml:space="preserve"> (other than section 32B of the FF</w:t>
      </w:r>
      <w:r w:rsidR="00910C4C" w:rsidRPr="005A01B5">
        <w:t>(</w:t>
      </w:r>
      <w:r w:rsidRPr="005A01B5">
        <w:t>SP</w:t>
      </w:r>
      <w:r w:rsidR="00910C4C" w:rsidRPr="005A01B5">
        <w:t>)</w:t>
      </w:r>
      <w:r w:rsidRPr="005A01B5">
        <w:t xml:space="preserve"> Act, section 23 of the PGPA Act, or an appropriation act) it should be treated as a grant and officials </w:t>
      </w:r>
      <w:r w:rsidRPr="005A01B5">
        <w:rPr>
          <w:b/>
        </w:rPr>
        <w:t>must</w:t>
      </w:r>
      <w:r w:rsidRPr="005A01B5">
        <w:t xml:space="preserve"> comply with the CGRGs.</w:t>
      </w:r>
    </w:p>
    <w:p w14:paraId="3A8C6414" w14:textId="77777777" w:rsidR="009B07E0" w:rsidRPr="00E033C5" w:rsidRDefault="009B07E0" w:rsidP="00BB756B">
      <w:pPr>
        <w:pStyle w:val="Heading3"/>
      </w:pPr>
      <w:bookmarkStart w:id="41" w:name="_Toc39570224"/>
      <w:r w:rsidRPr="00E033C5">
        <w:t>Subsidies or Rebates</w:t>
      </w:r>
      <w:bookmarkEnd w:id="41"/>
    </w:p>
    <w:p w14:paraId="36E82636" w14:textId="3AB5BD28" w:rsidR="009B07E0" w:rsidRPr="005A01B5" w:rsidRDefault="009B07E0" w:rsidP="008F253B">
      <w:pPr>
        <w:pStyle w:val="NumberedList1"/>
        <w:numPr>
          <w:ilvl w:val="0"/>
          <w:numId w:val="24"/>
        </w:numPr>
        <w:ind w:left="426" w:hanging="426"/>
      </w:pPr>
      <w:r w:rsidRPr="005A01B5">
        <w:t xml:space="preserve">Subsidies and rebates can involve a wide range of arrangements, such as tax concessions and entitlement payments.  </w:t>
      </w:r>
      <w:r w:rsidR="009B0608">
        <w:t>Where s</w:t>
      </w:r>
      <w:r w:rsidRPr="005A01B5">
        <w:t>ubsidies and rebates create an entitlement to financial assistance</w:t>
      </w:r>
      <w:r w:rsidR="009B0608">
        <w:t>, but are not established by specific legislation, they</w:t>
      </w:r>
      <w:r w:rsidRPr="005A01B5">
        <w:t xml:space="preserve"> will generally meet the definition of a grant</w:t>
      </w:r>
      <w:r w:rsidR="009B0608">
        <w:t>.</w:t>
      </w:r>
      <w:r w:rsidRPr="005A01B5">
        <w:t xml:space="preserve">  Where the authority to enter into the arrangement comes from section 32B of the FF</w:t>
      </w:r>
      <w:r w:rsidR="00E80D91" w:rsidRPr="005A01B5">
        <w:t>(</w:t>
      </w:r>
      <w:r w:rsidRPr="005A01B5">
        <w:t>SP</w:t>
      </w:r>
      <w:r w:rsidR="00E80D91" w:rsidRPr="005A01B5">
        <w:t>)</w:t>
      </w:r>
      <w:r w:rsidRPr="005A01B5">
        <w:t xml:space="preserve"> Act and Schedule 1AA or Schedule 1AB of the FF</w:t>
      </w:r>
      <w:r w:rsidR="00787197" w:rsidRPr="005A01B5">
        <w:t>(</w:t>
      </w:r>
      <w:r w:rsidRPr="005A01B5">
        <w:t>SP</w:t>
      </w:r>
      <w:r w:rsidR="00787197" w:rsidRPr="005A01B5">
        <w:t>)</w:t>
      </w:r>
      <w:r w:rsidRPr="005A01B5">
        <w:t xml:space="preserve"> Regulations, the arrangement will generally meet the definition of a grant and the CGRGs will apply.</w:t>
      </w:r>
    </w:p>
    <w:p w14:paraId="3E158F79" w14:textId="77777777" w:rsidR="003666B9" w:rsidRDefault="003666B9">
      <w:pPr>
        <w:suppressAutoHyphens w:val="0"/>
        <w:spacing w:before="0" w:after="0" w:line="240" w:lineRule="auto"/>
        <w:rPr>
          <w:rFonts w:eastAsia="Times New Roman"/>
          <w:bCs/>
          <w:color w:val="1C1C1C"/>
          <w:sz w:val="30"/>
          <w:szCs w:val="26"/>
        </w:rPr>
      </w:pPr>
      <w:r>
        <w:br w:type="page"/>
      </w:r>
    </w:p>
    <w:p w14:paraId="030EC262" w14:textId="30FEE7F6" w:rsidR="009B07E0" w:rsidRPr="00E033C5" w:rsidRDefault="009B07E0" w:rsidP="00BB756B">
      <w:pPr>
        <w:pStyle w:val="Heading3"/>
      </w:pPr>
      <w:bookmarkStart w:id="42" w:name="_Toc39570225"/>
      <w:r w:rsidRPr="00E033C5">
        <w:lastRenderedPageBreak/>
        <w:t>Sponsorships</w:t>
      </w:r>
      <w:bookmarkEnd w:id="42"/>
    </w:p>
    <w:p w14:paraId="6843D821" w14:textId="48F90E21" w:rsidR="009B07E0" w:rsidRPr="005A01B5" w:rsidRDefault="009B07E0" w:rsidP="008F253B">
      <w:pPr>
        <w:pStyle w:val="NumberedList1"/>
        <w:numPr>
          <w:ilvl w:val="0"/>
          <w:numId w:val="24"/>
        </w:numPr>
        <w:ind w:left="426" w:hanging="426"/>
      </w:pPr>
      <w:r w:rsidRPr="005A01B5">
        <w:t>Sponsorships, which provide financial assistance to individuals or organisations, whether directly to a recipient or through a third party, will generally meet the definition of a grant.  However, a sponsorship may amount to procurement where it involves acquiring a good or service, for example, purchasing advertising space</w:t>
      </w:r>
      <w:r w:rsidR="0049491F">
        <w:t xml:space="preserve"> </w:t>
      </w:r>
      <w:r w:rsidR="00F0758C">
        <w:t>or a conference sponsorship package</w:t>
      </w:r>
      <w:r w:rsidRPr="005A01B5">
        <w:t>.</w:t>
      </w:r>
    </w:p>
    <w:p w14:paraId="0DC7627B" w14:textId="77777777" w:rsidR="009B07E0" w:rsidRPr="00E033C5" w:rsidRDefault="009B07E0" w:rsidP="00BB756B">
      <w:pPr>
        <w:pStyle w:val="Heading3"/>
      </w:pPr>
      <w:bookmarkStart w:id="43" w:name="_Toc39570226"/>
      <w:r w:rsidRPr="00E033C5">
        <w:t>Scholarships</w:t>
      </w:r>
      <w:bookmarkEnd w:id="43"/>
    </w:p>
    <w:p w14:paraId="3519AFCC" w14:textId="77777777" w:rsidR="009B07E0" w:rsidRPr="005A01B5" w:rsidRDefault="009B07E0" w:rsidP="008F253B">
      <w:pPr>
        <w:pStyle w:val="NumberedList1"/>
        <w:numPr>
          <w:ilvl w:val="0"/>
          <w:numId w:val="24"/>
        </w:numPr>
        <w:ind w:left="426" w:hanging="426"/>
      </w:pPr>
      <w:r w:rsidRPr="005A01B5">
        <w:t>Scholarships, which provide financial assistance to individuals, whether directly to a recipient or through a third party, will generally meet the definition of a grant.  Where there is a work placement component to a scholarship program, officials should ensure they are aware of any relevant employment related requirements in legislation.</w:t>
      </w:r>
    </w:p>
    <w:p w14:paraId="28A97F29" w14:textId="725FBBB1" w:rsidR="004D2497" w:rsidRDefault="004D2497">
      <w:pPr>
        <w:suppressAutoHyphens w:val="0"/>
        <w:spacing w:before="0" w:after="0" w:line="240" w:lineRule="auto"/>
        <w:rPr>
          <w:rFonts w:eastAsia="Times New Roman"/>
          <w:bCs/>
          <w:color w:val="1C1C1C"/>
          <w:sz w:val="30"/>
          <w:szCs w:val="26"/>
        </w:rPr>
      </w:pPr>
    </w:p>
    <w:p w14:paraId="3579F7E8" w14:textId="763D4C6A" w:rsidR="009B07E0" w:rsidRPr="00E033C5" w:rsidRDefault="00E8497C" w:rsidP="00BB756B">
      <w:pPr>
        <w:pStyle w:val="Heading3"/>
      </w:pPr>
      <w:bookmarkStart w:id="44" w:name="_Toc39570227"/>
      <w:r>
        <w:t xml:space="preserve">Arrangements </w:t>
      </w:r>
      <w:r w:rsidR="00B13E05">
        <w:t xml:space="preserve">taken </w:t>
      </w:r>
      <w:r w:rsidR="009B0608">
        <w:t>not to be grants</w:t>
      </w:r>
      <w:bookmarkEnd w:id="44"/>
    </w:p>
    <w:p w14:paraId="23284E1C" w14:textId="7266A671" w:rsidR="009B07E0" w:rsidRPr="005A01B5" w:rsidRDefault="009B07E0" w:rsidP="008F253B">
      <w:pPr>
        <w:pStyle w:val="NumberedList1"/>
        <w:numPr>
          <w:ilvl w:val="0"/>
          <w:numId w:val="24"/>
        </w:numPr>
        <w:ind w:left="426" w:hanging="426"/>
      </w:pPr>
      <w:r w:rsidRPr="005A01B5">
        <w:t>Some financial arrangements, which would normally be included in the definition of a grant, are not subject to the CGRGs for policy reasons.  Generally</w:t>
      </w:r>
      <w:r w:rsidR="00880625">
        <w:t>,</w:t>
      </w:r>
      <w:r w:rsidRPr="005A01B5">
        <w:t xml:space="preserve"> they are excluded as they are subject to separate legislative or administrative arrangements.  For example, some payments to States</w:t>
      </w:r>
      <w:r w:rsidRPr="005A01B5">
        <w:rPr>
          <w:rStyle w:val="FootnoteReference"/>
        </w:rPr>
        <w:footnoteReference w:id="2"/>
      </w:r>
      <w:r w:rsidRPr="005A01B5">
        <w:t xml:space="preserve"> or Official Development Assistance (ODA) payments fall within this category.</w:t>
      </w:r>
    </w:p>
    <w:p w14:paraId="5C493EF1" w14:textId="5101D1D0" w:rsidR="009B07E0" w:rsidRDefault="00880625" w:rsidP="008F253B">
      <w:pPr>
        <w:pStyle w:val="NumberedList1"/>
        <w:numPr>
          <w:ilvl w:val="0"/>
          <w:numId w:val="24"/>
        </w:numPr>
        <w:ind w:left="426" w:hanging="426"/>
        <w:rPr>
          <w:color w:val="000000"/>
        </w:rPr>
      </w:pPr>
      <w:r>
        <w:t>Arrangement</w:t>
      </w:r>
      <w:r w:rsidR="00E8497C">
        <w:t>s</w:t>
      </w:r>
      <w:r>
        <w:t xml:space="preserve"> taken not to be grants for the purposes </w:t>
      </w:r>
      <w:r w:rsidR="00E8497C">
        <w:t xml:space="preserve">of </w:t>
      </w:r>
      <w:r w:rsidR="00E8497C" w:rsidRPr="00BE5E89">
        <w:t>the</w:t>
      </w:r>
      <w:r w:rsidR="00BE5E89" w:rsidRPr="00BE5E89">
        <w:t xml:space="preserve"> CGRGs are listed in paragraph 2.6</w:t>
      </w:r>
      <w:r w:rsidR="00BE5E89">
        <w:t xml:space="preserve"> of the CGRGs</w:t>
      </w:r>
      <w:r w:rsidR="00BE5E89" w:rsidRPr="00BE5E89">
        <w:t>.</w:t>
      </w:r>
      <w:r w:rsidR="00BE5E89">
        <w:t xml:space="preserve">  </w:t>
      </w:r>
      <w:r w:rsidR="009B07E0" w:rsidRPr="005A01B5">
        <w:t xml:space="preserve">Guidance on </w:t>
      </w:r>
      <w:r w:rsidR="00BD600C">
        <w:t xml:space="preserve">some of </w:t>
      </w:r>
      <w:r w:rsidR="009B07E0" w:rsidRPr="005A01B5">
        <w:t>the range of financial arrangements referred to in paragraph 2.6 is available on the Finance website</w:t>
      </w:r>
      <w:r w:rsidR="009B07E0" w:rsidRPr="005A01B5">
        <w:rPr>
          <w:color w:val="000000"/>
        </w:rPr>
        <w:t>.</w:t>
      </w:r>
    </w:p>
    <w:p w14:paraId="3BEF6125" w14:textId="09462ACC" w:rsidR="00E8497C" w:rsidRDefault="00222FCB" w:rsidP="008F253B">
      <w:pPr>
        <w:pStyle w:val="NumberedList1"/>
        <w:numPr>
          <w:ilvl w:val="0"/>
          <w:numId w:val="24"/>
        </w:numPr>
        <w:ind w:left="426" w:hanging="426"/>
        <w:rPr>
          <w:color w:val="000000"/>
        </w:rPr>
      </w:pPr>
      <w:r>
        <w:rPr>
          <w:color w:val="000000"/>
        </w:rPr>
        <w:t>Where</w:t>
      </w:r>
      <w:r w:rsidR="00E8497C">
        <w:rPr>
          <w:color w:val="000000"/>
        </w:rPr>
        <w:t xml:space="preserve"> the Government make</w:t>
      </w:r>
      <w:r>
        <w:rPr>
          <w:color w:val="000000"/>
        </w:rPr>
        <w:t>s</w:t>
      </w:r>
      <w:r w:rsidR="00E8497C">
        <w:rPr>
          <w:color w:val="000000"/>
        </w:rPr>
        <w:t xml:space="preserve"> an appropriation to a</w:t>
      </w:r>
      <w:r w:rsidR="00AF523F">
        <w:rPr>
          <w:color w:val="000000"/>
        </w:rPr>
        <w:t>n</w:t>
      </w:r>
      <w:r w:rsidR="00E8497C">
        <w:rPr>
          <w:color w:val="000000"/>
        </w:rPr>
        <w:t xml:space="preserve"> </w:t>
      </w:r>
      <w:r>
        <w:rPr>
          <w:color w:val="000000"/>
        </w:rPr>
        <w:t>NCE</w:t>
      </w:r>
      <w:r w:rsidR="00E8497C">
        <w:rPr>
          <w:color w:val="000000"/>
        </w:rPr>
        <w:t xml:space="preserve"> for the purposes of funding the ongoing operational costs of a</w:t>
      </w:r>
      <w:r w:rsidR="0054470E">
        <w:rPr>
          <w:color w:val="000000"/>
        </w:rPr>
        <w:t xml:space="preserve"> </w:t>
      </w:r>
      <w:r>
        <w:rPr>
          <w:color w:val="000000"/>
        </w:rPr>
        <w:t>CCE</w:t>
      </w:r>
      <w:r w:rsidR="00155ABA">
        <w:rPr>
          <w:color w:val="000000"/>
        </w:rPr>
        <w:t>,</w:t>
      </w:r>
      <w:r w:rsidR="00E8497C">
        <w:rPr>
          <w:color w:val="000000"/>
        </w:rPr>
        <w:t xml:space="preserve"> </w:t>
      </w:r>
      <w:r w:rsidR="000447EE">
        <w:rPr>
          <w:color w:val="000000"/>
        </w:rPr>
        <w:t>p</w:t>
      </w:r>
      <w:r w:rsidR="00E8497C">
        <w:rPr>
          <w:color w:val="000000"/>
        </w:rPr>
        <w:t xml:space="preserve">aragraph 2.6 </w:t>
      </w:r>
      <w:r w:rsidR="00B62E8C">
        <w:rPr>
          <w:color w:val="000000"/>
        </w:rPr>
        <w:t>(</w:t>
      </w:r>
      <w:r w:rsidR="00E8497C">
        <w:rPr>
          <w:color w:val="000000"/>
        </w:rPr>
        <w:t>o</w:t>
      </w:r>
      <w:r w:rsidR="00B62E8C">
        <w:rPr>
          <w:color w:val="000000"/>
        </w:rPr>
        <w:t>)</w:t>
      </w:r>
      <w:r w:rsidR="00E8497C">
        <w:rPr>
          <w:color w:val="000000"/>
        </w:rPr>
        <w:t xml:space="preserve"> deems the payments</w:t>
      </w:r>
      <w:r>
        <w:rPr>
          <w:color w:val="000000"/>
        </w:rPr>
        <w:t xml:space="preserve"> made through the NCE to the CCE for this purpose</w:t>
      </w:r>
      <w:r w:rsidR="00E8497C">
        <w:rPr>
          <w:color w:val="000000"/>
        </w:rPr>
        <w:t xml:space="preserve"> to not be grants</w:t>
      </w:r>
      <w:r w:rsidR="005014F6">
        <w:rPr>
          <w:color w:val="000000"/>
        </w:rPr>
        <w:t xml:space="preserve"> for the purposes of the CGRGs.</w:t>
      </w:r>
    </w:p>
    <w:p w14:paraId="28DE7D6A" w14:textId="7886F13C" w:rsidR="005014F6" w:rsidRPr="005A01B5" w:rsidRDefault="005014F6" w:rsidP="005014F6">
      <w:pPr>
        <w:pStyle w:val="NumberedList1"/>
        <w:numPr>
          <w:ilvl w:val="0"/>
          <w:numId w:val="36"/>
        </w:numPr>
        <w:rPr>
          <w:color w:val="000000"/>
        </w:rPr>
      </w:pPr>
      <w:r>
        <w:rPr>
          <w:color w:val="000000"/>
        </w:rPr>
        <w:t xml:space="preserve">Other arrangements for funding </w:t>
      </w:r>
      <w:r w:rsidR="00595AF0">
        <w:rPr>
          <w:color w:val="000000"/>
        </w:rPr>
        <w:t>CCE</w:t>
      </w:r>
      <w:r w:rsidR="00AF523F">
        <w:rPr>
          <w:color w:val="000000"/>
        </w:rPr>
        <w:t>s</w:t>
      </w:r>
      <w:r>
        <w:rPr>
          <w:color w:val="000000"/>
        </w:rPr>
        <w:t xml:space="preserve"> may be deemed to be a grant,</w:t>
      </w:r>
      <w:r w:rsidR="00222FCB">
        <w:rPr>
          <w:color w:val="000000"/>
        </w:rPr>
        <w:t xml:space="preserve"> for example, where an NCE is providing funding for the CCE to undertake research to achieve a particular policy outcome.  Officials </w:t>
      </w:r>
      <w:r>
        <w:rPr>
          <w:color w:val="000000"/>
        </w:rPr>
        <w:t>should consult Finance if they are unsure if an arrangement would fall under the CGRGs.</w:t>
      </w:r>
    </w:p>
    <w:p w14:paraId="3A038C48" w14:textId="77777777" w:rsidR="003666B9" w:rsidRDefault="003666B9">
      <w:pPr>
        <w:suppressAutoHyphens w:val="0"/>
        <w:spacing w:before="0" w:after="0" w:line="240" w:lineRule="auto"/>
        <w:rPr>
          <w:rFonts w:eastAsia="Times New Roman"/>
          <w:bCs/>
          <w:color w:val="1C1C1C"/>
          <w:sz w:val="40"/>
          <w:szCs w:val="28"/>
        </w:rPr>
      </w:pPr>
      <w:bookmarkStart w:id="45" w:name="_Toc462156026"/>
      <w:bookmarkStart w:id="46" w:name="_Toc462158398"/>
      <w:bookmarkStart w:id="47" w:name="_Toc462158453"/>
      <w:bookmarkStart w:id="48" w:name="_Toc462158506"/>
      <w:bookmarkStart w:id="49" w:name="_Toc462158576"/>
      <w:bookmarkStart w:id="50" w:name="_Toc462158696"/>
      <w:r>
        <w:br w:type="page"/>
      </w:r>
    </w:p>
    <w:p w14:paraId="01009B4A" w14:textId="52FFCA5F" w:rsidR="009B07E0" w:rsidRPr="00E033C5" w:rsidRDefault="009B07E0" w:rsidP="00C5636B">
      <w:pPr>
        <w:pStyle w:val="Heading1"/>
        <w:shd w:val="clear" w:color="auto" w:fill="BDDCDF"/>
      </w:pPr>
      <w:bookmarkStart w:id="51" w:name="_Toc39570228"/>
      <w:r w:rsidRPr="00E033C5">
        <w:lastRenderedPageBreak/>
        <w:t xml:space="preserve">Part 2 – </w:t>
      </w:r>
      <w:bookmarkEnd w:id="45"/>
      <w:bookmarkEnd w:id="46"/>
      <w:bookmarkEnd w:id="47"/>
      <w:bookmarkEnd w:id="48"/>
      <w:bookmarkEnd w:id="49"/>
      <w:bookmarkEnd w:id="50"/>
      <w:r w:rsidRPr="00E033C5">
        <w:t>Procurements</w:t>
      </w:r>
      <w:bookmarkEnd w:id="51"/>
    </w:p>
    <w:p w14:paraId="0F522367" w14:textId="77777777" w:rsidR="009B07E0" w:rsidRPr="005A01B5" w:rsidRDefault="009B07E0" w:rsidP="003F6B7B">
      <w:pPr>
        <w:pStyle w:val="NumberedList1"/>
        <w:numPr>
          <w:ilvl w:val="0"/>
          <w:numId w:val="24"/>
        </w:numPr>
        <w:ind w:left="426" w:hanging="426"/>
        <w:rPr>
          <w:color w:val="000000"/>
        </w:rPr>
      </w:pPr>
      <w:r w:rsidRPr="005A01B5">
        <w:rPr>
          <w:color w:val="000000"/>
        </w:rPr>
        <w:t xml:space="preserve">The CPRs </w:t>
      </w:r>
      <w:r w:rsidRPr="005A01B5">
        <w:t>are</w:t>
      </w:r>
      <w:r w:rsidRPr="005A01B5">
        <w:rPr>
          <w:color w:val="000000"/>
        </w:rPr>
        <w:t xml:space="preserve"> issued by the Finance Minister under section 105B of the PGPA Act.  </w:t>
      </w:r>
      <w:r w:rsidRPr="005A01B5">
        <w:t>The CPRs can be found on the Finance website at:</w:t>
      </w:r>
      <w:r w:rsidRPr="005A01B5">
        <w:rPr>
          <w:rFonts w:cs="Arial"/>
          <w:lang w:eastAsia="en-AU"/>
        </w:rPr>
        <w:t xml:space="preserve">  </w:t>
      </w:r>
      <w:hyperlink r:id="rId25" w:history="1">
        <w:r w:rsidRPr="005A01B5">
          <w:rPr>
            <w:rStyle w:val="Hyperlink"/>
          </w:rPr>
          <w:t>http://www.finance.gov.au/procurement/index.html</w:t>
        </w:r>
      </w:hyperlink>
      <w:r w:rsidRPr="005A01B5">
        <w:rPr>
          <w:lang w:eastAsia="en-AU"/>
        </w:rPr>
        <w:t>.</w:t>
      </w:r>
    </w:p>
    <w:p w14:paraId="5D24DEC4" w14:textId="6FDCA5E9" w:rsidR="009B07E0" w:rsidRPr="005A01B5" w:rsidRDefault="009B07E0" w:rsidP="003F6B7B">
      <w:pPr>
        <w:pStyle w:val="NumberedList1"/>
        <w:numPr>
          <w:ilvl w:val="0"/>
          <w:numId w:val="24"/>
        </w:numPr>
        <w:ind w:left="426" w:hanging="426"/>
      </w:pPr>
      <w:r w:rsidRPr="005A01B5">
        <w:t xml:space="preserve">The CPRs are the core </w:t>
      </w:r>
      <w:r w:rsidR="00F0758C">
        <w:t xml:space="preserve">rule set of the Commonwealth </w:t>
      </w:r>
      <w:r w:rsidRPr="005A01B5">
        <w:t xml:space="preserve">procurement policy framework and articulate the Government's expectations of Commonwealth entities.  </w:t>
      </w:r>
    </w:p>
    <w:p w14:paraId="6A82DAF5" w14:textId="77777777" w:rsidR="009B07E0" w:rsidRPr="00E033C5" w:rsidRDefault="009B07E0" w:rsidP="00BB756B">
      <w:pPr>
        <w:pStyle w:val="Heading3"/>
      </w:pPr>
      <w:bookmarkStart w:id="52" w:name="_Toc39570229"/>
      <w:r w:rsidRPr="00E033C5">
        <w:t>Procurements</w:t>
      </w:r>
      <w:bookmarkEnd w:id="52"/>
    </w:p>
    <w:p w14:paraId="3916D1C1" w14:textId="77777777" w:rsidR="009B07E0" w:rsidRPr="005A01B5" w:rsidRDefault="009B07E0" w:rsidP="003F6B7B">
      <w:pPr>
        <w:pStyle w:val="NumberedList1"/>
        <w:numPr>
          <w:ilvl w:val="0"/>
          <w:numId w:val="24"/>
        </w:numPr>
        <w:ind w:left="426" w:hanging="426"/>
      </w:pPr>
      <w:r w:rsidRPr="005A01B5">
        <w:t>Procurement encompasses the whole process of acquiring goods and services.  It begins when a need has been identified and a decision has been made on the procurement requirement.  Procurement continues through the processes of risk assessment, seeking and evaluating alternative solutions, the awarding of a contract, the delivery of and payment for the goods and services and, where relevant, the ongoing management of the contract and consideration of disposal of goods.</w:t>
      </w:r>
    </w:p>
    <w:p w14:paraId="3B79B068" w14:textId="77777777" w:rsidR="009B07E0" w:rsidRPr="005A01B5" w:rsidRDefault="009B07E0" w:rsidP="003F6B7B">
      <w:pPr>
        <w:pStyle w:val="NumberedList1"/>
        <w:numPr>
          <w:ilvl w:val="0"/>
          <w:numId w:val="24"/>
        </w:numPr>
        <w:ind w:left="426" w:hanging="426"/>
      </w:pPr>
      <w:r w:rsidRPr="005A01B5">
        <w:t>In addition to the acquisition of goods and services by an entity for its own use, procurement includes the acquisition of goods and services on behalf of another entity or a third party. Where an arrangement meets the definition of a procurement, then the CPRs apply.</w:t>
      </w:r>
    </w:p>
    <w:p w14:paraId="467150B6" w14:textId="77777777" w:rsidR="009B07E0" w:rsidRPr="00E033C5" w:rsidRDefault="009B07E0" w:rsidP="00BB756B">
      <w:pPr>
        <w:pStyle w:val="Heading3"/>
      </w:pPr>
      <w:bookmarkStart w:id="53" w:name="_Toc39570230"/>
      <w:r w:rsidRPr="00E033C5">
        <w:t>Memberships</w:t>
      </w:r>
      <w:bookmarkEnd w:id="53"/>
    </w:p>
    <w:p w14:paraId="0432222C" w14:textId="42E2DEB5" w:rsidR="009B07E0" w:rsidRPr="005A01B5" w:rsidRDefault="009B07E0" w:rsidP="003F6B7B">
      <w:pPr>
        <w:pStyle w:val="NumberedList1"/>
        <w:numPr>
          <w:ilvl w:val="0"/>
          <w:numId w:val="24"/>
        </w:numPr>
        <w:ind w:left="426" w:hanging="426"/>
        <w:rPr>
          <w:rFonts w:cs="Arial"/>
        </w:rPr>
      </w:pPr>
      <w:r w:rsidRPr="005A01B5">
        <w:t>Where</w:t>
      </w:r>
      <w:r w:rsidRPr="005A01B5">
        <w:rPr>
          <w:rFonts w:cs="Arial"/>
        </w:rPr>
        <w:t xml:space="preserve"> the Commonwealth purchases a membership to a group</w:t>
      </w:r>
      <w:r w:rsidR="00222FCB">
        <w:rPr>
          <w:rFonts w:cs="Arial"/>
        </w:rPr>
        <w:t xml:space="preserve">, </w:t>
      </w:r>
      <w:r w:rsidR="007755EB" w:rsidRPr="005A01B5">
        <w:rPr>
          <w:rFonts w:cs="Arial"/>
        </w:rPr>
        <w:t>for either</w:t>
      </w:r>
      <w:r w:rsidRPr="005A01B5">
        <w:rPr>
          <w:rFonts w:cs="Arial"/>
        </w:rPr>
        <w:t xml:space="preserve"> its own use, use by </w:t>
      </w:r>
      <w:r w:rsidRPr="005A01B5">
        <w:rPr>
          <w:rFonts w:cs="Arial"/>
          <w:color w:val="000000"/>
        </w:rPr>
        <w:t>officials</w:t>
      </w:r>
      <w:r w:rsidRPr="005A01B5">
        <w:rPr>
          <w:rFonts w:cs="Arial"/>
        </w:rPr>
        <w:t xml:space="preserve">, or the use of a third party, this will most likely constitute procurement under the </w:t>
      </w:r>
      <w:r w:rsidR="00787197" w:rsidRPr="005A01B5">
        <w:rPr>
          <w:rFonts w:cs="Arial"/>
        </w:rPr>
        <w:t xml:space="preserve">resource management </w:t>
      </w:r>
      <w:r w:rsidRPr="005A01B5">
        <w:rPr>
          <w:rFonts w:cs="Arial"/>
        </w:rPr>
        <w:t>framework.</w:t>
      </w:r>
    </w:p>
    <w:p w14:paraId="1255B37A" w14:textId="77777777" w:rsidR="009B07E0" w:rsidRPr="00E033C5" w:rsidRDefault="009B07E0" w:rsidP="00BB756B">
      <w:pPr>
        <w:pStyle w:val="Heading3"/>
      </w:pPr>
      <w:bookmarkStart w:id="54" w:name="_Toc39570231"/>
      <w:r w:rsidRPr="00E033C5">
        <w:t>Arrangements not considered to be procurements</w:t>
      </w:r>
      <w:bookmarkEnd w:id="54"/>
    </w:p>
    <w:p w14:paraId="7CD2F95A" w14:textId="2C9ADE9B" w:rsidR="009B07E0" w:rsidRPr="005A01B5" w:rsidRDefault="009B07E0" w:rsidP="003F6B7B">
      <w:pPr>
        <w:pStyle w:val="NumberedList1"/>
        <w:numPr>
          <w:ilvl w:val="0"/>
          <w:numId w:val="24"/>
        </w:numPr>
        <w:ind w:left="426" w:hanging="426"/>
        <w:rPr>
          <w:rFonts w:cs="Arial"/>
        </w:rPr>
      </w:pPr>
      <w:r w:rsidRPr="005A01B5">
        <w:rPr>
          <w:rFonts w:cs="Arial"/>
        </w:rPr>
        <w:t xml:space="preserve">There are some </w:t>
      </w:r>
      <w:r w:rsidRPr="005A01B5">
        <w:t>arrangements</w:t>
      </w:r>
      <w:r w:rsidRPr="005A01B5">
        <w:rPr>
          <w:rFonts w:cs="Arial"/>
        </w:rPr>
        <w:t xml:space="preserve"> which are not considered to be procurements, despite exhibiting the characteristics of procurement.  Under paragraph 2.9 of the CPRs, statutory appointments, appointments by Ministers and the engagement of employees (such as under the </w:t>
      </w:r>
      <w:hyperlink r:id="rId26" w:history="1">
        <w:r w:rsidRPr="005A01B5">
          <w:rPr>
            <w:rStyle w:val="Hyperlink"/>
            <w:rFonts w:cs="Arial"/>
          </w:rPr>
          <w:t>Public Service Act 1999</w:t>
        </w:r>
      </w:hyperlink>
      <w:r w:rsidRPr="005A01B5">
        <w:rPr>
          <w:rFonts w:cs="Arial"/>
        </w:rPr>
        <w:t xml:space="preserve">, </w:t>
      </w:r>
      <w:r w:rsidR="00787197" w:rsidRPr="005A01B5">
        <w:rPr>
          <w:rFonts w:cs="Arial"/>
        </w:rPr>
        <w:t xml:space="preserve">the </w:t>
      </w:r>
      <w:hyperlink r:id="rId27" w:history="1">
        <w:r w:rsidRPr="005A01B5">
          <w:rPr>
            <w:rStyle w:val="Hyperlink"/>
            <w:rFonts w:cs="Arial"/>
          </w:rPr>
          <w:t>Parliamentary Services Act 1999</w:t>
        </w:r>
      </w:hyperlink>
      <w:r w:rsidRPr="005A01B5">
        <w:rPr>
          <w:rFonts w:cs="Arial"/>
        </w:rPr>
        <w:t>, or a relevant entity’s enabling legislation), amongst other things, are not considered to be procurements.</w:t>
      </w:r>
    </w:p>
    <w:p w14:paraId="44B4EE14" w14:textId="26918F1F" w:rsidR="009B07E0" w:rsidRPr="008D4FB4" w:rsidRDefault="009B07E0" w:rsidP="003F6B7B">
      <w:pPr>
        <w:pStyle w:val="NumberedList1"/>
        <w:numPr>
          <w:ilvl w:val="0"/>
          <w:numId w:val="24"/>
        </w:numPr>
        <w:ind w:left="426" w:hanging="426"/>
        <w:rPr>
          <w:rStyle w:val="Hyperlink"/>
          <w:rFonts w:cs="Times New Roman"/>
          <w:i w:val="0"/>
          <w:u w:val="none"/>
        </w:rPr>
      </w:pPr>
      <w:r w:rsidRPr="005A01B5">
        <w:t xml:space="preserve">Questions about the application of the CPRs should be directed to </w:t>
      </w:r>
      <w:hyperlink r:id="rId28" w:history="1">
        <w:r w:rsidRPr="005A01B5">
          <w:rPr>
            <w:rStyle w:val="Hyperlink"/>
            <w:rFonts w:cs="Times New Roman"/>
          </w:rPr>
          <w:t>procurementagencyadvice@finance.gov.au</w:t>
        </w:r>
      </w:hyperlink>
    </w:p>
    <w:p w14:paraId="2D60E07E" w14:textId="3227AEBB" w:rsidR="008D4FB4" w:rsidRPr="007C4CF1" w:rsidRDefault="008D4FB4" w:rsidP="007C4CF1">
      <w:pPr>
        <w:pStyle w:val="Heading3"/>
      </w:pPr>
      <w:bookmarkStart w:id="55" w:name="_Toc39570232"/>
      <w:r w:rsidRPr="007C4CF1">
        <w:t>Acquisition of goods and services by a</w:t>
      </w:r>
      <w:r w:rsidR="00DB2B9B" w:rsidRPr="007C4CF1">
        <w:t>n</w:t>
      </w:r>
      <w:r w:rsidRPr="007C4CF1">
        <w:t xml:space="preserve"> NCE from an NCE</w:t>
      </w:r>
      <w:bookmarkEnd w:id="55"/>
    </w:p>
    <w:p w14:paraId="789102E2" w14:textId="3B1F5B6A" w:rsidR="008D4FB4" w:rsidRPr="002471D3" w:rsidRDefault="008D4FB4" w:rsidP="008D4FB4">
      <w:pPr>
        <w:pStyle w:val="NumberedList1"/>
        <w:numPr>
          <w:ilvl w:val="0"/>
          <w:numId w:val="24"/>
        </w:numPr>
        <w:ind w:left="426" w:hanging="426"/>
      </w:pPr>
      <w:r w:rsidRPr="002471D3">
        <w:rPr>
          <w:lang w:val="en"/>
        </w:rPr>
        <w:t>If a</w:t>
      </w:r>
      <w:r w:rsidR="00DB2B9B" w:rsidRPr="002471D3">
        <w:rPr>
          <w:lang w:val="en"/>
        </w:rPr>
        <w:t>n</w:t>
      </w:r>
      <w:r w:rsidRPr="002471D3">
        <w:rPr>
          <w:lang w:val="en"/>
        </w:rPr>
        <w:t xml:space="preserve"> </w:t>
      </w:r>
      <w:r w:rsidRPr="002471D3">
        <w:rPr>
          <w:u w:val="single"/>
          <w:lang w:val="en"/>
        </w:rPr>
        <w:t>NCE has acquired goods and services directly from another NCE</w:t>
      </w:r>
      <w:r w:rsidRPr="002471D3">
        <w:rPr>
          <w:b/>
          <w:u w:val="single"/>
          <w:lang w:val="en"/>
        </w:rPr>
        <w:t xml:space="preserve"> </w:t>
      </w:r>
      <w:r w:rsidRPr="002471D3">
        <w:rPr>
          <w:u w:val="single"/>
          <w:lang w:val="en"/>
        </w:rPr>
        <w:t>without approaching other suppliers</w:t>
      </w:r>
      <w:r w:rsidRPr="002471D3">
        <w:rPr>
          <w:lang w:val="en"/>
        </w:rPr>
        <w:t xml:space="preserve">, this should be treated as an ‘other’ financial arrangement and </w:t>
      </w:r>
      <w:r w:rsidRPr="002471D3">
        <w:rPr>
          <w:u w:val="single"/>
          <w:lang w:val="en"/>
        </w:rPr>
        <w:t>should not</w:t>
      </w:r>
      <w:r w:rsidRPr="002471D3">
        <w:rPr>
          <w:lang w:val="en"/>
        </w:rPr>
        <w:t xml:space="preserve"> be </w:t>
      </w:r>
      <w:r w:rsidR="004C55D4" w:rsidRPr="002471D3">
        <w:rPr>
          <w:lang w:val="en"/>
        </w:rPr>
        <w:t xml:space="preserve">treated as a procurement and </w:t>
      </w:r>
      <w:r w:rsidRPr="002471D3">
        <w:rPr>
          <w:lang w:val="en"/>
        </w:rPr>
        <w:t xml:space="preserve">reported on AusTender. </w:t>
      </w:r>
    </w:p>
    <w:p w14:paraId="6E289262" w14:textId="55F51DFF" w:rsidR="008D4FB4" w:rsidRPr="002471D3" w:rsidRDefault="008D4FB4" w:rsidP="008D4FB4">
      <w:pPr>
        <w:pStyle w:val="NumberedList1"/>
        <w:numPr>
          <w:ilvl w:val="0"/>
          <w:numId w:val="39"/>
        </w:numPr>
        <w:rPr>
          <w:lang w:val="en"/>
        </w:rPr>
      </w:pPr>
      <w:r w:rsidRPr="002471D3">
        <w:rPr>
          <w:lang w:val="en"/>
        </w:rPr>
        <w:t xml:space="preserve">If a Commonwealth entity has undertaken a competitive process, in accordance with the CPRs, that results in the awarding of a contract to a Commonwealth entity, </w:t>
      </w:r>
      <w:r w:rsidRPr="002471D3">
        <w:rPr>
          <w:lang w:val="en"/>
        </w:rPr>
        <w:lastRenderedPageBreak/>
        <w:t xml:space="preserve">then it </w:t>
      </w:r>
      <w:r w:rsidRPr="002471D3">
        <w:rPr>
          <w:b/>
          <w:lang w:val="en"/>
        </w:rPr>
        <w:t>must</w:t>
      </w:r>
      <w:r w:rsidRPr="002471D3">
        <w:rPr>
          <w:lang w:val="en"/>
        </w:rPr>
        <w:t xml:space="preserve"> be </w:t>
      </w:r>
      <w:r w:rsidR="004C55D4" w:rsidRPr="002471D3">
        <w:rPr>
          <w:lang w:val="en"/>
        </w:rPr>
        <w:t xml:space="preserve">treated as a procurement and </w:t>
      </w:r>
      <w:r w:rsidRPr="002471D3">
        <w:rPr>
          <w:lang w:val="en"/>
        </w:rPr>
        <w:t>reported on AusTender.</w:t>
      </w:r>
      <w:r w:rsidRPr="002471D3">
        <w:rPr>
          <w:lang w:val="en"/>
        </w:rPr>
        <w:br/>
      </w:r>
    </w:p>
    <w:tbl>
      <w:tblPr>
        <w:tblW w:w="9180" w:type="dxa"/>
        <w:tblInd w:w="-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61"/>
        <w:gridCol w:w="2410"/>
        <w:gridCol w:w="2409"/>
      </w:tblGrid>
      <w:tr w:rsidR="008D4FB4" w:rsidRPr="002471D3" w14:paraId="4823FC44" w14:textId="77777777" w:rsidTr="004409E3">
        <w:tc>
          <w:tcPr>
            <w:tcW w:w="4361" w:type="dxa"/>
            <w:shd w:val="clear" w:color="auto" w:fill="FFFFFF"/>
            <w:tcMar>
              <w:top w:w="0" w:type="dxa"/>
              <w:left w:w="108" w:type="dxa"/>
              <w:bottom w:w="0" w:type="dxa"/>
              <w:right w:w="108" w:type="dxa"/>
            </w:tcMar>
            <w:hideMark/>
          </w:tcPr>
          <w:p w14:paraId="2584A43A" w14:textId="77777777" w:rsidR="008D4FB4" w:rsidRPr="002471D3" w:rsidRDefault="008D4FB4" w:rsidP="004409E3">
            <w:pPr>
              <w:jc w:val="center"/>
              <w:rPr>
                <w:b/>
                <w:bCs/>
                <w:sz w:val="20"/>
                <w:szCs w:val="20"/>
              </w:rPr>
            </w:pPr>
            <w:r w:rsidRPr="002471D3">
              <w:rPr>
                <w:b/>
                <w:bCs/>
                <w:sz w:val="20"/>
                <w:szCs w:val="20"/>
              </w:rPr>
              <w:t>Type of Entity to Entity Engagement</w:t>
            </w:r>
          </w:p>
        </w:tc>
        <w:tc>
          <w:tcPr>
            <w:tcW w:w="2410" w:type="dxa"/>
            <w:shd w:val="clear" w:color="auto" w:fill="FFFFFF"/>
            <w:tcMar>
              <w:top w:w="0" w:type="dxa"/>
              <w:left w:w="108" w:type="dxa"/>
              <w:bottom w:w="0" w:type="dxa"/>
              <w:right w:w="108" w:type="dxa"/>
            </w:tcMar>
            <w:hideMark/>
          </w:tcPr>
          <w:p w14:paraId="6C9D0AD3" w14:textId="77777777" w:rsidR="008D4FB4" w:rsidRPr="002471D3" w:rsidRDefault="008D4FB4" w:rsidP="004409E3">
            <w:pPr>
              <w:jc w:val="center"/>
              <w:rPr>
                <w:b/>
                <w:bCs/>
                <w:sz w:val="20"/>
                <w:szCs w:val="20"/>
              </w:rPr>
            </w:pPr>
            <w:r w:rsidRPr="002471D3">
              <w:rPr>
                <w:b/>
                <w:bCs/>
                <w:sz w:val="20"/>
                <w:szCs w:val="20"/>
              </w:rPr>
              <w:t>Commonwealth entity engaged directly</w:t>
            </w:r>
          </w:p>
        </w:tc>
        <w:tc>
          <w:tcPr>
            <w:tcW w:w="2409" w:type="dxa"/>
            <w:shd w:val="clear" w:color="auto" w:fill="FFFFFF"/>
            <w:tcMar>
              <w:top w:w="0" w:type="dxa"/>
              <w:left w:w="108" w:type="dxa"/>
              <w:bottom w:w="0" w:type="dxa"/>
              <w:right w:w="108" w:type="dxa"/>
            </w:tcMar>
            <w:hideMark/>
          </w:tcPr>
          <w:p w14:paraId="5FB544F9" w14:textId="77777777" w:rsidR="008D4FB4" w:rsidRPr="002471D3" w:rsidRDefault="008D4FB4" w:rsidP="004409E3">
            <w:pPr>
              <w:jc w:val="center"/>
              <w:rPr>
                <w:b/>
                <w:bCs/>
                <w:sz w:val="20"/>
                <w:szCs w:val="20"/>
              </w:rPr>
            </w:pPr>
            <w:r w:rsidRPr="002471D3">
              <w:rPr>
                <w:b/>
                <w:bCs/>
                <w:sz w:val="20"/>
                <w:szCs w:val="20"/>
              </w:rPr>
              <w:t>Competitive process undertaken in accordance with the CPRs</w:t>
            </w:r>
          </w:p>
        </w:tc>
      </w:tr>
      <w:tr w:rsidR="008D4FB4" w:rsidRPr="002471D3" w14:paraId="5EDDE257" w14:textId="77777777" w:rsidTr="004409E3">
        <w:tc>
          <w:tcPr>
            <w:tcW w:w="4361" w:type="dxa"/>
            <w:shd w:val="clear" w:color="auto" w:fill="FFFFFF"/>
            <w:tcMar>
              <w:top w:w="0" w:type="dxa"/>
              <w:left w:w="108" w:type="dxa"/>
              <w:bottom w:w="0" w:type="dxa"/>
              <w:right w:w="108" w:type="dxa"/>
            </w:tcMar>
            <w:hideMark/>
          </w:tcPr>
          <w:p w14:paraId="2791A78D" w14:textId="09B10BB3" w:rsidR="008D4FB4" w:rsidRPr="002471D3" w:rsidRDefault="008D4FB4" w:rsidP="004409E3">
            <w:pPr>
              <w:rPr>
                <w:sz w:val="20"/>
                <w:szCs w:val="20"/>
              </w:rPr>
            </w:pPr>
            <w:r w:rsidRPr="002471D3">
              <w:rPr>
                <w:sz w:val="20"/>
                <w:szCs w:val="20"/>
              </w:rPr>
              <w:t>You are a</w:t>
            </w:r>
            <w:r w:rsidR="004C55D4" w:rsidRPr="002471D3">
              <w:rPr>
                <w:sz w:val="20"/>
                <w:szCs w:val="20"/>
              </w:rPr>
              <w:t>n</w:t>
            </w:r>
            <w:r w:rsidRPr="002471D3">
              <w:rPr>
                <w:sz w:val="20"/>
                <w:szCs w:val="20"/>
              </w:rPr>
              <w:t xml:space="preserve"> </w:t>
            </w:r>
            <w:r w:rsidRPr="002471D3">
              <w:rPr>
                <w:b/>
                <w:bCs/>
                <w:sz w:val="20"/>
                <w:szCs w:val="20"/>
              </w:rPr>
              <w:t>NCE</w:t>
            </w:r>
            <w:r w:rsidRPr="002471D3">
              <w:rPr>
                <w:sz w:val="20"/>
                <w:szCs w:val="20"/>
              </w:rPr>
              <w:t xml:space="preserve"> who has contracted </w:t>
            </w:r>
            <w:r w:rsidRPr="002471D3">
              <w:rPr>
                <w:b/>
                <w:bCs/>
                <w:sz w:val="20"/>
                <w:szCs w:val="20"/>
              </w:rPr>
              <w:t>with another</w:t>
            </w:r>
            <w:r w:rsidRPr="002471D3">
              <w:rPr>
                <w:sz w:val="20"/>
                <w:szCs w:val="20"/>
              </w:rPr>
              <w:t xml:space="preserve"> </w:t>
            </w:r>
            <w:r w:rsidRPr="002471D3">
              <w:rPr>
                <w:b/>
                <w:bCs/>
                <w:sz w:val="20"/>
                <w:szCs w:val="20"/>
              </w:rPr>
              <w:t>NCE</w:t>
            </w:r>
          </w:p>
        </w:tc>
        <w:tc>
          <w:tcPr>
            <w:tcW w:w="2410" w:type="dxa"/>
            <w:shd w:val="clear" w:color="auto" w:fill="FFFFFF"/>
            <w:tcMar>
              <w:top w:w="0" w:type="dxa"/>
              <w:left w:w="108" w:type="dxa"/>
              <w:bottom w:w="0" w:type="dxa"/>
              <w:right w:w="108" w:type="dxa"/>
            </w:tcMar>
            <w:hideMark/>
          </w:tcPr>
          <w:p w14:paraId="19D5A6D0" w14:textId="02720169" w:rsidR="008D4FB4" w:rsidRPr="002471D3" w:rsidRDefault="004C55D4" w:rsidP="004409E3">
            <w:pPr>
              <w:jc w:val="center"/>
              <w:rPr>
                <w:sz w:val="20"/>
                <w:szCs w:val="20"/>
              </w:rPr>
            </w:pPr>
            <w:r w:rsidRPr="002471D3">
              <w:rPr>
                <w:sz w:val="20"/>
                <w:szCs w:val="20"/>
              </w:rPr>
              <w:t>Other</w:t>
            </w:r>
            <w:r w:rsidR="008D4FB4" w:rsidRPr="002471D3">
              <w:rPr>
                <w:sz w:val="20"/>
                <w:szCs w:val="20"/>
              </w:rPr>
              <w:t xml:space="preserve"> Financial Arrangement</w:t>
            </w:r>
          </w:p>
        </w:tc>
        <w:tc>
          <w:tcPr>
            <w:tcW w:w="2409" w:type="dxa"/>
            <w:shd w:val="clear" w:color="auto" w:fill="FFFFFF"/>
            <w:tcMar>
              <w:top w:w="0" w:type="dxa"/>
              <w:left w:w="108" w:type="dxa"/>
              <w:bottom w:w="0" w:type="dxa"/>
              <w:right w:w="108" w:type="dxa"/>
            </w:tcMar>
            <w:hideMark/>
          </w:tcPr>
          <w:p w14:paraId="346D4431" w14:textId="77777777" w:rsidR="008D4FB4" w:rsidRPr="002471D3" w:rsidRDefault="008D4FB4" w:rsidP="004409E3">
            <w:pPr>
              <w:jc w:val="center"/>
              <w:rPr>
                <w:sz w:val="20"/>
                <w:szCs w:val="20"/>
              </w:rPr>
            </w:pPr>
            <w:r w:rsidRPr="002471D3">
              <w:rPr>
                <w:sz w:val="20"/>
                <w:szCs w:val="20"/>
              </w:rPr>
              <w:t xml:space="preserve">Procurement </w:t>
            </w:r>
          </w:p>
        </w:tc>
      </w:tr>
      <w:tr w:rsidR="008D4FB4" w:rsidRPr="002471D3" w14:paraId="1DBCCCD2" w14:textId="77777777" w:rsidTr="004409E3">
        <w:tc>
          <w:tcPr>
            <w:tcW w:w="4361" w:type="dxa"/>
            <w:shd w:val="clear" w:color="auto" w:fill="FFFFFF"/>
            <w:tcMar>
              <w:top w:w="0" w:type="dxa"/>
              <w:left w:w="108" w:type="dxa"/>
              <w:bottom w:w="0" w:type="dxa"/>
              <w:right w:w="108" w:type="dxa"/>
            </w:tcMar>
            <w:hideMark/>
          </w:tcPr>
          <w:p w14:paraId="01411BF2" w14:textId="62AFB2CD" w:rsidR="008D4FB4" w:rsidRPr="002471D3" w:rsidRDefault="008D4FB4" w:rsidP="004409E3">
            <w:pPr>
              <w:rPr>
                <w:b/>
                <w:bCs/>
                <w:sz w:val="20"/>
                <w:szCs w:val="20"/>
              </w:rPr>
            </w:pPr>
            <w:r w:rsidRPr="002471D3">
              <w:rPr>
                <w:sz w:val="20"/>
                <w:szCs w:val="20"/>
              </w:rPr>
              <w:t>You are a</w:t>
            </w:r>
            <w:r w:rsidR="004C55D4" w:rsidRPr="002471D3">
              <w:rPr>
                <w:sz w:val="20"/>
                <w:szCs w:val="20"/>
              </w:rPr>
              <w:t>n</w:t>
            </w:r>
            <w:r w:rsidRPr="002471D3">
              <w:rPr>
                <w:sz w:val="20"/>
                <w:szCs w:val="20"/>
              </w:rPr>
              <w:t xml:space="preserve"> </w:t>
            </w:r>
            <w:r w:rsidRPr="002471D3">
              <w:rPr>
                <w:b/>
                <w:bCs/>
                <w:sz w:val="20"/>
                <w:szCs w:val="20"/>
              </w:rPr>
              <w:t>NCE</w:t>
            </w:r>
            <w:r w:rsidRPr="002471D3">
              <w:rPr>
                <w:sz w:val="20"/>
                <w:szCs w:val="20"/>
              </w:rPr>
              <w:t xml:space="preserve"> who has contracted </w:t>
            </w:r>
            <w:r w:rsidRPr="002471D3">
              <w:rPr>
                <w:b/>
                <w:bCs/>
                <w:sz w:val="20"/>
                <w:szCs w:val="20"/>
              </w:rPr>
              <w:t>with any other type of Commonwealth entity</w:t>
            </w:r>
          </w:p>
        </w:tc>
        <w:tc>
          <w:tcPr>
            <w:tcW w:w="2410" w:type="dxa"/>
            <w:shd w:val="clear" w:color="auto" w:fill="FFFFFF"/>
            <w:tcMar>
              <w:top w:w="0" w:type="dxa"/>
              <w:left w:w="108" w:type="dxa"/>
              <w:bottom w:w="0" w:type="dxa"/>
              <w:right w:w="108" w:type="dxa"/>
            </w:tcMar>
            <w:hideMark/>
          </w:tcPr>
          <w:p w14:paraId="39D9BB73" w14:textId="77777777" w:rsidR="008D4FB4" w:rsidRPr="002471D3" w:rsidRDefault="008D4FB4" w:rsidP="004409E3">
            <w:pPr>
              <w:jc w:val="center"/>
              <w:rPr>
                <w:sz w:val="20"/>
                <w:szCs w:val="20"/>
              </w:rPr>
            </w:pPr>
            <w:r w:rsidRPr="002471D3">
              <w:rPr>
                <w:sz w:val="20"/>
                <w:szCs w:val="20"/>
              </w:rPr>
              <w:t xml:space="preserve">Procurement </w:t>
            </w:r>
          </w:p>
        </w:tc>
        <w:tc>
          <w:tcPr>
            <w:tcW w:w="2409" w:type="dxa"/>
            <w:shd w:val="clear" w:color="auto" w:fill="FFFFFF"/>
            <w:tcMar>
              <w:top w:w="0" w:type="dxa"/>
              <w:left w:w="108" w:type="dxa"/>
              <w:bottom w:w="0" w:type="dxa"/>
              <w:right w:w="108" w:type="dxa"/>
            </w:tcMar>
            <w:hideMark/>
          </w:tcPr>
          <w:p w14:paraId="70F90EE1" w14:textId="77777777" w:rsidR="008D4FB4" w:rsidRPr="002471D3" w:rsidRDefault="008D4FB4" w:rsidP="004409E3">
            <w:pPr>
              <w:jc w:val="center"/>
              <w:rPr>
                <w:sz w:val="20"/>
                <w:szCs w:val="20"/>
              </w:rPr>
            </w:pPr>
            <w:r w:rsidRPr="002471D3">
              <w:rPr>
                <w:sz w:val="20"/>
                <w:szCs w:val="20"/>
              </w:rPr>
              <w:t xml:space="preserve">Procurement </w:t>
            </w:r>
          </w:p>
        </w:tc>
      </w:tr>
      <w:tr w:rsidR="008D4FB4" w:rsidRPr="00C81CD3" w14:paraId="498D88BC" w14:textId="77777777" w:rsidTr="004409E3">
        <w:tc>
          <w:tcPr>
            <w:tcW w:w="4361" w:type="dxa"/>
            <w:shd w:val="clear" w:color="auto" w:fill="FFFFFF"/>
            <w:tcMar>
              <w:top w:w="0" w:type="dxa"/>
              <w:left w:w="108" w:type="dxa"/>
              <w:bottom w:w="0" w:type="dxa"/>
              <w:right w:w="108" w:type="dxa"/>
            </w:tcMar>
          </w:tcPr>
          <w:p w14:paraId="6F0A4A29" w14:textId="77777777" w:rsidR="008D4FB4" w:rsidRPr="002471D3" w:rsidRDefault="008D4FB4" w:rsidP="004409E3">
            <w:pPr>
              <w:rPr>
                <w:sz w:val="20"/>
                <w:szCs w:val="20"/>
              </w:rPr>
            </w:pPr>
            <w:r w:rsidRPr="002471D3">
              <w:rPr>
                <w:sz w:val="20"/>
                <w:szCs w:val="20"/>
              </w:rPr>
              <w:t xml:space="preserve">You are a </w:t>
            </w:r>
            <w:r w:rsidRPr="002471D3">
              <w:rPr>
                <w:b/>
                <w:sz w:val="20"/>
                <w:szCs w:val="20"/>
              </w:rPr>
              <w:t>CCE</w:t>
            </w:r>
            <w:r w:rsidRPr="002471D3">
              <w:rPr>
                <w:sz w:val="20"/>
                <w:szCs w:val="20"/>
              </w:rPr>
              <w:t xml:space="preserve"> who has contracted </w:t>
            </w:r>
            <w:r w:rsidRPr="002471D3">
              <w:rPr>
                <w:b/>
                <w:bCs/>
                <w:sz w:val="20"/>
                <w:szCs w:val="20"/>
              </w:rPr>
              <w:t>with any type of Commonwealth entity</w:t>
            </w:r>
          </w:p>
        </w:tc>
        <w:tc>
          <w:tcPr>
            <w:tcW w:w="2410" w:type="dxa"/>
            <w:shd w:val="clear" w:color="auto" w:fill="FFFFFF"/>
            <w:tcMar>
              <w:top w:w="0" w:type="dxa"/>
              <w:left w:w="108" w:type="dxa"/>
              <w:bottom w:w="0" w:type="dxa"/>
              <w:right w:w="108" w:type="dxa"/>
            </w:tcMar>
          </w:tcPr>
          <w:p w14:paraId="78CBF7BC" w14:textId="77777777" w:rsidR="008D4FB4" w:rsidRPr="002471D3" w:rsidRDefault="008D4FB4" w:rsidP="004409E3">
            <w:pPr>
              <w:jc w:val="center"/>
              <w:rPr>
                <w:sz w:val="20"/>
                <w:szCs w:val="20"/>
              </w:rPr>
            </w:pPr>
            <w:r w:rsidRPr="002471D3">
              <w:rPr>
                <w:sz w:val="20"/>
                <w:szCs w:val="20"/>
              </w:rPr>
              <w:t xml:space="preserve">Procurement </w:t>
            </w:r>
          </w:p>
        </w:tc>
        <w:tc>
          <w:tcPr>
            <w:tcW w:w="2409" w:type="dxa"/>
            <w:shd w:val="clear" w:color="auto" w:fill="FFFFFF"/>
            <w:tcMar>
              <w:top w:w="0" w:type="dxa"/>
              <w:left w:w="108" w:type="dxa"/>
              <w:bottom w:w="0" w:type="dxa"/>
              <w:right w:w="108" w:type="dxa"/>
            </w:tcMar>
          </w:tcPr>
          <w:p w14:paraId="43EBD66A" w14:textId="77777777" w:rsidR="008D4FB4" w:rsidRPr="00F8082B" w:rsidRDefault="008D4FB4" w:rsidP="004409E3">
            <w:pPr>
              <w:jc w:val="center"/>
              <w:rPr>
                <w:sz w:val="20"/>
                <w:szCs w:val="20"/>
              </w:rPr>
            </w:pPr>
            <w:r w:rsidRPr="002471D3">
              <w:rPr>
                <w:sz w:val="20"/>
                <w:szCs w:val="20"/>
              </w:rPr>
              <w:t>Procurement</w:t>
            </w:r>
            <w:r w:rsidRPr="007E11B9">
              <w:rPr>
                <w:sz w:val="20"/>
                <w:szCs w:val="20"/>
              </w:rPr>
              <w:t xml:space="preserve"> </w:t>
            </w:r>
          </w:p>
        </w:tc>
      </w:tr>
    </w:tbl>
    <w:p w14:paraId="57E4156E" w14:textId="77777777" w:rsidR="003666B9" w:rsidRDefault="003666B9">
      <w:pPr>
        <w:suppressAutoHyphens w:val="0"/>
        <w:spacing w:before="0" w:after="0" w:line="240" w:lineRule="auto"/>
        <w:rPr>
          <w:rFonts w:eastAsia="Times New Roman"/>
          <w:bCs/>
          <w:color w:val="1C1C1C"/>
          <w:sz w:val="40"/>
          <w:szCs w:val="28"/>
        </w:rPr>
      </w:pPr>
      <w:r>
        <w:br w:type="page"/>
      </w:r>
    </w:p>
    <w:p w14:paraId="6C1E3CD2" w14:textId="001F9D59" w:rsidR="009B07E0" w:rsidRPr="005A01B5" w:rsidRDefault="009B07E0" w:rsidP="00C5636B">
      <w:pPr>
        <w:pStyle w:val="Heading1"/>
        <w:shd w:val="clear" w:color="auto" w:fill="BDDCDF"/>
      </w:pPr>
      <w:bookmarkStart w:id="56" w:name="_Toc39570233"/>
      <w:r w:rsidRPr="005A01B5">
        <w:lastRenderedPageBreak/>
        <w:t>Part 3 – Other financial arrangements</w:t>
      </w:r>
      <w:bookmarkEnd w:id="56"/>
    </w:p>
    <w:p w14:paraId="5F103009" w14:textId="6BE17904" w:rsidR="009B07E0" w:rsidRPr="005A01B5" w:rsidRDefault="009B07E0" w:rsidP="003F6B7B">
      <w:pPr>
        <w:pStyle w:val="NumberedList1"/>
        <w:numPr>
          <w:ilvl w:val="0"/>
          <w:numId w:val="24"/>
        </w:numPr>
        <w:ind w:left="426" w:hanging="426"/>
      </w:pPr>
      <w:r w:rsidRPr="005A01B5">
        <w:t>Accountable authorities, officials or Ministers may choose arrangement</w:t>
      </w:r>
      <w:r w:rsidR="00B13E05">
        <w:t>s other than grants or procurements</w:t>
      </w:r>
      <w:r w:rsidRPr="005A01B5">
        <w:t xml:space="preserve"> if it is deemed appropriate.  The most common types of </w:t>
      </w:r>
      <w:r w:rsidR="00880625">
        <w:t>‘</w:t>
      </w:r>
      <w:r w:rsidRPr="005A01B5">
        <w:t>other</w:t>
      </w:r>
      <w:r w:rsidR="00880625">
        <w:t>’</w:t>
      </w:r>
      <w:r w:rsidRPr="005A01B5">
        <w:t xml:space="preserve"> arrangements are listed below with a brief explanation.</w:t>
      </w:r>
    </w:p>
    <w:p w14:paraId="0B0FAAE8" w14:textId="77777777" w:rsidR="009B07E0" w:rsidRPr="00E033C5" w:rsidRDefault="009B07E0" w:rsidP="00BB756B">
      <w:pPr>
        <w:pStyle w:val="Heading3"/>
      </w:pPr>
      <w:bookmarkStart w:id="57" w:name="_Toc39570234"/>
      <w:r w:rsidRPr="00E033C5">
        <w:t>Act of grace payments</w:t>
      </w:r>
      <w:bookmarkEnd w:id="57"/>
    </w:p>
    <w:p w14:paraId="731C2D64" w14:textId="77777777" w:rsidR="009B07E0" w:rsidRPr="005A01B5" w:rsidRDefault="009B07E0" w:rsidP="003F6B7B">
      <w:pPr>
        <w:pStyle w:val="NumberedList1"/>
        <w:numPr>
          <w:ilvl w:val="0"/>
          <w:numId w:val="24"/>
        </w:numPr>
        <w:ind w:left="426" w:hanging="426"/>
      </w:pPr>
      <w:r w:rsidRPr="005A01B5">
        <w:t xml:space="preserve">The act of grace power under section 65 of the PGPA Act allows the Finance Minister or delegate to authorise one-off and periodic payments to individuals or other bodies (such as companies), if he or she considers it appropriate because of </w:t>
      </w:r>
      <w:hyperlink w:anchor="_The_nature_of" w:history="1">
        <w:r w:rsidRPr="005A01B5">
          <w:t>special circumstances</w:t>
        </w:r>
      </w:hyperlink>
      <w:r w:rsidRPr="005A01B5">
        <w:t>.</w:t>
      </w:r>
      <w:r w:rsidRPr="005A01B5">
        <w:rPr>
          <w:rStyle w:val="FootnoteReference"/>
        </w:rPr>
        <w:footnoteReference w:id="3"/>
      </w:r>
    </w:p>
    <w:p w14:paraId="1B064E7D" w14:textId="77777777" w:rsidR="009B07E0" w:rsidRPr="00E033C5" w:rsidRDefault="009B07E0" w:rsidP="00BB756B">
      <w:pPr>
        <w:pStyle w:val="Heading3"/>
      </w:pPr>
      <w:bookmarkStart w:id="58" w:name="_Toc39570235"/>
      <w:r w:rsidRPr="00E033C5">
        <w:t>Compensation payments</w:t>
      </w:r>
      <w:bookmarkEnd w:id="58"/>
    </w:p>
    <w:p w14:paraId="5BFDE04F" w14:textId="77777777" w:rsidR="009B07E0" w:rsidRPr="005A01B5" w:rsidRDefault="009B07E0" w:rsidP="003F6B7B">
      <w:pPr>
        <w:pStyle w:val="NumberedList1"/>
        <w:numPr>
          <w:ilvl w:val="0"/>
          <w:numId w:val="24"/>
        </w:numPr>
        <w:ind w:left="426" w:hanging="426"/>
      </w:pPr>
      <w:r w:rsidRPr="005A01B5">
        <w:t>Compensation payments include payments intended to compensate individuals or groups for financial loss or other adverse consequences caused by a decision, action or omission by the Australian Government. It also includes discretionary compensation where the Australian Government is under no legal obligation to make a payment.</w:t>
      </w:r>
    </w:p>
    <w:p w14:paraId="35931ACE" w14:textId="77777777" w:rsidR="009B07E0" w:rsidRPr="005A01B5" w:rsidRDefault="009B07E0" w:rsidP="003F6B7B">
      <w:pPr>
        <w:pStyle w:val="NumberedList1"/>
        <w:numPr>
          <w:ilvl w:val="0"/>
          <w:numId w:val="24"/>
        </w:numPr>
        <w:ind w:left="426" w:hanging="426"/>
      </w:pPr>
      <w:r w:rsidRPr="005A01B5">
        <w:t xml:space="preserve">Examples of compensation payments include: payments made under the </w:t>
      </w:r>
      <w:r w:rsidRPr="005A01B5">
        <w:rPr>
          <w:i/>
        </w:rPr>
        <w:t>Military Rehabilitation and Compensation Act 2004</w:t>
      </w:r>
      <w:r w:rsidRPr="005A01B5">
        <w:t xml:space="preserve">, or the </w:t>
      </w:r>
      <w:r w:rsidRPr="005A01B5">
        <w:rPr>
          <w:i/>
          <w:iCs/>
        </w:rPr>
        <w:t>Scheme for Compensation for Detriment caused by Defective Administration</w:t>
      </w:r>
      <w:r w:rsidRPr="005A01B5">
        <w:t xml:space="preserve"> (the CDDA Scheme) and payments made under section 73 of the </w:t>
      </w:r>
      <w:hyperlink r:id="rId29" w:history="1">
        <w:r w:rsidRPr="005A01B5">
          <w:rPr>
            <w:rStyle w:val="Hyperlink"/>
            <w:rFonts w:cs="Times New Roman"/>
          </w:rPr>
          <w:t>Public Service Act 1999</w:t>
        </w:r>
      </w:hyperlink>
      <w:r w:rsidRPr="005A01B5">
        <w:t>.</w:t>
      </w:r>
      <w:r w:rsidRPr="005A01B5">
        <w:rPr>
          <w:rStyle w:val="FootnoteReference"/>
        </w:rPr>
        <w:footnoteReference w:id="4"/>
      </w:r>
    </w:p>
    <w:p w14:paraId="67781E16" w14:textId="77777777" w:rsidR="009B07E0" w:rsidRPr="00E033C5" w:rsidRDefault="009B07E0" w:rsidP="00BB756B">
      <w:pPr>
        <w:pStyle w:val="Heading3"/>
      </w:pPr>
      <w:bookmarkStart w:id="59" w:name="_Toc39570236"/>
      <w:r w:rsidRPr="00E033C5">
        <w:t>A payment to a person of a benefit or entitlement established by specific legislation</w:t>
      </w:r>
      <w:bookmarkEnd w:id="59"/>
    </w:p>
    <w:p w14:paraId="06271640" w14:textId="08B78026" w:rsidR="009B07E0" w:rsidRPr="005A01B5" w:rsidRDefault="009B07E0" w:rsidP="003F6B7B">
      <w:pPr>
        <w:pStyle w:val="NumberedList1"/>
        <w:numPr>
          <w:ilvl w:val="0"/>
          <w:numId w:val="24"/>
        </w:numPr>
        <w:ind w:left="426" w:hanging="426"/>
      </w:pPr>
      <w:r w:rsidRPr="005A01B5">
        <w:rPr>
          <w:lang w:eastAsia="en-AU"/>
        </w:rPr>
        <w:t xml:space="preserve">An entitlement is a right </w:t>
      </w:r>
      <w:r w:rsidRPr="005A01B5">
        <w:t>to</w:t>
      </w:r>
      <w:r w:rsidRPr="005A01B5">
        <w:rPr>
          <w:lang w:eastAsia="en-AU"/>
        </w:rPr>
        <w:t xml:space="preserve"> apply for or claim, a benefit established by specific legislation. The entitlement creates an obligation on the Australian Government to provide the benefit if relevant criteria are satisfied and may or may not place obligations on recipients of entitlements</w:t>
      </w:r>
      <w:r w:rsidRPr="005A01B5">
        <w:t>.</w:t>
      </w:r>
    </w:p>
    <w:p w14:paraId="248D4A14" w14:textId="77777777" w:rsidR="009B07E0" w:rsidRPr="005A01B5" w:rsidRDefault="009B07E0" w:rsidP="003F6B7B">
      <w:pPr>
        <w:pStyle w:val="NumberedList1"/>
        <w:numPr>
          <w:ilvl w:val="0"/>
          <w:numId w:val="24"/>
        </w:numPr>
        <w:ind w:left="426" w:hanging="426"/>
      </w:pPr>
      <w:r w:rsidRPr="005A01B5">
        <w:t xml:space="preserve">Examples of entitlements that operate through specific legislation include: pension payments made through the </w:t>
      </w:r>
      <w:hyperlink r:id="rId30" w:history="1">
        <w:r w:rsidRPr="005A01B5">
          <w:rPr>
            <w:rStyle w:val="Hyperlink"/>
            <w:rFonts w:cs="Times New Roman"/>
          </w:rPr>
          <w:t>Social Security (Administration Act) 1999</w:t>
        </w:r>
      </w:hyperlink>
      <w:r w:rsidRPr="005A01B5">
        <w:t xml:space="preserve">; payments to veterans through the </w:t>
      </w:r>
      <w:hyperlink r:id="rId31" w:history="1">
        <w:r w:rsidRPr="005A01B5">
          <w:rPr>
            <w:rStyle w:val="Hyperlink"/>
            <w:rFonts w:cs="Times New Roman"/>
          </w:rPr>
          <w:t>Veterans’ Entitlements Act 1986</w:t>
        </w:r>
      </w:hyperlink>
      <w:r w:rsidRPr="005A01B5">
        <w:t xml:space="preserve">; and payments made under the </w:t>
      </w:r>
      <w:hyperlink r:id="rId32" w:history="1">
        <w:r w:rsidRPr="005A01B5">
          <w:rPr>
            <w:rStyle w:val="Hyperlink"/>
            <w:rFonts w:cs="Times New Roman"/>
          </w:rPr>
          <w:t>Pharmaceutical Benefits Scheme and Repatriation Pharmaceutical Benefits Scheme</w:t>
        </w:r>
      </w:hyperlink>
      <w:r w:rsidRPr="005A01B5">
        <w:t>.</w:t>
      </w:r>
    </w:p>
    <w:p w14:paraId="5B5F96EA" w14:textId="05AADAD8" w:rsidR="009B07E0" w:rsidRPr="005A01B5" w:rsidRDefault="009B07E0" w:rsidP="003F6B7B">
      <w:pPr>
        <w:pStyle w:val="NumberedList1"/>
        <w:numPr>
          <w:ilvl w:val="0"/>
          <w:numId w:val="24"/>
        </w:numPr>
        <w:ind w:left="426" w:hanging="426"/>
      </w:pPr>
      <w:r w:rsidRPr="005A01B5">
        <w:t xml:space="preserve">Entitlements to claim a benefit </w:t>
      </w:r>
      <w:r w:rsidR="008B066B" w:rsidRPr="005A01B5">
        <w:t xml:space="preserve">where legislative authority for the payment of the benefit has been </w:t>
      </w:r>
      <w:r w:rsidRPr="005A01B5">
        <w:t xml:space="preserve">established </w:t>
      </w:r>
      <w:r w:rsidR="008B066B" w:rsidRPr="005A01B5">
        <w:t xml:space="preserve">under </w:t>
      </w:r>
      <w:hyperlink r:id="rId33" w:anchor="_Toc328989807" w:history="1">
        <w:r w:rsidRPr="005A01B5">
          <w:rPr>
            <w:lang w:eastAsia="en-AU"/>
          </w:rPr>
          <w:t>section 32B</w:t>
        </w:r>
      </w:hyperlink>
      <w:r w:rsidRPr="005A01B5">
        <w:rPr>
          <w:lang w:eastAsia="en-AU"/>
        </w:rPr>
        <w:t xml:space="preserve"> of the </w:t>
      </w:r>
      <w:r w:rsidRPr="005A01B5">
        <w:rPr>
          <w:bCs/>
          <w:lang w:eastAsia="en-AU"/>
        </w:rPr>
        <w:t>FF</w:t>
      </w:r>
      <w:r w:rsidR="0050613E" w:rsidRPr="005A01B5">
        <w:rPr>
          <w:bCs/>
          <w:lang w:eastAsia="en-AU"/>
        </w:rPr>
        <w:t>(</w:t>
      </w:r>
      <w:r w:rsidRPr="005A01B5">
        <w:rPr>
          <w:bCs/>
          <w:lang w:eastAsia="en-AU"/>
        </w:rPr>
        <w:t>SP</w:t>
      </w:r>
      <w:r w:rsidR="0050613E" w:rsidRPr="005A01B5">
        <w:rPr>
          <w:bCs/>
          <w:lang w:eastAsia="en-AU"/>
        </w:rPr>
        <w:t>)</w:t>
      </w:r>
      <w:r w:rsidRPr="005A01B5">
        <w:rPr>
          <w:bCs/>
          <w:lang w:eastAsia="en-AU"/>
        </w:rPr>
        <w:t xml:space="preserve"> Act</w:t>
      </w:r>
      <w:r w:rsidRPr="005A01B5">
        <w:rPr>
          <w:lang w:eastAsia="en-AU"/>
        </w:rPr>
        <w:t xml:space="preserve">, section 23 of the PGPA Act, or a specific appropriation act do not meet this definition and are generally considered </w:t>
      </w:r>
      <w:r w:rsidR="008B066B" w:rsidRPr="005A01B5">
        <w:rPr>
          <w:lang w:eastAsia="en-AU"/>
        </w:rPr>
        <w:t xml:space="preserve">to be </w:t>
      </w:r>
      <w:r w:rsidRPr="005A01B5">
        <w:rPr>
          <w:lang w:eastAsia="en-AU"/>
        </w:rPr>
        <w:t>grants.</w:t>
      </w:r>
    </w:p>
    <w:p w14:paraId="7D2D6AF1" w14:textId="77777777" w:rsidR="009B07E0" w:rsidRPr="00E033C5" w:rsidRDefault="009B07E0" w:rsidP="00BB756B">
      <w:pPr>
        <w:pStyle w:val="Heading3"/>
      </w:pPr>
      <w:bookmarkStart w:id="60" w:name="_Toc39570237"/>
      <w:r w:rsidRPr="00E033C5">
        <w:lastRenderedPageBreak/>
        <w:t>Tax concessions or offsets</w:t>
      </w:r>
      <w:bookmarkEnd w:id="60"/>
    </w:p>
    <w:p w14:paraId="526C9AE2" w14:textId="77777777" w:rsidR="009B07E0" w:rsidRPr="005A01B5" w:rsidRDefault="009B07E0" w:rsidP="003F6B7B">
      <w:pPr>
        <w:pStyle w:val="NumberedList1"/>
        <w:numPr>
          <w:ilvl w:val="0"/>
          <w:numId w:val="24"/>
        </w:numPr>
        <w:ind w:left="426" w:hanging="426"/>
      </w:pPr>
      <w:r w:rsidRPr="005A01B5">
        <w:t>The Australian Taxation Office (ATO) administers legislation governing taxation. Any entity implementing a financial arrangement that involves matters of taxation should consult with the ATO in the first instance.</w:t>
      </w:r>
    </w:p>
    <w:p w14:paraId="2B7EA958" w14:textId="77777777" w:rsidR="009B07E0" w:rsidRPr="00E033C5" w:rsidRDefault="009B07E0" w:rsidP="00BB756B">
      <w:pPr>
        <w:pStyle w:val="Heading3"/>
      </w:pPr>
      <w:bookmarkStart w:id="61" w:name="_Toc39570238"/>
      <w:r w:rsidRPr="00E033C5">
        <w:t>Investments</w:t>
      </w:r>
      <w:bookmarkEnd w:id="61"/>
    </w:p>
    <w:p w14:paraId="35335542" w14:textId="77777777" w:rsidR="009B07E0" w:rsidRPr="005A01B5" w:rsidRDefault="009B07E0" w:rsidP="003F6B7B">
      <w:pPr>
        <w:pStyle w:val="NumberedList1"/>
        <w:numPr>
          <w:ilvl w:val="0"/>
          <w:numId w:val="24"/>
        </w:numPr>
        <w:ind w:left="426" w:hanging="426"/>
      </w:pPr>
      <w:r w:rsidRPr="005A01B5">
        <w:t xml:space="preserve">An investment is an arrangement that involves the purchase of an asset by the Commonwealth for the primary purpose of earning income or a profitable return. </w:t>
      </w:r>
    </w:p>
    <w:p w14:paraId="0D5A98F9" w14:textId="77777777" w:rsidR="009B07E0" w:rsidRPr="005A01B5" w:rsidRDefault="009B07E0" w:rsidP="003F6B7B">
      <w:pPr>
        <w:pStyle w:val="NumberedList1"/>
        <w:numPr>
          <w:ilvl w:val="0"/>
          <w:numId w:val="24"/>
        </w:numPr>
        <w:ind w:left="426" w:hanging="426"/>
      </w:pPr>
      <w:r w:rsidRPr="005A01B5">
        <w:t xml:space="preserve">Investments are made under the authority of specific enabling legislation, such as the </w:t>
      </w:r>
      <w:r w:rsidRPr="005A01B5">
        <w:rPr>
          <w:rStyle w:val="Hyperlink"/>
          <w:rFonts w:cs="Times New Roman"/>
        </w:rPr>
        <w:t>Future Fund Act 2006</w:t>
      </w:r>
      <w:r w:rsidRPr="005A01B5">
        <w:t xml:space="preserve"> or section 58 of the PGPA Act.  However, as a general principle, relevant money administered by non-corporate Commonwealth entities should not be invested by them, as cash and debt management is generally conducted at the whole-of-government level.</w:t>
      </w:r>
    </w:p>
    <w:p w14:paraId="67AB53AF" w14:textId="77777777" w:rsidR="009B07E0" w:rsidRPr="00E033C5" w:rsidRDefault="009B07E0" w:rsidP="00BB756B">
      <w:pPr>
        <w:pStyle w:val="Heading3"/>
      </w:pPr>
      <w:bookmarkStart w:id="62" w:name="_Toc39570239"/>
      <w:r w:rsidRPr="00E033C5">
        <w:t>Loans</w:t>
      </w:r>
      <w:bookmarkEnd w:id="62"/>
    </w:p>
    <w:p w14:paraId="32B64880" w14:textId="77777777" w:rsidR="009B07E0" w:rsidRPr="005A01B5" w:rsidRDefault="009B07E0" w:rsidP="003F6B7B">
      <w:pPr>
        <w:pStyle w:val="NumberedList1"/>
        <w:numPr>
          <w:ilvl w:val="0"/>
          <w:numId w:val="24"/>
        </w:numPr>
        <w:ind w:left="426" w:hanging="426"/>
      </w:pPr>
      <w:r w:rsidRPr="005A01B5">
        <w:rPr>
          <w:lang w:eastAsia="en-AU"/>
        </w:rPr>
        <w:t>A loan is an arrangement under which the Commonwealth advances a sum of money to an external recipient with the recipient agreeing to repay that sum (with or without interest) on a future date or on demand</w:t>
      </w:r>
      <w:r w:rsidRPr="005A01B5">
        <w:t>.</w:t>
      </w:r>
    </w:p>
    <w:p w14:paraId="16082DDF" w14:textId="77777777" w:rsidR="009B07E0" w:rsidRPr="005A01B5" w:rsidRDefault="009B07E0" w:rsidP="003F6B7B">
      <w:pPr>
        <w:pStyle w:val="NumberedList1"/>
        <w:numPr>
          <w:ilvl w:val="0"/>
          <w:numId w:val="24"/>
        </w:numPr>
        <w:ind w:left="426" w:hanging="426"/>
      </w:pPr>
      <w:r w:rsidRPr="005A01B5">
        <w:rPr>
          <w:lang w:eastAsia="en-AU"/>
        </w:rPr>
        <w:t>Loans are made for a variety of reasons, including policy purposes and as a means of facilitating repayments to the Commonwealth.  Unlike an investment, the primary purpose of a loan is not to earn a commercial rate of return or profit for the Commonwealth.  While interest may be payable under a loan, it may not be at commercial rates.</w:t>
      </w:r>
    </w:p>
    <w:p w14:paraId="52D46F8B" w14:textId="77777777" w:rsidR="009B07E0" w:rsidRPr="005A01B5" w:rsidRDefault="009B07E0" w:rsidP="003F6B7B">
      <w:pPr>
        <w:pStyle w:val="NumberedList1"/>
        <w:numPr>
          <w:ilvl w:val="0"/>
          <w:numId w:val="24"/>
        </w:numPr>
        <w:ind w:left="426" w:hanging="426"/>
      </w:pPr>
      <w:r w:rsidRPr="005A01B5">
        <w:rPr>
          <w:lang w:eastAsia="en-AU"/>
        </w:rPr>
        <w:t>An amount of money that is required to be repaid without interest or at a concessional rate of interest should generally be considered a concessional loan, rather than a grant.  However, there may be cases where a concessional component of a loan could be considered a grant (for example, as part of a granting activity or grant program design). Entities should consult with Finance if they are unsure whether the CGRGs apply in particular circumstances.</w:t>
      </w:r>
    </w:p>
    <w:p w14:paraId="3AC815CB" w14:textId="43EC7E2C" w:rsidR="009B07E0" w:rsidRPr="005A01B5" w:rsidRDefault="009B07E0" w:rsidP="003F6B7B">
      <w:pPr>
        <w:pStyle w:val="NumberedList1"/>
        <w:numPr>
          <w:ilvl w:val="0"/>
          <w:numId w:val="24"/>
        </w:numPr>
        <w:ind w:left="426" w:hanging="426"/>
      </w:pPr>
      <w:r w:rsidRPr="005A01B5">
        <w:rPr>
          <w:lang w:eastAsia="en-AU"/>
        </w:rPr>
        <w:t xml:space="preserve">In determining whether an arrangement is to be a loan, accountable authorities and officials should consider what their ideal outcome would be.  If the expected outcome is for the </w:t>
      </w:r>
      <w:r w:rsidR="00B13E05">
        <w:rPr>
          <w:lang w:eastAsia="en-AU"/>
        </w:rPr>
        <w:t>funds</w:t>
      </w:r>
      <w:r w:rsidRPr="005A01B5">
        <w:rPr>
          <w:lang w:eastAsia="en-AU"/>
        </w:rPr>
        <w:t xml:space="preserve"> to be returned to the Commonwealth, then it is most likely </w:t>
      </w:r>
      <w:r w:rsidR="00880625">
        <w:rPr>
          <w:lang w:eastAsia="en-AU"/>
        </w:rPr>
        <w:t>that the arrangement is</w:t>
      </w:r>
      <w:r w:rsidR="00D836D5">
        <w:rPr>
          <w:lang w:eastAsia="en-AU"/>
        </w:rPr>
        <w:t xml:space="preserve"> not</w:t>
      </w:r>
      <w:r w:rsidRPr="005A01B5">
        <w:rPr>
          <w:lang w:eastAsia="en-AU"/>
        </w:rPr>
        <w:t xml:space="preserve"> a grant.</w:t>
      </w:r>
    </w:p>
    <w:p w14:paraId="28F8CE9C" w14:textId="0AA5268B" w:rsidR="009B07E0" w:rsidRPr="00F151DA" w:rsidRDefault="009B07E0" w:rsidP="003F6B7B">
      <w:pPr>
        <w:pStyle w:val="NumberedList1"/>
        <w:numPr>
          <w:ilvl w:val="0"/>
          <w:numId w:val="24"/>
        </w:numPr>
        <w:ind w:left="426" w:hanging="426"/>
      </w:pPr>
      <w:r w:rsidRPr="005A01B5">
        <w:rPr>
          <w:lang w:eastAsia="en-AU"/>
        </w:rPr>
        <w:t xml:space="preserve">Loan guarantees are neither loans nor grants.  They are a contingent liability incurred by the Commonwealth.  A guarantee for the payment of any amount of principal or interest due on a loan would fall under section 60 of the PGPA Act. The Finance Minister has delegated </w:t>
      </w:r>
      <w:r w:rsidR="00A01578" w:rsidRPr="005A01B5">
        <w:rPr>
          <w:lang w:eastAsia="en-AU"/>
        </w:rPr>
        <w:t xml:space="preserve">his or </w:t>
      </w:r>
      <w:r w:rsidRPr="005A01B5">
        <w:rPr>
          <w:lang w:eastAsia="en-AU"/>
        </w:rPr>
        <w:t xml:space="preserve">her power under section 60 with directions to accountable authorities, which </w:t>
      </w:r>
      <w:r w:rsidRPr="005A01B5">
        <w:rPr>
          <w:b/>
          <w:lang w:eastAsia="en-AU"/>
        </w:rPr>
        <w:t>must</w:t>
      </w:r>
      <w:r w:rsidRPr="005A01B5">
        <w:rPr>
          <w:lang w:eastAsia="en-AU"/>
        </w:rPr>
        <w:t xml:space="preserve"> be complied with before entering into a loan guarantee on behalf of the Commonwealth.</w:t>
      </w:r>
      <w:r w:rsidRPr="00F151DA">
        <w:rPr>
          <w:rStyle w:val="FootnoteReference"/>
          <w:lang w:eastAsia="en-AU"/>
        </w:rPr>
        <w:footnoteReference w:id="5"/>
      </w:r>
    </w:p>
    <w:p w14:paraId="6C1B038C" w14:textId="77777777" w:rsidR="009B07E0" w:rsidRPr="00E033C5" w:rsidRDefault="009B07E0" w:rsidP="00BB756B">
      <w:pPr>
        <w:pStyle w:val="Heading3"/>
      </w:pPr>
      <w:bookmarkStart w:id="63" w:name="_Toc39570240"/>
      <w:r w:rsidRPr="00E033C5">
        <w:lastRenderedPageBreak/>
        <w:t>Gifts of relevant property</w:t>
      </w:r>
      <w:bookmarkEnd w:id="63"/>
    </w:p>
    <w:p w14:paraId="6363F9A2" w14:textId="77777777" w:rsidR="009B07E0" w:rsidRPr="00F151DA" w:rsidRDefault="009B07E0" w:rsidP="003F6B7B">
      <w:pPr>
        <w:pStyle w:val="NumberedList1"/>
        <w:numPr>
          <w:ilvl w:val="0"/>
          <w:numId w:val="24"/>
        </w:numPr>
        <w:ind w:left="426" w:hanging="426"/>
      </w:pPr>
      <w:r w:rsidRPr="00F151DA">
        <w:rPr>
          <w:lang w:eastAsia="en-AU"/>
        </w:rPr>
        <w:t>A gift of relevant property involves the provision of relevant property to another party. Gifts of relevant property are governed by section 66 of the PGPA Act.</w:t>
      </w:r>
    </w:p>
    <w:p w14:paraId="0D6CABB9" w14:textId="77777777" w:rsidR="009B07E0" w:rsidRPr="00E033C5" w:rsidRDefault="009B07E0" w:rsidP="00BB756B">
      <w:pPr>
        <w:pStyle w:val="Heading3"/>
      </w:pPr>
      <w:bookmarkStart w:id="64" w:name="_Toc39570241"/>
      <w:r w:rsidRPr="00E033C5">
        <w:t>Payments to the States and Territories</w:t>
      </w:r>
      <w:bookmarkEnd w:id="64"/>
    </w:p>
    <w:p w14:paraId="1D0492F4" w14:textId="3F5F842D" w:rsidR="009B07E0" w:rsidRPr="00F151DA" w:rsidRDefault="009B07E0" w:rsidP="003F6B7B">
      <w:pPr>
        <w:pStyle w:val="NumberedList1"/>
        <w:numPr>
          <w:ilvl w:val="0"/>
          <w:numId w:val="24"/>
        </w:numPr>
        <w:ind w:left="426" w:hanging="426"/>
      </w:pPr>
      <w:r w:rsidRPr="00F151DA">
        <w:t xml:space="preserve">A payment to the States </w:t>
      </w:r>
      <w:r w:rsidRPr="00F151DA">
        <w:rPr>
          <w:lang w:eastAsia="en-AU"/>
        </w:rPr>
        <w:t xml:space="preserve">under the </w:t>
      </w:r>
      <w:r w:rsidRPr="00F151DA">
        <w:rPr>
          <w:i/>
          <w:lang w:eastAsia="en-AU"/>
        </w:rPr>
        <w:t xml:space="preserve">Federal Financial Relations Act 2009 </w:t>
      </w:r>
      <w:r w:rsidRPr="00F151DA">
        <w:t xml:space="preserve">to provide ongoing financial </w:t>
      </w:r>
      <w:r w:rsidRPr="00F151DA">
        <w:rPr>
          <w:lang w:eastAsia="en-AU"/>
        </w:rPr>
        <w:t>support</w:t>
      </w:r>
      <w:r w:rsidRPr="00F151DA">
        <w:t xml:space="preserve"> for the delivery of services through the states or territories for a variety of means is not a grant</w:t>
      </w:r>
      <w:r w:rsidR="001136B8">
        <w:t xml:space="preserve"> for the purposes of the CGRGs</w:t>
      </w:r>
      <w:r w:rsidRPr="00F151DA">
        <w:t>.</w:t>
      </w:r>
    </w:p>
    <w:p w14:paraId="5D8F5C5C" w14:textId="2B0089B3" w:rsidR="009B07E0" w:rsidRPr="00F151DA" w:rsidRDefault="009B07E0" w:rsidP="009D2EEF">
      <w:pPr>
        <w:pStyle w:val="NumberedList1"/>
        <w:numPr>
          <w:ilvl w:val="0"/>
          <w:numId w:val="24"/>
        </w:numPr>
        <w:ind w:left="426" w:hanging="426"/>
      </w:pPr>
      <w:r w:rsidRPr="00F151DA">
        <w:t xml:space="preserve">Each State and Territory has its </w:t>
      </w:r>
      <w:r w:rsidRPr="00F151DA">
        <w:rPr>
          <w:lang w:eastAsia="en-AU"/>
        </w:rPr>
        <w:t>own</w:t>
      </w:r>
      <w:r w:rsidRPr="00F151DA">
        <w:t xml:space="preserve"> procurement rules. Where a State or Territory, acquires goods and services using money provided from the Commonwealth, the procurement rules for that jurisdiction apply to the procurement.</w:t>
      </w:r>
    </w:p>
    <w:p w14:paraId="653C48EC" w14:textId="77777777" w:rsidR="005F0AEE" w:rsidRDefault="005F0AEE" w:rsidP="005F0AEE">
      <w:pPr>
        <w:suppressAutoHyphens w:val="0"/>
        <w:spacing w:before="0" w:after="120" w:line="440" w:lineRule="atLeast"/>
      </w:pPr>
      <w:r>
        <w:br w:type="page"/>
      </w:r>
    </w:p>
    <w:p w14:paraId="5497B000" w14:textId="77777777" w:rsidR="005F0AEE" w:rsidRPr="00F151DA" w:rsidRDefault="005F0AEE">
      <w:pPr>
        <w:rPr>
          <w:rFonts w:ascii="Cambria" w:hAnsi="Cambria"/>
        </w:rPr>
        <w:sectPr w:rsidR="005F0AEE" w:rsidRPr="00F151DA" w:rsidSect="00C90A86">
          <w:headerReference w:type="default" r:id="rId34"/>
          <w:footerReference w:type="default" r:id="rId35"/>
          <w:headerReference w:type="first" r:id="rId36"/>
          <w:footerReference w:type="first" r:id="rId37"/>
          <w:type w:val="continuous"/>
          <w:pgSz w:w="11906" w:h="16838" w:code="9"/>
          <w:pgMar w:top="1560" w:right="1418" w:bottom="1418" w:left="1418" w:header="567" w:footer="624" w:gutter="0"/>
          <w:cols w:space="708"/>
          <w:titlePg/>
          <w:docGrid w:linePitch="360"/>
        </w:sectPr>
      </w:pPr>
    </w:p>
    <w:p w14:paraId="5B8AAB51" w14:textId="77777777" w:rsidR="009B07E0" w:rsidRPr="00E033C5" w:rsidRDefault="009B07E0" w:rsidP="00CE2318">
      <w:pPr>
        <w:pStyle w:val="Heading1"/>
        <w:shd w:val="clear" w:color="auto" w:fill="BDDCDF"/>
      </w:pPr>
      <w:bookmarkStart w:id="65" w:name="_Toc39570242"/>
      <w:r w:rsidRPr="00E033C5">
        <w:lastRenderedPageBreak/>
        <w:t>Attachment A – Financial Arrangements Matrix</w:t>
      </w:r>
      <w:bookmarkEnd w:id="65"/>
    </w:p>
    <w:tbl>
      <w:tblPr>
        <w:tblW w:w="15399" w:type="dxa"/>
        <w:tblInd w:w="-431" w:type="dxa"/>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0A0" w:firstRow="1" w:lastRow="0" w:firstColumn="1" w:lastColumn="0" w:noHBand="0" w:noVBand="0"/>
      </w:tblPr>
      <w:tblGrid>
        <w:gridCol w:w="1702"/>
        <w:gridCol w:w="1985"/>
        <w:gridCol w:w="2551"/>
        <w:gridCol w:w="3544"/>
        <w:gridCol w:w="3576"/>
        <w:gridCol w:w="2041"/>
      </w:tblGrid>
      <w:tr w:rsidR="00310D4A" w:rsidRPr="00D51AD0" w14:paraId="5BF0B5B4" w14:textId="77777777" w:rsidTr="003A7DA1">
        <w:trPr>
          <w:cantSplit/>
          <w:tblHeader/>
        </w:trPr>
        <w:tc>
          <w:tcPr>
            <w:tcW w:w="1702" w:type="dxa"/>
            <w:tcBorders>
              <w:top w:val="single" w:sz="4" w:space="0" w:color="auto"/>
              <w:left w:val="single" w:sz="4" w:space="0" w:color="auto"/>
              <w:bottom w:val="single" w:sz="4" w:space="0" w:color="auto"/>
              <w:right w:val="single" w:sz="4" w:space="0" w:color="auto"/>
            </w:tcBorders>
            <w:shd w:val="clear" w:color="auto" w:fill="0070C0"/>
            <w:vAlign w:val="center"/>
          </w:tcPr>
          <w:p w14:paraId="71DB294D" w14:textId="77777777" w:rsidR="009B07E0" w:rsidRPr="00F151DA" w:rsidRDefault="009B07E0" w:rsidP="003A7DA1">
            <w:pPr>
              <w:keepNext/>
              <w:spacing w:after="0"/>
              <w:ind w:left="96" w:right="96"/>
              <w:jc w:val="center"/>
              <w:rPr>
                <w:rFonts w:ascii="Calibri" w:hAnsi="Calibri"/>
                <w:b/>
                <w:bCs/>
                <w:color w:val="FFFFFF"/>
                <w:lang w:eastAsia="en-AU"/>
              </w:rPr>
            </w:pPr>
            <w:r w:rsidRPr="00F151DA">
              <w:rPr>
                <w:rFonts w:ascii="Calibri" w:hAnsi="Calibri"/>
                <w:b/>
                <w:bCs/>
                <w:color w:val="FFFFFF"/>
                <w:lang w:eastAsia="en-AU"/>
              </w:rPr>
              <w:t>Financial Arrangement</w:t>
            </w:r>
          </w:p>
        </w:tc>
        <w:tc>
          <w:tcPr>
            <w:tcW w:w="1985" w:type="dxa"/>
            <w:tcBorders>
              <w:top w:val="single" w:sz="4" w:space="0" w:color="auto"/>
              <w:left w:val="single" w:sz="4" w:space="0" w:color="auto"/>
              <w:bottom w:val="single" w:sz="4" w:space="0" w:color="auto"/>
              <w:right w:val="single" w:sz="4" w:space="0" w:color="auto"/>
            </w:tcBorders>
            <w:shd w:val="clear" w:color="auto" w:fill="0070C0"/>
            <w:vAlign w:val="center"/>
          </w:tcPr>
          <w:p w14:paraId="7FCC57DE" w14:textId="77777777" w:rsidR="009B07E0" w:rsidRPr="00F151DA" w:rsidRDefault="009B07E0" w:rsidP="003A7DA1">
            <w:pPr>
              <w:keepNext/>
              <w:spacing w:after="0"/>
              <w:ind w:left="96" w:right="96"/>
              <w:jc w:val="center"/>
              <w:rPr>
                <w:rFonts w:ascii="Calibri" w:hAnsi="Calibri"/>
                <w:b/>
                <w:color w:val="FFFFFF"/>
                <w:lang w:eastAsia="en-AU"/>
              </w:rPr>
            </w:pPr>
            <w:r w:rsidRPr="00F151DA">
              <w:rPr>
                <w:rFonts w:ascii="Calibri" w:hAnsi="Calibri"/>
                <w:b/>
                <w:color w:val="FFFFFF"/>
                <w:lang w:eastAsia="en-AU"/>
              </w:rPr>
              <w:t>Substantive Purpose</w:t>
            </w:r>
          </w:p>
        </w:tc>
        <w:tc>
          <w:tcPr>
            <w:tcW w:w="2551" w:type="dxa"/>
            <w:tcBorders>
              <w:top w:val="single" w:sz="4" w:space="0" w:color="auto"/>
              <w:left w:val="single" w:sz="4" w:space="0" w:color="auto"/>
              <w:bottom w:val="single" w:sz="4" w:space="0" w:color="auto"/>
              <w:right w:val="single" w:sz="4" w:space="0" w:color="auto"/>
            </w:tcBorders>
            <w:shd w:val="clear" w:color="auto" w:fill="0070C0"/>
            <w:vAlign w:val="center"/>
          </w:tcPr>
          <w:p w14:paraId="5D53EB3D" w14:textId="77777777" w:rsidR="009B07E0" w:rsidRPr="00F151DA" w:rsidRDefault="009B07E0" w:rsidP="003A7DA1">
            <w:pPr>
              <w:keepNext/>
              <w:spacing w:after="0"/>
              <w:ind w:left="96" w:right="96"/>
              <w:jc w:val="center"/>
              <w:rPr>
                <w:rFonts w:ascii="Calibri" w:hAnsi="Calibri"/>
                <w:b/>
                <w:color w:val="FFFFFF"/>
                <w:lang w:eastAsia="en-AU"/>
              </w:rPr>
            </w:pPr>
            <w:r w:rsidRPr="00F151DA">
              <w:rPr>
                <w:rFonts w:ascii="Calibri" w:hAnsi="Calibri"/>
                <w:b/>
                <w:color w:val="FFFFFF"/>
                <w:lang w:eastAsia="en-AU"/>
              </w:rPr>
              <w:t>Criteria</w:t>
            </w:r>
          </w:p>
        </w:tc>
        <w:tc>
          <w:tcPr>
            <w:tcW w:w="3544" w:type="dxa"/>
            <w:tcBorders>
              <w:top w:val="single" w:sz="4" w:space="0" w:color="auto"/>
              <w:left w:val="single" w:sz="4" w:space="0" w:color="auto"/>
              <w:bottom w:val="single" w:sz="4" w:space="0" w:color="auto"/>
              <w:right w:val="single" w:sz="4" w:space="0" w:color="auto"/>
            </w:tcBorders>
            <w:shd w:val="clear" w:color="auto" w:fill="0070C0"/>
            <w:vAlign w:val="center"/>
          </w:tcPr>
          <w:p w14:paraId="77746C48" w14:textId="3687EC5F" w:rsidR="009B07E0" w:rsidRPr="00F151DA" w:rsidRDefault="009B07E0" w:rsidP="008B066B">
            <w:pPr>
              <w:keepNext/>
              <w:spacing w:after="0"/>
              <w:ind w:left="96" w:right="96"/>
              <w:jc w:val="center"/>
              <w:rPr>
                <w:rFonts w:ascii="Calibri" w:hAnsi="Calibri"/>
                <w:b/>
                <w:color w:val="FFFFFF"/>
                <w:lang w:eastAsia="en-AU"/>
              </w:rPr>
            </w:pPr>
            <w:r w:rsidRPr="00F151DA">
              <w:rPr>
                <w:rFonts w:ascii="Calibri" w:hAnsi="Calibri"/>
                <w:b/>
                <w:color w:val="FFFFFF"/>
                <w:lang w:eastAsia="en-AU"/>
              </w:rPr>
              <w:t>Authority required</w:t>
            </w:r>
          </w:p>
        </w:tc>
        <w:tc>
          <w:tcPr>
            <w:tcW w:w="3576" w:type="dxa"/>
            <w:tcBorders>
              <w:top w:val="single" w:sz="4" w:space="0" w:color="auto"/>
              <w:left w:val="single" w:sz="4" w:space="0" w:color="auto"/>
              <w:bottom w:val="single" w:sz="4" w:space="0" w:color="auto"/>
              <w:right w:val="single" w:sz="4" w:space="0" w:color="auto"/>
            </w:tcBorders>
            <w:shd w:val="clear" w:color="auto" w:fill="0070C0"/>
            <w:vAlign w:val="center"/>
          </w:tcPr>
          <w:p w14:paraId="486B004A" w14:textId="77777777" w:rsidR="009B07E0" w:rsidRPr="00F151DA" w:rsidRDefault="009B07E0" w:rsidP="003A7DA1">
            <w:pPr>
              <w:keepNext/>
              <w:spacing w:after="0"/>
              <w:ind w:left="96" w:right="96"/>
              <w:jc w:val="center"/>
              <w:rPr>
                <w:rFonts w:ascii="Calibri" w:hAnsi="Calibri"/>
                <w:b/>
                <w:color w:val="FFFFFF"/>
                <w:lang w:eastAsia="en-AU"/>
              </w:rPr>
            </w:pPr>
            <w:r w:rsidRPr="00F151DA">
              <w:rPr>
                <w:rFonts w:ascii="Calibri" w:hAnsi="Calibri"/>
                <w:b/>
                <w:color w:val="FFFFFF"/>
                <w:lang w:eastAsia="en-AU"/>
              </w:rPr>
              <w:t>Example(s)</w:t>
            </w:r>
          </w:p>
        </w:tc>
        <w:tc>
          <w:tcPr>
            <w:tcW w:w="2041" w:type="dxa"/>
            <w:tcBorders>
              <w:top w:val="single" w:sz="4" w:space="0" w:color="auto"/>
              <w:left w:val="single" w:sz="4" w:space="0" w:color="auto"/>
              <w:bottom w:val="single" w:sz="4" w:space="0" w:color="auto"/>
              <w:right w:val="single" w:sz="4" w:space="0" w:color="auto"/>
            </w:tcBorders>
            <w:shd w:val="clear" w:color="auto" w:fill="0070C0"/>
            <w:vAlign w:val="center"/>
          </w:tcPr>
          <w:p w14:paraId="4BF6F3B8" w14:textId="77777777" w:rsidR="009B07E0" w:rsidRPr="00F151DA" w:rsidRDefault="009B07E0" w:rsidP="003A7DA1">
            <w:pPr>
              <w:keepNext/>
              <w:spacing w:after="0"/>
              <w:ind w:left="96" w:right="96"/>
              <w:jc w:val="center"/>
              <w:rPr>
                <w:rFonts w:ascii="Calibri" w:hAnsi="Calibri"/>
                <w:b/>
                <w:color w:val="FFFFFF"/>
                <w:lang w:eastAsia="en-AU"/>
              </w:rPr>
            </w:pPr>
            <w:r w:rsidRPr="00F151DA">
              <w:rPr>
                <w:rFonts w:ascii="Calibri" w:hAnsi="Calibri"/>
                <w:b/>
                <w:color w:val="FFFFFF"/>
                <w:lang w:eastAsia="en-AU"/>
              </w:rPr>
              <w:t>Related Guidance</w:t>
            </w:r>
          </w:p>
        </w:tc>
      </w:tr>
      <w:tr w:rsidR="00310D4A" w:rsidRPr="00D51AD0" w14:paraId="3ED42D38" w14:textId="77777777" w:rsidTr="003A7DA1">
        <w:trPr>
          <w:cantSplit/>
          <w:trHeight w:val="2757"/>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3C77AEC1" w14:textId="77777777" w:rsidR="009B07E0" w:rsidRPr="00F151DA" w:rsidRDefault="009B07E0" w:rsidP="003A7DA1">
            <w:pPr>
              <w:spacing w:after="0"/>
              <w:ind w:left="96" w:right="96"/>
              <w:rPr>
                <w:rFonts w:ascii="Calibri" w:hAnsi="Calibri"/>
                <w:b/>
                <w:bCs/>
                <w:color w:val="000000"/>
                <w:lang w:eastAsia="en-AU"/>
              </w:rPr>
            </w:pPr>
            <w:r w:rsidRPr="00F151DA">
              <w:rPr>
                <w:rFonts w:ascii="Calibri" w:hAnsi="Calibri"/>
                <w:b/>
                <w:bCs/>
                <w:color w:val="000000"/>
                <w:lang w:eastAsia="en-AU"/>
              </w:rPr>
              <w:t>Grant</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5677FF53"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Promote policy objectives through the provision of financial assistance with or without conditions.</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548AEB7E" w14:textId="62B1313A"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Relevant money paid to a </w:t>
            </w:r>
            <w:r w:rsidR="00CD152C">
              <w:rPr>
                <w:rFonts w:ascii="Calibri" w:hAnsi="Calibri"/>
                <w:color w:val="000000"/>
                <w:lang w:eastAsia="en-AU"/>
              </w:rPr>
              <w:t xml:space="preserve">grantee </w:t>
            </w:r>
            <w:r w:rsidRPr="00F151DA">
              <w:rPr>
                <w:rFonts w:ascii="Calibri" w:hAnsi="Calibri"/>
                <w:color w:val="000000"/>
                <w:lang w:eastAsia="en-AU"/>
              </w:rPr>
              <w:t xml:space="preserve">other than the Commonwealth. </w:t>
            </w:r>
          </w:p>
          <w:p w14:paraId="70792087" w14:textId="42BA76B4"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Intended to help address one or more of the Australian Government’s policy outcomes while assisting </w:t>
            </w:r>
            <w:r w:rsidR="00CD152C">
              <w:rPr>
                <w:rFonts w:ascii="Calibri" w:hAnsi="Calibri"/>
                <w:color w:val="000000"/>
                <w:lang w:eastAsia="en-AU"/>
              </w:rPr>
              <w:t xml:space="preserve">the </w:t>
            </w:r>
            <w:r w:rsidRPr="00F151DA">
              <w:rPr>
                <w:rFonts w:ascii="Calibri" w:hAnsi="Calibri"/>
                <w:color w:val="000000"/>
                <w:lang w:eastAsia="en-AU"/>
              </w:rPr>
              <w:t xml:space="preserve">grantee to meet their objectives. </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71E1E07D" w14:textId="35FEF67D" w:rsidR="009B07E0" w:rsidRPr="00F151DA" w:rsidRDefault="00E80D91" w:rsidP="00E80D91">
            <w:pPr>
              <w:spacing w:after="0"/>
              <w:ind w:left="96" w:right="96"/>
              <w:jc w:val="center"/>
              <w:rPr>
                <w:rFonts w:ascii="Calibri" w:hAnsi="Calibri"/>
                <w:color w:val="000000"/>
                <w:lang w:eastAsia="en-AU"/>
              </w:rPr>
            </w:pPr>
            <w:r w:rsidRPr="00F151DA">
              <w:rPr>
                <w:rFonts w:ascii="Calibri" w:hAnsi="Calibri"/>
                <w:color w:val="000000"/>
                <w:lang w:eastAsia="en-AU"/>
              </w:rPr>
              <w:t>Legislative a</w:t>
            </w:r>
            <w:r w:rsidR="008B066B" w:rsidRPr="00F151DA">
              <w:rPr>
                <w:rFonts w:ascii="Calibri" w:hAnsi="Calibri"/>
                <w:color w:val="000000"/>
                <w:lang w:eastAsia="en-AU"/>
              </w:rPr>
              <w:t>uthority is needed for</w:t>
            </w:r>
            <w:r w:rsidR="007C3837" w:rsidRPr="00F151DA">
              <w:rPr>
                <w:rFonts w:ascii="Calibri" w:hAnsi="Calibri"/>
                <w:color w:val="000000"/>
                <w:lang w:eastAsia="en-AU"/>
              </w:rPr>
              <w:t xml:space="preserve"> </w:t>
            </w:r>
            <w:r w:rsidRPr="00F151DA">
              <w:rPr>
                <w:rFonts w:ascii="Calibri" w:hAnsi="Calibri"/>
                <w:color w:val="000000"/>
                <w:lang w:eastAsia="en-AU"/>
              </w:rPr>
              <w:t xml:space="preserve">entering into arrangements and </w:t>
            </w:r>
            <w:r w:rsidR="007C3837" w:rsidRPr="00F151DA">
              <w:rPr>
                <w:rFonts w:ascii="Calibri" w:hAnsi="Calibri"/>
                <w:color w:val="000000"/>
                <w:lang w:eastAsia="en-AU"/>
              </w:rPr>
              <w:t xml:space="preserve">spending </w:t>
            </w:r>
            <w:r w:rsidRPr="00F151DA">
              <w:rPr>
                <w:rFonts w:ascii="Calibri" w:hAnsi="Calibri"/>
                <w:color w:val="000000"/>
                <w:lang w:eastAsia="en-AU"/>
              </w:rPr>
              <w:t>for</w:t>
            </w:r>
            <w:r w:rsidR="008B066B" w:rsidRPr="00F151DA">
              <w:rPr>
                <w:rFonts w:ascii="Calibri" w:hAnsi="Calibri"/>
                <w:color w:val="000000"/>
                <w:lang w:eastAsia="en-AU"/>
              </w:rPr>
              <w:t xml:space="preserve"> g</w:t>
            </w:r>
            <w:r w:rsidR="009B07E0" w:rsidRPr="00F151DA">
              <w:rPr>
                <w:rFonts w:ascii="Calibri" w:hAnsi="Calibri"/>
                <w:color w:val="000000"/>
                <w:lang w:eastAsia="en-AU"/>
              </w:rPr>
              <w:t xml:space="preserve">rants that are not </w:t>
            </w:r>
            <w:r w:rsidR="008B066B" w:rsidRPr="00F151DA">
              <w:rPr>
                <w:rFonts w:ascii="Calibri" w:hAnsi="Calibri"/>
                <w:color w:val="000000"/>
                <w:lang w:eastAsia="en-AU"/>
              </w:rPr>
              <w:t xml:space="preserve">categorised as </w:t>
            </w:r>
            <w:r w:rsidR="009B07E0" w:rsidRPr="00F151DA">
              <w:rPr>
                <w:rFonts w:ascii="Calibri" w:hAnsi="Calibri"/>
                <w:color w:val="000000"/>
                <w:lang w:eastAsia="en-AU"/>
              </w:rPr>
              <w:t xml:space="preserve">the ordinary and </w:t>
            </w:r>
            <w:r w:rsidR="008B066B" w:rsidRPr="00F151DA">
              <w:rPr>
                <w:rFonts w:ascii="Calibri" w:hAnsi="Calibri"/>
                <w:color w:val="000000"/>
                <w:lang w:eastAsia="en-AU"/>
              </w:rPr>
              <w:t xml:space="preserve">well-recognised </w:t>
            </w:r>
            <w:r w:rsidR="009B07E0" w:rsidRPr="00F151DA">
              <w:rPr>
                <w:rFonts w:ascii="Calibri" w:hAnsi="Calibri"/>
                <w:color w:val="000000"/>
                <w:lang w:eastAsia="en-AU"/>
              </w:rPr>
              <w:t>functions of government</w:t>
            </w:r>
            <w:r w:rsidRPr="00F151DA">
              <w:rPr>
                <w:rFonts w:ascii="Calibri" w:hAnsi="Calibri"/>
                <w:color w:val="000000"/>
                <w:lang w:eastAsia="en-AU"/>
              </w:rPr>
              <w:t>.  The</w:t>
            </w:r>
            <w:r w:rsidR="009B07E0" w:rsidRPr="00F151DA">
              <w:rPr>
                <w:rFonts w:ascii="Calibri" w:hAnsi="Calibri"/>
                <w:color w:val="000000"/>
                <w:lang w:eastAsia="en-AU"/>
              </w:rPr>
              <w:t xml:space="preserve"> </w:t>
            </w:r>
            <w:r w:rsidR="008B066B" w:rsidRPr="00F151DA">
              <w:rPr>
                <w:rFonts w:ascii="Calibri" w:hAnsi="Calibri"/>
                <w:color w:val="000000"/>
                <w:lang w:eastAsia="en-AU"/>
              </w:rPr>
              <w:t xml:space="preserve">legislative authority </w:t>
            </w:r>
            <w:r w:rsidRPr="00F151DA">
              <w:rPr>
                <w:rFonts w:ascii="Calibri" w:hAnsi="Calibri"/>
                <w:color w:val="000000"/>
                <w:lang w:eastAsia="en-AU"/>
              </w:rPr>
              <w:t xml:space="preserve">will </w:t>
            </w:r>
            <w:r w:rsidR="009B07E0" w:rsidRPr="00F151DA">
              <w:rPr>
                <w:rFonts w:ascii="Calibri" w:hAnsi="Calibri"/>
                <w:color w:val="000000"/>
                <w:lang w:eastAsia="en-AU"/>
              </w:rPr>
              <w:t xml:space="preserve">either </w:t>
            </w:r>
            <w:r w:rsidRPr="00F151DA">
              <w:rPr>
                <w:rFonts w:ascii="Calibri" w:hAnsi="Calibri"/>
                <w:color w:val="000000"/>
                <w:lang w:eastAsia="en-AU"/>
              </w:rPr>
              <w:t xml:space="preserve">be </w:t>
            </w:r>
            <w:r w:rsidR="007C3837" w:rsidRPr="00F151DA">
              <w:rPr>
                <w:rFonts w:ascii="Calibri" w:hAnsi="Calibri"/>
                <w:color w:val="000000"/>
                <w:lang w:eastAsia="en-AU"/>
              </w:rPr>
              <w:t xml:space="preserve">in </w:t>
            </w:r>
            <w:r w:rsidR="009B07E0" w:rsidRPr="00F151DA">
              <w:rPr>
                <w:rFonts w:ascii="Calibri" w:hAnsi="Calibri"/>
                <w:color w:val="000000"/>
                <w:lang w:eastAsia="en-AU"/>
              </w:rPr>
              <w:t xml:space="preserve">separate legislation or in a </w:t>
            </w:r>
            <w:r w:rsidRPr="00F151DA">
              <w:rPr>
                <w:rFonts w:ascii="Calibri" w:hAnsi="Calibri"/>
                <w:color w:val="000000"/>
                <w:lang w:eastAsia="en-AU"/>
              </w:rPr>
              <w:t xml:space="preserve">grant or </w:t>
            </w:r>
            <w:r w:rsidR="009B07E0" w:rsidRPr="00F151DA">
              <w:rPr>
                <w:rFonts w:ascii="Calibri" w:hAnsi="Calibri"/>
                <w:color w:val="000000"/>
                <w:lang w:eastAsia="en-AU"/>
              </w:rPr>
              <w:t xml:space="preserve">program listed in Schedule 1AA or Schedule 1AB </w:t>
            </w:r>
            <w:r w:rsidR="007C3837" w:rsidRPr="00F151DA">
              <w:rPr>
                <w:rFonts w:ascii="Calibri" w:hAnsi="Calibri"/>
                <w:color w:val="000000"/>
                <w:lang w:eastAsia="en-AU"/>
              </w:rPr>
              <w:t xml:space="preserve">to </w:t>
            </w:r>
            <w:r w:rsidR="009B07E0" w:rsidRPr="00F151DA">
              <w:rPr>
                <w:rFonts w:ascii="Calibri" w:hAnsi="Calibri"/>
                <w:color w:val="000000"/>
                <w:lang w:eastAsia="en-AU"/>
              </w:rPr>
              <w:t xml:space="preserve">the </w:t>
            </w:r>
            <w:r w:rsidR="009B07E0" w:rsidRPr="00F151DA">
              <w:rPr>
                <w:rFonts w:ascii="Calibri" w:hAnsi="Calibri"/>
                <w:i/>
                <w:color w:val="000000"/>
                <w:lang w:eastAsia="en-AU"/>
              </w:rPr>
              <w:t>Financial Framework (Supplementary Powers) Regulations 1997</w:t>
            </w:r>
            <w:r w:rsidR="009B07E0" w:rsidRPr="00F151DA">
              <w:rPr>
                <w:rFonts w:ascii="Calibri" w:hAnsi="Calibri"/>
                <w:color w:val="000000"/>
                <w:lang w:eastAsia="en-AU"/>
              </w:rPr>
              <w:t>.</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016E0896"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Competitive, non-competitive grant opportunities.</w:t>
            </w:r>
          </w:p>
          <w:p w14:paraId="754C08A1" w14:textId="7C02D976"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One-off </w:t>
            </w:r>
            <w:r w:rsidR="00222FCB">
              <w:rPr>
                <w:rFonts w:ascii="Calibri" w:hAnsi="Calibri"/>
                <w:color w:val="000000"/>
                <w:lang w:eastAsia="en-AU"/>
              </w:rPr>
              <w:t xml:space="preserve">adhoc </w:t>
            </w:r>
            <w:r w:rsidRPr="00F151DA">
              <w:rPr>
                <w:rFonts w:ascii="Calibri" w:hAnsi="Calibri"/>
                <w:color w:val="000000"/>
                <w:lang w:eastAsia="en-AU"/>
              </w:rPr>
              <w:t>grants.</w:t>
            </w:r>
          </w:p>
          <w:p w14:paraId="00F3F3CA"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Entitlements programs that are not supported by their own legislation. </w:t>
            </w:r>
          </w:p>
          <w:p w14:paraId="29DC4F98"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Some sponsorships, subsidies and rebates. </w:t>
            </w:r>
          </w:p>
          <w:p w14:paraId="03E65171"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Gifts of relevant money or ex gratia payments.</w:t>
            </w: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35CF0526" w14:textId="38687E6D"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i/>
                <w:color w:val="000000"/>
                <w:lang w:eastAsia="en-AU"/>
              </w:rPr>
              <w:t>Commonwealth Grants Rules and Guidelines</w:t>
            </w:r>
            <w:r w:rsidR="00222FCB">
              <w:rPr>
                <w:rFonts w:ascii="Calibri" w:hAnsi="Calibri"/>
                <w:i/>
                <w:color w:val="000000"/>
                <w:lang w:eastAsia="en-AU"/>
              </w:rPr>
              <w:t xml:space="preserve"> 2017</w:t>
            </w:r>
            <w:r w:rsidRPr="00F151DA">
              <w:rPr>
                <w:rFonts w:ascii="Calibri" w:hAnsi="Calibri"/>
                <w:color w:val="000000"/>
                <w:lang w:eastAsia="en-AU"/>
              </w:rPr>
              <w:t xml:space="preserve">. </w:t>
            </w:r>
          </w:p>
          <w:p w14:paraId="620561A0" w14:textId="0668C22B" w:rsidR="009B07E0" w:rsidRPr="00F151DA" w:rsidRDefault="002471D3" w:rsidP="003A7DA1">
            <w:pPr>
              <w:spacing w:after="0"/>
              <w:ind w:left="96" w:right="96"/>
              <w:jc w:val="center"/>
              <w:rPr>
                <w:rFonts w:ascii="Calibri" w:hAnsi="Calibri"/>
                <w:color w:val="000000"/>
                <w:lang w:eastAsia="en-AU"/>
              </w:rPr>
            </w:pPr>
            <w:hyperlink r:id="rId38" w:history="1">
              <w:r w:rsidR="009B07E0" w:rsidRPr="00F151DA">
                <w:rPr>
                  <w:rStyle w:val="Hyperlink"/>
                  <w:rFonts w:ascii="Calibri" w:hAnsi="Calibri"/>
                  <w:lang w:eastAsia="en-AU"/>
                </w:rPr>
                <w:t>RMG 412: Australian Government Grants</w:t>
              </w:r>
              <w:r w:rsidR="00155ABA">
                <w:rPr>
                  <w:rStyle w:val="Hyperlink"/>
                  <w:rFonts w:ascii="Calibri" w:hAnsi="Calibri"/>
                  <w:lang w:eastAsia="en-AU"/>
                </w:rPr>
                <w:t xml:space="preserve"> -  </w:t>
              </w:r>
              <w:r w:rsidR="009B07E0" w:rsidRPr="00F151DA">
                <w:rPr>
                  <w:rStyle w:val="Hyperlink"/>
                  <w:rFonts w:ascii="Calibri" w:hAnsi="Calibri"/>
                  <w:lang w:eastAsia="en-AU"/>
                </w:rPr>
                <w:t>Briefing</w:t>
              </w:r>
            </w:hyperlink>
            <w:r w:rsidR="00155ABA">
              <w:rPr>
                <w:rStyle w:val="Hyperlink"/>
                <w:rFonts w:ascii="Calibri" w:hAnsi="Calibri"/>
                <w:lang w:eastAsia="en-AU"/>
              </w:rPr>
              <w:t xml:space="preserve">, Reporting, Evaluating and </w:t>
            </w:r>
            <w:r w:rsidR="00F0758C">
              <w:rPr>
                <w:rStyle w:val="Hyperlink"/>
                <w:rFonts w:ascii="Calibri" w:hAnsi="Calibri"/>
                <w:lang w:eastAsia="en-AU"/>
              </w:rPr>
              <w:t>Election</w:t>
            </w:r>
            <w:r w:rsidR="00155ABA">
              <w:rPr>
                <w:rStyle w:val="Hyperlink"/>
                <w:rFonts w:ascii="Calibri" w:hAnsi="Calibri"/>
                <w:lang w:eastAsia="en-AU"/>
              </w:rPr>
              <w:t xml:space="preserve"> Commitments</w:t>
            </w:r>
            <w:r w:rsidR="009B07E0" w:rsidRPr="00F151DA">
              <w:rPr>
                <w:rFonts w:ascii="Calibri" w:hAnsi="Calibri"/>
                <w:color w:val="000000"/>
                <w:lang w:eastAsia="en-AU"/>
              </w:rPr>
              <w:t xml:space="preserve"> </w:t>
            </w:r>
          </w:p>
          <w:p w14:paraId="037F1EFB" w14:textId="771D5439" w:rsidR="009B07E0" w:rsidRPr="00F151DA" w:rsidRDefault="002471D3" w:rsidP="00310D4A">
            <w:pPr>
              <w:spacing w:after="0"/>
              <w:ind w:left="96" w:right="96"/>
              <w:jc w:val="center"/>
              <w:rPr>
                <w:rFonts w:ascii="Calibri" w:hAnsi="Calibri"/>
                <w:color w:val="000000"/>
                <w:lang w:eastAsia="en-AU"/>
              </w:rPr>
            </w:pPr>
            <w:hyperlink r:id="rId39" w:history="1">
              <w:r w:rsidR="009B07E0" w:rsidRPr="00F151DA">
                <w:rPr>
                  <w:rStyle w:val="Hyperlink"/>
                  <w:rFonts w:ascii="Calibri" w:hAnsi="Calibri"/>
                  <w:lang w:eastAsia="en-AU"/>
                </w:rPr>
                <w:t xml:space="preserve">RMG 421: </w:t>
              </w:r>
              <w:r w:rsidR="00310D4A">
                <w:rPr>
                  <w:rStyle w:val="Hyperlink"/>
                  <w:rFonts w:ascii="Calibri" w:hAnsi="Calibri"/>
                  <w:lang w:eastAsia="en-AU"/>
                </w:rPr>
                <w:t>Publishing and reporting Grants and GrantConnect</w:t>
              </w:r>
              <w:r w:rsidR="009B07E0" w:rsidRPr="00F151DA">
                <w:rPr>
                  <w:rStyle w:val="Hyperlink"/>
                  <w:rFonts w:ascii="Calibri" w:hAnsi="Calibri"/>
                  <w:lang w:eastAsia="en-AU"/>
                </w:rPr>
                <w:t>.</w:t>
              </w:r>
            </w:hyperlink>
          </w:p>
        </w:tc>
      </w:tr>
      <w:tr w:rsidR="00310D4A" w:rsidRPr="00D51AD0" w14:paraId="4467B3D8" w14:textId="77777777" w:rsidTr="003A7DA1">
        <w:trPr>
          <w:trHeight w:val="2787"/>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6CD7935C" w14:textId="77777777" w:rsidR="009B07E0" w:rsidRPr="00F151DA" w:rsidRDefault="009B07E0" w:rsidP="003A7DA1">
            <w:pPr>
              <w:spacing w:after="0"/>
              <w:ind w:left="96" w:right="96"/>
              <w:rPr>
                <w:rFonts w:ascii="Calibri" w:hAnsi="Calibri"/>
                <w:b/>
                <w:bCs/>
                <w:color w:val="000000"/>
                <w:lang w:eastAsia="en-AU"/>
              </w:rPr>
            </w:pPr>
            <w:r w:rsidRPr="00F151DA">
              <w:rPr>
                <w:rFonts w:ascii="Calibri" w:hAnsi="Calibri"/>
                <w:b/>
                <w:bCs/>
                <w:color w:val="000000"/>
                <w:lang w:eastAsia="en-AU"/>
              </w:rPr>
              <w:lastRenderedPageBreak/>
              <w:t>Procurement</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253D1E58"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Achieve policy objectives through the acquisition of goods and services for the Commonwealth's own use or for the use of third parties.</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34C1DB6E"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The process of acquiring goods and/or services. </w:t>
            </w:r>
          </w:p>
          <w:p w14:paraId="0C0BCD0D"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May be for the Commonwealth’s own use or may be on behalf of third parties.</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3BC62724" w14:textId="67C86AD6" w:rsidR="009B07E0" w:rsidRPr="00F151DA" w:rsidRDefault="009B07E0" w:rsidP="00E970D8">
            <w:pPr>
              <w:spacing w:after="0"/>
              <w:ind w:left="96" w:right="96"/>
              <w:jc w:val="center"/>
              <w:rPr>
                <w:rFonts w:ascii="Calibri" w:hAnsi="Calibri"/>
                <w:color w:val="000000"/>
                <w:lang w:eastAsia="en-AU"/>
              </w:rPr>
            </w:pPr>
            <w:r w:rsidRPr="00F151DA">
              <w:rPr>
                <w:rFonts w:ascii="Calibri" w:hAnsi="Calibri"/>
                <w:color w:val="000000"/>
                <w:lang w:eastAsia="en-AU"/>
              </w:rPr>
              <w:t>Most procurement for an entity’s own use will be for the ordinary and</w:t>
            </w:r>
            <w:r w:rsidR="00E970D8" w:rsidRPr="00F151DA">
              <w:rPr>
                <w:rFonts w:ascii="Calibri" w:hAnsi="Calibri"/>
                <w:color w:val="000000"/>
                <w:lang w:eastAsia="en-AU"/>
              </w:rPr>
              <w:t xml:space="preserve"> well-recognised</w:t>
            </w:r>
            <w:r w:rsidRPr="00F151DA">
              <w:rPr>
                <w:rFonts w:ascii="Calibri" w:hAnsi="Calibri"/>
                <w:color w:val="000000"/>
                <w:lang w:eastAsia="en-AU"/>
              </w:rPr>
              <w:t xml:space="preserve"> functions of government and will not require separate legislative authority</w:t>
            </w:r>
            <w:r w:rsidR="007C3837" w:rsidRPr="00F151DA">
              <w:rPr>
                <w:rFonts w:ascii="Calibri" w:hAnsi="Calibri"/>
                <w:color w:val="000000"/>
                <w:lang w:eastAsia="en-AU"/>
              </w:rPr>
              <w:t xml:space="preserve"> apart from an appropriation in an Appropriation Act</w:t>
            </w:r>
            <w:r w:rsidRPr="00F151DA">
              <w:rPr>
                <w:rFonts w:ascii="Calibri" w:hAnsi="Calibri"/>
                <w:color w:val="000000"/>
                <w:lang w:eastAsia="en-AU"/>
              </w:rPr>
              <w:t xml:space="preserve">.  However, </w:t>
            </w:r>
            <w:r w:rsidR="007C3837" w:rsidRPr="00F151DA">
              <w:rPr>
                <w:rFonts w:ascii="Calibri" w:hAnsi="Calibri"/>
                <w:color w:val="000000"/>
                <w:lang w:eastAsia="en-AU"/>
              </w:rPr>
              <w:t xml:space="preserve">spending relating to </w:t>
            </w:r>
            <w:r w:rsidRPr="00F151DA">
              <w:rPr>
                <w:rFonts w:ascii="Calibri" w:hAnsi="Calibri"/>
                <w:color w:val="000000"/>
                <w:lang w:eastAsia="en-AU"/>
              </w:rPr>
              <w:t xml:space="preserve">a procurement may require separate legislative authority where it is not for the ordinary and </w:t>
            </w:r>
            <w:r w:rsidR="00E970D8" w:rsidRPr="00F151DA">
              <w:rPr>
                <w:rFonts w:ascii="Calibri" w:hAnsi="Calibri"/>
                <w:color w:val="000000"/>
                <w:lang w:eastAsia="en-AU"/>
              </w:rPr>
              <w:t xml:space="preserve">well-recognised </w:t>
            </w:r>
            <w:r w:rsidRPr="00F151DA">
              <w:rPr>
                <w:rFonts w:ascii="Calibri" w:hAnsi="Calibri"/>
                <w:color w:val="000000"/>
                <w:lang w:eastAsia="en-AU"/>
              </w:rPr>
              <w:t>functions of government.</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3BD86B7E"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Procuring supplies and equipment, consultancy services, memberships, advertising and travel.</w:t>
            </w:r>
          </w:p>
          <w:p w14:paraId="78A08B53" w14:textId="56E604A2" w:rsidR="009B07E0" w:rsidRPr="00F151DA" w:rsidRDefault="009B07E0" w:rsidP="003A7DA1">
            <w:pPr>
              <w:spacing w:after="0"/>
              <w:ind w:left="96" w:right="96"/>
              <w:jc w:val="center"/>
              <w:rPr>
                <w:rFonts w:ascii="Calibri" w:hAnsi="Calibri"/>
                <w:color w:val="000000"/>
                <w:lang w:eastAsia="en-AU"/>
              </w:rPr>
            </w:pP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420DE517" w14:textId="3B2CA10C" w:rsidR="009B07E0" w:rsidRPr="00F151DA" w:rsidRDefault="002471D3" w:rsidP="003A7DA1">
            <w:pPr>
              <w:spacing w:after="0"/>
              <w:ind w:left="96" w:right="96"/>
              <w:jc w:val="center"/>
              <w:rPr>
                <w:rFonts w:ascii="Calibri" w:hAnsi="Calibri"/>
                <w:i/>
                <w:color w:val="000000"/>
                <w:lang w:eastAsia="en-AU"/>
              </w:rPr>
            </w:pPr>
            <w:hyperlink r:id="rId40" w:history="1">
              <w:r w:rsidR="009B07E0" w:rsidRPr="00F0758C">
                <w:rPr>
                  <w:rStyle w:val="Hyperlink"/>
                  <w:rFonts w:ascii="Calibri" w:hAnsi="Calibri" w:cs="Times New Roman"/>
                  <w:lang w:eastAsia="en-AU"/>
                </w:rPr>
                <w:t>Commonwealth Procurement Rules.</w:t>
              </w:r>
            </w:hyperlink>
          </w:p>
          <w:p w14:paraId="2A1A7999" w14:textId="77777777" w:rsidR="009B07E0" w:rsidRPr="00F151DA" w:rsidRDefault="009B07E0" w:rsidP="003A7DA1">
            <w:pPr>
              <w:spacing w:after="0"/>
              <w:ind w:left="96" w:right="96"/>
              <w:jc w:val="center"/>
              <w:rPr>
                <w:lang w:eastAsia="en-AU"/>
              </w:rPr>
            </w:pPr>
          </w:p>
          <w:p w14:paraId="0AD0C6C0" w14:textId="7BED98E0" w:rsidR="00F0758C" w:rsidRPr="00F151DA" w:rsidRDefault="00F0758C" w:rsidP="003A7DA1">
            <w:pPr>
              <w:spacing w:after="0"/>
              <w:ind w:left="96" w:right="96"/>
              <w:jc w:val="center"/>
              <w:rPr>
                <w:rStyle w:val="Hyperlink"/>
                <w:rFonts w:cs="Times New Roman"/>
                <w:lang w:eastAsia="en-AU"/>
              </w:rPr>
            </w:pPr>
            <w:r w:rsidRPr="00F151DA">
              <w:rPr>
                <w:rFonts w:ascii="Calibri" w:hAnsi="Calibri" w:cs="MuseoSans-500"/>
                <w:i/>
                <w:u w:color="0070C0"/>
                <w:lang w:eastAsia="en-AU"/>
              </w:rPr>
              <w:fldChar w:fldCharType="begin"/>
            </w:r>
            <w:r w:rsidRPr="00F151DA">
              <w:rPr>
                <w:rFonts w:ascii="Calibri" w:hAnsi="Calibri" w:cs="MuseoSans-500"/>
                <w:i/>
                <w:u w:color="0070C0"/>
                <w:lang w:eastAsia="en-AU"/>
              </w:rPr>
              <w:instrText xml:space="preserve"> HYPERLINK "https://www.tenders.gov.au/" </w:instrText>
            </w:r>
            <w:r w:rsidRPr="00F151DA">
              <w:rPr>
                <w:rFonts w:ascii="Calibri" w:hAnsi="Calibri" w:cs="MuseoSans-500"/>
                <w:i/>
                <w:u w:color="0070C0"/>
                <w:lang w:eastAsia="en-AU"/>
              </w:rPr>
              <w:fldChar w:fldCharType="separate"/>
            </w:r>
            <w:r>
              <w:rPr>
                <w:rStyle w:val="Hyperlink"/>
              </w:rPr>
              <w:t>Austender</w:t>
            </w:r>
            <w:r w:rsidRPr="00F151DA">
              <w:rPr>
                <w:rStyle w:val="Hyperlink"/>
                <w:rFonts w:ascii="Calibri" w:hAnsi="Calibri"/>
                <w:lang w:eastAsia="en-AU"/>
              </w:rPr>
              <w:t xml:space="preserve"> website</w:t>
            </w:r>
            <w:r>
              <w:rPr>
                <w:rStyle w:val="Hyperlink"/>
                <w:rFonts w:ascii="Calibri" w:hAnsi="Calibri"/>
                <w:lang w:eastAsia="en-AU"/>
              </w:rPr>
              <w:t>.</w:t>
            </w:r>
          </w:p>
          <w:p w14:paraId="2828E862" w14:textId="066573E4" w:rsidR="009B07E0" w:rsidRPr="00F151DA" w:rsidRDefault="00F0758C" w:rsidP="003A7DA1">
            <w:pPr>
              <w:spacing w:after="0"/>
              <w:ind w:left="96" w:right="96"/>
              <w:jc w:val="center"/>
              <w:rPr>
                <w:rFonts w:ascii="Calibri" w:hAnsi="Calibri"/>
                <w:color w:val="000000"/>
                <w:lang w:eastAsia="en-AU"/>
              </w:rPr>
            </w:pPr>
            <w:r w:rsidRPr="00F151DA">
              <w:rPr>
                <w:rFonts w:ascii="Calibri" w:hAnsi="Calibri" w:cs="MuseoSans-500"/>
                <w:i/>
                <w:u w:color="0070C0"/>
                <w:lang w:eastAsia="en-AU"/>
              </w:rPr>
              <w:fldChar w:fldCharType="end"/>
            </w:r>
            <w:hyperlink r:id="rId41" w:history="1">
              <w:r w:rsidR="009B07E0" w:rsidRPr="00F151DA">
                <w:rPr>
                  <w:rStyle w:val="Hyperlink"/>
                  <w:rFonts w:ascii="Calibri" w:hAnsi="Calibri"/>
                  <w:lang w:eastAsia="en-AU"/>
                </w:rPr>
                <w:t>Finance website</w:t>
              </w:r>
            </w:hyperlink>
            <w:r w:rsidR="009B07E0" w:rsidRPr="00F151DA">
              <w:rPr>
                <w:rFonts w:ascii="Calibri" w:hAnsi="Calibri"/>
                <w:color w:val="000000"/>
                <w:lang w:eastAsia="en-AU"/>
              </w:rPr>
              <w:t>.</w:t>
            </w:r>
          </w:p>
        </w:tc>
      </w:tr>
      <w:tr w:rsidR="00310D4A" w:rsidRPr="00D51AD0" w14:paraId="6BF5E8E4" w14:textId="77777777" w:rsidTr="003A7DA1">
        <w:trPr>
          <w:trHeight w:val="2891"/>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596B40CE" w14:textId="77777777" w:rsidR="009B07E0" w:rsidRPr="00F151DA" w:rsidRDefault="009B07E0" w:rsidP="003A7DA1">
            <w:pPr>
              <w:ind w:left="96" w:right="96"/>
              <w:rPr>
                <w:b/>
                <w:bCs/>
                <w:color w:val="000000"/>
                <w:lang w:eastAsia="en-AU"/>
              </w:rPr>
            </w:pPr>
            <w:r w:rsidRPr="00F151DA">
              <w:rPr>
                <w:rFonts w:ascii="Calibri" w:hAnsi="Calibri"/>
                <w:b/>
                <w:bCs/>
                <w:color w:val="000000"/>
                <w:lang w:eastAsia="en-AU"/>
              </w:rPr>
              <w:t>Gifts of relevant property</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02A208CA" w14:textId="77777777" w:rsidR="009B07E0" w:rsidRPr="00F151DA" w:rsidRDefault="009B07E0" w:rsidP="003A7DA1">
            <w:pPr>
              <w:ind w:left="96" w:right="96"/>
              <w:jc w:val="center"/>
              <w:rPr>
                <w:rFonts w:ascii="Calibri" w:hAnsi="Calibri"/>
                <w:color w:val="000000"/>
                <w:lang w:eastAsia="en-AU"/>
              </w:rPr>
            </w:pPr>
            <w:r w:rsidRPr="00F151DA">
              <w:rPr>
                <w:rFonts w:ascii="Calibri" w:hAnsi="Calibri"/>
                <w:color w:val="000000"/>
                <w:lang w:eastAsia="en-AU"/>
              </w:rPr>
              <w:t>To transfer relevant property to the recipient free of charge.</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1D37DAB8" w14:textId="77777777" w:rsidR="009B07E0" w:rsidRPr="00F151DA" w:rsidRDefault="009B07E0" w:rsidP="003A7DA1">
            <w:pPr>
              <w:ind w:left="96" w:right="96"/>
              <w:jc w:val="center"/>
              <w:rPr>
                <w:rFonts w:ascii="Calibri" w:hAnsi="Calibri"/>
                <w:color w:val="000000"/>
                <w:lang w:eastAsia="en-AU"/>
              </w:rPr>
            </w:pPr>
            <w:r w:rsidRPr="00F151DA">
              <w:rPr>
                <w:rFonts w:ascii="Calibri" w:hAnsi="Calibri"/>
                <w:color w:val="000000"/>
                <w:lang w:eastAsia="en-AU"/>
              </w:rPr>
              <w:t xml:space="preserve">The Commonwealth must have acquired or produced the property to use it as a gift, or the gift is expressly authorised by law, or the Finance Minister (or delegate) has authorised the gift in writing, or the gift is made in accordance with any requirements prescribed by the rules. </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02CE7434" w14:textId="77777777" w:rsidR="009B07E0" w:rsidRPr="00F151DA" w:rsidRDefault="009B07E0" w:rsidP="003A7DA1">
            <w:pPr>
              <w:ind w:left="96" w:right="96"/>
              <w:jc w:val="center"/>
              <w:rPr>
                <w:rFonts w:ascii="Calibri" w:hAnsi="Calibri"/>
                <w:color w:val="000000"/>
                <w:lang w:eastAsia="en-AU"/>
              </w:rPr>
            </w:pPr>
            <w:r w:rsidRPr="00F151DA">
              <w:rPr>
                <w:rFonts w:ascii="Calibri" w:hAnsi="Calibri"/>
                <w:color w:val="000000"/>
                <w:lang w:eastAsia="en-AU"/>
              </w:rPr>
              <w:t>The power to make gifts of relevant property is established under section 66 of the PGPA Act.</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454CB194" w14:textId="77777777" w:rsidR="009B07E0" w:rsidRPr="00F151DA" w:rsidRDefault="009B07E0" w:rsidP="003A7DA1">
            <w:pPr>
              <w:ind w:left="96" w:right="96"/>
              <w:jc w:val="center"/>
              <w:rPr>
                <w:rFonts w:ascii="Calibri" w:hAnsi="Calibri"/>
                <w:color w:val="000000"/>
                <w:lang w:eastAsia="en-AU"/>
              </w:rPr>
            </w:pPr>
            <w:r w:rsidRPr="00F151DA">
              <w:rPr>
                <w:rFonts w:ascii="Calibri" w:hAnsi="Calibri"/>
                <w:color w:val="000000"/>
                <w:lang w:eastAsia="en-AU"/>
              </w:rPr>
              <w:t xml:space="preserve">Gifts of relevant property to visiting dignitaries. </w:t>
            </w:r>
          </w:p>
          <w:p w14:paraId="2A454792" w14:textId="77777777" w:rsidR="009B07E0" w:rsidRPr="00F151DA" w:rsidRDefault="009B07E0" w:rsidP="003A7DA1">
            <w:pPr>
              <w:ind w:left="96" w:right="96"/>
              <w:jc w:val="center"/>
              <w:rPr>
                <w:rFonts w:ascii="Calibri" w:hAnsi="Calibri"/>
                <w:color w:val="000000"/>
                <w:lang w:eastAsia="en-AU"/>
              </w:rPr>
            </w:pPr>
            <w:r w:rsidRPr="00F151DA">
              <w:rPr>
                <w:rFonts w:ascii="Calibri" w:hAnsi="Calibri"/>
                <w:color w:val="000000"/>
                <w:lang w:eastAsia="en-AU"/>
              </w:rPr>
              <w:t>Gifts of ex-government computers to public schools.</w:t>
            </w: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3ED77D7D" w14:textId="77777777" w:rsidR="009B07E0" w:rsidRPr="00F151DA" w:rsidRDefault="002471D3" w:rsidP="003A7DA1">
            <w:pPr>
              <w:spacing w:after="0"/>
              <w:ind w:left="96" w:right="96"/>
              <w:jc w:val="center"/>
              <w:rPr>
                <w:rFonts w:ascii="Calibri" w:hAnsi="Calibri"/>
                <w:color w:val="000000"/>
                <w:lang w:eastAsia="en-AU"/>
              </w:rPr>
            </w:pPr>
            <w:hyperlink r:id="rId42" w:history="1">
              <w:r w:rsidR="009B07E0" w:rsidRPr="00F151DA">
                <w:rPr>
                  <w:rStyle w:val="Hyperlink"/>
                  <w:rFonts w:ascii="Calibri" w:hAnsi="Calibri"/>
                  <w:lang w:eastAsia="en-AU"/>
                </w:rPr>
                <w:t>RMG 206: Accountable Authority Instructions</w:t>
              </w:r>
            </w:hyperlink>
            <w:r w:rsidR="009B07E0" w:rsidRPr="00F151DA">
              <w:rPr>
                <w:rFonts w:ascii="Calibri" w:hAnsi="Calibri"/>
                <w:color w:val="000000"/>
                <w:lang w:eastAsia="en-AU"/>
              </w:rPr>
              <w:t xml:space="preserve"> – Non</w:t>
            </w:r>
            <w:r w:rsidR="009B07E0" w:rsidRPr="00F151DA">
              <w:rPr>
                <w:rFonts w:ascii="Calibri" w:hAnsi="Calibri"/>
                <w:color w:val="000000"/>
                <w:lang w:eastAsia="en-AU"/>
              </w:rPr>
              <w:noBreakHyphen/>
              <w:t>corporate Commonwealth Entities.</w:t>
            </w:r>
          </w:p>
        </w:tc>
      </w:tr>
      <w:tr w:rsidR="00310D4A" w:rsidRPr="00D51AD0" w14:paraId="525E7256" w14:textId="77777777" w:rsidTr="003A7DA1">
        <w:trPr>
          <w:trHeight w:val="2778"/>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53F473C7" w14:textId="77777777" w:rsidR="009B07E0" w:rsidRPr="00F151DA" w:rsidRDefault="009B07E0" w:rsidP="003A7DA1">
            <w:pPr>
              <w:spacing w:after="0"/>
              <w:ind w:left="96" w:right="96"/>
              <w:rPr>
                <w:rFonts w:ascii="Calibri" w:hAnsi="Calibri"/>
                <w:b/>
                <w:bCs/>
                <w:color w:val="000000"/>
                <w:lang w:eastAsia="en-AU"/>
              </w:rPr>
            </w:pPr>
            <w:r w:rsidRPr="00F151DA">
              <w:rPr>
                <w:rFonts w:ascii="Calibri" w:hAnsi="Calibri"/>
                <w:b/>
                <w:bCs/>
                <w:color w:val="000000"/>
                <w:lang w:eastAsia="en-AU"/>
              </w:rPr>
              <w:lastRenderedPageBreak/>
              <w:t>Compensation payments</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640A8A5C"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To compensate individuals or groups for financial losses or other adverse consequences caused by the Commonwealth.</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036AC8F0"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The criteria for a particular compensation payment will be set out in either its enabling legislation or the Scheme for Compensation for Detriment caused by Defective Administration (CDDA Scheme).</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32AB46AD" w14:textId="0EB7711B"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Payments made as part of the CDDA Scheme generally fall within the ordinary and </w:t>
            </w:r>
            <w:r w:rsidR="007C3837" w:rsidRPr="00F151DA">
              <w:rPr>
                <w:rFonts w:ascii="Calibri" w:hAnsi="Calibri"/>
                <w:color w:val="000000"/>
                <w:lang w:eastAsia="en-AU"/>
              </w:rPr>
              <w:t xml:space="preserve">well-recognised </w:t>
            </w:r>
            <w:r w:rsidRPr="00F151DA">
              <w:rPr>
                <w:rFonts w:ascii="Calibri" w:hAnsi="Calibri"/>
                <w:color w:val="000000"/>
                <w:lang w:eastAsia="en-AU"/>
              </w:rPr>
              <w:t xml:space="preserve">functions of government. </w:t>
            </w:r>
          </w:p>
          <w:p w14:paraId="6FC32A1F"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Other compensation payment schemes will require their own legislation</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2D33C7D9"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Payment in accordance with the CDDA Scheme.</w:t>
            </w:r>
          </w:p>
          <w:p w14:paraId="3686888E"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Payments made under section 73 of the </w:t>
            </w:r>
            <w:r w:rsidRPr="00F151DA">
              <w:rPr>
                <w:rFonts w:ascii="Calibri" w:hAnsi="Calibri"/>
                <w:i/>
                <w:color w:val="000000"/>
                <w:lang w:eastAsia="en-AU"/>
              </w:rPr>
              <w:t>Public Service Act 1999</w:t>
            </w:r>
            <w:r w:rsidRPr="00F151DA">
              <w:rPr>
                <w:rFonts w:ascii="Calibri" w:hAnsi="Calibri"/>
                <w:color w:val="000000"/>
                <w:lang w:eastAsia="en-AU"/>
              </w:rPr>
              <w:t>.</w:t>
            </w:r>
          </w:p>
          <w:p w14:paraId="62317651"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Payments for the settlement of legal liability claims made in accordance with entity obligations under the Legal Services Directions.</w:t>
            </w: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1E94ED40" w14:textId="77777777" w:rsidR="009B07E0" w:rsidRPr="00F151DA" w:rsidRDefault="002471D3" w:rsidP="003A7DA1">
            <w:pPr>
              <w:spacing w:after="0"/>
              <w:ind w:left="96" w:right="96"/>
              <w:jc w:val="center"/>
              <w:rPr>
                <w:rFonts w:ascii="Calibri" w:hAnsi="Calibri"/>
                <w:color w:val="000000"/>
                <w:lang w:eastAsia="en-AU"/>
              </w:rPr>
            </w:pPr>
            <w:hyperlink r:id="rId43" w:history="1">
              <w:r w:rsidR="009B07E0" w:rsidRPr="00F151DA">
                <w:rPr>
                  <w:rStyle w:val="Hyperlink"/>
                  <w:rFonts w:ascii="Calibri" w:hAnsi="Calibri"/>
                  <w:lang w:eastAsia="en-AU"/>
                </w:rPr>
                <w:t>RMG 401: Request for discretionary financial assistance under the PGPA Act</w:t>
              </w:r>
            </w:hyperlink>
          </w:p>
        </w:tc>
      </w:tr>
      <w:tr w:rsidR="00310D4A" w:rsidRPr="00D51AD0" w14:paraId="106579AC" w14:textId="77777777" w:rsidTr="003A7DA1">
        <w:trPr>
          <w:trHeight w:val="2079"/>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0C552F07" w14:textId="77777777" w:rsidR="009B07E0" w:rsidRPr="00F151DA" w:rsidRDefault="009B07E0" w:rsidP="003A7DA1">
            <w:pPr>
              <w:spacing w:after="0"/>
              <w:ind w:left="96" w:right="96"/>
              <w:rPr>
                <w:rFonts w:ascii="Calibri" w:hAnsi="Calibri"/>
                <w:b/>
                <w:bCs/>
                <w:color w:val="000000"/>
                <w:lang w:eastAsia="en-AU"/>
              </w:rPr>
            </w:pPr>
            <w:r w:rsidRPr="00F151DA">
              <w:rPr>
                <w:rFonts w:ascii="Calibri" w:hAnsi="Calibri"/>
                <w:b/>
                <w:bCs/>
                <w:color w:val="000000"/>
                <w:lang w:eastAsia="en-AU"/>
              </w:rPr>
              <w:t>Benefit and entitlement payments established by legislation</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3AF9D498"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To provide a benefit to individuals or groups that meet specified criteria as established by legislation.</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1D5D95C6"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A right to a particular payment established in legislation and generally involves no obligation on the recipient to spend the proceeds, or account/ acquit the expenditure.</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2A479C81" w14:textId="08F9BC3F" w:rsidR="009B07E0" w:rsidRPr="00F151DA" w:rsidRDefault="009B07E0" w:rsidP="001136B8">
            <w:pPr>
              <w:spacing w:after="0"/>
              <w:ind w:left="96" w:right="96"/>
              <w:jc w:val="center"/>
              <w:rPr>
                <w:rFonts w:ascii="Calibri" w:hAnsi="Calibri"/>
                <w:color w:val="000000"/>
                <w:lang w:eastAsia="en-AU"/>
              </w:rPr>
            </w:pPr>
            <w:r w:rsidRPr="00F151DA">
              <w:rPr>
                <w:rFonts w:ascii="Calibri" w:hAnsi="Calibri"/>
                <w:color w:val="000000"/>
                <w:lang w:eastAsia="en-AU"/>
              </w:rPr>
              <w:t xml:space="preserve">Entitlements established by legislation must be supported by </w:t>
            </w:r>
            <w:r w:rsidR="00335427">
              <w:rPr>
                <w:rFonts w:ascii="Calibri" w:hAnsi="Calibri"/>
                <w:color w:val="000000"/>
                <w:lang w:eastAsia="en-AU"/>
              </w:rPr>
              <w:t>specific</w:t>
            </w:r>
            <w:r w:rsidRPr="00F151DA">
              <w:rPr>
                <w:rFonts w:ascii="Calibri" w:hAnsi="Calibri"/>
                <w:color w:val="000000"/>
                <w:lang w:eastAsia="en-AU"/>
              </w:rPr>
              <w:t xml:space="preserve"> legislation</w:t>
            </w:r>
            <w:r w:rsidR="00335427">
              <w:rPr>
                <w:rFonts w:ascii="Calibri" w:hAnsi="Calibri"/>
                <w:color w:val="000000"/>
                <w:lang w:eastAsia="en-AU"/>
              </w:rPr>
              <w:br/>
              <w:t>(paragraphs 2</w:t>
            </w:r>
            <w:r w:rsidR="001136B8">
              <w:rPr>
                <w:rFonts w:ascii="Calibri" w:hAnsi="Calibri"/>
                <w:color w:val="000000"/>
                <w:lang w:eastAsia="en-AU"/>
              </w:rPr>
              <w:t>9</w:t>
            </w:r>
            <w:r w:rsidR="00335427">
              <w:rPr>
                <w:rFonts w:ascii="Calibri" w:hAnsi="Calibri"/>
                <w:color w:val="000000"/>
                <w:lang w:eastAsia="en-AU"/>
              </w:rPr>
              <w:t xml:space="preserve"> – 3</w:t>
            </w:r>
            <w:r w:rsidR="001136B8">
              <w:rPr>
                <w:rFonts w:ascii="Calibri" w:hAnsi="Calibri"/>
                <w:color w:val="000000"/>
                <w:lang w:eastAsia="en-AU"/>
              </w:rPr>
              <w:t>1</w:t>
            </w:r>
            <w:r w:rsidR="00335427">
              <w:rPr>
                <w:rFonts w:ascii="Calibri" w:hAnsi="Calibri"/>
                <w:color w:val="000000"/>
                <w:lang w:eastAsia="en-AU"/>
              </w:rPr>
              <w:t xml:space="preserve"> refers)</w:t>
            </w:r>
            <w:r w:rsidRPr="00F151DA">
              <w:rPr>
                <w:rFonts w:ascii="Calibri" w:hAnsi="Calibri"/>
                <w:color w:val="000000"/>
                <w:lang w:eastAsia="en-AU"/>
              </w:rPr>
              <w:t>.</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184BD6F5"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Examples of entitlements established in legislation include pension payments made through the </w:t>
            </w:r>
            <w:r w:rsidRPr="00F151DA">
              <w:rPr>
                <w:rFonts w:ascii="Calibri" w:hAnsi="Calibri"/>
                <w:i/>
                <w:iCs/>
                <w:color w:val="000000"/>
                <w:lang w:eastAsia="en-AU"/>
              </w:rPr>
              <w:t>Social Security (Administration Act) 1999</w:t>
            </w:r>
            <w:r w:rsidRPr="00F151DA">
              <w:rPr>
                <w:rFonts w:ascii="Calibri" w:hAnsi="Calibri"/>
                <w:color w:val="000000"/>
                <w:lang w:eastAsia="en-AU"/>
              </w:rPr>
              <w:t xml:space="preserve">, payments to veterans through the </w:t>
            </w:r>
            <w:r w:rsidRPr="00F151DA">
              <w:rPr>
                <w:rFonts w:ascii="Calibri" w:hAnsi="Calibri"/>
                <w:i/>
                <w:iCs/>
                <w:color w:val="000000"/>
                <w:lang w:eastAsia="en-AU"/>
              </w:rPr>
              <w:t>Veterans' Entitlement Act 1986</w:t>
            </w:r>
            <w:r w:rsidRPr="00F151DA">
              <w:rPr>
                <w:rFonts w:ascii="Calibri" w:hAnsi="Calibri"/>
                <w:color w:val="000000"/>
                <w:lang w:eastAsia="en-AU"/>
              </w:rPr>
              <w:t>.</w:t>
            </w: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30824388" w14:textId="77777777" w:rsidR="009B07E0" w:rsidRPr="00F151DA" w:rsidRDefault="009B07E0" w:rsidP="003A7DA1">
            <w:pPr>
              <w:spacing w:after="0"/>
              <w:ind w:left="96" w:right="96"/>
              <w:jc w:val="center"/>
              <w:rPr>
                <w:rFonts w:ascii="Calibri" w:hAnsi="Calibri"/>
                <w:color w:val="000000"/>
                <w:lang w:eastAsia="en-AU"/>
              </w:rPr>
            </w:pPr>
          </w:p>
        </w:tc>
      </w:tr>
      <w:tr w:rsidR="00310D4A" w:rsidRPr="00D51AD0" w14:paraId="14D10ECD" w14:textId="77777777" w:rsidTr="003A7DA1">
        <w:trPr>
          <w:trHeight w:val="1644"/>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1FF976FB" w14:textId="77777777" w:rsidR="009B07E0" w:rsidRPr="00F151DA" w:rsidRDefault="009B07E0" w:rsidP="003A7DA1">
            <w:pPr>
              <w:spacing w:after="0"/>
              <w:ind w:left="96" w:right="96"/>
              <w:rPr>
                <w:rFonts w:ascii="Calibri" w:hAnsi="Calibri"/>
                <w:b/>
                <w:bCs/>
                <w:color w:val="000000"/>
                <w:lang w:eastAsia="en-AU"/>
              </w:rPr>
            </w:pPr>
            <w:r w:rsidRPr="00F151DA">
              <w:rPr>
                <w:rFonts w:ascii="Calibri" w:hAnsi="Calibri"/>
                <w:b/>
                <w:bCs/>
                <w:color w:val="000000"/>
                <w:lang w:eastAsia="en-AU"/>
              </w:rPr>
              <w:t>Tax concession or offset</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40563734"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Achieve policy objectives by directly reducing the amount of tax an individual or other bodies must pay.</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46908C53"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Specific categories of tax concessions and offsets are contained in taxation legislation administered by the Australian Taxation Office.</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32641C1A"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All taxation legislation administered by the Australian Taxation Office.</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4596E404"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Fuel excise rebate.</w:t>
            </w: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48B64DBC"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Australian Taxation Office.</w:t>
            </w:r>
          </w:p>
        </w:tc>
      </w:tr>
      <w:tr w:rsidR="00310D4A" w:rsidRPr="00D51AD0" w14:paraId="021D1536" w14:textId="77777777" w:rsidTr="003A7DA1">
        <w:trPr>
          <w:trHeight w:val="1531"/>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3331785C" w14:textId="77777777" w:rsidR="009B07E0" w:rsidRPr="00F151DA" w:rsidRDefault="009B07E0" w:rsidP="003A7DA1">
            <w:pPr>
              <w:spacing w:after="0"/>
              <w:ind w:left="96" w:right="96"/>
              <w:rPr>
                <w:rFonts w:ascii="Calibri" w:hAnsi="Calibri"/>
                <w:b/>
                <w:bCs/>
                <w:color w:val="000000"/>
                <w:lang w:eastAsia="en-AU"/>
              </w:rPr>
            </w:pPr>
            <w:r w:rsidRPr="00F151DA">
              <w:rPr>
                <w:rFonts w:ascii="Calibri" w:hAnsi="Calibri"/>
                <w:b/>
                <w:bCs/>
                <w:color w:val="000000"/>
                <w:lang w:eastAsia="en-AU"/>
              </w:rPr>
              <w:lastRenderedPageBreak/>
              <w:t>Investments</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0BE32982"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Earning income or a profitable return for the Commonwealth.</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24BC09AA"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An arrangement that involves the purchase of an asset by the Commonwealth for the primary purpose of earning income or a profitable return.</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5CCB8364" w14:textId="6FB777A1" w:rsidR="009B07E0" w:rsidRPr="00F151DA" w:rsidRDefault="009B07E0" w:rsidP="001136B8">
            <w:pPr>
              <w:spacing w:after="0"/>
              <w:ind w:left="96" w:right="96"/>
              <w:jc w:val="center"/>
              <w:rPr>
                <w:rFonts w:ascii="Calibri" w:hAnsi="Calibri"/>
                <w:color w:val="000000"/>
                <w:lang w:eastAsia="en-AU"/>
              </w:rPr>
            </w:pPr>
            <w:r w:rsidRPr="00F151DA">
              <w:rPr>
                <w:rFonts w:ascii="Calibri" w:hAnsi="Calibri"/>
                <w:color w:val="000000"/>
                <w:lang w:eastAsia="en-AU"/>
              </w:rPr>
              <w:t>Investments are made under the authority of specific enabling legislation or section 58 of the PGPA</w:t>
            </w:r>
            <w:r w:rsidR="001136B8">
              <w:rPr>
                <w:rFonts w:ascii="Calibri" w:hAnsi="Calibri"/>
                <w:color w:val="000000"/>
                <w:lang w:eastAsia="en-AU"/>
              </w:rPr>
              <w:t> </w:t>
            </w:r>
            <w:r w:rsidRPr="00F151DA">
              <w:rPr>
                <w:rFonts w:ascii="Calibri" w:hAnsi="Calibri"/>
                <w:color w:val="000000"/>
                <w:lang w:eastAsia="en-AU"/>
              </w:rPr>
              <w:t>Act.</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067C7BDB" w14:textId="77777777" w:rsidR="009B07E0" w:rsidRPr="00F151DA" w:rsidRDefault="009B07E0" w:rsidP="003A7DA1">
            <w:pPr>
              <w:spacing w:after="0"/>
              <w:ind w:left="96" w:right="96"/>
              <w:jc w:val="center"/>
              <w:rPr>
                <w:rFonts w:ascii="Calibri" w:hAnsi="Calibri"/>
                <w:color w:val="000000"/>
                <w:lang w:eastAsia="en-AU"/>
              </w:rPr>
            </w:pPr>
            <w:r w:rsidRPr="00F151DA">
              <w:rPr>
                <w:rFonts w:ascii="Calibri" w:hAnsi="Calibri"/>
                <w:color w:val="000000"/>
                <w:lang w:eastAsia="en-AU"/>
              </w:rPr>
              <w:t xml:space="preserve">Investments made under the </w:t>
            </w:r>
            <w:r w:rsidRPr="00F151DA">
              <w:rPr>
                <w:rFonts w:ascii="Calibri" w:hAnsi="Calibri"/>
                <w:i/>
                <w:iCs/>
                <w:color w:val="000000"/>
                <w:lang w:eastAsia="en-AU"/>
              </w:rPr>
              <w:t>Future Fund Act 1996.</w:t>
            </w: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70A842F1" w14:textId="77777777" w:rsidR="009B07E0" w:rsidRPr="00F151DA" w:rsidRDefault="002471D3" w:rsidP="003A7DA1">
            <w:pPr>
              <w:spacing w:after="0"/>
              <w:ind w:left="96" w:right="96"/>
              <w:jc w:val="center"/>
              <w:rPr>
                <w:rFonts w:ascii="Calibri" w:hAnsi="Calibri"/>
                <w:color w:val="000000"/>
                <w:lang w:eastAsia="en-AU"/>
              </w:rPr>
            </w:pPr>
            <w:hyperlink r:id="rId44" w:history="1">
              <w:r w:rsidR="009B07E0" w:rsidRPr="00F151DA">
                <w:rPr>
                  <w:rStyle w:val="Hyperlink"/>
                  <w:rFonts w:ascii="Calibri" w:hAnsi="Calibri"/>
                  <w:lang w:eastAsia="en-AU"/>
                </w:rPr>
                <w:t>RMG 301: Investment by Commonwealth entities.</w:t>
              </w:r>
            </w:hyperlink>
          </w:p>
        </w:tc>
      </w:tr>
      <w:tr w:rsidR="00310D4A" w:rsidRPr="00D51AD0" w14:paraId="50D8D0BF" w14:textId="77777777" w:rsidTr="003A7DA1">
        <w:trPr>
          <w:trHeight w:val="2268"/>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30C35D42" w14:textId="77777777" w:rsidR="009B07E0" w:rsidRPr="00335427" w:rsidRDefault="009B07E0" w:rsidP="003A7DA1">
            <w:pPr>
              <w:spacing w:after="0"/>
              <w:ind w:left="96" w:right="96"/>
              <w:rPr>
                <w:rFonts w:ascii="Calibri" w:hAnsi="Calibri"/>
                <w:b/>
                <w:bCs/>
                <w:color w:val="000000"/>
                <w:lang w:eastAsia="en-AU"/>
              </w:rPr>
            </w:pPr>
            <w:r w:rsidRPr="00335427">
              <w:rPr>
                <w:rFonts w:ascii="Calibri" w:hAnsi="Calibri"/>
                <w:b/>
                <w:bCs/>
                <w:color w:val="000000"/>
                <w:lang w:eastAsia="en-AU"/>
              </w:rPr>
              <w:t>Loans</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51DD8000" w14:textId="77777777" w:rsidR="009B07E0" w:rsidRPr="00335427" w:rsidRDefault="009B07E0" w:rsidP="003A7DA1">
            <w:pPr>
              <w:spacing w:after="0"/>
              <w:ind w:left="96" w:right="96"/>
              <w:jc w:val="center"/>
              <w:rPr>
                <w:rFonts w:ascii="Calibri" w:hAnsi="Calibri"/>
                <w:color w:val="000000"/>
                <w:lang w:eastAsia="en-AU"/>
              </w:rPr>
            </w:pPr>
            <w:r w:rsidRPr="00335427">
              <w:rPr>
                <w:rFonts w:ascii="Calibri" w:hAnsi="Calibri"/>
                <w:color w:val="000000"/>
                <w:lang w:eastAsia="en-AU"/>
              </w:rPr>
              <w:t xml:space="preserve">May be made for a variety of reasons, including policy purposes and as a means of facilitating repayments to the Commonwealth.  </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3984545F" w14:textId="77777777" w:rsidR="009B07E0" w:rsidRPr="00335427" w:rsidRDefault="009B07E0" w:rsidP="003A7DA1">
            <w:pPr>
              <w:spacing w:after="0"/>
              <w:ind w:left="96" w:right="96"/>
              <w:jc w:val="center"/>
              <w:rPr>
                <w:rFonts w:ascii="Calibri" w:hAnsi="Calibri"/>
                <w:color w:val="000000"/>
                <w:lang w:eastAsia="en-AU"/>
              </w:rPr>
            </w:pPr>
            <w:r w:rsidRPr="00335427">
              <w:rPr>
                <w:rFonts w:ascii="Calibri" w:hAnsi="Calibri"/>
                <w:color w:val="000000"/>
                <w:lang w:eastAsia="en-AU"/>
              </w:rPr>
              <w:t xml:space="preserve">An arrangement under which the Commonwealth advances a sum of relevant money to an external recipient with the recipient agreeing to repay that sum (with or without interest) on a future date or on demand.  </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24A58838" w14:textId="1DD342B0" w:rsidR="009B07E0" w:rsidRPr="00335427" w:rsidRDefault="009B07E0" w:rsidP="007C3837">
            <w:pPr>
              <w:spacing w:after="0"/>
              <w:ind w:left="96" w:right="96"/>
              <w:jc w:val="center"/>
              <w:rPr>
                <w:rFonts w:ascii="Calibri" w:hAnsi="Calibri"/>
                <w:color w:val="000000"/>
                <w:lang w:eastAsia="en-AU"/>
              </w:rPr>
            </w:pPr>
            <w:r w:rsidRPr="00335427">
              <w:rPr>
                <w:rFonts w:ascii="Calibri" w:hAnsi="Calibri"/>
                <w:color w:val="000000"/>
                <w:lang w:eastAsia="en-AU"/>
              </w:rPr>
              <w:t xml:space="preserve">Loans that are not </w:t>
            </w:r>
            <w:r w:rsidR="007C3837" w:rsidRPr="00335427">
              <w:rPr>
                <w:rFonts w:ascii="Calibri" w:hAnsi="Calibri"/>
                <w:color w:val="000000"/>
                <w:lang w:eastAsia="en-AU"/>
              </w:rPr>
              <w:t>categorised as being</w:t>
            </w:r>
            <w:r w:rsidR="00E80D91" w:rsidRPr="00335427">
              <w:rPr>
                <w:rFonts w:ascii="Calibri" w:hAnsi="Calibri"/>
                <w:color w:val="000000"/>
                <w:lang w:eastAsia="en-AU"/>
              </w:rPr>
              <w:t xml:space="preserve"> for</w:t>
            </w:r>
            <w:r w:rsidR="007C3837" w:rsidRPr="00335427">
              <w:rPr>
                <w:rFonts w:ascii="Calibri" w:hAnsi="Calibri"/>
                <w:color w:val="000000"/>
                <w:lang w:eastAsia="en-AU"/>
              </w:rPr>
              <w:t xml:space="preserve"> </w:t>
            </w:r>
            <w:r w:rsidRPr="00335427">
              <w:rPr>
                <w:rFonts w:ascii="Calibri" w:hAnsi="Calibri"/>
                <w:color w:val="000000"/>
                <w:lang w:eastAsia="en-AU"/>
              </w:rPr>
              <w:t xml:space="preserve">the ordinary </w:t>
            </w:r>
            <w:r w:rsidR="007C3837" w:rsidRPr="00335427">
              <w:rPr>
                <w:rFonts w:ascii="Calibri" w:hAnsi="Calibri"/>
                <w:color w:val="000000"/>
                <w:lang w:eastAsia="en-AU"/>
              </w:rPr>
              <w:t xml:space="preserve">and well-recognised functions </w:t>
            </w:r>
            <w:r w:rsidRPr="00335427">
              <w:rPr>
                <w:rFonts w:ascii="Calibri" w:hAnsi="Calibri"/>
                <w:color w:val="000000"/>
                <w:lang w:eastAsia="en-AU"/>
              </w:rPr>
              <w:t xml:space="preserve">of government will require either separate legislation or will need to be listed in Schedule 1AA or 1AB </w:t>
            </w:r>
            <w:r w:rsidR="007C3837" w:rsidRPr="00335427">
              <w:rPr>
                <w:rFonts w:ascii="Calibri" w:hAnsi="Calibri"/>
                <w:color w:val="000000"/>
                <w:lang w:eastAsia="en-AU"/>
              </w:rPr>
              <w:t xml:space="preserve">to </w:t>
            </w:r>
            <w:r w:rsidRPr="00335427">
              <w:rPr>
                <w:rFonts w:ascii="Calibri" w:hAnsi="Calibri"/>
                <w:color w:val="000000"/>
                <w:lang w:eastAsia="en-AU"/>
              </w:rPr>
              <w:t xml:space="preserve">the </w:t>
            </w:r>
            <w:r w:rsidRPr="00335427">
              <w:rPr>
                <w:rFonts w:ascii="Calibri" w:hAnsi="Calibri"/>
                <w:i/>
                <w:color w:val="000000"/>
                <w:lang w:eastAsia="en-AU"/>
              </w:rPr>
              <w:t>Financial Framework (Supplementary Powers) Regulations 1997</w:t>
            </w:r>
            <w:r w:rsidRPr="00335427">
              <w:rPr>
                <w:rFonts w:ascii="Calibri" w:hAnsi="Calibri"/>
                <w:color w:val="000000"/>
                <w:lang w:eastAsia="en-AU"/>
              </w:rPr>
              <w:t>.</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7D679FA9" w14:textId="77777777" w:rsidR="009B07E0" w:rsidRPr="00335427" w:rsidRDefault="009B07E0" w:rsidP="003A7DA1">
            <w:pPr>
              <w:spacing w:after="0"/>
              <w:ind w:left="96" w:right="96"/>
              <w:jc w:val="center"/>
              <w:rPr>
                <w:rFonts w:ascii="Calibri" w:hAnsi="Calibri"/>
                <w:color w:val="000000"/>
                <w:lang w:eastAsia="en-AU"/>
              </w:rPr>
            </w:pPr>
            <w:r w:rsidRPr="00335427">
              <w:rPr>
                <w:rFonts w:ascii="Calibri" w:hAnsi="Calibri"/>
                <w:color w:val="000000"/>
                <w:lang w:eastAsia="en-AU"/>
              </w:rPr>
              <w:t>Concessional loans.</w:t>
            </w: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0B651600" w14:textId="77777777" w:rsidR="009B07E0" w:rsidRPr="00335427" w:rsidRDefault="002471D3" w:rsidP="00A851A6">
            <w:pPr>
              <w:spacing w:after="0"/>
              <w:ind w:left="96" w:right="96"/>
              <w:jc w:val="center"/>
              <w:rPr>
                <w:rStyle w:val="Hyperlink"/>
                <w:rFonts w:ascii="Calibri" w:hAnsi="Calibri"/>
                <w:bCs/>
                <w:lang w:eastAsia="en-AU"/>
              </w:rPr>
            </w:pPr>
            <w:hyperlink r:id="rId45" w:anchor="rmg115" w:history="1">
              <w:r w:rsidR="009B07E0" w:rsidRPr="00335427">
                <w:rPr>
                  <w:rStyle w:val="Hyperlink"/>
                  <w:rFonts w:ascii="Calibri" w:hAnsi="Calibri"/>
                  <w:lang w:eastAsia="en-AU"/>
                </w:rPr>
                <w:t>RMG 115 - Accounting for concessional loans</w:t>
              </w:r>
            </w:hyperlink>
          </w:p>
          <w:p w14:paraId="4009BE5D" w14:textId="77777777" w:rsidR="009B07E0" w:rsidRPr="00335427" w:rsidRDefault="009B07E0" w:rsidP="003A7DA1">
            <w:pPr>
              <w:spacing w:after="0"/>
              <w:ind w:left="96" w:right="96"/>
              <w:jc w:val="center"/>
              <w:rPr>
                <w:rFonts w:ascii="Calibri" w:hAnsi="Calibri"/>
                <w:color w:val="000000"/>
                <w:lang w:eastAsia="en-AU"/>
              </w:rPr>
            </w:pPr>
          </w:p>
        </w:tc>
      </w:tr>
      <w:tr w:rsidR="00310D4A" w:rsidRPr="00D51AD0" w14:paraId="39B6B761" w14:textId="77777777" w:rsidTr="003A7DA1">
        <w:trPr>
          <w:trHeight w:val="1712"/>
        </w:trPr>
        <w:tc>
          <w:tcPr>
            <w:tcW w:w="1702" w:type="dxa"/>
            <w:tcBorders>
              <w:top w:val="single" w:sz="4" w:space="0" w:color="auto"/>
              <w:left w:val="single" w:sz="4" w:space="0" w:color="auto"/>
              <w:bottom w:val="single" w:sz="4" w:space="0" w:color="auto"/>
              <w:right w:val="single" w:sz="4" w:space="0" w:color="auto"/>
            </w:tcBorders>
            <w:shd w:val="clear" w:color="auto" w:fill="F1F8F8"/>
            <w:vAlign w:val="center"/>
          </w:tcPr>
          <w:p w14:paraId="28CD1CDC" w14:textId="77777777" w:rsidR="009B07E0" w:rsidRPr="00335427" w:rsidRDefault="009B07E0" w:rsidP="003A7DA1">
            <w:pPr>
              <w:spacing w:after="0"/>
              <w:ind w:left="96" w:right="96"/>
              <w:rPr>
                <w:rFonts w:ascii="Calibri" w:hAnsi="Calibri"/>
                <w:b/>
                <w:bCs/>
                <w:color w:val="000000"/>
                <w:lang w:eastAsia="en-AU"/>
              </w:rPr>
            </w:pPr>
            <w:r w:rsidRPr="00335427">
              <w:rPr>
                <w:rFonts w:ascii="Calibri" w:hAnsi="Calibri"/>
                <w:b/>
                <w:bCs/>
                <w:color w:val="000000"/>
                <w:lang w:eastAsia="en-AU"/>
              </w:rPr>
              <w:t>Act of grace payment</w:t>
            </w:r>
          </w:p>
        </w:tc>
        <w:tc>
          <w:tcPr>
            <w:tcW w:w="1985" w:type="dxa"/>
            <w:tcBorders>
              <w:top w:val="single" w:sz="4" w:space="0" w:color="auto"/>
              <w:left w:val="single" w:sz="4" w:space="0" w:color="auto"/>
              <w:bottom w:val="single" w:sz="4" w:space="0" w:color="auto"/>
              <w:right w:val="single" w:sz="4" w:space="0" w:color="auto"/>
            </w:tcBorders>
            <w:shd w:val="clear" w:color="auto" w:fill="F1F8F8"/>
            <w:vAlign w:val="center"/>
          </w:tcPr>
          <w:p w14:paraId="5FD8E5DB" w14:textId="77777777" w:rsidR="009B07E0" w:rsidRPr="00335427" w:rsidRDefault="009B07E0" w:rsidP="003A7DA1">
            <w:pPr>
              <w:spacing w:after="0"/>
              <w:ind w:left="96" w:right="96"/>
              <w:jc w:val="center"/>
              <w:rPr>
                <w:rFonts w:ascii="Calibri" w:hAnsi="Calibri"/>
                <w:color w:val="000000"/>
                <w:lang w:eastAsia="en-AU"/>
              </w:rPr>
            </w:pPr>
            <w:r w:rsidRPr="00335427">
              <w:rPr>
                <w:rFonts w:ascii="Calibri" w:hAnsi="Calibri"/>
                <w:color w:val="000000"/>
                <w:lang w:eastAsia="en-AU"/>
              </w:rPr>
              <w:t>To provide financial relief to individuals or other bodies where there is a moral obligation on the Commonwealth.</w:t>
            </w:r>
          </w:p>
        </w:tc>
        <w:tc>
          <w:tcPr>
            <w:tcW w:w="2551" w:type="dxa"/>
            <w:tcBorders>
              <w:top w:val="single" w:sz="4" w:space="0" w:color="auto"/>
              <w:left w:val="single" w:sz="4" w:space="0" w:color="auto"/>
              <w:bottom w:val="single" w:sz="4" w:space="0" w:color="auto"/>
              <w:right w:val="single" w:sz="4" w:space="0" w:color="auto"/>
            </w:tcBorders>
            <w:shd w:val="clear" w:color="auto" w:fill="F1F8F8"/>
            <w:vAlign w:val="center"/>
          </w:tcPr>
          <w:p w14:paraId="1EF6FCC5" w14:textId="77777777" w:rsidR="009B07E0" w:rsidRPr="00335427" w:rsidRDefault="009B07E0" w:rsidP="003A7DA1">
            <w:pPr>
              <w:spacing w:after="0"/>
              <w:ind w:left="96" w:right="96"/>
              <w:jc w:val="center"/>
              <w:rPr>
                <w:rFonts w:ascii="Calibri" w:hAnsi="Calibri"/>
                <w:color w:val="000000"/>
                <w:lang w:eastAsia="en-AU"/>
              </w:rPr>
            </w:pPr>
            <w:r w:rsidRPr="00335427">
              <w:rPr>
                <w:rFonts w:ascii="Calibri" w:hAnsi="Calibri"/>
                <w:color w:val="000000"/>
                <w:lang w:eastAsia="en-AU"/>
              </w:rPr>
              <w:t>A discretionary power of the Finance Minister or delegate to make payments on behalf of individuals or other bodies due to special circumstances.</w:t>
            </w:r>
          </w:p>
        </w:tc>
        <w:tc>
          <w:tcPr>
            <w:tcW w:w="3544" w:type="dxa"/>
            <w:tcBorders>
              <w:top w:val="single" w:sz="4" w:space="0" w:color="auto"/>
              <w:left w:val="single" w:sz="4" w:space="0" w:color="auto"/>
              <w:bottom w:val="single" w:sz="4" w:space="0" w:color="auto"/>
              <w:right w:val="single" w:sz="4" w:space="0" w:color="auto"/>
            </w:tcBorders>
            <w:shd w:val="clear" w:color="auto" w:fill="F1F8F8"/>
            <w:vAlign w:val="center"/>
          </w:tcPr>
          <w:p w14:paraId="044BCEDD" w14:textId="77777777" w:rsidR="009B07E0" w:rsidRPr="00335427" w:rsidRDefault="009B07E0" w:rsidP="003A7DA1">
            <w:pPr>
              <w:spacing w:after="0"/>
              <w:ind w:left="96" w:right="96"/>
              <w:jc w:val="center"/>
              <w:rPr>
                <w:rFonts w:ascii="Calibri" w:hAnsi="Calibri"/>
                <w:color w:val="000000"/>
                <w:lang w:eastAsia="en-AU"/>
              </w:rPr>
            </w:pPr>
            <w:r w:rsidRPr="00335427">
              <w:rPr>
                <w:rFonts w:ascii="Calibri" w:hAnsi="Calibri"/>
                <w:color w:val="000000"/>
                <w:lang w:eastAsia="en-AU"/>
              </w:rPr>
              <w:t xml:space="preserve">The power to make act of grace payments is established under </w:t>
            </w:r>
            <w:r w:rsidRPr="00335427">
              <w:rPr>
                <w:rFonts w:ascii="Calibri" w:hAnsi="Calibri"/>
                <w:color w:val="000000"/>
                <w:lang w:eastAsia="en-AU"/>
              </w:rPr>
              <w:br/>
              <w:t>section 65 of the PGPA Act.</w:t>
            </w:r>
          </w:p>
        </w:tc>
        <w:tc>
          <w:tcPr>
            <w:tcW w:w="3576" w:type="dxa"/>
            <w:tcBorders>
              <w:top w:val="single" w:sz="4" w:space="0" w:color="auto"/>
              <w:left w:val="single" w:sz="4" w:space="0" w:color="auto"/>
              <w:bottom w:val="single" w:sz="4" w:space="0" w:color="auto"/>
              <w:right w:val="single" w:sz="4" w:space="0" w:color="auto"/>
            </w:tcBorders>
            <w:shd w:val="clear" w:color="auto" w:fill="F1F8F8"/>
            <w:vAlign w:val="center"/>
          </w:tcPr>
          <w:p w14:paraId="6B4B97B9" w14:textId="77777777" w:rsidR="009B07E0" w:rsidRPr="00335427" w:rsidRDefault="009B07E0" w:rsidP="003A7DA1">
            <w:pPr>
              <w:spacing w:after="0"/>
              <w:ind w:left="96" w:right="96"/>
              <w:jc w:val="center"/>
              <w:rPr>
                <w:rFonts w:ascii="Calibri" w:hAnsi="Calibri"/>
                <w:color w:val="000000"/>
                <w:lang w:eastAsia="en-AU"/>
              </w:rPr>
            </w:pPr>
            <w:r w:rsidRPr="00335427">
              <w:rPr>
                <w:rFonts w:ascii="Calibri" w:hAnsi="Calibri"/>
                <w:color w:val="000000"/>
                <w:lang w:eastAsia="en-AU"/>
              </w:rPr>
              <w:t>Cases where legislative and administrative provisions do not take sufficient account of the special circumstances of individual cases.</w:t>
            </w:r>
          </w:p>
        </w:tc>
        <w:tc>
          <w:tcPr>
            <w:tcW w:w="2041" w:type="dxa"/>
            <w:tcBorders>
              <w:top w:val="single" w:sz="4" w:space="0" w:color="auto"/>
              <w:left w:val="single" w:sz="4" w:space="0" w:color="auto"/>
              <w:bottom w:val="single" w:sz="4" w:space="0" w:color="auto"/>
              <w:right w:val="single" w:sz="4" w:space="0" w:color="auto"/>
            </w:tcBorders>
            <w:shd w:val="clear" w:color="auto" w:fill="F1F8F8"/>
            <w:vAlign w:val="center"/>
          </w:tcPr>
          <w:p w14:paraId="4E089130" w14:textId="77777777" w:rsidR="009B07E0" w:rsidRPr="00335427" w:rsidRDefault="002471D3" w:rsidP="003A7DA1">
            <w:pPr>
              <w:spacing w:after="0"/>
              <w:ind w:left="96" w:right="96"/>
              <w:jc w:val="center"/>
              <w:rPr>
                <w:rFonts w:ascii="Calibri" w:hAnsi="Calibri"/>
                <w:color w:val="000000"/>
                <w:lang w:eastAsia="en-AU"/>
              </w:rPr>
            </w:pPr>
            <w:hyperlink r:id="rId46" w:history="1">
              <w:r w:rsidR="009B07E0" w:rsidRPr="00335427">
                <w:rPr>
                  <w:rStyle w:val="Hyperlink"/>
                  <w:rFonts w:ascii="Calibri" w:hAnsi="Calibri"/>
                  <w:lang w:eastAsia="en-AU"/>
                </w:rPr>
                <w:t>RMG 401: Request for discretionary financial assistance under the PGPA Act</w:t>
              </w:r>
            </w:hyperlink>
          </w:p>
        </w:tc>
      </w:tr>
    </w:tbl>
    <w:p w14:paraId="1124D9AF" w14:textId="77777777" w:rsidR="00F817A8" w:rsidRDefault="00F817A8" w:rsidP="00335427">
      <w:pPr>
        <w:sectPr w:rsidR="00F817A8" w:rsidSect="00C90A86">
          <w:headerReference w:type="first" r:id="rId47"/>
          <w:footerReference w:type="first" r:id="rId48"/>
          <w:pgSz w:w="16838" w:h="11906" w:orient="landscape" w:code="9"/>
          <w:pgMar w:top="1418" w:right="1559" w:bottom="1418" w:left="1418" w:header="567" w:footer="624" w:gutter="0"/>
          <w:cols w:space="708"/>
          <w:titlePg/>
          <w:docGrid w:linePitch="360"/>
        </w:sectPr>
      </w:pPr>
    </w:p>
    <w:p w14:paraId="477B393C" w14:textId="218EFFCD" w:rsidR="009B07E0" w:rsidRPr="00E033C5" w:rsidRDefault="009B07E0" w:rsidP="00CE2318">
      <w:pPr>
        <w:pStyle w:val="Heading1"/>
        <w:shd w:val="clear" w:color="auto" w:fill="BDDCDF"/>
      </w:pPr>
      <w:bookmarkStart w:id="66" w:name="_Toc39570243"/>
      <w:r w:rsidRPr="00E033C5">
        <w:lastRenderedPageBreak/>
        <w:t xml:space="preserve">Attachment </w:t>
      </w:r>
      <w:r w:rsidR="00334B15">
        <w:t>B</w:t>
      </w:r>
      <w:r w:rsidR="00334B15" w:rsidRPr="00E033C5">
        <w:t xml:space="preserve"> </w:t>
      </w:r>
      <w:r w:rsidRPr="00E033C5">
        <w:t xml:space="preserve">– Considerations </w:t>
      </w:r>
      <w:r w:rsidR="00334B15">
        <w:t xml:space="preserve">to assist </w:t>
      </w:r>
      <w:r w:rsidR="007C21F4">
        <w:t xml:space="preserve">officials </w:t>
      </w:r>
      <w:r w:rsidR="00334B15">
        <w:t xml:space="preserve">in </w:t>
      </w:r>
      <w:r w:rsidRPr="00E033C5">
        <w:t>determining financial arrangements</w:t>
      </w:r>
      <w:bookmarkEnd w:id="66"/>
    </w:p>
    <w:p w14:paraId="5D4F8FDB" w14:textId="7816D75F" w:rsidR="009B07E0" w:rsidRPr="00E033C5" w:rsidRDefault="000B0951" w:rsidP="00C533B3">
      <w:pPr>
        <w:jc w:val="both"/>
      </w:pPr>
      <w:r>
        <w:t>The dot points below</w:t>
      </w:r>
      <w:r w:rsidR="009B07E0" w:rsidRPr="00E033C5">
        <w:t xml:space="preserve"> may assist officials as they consider whether a financial arrangement would be more likely to be considered a procurement, grant</w:t>
      </w:r>
      <w:r w:rsidR="00C52765">
        <w:t>,</w:t>
      </w:r>
      <w:r w:rsidR="009B07E0" w:rsidRPr="00E033C5">
        <w:t xml:space="preserve"> or ‘other’</w:t>
      </w:r>
      <w:r w:rsidR="005612C3">
        <w:t xml:space="preserve"> noting that a number of questions may need to be answered before the position becomes clear</w:t>
      </w:r>
      <w:r w:rsidR="009B07E0" w:rsidRPr="00E033C5">
        <w:t xml:space="preserve">.  </w:t>
      </w:r>
      <w:r>
        <w:t>These points are</w:t>
      </w:r>
      <w:r w:rsidR="009B07E0" w:rsidRPr="00E033C5">
        <w:t xml:space="preserve"> not definitive </w:t>
      </w:r>
      <w:r w:rsidR="00A110FD">
        <w:t xml:space="preserve">or exhaustive </w:t>
      </w:r>
      <w:r w:rsidR="009B07E0" w:rsidRPr="00E033C5">
        <w:t>and officials should consider all aspects to determine which framework applies.</w:t>
      </w:r>
      <w:r>
        <w:t xml:space="preserve">  </w:t>
      </w:r>
    </w:p>
    <w:p w14:paraId="4EDBAC8A" w14:textId="1F51511F" w:rsidR="000B0951" w:rsidRDefault="00C76A36" w:rsidP="00C90A86">
      <w:pPr>
        <w:tabs>
          <w:tab w:val="left" w:pos="1560"/>
        </w:tabs>
        <w:spacing w:after="120"/>
      </w:pPr>
      <w:r>
        <w:t xml:space="preserve">The financial arrangement </w:t>
      </w:r>
      <w:r w:rsidR="00C52765">
        <w:t>is</w:t>
      </w:r>
      <w:r>
        <w:t xml:space="preserve"> more </w:t>
      </w:r>
      <w:r w:rsidR="000B0951">
        <w:t xml:space="preserve">likely </w:t>
      </w:r>
      <w:r w:rsidR="00C52765">
        <w:t xml:space="preserve">to </w:t>
      </w:r>
      <w:r w:rsidR="000B0951">
        <w:t xml:space="preserve">be a </w:t>
      </w:r>
      <w:r w:rsidR="000B0951">
        <w:rPr>
          <w:b/>
          <w:i/>
        </w:rPr>
        <w:t xml:space="preserve">GRANT </w:t>
      </w:r>
      <w:r>
        <w:t>if</w:t>
      </w:r>
      <w:r w:rsidR="00CD152C">
        <w:t>:</w:t>
      </w:r>
    </w:p>
    <w:p w14:paraId="305D38F3" w14:textId="4D9D12B1" w:rsidR="000B0951" w:rsidRPr="00A110FD" w:rsidRDefault="00C76A36" w:rsidP="00A110FD">
      <w:pPr>
        <w:pStyle w:val="ListParagraph"/>
        <w:numPr>
          <w:ilvl w:val="0"/>
          <w:numId w:val="36"/>
        </w:numPr>
        <w:tabs>
          <w:tab w:val="left" w:pos="1560"/>
        </w:tabs>
        <w:spacing w:after="120"/>
        <w:rPr>
          <w:rFonts w:cs="Arial"/>
        </w:rPr>
      </w:pPr>
      <w:r w:rsidRPr="00A110FD">
        <w:rPr>
          <w:rFonts w:ascii="Arial" w:hAnsi="Arial" w:cs="Arial"/>
        </w:rPr>
        <w:t>T</w:t>
      </w:r>
      <w:r w:rsidR="000B0951" w:rsidRPr="00A110FD">
        <w:rPr>
          <w:rFonts w:ascii="Arial" w:hAnsi="Arial" w:cs="Arial"/>
        </w:rPr>
        <w:t xml:space="preserve">he goods and services are described according to inputs/ contributions, outputs and/ or outcomes, </w:t>
      </w:r>
      <w:r w:rsidRPr="00A110FD">
        <w:rPr>
          <w:rFonts w:ascii="Arial" w:hAnsi="Arial" w:cs="Arial"/>
        </w:rPr>
        <w:t>for example</w:t>
      </w:r>
      <w:r w:rsidR="000B0951" w:rsidRPr="00A110FD">
        <w:rPr>
          <w:rFonts w:ascii="Arial" w:hAnsi="Arial" w:cs="Arial"/>
        </w:rPr>
        <w:t>:</w:t>
      </w:r>
    </w:p>
    <w:p w14:paraId="250FA521" w14:textId="4A78D16E" w:rsidR="000B0951" w:rsidRPr="00A110FD" w:rsidRDefault="000B0951" w:rsidP="00FF1B9A">
      <w:pPr>
        <w:pStyle w:val="ListParagraph"/>
        <w:numPr>
          <w:ilvl w:val="1"/>
          <w:numId w:val="36"/>
        </w:numPr>
        <w:tabs>
          <w:tab w:val="left" w:pos="1560"/>
        </w:tabs>
        <w:spacing w:before="0"/>
        <w:rPr>
          <w:rFonts w:cs="Arial"/>
        </w:rPr>
      </w:pPr>
      <w:r w:rsidRPr="00A110FD">
        <w:rPr>
          <w:rFonts w:ascii="Arial" w:hAnsi="Arial" w:cs="Arial"/>
        </w:rPr>
        <w:t xml:space="preserve">improved health outcomes amongst </w:t>
      </w:r>
      <w:r w:rsidR="00C76A36" w:rsidRPr="00A110FD">
        <w:rPr>
          <w:rFonts w:ascii="Arial" w:hAnsi="Arial" w:cs="Arial"/>
        </w:rPr>
        <w:t>a target population;</w:t>
      </w:r>
    </w:p>
    <w:p w14:paraId="34D10EC1" w14:textId="73A163AB" w:rsidR="000B0951" w:rsidRPr="00A110FD" w:rsidRDefault="000B0951" w:rsidP="00FF1B9A">
      <w:pPr>
        <w:pStyle w:val="ListParagraph"/>
        <w:numPr>
          <w:ilvl w:val="1"/>
          <w:numId w:val="36"/>
        </w:numPr>
        <w:tabs>
          <w:tab w:val="left" w:pos="1560"/>
        </w:tabs>
        <w:spacing w:before="0"/>
        <w:rPr>
          <w:rFonts w:cs="Arial"/>
        </w:rPr>
      </w:pPr>
      <w:r w:rsidRPr="00A110FD">
        <w:rPr>
          <w:rFonts w:ascii="Arial" w:hAnsi="Arial" w:cs="Arial"/>
        </w:rPr>
        <w:t>a reduction in homelessness</w:t>
      </w:r>
      <w:r w:rsidR="00C76A36" w:rsidRPr="00A110FD">
        <w:rPr>
          <w:rFonts w:ascii="Arial" w:hAnsi="Arial" w:cs="Arial"/>
        </w:rPr>
        <w:t>;</w:t>
      </w:r>
    </w:p>
    <w:p w14:paraId="4A68D3A3" w14:textId="5BBD602F" w:rsidR="00C76A36" w:rsidRPr="00A110FD" w:rsidRDefault="00C76A36" w:rsidP="00FF1B9A">
      <w:pPr>
        <w:pStyle w:val="ListParagraph"/>
        <w:numPr>
          <w:ilvl w:val="1"/>
          <w:numId w:val="36"/>
        </w:numPr>
        <w:tabs>
          <w:tab w:val="left" w:pos="1560"/>
        </w:tabs>
        <w:spacing w:before="0"/>
        <w:rPr>
          <w:rFonts w:cs="Arial"/>
        </w:rPr>
      </w:pPr>
      <w:r w:rsidRPr="00A110FD">
        <w:rPr>
          <w:rFonts w:ascii="Arial" w:hAnsi="Arial" w:cs="Arial"/>
        </w:rPr>
        <w:t>improved employment outcomes for a target group; or</w:t>
      </w:r>
    </w:p>
    <w:p w14:paraId="4102C94D" w14:textId="281FC9B7" w:rsidR="00C76A36" w:rsidRPr="00A110FD" w:rsidRDefault="00C76A36" w:rsidP="00FF1B9A">
      <w:pPr>
        <w:pStyle w:val="ListParagraph"/>
        <w:numPr>
          <w:ilvl w:val="1"/>
          <w:numId w:val="36"/>
        </w:numPr>
        <w:tabs>
          <w:tab w:val="left" w:pos="1560"/>
        </w:tabs>
        <w:spacing w:before="0" w:after="120"/>
        <w:rPr>
          <w:rFonts w:cs="Arial"/>
        </w:rPr>
      </w:pPr>
      <w:r w:rsidRPr="00A110FD">
        <w:rPr>
          <w:rFonts w:ascii="Arial" w:hAnsi="Arial" w:cs="Arial"/>
        </w:rPr>
        <w:t>a contribution to assist a business sector to promote products overseas.</w:t>
      </w:r>
    </w:p>
    <w:p w14:paraId="03863887" w14:textId="7E96A8C7" w:rsidR="00C76A36" w:rsidRPr="00A110FD" w:rsidRDefault="00C76A36" w:rsidP="00A110FD">
      <w:pPr>
        <w:pStyle w:val="ListParagraph"/>
        <w:numPr>
          <w:ilvl w:val="0"/>
          <w:numId w:val="36"/>
        </w:numPr>
        <w:tabs>
          <w:tab w:val="left" w:pos="1560"/>
        </w:tabs>
        <w:spacing w:after="120"/>
        <w:rPr>
          <w:rFonts w:cs="Arial"/>
        </w:rPr>
      </w:pPr>
      <w:r w:rsidRPr="00A110FD">
        <w:rPr>
          <w:rFonts w:ascii="Arial" w:hAnsi="Arial" w:cs="Arial"/>
        </w:rPr>
        <w:t xml:space="preserve">Part of the services would be provided without a contribution from the </w:t>
      </w:r>
      <w:r w:rsidR="00A110FD">
        <w:rPr>
          <w:rFonts w:ascii="Arial" w:hAnsi="Arial" w:cs="Arial"/>
        </w:rPr>
        <w:t>Government</w:t>
      </w:r>
      <w:r w:rsidR="00FA2F2A">
        <w:rPr>
          <w:rFonts w:ascii="Arial" w:hAnsi="Arial" w:cs="Arial"/>
        </w:rPr>
        <w:t>.</w:t>
      </w:r>
    </w:p>
    <w:p w14:paraId="3CEF485E" w14:textId="16CC000D" w:rsidR="00C76A36" w:rsidRPr="00A110FD" w:rsidRDefault="00C76A36" w:rsidP="00A110FD">
      <w:pPr>
        <w:pStyle w:val="ListParagraph"/>
        <w:numPr>
          <w:ilvl w:val="0"/>
          <w:numId w:val="36"/>
        </w:numPr>
        <w:tabs>
          <w:tab w:val="left" w:pos="1560"/>
        </w:tabs>
        <w:spacing w:after="120"/>
        <w:rPr>
          <w:rFonts w:cs="Arial"/>
        </w:rPr>
      </w:pPr>
      <w:r w:rsidRPr="00A110FD">
        <w:rPr>
          <w:rFonts w:ascii="Arial" w:hAnsi="Arial" w:cs="Arial"/>
        </w:rPr>
        <w:t xml:space="preserve">The financial assistance </w:t>
      </w:r>
      <w:r w:rsidR="00CD152C">
        <w:rPr>
          <w:rFonts w:ascii="Arial" w:hAnsi="Arial" w:cs="Arial"/>
        </w:rPr>
        <w:t xml:space="preserve">is provided </w:t>
      </w:r>
      <w:r w:rsidRPr="00A110FD">
        <w:rPr>
          <w:rFonts w:ascii="Arial" w:hAnsi="Arial" w:cs="Arial"/>
        </w:rPr>
        <w:t>through a co-contribution</w:t>
      </w:r>
      <w:r w:rsidR="00FA2F2A">
        <w:rPr>
          <w:rFonts w:ascii="Arial" w:hAnsi="Arial" w:cs="Arial"/>
        </w:rPr>
        <w:t>.</w:t>
      </w:r>
    </w:p>
    <w:p w14:paraId="72C84AD4" w14:textId="42BE38B4" w:rsidR="00C76A36" w:rsidRPr="00A110FD" w:rsidRDefault="007755EB" w:rsidP="00A110FD">
      <w:pPr>
        <w:pStyle w:val="ListParagraph"/>
        <w:numPr>
          <w:ilvl w:val="0"/>
          <w:numId w:val="36"/>
        </w:numPr>
        <w:tabs>
          <w:tab w:val="left" w:pos="1560"/>
        </w:tabs>
        <w:spacing w:after="120"/>
        <w:rPr>
          <w:rFonts w:cs="Arial"/>
        </w:rPr>
      </w:pPr>
      <w:r w:rsidRPr="00A110FD">
        <w:rPr>
          <w:rFonts w:ascii="Arial" w:hAnsi="Arial" w:cs="Arial"/>
        </w:rPr>
        <w:t>The financial</w:t>
      </w:r>
      <w:r w:rsidR="00C76A36" w:rsidRPr="00A110FD">
        <w:rPr>
          <w:rFonts w:ascii="Arial" w:hAnsi="Arial" w:cs="Arial"/>
        </w:rPr>
        <w:t xml:space="preserve"> assistance </w:t>
      </w:r>
      <w:r w:rsidR="00CD152C">
        <w:rPr>
          <w:rFonts w:ascii="Arial" w:hAnsi="Arial" w:cs="Arial"/>
        </w:rPr>
        <w:t xml:space="preserve">is </w:t>
      </w:r>
      <w:r w:rsidR="00C76A36" w:rsidRPr="00A110FD">
        <w:rPr>
          <w:rFonts w:ascii="Arial" w:hAnsi="Arial" w:cs="Arial"/>
        </w:rPr>
        <w:t>to build capacity</w:t>
      </w:r>
      <w:r w:rsidR="00FA2F2A">
        <w:rPr>
          <w:rFonts w:ascii="Arial" w:hAnsi="Arial" w:cs="Arial"/>
        </w:rPr>
        <w:t>.</w:t>
      </w:r>
    </w:p>
    <w:p w14:paraId="3B96043C" w14:textId="31607E6F" w:rsidR="00C76A36" w:rsidRPr="00A110FD" w:rsidRDefault="00C76A36" w:rsidP="00A110FD">
      <w:pPr>
        <w:pStyle w:val="ListParagraph"/>
        <w:numPr>
          <w:ilvl w:val="0"/>
          <w:numId w:val="36"/>
        </w:numPr>
        <w:tabs>
          <w:tab w:val="left" w:pos="1560"/>
        </w:tabs>
        <w:spacing w:after="120"/>
        <w:rPr>
          <w:rFonts w:cs="Arial"/>
        </w:rPr>
      </w:pPr>
      <w:r w:rsidRPr="00A110FD">
        <w:rPr>
          <w:rFonts w:ascii="Arial" w:hAnsi="Arial" w:cs="Arial"/>
        </w:rPr>
        <w:t xml:space="preserve">The financial assistance </w:t>
      </w:r>
      <w:r w:rsidR="00CD152C">
        <w:rPr>
          <w:rFonts w:ascii="Arial" w:hAnsi="Arial" w:cs="Arial"/>
        </w:rPr>
        <w:t xml:space="preserve">is </w:t>
      </w:r>
      <w:r w:rsidRPr="00A110FD">
        <w:rPr>
          <w:rFonts w:ascii="Arial" w:hAnsi="Arial" w:cs="Arial"/>
        </w:rPr>
        <w:t>to help an organisation to purchase an asset for its own control and use</w:t>
      </w:r>
      <w:r w:rsidR="00FA2F2A">
        <w:rPr>
          <w:rFonts w:ascii="Arial" w:hAnsi="Arial" w:cs="Arial"/>
        </w:rPr>
        <w:t>.</w:t>
      </w:r>
    </w:p>
    <w:p w14:paraId="7CD4604F" w14:textId="34AB3208" w:rsidR="00C76A36" w:rsidRPr="00A110FD" w:rsidRDefault="007755EB" w:rsidP="00A110FD">
      <w:pPr>
        <w:pStyle w:val="ListParagraph"/>
        <w:numPr>
          <w:ilvl w:val="0"/>
          <w:numId w:val="36"/>
        </w:numPr>
        <w:tabs>
          <w:tab w:val="left" w:pos="1560"/>
        </w:tabs>
        <w:spacing w:after="120"/>
        <w:rPr>
          <w:rFonts w:cs="Arial"/>
        </w:rPr>
      </w:pPr>
      <w:r w:rsidRPr="00A110FD">
        <w:rPr>
          <w:rFonts w:ascii="Arial" w:hAnsi="Arial" w:cs="Arial"/>
        </w:rPr>
        <w:t>The financial</w:t>
      </w:r>
      <w:r w:rsidR="00C76A36" w:rsidRPr="00A110FD">
        <w:rPr>
          <w:rFonts w:ascii="Arial" w:hAnsi="Arial" w:cs="Arial"/>
        </w:rPr>
        <w:t xml:space="preserve"> assistance </w:t>
      </w:r>
      <w:r w:rsidR="00CD152C">
        <w:rPr>
          <w:rFonts w:ascii="Arial" w:hAnsi="Arial" w:cs="Arial"/>
        </w:rPr>
        <w:t xml:space="preserve">is for the purposes of </w:t>
      </w:r>
      <w:r w:rsidR="00C76A36" w:rsidRPr="00A110FD">
        <w:rPr>
          <w:rFonts w:ascii="Arial" w:hAnsi="Arial" w:cs="Arial"/>
        </w:rPr>
        <w:t>conduct</w:t>
      </w:r>
      <w:r w:rsidR="00CD152C">
        <w:rPr>
          <w:rFonts w:ascii="Arial" w:hAnsi="Arial" w:cs="Arial"/>
        </w:rPr>
        <w:t>ing</w:t>
      </w:r>
      <w:r w:rsidR="00C76A36" w:rsidRPr="00A110FD">
        <w:rPr>
          <w:rFonts w:ascii="Arial" w:hAnsi="Arial" w:cs="Arial"/>
        </w:rPr>
        <w:t xml:space="preserve"> a pilot</w:t>
      </w:r>
      <w:r w:rsidR="00FA2F2A">
        <w:rPr>
          <w:rFonts w:ascii="Arial" w:hAnsi="Arial" w:cs="Arial"/>
        </w:rPr>
        <w:t>.</w:t>
      </w:r>
    </w:p>
    <w:p w14:paraId="2738BDDC" w14:textId="6228F83D" w:rsidR="00C76A36" w:rsidRPr="00A110FD" w:rsidRDefault="007755EB" w:rsidP="00A110FD">
      <w:pPr>
        <w:pStyle w:val="ListParagraph"/>
        <w:numPr>
          <w:ilvl w:val="0"/>
          <w:numId w:val="36"/>
        </w:numPr>
        <w:tabs>
          <w:tab w:val="left" w:pos="1560"/>
        </w:tabs>
        <w:spacing w:after="120"/>
        <w:rPr>
          <w:rFonts w:cs="Arial"/>
        </w:rPr>
      </w:pPr>
      <w:r w:rsidRPr="00A110FD">
        <w:rPr>
          <w:rFonts w:ascii="Arial" w:hAnsi="Arial" w:cs="Arial"/>
        </w:rPr>
        <w:t>The financial</w:t>
      </w:r>
      <w:r w:rsidR="00C76A36" w:rsidRPr="00A110FD">
        <w:rPr>
          <w:rFonts w:ascii="Arial" w:hAnsi="Arial" w:cs="Arial"/>
        </w:rPr>
        <w:t xml:space="preserve"> assistance </w:t>
      </w:r>
      <w:r w:rsidR="00CD152C">
        <w:rPr>
          <w:rFonts w:ascii="Arial" w:hAnsi="Arial" w:cs="Arial"/>
        </w:rPr>
        <w:t xml:space="preserve">provided is for </w:t>
      </w:r>
      <w:r w:rsidR="00155ABA">
        <w:rPr>
          <w:rFonts w:ascii="Arial" w:hAnsi="Arial" w:cs="Arial"/>
        </w:rPr>
        <w:t xml:space="preserve">the </w:t>
      </w:r>
      <w:r w:rsidR="00CD152C">
        <w:rPr>
          <w:rFonts w:ascii="Arial" w:hAnsi="Arial" w:cs="Arial"/>
        </w:rPr>
        <w:t xml:space="preserve">purposes of facilitating </w:t>
      </w:r>
      <w:r w:rsidR="00C76A36" w:rsidRPr="00A110FD">
        <w:rPr>
          <w:rFonts w:ascii="Arial" w:hAnsi="Arial" w:cs="Arial"/>
        </w:rPr>
        <w:t>research, innovation or entrepreneurship</w:t>
      </w:r>
      <w:r w:rsidR="00FA2F2A">
        <w:rPr>
          <w:rFonts w:ascii="Arial" w:hAnsi="Arial" w:cs="Arial"/>
        </w:rPr>
        <w:t>.</w:t>
      </w:r>
    </w:p>
    <w:p w14:paraId="064B7036" w14:textId="0C41BA33" w:rsidR="00C1432F" w:rsidRPr="00A110FD" w:rsidRDefault="00C1432F" w:rsidP="00A110FD">
      <w:pPr>
        <w:pStyle w:val="ListParagraph"/>
        <w:numPr>
          <w:ilvl w:val="0"/>
          <w:numId w:val="36"/>
        </w:numPr>
        <w:tabs>
          <w:tab w:val="left" w:pos="1560"/>
        </w:tabs>
        <w:spacing w:after="120"/>
        <w:rPr>
          <w:rFonts w:cs="Arial"/>
        </w:rPr>
      </w:pPr>
      <w:r w:rsidRPr="00A110FD">
        <w:rPr>
          <w:rFonts w:ascii="Arial" w:hAnsi="Arial" w:cs="Arial"/>
        </w:rPr>
        <w:t xml:space="preserve">The </w:t>
      </w:r>
      <w:r w:rsidR="00F0766E">
        <w:rPr>
          <w:rFonts w:ascii="Arial" w:hAnsi="Arial" w:cs="Arial"/>
        </w:rPr>
        <w:t>financial assistance is provided as</w:t>
      </w:r>
      <w:r w:rsidRPr="00A110FD">
        <w:rPr>
          <w:rFonts w:ascii="Arial" w:hAnsi="Arial" w:cs="Arial"/>
        </w:rPr>
        <w:t xml:space="preserve"> a payment without any conditions,</w:t>
      </w:r>
      <w:r w:rsidR="00CD152C">
        <w:rPr>
          <w:rFonts w:ascii="Arial" w:hAnsi="Arial" w:cs="Arial"/>
        </w:rPr>
        <w:t xml:space="preserve"> which is</w:t>
      </w:r>
      <w:r w:rsidRPr="00A110FD">
        <w:rPr>
          <w:rFonts w:ascii="Arial" w:hAnsi="Arial" w:cs="Arial"/>
        </w:rPr>
        <w:t xml:space="preserve"> not covered by specific legislation</w:t>
      </w:r>
      <w:r w:rsidR="00C71263">
        <w:rPr>
          <w:rFonts w:ascii="Arial" w:hAnsi="Arial" w:cs="Arial"/>
        </w:rPr>
        <w:t>.</w:t>
      </w:r>
      <w:r w:rsidRPr="00A110FD">
        <w:rPr>
          <w:rFonts w:ascii="Arial" w:hAnsi="Arial" w:cs="Arial"/>
        </w:rPr>
        <w:t xml:space="preserve"> </w:t>
      </w:r>
      <w:r w:rsidR="00C71263">
        <w:rPr>
          <w:rFonts w:ascii="Arial" w:hAnsi="Arial" w:cs="Arial"/>
        </w:rPr>
        <w:t>F</w:t>
      </w:r>
      <w:r w:rsidRPr="00A110FD">
        <w:rPr>
          <w:rFonts w:ascii="Arial" w:hAnsi="Arial" w:cs="Arial"/>
        </w:rPr>
        <w:t>or example, a cash gift or prize.</w:t>
      </w:r>
    </w:p>
    <w:p w14:paraId="1881E8B1" w14:textId="63A46C11" w:rsidR="00C1432F" w:rsidRPr="00A110FD" w:rsidRDefault="0083402F" w:rsidP="00A110FD">
      <w:pPr>
        <w:pStyle w:val="ListParagraph"/>
        <w:numPr>
          <w:ilvl w:val="0"/>
          <w:numId w:val="36"/>
        </w:numPr>
        <w:tabs>
          <w:tab w:val="left" w:pos="1560"/>
        </w:tabs>
        <w:spacing w:after="120"/>
        <w:rPr>
          <w:rFonts w:cs="Arial"/>
        </w:rPr>
      </w:pPr>
      <w:r w:rsidRPr="00A110FD">
        <w:rPr>
          <w:rFonts w:ascii="Arial" w:hAnsi="Arial" w:cs="Arial"/>
        </w:rPr>
        <w:t xml:space="preserve">The financial assistance </w:t>
      </w:r>
      <w:r w:rsidR="00F0766E">
        <w:rPr>
          <w:rFonts w:ascii="Arial" w:hAnsi="Arial" w:cs="Arial"/>
        </w:rPr>
        <w:t xml:space="preserve">is provided to assist </w:t>
      </w:r>
      <w:r w:rsidRPr="00A110FD">
        <w:rPr>
          <w:rFonts w:ascii="Arial" w:hAnsi="Arial" w:cs="Arial"/>
        </w:rPr>
        <w:t>following a disaster, crisis or other significant event, which is not covered by specific legislation.</w:t>
      </w:r>
    </w:p>
    <w:p w14:paraId="2B6E70B0" w14:textId="45BA5B1B" w:rsidR="00F817A8" w:rsidRDefault="00C76A36" w:rsidP="00C90A86">
      <w:pPr>
        <w:tabs>
          <w:tab w:val="left" w:pos="1560"/>
        </w:tabs>
        <w:spacing w:after="120"/>
      </w:pPr>
      <w:r>
        <w:t>The financial arrangement</w:t>
      </w:r>
      <w:r w:rsidR="00C52765">
        <w:t xml:space="preserve"> is</w:t>
      </w:r>
      <w:r>
        <w:t xml:space="preserve"> </w:t>
      </w:r>
      <w:r w:rsidR="00F817A8">
        <w:t>more likely</w:t>
      </w:r>
      <w:r w:rsidR="00C52765">
        <w:t xml:space="preserve"> to </w:t>
      </w:r>
      <w:r w:rsidR="00F817A8">
        <w:t xml:space="preserve">be a </w:t>
      </w:r>
      <w:r w:rsidR="00F817A8">
        <w:rPr>
          <w:b/>
          <w:i/>
        </w:rPr>
        <w:t>PROCUREMENT</w:t>
      </w:r>
      <w:r w:rsidR="00F817A8">
        <w:t xml:space="preserve"> if</w:t>
      </w:r>
      <w:r w:rsidR="00155ABA">
        <w:t xml:space="preserve"> the</w:t>
      </w:r>
      <w:r w:rsidR="00F817A8">
        <w:t>:</w:t>
      </w:r>
    </w:p>
    <w:p w14:paraId="33BF2483" w14:textId="665FAC2B" w:rsidR="00D36245" w:rsidRPr="00A110FD" w:rsidRDefault="00D36245" w:rsidP="00D36245">
      <w:pPr>
        <w:pStyle w:val="ListParagraph"/>
        <w:numPr>
          <w:ilvl w:val="0"/>
          <w:numId w:val="36"/>
        </w:numPr>
        <w:tabs>
          <w:tab w:val="left" w:pos="1560"/>
        </w:tabs>
        <w:spacing w:after="120"/>
        <w:rPr>
          <w:rFonts w:cs="Arial"/>
        </w:rPr>
      </w:pPr>
      <w:r>
        <w:rPr>
          <w:rFonts w:ascii="Arial" w:hAnsi="Arial" w:cs="Arial"/>
        </w:rPr>
        <w:t>Government</w:t>
      </w:r>
      <w:r w:rsidRPr="00FA2F2A">
        <w:rPr>
          <w:rFonts w:ascii="Arial" w:hAnsi="Arial" w:cs="Arial"/>
        </w:rPr>
        <w:t xml:space="preserve"> is acquiring goods or services for its own use</w:t>
      </w:r>
      <w:r>
        <w:rPr>
          <w:rFonts w:ascii="Arial" w:hAnsi="Arial" w:cs="Arial"/>
        </w:rPr>
        <w:t>.</w:t>
      </w:r>
    </w:p>
    <w:p w14:paraId="46E88E88" w14:textId="24A7403B" w:rsidR="00D36245" w:rsidRPr="005F0AEE" w:rsidRDefault="007755EB" w:rsidP="00D36245">
      <w:pPr>
        <w:pStyle w:val="ListParagraph"/>
        <w:numPr>
          <w:ilvl w:val="0"/>
          <w:numId w:val="36"/>
        </w:numPr>
        <w:tabs>
          <w:tab w:val="left" w:pos="1560"/>
        </w:tabs>
        <w:spacing w:after="120"/>
        <w:rPr>
          <w:rFonts w:cs="Arial"/>
        </w:rPr>
      </w:pPr>
      <w:r>
        <w:rPr>
          <w:rFonts w:ascii="Arial" w:hAnsi="Arial" w:cs="Arial"/>
        </w:rPr>
        <w:t xml:space="preserve">Government </w:t>
      </w:r>
      <w:r w:rsidRPr="00FA2F2A">
        <w:rPr>
          <w:rFonts w:ascii="Arial" w:hAnsi="Arial" w:cs="Arial"/>
        </w:rPr>
        <w:t>is</w:t>
      </w:r>
      <w:r w:rsidR="00D36245" w:rsidRPr="00FA2F2A">
        <w:rPr>
          <w:rFonts w:ascii="Arial" w:hAnsi="Arial" w:cs="Arial"/>
        </w:rPr>
        <w:t xml:space="preserve"> acquiring the goods or services for use by </w:t>
      </w:r>
      <w:r w:rsidR="00D36245">
        <w:rPr>
          <w:rFonts w:ascii="Arial" w:hAnsi="Arial" w:cs="Arial"/>
        </w:rPr>
        <w:t>another relevant entity or a</w:t>
      </w:r>
      <w:r w:rsidR="00D36245" w:rsidRPr="00FA2F2A">
        <w:rPr>
          <w:rFonts w:ascii="Arial" w:hAnsi="Arial" w:cs="Arial"/>
        </w:rPr>
        <w:t xml:space="preserve"> third party</w:t>
      </w:r>
      <w:r w:rsidR="00D36245">
        <w:rPr>
          <w:rFonts w:ascii="Arial" w:hAnsi="Arial" w:cs="Arial"/>
        </w:rPr>
        <w:t>.</w:t>
      </w:r>
    </w:p>
    <w:p w14:paraId="3F57E822" w14:textId="30EA79B9" w:rsidR="005F0AEE" w:rsidRPr="002471D3" w:rsidRDefault="005F0AEE" w:rsidP="00D36245">
      <w:pPr>
        <w:pStyle w:val="ListParagraph"/>
        <w:numPr>
          <w:ilvl w:val="0"/>
          <w:numId w:val="36"/>
        </w:numPr>
        <w:tabs>
          <w:tab w:val="left" w:pos="1560"/>
        </w:tabs>
        <w:spacing w:after="120"/>
        <w:rPr>
          <w:rFonts w:cs="Arial"/>
        </w:rPr>
      </w:pPr>
      <w:r w:rsidRPr="002471D3">
        <w:rPr>
          <w:rFonts w:ascii="Arial" w:hAnsi="Arial" w:cs="Arial"/>
        </w:rPr>
        <w:t>Commonwealth entity has undertaken a competitive process, in accordance with the CPRs</w:t>
      </w:r>
      <w:r w:rsidR="004C5BB4" w:rsidRPr="002471D3">
        <w:rPr>
          <w:rFonts w:ascii="Arial" w:hAnsi="Arial" w:cs="Arial"/>
        </w:rPr>
        <w:t>, that results in the awarding of a contract to a Commonwealth entity.</w:t>
      </w:r>
    </w:p>
    <w:p w14:paraId="3216698E" w14:textId="0DBE776B" w:rsidR="00D36245" w:rsidRPr="00A110FD" w:rsidRDefault="00D36245" w:rsidP="00D36245">
      <w:pPr>
        <w:pStyle w:val="ListParagraph"/>
        <w:numPr>
          <w:ilvl w:val="0"/>
          <w:numId w:val="36"/>
        </w:numPr>
        <w:tabs>
          <w:tab w:val="left" w:pos="1560"/>
        </w:tabs>
        <w:spacing w:after="120"/>
        <w:rPr>
          <w:rFonts w:cs="Arial"/>
        </w:rPr>
      </w:pPr>
      <w:r>
        <w:rPr>
          <w:rFonts w:ascii="Arial" w:hAnsi="Arial" w:cs="Arial"/>
        </w:rPr>
        <w:t>Commonwealth needs ownership, control of, or title to the equipment, property, infrastructure, IP or other asset</w:t>
      </w:r>
      <w:r w:rsidRPr="00FA2F2A">
        <w:rPr>
          <w:rFonts w:ascii="Arial" w:hAnsi="Arial" w:cs="Arial"/>
        </w:rPr>
        <w:t>.</w:t>
      </w:r>
    </w:p>
    <w:p w14:paraId="20DC3651" w14:textId="34147E34" w:rsidR="00D36245" w:rsidRPr="00FA2F2A" w:rsidRDefault="00D36245" w:rsidP="00D36245">
      <w:pPr>
        <w:pStyle w:val="ListParagraph"/>
        <w:numPr>
          <w:ilvl w:val="0"/>
          <w:numId w:val="36"/>
        </w:numPr>
        <w:tabs>
          <w:tab w:val="left" w:pos="1560"/>
        </w:tabs>
        <w:spacing w:after="120"/>
        <w:rPr>
          <w:rFonts w:ascii="Arial" w:hAnsi="Arial" w:cs="Arial"/>
        </w:rPr>
      </w:pPr>
      <w:r w:rsidRPr="00FA2F2A">
        <w:rPr>
          <w:rFonts w:ascii="Arial" w:hAnsi="Arial" w:cs="Arial"/>
        </w:rPr>
        <w:lastRenderedPageBreak/>
        <w:t>goods or services were previously provided by a Commonwealth official</w:t>
      </w:r>
      <w:r>
        <w:rPr>
          <w:rFonts w:ascii="Arial" w:hAnsi="Arial" w:cs="Arial"/>
        </w:rPr>
        <w:t xml:space="preserve"> or entity, and </w:t>
      </w:r>
      <w:r w:rsidR="00DD5050">
        <w:rPr>
          <w:rFonts w:ascii="Arial" w:hAnsi="Arial" w:cs="Arial"/>
        </w:rPr>
        <w:t>the goods and services are now being provided by a third party</w:t>
      </w:r>
      <w:r>
        <w:rPr>
          <w:rFonts w:ascii="Arial" w:hAnsi="Arial" w:cs="Arial"/>
        </w:rPr>
        <w:t>.</w:t>
      </w:r>
    </w:p>
    <w:p w14:paraId="3B1C9113" w14:textId="5EE4183D" w:rsidR="00D36245" w:rsidRPr="00FA2F2A" w:rsidRDefault="00D36245" w:rsidP="00D36245">
      <w:pPr>
        <w:pStyle w:val="ListParagraph"/>
        <w:numPr>
          <w:ilvl w:val="0"/>
          <w:numId w:val="36"/>
        </w:numPr>
        <w:tabs>
          <w:tab w:val="left" w:pos="1560"/>
        </w:tabs>
        <w:spacing w:after="120"/>
        <w:rPr>
          <w:rFonts w:ascii="Arial" w:hAnsi="Arial" w:cs="Arial"/>
        </w:rPr>
      </w:pPr>
      <w:r>
        <w:rPr>
          <w:rFonts w:ascii="Arial" w:hAnsi="Arial" w:cs="Arial"/>
        </w:rPr>
        <w:t>goods or services would not be provided if the Commonwealth declined to provide financial support.</w:t>
      </w:r>
    </w:p>
    <w:p w14:paraId="51F662F6" w14:textId="3180FC2E" w:rsidR="00D36245" w:rsidRPr="00A110FD" w:rsidRDefault="00D36245" w:rsidP="00D36245">
      <w:pPr>
        <w:pStyle w:val="ListParagraph"/>
        <w:numPr>
          <w:ilvl w:val="0"/>
          <w:numId w:val="36"/>
        </w:numPr>
        <w:tabs>
          <w:tab w:val="left" w:pos="1560"/>
        </w:tabs>
        <w:spacing w:after="120"/>
        <w:rPr>
          <w:rFonts w:cs="Arial"/>
        </w:rPr>
      </w:pPr>
      <w:r w:rsidRPr="00FA2F2A">
        <w:rPr>
          <w:rFonts w:ascii="Arial" w:hAnsi="Arial" w:cs="Arial"/>
        </w:rPr>
        <w:t>goods or services can be quantified, described or measured, for example:</w:t>
      </w:r>
    </w:p>
    <w:p w14:paraId="743F6822" w14:textId="77777777" w:rsidR="00D36245" w:rsidRPr="00A110FD" w:rsidRDefault="00D36245" w:rsidP="00D36245">
      <w:pPr>
        <w:pStyle w:val="ListParagraph"/>
        <w:numPr>
          <w:ilvl w:val="1"/>
          <w:numId w:val="36"/>
        </w:numPr>
        <w:tabs>
          <w:tab w:val="left" w:pos="1560"/>
        </w:tabs>
        <w:spacing w:before="0"/>
        <w:rPr>
          <w:rFonts w:cs="Arial"/>
        </w:rPr>
      </w:pPr>
      <w:r w:rsidRPr="00FA2F2A">
        <w:rPr>
          <w:rFonts w:ascii="Arial" w:hAnsi="Arial" w:cs="Arial"/>
        </w:rPr>
        <w:t>an Information Technology product delivered to a specification requested by the Commonwealth;</w:t>
      </w:r>
    </w:p>
    <w:p w14:paraId="3F8AC85A" w14:textId="77777777" w:rsidR="00D36245" w:rsidRPr="00A110FD" w:rsidRDefault="00D36245" w:rsidP="00D36245">
      <w:pPr>
        <w:pStyle w:val="ListParagraph"/>
        <w:numPr>
          <w:ilvl w:val="1"/>
          <w:numId w:val="36"/>
        </w:numPr>
        <w:tabs>
          <w:tab w:val="left" w:pos="1560"/>
        </w:tabs>
        <w:spacing w:before="0"/>
        <w:rPr>
          <w:rFonts w:cs="Arial"/>
        </w:rPr>
      </w:pPr>
      <w:r w:rsidRPr="00FA2F2A">
        <w:rPr>
          <w:rFonts w:ascii="Arial" w:hAnsi="Arial" w:cs="Arial"/>
        </w:rPr>
        <w:t>a review and report according to the process required by the Commonwealth; or</w:t>
      </w:r>
    </w:p>
    <w:p w14:paraId="4A350308" w14:textId="77777777" w:rsidR="00D36245" w:rsidRPr="00A110FD" w:rsidRDefault="00D36245" w:rsidP="00D36245">
      <w:pPr>
        <w:pStyle w:val="ListParagraph"/>
        <w:numPr>
          <w:ilvl w:val="1"/>
          <w:numId w:val="36"/>
        </w:numPr>
        <w:tabs>
          <w:tab w:val="left" w:pos="1560"/>
        </w:tabs>
        <w:spacing w:before="0" w:after="120"/>
        <w:rPr>
          <w:rFonts w:cs="Arial"/>
        </w:rPr>
      </w:pPr>
      <w:r w:rsidRPr="00FA2F2A">
        <w:rPr>
          <w:rFonts w:ascii="Arial" w:hAnsi="Arial" w:cs="Arial"/>
        </w:rPr>
        <w:t xml:space="preserve">hours of a specific service provided according to </w:t>
      </w:r>
      <w:r>
        <w:rPr>
          <w:rFonts w:ascii="Arial" w:hAnsi="Arial" w:cs="Arial"/>
        </w:rPr>
        <w:t xml:space="preserve">a </w:t>
      </w:r>
      <w:r w:rsidRPr="00FA2F2A">
        <w:rPr>
          <w:rFonts w:ascii="Arial" w:hAnsi="Arial" w:cs="Arial"/>
        </w:rPr>
        <w:t>contract.</w:t>
      </w:r>
    </w:p>
    <w:p w14:paraId="6EC217AE" w14:textId="2AB26A2D" w:rsidR="00D36245" w:rsidRDefault="00D36245" w:rsidP="00D36245">
      <w:pPr>
        <w:tabs>
          <w:tab w:val="left" w:pos="1560"/>
        </w:tabs>
        <w:spacing w:after="120"/>
      </w:pPr>
      <w:r>
        <w:rPr>
          <w:rFonts w:cs="Arial"/>
        </w:rPr>
        <w:t xml:space="preserve">The financial arrangement may more likely fall into an </w:t>
      </w:r>
      <w:r>
        <w:rPr>
          <w:rFonts w:cs="Arial"/>
          <w:b/>
          <w:i/>
        </w:rPr>
        <w:t>OTHER</w:t>
      </w:r>
      <w:r>
        <w:t xml:space="preserve"> arrangement if</w:t>
      </w:r>
      <w:r w:rsidR="00155ABA">
        <w:t xml:space="preserve"> the</w:t>
      </w:r>
      <w:r>
        <w:t>:</w:t>
      </w:r>
    </w:p>
    <w:p w14:paraId="27135CE2" w14:textId="496F9963" w:rsidR="00D36245" w:rsidRPr="00FA2F2A" w:rsidRDefault="00D36245" w:rsidP="00D36245">
      <w:pPr>
        <w:pStyle w:val="ListParagraph"/>
        <w:numPr>
          <w:ilvl w:val="0"/>
          <w:numId w:val="37"/>
        </w:numPr>
        <w:tabs>
          <w:tab w:val="left" w:pos="1560"/>
        </w:tabs>
        <w:spacing w:after="120"/>
        <w:rPr>
          <w:rFonts w:ascii="Arial" w:hAnsi="Arial" w:cs="Arial"/>
        </w:rPr>
      </w:pPr>
      <w:r>
        <w:rPr>
          <w:rFonts w:ascii="Arial" w:hAnsi="Arial" w:cs="Arial"/>
        </w:rPr>
        <w:t>Government</w:t>
      </w:r>
      <w:r w:rsidRPr="00FA2F2A">
        <w:rPr>
          <w:rFonts w:ascii="Arial" w:hAnsi="Arial" w:cs="Arial"/>
        </w:rPr>
        <w:t xml:space="preserve"> is mainly seeking to receive a financial rate of return</w:t>
      </w:r>
      <w:r>
        <w:rPr>
          <w:rFonts w:ascii="Arial" w:hAnsi="Arial" w:cs="Arial"/>
        </w:rPr>
        <w:t>.</w:t>
      </w:r>
    </w:p>
    <w:p w14:paraId="2CDF0885" w14:textId="382F8DE7" w:rsidR="00D36245" w:rsidRPr="00FA2F2A" w:rsidRDefault="00F0766E" w:rsidP="00D36245">
      <w:pPr>
        <w:pStyle w:val="ListParagraph"/>
        <w:numPr>
          <w:ilvl w:val="0"/>
          <w:numId w:val="37"/>
        </w:numPr>
        <w:tabs>
          <w:tab w:val="left" w:pos="1560"/>
        </w:tabs>
        <w:spacing w:after="120"/>
        <w:rPr>
          <w:rFonts w:ascii="Arial" w:hAnsi="Arial" w:cs="Arial"/>
        </w:rPr>
      </w:pPr>
      <w:r>
        <w:rPr>
          <w:rFonts w:ascii="Arial" w:hAnsi="Arial" w:cs="Arial"/>
        </w:rPr>
        <w:t>payment</w:t>
      </w:r>
      <w:r w:rsidRPr="00FA2F2A">
        <w:rPr>
          <w:rFonts w:ascii="Arial" w:hAnsi="Arial" w:cs="Arial"/>
        </w:rPr>
        <w:t xml:space="preserve"> </w:t>
      </w:r>
      <w:r w:rsidR="00D36245">
        <w:rPr>
          <w:rFonts w:ascii="Arial" w:hAnsi="Arial" w:cs="Arial"/>
        </w:rPr>
        <w:t>needs</w:t>
      </w:r>
      <w:r w:rsidR="00D36245" w:rsidRPr="00FA2F2A">
        <w:rPr>
          <w:rFonts w:ascii="Arial" w:hAnsi="Arial" w:cs="Arial"/>
        </w:rPr>
        <w:t xml:space="preserve"> to be repaid if the recipient makes a profit</w:t>
      </w:r>
      <w:r w:rsidR="00D36245">
        <w:rPr>
          <w:rFonts w:ascii="Arial" w:hAnsi="Arial" w:cs="Arial"/>
        </w:rPr>
        <w:t>.</w:t>
      </w:r>
    </w:p>
    <w:p w14:paraId="0356958F" w14:textId="0486ACB0" w:rsidR="00D36245" w:rsidRPr="00FA2F2A" w:rsidRDefault="00D36245" w:rsidP="00D36245">
      <w:pPr>
        <w:pStyle w:val="ListParagraph"/>
        <w:numPr>
          <w:ilvl w:val="0"/>
          <w:numId w:val="37"/>
        </w:numPr>
        <w:tabs>
          <w:tab w:val="left" w:pos="1560"/>
        </w:tabs>
        <w:spacing w:after="120"/>
        <w:rPr>
          <w:rFonts w:ascii="Arial" w:hAnsi="Arial" w:cs="Arial"/>
        </w:rPr>
      </w:pPr>
      <w:r w:rsidRPr="00FA2F2A">
        <w:rPr>
          <w:rFonts w:ascii="Arial" w:hAnsi="Arial" w:cs="Arial"/>
        </w:rPr>
        <w:t>payment involves a loan, whether at market or concessional rates (with or without conditions)</w:t>
      </w:r>
      <w:r>
        <w:rPr>
          <w:rFonts w:ascii="Arial" w:hAnsi="Arial" w:cs="Arial"/>
        </w:rPr>
        <w:t>.</w:t>
      </w:r>
    </w:p>
    <w:p w14:paraId="2BB44E1E" w14:textId="596D0D50" w:rsidR="00D36245" w:rsidRPr="00FA2F2A" w:rsidRDefault="00D36245" w:rsidP="00D36245">
      <w:pPr>
        <w:pStyle w:val="ListParagraph"/>
        <w:numPr>
          <w:ilvl w:val="0"/>
          <w:numId w:val="37"/>
        </w:numPr>
        <w:tabs>
          <w:tab w:val="left" w:pos="1560"/>
        </w:tabs>
        <w:spacing w:after="120"/>
        <w:rPr>
          <w:rFonts w:ascii="Arial" w:hAnsi="Arial" w:cs="Arial"/>
        </w:rPr>
      </w:pPr>
      <w:r w:rsidRPr="00FA2F2A">
        <w:rPr>
          <w:rFonts w:ascii="Arial" w:hAnsi="Arial" w:cs="Arial"/>
        </w:rPr>
        <w:t xml:space="preserve">recipient </w:t>
      </w:r>
      <w:r>
        <w:rPr>
          <w:rFonts w:ascii="Arial" w:hAnsi="Arial" w:cs="Arial"/>
        </w:rPr>
        <w:t>is required</w:t>
      </w:r>
      <w:r w:rsidRPr="00FA2F2A">
        <w:rPr>
          <w:rFonts w:ascii="Arial" w:hAnsi="Arial" w:cs="Arial"/>
        </w:rPr>
        <w:t xml:space="preserve"> to pay interest</w:t>
      </w:r>
      <w:r>
        <w:rPr>
          <w:rFonts w:ascii="Arial" w:hAnsi="Arial" w:cs="Arial"/>
        </w:rPr>
        <w:t>.</w:t>
      </w:r>
    </w:p>
    <w:p w14:paraId="3F258D18" w14:textId="068C6113" w:rsidR="00D36245" w:rsidRPr="00FA2F2A" w:rsidRDefault="00D36245" w:rsidP="00D36245">
      <w:pPr>
        <w:pStyle w:val="ListParagraph"/>
        <w:numPr>
          <w:ilvl w:val="0"/>
          <w:numId w:val="37"/>
        </w:numPr>
        <w:tabs>
          <w:tab w:val="left" w:pos="1560"/>
        </w:tabs>
        <w:spacing w:after="120"/>
        <w:rPr>
          <w:rFonts w:ascii="Arial" w:hAnsi="Arial" w:cs="Arial"/>
        </w:rPr>
      </w:pPr>
      <w:r>
        <w:rPr>
          <w:rFonts w:ascii="Arial" w:hAnsi="Arial" w:cs="Arial"/>
        </w:rPr>
        <w:t>Government</w:t>
      </w:r>
      <w:r w:rsidRPr="00FA2F2A">
        <w:rPr>
          <w:rFonts w:ascii="Arial" w:hAnsi="Arial" w:cs="Arial"/>
        </w:rPr>
        <w:t xml:space="preserve"> is paying compensation</w:t>
      </w:r>
      <w:r>
        <w:rPr>
          <w:rFonts w:ascii="Arial" w:hAnsi="Arial" w:cs="Arial"/>
        </w:rPr>
        <w:t>.</w:t>
      </w:r>
    </w:p>
    <w:p w14:paraId="1EA2B467" w14:textId="46C15FF1" w:rsidR="00D36245" w:rsidRPr="00FA2F2A" w:rsidRDefault="00D36245" w:rsidP="00D36245">
      <w:pPr>
        <w:pStyle w:val="ListParagraph"/>
        <w:numPr>
          <w:ilvl w:val="0"/>
          <w:numId w:val="37"/>
        </w:numPr>
        <w:tabs>
          <w:tab w:val="left" w:pos="1560"/>
        </w:tabs>
        <w:spacing w:after="120"/>
        <w:rPr>
          <w:rFonts w:ascii="Arial" w:hAnsi="Arial" w:cs="Arial"/>
        </w:rPr>
      </w:pPr>
      <w:r w:rsidRPr="00FA2F2A">
        <w:rPr>
          <w:rFonts w:ascii="Arial" w:hAnsi="Arial" w:cs="Arial"/>
        </w:rPr>
        <w:t xml:space="preserve">payments and eligibility are established by </w:t>
      </w:r>
      <w:r>
        <w:rPr>
          <w:rFonts w:ascii="Arial" w:hAnsi="Arial" w:cs="Arial"/>
        </w:rPr>
        <w:t xml:space="preserve">specific </w:t>
      </w:r>
      <w:r w:rsidRPr="00FA2F2A">
        <w:rPr>
          <w:rFonts w:ascii="Arial" w:hAnsi="Arial" w:cs="Arial"/>
        </w:rPr>
        <w:t>legislation</w:t>
      </w:r>
      <w:r>
        <w:rPr>
          <w:rFonts w:ascii="Arial" w:hAnsi="Arial" w:cs="Arial"/>
        </w:rPr>
        <w:t>.</w:t>
      </w:r>
    </w:p>
    <w:p w14:paraId="62EF8F5C" w14:textId="29BD0462" w:rsidR="00D36245" w:rsidRPr="00FA2F2A" w:rsidRDefault="00D36245" w:rsidP="00D36245">
      <w:pPr>
        <w:pStyle w:val="ListParagraph"/>
        <w:numPr>
          <w:ilvl w:val="0"/>
          <w:numId w:val="37"/>
        </w:numPr>
        <w:tabs>
          <w:tab w:val="left" w:pos="1560"/>
        </w:tabs>
        <w:spacing w:after="120"/>
        <w:rPr>
          <w:rFonts w:ascii="Arial" w:hAnsi="Arial" w:cs="Arial"/>
        </w:rPr>
      </w:pPr>
      <w:r w:rsidRPr="00FA2F2A">
        <w:rPr>
          <w:rFonts w:ascii="Arial" w:hAnsi="Arial" w:cs="Arial"/>
        </w:rPr>
        <w:t>payment is a tax offset, or an excise concession</w:t>
      </w:r>
      <w:r>
        <w:rPr>
          <w:rFonts w:ascii="Arial" w:hAnsi="Arial" w:cs="Arial"/>
        </w:rPr>
        <w:t>.</w:t>
      </w:r>
    </w:p>
    <w:p w14:paraId="1B5BA241" w14:textId="63679F36" w:rsidR="00D36245" w:rsidRDefault="00D36245" w:rsidP="00D36245">
      <w:pPr>
        <w:pStyle w:val="ListParagraph"/>
        <w:numPr>
          <w:ilvl w:val="0"/>
          <w:numId w:val="37"/>
        </w:numPr>
        <w:tabs>
          <w:tab w:val="left" w:pos="1560"/>
        </w:tabs>
        <w:spacing w:after="120"/>
        <w:rPr>
          <w:rFonts w:ascii="Arial" w:hAnsi="Arial" w:cs="Arial"/>
        </w:rPr>
      </w:pPr>
      <w:r>
        <w:rPr>
          <w:rFonts w:ascii="Arial" w:hAnsi="Arial" w:cs="Arial"/>
        </w:rPr>
        <w:t>NCE</w:t>
      </w:r>
      <w:r w:rsidRPr="00FA2F2A">
        <w:rPr>
          <w:rFonts w:ascii="Arial" w:hAnsi="Arial" w:cs="Arial"/>
        </w:rPr>
        <w:t xml:space="preserve"> is making a payment to fund the operation of a </w:t>
      </w:r>
      <w:r>
        <w:rPr>
          <w:rFonts w:ascii="Arial" w:hAnsi="Arial" w:cs="Arial"/>
        </w:rPr>
        <w:t>CCE.</w:t>
      </w:r>
    </w:p>
    <w:p w14:paraId="1953D0A2" w14:textId="71AFEB46" w:rsidR="005F0AEE" w:rsidRPr="002471D3" w:rsidRDefault="005F0AEE" w:rsidP="00D36245">
      <w:pPr>
        <w:pStyle w:val="ListParagraph"/>
        <w:numPr>
          <w:ilvl w:val="0"/>
          <w:numId w:val="37"/>
        </w:numPr>
        <w:tabs>
          <w:tab w:val="left" w:pos="1560"/>
        </w:tabs>
        <w:spacing w:after="120"/>
        <w:rPr>
          <w:rFonts w:ascii="Arial" w:hAnsi="Arial" w:cs="Arial"/>
        </w:rPr>
      </w:pPr>
      <w:r w:rsidRPr="002471D3">
        <w:rPr>
          <w:rFonts w:ascii="Arial" w:hAnsi="Arial" w:cs="Arial"/>
        </w:rPr>
        <w:t>NCE is acquiring goods and services directly from another NCE without approaching other suppliers.</w:t>
      </w:r>
    </w:p>
    <w:p w14:paraId="256C4552" w14:textId="57814C44" w:rsidR="00D36245" w:rsidRPr="00FA2F2A" w:rsidRDefault="00D36245" w:rsidP="00D36245">
      <w:pPr>
        <w:pStyle w:val="ListParagraph"/>
        <w:numPr>
          <w:ilvl w:val="0"/>
          <w:numId w:val="37"/>
        </w:numPr>
        <w:tabs>
          <w:tab w:val="left" w:pos="1560"/>
        </w:tabs>
        <w:spacing w:after="120"/>
        <w:rPr>
          <w:rFonts w:ascii="Arial" w:hAnsi="Arial" w:cs="Arial"/>
        </w:rPr>
      </w:pPr>
      <w:r w:rsidRPr="00FA2F2A">
        <w:rPr>
          <w:rFonts w:ascii="Arial" w:hAnsi="Arial" w:cs="Arial"/>
        </w:rPr>
        <w:t>payment is only payable to a State, Territory or local Government</w:t>
      </w:r>
      <w:r>
        <w:rPr>
          <w:rFonts w:ascii="Arial" w:hAnsi="Arial" w:cs="Arial"/>
        </w:rPr>
        <w:t>.</w:t>
      </w:r>
    </w:p>
    <w:p w14:paraId="45AC2CFC" w14:textId="4485C567" w:rsidR="00D36245" w:rsidRPr="00FA2F2A" w:rsidRDefault="00D36245" w:rsidP="00D36245">
      <w:pPr>
        <w:pStyle w:val="ListParagraph"/>
        <w:numPr>
          <w:ilvl w:val="0"/>
          <w:numId w:val="37"/>
        </w:numPr>
        <w:tabs>
          <w:tab w:val="left" w:pos="1560"/>
        </w:tabs>
        <w:spacing w:after="120"/>
        <w:rPr>
          <w:rFonts w:ascii="Arial" w:hAnsi="Arial" w:cs="Arial"/>
        </w:rPr>
      </w:pPr>
      <w:r w:rsidRPr="00FA2F2A">
        <w:rPr>
          <w:rFonts w:ascii="Arial" w:hAnsi="Arial" w:cs="Arial"/>
        </w:rPr>
        <w:t>payment is under a National Partnership Agreement</w:t>
      </w:r>
      <w:r>
        <w:rPr>
          <w:rFonts w:ascii="Arial" w:hAnsi="Arial" w:cs="Arial"/>
        </w:rPr>
        <w:t>.</w:t>
      </w:r>
    </w:p>
    <w:p w14:paraId="499F7EBF" w14:textId="483B912C" w:rsidR="00C71263" w:rsidRPr="00FA2F2A" w:rsidRDefault="00D36245" w:rsidP="00D36245">
      <w:pPr>
        <w:pStyle w:val="ListParagraph"/>
        <w:numPr>
          <w:ilvl w:val="0"/>
          <w:numId w:val="37"/>
        </w:numPr>
        <w:tabs>
          <w:tab w:val="left" w:pos="1560"/>
        </w:tabs>
        <w:spacing w:after="120"/>
        <w:rPr>
          <w:rFonts w:ascii="Arial" w:hAnsi="Arial" w:cs="Arial"/>
        </w:rPr>
      </w:pPr>
      <w:r w:rsidRPr="00FA2F2A">
        <w:rPr>
          <w:rFonts w:ascii="Arial" w:hAnsi="Arial" w:cs="Arial"/>
        </w:rPr>
        <w:t>payment is classified as Official Development Assistant (ODA)</w:t>
      </w:r>
      <w:r>
        <w:rPr>
          <w:rFonts w:ascii="Arial" w:hAnsi="Arial" w:cs="Arial"/>
        </w:rPr>
        <w:t>.</w:t>
      </w:r>
    </w:p>
    <w:p w14:paraId="488CDE75" w14:textId="44292B34" w:rsidR="00D36245" w:rsidRPr="00FA2F2A" w:rsidRDefault="00D36245" w:rsidP="00D36245">
      <w:pPr>
        <w:pStyle w:val="ListParagraph"/>
        <w:numPr>
          <w:ilvl w:val="0"/>
          <w:numId w:val="37"/>
        </w:numPr>
        <w:tabs>
          <w:tab w:val="left" w:pos="1560"/>
        </w:tabs>
        <w:spacing w:after="120"/>
        <w:rPr>
          <w:rFonts w:ascii="Arial" w:hAnsi="Arial" w:cs="Arial"/>
        </w:rPr>
      </w:pPr>
      <w:r w:rsidRPr="00FA2F2A">
        <w:rPr>
          <w:rFonts w:ascii="Arial" w:hAnsi="Arial" w:cs="Arial"/>
        </w:rPr>
        <w:t>entity is reimbursing costs under a defined Scheme</w:t>
      </w:r>
      <w:r>
        <w:rPr>
          <w:rFonts w:ascii="Arial" w:hAnsi="Arial" w:cs="Arial"/>
        </w:rPr>
        <w:t xml:space="preserve"> (</w:t>
      </w:r>
      <w:r w:rsidR="007755EB">
        <w:rPr>
          <w:rFonts w:ascii="Arial" w:hAnsi="Arial" w:cs="Arial"/>
        </w:rPr>
        <w:t>e.g.</w:t>
      </w:r>
      <w:r>
        <w:rPr>
          <w:rFonts w:ascii="Arial" w:hAnsi="Arial" w:cs="Arial"/>
        </w:rPr>
        <w:t xml:space="preserve"> </w:t>
      </w:r>
      <w:r w:rsidRPr="00B62E8C">
        <w:rPr>
          <w:rFonts w:ascii="Arial" w:hAnsi="Arial" w:cs="Arial"/>
        </w:rPr>
        <w:t>reimbursements under an Enterprise Agreement or the Scheme for Compensation for Detriment caused by Defective Administration</w:t>
      </w:r>
      <w:r>
        <w:rPr>
          <w:rFonts w:ascii="Arial" w:hAnsi="Arial" w:cs="Arial"/>
        </w:rPr>
        <w:t>).</w:t>
      </w:r>
    </w:p>
    <w:p w14:paraId="727DC7E4" w14:textId="6FFB2AFA" w:rsidR="0083402F" w:rsidRDefault="0083402F" w:rsidP="00F817A8">
      <w:pPr>
        <w:pStyle w:val="ListParagraph"/>
        <w:numPr>
          <w:ilvl w:val="0"/>
          <w:numId w:val="36"/>
        </w:numPr>
        <w:tabs>
          <w:tab w:val="left" w:pos="1560"/>
        </w:tabs>
        <w:spacing w:after="120"/>
        <w:sectPr w:rsidR="0083402F" w:rsidSect="00A110FD">
          <w:headerReference w:type="first" r:id="rId49"/>
          <w:pgSz w:w="11906" w:h="16838" w:code="9"/>
          <w:pgMar w:top="1560" w:right="1418" w:bottom="1418" w:left="1418" w:header="567" w:footer="624" w:gutter="0"/>
          <w:cols w:space="708"/>
          <w:titlePg/>
          <w:docGrid w:linePitch="360"/>
        </w:sectPr>
      </w:pPr>
    </w:p>
    <w:p w14:paraId="55A5E2DB" w14:textId="77777777" w:rsidR="009B07E0" w:rsidRPr="00E033C5" w:rsidRDefault="009B07E0" w:rsidP="00CE2318">
      <w:pPr>
        <w:pStyle w:val="Heading1"/>
        <w:shd w:val="clear" w:color="auto" w:fill="BDDCDF"/>
      </w:pPr>
      <w:bookmarkStart w:id="67" w:name="_Toc39570244"/>
      <w:r w:rsidRPr="00E033C5">
        <w:lastRenderedPageBreak/>
        <w:t>Appendix 1 – Glossary</w:t>
      </w:r>
      <w:bookmarkEnd w:id="67"/>
    </w:p>
    <w:bookmarkEnd w:id="38"/>
    <w:p w14:paraId="57FCDE6C" w14:textId="77777777" w:rsidR="009B07E0" w:rsidRPr="007D5A5B" w:rsidRDefault="009B07E0" w:rsidP="00186757">
      <w:pPr>
        <w:pStyle w:val="NumberedList1"/>
        <w:ind w:firstLine="0"/>
        <w:rPr>
          <w:rFonts w:cs="Arial"/>
          <w:b/>
        </w:rPr>
      </w:pPr>
      <w:r w:rsidRPr="007D5A5B">
        <w:rPr>
          <w:rFonts w:cs="Arial"/>
          <w:b/>
          <w:bCs/>
        </w:rPr>
        <w:t xml:space="preserve">authority </w:t>
      </w:r>
      <w:r w:rsidRPr="007D5A5B">
        <w:rPr>
          <w:rFonts w:cs="Arial"/>
        </w:rPr>
        <w:t xml:space="preserve">means the legal authority (whether expressed or implied) to exercise a power or function that can be given directly through legislation (e.g. </w:t>
      </w:r>
      <w:r w:rsidRPr="007D5A5B">
        <w:rPr>
          <w:rFonts w:cs="Arial"/>
          <w:bCs/>
        </w:rPr>
        <w:t xml:space="preserve">accountable authorities’ </w:t>
      </w:r>
      <w:r w:rsidRPr="007D5A5B">
        <w:rPr>
          <w:rFonts w:cs="Arial"/>
        </w:rPr>
        <w:t xml:space="preserve">powers under section 23 of the PGPA Act, section 32B of the </w:t>
      </w:r>
      <w:r w:rsidRPr="00CD38CF">
        <w:rPr>
          <w:rFonts w:cs="Arial"/>
          <w:bCs/>
          <w:i/>
        </w:rPr>
        <w:t>Financial Framework (Supplementary Powers) Act 199</w:t>
      </w:r>
      <w:r w:rsidRPr="007D5A5B">
        <w:rPr>
          <w:rFonts w:cs="Arial"/>
          <w:bCs/>
        </w:rPr>
        <w:t xml:space="preserve">7 </w:t>
      </w:r>
      <w:r w:rsidRPr="007D5A5B">
        <w:rPr>
          <w:rFonts w:cs="Arial"/>
        </w:rPr>
        <w:t xml:space="preserve">or other specific legislation) or through a </w:t>
      </w:r>
      <w:r w:rsidRPr="007D5A5B">
        <w:rPr>
          <w:rFonts w:cs="Arial"/>
          <w:bCs/>
        </w:rPr>
        <w:t xml:space="preserve">delegation </w:t>
      </w:r>
      <w:r w:rsidRPr="007D5A5B">
        <w:rPr>
          <w:rFonts w:cs="Arial"/>
        </w:rPr>
        <w:t xml:space="preserve">or </w:t>
      </w:r>
      <w:r w:rsidRPr="007D5A5B">
        <w:rPr>
          <w:rFonts w:cs="Arial"/>
          <w:bCs/>
        </w:rPr>
        <w:t>authorisation</w:t>
      </w:r>
      <w:r w:rsidRPr="007D5A5B">
        <w:rPr>
          <w:rFonts w:cs="Arial"/>
        </w:rPr>
        <w:t>.</w:t>
      </w:r>
    </w:p>
    <w:p w14:paraId="1AEDC089" w14:textId="2033101D" w:rsidR="009B07E0" w:rsidRPr="007D5A5B" w:rsidRDefault="009B07E0" w:rsidP="00186757">
      <w:pPr>
        <w:pStyle w:val="NumberedList1"/>
        <w:ind w:firstLine="0"/>
        <w:rPr>
          <w:rFonts w:cs="Arial"/>
        </w:rPr>
      </w:pPr>
      <w:r w:rsidRPr="007D5A5B">
        <w:rPr>
          <w:rFonts w:cs="Arial"/>
          <w:b/>
        </w:rPr>
        <w:t xml:space="preserve">Commonwealth Grants Rules and Guidelines 2017 </w:t>
      </w:r>
      <w:r w:rsidRPr="007D5A5B">
        <w:rPr>
          <w:rFonts w:cs="Arial"/>
        </w:rPr>
        <w:t xml:space="preserve">(CGRGs) establish the overarching Commonwealth grants policy framework </w:t>
      </w:r>
      <w:r w:rsidR="00D778C0" w:rsidRPr="007D5A5B">
        <w:rPr>
          <w:rFonts w:cs="Arial"/>
        </w:rPr>
        <w:t>and</w:t>
      </w:r>
      <w:r w:rsidRPr="007D5A5B">
        <w:rPr>
          <w:rFonts w:cs="Arial"/>
        </w:rPr>
        <w:t xml:space="preserve"> articulate the expectations for all non-corporate Commonwealth entities in relation to grants administration. </w:t>
      </w:r>
      <w:r w:rsidR="00D778C0" w:rsidRPr="007D5A5B">
        <w:rPr>
          <w:rFonts w:cs="Arial"/>
        </w:rPr>
        <w:t>Under this overarching framework, non-corporate Commonwealth entities undertake grants administration based on the mandatory requirements and key principles of grants administration.</w:t>
      </w:r>
    </w:p>
    <w:p w14:paraId="2DFFFF71" w14:textId="77777777" w:rsidR="009B07E0" w:rsidRPr="007D5A5B" w:rsidRDefault="009B07E0" w:rsidP="00186757">
      <w:pPr>
        <w:pStyle w:val="NumberedList1"/>
        <w:ind w:firstLine="0"/>
        <w:rPr>
          <w:rFonts w:cs="Arial"/>
          <w:iCs/>
        </w:rPr>
      </w:pPr>
      <w:r w:rsidRPr="007D5A5B">
        <w:rPr>
          <w:rFonts w:cs="Arial"/>
          <w:b/>
          <w:iCs/>
        </w:rPr>
        <w:t xml:space="preserve">Commonwealth Procurement Rules </w:t>
      </w:r>
      <w:r w:rsidRPr="007D5A5B">
        <w:rPr>
          <w:rFonts w:cs="Arial"/>
          <w:iCs/>
        </w:rPr>
        <w:t xml:space="preserve">(CPRs) establish the Government’s policy framework under which entities govern and undertake their own procurement. The CPRs set down the rules for Australian Government procurement and articulate the requirements for officials performing duties in relation to procurement. </w:t>
      </w:r>
    </w:p>
    <w:p w14:paraId="50F76A51" w14:textId="3F51CEF8" w:rsidR="009B07E0" w:rsidRPr="007D5A5B" w:rsidRDefault="007D5A5B" w:rsidP="00186757">
      <w:pPr>
        <w:pStyle w:val="NumberedList1"/>
        <w:ind w:firstLine="0"/>
        <w:rPr>
          <w:rFonts w:cs="Arial"/>
          <w:b/>
          <w:lang w:val="en-US"/>
        </w:rPr>
      </w:pPr>
      <w:r w:rsidRPr="00BC1222">
        <w:rPr>
          <w:b/>
        </w:rPr>
        <w:t>entity</w:t>
      </w:r>
      <w:r>
        <w:t xml:space="preserve"> means a Commonwealth entity and includes a Department of State, a Parliamentary Department, a listed entity or a body corporate established by a law of the Commonwealth (see section 8 of the PGPA Act)</w:t>
      </w:r>
      <w:r w:rsidR="009B07E0" w:rsidRPr="007D5A5B">
        <w:rPr>
          <w:rFonts w:cs="Arial"/>
          <w:lang w:val="en-US"/>
        </w:rPr>
        <w:t>.</w:t>
      </w:r>
      <w:r w:rsidR="009B07E0" w:rsidRPr="007D5A5B">
        <w:rPr>
          <w:rFonts w:cs="Arial"/>
          <w:b/>
          <w:lang w:val="en-US"/>
        </w:rPr>
        <w:t xml:space="preserve"> </w:t>
      </w:r>
    </w:p>
    <w:p w14:paraId="3EB67E37" w14:textId="52C1875A" w:rsidR="009B07E0" w:rsidRPr="007D5A5B" w:rsidRDefault="009B07E0" w:rsidP="00272B4C">
      <w:pPr>
        <w:ind w:firstLine="284"/>
        <w:rPr>
          <w:rFonts w:cs="Arial"/>
        </w:rPr>
      </w:pPr>
      <w:r w:rsidRPr="007D5A5B">
        <w:rPr>
          <w:rFonts w:cs="Arial"/>
          <w:b/>
          <w:lang w:val="en-US"/>
        </w:rPr>
        <w:t xml:space="preserve">grantee </w:t>
      </w:r>
      <w:r w:rsidRPr="007D5A5B">
        <w:rPr>
          <w:rFonts w:cs="Arial"/>
          <w:lang w:val="en-US"/>
        </w:rPr>
        <w:t>means the individual/</w:t>
      </w:r>
      <w:r w:rsidR="007755EB" w:rsidRPr="007D5A5B">
        <w:rPr>
          <w:rFonts w:cs="Arial"/>
          <w:lang w:val="en-US"/>
        </w:rPr>
        <w:t>organisation, which</w:t>
      </w:r>
      <w:r w:rsidRPr="007D5A5B">
        <w:rPr>
          <w:rFonts w:cs="Arial"/>
          <w:lang w:val="en-US"/>
        </w:rPr>
        <w:t xml:space="preserve"> has been selected to receive a grant.</w:t>
      </w:r>
    </w:p>
    <w:p w14:paraId="7A14E72F" w14:textId="77777777" w:rsidR="009B07E0" w:rsidRPr="007D5A5B" w:rsidRDefault="009B07E0" w:rsidP="00186757">
      <w:pPr>
        <w:pStyle w:val="NumberedList1"/>
        <w:ind w:firstLine="0"/>
        <w:rPr>
          <w:rFonts w:cs="Arial"/>
          <w:b/>
          <w:lang w:val="en-US"/>
        </w:rPr>
      </w:pPr>
      <w:r w:rsidRPr="007D5A5B">
        <w:rPr>
          <w:rFonts w:cs="Arial"/>
          <w:b/>
          <w:lang w:val="en-US"/>
        </w:rPr>
        <w:t xml:space="preserve">Official Development Assistance (ODA) </w:t>
      </w:r>
      <w:r w:rsidRPr="007D5A5B">
        <w:rPr>
          <w:rFonts w:cs="Arial"/>
          <w:lang w:val="en-US"/>
        </w:rPr>
        <w:t>is defined by the Organisation for Economic Co-operation and Development (OECD), available on their website http://www.oecd.org/.  The Department of Foreign Affairs and Trade (DFAT) have responsibility for classifying payments as ODA. You should contact DFAT with questions regarding ODA.</w:t>
      </w:r>
    </w:p>
    <w:p w14:paraId="0EF5E2CC" w14:textId="1297E989" w:rsidR="009B07E0" w:rsidRPr="007D5A5B" w:rsidRDefault="007D5A5B" w:rsidP="00186757">
      <w:pPr>
        <w:pStyle w:val="NumberedList1"/>
        <w:ind w:firstLine="0"/>
        <w:rPr>
          <w:rFonts w:cs="Arial"/>
          <w:lang w:val="en-US"/>
        </w:rPr>
      </w:pPr>
      <w:r w:rsidRPr="000B3885">
        <w:rPr>
          <w:b/>
        </w:rPr>
        <w:t>officials</w:t>
      </w:r>
      <w:r>
        <w:t xml:space="preserve"> means officials of a Commonwealth entity. An official of a Commonwealth entity is an individual who is in, or forms part of the entity (see section 8 of the PGPA Act).</w:t>
      </w:r>
    </w:p>
    <w:p w14:paraId="0A0A752B" w14:textId="524FFAAD" w:rsidR="009B07E0" w:rsidRPr="007D5A5B" w:rsidRDefault="007D5A5B" w:rsidP="00186757">
      <w:pPr>
        <w:pStyle w:val="NumberedList1"/>
        <w:ind w:firstLine="0"/>
        <w:rPr>
          <w:rFonts w:cs="Arial"/>
          <w:b/>
          <w:lang w:val="en-US"/>
        </w:rPr>
      </w:pPr>
      <w:r w:rsidRPr="000B3885">
        <w:rPr>
          <w:b/>
        </w:rPr>
        <w:t xml:space="preserve">other Consolidated Revenue Fund (CRF) money </w:t>
      </w:r>
      <w:r w:rsidR="009B07E0" w:rsidRPr="007D5A5B">
        <w:rPr>
          <w:rFonts w:cs="Arial"/>
          <w:lang w:val="en-US"/>
        </w:rPr>
        <w:t xml:space="preserve">is money that forms part of the </w:t>
      </w:r>
      <w:r>
        <w:rPr>
          <w:rFonts w:cs="Arial"/>
          <w:lang w:val="en-US"/>
        </w:rPr>
        <w:t>CRF</w:t>
      </w:r>
      <w:r w:rsidR="009B07E0" w:rsidRPr="007D5A5B">
        <w:rPr>
          <w:rFonts w:cs="Arial"/>
          <w:lang w:val="en-US"/>
        </w:rPr>
        <w:t xml:space="preserve"> other than relevant money or any other money of a kind prescribed by the rules (see section 105 of the PGPA Act).</w:t>
      </w:r>
    </w:p>
    <w:p w14:paraId="4E3DA9EB" w14:textId="7F354373" w:rsidR="009B07E0" w:rsidRPr="007D5A5B" w:rsidRDefault="009B07E0" w:rsidP="00186757">
      <w:pPr>
        <w:pStyle w:val="NumberedList1"/>
        <w:ind w:firstLine="0"/>
        <w:rPr>
          <w:rFonts w:cs="Arial"/>
        </w:rPr>
      </w:pPr>
      <w:r w:rsidRPr="007D5A5B">
        <w:rPr>
          <w:rFonts w:cs="Arial"/>
          <w:b/>
        </w:rPr>
        <w:t xml:space="preserve">ordinary and </w:t>
      </w:r>
      <w:r w:rsidR="002319EB" w:rsidRPr="007D5A5B">
        <w:rPr>
          <w:rFonts w:cs="Arial"/>
          <w:b/>
        </w:rPr>
        <w:t xml:space="preserve">well-recognised </w:t>
      </w:r>
      <w:r w:rsidRPr="007D5A5B">
        <w:rPr>
          <w:rFonts w:cs="Arial"/>
          <w:b/>
        </w:rPr>
        <w:t>functions of government</w:t>
      </w:r>
      <w:r w:rsidRPr="007D5A5B">
        <w:rPr>
          <w:rFonts w:cs="Arial"/>
        </w:rPr>
        <w:t xml:space="preserve"> relate to the </w:t>
      </w:r>
      <w:r w:rsidR="00220473" w:rsidRPr="007D5A5B">
        <w:rPr>
          <w:rFonts w:cs="Arial"/>
        </w:rPr>
        <w:t xml:space="preserve">administration and ordinary activities </w:t>
      </w:r>
      <w:r w:rsidRPr="007D5A5B">
        <w:rPr>
          <w:rFonts w:cs="Arial"/>
        </w:rPr>
        <w:t xml:space="preserve">of an </w:t>
      </w:r>
      <w:hyperlink w:anchor="Agency" w:history="1">
        <w:r w:rsidRPr="007D5A5B">
          <w:rPr>
            <w:rStyle w:val="Hyperlink"/>
            <w:rFonts w:cs="Arial"/>
          </w:rPr>
          <w:t>entity</w:t>
        </w:r>
      </w:hyperlink>
      <w:r w:rsidRPr="007D5A5B">
        <w:rPr>
          <w:rFonts w:cs="Arial"/>
        </w:rPr>
        <w:t xml:space="preserve">, </w:t>
      </w:r>
      <w:r w:rsidR="00C638F5" w:rsidRPr="007D5A5B">
        <w:rPr>
          <w:rFonts w:cs="Arial"/>
        </w:rPr>
        <w:t xml:space="preserve">with spending </w:t>
      </w:r>
      <w:r w:rsidR="00220473" w:rsidRPr="007D5A5B">
        <w:rPr>
          <w:rFonts w:cs="Arial"/>
        </w:rPr>
        <w:t>related to</w:t>
      </w:r>
      <w:r w:rsidR="00C638F5" w:rsidRPr="007D5A5B">
        <w:rPr>
          <w:rFonts w:cs="Arial"/>
        </w:rPr>
        <w:t xml:space="preserve"> running costs </w:t>
      </w:r>
      <w:r w:rsidRPr="007D5A5B">
        <w:rPr>
          <w:rFonts w:cs="Arial"/>
        </w:rPr>
        <w:t xml:space="preserve">such as the payment of staff salaries or building rental.  Generally, payments relating to the ordinary and </w:t>
      </w:r>
      <w:r w:rsidR="002319EB" w:rsidRPr="007D5A5B">
        <w:rPr>
          <w:rFonts w:cs="Arial"/>
        </w:rPr>
        <w:t xml:space="preserve">well-recognised </w:t>
      </w:r>
      <w:r w:rsidRPr="007D5A5B">
        <w:rPr>
          <w:rFonts w:cs="Arial"/>
        </w:rPr>
        <w:t xml:space="preserve">functions of government will come from departmental </w:t>
      </w:r>
      <w:hyperlink w:anchor="Appropriation" w:history="1">
        <w:r w:rsidRPr="007D5A5B">
          <w:rPr>
            <w:rStyle w:val="Hyperlink"/>
            <w:rFonts w:cs="Arial"/>
          </w:rPr>
          <w:t>appropriations</w:t>
        </w:r>
      </w:hyperlink>
      <w:r w:rsidR="007755EB" w:rsidRPr="007D5A5B">
        <w:rPr>
          <w:rFonts w:cs="Arial"/>
        </w:rPr>
        <w:t>;</w:t>
      </w:r>
      <w:r w:rsidRPr="007D5A5B">
        <w:rPr>
          <w:rFonts w:cs="Arial"/>
        </w:rPr>
        <w:t xml:space="preserve"> however there can be situations where they are paid from administered appropriations.  Similarly, some payments from departmental appropriations may cover matters that are not ordinary and </w:t>
      </w:r>
      <w:r w:rsidR="002319EB" w:rsidRPr="007D5A5B">
        <w:rPr>
          <w:rFonts w:cs="Arial"/>
        </w:rPr>
        <w:t>well</w:t>
      </w:r>
      <w:r w:rsidR="002319EB" w:rsidRPr="007D5A5B">
        <w:rPr>
          <w:rFonts w:cs="Arial"/>
        </w:rPr>
        <w:noBreakHyphen/>
        <w:t xml:space="preserve">recognised </w:t>
      </w:r>
      <w:r w:rsidRPr="007D5A5B">
        <w:rPr>
          <w:rFonts w:cs="Arial"/>
        </w:rPr>
        <w:t>functions of government, and thus the arrangement needs to be authorised</w:t>
      </w:r>
      <w:r w:rsidR="00220473" w:rsidRPr="007D5A5B">
        <w:rPr>
          <w:rFonts w:cs="Arial"/>
        </w:rPr>
        <w:t xml:space="preserve"> by specific legislation or</w:t>
      </w:r>
      <w:r w:rsidRPr="007D5A5B">
        <w:rPr>
          <w:rFonts w:cs="Arial"/>
        </w:rPr>
        <w:t xml:space="preserve"> </w:t>
      </w:r>
      <w:r w:rsidR="002319EB" w:rsidRPr="007D5A5B">
        <w:rPr>
          <w:rFonts w:cs="Arial"/>
        </w:rPr>
        <w:t>under section 32B of the Financial Framework (Supplementary Powers) Act 1997</w:t>
      </w:r>
      <w:r w:rsidRPr="007D5A5B">
        <w:rPr>
          <w:rFonts w:cs="Arial"/>
        </w:rPr>
        <w:t xml:space="preserve"> </w:t>
      </w:r>
      <w:r w:rsidR="002319EB" w:rsidRPr="007D5A5B">
        <w:rPr>
          <w:rFonts w:cs="Arial"/>
        </w:rPr>
        <w:t xml:space="preserve">and listed in Schedule 1AA or Schedule 1AB to </w:t>
      </w:r>
      <w:r w:rsidRPr="007D5A5B">
        <w:rPr>
          <w:rFonts w:cs="Arial"/>
        </w:rPr>
        <w:t xml:space="preserve">the </w:t>
      </w:r>
      <w:hyperlink r:id="rId50" w:history="1">
        <w:r w:rsidRPr="007D5A5B">
          <w:rPr>
            <w:rStyle w:val="Hyperlink"/>
            <w:rFonts w:cs="Arial"/>
          </w:rPr>
          <w:t>Financial Framework (Supplementary Powers) Regulations 1997</w:t>
        </w:r>
      </w:hyperlink>
      <w:r w:rsidRPr="007D5A5B">
        <w:rPr>
          <w:rFonts w:cs="Arial"/>
        </w:rPr>
        <w:t xml:space="preserve">.  </w:t>
      </w:r>
    </w:p>
    <w:p w14:paraId="2EAC7829" w14:textId="77777777" w:rsidR="009B07E0" w:rsidRPr="007D5A5B" w:rsidRDefault="009B07E0" w:rsidP="00186757">
      <w:pPr>
        <w:pStyle w:val="NumberedList1"/>
        <w:ind w:firstLine="0"/>
        <w:rPr>
          <w:rFonts w:cs="Arial"/>
          <w:bCs/>
        </w:rPr>
      </w:pPr>
      <w:r w:rsidRPr="007D5A5B">
        <w:rPr>
          <w:rFonts w:cs="Arial"/>
          <w:b/>
          <w:bCs/>
        </w:rPr>
        <w:t xml:space="preserve">proper </w:t>
      </w:r>
      <w:r w:rsidRPr="007D5A5B">
        <w:rPr>
          <w:rFonts w:cs="Arial"/>
          <w:bCs/>
        </w:rPr>
        <w:t xml:space="preserve">when used in relation to the use or management of public resources, means efficient, effective, economical and ethical (see section 8 of the PGPA Act). </w:t>
      </w:r>
    </w:p>
    <w:p w14:paraId="298A83EE" w14:textId="1F6C790A" w:rsidR="009B07E0" w:rsidRPr="007D5A5B" w:rsidRDefault="009B07E0" w:rsidP="00186757">
      <w:pPr>
        <w:pStyle w:val="NumberedList1"/>
        <w:ind w:firstLine="0"/>
        <w:rPr>
          <w:rFonts w:cs="Arial"/>
        </w:rPr>
      </w:pPr>
      <w:r w:rsidRPr="007D5A5B">
        <w:rPr>
          <w:rFonts w:cs="Arial"/>
          <w:b/>
        </w:rPr>
        <w:lastRenderedPageBreak/>
        <w:t xml:space="preserve">relevant money </w:t>
      </w:r>
      <w:r w:rsidRPr="007D5A5B">
        <w:rPr>
          <w:rFonts w:cs="Arial"/>
        </w:rPr>
        <w:t xml:space="preserve">means </w:t>
      </w:r>
    </w:p>
    <w:p w14:paraId="41F3FC6E" w14:textId="00F42C9E" w:rsidR="009B07E0" w:rsidRPr="007D5A5B" w:rsidRDefault="009B07E0" w:rsidP="00701C80">
      <w:pPr>
        <w:pStyle w:val="NumberedList1"/>
        <w:numPr>
          <w:ilvl w:val="0"/>
          <w:numId w:val="32"/>
        </w:numPr>
        <w:rPr>
          <w:rFonts w:cs="Arial"/>
        </w:rPr>
      </w:pPr>
      <w:r w:rsidRPr="007D5A5B">
        <w:rPr>
          <w:rFonts w:cs="Arial"/>
        </w:rPr>
        <w:t xml:space="preserve">money standing to the credit of any bank account of the Commonwealth or a corporate Commonwealth entity; or </w:t>
      </w:r>
    </w:p>
    <w:p w14:paraId="4827DFED" w14:textId="77777777" w:rsidR="009B07E0" w:rsidRPr="007D5A5B" w:rsidRDefault="009B07E0" w:rsidP="00701C80">
      <w:pPr>
        <w:pStyle w:val="NumberedList1"/>
        <w:numPr>
          <w:ilvl w:val="0"/>
          <w:numId w:val="32"/>
        </w:numPr>
        <w:rPr>
          <w:rFonts w:cs="Arial"/>
        </w:rPr>
      </w:pPr>
      <w:r w:rsidRPr="007D5A5B">
        <w:rPr>
          <w:rFonts w:cs="Arial"/>
        </w:rPr>
        <w:t>money that is held by the Commonwealth or a corporate Commonwealth entity; (see section 8 of the PGPA Act).</w:t>
      </w:r>
    </w:p>
    <w:p w14:paraId="3CC66A61" w14:textId="68F6654C" w:rsidR="009B07E0" w:rsidRPr="007D5A5B" w:rsidRDefault="009B07E0" w:rsidP="00186757">
      <w:pPr>
        <w:pStyle w:val="NumberedList1"/>
        <w:ind w:left="0" w:firstLine="0"/>
        <w:rPr>
          <w:rFonts w:cs="Arial"/>
        </w:rPr>
      </w:pPr>
      <w:r w:rsidRPr="007D5A5B">
        <w:rPr>
          <w:rFonts w:cs="Arial"/>
          <w:b/>
        </w:rPr>
        <w:t xml:space="preserve">relevant property </w:t>
      </w:r>
      <w:r w:rsidRPr="007D5A5B">
        <w:rPr>
          <w:rFonts w:cs="Arial"/>
        </w:rPr>
        <w:t xml:space="preserve">means </w:t>
      </w:r>
    </w:p>
    <w:p w14:paraId="22EBD891" w14:textId="16EB8693" w:rsidR="009B07E0" w:rsidRPr="007D5A5B" w:rsidRDefault="009B07E0" w:rsidP="007D5A5B">
      <w:pPr>
        <w:pStyle w:val="NumberedList1"/>
        <w:numPr>
          <w:ilvl w:val="0"/>
          <w:numId w:val="33"/>
        </w:numPr>
        <w:tabs>
          <w:tab w:val="clear" w:pos="567"/>
          <w:tab w:val="num" w:pos="1134"/>
        </w:tabs>
        <w:ind w:left="1134"/>
        <w:rPr>
          <w:rFonts w:cs="Arial"/>
        </w:rPr>
      </w:pPr>
      <w:r w:rsidRPr="007D5A5B">
        <w:rPr>
          <w:rFonts w:cs="Arial"/>
        </w:rPr>
        <w:t xml:space="preserve">property (other than relevant money) that is owned or held by the Commonwealth or a corporate Commonwealth entity; or </w:t>
      </w:r>
    </w:p>
    <w:p w14:paraId="4CDFF789" w14:textId="77777777" w:rsidR="009B07E0" w:rsidRPr="007D5A5B" w:rsidRDefault="009B07E0" w:rsidP="007D5A5B">
      <w:pPr>
        <w:pStyle w:val="NumberedList1"/>
        <w:numPr>
          <w:ilvl w:val="0"/>
          <w:numId w:val="33"/>
        </w:numPr>
        <w:tabs>
          <w:tab w:val="num" w:pos="1134"/>
        </w:tabs>
        <w:ind w:left="1134"/>
        <w:rPr>
          <w:rFonts w:cs="Arial"/>
        </w:rPr>
      </w:pPr>
      <w:r w:rsidRPr="007D5A5B">
        <w:rPr>
          <w:rFonts w:cs="Arial"/>
        </w:rPr>
        <w:t>any other thing prescribed by the rules; (see section 8 of the PGPA Act).</w:t>
      </w:r>
    </w:p>
    <w:p w14:paraId="063FC369" w14:textId="247D0DBA" w:rsidR="009B07E0" w:rsidRPr="00335427" w:rsidRDefault="009B07E0" w:rsidP="00C87993">
      <w:pPr>
        <w:pStyle w:val="NumberedList1"/>
        <w:ind w:left="0" w:firstLine="0"/>
      </w:pPr>
    </w:p>
    <w:sectPr w:rsidR="009B07E0" w:rsidRPr="00335427" w:rsidSect="00C90A86">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D2B31" w14:textId="77777777" w:rsidR="004409E3" w:rsidRDefault="004409E3" w:rsidP="00EF4574">
      <w:pPr>
        <w:spacing w:before="0" w:after="0" w:line="240" w:lineRule="auto"/>
      </w:pPr>
      <w:r>
        <w:separator/>
      </w:r>
    </w:p>
    <w:p w14:paraId="6F8EEAF0" w14:textId="77777777" w:rsidR="004409E3" w:rsidRDefault="004409E3"/>
  </w:endnote>
  <w:endnote w:type="continuationSeparator" w:id="0">
    <w:p w14:paraId="6DEC6113" w14:textId="77777777" w:rsidR="004409E3" w:rsidRDefault="004409E3" w:rsidP="00EF4574">
      <w:pPr>
        <w:spacing w:before="0" w:after="0" w:line="240" w:lineRule="auto"/>
      </w:pPr>
      <w:r>
        <w:continuationSeparator/>
      </w:r>
    </w:p>
    <w:p w14:paraId="205519A1" w14:textId="77777777" w:rsidR="004409E3" w:rsidRDefault="00440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heSansLight-Plain">
    <w:altName w:val="Courier"/>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0B1F" w14:textId="2FD90BFE" w:rsidR="004409E3" w:rsidRDefault="004409E3" w:rsidP="005B696C">
    <w:pPr>
      <w:pStyle w:val="Footer"/>
    </w:pPr>
    <w:r>
      <w:rPr>
        <w:noProof/>
        <w:lang w:eastAsia="en-AU"/>
      </w:rPr>
      <mc:AlternateContent>
        <mc:Choice Requires="wps">
          <w:drawing>
            <wp:anchor distT="0" distB="0" distL="114300" distR="114300" simplePos="0" relativeHeight="251654656" behindDoc="1" locked="0" layoutInCell="1" allowOverlap="1" wp14:anchorId="482DAB2A" wp14:editId="59088E3F">
              <wp:simplePos x="0" y="0"/>
              <wp:positionH relativeFrom="page">
                <wp:posOffset>6341745</wp:posOffset>
              </wp:positionH>
              <wp:positionV relativeFrom="page">
                <wp:posOffset>10076815</wp:posOffset>
              </wp:positionV>
              <wp:extent cx="323850" cy="32385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BDDCDF"/>
                      </a:solidFill>
                      <a:ln w="6350">
                        <a:solidFill>
                          <a:srgbClr val="1C1C1C"/>
                        </a:solidFill>
                        <a:miter lim="800000"/>
                        <a:headEnd/>
                        <a:tailEnd/>
                      </a:ln>
                    </wps:spPr>
                    <wps:txbx>
                      <w:txbxContent>
                        <w:p w14:paraId="1846B632" w14:textId="77777777" w:rsidR="004409E3" w:rsidRDefault="004409E3" w:rsidP="005B696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2DAB2A" id="Oval 5" o:spid="_x0000_s1026" style="position:absolute;margin-left:499.35pt;margin-top:793.45pt;width:25.5pt;height:2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" fillcolor="#bddcdf" strokecolor="#1c1c1c" strokeweight=".5pt">
              <v:stroke joinstyle="miter"/>
              <v:textbox>
                <w:txbxContent>
                  <w:p w14:paraId="1846B632" w14:textId="77777777" w:rsidR="004409E3" w:rsidRDefault="004409E3"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2471D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FE42" w14:textId="77777777" w:rsidR="004409E3" w:rsidRDefault="004409E3">
    <w:pPr>
      <w:pStyle w:val="Footer"/>
    </w:pPr>
  </w:p>
  <w:p w14:paraId="60D706BC" w14:textId="77777777" w:rsidR="004409E3" w:rsidRDefault="004409E3" w:rsidP="000A6A8B">
    <w:pPr>
      <w:pStyle w:val="Footer"/>
      <w:jc w:val="center"/>
      <w:rPr>
        <w:rStyle w:val="Classification"/>
      </w:rPr>
    </w:pPr>
  </w:p>
  <w:p w14:paraId="342A558E" w14:textId="77777777" w:rsidR="004409E3" w:rsidRPr="000A6A8B" w:rsidRDefault="004409E3"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548C" w14:textId="6CC8D906" w:rsidR="004409E3" w:rsidRDefault="004409E3" w:rsidP="00B74CD5">
    <w:pPr>
      <w:pStyle w:val="Footer"/>
    </w:pPr>
    <w:r>
      <w:rPr>
        <w:noProof/>
        <w:lang w:eastAsia="en-AU"/>
      </w:rPr>
      <mc:AlternateContent>
        <mc:Choice Requires="wps">
          <w:drawing>
            <wp:anchor distT="0" distB="0" distL="114300" distR="114300" simplePos="0" relativeHeight="251659776" behindDoc="1" locked="0" layoutInCell="1" allowOverlap="1" wp14:anchorId="1BAFA8D6" wp14:editId="64BC0FBE">
              <wp:simplePos x="0" y="0"/>
              <wp:positionH relativeFrom="page">
                <wp:posOffset>6341745</wp:posOffset>
              </wp:positionH>
              <wp:positionV relativeFrom="page">
                <wp:posOffset>10076815</wp:posOffset>
              </wp:positionV>
              <wp:extent cx="323850" cy="323850"/>
              <wp:effectExtent l="0" t="0" r="0" b="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BDDCDF"/>
                      </a:solidFill>
                      <a:ln w="6350">
                        <a:solidFill>
                          <a:srgbClr val="1C1C1C"/>
                        </a:solidFill>
                        <a:miter lim="800000"/>
                        <a:headEnd/>
                        <a:tailEnd/>
                      </a:ln>
                    </wps:spPr>
                    <wps:txbx>
                      <w:txbxContent>
                        <w:p w14:paraId="7D7EE570" w14:textId="77777777" w:rsidR="004409E3" w:rsidRDefault="004409E3" w:rsidP="00B74CD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AFA8D6" id="Oval 16" o:spid="_x0000_s1027" style="position:absolute;margin-left:499.35pt;margin-top:793.45pt;width:25.5pt;height:2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" fillcolor="#bddcdf" strokecolor="#1c1c1c" strokeweight=".5pt">
              <v:stroke joinstyle="miter"/>
              <v:textbox>
                <w:txbxContent>
                  <w:p w14:paraId="7D7EE570" w14:textId="77777777" w:rsidR="004409E3" w:rsidRDefault="004409E3" w:rsidP="00B74CD5">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2471D3">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23E3" w14:textId="77777777" w:rsidR="004409E3" w:rsidRDefault="004409E3" w:rsidP="0020122A">
      <w:pPr>
        <w:pStyle w:val="FootnoteSeparator"/>
      </w:pPr>
    </w:p>
  </w:footnote>
  <w:footnote w:type="continuationSeparator" w:id="0">
    <w:p w14:paraId="03C8B49A" w14:textId="77777777" w:rsidR="004409E3" w:rsidRDefault="004409E3" w:rsidP="00EF4574">
      <w:pPr>
        <w:spacing w:before="0" w:after="0" w:line="240" w:lineRule="auto"/>
      </w:pPr>
      <w:r>
        <w:continuationSeparator/>
      </w:r>
    </w:p>
    <w:p w14:paraId="45C51BFC" w14:textId="77777777" w:rsidR="004409E3" w:rsidRDefault="004409E3"/>
  </w:footnote>
  <w:footnote w:id="1">
    <w:p w14:paraId="3CECEABD" w14:textId="464337C7" w:rsidR="004409E3" w:rsidRDefault="004409E3" w:rsidP="000B0AE5">
      <w:pPr>
        <w:pStyle w:val="FootnoteText"/>
      </w:pPr>
      <w:r>
        <w:rPr>
          <w:rStyle w:val="FootnoteReference"/>
        </w:rPr>
        <w:footnoteRef/>
      </w:r>
      <w:r>
        <w:t xml:space="preserve"> Corporate Commonwealth entities should use this as a guide.</w:t>
      </w:r>
    </w:p>
  </w:footnote>
  <w:footnote w:id="2">
    <w:p w14:paraId="67F63C0F" w14:textId="1BBFA303" w:rsidR="004409E3" w:rsidRDefault="004409E3" w:rsidP="007B1AF9">
      <w:pPr>
        <w:pStyle w:val="FootnoteText"/>
      </w:pPr>
      <w:r>
        <w:rPr>
          <w:rStyle w:val="FootnoteReference"/>
        </w:rPr>
        <w:footnoteRef/>
      </w:r>
      <w:r>
        <w:t xml:space="preserve"> Payments to States and Territories other than under section 96 of </w:t>
      </w:r>
      <w:r w:rsidRPr="00335427">
        <w:t>the Constitution or the</w:t>
      </w:r>
      <w:r>
        <w:t xml:space="preserve"> </w:t>
      </w:r>
      <w:r w:rsidRPr="00427132">
        <w:rPr>
          <w:i/>
        </w:rPr>
        <w:t>Federal Financial Relations Act 2009</w:t>
      </w:r>
      <w:r>
        <w:t xml:space="preserve"> may meet the definition of a grant and be subject to the CGRGs.  </w:t>
      </w:r>
    </w:p>
  </w:footnote>
  <w:footnote w:id="3">
    <w:p w14:paraId="6C6AFEC3" w14:textId="77777777" w:rsidR="004409E3" w:rsidRDefault="004409E3">
      <w:pPr>
        <w:pStyle w:val="FootnoteText"/>
      </w:pPr>
      <w:r>
        <w:rPr>
          <w:rStyle w:val="FootnoteReference"/>
        </w:rPr>
        <w:footnoteRef/>
      </w:r>
      <w:r>
        <w:t xml:space="preserve"> See the Finance website for further guidance on act of grace payments.</w:t>
      </w:r>
    </w:p>
  </w:footnote>
  <w:footnote w:id="4">
    <w:p w14:paraId="5FBC6D95" w14:textId="77777777" w:rsidR="004409E3" w:rsidRDefault="004409E3">
      <w:pPr>
        <w:pStyle w:val="FootnoteText"/>
      </w:pPr>
      <w:r>
        <w:rPr>
          <w:rStyle w:val="FootnoteReference"/>
        </w:rPr>
        <w:footnoteRef/>
      </w:r>
      <w:r>
        <w:t xml:space="preserve"> See the Finance website for further guidance on compensation payments.</w:t>
      </w:r>
    </w:p>
  </w:footnote>
  <w:footnote w:id="5">
    <w:p w14:paraId="5AC4D8F3" w14:textId="77777777" w:rsidR="004409E3" w:rsidRDefault="004409E3">
      <w:pPr>
        <w:pStyle w:val="FootnoteText"/>
      </w:pPr>
      <w:r>
        <w:rPr>
          <w:rStyle w:val="FootnoteReference"/>
        </w:rPr>
        <w:footnoteRef/>
      </w:r>
      <w:r>
        <w:t xml:space="preserve"> Information on the Finance Minister’s delegation of powers and functions in PGPA legislation can be found under </w:t>
      </w:r>
      <w:hyperlink r:id="rId1" w:history="1">
        <w:r w:rsidRPr="00767E50">
          <w:rPr>
            <w:rStyle w:val="Hyperlink"/>
            <w:rFonts w:cs="Times New Roman"/>
          </w:rPr>
          <w:t>http://www.finance.gov.au/resource-management/pgpa-legislation/delegations/</w:t>
        </w:r>
      </w:hyperlink>
      <w:r>
        <w:t>. For further information refer to RMG 414 Indemnities, guarantees or warranties granted by the Commonwealth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07AD" w14:textId="23ECE973" w:rsidR="004409E3" w:rsidRPr="00DB6D69" w:rsidRDefault="004409E3">
    <w:pPr>
      <w:pStyle w:val="Header"/>
      <w:rPr>
        <w:b/>
      </w:rPr>
    </w:pPr>
    <w:r w:rsidRPr="00DB6D69">
      <w:rPr>
        <w:b/>
      </w:rPr>
      <w:t>Department of Finance</w:t>
    </w:r>
  </w:p>
  <w:p w14:paraId="64EC4F96" w14:textId="3C833D50" w:rsidR="004409E3" w:rsidRDefault="004409E3">
    <w:pPr>
      <w:pStyle w:val="Header"/>
    </w:pPr>
    <w:r w:rsidRPr="00E14947">
      <w:t xml:space="preserve">RMG-411: </w:t>
    </w:r>
    <w:r>
      <w:t>Grants, Procurements and other financial arrangements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410D" w14:textId="25C65299" w:rsidR="004409E3" w:rsidRDefault="004409E3" w:rsidP="000A6A8B">
    <w:pPr>
      <w:pStyle w:val="Header"/>
      <w:jc w:val="center"/>
    </w:pPr>
    <w:r>
      <w:rPr>
        <w:noProof/>
        <w:lang w:eastAsia="en-AU"/>
      </w:rPr>
      <w:drawing>
        <wp:anchor distT="0" distB="0" distL="114300" distR="114300" simplePos="0" relativeHeight="251657728" behindDoc="1" locked="0" layoutInCell="1" allowOverlap="1" wp14:anchorId="1B0C42D3" wp14:editId="5C82ECE1">
          <wp:simplePos x="0" y="0"/>
          <wp:positionH relativeFrom="page">
            <wp:posOffset>0</wp:posOffset>
          </wp:positionH>
          <wp:positionV relativeFrom="page">
            <wp:posOffset>0</wp:posOffset>
          </wp:positionV>
          <wp:extent cx="7559675" cy="1069403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6704" behindDoc="1" locked="0" layoutInCell="1" allowOverlap="1" wp14:anchorId="406C66F4" wp14:editId="5C45B25D">
              <wp:simplePos x="0" y="0"/>
              <wp:positionH relativeFrom="column">
                <wp:posOffset>-633730</wp:posOffset>
              </wp:positionH>
              <wp:positionV relativeFrom="paragraph">
                <wp:posOffset>2319655</wp:posOffset>
              </wp:positionV>
              <wp:extent cx="7086600" cy="3949700"/>
              <wp:effectExtent l="0" t="0" r="0" b="0"/>
              <wp:wrapNone/>
              <wp:docPr id="3"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949700"/>
                      </a:xfrm>
                      <a:prstGeom prst="triangle">
                        <a:avLst>
                          <a:gd name="adj" fmla="val 100000"/>
                        </a:avLst>
                      </a:prstGeom>
                      <a:solidFill>
                        <a:srgbClr val="92C5C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DCD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" adj="21600" fillcolor="#92c5c5" stroked="f" strokeweight="1pt"/>
          </w:pict>
        </mc:Fallback>
      </mc:AlternateContent>
    </w:r>
    <w:r>
      <w:rPr>
        <w:noProof/>
        <w:lang w:eastAsia="en-AU"/>
      </w:rPr>
      <mc:AlternateContent>
        <mc:Choice Requires="wps">
          <w:drawing>
            <wp:anchor distT="0" distB="0" distL="114300" distR="114300" simplePos="0" relativeHeight="251655680" behindDoc="1" locked="0" layoutInCell="1" allowOverlap="1" wp14:anchorId="19B6715D" wp14:editId="46A99298">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467600"/>
                      </a:xfrm>
                      <a:prstGeom prst="rect">
                        <a:avLst/>
                      </a:prstGeom>
                      <a:solidFill>
                        <a:srgbClr val="BDDCD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C9996" id="Rectangle 2" o:spid="_x0000_s1026" style="position:absolute;margin-left:-49.9pt;margin-top:206.65pt;width:558pt;height:5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" fillcolor="#bddcdf" stroked="f" strokeweight="1pt"/>
          </w:pict>
        </mc:Fallback>
      </mc:AlternateContent>
    </w:r>
    <w:r>
      <w:rPr>
        <w:noProof/>
        <w:lang w:eastAsia="en-AU"/>
      </w:rPr>
      <w:drawing>
        <wp:anchor distT="0" distB="0" distL="114300" distR="114300" simplePos="0" relativeHeight="251658752" behindDoc="0" locked="0" layoutInCell="1" allowOverlap="1" wp14:anchorId="0727C4A5" wp14:editId="4C43CC95">
          <wp:simplePos x="0" y="0"/>
          <wp:positionH relativeFrom="page">
            <wp:posOffset>900430</wp:posOffset>
          </wp:positionH>
          <wp:positionV relativeFrom="page">
            <wp:posOffset>900430</wp:posOffset>
          </wp:positionV>
          <wp:extent cx="2350770" cy="5746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770" cy="574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CE98" w14:textId="77777777" w:rsidR="004409E3" w:rsidRPr="00DB6D69" w:rsidRDefault="004409E3" w:rsidP="00B74CD5">
    <w:pPr>
      <w:pStyle w:val="Header"/>
      <w:rPr>
        <w:b/>
      </w:rPr>
    </w:pPr>
    <w:r w:rsidRPr="00DB6D69">
      <w:rPr>
        <w:b/>
      </w:rPr>
      <w:t>Department of Finance</w:t>
    </w:r>
  </w:p>
  <w:p w14:paraId="2F8852B8" w14:textId="77777777" w:rsidR="004409E3" w:rsidRDefault="004409E3" w:rsidP="00B74CD5">
    <w:pPr>
      <w:pStyle w:val="Header"/>
    </w:pPr>
    <w:r w:rsidRPr="00E14947">
      <w:t>RMG-411: Deciding</w:t>
    </w:r>
    <w:r>
      <w:t xml:space="preserve"> whether to use a Grant, Procurement or other financial arrangement</w:t>
    </w:r>
  </w:p>
  <w:p w14:paraId="1BDA2AD9" w14:textId="77777777" w:rsidR="004409E3" w:rsidRDefault="004409E3" w:rsidP="000A6A8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706B" w14:textId="77777777" w:rsidR="004409E3" w:rsidRDefault="004409E3"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004F8C6"/>
    <w:lvl w:ilvl="0">
      <w:start w:val="1"/>
      <w:numFmt w:val="decimal"/>
      <w:pStyle w:val="NumberedList3"/>
      <w:lvlText w:val="%1."/>
      <w:lvlJc w:val="left"/>
      <w:pPr>
        <w:tabs>
          <w:tab w:val="num" w:pos="643"/>
        </w:tabs>
        <w:ind w:left="643" w:hanging="360"/>
      </w:pPr>
      <w:rPr>
        <w:rFonts w:cs="Times New Roman"/>
      </w:rPr>
    </w:lvl>
  </w:abstractNum>
  <w:abstractNum w:abstractNumId="1" w15:restartNumberingAfterBreak="0">
    <w:nsid w:val="FFFFFF88"/>
    <w:multiLevelType w:val="singleLevel"/>
    <w:tmpl w:val="BED0EBBC"/>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46D8457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891362"/>
    <w:multiLevelType w:val="hybridMultilevel"/>
    <w:tmpl w:val="B214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D7C2EA40"/>
    <w:styleLink w:val="Numberedlist"/>
    <w:lvl w:ilvl="0">
      <w:start w:val="1"/>
      <w:numFmt w:val="decimal"/>
      <w:lvlText w:val="%1."/>
      <w:lvlJc w:val="left"/>
      <w:pPr>
        <w:ind w:left="284" w:hanging="284"/>
      </w:pPr>
      <w:rPr>
        <w:rFonts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5"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6" w15:restartNumberingAfterBreak="0">
    <w:nsid w:val="130E2735"/>
    <w:multiLevelType w:val="hybridMultilevel"/>
    <w:tmpl w:val="095A389C"/>
    <w:lvl w:ilvl="0" w:tplc="3036F9D4">
      <w:start w:val="1"/>
      <w:numFmt w:val="lowerLetter"/>
      <w:lvlText w:val="%1)"/>
      <w:lvlJc w:val="left"/>
      <w:pPr>
        <w:tabs>
          <w:tab w:val="num" w:pos="567"/>
        </w:tabs>
        <w:ind w:left="567" w:hanging="360"/>
      </w:pPr>
      <w:rPr>
        <w:rFonts w:ascii="Arial" w:hAnsi="Arial" w:cs="Times New Roman" w:hint="default"/>
      </w:rPr>
    </w:lvl>
    <w:lvl w:ilvl="1" w:tplc="0C090019" w:tentative="1">
      <w:start w:val="1"/>
      <w:numFmt w:val="lowerLetter"/>
      <w:lvlText w:val="%2."/>
      <w:lvlJc w:val="left"/>
      <w:pPr>
        <w:tabs>
          <w:tab w:val="num" w:pos="927"/>
        </w:tabs>
        <w:ind w:left="927" w:hanging="360"/>
      </w:pPr>
      <w:rPr>
        <w:rFonts w:cs="Times New Roman"/>
      </w:rPr>
    </w:lvl>
    <w:lvl w:ilvl="2" w:tplc="0C09001B" w:tentative="1">
      <w:start w:val="1"/>
      <w:numFmt w:val="lowerRoman"/>
      <w:lvlText w:val="%3."/>
      <w:lvlJc w:val="right"/>
      <w:pPr>
        <w:tabs>
          <w:tab w:val="num" w:pos="1647"/>
        </w:tabs>
        <w:ind w:left="1647" w:hanging="180"/>
      </w:pPr>
      <w:rPr>
        <w:rFonts w:cs="Times New Roman"/>
      </w:rPr>
    </w:lvl>
    <w:lvl w:ilvl="3" w:tplc="0C09000F" w:tentative="1">
      <w:start w:val="1"/>
      <w:numFmt w:val="decimal"/>
      <w:lvlText w:val="%4."/>
      <w:lvlJc w:val="left"/>
      <w:pPr>
        <w:tabs>
          <w:tab w:val="num" w:pos="2367"/>
        </w:tabs>
        <w:ind w:left="2367" w:hanging="360"/>
      </w:pPr>
      <w:rPr>
        <w:rFonts w:cs="Times New Roman"/>
      </w:rPr>
    </w:lvl>
    <w:lvl w:ilvl="4" w:tplc="0C090019" w:tentative="1">
      <w:start w:val="1"/>
      <w:numFmt w:val="lowerLetter"/>
      <w:lvlText w:val="%5."/>
      <w:lvlJc w:val="left"/>
      <w:pPr>
        <w:tabs>
          <w:tab w:val="num" w:pos="3087"/>
        </w:tabs>
        <w:ind w:left="3087" w:hanging="360"/>
      </w:pPr>
      <w:rPr>
        <w:rFonts w:cs="Times New Roman"/>
      </w:rPr>
    </w:lvl>
    <w:lvl w:ilvl="5" w:tplc="0C09001B" w:tentative="1">
      <w:start w:val="1"/>
      <w:numFmt w:val="lowerRoman"/>
      <w:lvlText w:val="%6."/>
      <w:lvlJc w:val="right"/>
      <w:pPr>
        <w:tabs>
          <w:tab w:val="num" w:pos="3807"/>
        </w:tabs>
        <w:ind w:left="3807" w:hanging="180"/>
      </w:pPr>
      <w:rPr>
        <w:rFonts w:cs="Times New Roman"/>
      </w:rPr>
    </w:lvl>
    <w:lvl w:ilvl="6" w:tplc="0C09000F" w:tentative="1">
      <w:start w:val="1"/>
      <w:numFmt w:val="decimal"/>
      <w:lvlText w:val="%7."/>
      <w:lvlJc w:val="left"/>
      <w:pPr>
        <w:tabs>
          <w:tab w:val="num" w:pos="4527"/>
        </w:tabs>
        <w:ind w:left="4527" w:hanging="360"/>
      </w:pPr>
      <w:rPr>
        <w:rFonts w:cs="Times New Roman"/>
      </w:rPr>
    </w:lvl>
    <w:lvl w:ilvl="7" w:tplc="0C090019" w:tentative="1">
      <w:start w:val="1"/>
      <w:numFmt w:val="lowerLetter"/>
      <w:lvlText w:val="%8."/>
      <w:lvlJc w:val="left"/>
      <w:pPr>
        <w:tabs>
          <w:tab w:val="num" w:pos="5247"/>
        </w:tabs>
        <w:ind w:left="5247" w:hanging="360"/>
      </w:pPr>
      <w:rPr>
        <w:rFonts w:cs="Times New Roman"/>
      </w:rPr>
    </w:lvl>
    <w:lvl w:ilvl="8" w:tplc="0C09001B" w:tentative="1">
      <w:start w:val="1"/>
      <w:numFmt w:val="lowerRoman"/>
      <w:lvlText w:val="%9."/>
      <w:lvlJc w:val="right"/>
      <w:pPr>
        <w:tabs>
          <w:tab w:val="num" w:pos="5967"/>
        </w:tabs>
        <w:ind w:left="5967" w:hanging="180"/>
      </w:pPr>
      <w:rPr>
        <w:rFonts w:cs="Times New Roman"/>
      </w:rPr>
    </w:lvl>
  </w:abstractNum>
  <w:abstractNum w:abstractNumId="7"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F09BA"/>
    <w:multiLevelType w:val="hybridMultilevel"/>
    <w:tmpl w:val="2DB84B84"/>
    <w:lvl w:ilvl="0" w:tplc="7360AC4A">
      <w:start w:val="1"/>
      <w:numFmt w:val="lowerLetter"/>
      <w:lvlText w:val="%1)"/>
      <w:lvlJc w:val="left"/>
      <w:pPr>
        <w:tabs>
          <w:tab w:val="num" w:pos="1086"/>
        </w:tabs>
        <w:ind w:left="1086" w:hanging="360"/>
      </w:pPr>
      <w:rPr>
        <w:rFonts w:ascii="Arial" w:hAnsi="Arial" w:cs="Times New Roman" w:hint="default"/>
      </w:rPr>
    </w:lvl>
    <w:lvl w:ilvl="1" w:tplc="0C090019" w:tentative="1">
      <w:start w:val="1"/>
      <w:numFmt w:val="lowerLetter"/>
      <w:lvlText w:val="%2."/>
      <w:lvlJc w:val="left"/>
      <w:pPr>
        <w:tabs>
          <w:tab w:val="num" w:pos="1446"/>
        </w:tabs>
        <w:ind w:left="1446" w:hanging="360"/>
      </w:pPr>
      <w:rPr>
        <w:rFonts w:cs="Times New Roman"/>
      </w:rPr>
    </w:lvl>
    <w:lvl w:ilvl="2" w:tplc="0C09001B" w:tentative="1">
      <w:start w:val="1"/>
      <w:numFmt w:val="lowerRoman"/>
      <w:lvlText w:val="%3."/>
      <w:lvlJc w:val="right"/>
      <w:pPr>
        <w:tabs>
          <w:tab w:val="num" w:pos="2166"/>
        </w:tabs>
        <w:ind w:left="2166" w:hanging="180"/>
      </w:pPr>
      <w:rPr>
        <w:rFonts w:cs="Times New Roman"/>
      </w:rPr>
    </w:lvl>
    <w:lvl w:ilvl="3" w:tplc="0C09000F" w:tentative="1">
      <w:start w:val="1"/>
      <w:numFmt w:val="decimal"/>
      <w:lvlText w:val="%4."/>
      <w:lvlJc w:val="left"/>
      <w:pPr>
        <w:tabs>
          <w:tab w:val="num" w:pos="2886"/>
        </w:tabs>
        <w:ind w:left="2886" w:hanging="360"/>
      </w:pPr>
      <w:rPr>
        <w:rFonts w:cs="Times New Roman"/>
      </w:rPr>
    </w:lvl>
    <w:lvl w:ilvl="4" w:tplc="0C090019" w:tentative="1">
      <w:start w:val="1"/>
      <w:numFmt w:val="lowerLetter"/>
      <w:lvlText w:val="%5."/>
      <w:lvlJc w:val="left"/>
      <w:pPr>
        <w:tabs>
          <w:tab w:val="num" w:pos="3606"/>
        </w:tabs>
        <w:ind w:left="3606" w:hanging="360"/>
      </w:pPr>
      <w:rPr>
        <w:rFonts w:cs="Times New Roman"/>
      </w:rPr>
    </w:lvl>
    <w:lvl w:ilvl="5" w:tplc="0C09001B" w:tentative="1">
      <w:start w:val="1"/>
      <w:numFmt w:val="lowerRoman"/>
      <w:lvlText w:val="%6."/>
      <w:lvlJc w:val="right"/>
      <w:pPr>
        <w:tabs>
          <w:tab w:val="num" w:pos="4326"/>
        </w:tabs>
        <w:ind w:left="4326" w:hanging="180"/>
      </w:pPr>
      <w:rPr>
        <w:rFonts w:cs="Times New Roman"/>
      </w:rPr>
    </w:lvl>
    <w:lvl w:ilvl="6" w:tplc="0C09000F" w:tentative="1">
      <w:start w:val="1"/>
      <w:numFmt w:val="decimal"/>
      <w:lvlText w:val="%7."/>
      <w:lvlJc w:val="left"/>
      <w:pPr>
        <w:tabs>
          <w:tab w:val="num" w:pos="5046"/>
        </w:tabs>
        <w:ind w:left="5046" w:hanging="360"/>
      </w:pPr>
      <w:rPr>
        <w:rFonts w:cs="Times New Roman"/>
      </w:rPr>
    </w:lvl>
    <w:lvl w:ilvl="7" w:tplc="0C090019" w:tentative="1">
      <w:start w:val="1"/>
      <w:numFmt w:val="lowerLetter"/>
      <w:lvlText w:val="%8."/>
      <w:lvlJc w:val="left"/>
      <w:pPr>
        <w:tabs>
          <w:tab w:val="num" w:pos="5766"/>
        </w:tabs>
        <w:ind w:left="5766" w:hanging="360"/>
      </w:pPr>
      <w:rPr>
        <w:rFonts w:cs="Times New Roman"/>
      </w:rPr>
    </w:lvl>
    <w:lvl w:ilvl="8" w:tplc="0C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rPr>
        <w:rFonts w:cs="Times New Roman"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29585F39"/>
    <w:multiLevelType w:val="hybridMultilevel"/>
    <w:tmpl w:val="AF3E796C"/>
    <w:lvl w:ilvl="0" w:tplc="0C090017">
      <w:start w:val="1"/>
      <w:numFmt w:val="lowerLetter"/>
      <w:lvlText w:val="%1)"/>
      <w:lvlJc w:val="left"/>
      <w:pPr>
        <w:ind w:left="928" w:hanging="360"/>
      </w:pPr>
      <w:rPr>
        <w:rFonts w:hint="default"/>
      </w:rPr>
    </w:lvl>
    <w:lvl w:ilvl="1" w:tplc="0C090001">
      <w:start w:val="1"/>
      <w:numFmt w:val="bullet"/>
      <w:lvlText w:val=""/>
      <w:lvlJc w:val="left"/>
      <w:pPr>
        <w:ind w:left="1648" w:hanging="360"/>
      </w:pPr>
      <w:rPr>
        <w:rFonts w:ascii="Symbol" w:hAnsi="Symbol"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pStyle w:val="Heading2Numbered"/>
      <w:lvlText w:val="%1.%2"/>
      <w:lvlJc w:val="left"/>
      <w:pPr>
        <w:ind w:left="567" w:hanging="567"/>
      </w:pPr>
      <w:rPr>
        <w:rFonts w:cs="Times New Roman" w:hint="default"/>
      </w:rPr>
    </w:lvl>
    <w:lvl w:ilvl="2">
      <w:start w:val="1"/>
      <w:numFmt w:val="decimal"/>
      <w:pStyle w:val="Heading3Numbered"/>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2" w15:restartNumberingAfterBreak="0">
    <w:nsid w:val="35414BDA"/>
    <w:multiLevelType w:val="hybridMultilevel"/>
    <w:tmpl w:val="315C1CC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4" w15:restartNumberingAfterBreak="0">
    <w:nsid w:val="487D31C8"/>
    <w:multiLevelType w:val="hybridMultilevel"/>
    <w:tmpl w:val="AE6ABA66"/>
    <w:lvl w:ilvl="0" w:tplc="552AA772">
      <w:start w:val="1"/>
      <w:numFmt w:val="decimal"/>
      <w:lvlText w:val="%1."/>
      <w:lvlJc w:val="left"/>
      <w:pPr>
        <w:ind w:left="360" w:hanging="360"/>
      </w:pPr>
      <w:rPr>
        <w:rFonts w:ascii="Arial" w:hAnsi="Arial" w:cs="Arial" w:hint="default"/>
      </w:rPr>
    </w:lvl>
    <w:lvl w:ilvl="1" w:tplc="0C090017">
      <w:start w:val="1"/>
      <w:numFmt w:val="bullet"/>
      <w:lvlText w:val="o"/>
      <w:lvlJc w:val="left"/>
      <w:pPr>
        <w:ind w:left="1080" w:hanging="360"/>
      </w:pPr>
      <w:rPr>
        <w:rFonts w:ascii="Courier New" w:hAnsi="Courier New" w:hint="default"/>
      </w:rPr>
    </w:lvl>
    <w:lvl w:ilvl="2" w:tplc="0C09001B">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5" w15:restartNumberingAfterBreak="0">
    <w:nsid w:val="4A461AEE"/>
    <w:multiLevelType w:val="hybridMultilevel"/>
    <w:tmpl w:val="8310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7"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decimal"/>
      <w:lvlRestart w:val="0"/>
      <w:lvlText w:val="%1.%4"/>
      <w:lvlJc w:val="left"/>
      <w:pPr>
        <w:tabs>
          <w:tab w:val="num" w:pos="567"/>
        </w:tabs>
        <w:ind w:left="567" w:hanging="567"/>
      </w:pPr>
      <w:rPr>
        <w:rFonts w:cs="Times New Roman" w:hint="default"/>
        <w:b/>
        <w:i w:val="0"/>
      </w:rPr>
    </w:lvl>
    <w:lvl w:ilvl="4">
      <w:start w:val="1"/>
      <w:numFmt w:val="lowerLetter"/>
      <w:pStyle w:val="Numberedpara2ndindent"/>
      <w:lvlText w:val="%5."/>
      <w:lvlJc w:val="left"/>
      <w:pPr>
        <w:tabs>
          <w:tab w:val="num" w:pos="851"/>
        </w:tabs>
        <w:ind w:left="851" w:hanging="284"/>
      </w:pPr>
      <w:rPr>
        <w:rFonts w:cs="Times New Roman" w:hint="default"/>
      </w:rPr>
    </w:lvl>
    <w:lvl w:ilvl="5">
      <w:start w:val="1"/>
      <w:numFmt w:val="lowerRoman"/>
      <w:lvlText w:val="%6."/>
      <w:lvlJc w:val="left"/>
      <w:pPr>
        <w:tabs>
          <w:tab w:val="num" w:pos="1134"/>
        </w:tabs>
        <w:ind w:left="1134" w:hanging="283"/>
      </w:pPr>
      <w:rPr>
        <w:rFonts w:cs="Times New Roman" w:hint="default"/>
      </w:rPr>
    </w:lvl>
    <w:lvl w:ilvl="6">
      <w:start w:val="1"/>
      <w:numFmt w:val="decimal"/>
      <w:lvlRestart w:val="0"/>
      <w:pStyle w:val="Figuretitle"/>
      <w:suff w:val="space"/>
      <w:lvlText w:val="Figure %7:"/>
      <w:lvlJc w:val="left"/>
      <w:rPr>
        <w:rFonts w:cs="Times New Roman" w:hint="default"/>
      </w:rPr>
    </w:lvl>
    <w:lvl w:ilvl="7">
      <w:start w:val="1"/>
      <w:numFmt w:val="decimal"/>
      <w:lvlRestart w:val="0"/>
      <w:pStyle w:val="Notetitle"/>
      <w:suff w:val="space"/>
      <w:lvlText w:val="Note %8:"/>
      <w:lvlJc w:val="left"/>
      <w:rPr>
        <w:rFonts w:cs="Times New Roman" w:hint="default"/>
      </w:rPr>
    </w:lvl>
    <w:lvl w:ilvl="8">
      <w:start w:val="1"/>
      <w:numFmt w:val="decimal"/>
      <w:lvlRestart w:val="0"/>
      <w:pStyle w:val="Tabletitle"/>
      <w:suff w:val="space"/>
      <w:lvlText w:val="Table %1.%9:"/>
      <w:lvlJc w:val="left"/>
      <w:rPr>
        <w:rFonts w:cs="Times New Roman" w:hint="default"/>
      </w:rPr>
    </w:lvl>
  </w:abstractNum>
  <w:abstractNum w:abstractNumId="18" w15:restartNumberingAfterBreak="0">
    <w:nsid w:val="53EC49A7"/>
    <w:multiLevelType w:val="hybridMultilevel"/>
    <w:tmpl w:val="EFC6007C"/>
    <w:lvl w:ilvl="0" w:tplc="93384DE0">
      <w:start w:val="1"/>
      <w:numFmt w:val="decimal"/>
      <w:lvlText w:val="%1."/>
      <w:lvlJc w:val="left"/>
      <w:pPr>
        <w:ind w:left="360" w:hanging="360"/>
      </w:pPr>
      <w:rPr>
        <w:rFonts w:cs="Times New Roman" w:hint="default"/>
      </w:rPr>
    </w:lvl>
    <w:lvl w:ilvl="1" w:tplc="A7ACFB9C">
      <w:start w:val="1"/>
      <w:numFmt w:val="lowerLetter"/>
      <w:lvlText w:val="%2."/>
      <w:lvlJc w:val="left"/>
      <w:pPr>
        <w:ind w:left="1440" w:hanging="360"/>
      </w:pPr>
      <w:rPr>
        <w:rFonts w:cs="Times New Roman"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rPr>
        <w:rFonts w:cs="Times New Roman"/>
      </w:rPr>
    </w:lvl>
    <w:lvl w:ilvl="4" w:tplc="DDE67586">
      <w:numFmt w:val="bullet"/>
      <w:lvlText w:val="-"/>
      <w:lvlJc w:val="left"/>
      <w:pPr>
        <w:ind w:left="3600" w:hanging="360"/>
      </w:pPr>
      <w:rPr>
        <w:rFonts w:ascii="Cambria" w:eastAsia="Times New Roman" w:hAnsi="Cambria" w:hint="default"/>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20"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hint="default"/>
      </w:rPr>
    </w:lvl>
    <w:lvl w:ilvl="1" w:tplc="0C090003" w:tentative="1">
      <w:start w:val="1"/>
      <w:numFmt w:val="bullet"/>
      <w:lvlText w:val="o"/>
      <w:lvlJc w:val="left"/>
      <w:pPr>
        <w:ind w:left="2716" w:hanging="360"/>
      </w:pPr>
      <w:rPr>
        <w:rFonts w:ascii="Courier New" w:hAnsi="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22"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cs="Times New Roman"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rPr>
        <w:rFonts w:cs="Times New Roman"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3"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1"/>
  </w:num>
  <w:num w:numId="14">
    <w:abstractNumId w:val="0"/>
  </w:num>
  <w:num w:numId="15">
    <w:abstractNumId w:val="2"/>
  </w:num>
  <w:num w:numId="16">
    <w:abstractNumId w:val="23"/>
  </w:num>
  <w:num w:numId="17">
    <w:abstractNumId w:val="4"/>
    <w:lvlOverride w:ilvl="0">
      <w:lvl w:ilvl="0">
        <w:start w:val="1"/>
        <w:numFmt w:val="decimal"/>
        <w:lvlText w:val="%1."/>
        <w:lvlJc w:val="left"/>
        <w:pPr>
          <w:ind w:left="284" w:hanging="284"/>
        </w:pPr>
        <w:rPr>
          <w:rFonts w:cs="Times New Roman" w:hint="default"/>
        </w:rPr>
      </w:lvl>
    </w:lvlOverride>
    <w:lvlOverride w:ilvl="1">
      <w:lvl w:ilvl="1">
        <w:start w:val="1"/>
        <w:numFmt w:val="lowerLetter"/>
        <w:lvlText w:val="%2."/>
        <w:lvlJc w:val="left"/>
        <w:pPr>
          <w:ind w:left="568" w:hanging="284"/>
        </w:pPr>
        <w:rPr>
          <w:rFonts w:cs="Times New Roman" w:hint="default"/>
        </w:rPr>
      </w:lvl>
    </w:lvlOverride>
    <w:lvlOverride w:ilvl="2">
      <w:lvl w:ilvl="2">
        <w:start w:val="1"/>
        <w:numFmt w:val="lowerRoman"/>
        <w:lvlText w:val="%3."/>
        <w:lvlJc w:val="left"/>
        <w:pPr>
          <w:ind w:left="852" w:hanging="284"/>
        </w:pPr>
        <w:rPr>
          <w:rFonts w:cs="Times New Roman" w:hint="default"/>
        </w:rPr>
      </w:lvl>
    </w:lvlOverride>
    <w:lvlOverride w:ilvl="3">
      <w:lvl w:ilvl="3">
        <w:start w:val="1"/>
        <w:numFmt w:val="decimal"/>
        <w:lvlText w:val="(%4)"/>
        <w:lvlJc w:val="left"/>
        <w:pPr>
          <w:ind w:left="1136" w:hanging="284"/>
        </w:pPr>
        <w:rPr>
          <w:rFonts w:cs="Times New Roman" w:hint="default"/>
        </w:rPr>
      </w:lvl>
    </w:lvlOverride>
    <w:lvlOverride w:ilvl="4">
      <w:lvl w:ilvl="4">
        <w:start w:val="1"/>
        <w:numFmt w:val="lowerLetter"/>
        <w:lvlText w:val="(%5)"/>
        <w:lvlJc w:val="left"/>
        <w:pPr>
          <w:ind w:left="1420" w:hanging="284"/>
        </w:pPr>
        <w:rPr>
          <w:rFonts w:cs="Times New Roman" w:hint="default"/>
        </w:rPr>
      </w:lvl>
    </w:lvlOverride>
    <w:lvlOverride w:ilvl="5">
      <w:lvl w:ilvl="5">
        <w:start w:val="1"/>
        <w:numFmt w:val="lowerRoman"/>
        <w:lvlText w:val="(%6)"/>
        <w:lvlJc w:val="left"/>
        <w:pPr>
          <w:ind w:left="1704" w:hanging="284"/>
        </w:pPr>
        <w:rPr>
          <w:rFonts w:cs="Times New Roman" w:hint="default"/>
        </w:rPr>
      </w:lvl>
    </w:lvlOverride>
    <w:lvlOverride w:ilvl="6">
      <w:lvl w:ilvl="6">
        <w:start w:val="1"/>
        <w:numFmt w:val="decimal"/>
        <w:lvlText w:val="%7."/>
        <w:lvlJc w:val="left"/>
        <w:pPr>
          <w:ind w:left="1988" w:hanging="284"/>
        </w:pPr>
        <w:rPr>
          <w:rFonts w:cs="Times New Roman" w:hint="default"/>
        </w:rPr>
      </w:lvl>
    </w:lvlOverride>
    <w:lvlOverride w:ilvl="7">
      <w:lvl w:ilvl="7">
        <w:start w:val="1"/>
        <w:numFmt w:val="lowerLetter"/>
        <w:lvlText w:val="%8."/>
        <w:lvlJc w:val="left"/>
        <w:pPr>
          <w:ind w:left="2272" w:hanging="284"/>
        </w:pPr>
        <w:rPr>
          <w:rFonts w:cs="Times New Roman" w:hint="default"/>
        </w:rPr>
      </w:lvl>
    </w:lvlOverride>
    <w:lvlOverride w:ilvl="8">
      <w:lvl w:ilvl="8">
        <w:start w:val="1"/>
        <w:numFmt w:val="lowerRoman"/>
        <w:lvlText w:val="%9."/>
        <w:lvlJc w:val="left"/>
        <w:pPr>
          <w:ind w:left="2556" w:hanging="284"/>
        </w:pPr>
        <w:rPr>
          <w:rFonts w:cs="Times New Roman" w:hint="default"/>
        </w:rPr>
      </w:lvl>
    </w:lvlOverride>
  </w:num>
  <w:num w:numId="18">
    <w:abstractNumId w:val="11"/>
  </w:num>
  <w:num w:numId="19">
    <w:abstractNumId w:val="19"/>
  </w:num>
  <w:num w:numId="20">
    <w:abstractNumId w:val="21"/>
  </w:num>
  <w:num w:numId="21">
    <w:abstractNumId w:val="17"/>
  </w:num>
  <w:num w:numId="22">
    <w:abstractNumId w:val="9"/>
  </w:num>
  <w:num w:numId="23">
    <w:abstractNumId w:val="22"/>
  </w:num>
  <w:num w:numId="24">
    <w:abstractNumId w:val="14"/>
  </w:num>
  <w:num w:numId="25">
    <w:abstractNumId w:val="7"/>
  </w:num>
  <w:num w:numId="26">
    <w:abstractNumId w:val="18"/>
  </w:num>
  <w:num w:numId="27">
    <w:abstractNumId w:val="20"/>
  </w:num>
  <w:num w:numId="28">
    <w:abstractNumId w:val="4"/>
  </w:num>
  <w:num w:numId="29">
    <w:abstractNumId w:val="13"/>
  </w:num>
  <w:num w:numId="30">
    <w:abstractNumId w:val="5"/>
  </w:num>
  <w:num w:numId="31">
    <w:abstractNumId w:val="16"/>
  </w:num>
  <w:num w:numId="32">
    <w:abstractNumId w:val="8"/>
  </w:num>
  <w:num w:numId="33">
    <w:abstractNumId w:val="6"/>
  </w:num>
  <w:num w:numId="34">
    <w:abstractNumId w:val="3"/>
  </w:num>
  <w:num w:numId="35">
    <w:abstractNumId w:val="4"/>
    <w:lvlOverride w:ilvl="0">
      <w:lvl w:ilvl="0">
        <w:start w:val="1"/>
        <w:numFmt w:val="decimal"/>
        <w:lvlText w:val="%1."/>
        <w:lvlJc w:val="left"/>
        <w:pPr>
          <w:ind w:left="284" w:hanging="284"/>
        </w:pPr>
        <w:rPr>
          <w:rFonts w:cs="Times New Roman" w:hint="default"/>
        </w:rPr>
      </w:lvl>
    </w:lvlOverride>
    <w:lvlOverride w:ilvl="1">
      <w:lvl w:ilvl="1">
        <w:start w:val="1"/>
        <w:numFmt w:val="lowerLetter"/>
        <w:lvlText w:val="%2."/>
        <w:lvlJc w:val="left"/>
        <w:pPr>
          <w:ind w:left="568" w:hanging="284"/>
        </w:pPr>
        <w:rPr>
          <w:rFonts w:cs="Times New Roman" w:hint="default"/>
        </w:rPr>
      </w:lvl>
    </w:lvlOverride>
    <w:lvlOverride w:ilvl="2">
      <w:lvl w:ilvl="2">
        <w:start w:val="1"/>
        <w:numFmt w:val="lowerRoman"/>
        <w:lvlText w:val="%3."/>
        <w:lvlJc w:val="left"/>
        <w:pPr>
          <w:ind w:left="852" w:hanging="284"/>
        </w:pPr>
        <w:rPr>
          <w:rFonts w:cs="Times New Roman" w:hint="default"/>
        </w:rPr>
      </w:lvl>
    </w:lvlOverride>
    <w:lvlOverride w:ilvl="3">
      <w:lvl w:ilvl="3">
        <w:start w:val="1"/>
        <w:numFmt w:val="decimal"/>
        <w:lvlText w:val="(%4)"/>
        <w:lvlJc w:val="left"/>
        <w:pPr>
          <w:ind w:left="1136" w:hanging="284"/>
        </w:pPr>
        <w:rPr>
          <w:rFonts w:cs="Times New Roman" w:hint="default"/>
        </w:rPr>
      </w:lvl>
    </w:lvlOverride>
    <w:lvlOverride w:ilvl="4">
      <w:lvl w:ilvl="4">
        <w:start w:val="1"/>
        <w:numFmt w:val="lowerLetter"/>
        <w:lvlText w:val="(%5)"/>
        <w:lvlJc w:val="left"/>
        <w:pPr>
          <w:ind w:left="1420" w:hanging="284"/>
        </w:pPr>
        <w:rPr>
          <w:rFonts w:cs="Times New Roman" w:hint="default"/>
        </w:rPr>
      </w:lvl>
    </w:lvlOverride>
    <w:lvlOverride w:ilvl="5">
      <w:lvl w:ilvl="5">
        <w:start w:val="1"/>
        <w:numFmt w:val="lowerRoman"/>
        <w:lvlText w:val="(%6)"/>
        <w:lvlJc w:val="left"/>
        <w:pPr>
          <w:ind w:left="1704" w:hanging="284"/>
        </w:pPr>
        <w:rPr>
          <w:rFonts w:cs="Times New Roman" w:hint="default"/>
        </w:rPr>
      </w:lvl>
    </w:lvlOverride>
    <w:lvlOverride w:ilvl="6">
      <w:lvl w:ilvl="6">
        <w:start w:val="1"/>
        <w:numFmt w:val="decimal"/>
        <w:lvlText w:val="%7."/>
        <w:lvlJc w:val="left"/>
        <w:pPr>
          <w:ind w:left="1988" w:hanging="284"/>
        </w:pPr>
        <w:rPr>
          <w:rFonts w:cs="Times New Roman" w:hint="default"/>
        </w:rPr>
      </w:lvl>
    </w:lvlOverride>
    <w:lvlOverride w:ilvl="7">
      <w:lvl w:ilvl="7">
        <w:start w:val="1"/>
        <w:numFmt w:val="lowerLetter"/>
        <w:lvlText w:val="%8."/>
        <w:lvlJc w:val="left"/>
        <w:pPr>
          <w:ind w:left="2272" w:hanging="284"/>
        </w:pPr>
        <w:rPr>
          <w:rFonts w:cs="Times New Roman" w:hint="default"/>
        </w:rPr>
      </w:lvl>
    </w:lvlOverride>
    <w:lvlOverride w:ilvl="8">
      <w:lvl w:ilvl="8">
        <w:start w:val="1"/>
        <w:numFmt w:val="lowerRoman"/>
        <w:lvlText w:val="%9."/>
        <w:lvlJc w:val="left"/>
        <w:pPr>
          <w:ind w:left="2556" w:hanging="284"/>
        </w:pPr>
        <w:rPr>
          <w:rFonts w:cs="Times New Roman" w:hint="default"/>
        </w:rPr>
      </w:lvl>
    </w:lvlOverride>
  </w:num>
  <w:num w:numId="36">
    <w:abstractNumId w:val="12"/>
  </w:num>
  <w:num w:numId="37">
    <w:abstractNumId w:val="15"/>
  </w:num>
  <w:num w:numId="38">
    <w:abstractNumId w:val="4"/>
    <w:lvlOverride w:ilvl="0">
      <w:lvl w:ilvl="0">
        <w:start w:val="1"/>
        <w:numFmt w:val="decimal"/>
        <w:lvlText w:val="%1."/>
        <w:lvlJc w:val="left"/>
        <w:pPr>
          <w:ind w:left="568" w:hanging="284"/>
        </w:pPr>
        <w:rPr>
          <w:rFonts w:hint="default"/>
          <w:i w:val="0"/>
        </w:rPr>
      </w:lvl>
    </w:lvlOverride>
    <w:lvlOverride w:ilvl="1">
      <w:lvl w:ilvl="1">
        <w:start w:val="1"/>
        <w:numFmt w:val="lowerLetter"/>
        <w:lvlText w:val="%2."/>
        <w:lvlJc w:val="left"/>
        <w:pPr>
          <w:ind w:left="852" w:hanging="284"/>
        </w:pPr>
        <w:rPr>
          <w:rFonts w:hint="default"/>
        </w:rPr>
      </w:lvl>
    </w:lvlOverride>
    <w:lvlOverride w:ilvl="2">
      <w:lvl w:ilvl="2">
        <w:start w:val="1"/>
        <w:numFmt w:val="lowerRoman"/>
        <w:lvlText w:val="%3."/>
        <w:lvlJc w:val="left"/>
        <w:pPr>
          <w:ind w:left="1136" w:hanging="284"/>
        </w:pPr>
        <w:rPr>
          <w:rFonts w:hint="default"/>
        </w:rPr>
      </w:lvl>
    </w:lvlOverride>
    <w:lvlOverride w:ilvl="3">
      <w:lvl w:ilvl="3">
        <w:start w:val="1"/>
        <w:numFmt w:val="decimal"/>
        <w:lvlText w:val="(%4)"/>
        <w:lvlJc w:val="left"/>
        <w:pPr>
          <w:ind w:left="1420" w:hanging="284"/>
        </w:pPr>
        <w:rPr>
          <w:rFonts w:hint="default"/>
        </w:rPr>
      </w:lvl>
    </w:lvlOverride>
    <w:lvlOverride w:ilvl="4">
      <w:lvl w:ilvl="4">
        <w:start w:val="1"/>
        <w:numFmt w:val="lowerLetter"/>
        <w:lvlText w:val="(%5)"/>
        <w:lvlJc w:val="left"/>
        <w:pPr>
          <w:ind w:left="1704" w:hanging="284"/>
        </w:pPr>
        <w:rPr>
          <w:rFonts w:hint="default"/>
        </w:rPr>
      </w:lvl>
    </w:lvlOverride>
    <w:lvlOverride w:ilvl="5">
      <w:lvl w:ilvl="5">
        <w:start w:val="1"/>
        <w:numFmt w:val="lowerRoman"/>
        <w:lvlText w:val="(%6)"/>
        <w:lvlJc w:val="left"/>
        <w:pPr>
          <w:ind w:left="1988" w:hanging="284"/>
        </w:pPr>
        <w:rPr>
          <w:rFonts w:hint="default"/>
        </w:rPr>
      </w:lvl>
    </w:lvlOverride>
    <w:lvlOverride w:ilvl="6">
      <w:lvl w:ilvl="6">
        <w:start w:val="1"/>
        <w:numFmt w:val="decimal"/>
        <w:lvlText w:val="%7."/>
        <w:lvlJc w:val="left"/>
        <w:pPr>
          <w:ind w:left="2272" w:hanging="284"/>
        </w:pPr>
        <w:rPr>
          <w:rFonts w:hint="default"/>
        </w:rPr>
      </w:lvl>
    </w:lvlOverride>
    <w:lvlOverride w:ilvl="7">
      <w:lvl w:ilvl="7">
        <w:start w:val="1"/>
        <w:numFmt w:val="lowerLetter"/>
        <w:lvlText w:val="%8."/>
        <w:lvlJc w:val="left"/>
        <w:pPr>
          <w:ind w:left="2556" w:hanging="284"/>
        </w:pPr>
        <w:rPr>
          <w:rFonts w:hint="default"/>
        </w:rPr>
      </w:lvl>
    </w:lvlOverride>
    <w:lvlOverride w:ilvl="8">
      <w:lvl w:ilvl="8">
        <w:start w:val="1"/>
        <w:numFmt w:val="lowerRoman"/>
        <w:lvlText w:val="%9."/>
        <w:lvlJc w:val="left"/>
        <w:pPr>
          <w:ind w:left="2840" w:hanging="284"/>
        </w:pPr>
        <w:rPr>
          <w:rFonts w:hint="default"/>
        </w:rPr>
      </w:lvl>
    </w:lvlOverride>
  </w:num>
  <w:num w:numId="3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2ACC"/>
    <w:rsid w:val="00003F3C"/>
    <w:rsid w:val="00014691"/>
    <w:rsid w:val="000205B7"/>
    <w:rsid w:val="0002782F"/>
    <w:rsid w:val="00027CB2"/>
    <w:rsid w:val="0003233F"/>
    <w:rsid w:val="000325E0"/>
    <w:rsid w:val="00041D4D"/>
    <w:rsid w:val="000447EE"/>
    <w:rsid w:val="0004507F"/>
    <w:rsid w:val="00052714"/>
    <w:rsid w:val="00054E11"/>
    <w:rsid w:val="00054E4D"/>
    <w:rsid w:val="000567D1"/>
    <w:rsid w:val="00060073"/>
    <w:rsid w:val="000603C7"/>
    <w:rsid w:val="000634C5"/>
    <w:rsid w:val="00074576"/>
    <w:rsid w:val="00076DA8"/>
    <w:rsid w:val="00080CA6"/>
    <w:rsid w:val="00082522"/>
    <w:rsid w:val="000829F4"/>
    <w:rsid w:val="000965F4"/>
    <w:rsid w:val="00097132"/>
    <w:rsid w:val="000A3731"/>
    <w:rsid w:val="000A4B30"/>
    <w:rsid w:val="000A6A8B"/>
    <w:rsid w:val="000B02AD"/>
    <w:rsid w:val="000B0951"/>
    <w:rsid w:val="000B0AE5"/>
    <w:rsid w:val="000B1C25"/>
    <w:rsid w:val="000B534A"/>
    <w:rsid w:val="000C2793"/>
    <w:rsid w:val="000C2A48"/>
    <w:rsid w:val="000C5F75"/>
    <w:rsid w:val="000D55A4"/>
    <w:rsid w:val="000D60B1"/>
    <w:rsid w:val="000D6C70"/>
    <w:rsid w:val="000E4EEF"/>
    <w:rsid w:val="000E550F"/>
    <w:rsid w:val="0010100A"/>
    <w:rsid w:val="001035F4"/>
    <w:rsid w:val="001136B8"/>
    <w:rsid w:val="00116E88"/>
    <w:rsid w:val="00132249"/>
    <w:rsid w:val="00133FD9"/>
    <w:rsid w:val="001350E9"/>
    <w:rsid w:val="00136530"/>
    <w:rsid w:val="001376CA"/>
    <w:rsid w:val="001432D8"/>
    <w:rsid w:val="00143A70"/>
    <w:rsid w:val="0015074D"/>
    <w:rsid w:val="001541EA"/>
    <w:rsid w:val="00155ABA"/>
    <w:rsid w:val="001612A4"/>
    <w:rsid w:val="00174938"/>
    <w:rsid w:val="001765FC"/>
    <w:rsid w:val="00186757"/>
    <w:rsid w:val="00190D82"/>
    <w:rsid w:val="00192EF0"/>
    <w:rsid w:val="001935DA"/>
    <w:rsid w:val="00195B1A"/>
    <w:rsid w:val="001B32EB"/>
    <w:rsid w:val="001B5B8A"/>
    <w:rsid w:val="001B772C"/>
    <w:rsid w:val="001C1C3A"/>
    <w:rsid w:val="001C6E98"/>
    <w:rsid w:val="001C6EA7"/>
    <w:rsid w:val="001C7759"/>
    <w:rsid w:val="001D7EB4"/>
    <w:rsid w:val="001E1200"/>
    <w:rsid w:val="001E1DC0"/>
    <w:rsid w:val="001E2069"/>
    <w:rsid w:val="001E35B1"/>
    <w:rsid w:val="001F6F53"/>
    <w:rsid w:val="0020122A"/>
    <w:rsid w:val="002031EE"/>
    <w:rsid w:val="00210546"/>
    <w:rsid w:val="00215109"/>
    <w:rsid w:val="00220473"/>
    <w:rsid w:val="00220A70"/>
    <w:rsid w:val="00222FCB"/>
    <w:rsid w:val="00224852"/>
    <w:rsid w:val="00230DDD"/>
    <w:rsid w:val="002319EB"/>
    <w:rsid w:val="00236A7E"/>
    <w:rsid w:val="00240BE5"/>
    <w:rsid w:val="00242D30"/>
    <w:rsid w:val="002433CC"/>
    <w:rsid w:val="00244C87"/>
    <w:rsid w:val="002471D3"/>
    <w:rsid w:val="002514FF"/>
    <w:rsid w:val="002524EF"/>
    <w:rsid w:val="002615FF"/>
    <w:rsid w:val="00261C91"/>
    <w:rsid w:val="002676C9"/>
    <w:rsid w:val="00267BF3"/>
    <w:rsid w:val="00272B4C"/>
    <w:rsid w:val="00273A11"/>
    <w:rsid w:val="00275E01"/>
    <w:rsid w:val="002809A5"/>
    <w:rsid w:val="0028602A"/>
    <w:rsid w:val="00286086"/>
    <w:rsid w:val="002919A5"/>
    <w:rsid w:val="002921AF"/>
    <w:rsid w:val="002941CC"/>
    <w:rsid w:val="00294A6C"/>
    <w:rsid w:val="0029726F"/>
    <w:rsid w:val="002A554E"/>
    <w:rsid w:val="002A6312"/>
    <w:rsid w:val="002B2F7C"/>
    <w:rsid w:val="002C25B4"/>
    <w:rsid w:val="002C6290"/>
    <w:rsid w:val="002D7560"/>
    <w:rsid w:val="00301144"/>
    <w:rsid w:val="003109AB"/>
    <w:rsid w:val="00310D4A"/>
    <w:rsid w:val="003138E9"/>
    <w:rsid w:val="003140C3"/>
    <w:rsid w:val="003148B7"/>
    <w:rsid w:val="003158C3"/>
    <w:rsid w:val="003164AF"/>
    <w:rsid w:val="003164C5"/>
    <w:rsid w:val="003274CD"/>
    <w:rsid w:val="00334B15"/>
    <w:rsid w:val="00335427"/>
    <w:rsid w:val="0033559D"/>
    <w:rsid w:val="00341784"/>
    <w:rsid w:val="00344994"/>
    <w:rsid w:val="003469E3"/>
    <w:rsid w:val="0035119D"/>
    <w:rsid w:val="00352DA8"/>
    <w:rsid w:val="0035645A"/>
    <w:rsid w:val="00360E00"/>
    <w:rsid w:val="00362D50"/>
    <w:rsid w:val="00365B5B"/>
    <w:rsid w:val="00365C5B"/>
    <w:rsid w:val="003666B9"/>
    <w:rsid w:val="00373420"/>
    <w:rsid w:val="00374A79"/>
    <w:rsid w:val="00380F99"/>
    <w:rsid w:val="003816C2"/>
    <w:rsid w:val="003818B1"/>
    <w:rsid w:val="003825CC"/>
    <w:rsid w:val="00390B07"/>
    <w:rsid w:val="00394ECE"/>
    <w:rsid w:val="00396E11"/>
    <w:rsid w:val="003A71C5"/>
    <w:rsid w:val="003A7DA1"/>
    <w:rsid w:val="003B4F12"/>
    <w:rsid w:val="003B5B3F"/>
    <w:rsid w:val="003C0E5E"/>
    <w:rsid w:val="003C1114"/>
    <w:rsid w:val="003C7CC1"/>
    <w:rsid w:val="003D295A"/>
    <w:rsid w:val="003D4335"/>
    <w:rsid w:val="003D4525"/>
    <w:rsid w:val="003D7F41"/>
    <w:rsid w:val="003E223B"/>
    <w:rsid w:val="003E63CB"/>
    <w:rsid w:val="003F6B7B"/>
    <w:rsid w:val="00401A0F"/>
    <w:rsid w:val="00410906"/>
    <w:rsid w:val="004228C0"/>
    <w:rsid w:val="00423F31"/>
    <w:rsid w:val="0042478E"/>
    <w:rsid w:val="00427132"/>
    <w:rsid w:val="00431899"/>
    <w:rsid w:val="00433E6B"/>
    <w:rsid w:val="0043757F"/>
    <w:rsid w:val="004409E3"/>
    <w:rsid w:val="0044444A"/>
    <w:rsid w:val="004540AD"/>
    <w:rsid w:val="0046056E"/>
    <w:rsid w:val="00462171"/>
    <w:rsid w:val="00462267"/>
    <w:rsid w:val="00462918"/>
    <w:rsid w:val="00464A25"/>
    <w:rsid w:val="00467683"/>
    <w:rsid w:val="00472A7B"/>
    <w:rsid w:val="0047380F"/>
    <w:rsid w:val="0047540F"/>
    <w:rsid w:val="0048297B"/>
    <w:rsid w:val="00485FEA"/>
    <w:rsid w:val="00486804"/>
    <w:rsid w:val="00492043"/>
    <w:rsid w:val="004946A0"/>
    <w:rsid w:val="0049491F"/>
    <w:rsid w:val="00496734"/>
    <w:rsid w:val="00496DDF"/>
    <w:rsid w:val="004A246F"/>
    <w:rsid w:val="004A741A"/>
    <w:rsid w:val="004B08DD"/>
    <w:rsid w:val="004B3775"/>
    <w:rsid w:val="004C2A06"/>
    <w:rsid w:val="004C2C88"/>
    <w:rsid w:val="004C3D75"/>
    <w:rsid w:val="004C55D4"/>
    <w:rsid w:val="004C5BB4"/>
    <w:rsid w:val="004C5E5E"/>
    <w:rsid w:val="004C7199"/>
    <w:rsid w:val="004C7F6A"/>
    <w:rsid w:val="004D2497"/>
    <w:rsid w:val="004D4559"/>
    <w:rsid w:val="004E058F"/>
    <w:rsid w:val="004E3371"/>
    <w:rsid w:val="004E3B87"/>
    <w:rsid w:val="004E71F5"/>
    <w:rsid w:val="004F4C7A"/>
    <w:rsid w:val="004F5805"/>
    <w:rsid w:val="004F68A6"/>
    <w:rsid w:val="005014F6"/>
    <w:rsid w:val="0050613E"/>
    <w:rsid w:val="005106EC"/>
    <w:rsid w:val="00510921"/>
    <w:rsid w:val="00510AD3"/>
    <w:rsid w:val="0051199A"/>
    <w:rsid w:val="00513348"/>
    <w:rsid w:val="00513757"/>
    <w:rsid w:val="00517785"/>
    <w:rsid w:val="00530C7A"/>
    <w:rsid w:val="005333EF"/>
    <w:rsid w:val="00533B5D"/>
    <w:rsid w:val="0053662A"/>
    <w:rsid w:val="0054470E"/>
    <w:rsid w:val="005452DB"/>
    <w:rsid w:val="0055288B"/>
    <w:rsid w:val="005570E8"/>
    <w:rsid w:val="005612C3"/>
    <w:rsid w:val="00566CF9"/>
    <w:rsid w:val="005674F7"/>
    <w:rsid w:val="00567A0F"/>
    <w:rsid w:val="00570B7C"/>
    <w:rsid w:val="00576A57"/>
    <w:rsid w:val="00580357"/>
    <w:rsid w:val="00582D93"/>
    <w:rsid w:val="00592BFA"/>
    <w:rsid w:val="00595AF0"/>
    <w:rsid w:val="00596985"/>
    <w:rsid w:val="005970EA"/>
    <w:rsid w:val="005A01B5"/>
    <w:rsid w:val="005B29EA"/>
    <w:rsid w:val="005B696C"/>
    <w:rsid w:val="005C2135"/>
    <w:rsid w:val="005C37F0"/>
    <w:rsid w:val="005C408A"/>
    <w:rsid w:val="005C51B0"/>
    <w:rsid w:val="005D2D36"/>
    <w:rsid w:val="005E0771"/>
    <w:rsid w:val="005E2DA2"/>
    <w:rsid w:val="005E2E02"/>
    <w:rsid w:val="005E54EC"/>
    <w:rsid w:val="005E58B3"/>
    <w:rsid w:val="005E5CB9"/>
    <w:rsid w:val="005F0AEE"/>
    <w:rsid w:val="005F6D0E"/>
    <w:rsid w:val="006067DB"/>
    <w:rsid w:val="00611515"/>
    <w:rsid w:val="00622A59"/>
    <w:rsid w:val="00623BA1"/>
    <w:rsid w:val="00625805"/>
    <w:rsid w:val="006346BC"/>
    <w:rsid w:val="0064739F"/>
    <w:rsid w:val="006603C5"/>
    <w:rsid w:val="0066050C"/>
    <w:rsid w:val="00666291"/>
    <w:rsid w:val="0066652A"/>
    <w:rsid w:val="00670172"/>
    <w:rsid w:val="00677461"/>
    <w:rsid w:val="00682167"/>
    <w:rsid w:val="0069387D"/>
    <w:rsid w:val="006A1AF5"/>
    <w:rsid w:val="006A1DB4"/>
    <w:rsid w:val="006A4AC7"/>
    <w:rsid w:val="006A6123"/>
    <w:rsid w:val="006A6971"/>
    <w:rsid w:val="006B1465"/>
    <w:rsid w:val="006B5625"/>
    <w:rsid w:val="006B7A37"/>
    <w:rsid w:val="006C42AF"/>
    <w:rsid w:val="006C4DD1"/>
    <w:rsid w:val="006C65C2"/>
    <w:rsid w:val="006E4D56"/>
    <w:rsid w:val="006F1E2A"/>
    <w:rsid w:val="006F3056"/>
    <w:rsid w:val="006F37BE"/>
    <w:rsid w:val="006F3A1C"/>
    <w:rsid w:val="006F4732"/>
    <w:rsid w:val="00701C80"/>
    <w:rsid w:val="00705851"/>
    <w:rsid w:val="00711D8E"/>
    <w:rsid w:val="00712672"/>
    <w:rsid w:val="00727295"/>
    <w:rsid w:val="00727C9A"/>
    <w:rsid w:val="00734E3F"/>
    <w:rsid w:val="00736985"/>
    <w:rsid w:val="00737A13"/>
    <w:rsid w:val="00741E47"/>
    <w:rsid w:val="00745799"/>
    <w:rsid w:val="00757A6E"/>
    <w:rsid w:val="007621EC"/>
    <w:rsid w:val="00763C2A"/>
    <w:rsid w:val="00767E50"/>
    <w:rsid w:val="00772193"/>
    <w:rsid w:val="007755EB"/>
    <w:rsid w:val="00777A8F"/>
    <w:rsid w:val="00787197"/>
    <w:rsid w:val="0079562A"/>
    <w:rsid w:val="00796BE5"/>
    <w:rsid w:val="00796DF9"/>
    <w:rsid w:val="00797A42"/>
    <w:rsid w:val="007A3627"/>
    <w:rsid w:val="007B1AF9"/>
    <w:rsid w:val="007B3306"/>
    <w:rsid w:val="007B6200"/>
    <w:rsid w:val="007C21F4"/>
    <w:rsid w:val="007C2F35"/>
    <w:rsid w:val="007C3837"/>
    <w:rsid w:val="007C4CF1"/>
    <w:rsid w:val="007C67E8"/>
    <w:rsid w:val="007D01EB"/>
    <w:rsid w:val="007D4D14"/>
    <w:rsid w:val="007D5A5B"/>
    <w:rsid w:val="007F3F1E"/>
    <w:rsid w:val="007F400F"/>
    <w:rsid w:val="007F529C"/>
    <w:rsid w:val="007F6350"/>
    <w:rsid w:val="00800799"/>
    <w:rsid w:val="00801B9F"/>
    <w:rsid w:val="0081126C"/>
    <w:rsid w:val="00816A84"/>
    <w:rsid w:val="0083402F"/>
    <w:rsid w:val="0083712E"/>
    <w:rsid w:val="00840462"/>
    <w:rsid w:val="0084135B"/>
    <w:rsid w:val="008434F6"/>
    <w:rsid w:val="008436BE"/>
    <w:rsid w:val="0084520B"/>
    <w:rsid w:val="0085447D"/>
    <w:rsid w:val="00856181"/>
    <w:rsid w:val="00865175"/>
    <w:rsid w:val="00866C45"/>
    <w:rsid w:val="00872A62"/>
    <w:rsid w:val="00873D7E"/>
    <w:rsid w:val="00880625"/>
    <w:rsid w:val="00880B3F"/>
    <w:rsid w:val="00882639"/>
    <w:rsid w:val="00895F2E"/>
    <w:rsid w:val="008A05DD"/>
    <w:rsid w:val="008A4032"/>
    <w:rsid w:val="008B066B"/>
    <w:rsid w:val="008B62C7"/>
    <w:rsid w:val="008D4A99"/>
    <w:rsid w:val="008D4FB4"/>
    <w:rsid w:val="008E1E5E"/>
    <w:rsid w:val="008F253B"/>
    <w:rsid w:val="008F2AF3"/>
    <w:rsid w:val="00902127"/>
    <w:rsid w:val="00903AF5"/>
    <w:rsid w:val="00906269"/>
    <w:rsid w:val="00907B3E"/>
    <w:rsid w:val="00910931"/>
    <w:rsid w:val="00910C4C"/>
    <w:rsid w:val="0092073E"/>
    <w:rsid w:val="0092289A"/>
    <w:rsid w:val="00922F69"/>
    <w:rsid w:val="009262D4"/>
    <w:rsid w:val="00941CFB"/>
    <w:rsid w:val="00950C4F"/>
    <w:rsid w:val="00953F91"/>
    <w:rsid w:val="00955214"/>
    <w:rsid w:val="009561A0"/>
    <w:rsid w:val="009561BC"/>
    <w:rsid w:val="009569E6"/>
    <w:rsid w:val="009763B6"/>
    <w:rsid w:val="00980522"/>
    <w:rsid w:val="009A08BD"/>
    <w:rsid w:val="009A2DA7"/>
    <w:rsid w:val="009B0608"/>
    <w:rsid w:val="009B07E0"/>
    <w:rsid w:val="009B4D3B"/>
    <w:rsid w:val="009C3084"/>
    <w:rsid w:val="009C442A"/>
    <w:rsid w:val="009D2EEF"/>
    <w:rsid w:val="009D4CC3"/>
    <w:rsid w:val="009D7407"/>
    <w:rsid w:val="009E0866"/>
    <w:rsid w:val="009E1AAB"/>
    <w:rsid w:val="009E2850"/>
    <w:rsid w:val="009F2D6E"/>
    <w:rsid w:val="009F4E9C"/>
    <w:rsid w:val="00A01578"/>
    <w:rsid w:val="00A03408"/>
    <w:rsid w:val="00A04628"/>
    <w:rsid w:val="00A061B9"/>
    <w:rsid w:val="00A110FD"/>
    <w:rsid w:val="00A120E1"/>
    <w:rsid w:val="00A14C37"/>
    <w:rsid w:val="00A20E8E"/>
    <w:rsid w:val="00A24A62"/>
    <w:rsid w:val="00A276C6"/>
    <w:rsid w:val="00A313EC"/>
    <w:rsid w:val="00A31C9F"/>
    <w:rsid w:val="00A332C9"/>
    <w:rsid w:val="00A34EDC"/>
    <w:rsid w:val="00A373B7"/>
    <w:rsid w:val="00A46031"/>
    <w:rsid w:val="00A51FFE"/>
    <w:rsid w:val="00A57A9E"/>
    <w:rsid w:val="00A6151D"/>
    <w:rsid w:val="00A719B0"/>
    <w:rsid w:val="00A82B42"/>
    <w:rsid w:val="00A84B0D"/>
    <w:rsid w:val="00A851A6"/>
    <w:rsid w:val="00A860DC"/>
    <w:rsid w:val="00A868E8"/>
    <w:rsid w:val="00A945DB"/>
    <w:rsid w:val="00A947A9"/>
    <w:rsid w:val="00A968FA"/>
    <w:rsid w:val="00AA4C62"/>
    <w:rsid w:val="00AB19CF"/>
    <w:rsid w:val="00AB3EBB"/>
    <w:rsid w:val="00AC0D96"/>
    <w:rsid w:val="00AC164A"/>
    <w:rsid w:val="00AD13C3"/>
    <w:rsid w:val="00AD57DF"/>
    <w:rsid w:val="00AE1E4A"/>
    <w:rsid w:val="00AF0A59"/>
    <w:rsid w:val="00AF2050"/>
    <w:rsid w:val="00AF523F"/>
    <w:rsid w:val="00AF5BED"/>
    <w:rsid w:val="00AF6D1A"/>
    <w:rsid w:val="00AF7EDE"/>
    <w:rsid w:val="00B13B6E"/>
    <w:rsid w:val="00B13E05"/>
    <w:rsid w:val="00B173A8"/>
    <w:rsid w:val="00B24188"/>
    <w:rsid w:val="00B2539E"/>
    <w:rsid w:val="00B30BB1"/>
    <w:rsid w:val="00B30E23"/>
    <w:rsid w:val="00B329B6"/>
    <w:rsid w:val="00B32F99"/>
    <w:rsid w:val="00B34BDB"/>
    <w:rsid w:val="00B50F49"/>
    <w:rsid w:val="00B55A9E"/>
    <w:rsid w:val="00B62E8C"/>
    <w:rsid w:val="00B65C4B"/>
    <w:rsid w:val="00B703DF"/>
    <w:rsid w:val="00B72490"/>
    <w:rsid w:val="00B7302E"/>
    <w:rsid w:val="00B74CD5"/>
    <w:rsid w:val="00B83B2F"/>
    <w:rsid w:val="00B901B9"/>
    <w:rsid w:val="00B94DC7"/>
    <w:rsid w:val="00B96E08"/>
    <w:rsid w:val="00BA2B8D"/>
    <w:rsid w:val="00BA2C3E"/>
    <w:rsid w:val="00BA7C45"/>
    <w:rsid w:val="00BB1664"/>
    <w:rsid w:val="00BB26C5"/>
    <w:rsid w:val="00BB756B"/>
    <w:rsid w:val="00BC0C63"/>
    <w:rsid w:val="00BD1652"/>
    <w:rsid w:val="00BD600C"/>
    <w:rsid w:val="00BE16CC"/>
    <w:rsid w:val="00BE2535"/>
    <w:rsid w:val="00BE5E89"/>
    <w:rsid w:val="00BF3BA2"/>
    <w:rsid w:val="00BF4DE6"/>
    <w:rsid w:val="00BF6958"/>
    <w:rsid w:val="00C01608"/>
    <w:rsid w:val="00C04038"/>
    <w:rsid w:val="00C043BD"/>
    <w:rsid w:val="00C11007"/>
    <w:rsid w:val="00C125EC"/>
    <w:rsid w:val="00C1432F"/>
    <w:rsid w:val="00C15CE8"/>
    <w:rsid w:val="00C22C5C"/>
    <w:rsid w:val="00C26390"/>
    <w:rsid w:val="00C30746"/>
    <w:rsid w:val="00C3720A"/>
    <w:rsid w:val="00C373BC"/>
    <w:rsid w:val="00C42CDE"/>
    <w:rsid w:val="00C52765"/>
    <w:rsid w:val="00C529AA"/>
    <w:rsid w:val="00C533B3"/>
    <w:rsid w:val="00C5547B"/>
    <w:rsid w:val="00C5636B"/>
    <w:rsid w:val="00C61A15"/>
    <w:rsid w:val="00C6347E"/>
    <w:rsid w:val="00C638F5"/>
    <w:rsid w:val="00C63AB0"/>
    <w:rsid w:val="00C67DF4"/>
    <w:rsid w:val="00C71263"/>
    <w:rsid w:val="00C746C8"/>
    <w:rsid w:val="00C76A36"/>
    <w:rsid w:val="00C76AC1"/>
    <w:rsid w:val="00C80357"/>
    <w:rsid w:val="00C81087"/>
    <w:rsid w:val="00C87993"/>
    <w:rsid w:val="00C87A54"/>
    <w:rsid w:val="00C90A86"/>
    <w:rsid w:val="00C93FFA"/>
    <w:rsid w:val="00C9516B"/>
    <w:rsid w:val="00CA1A8F"/>
    <w:rsid w:val="00CA2F7D"/>
    <w:rsid w:val="00CA37B1"/>
    <w:rsid w:val="00CA537C"/>
    <w:rsid w:val="00CA53DE"/>
    <w:rsid w:val="00CA7227"/>
    <w:rsid w:val="00CB1959"/>
    <w:rsid w:val="00CB4388"/>
    <w:rsid w:val="00CC296B"/>
    <w:rsid w:val="00CD152C"/>
    <w:rsid w:val="00CD38CF"/>
    <w:rsid w:val="00CD57ED"/>
    <w:rsid w:val="00CD7ACB"/>
    <w:rsid w:val="00CE2318"/>
    <w:rsid w:val="00CF3314"/>
    <w:rsid w:val="00D0296C"/>
    <w:rsid w:val="00D03857"/>
    <w:rsid w:val="00D0576E"/>
    <w:rsid w:val="00D1013C"/>
    <w:rsid w:val="00D10364"/>
    <w:rsid w:val="00D12129"/>
    <w:rsid w:val="00D12998"/>
    <w:rsid w:val="00D17EC6"/>
    <w:rsid w:val="00D208E8"/>
    <w:rsid w:val="00D22869"/>
    <w:rsid w:val="00D22E4B"/>
    <w:rsid w:val="00D2728F"/>
    <w:rsid w:val="00D275F7"/>
    <w:rsid w:val="00D27722"/>
    <w:rsid w:val="00D3480D"/>
    <w:rsid w:val="00D36245"/>
    <w:rsid w:val="00D4159E"/>
    <w:rsid w:val="00D4211E"/>
    <w:rsid w:val="00D441F8"/>
    <w:rsid w:val="00D46D82"/>
    <w:rsid w:val="00D506A2"/>
    <w:rsid w:val="00D51AD0"/>
    <w:rsid w:val="00D71430"/>
    <w:rsid w:val="00D7288F"/>
    <w:rsid w:val="00D74DB6"/>
    <w:rsid w:val="00D76F01"/>
    <w:rsid w:val="00D77149"/>
    <w:rsid w:val="00D778C0"/>
    <w:rsid w:val="00D836D5"/>
    <w:rsid w:val="00D84FFA"/>
    <w:rsid w:val="00D94F4C"/>
    <w:rsid w:val="00DA1BE1"/>
    <w:rsid w:val="00DA530D"/>
    <w:rsid w:val="00DB2B9B"/>
    <w:rsid w:val="00DB6D69"/>
    <w:rsid w:val="00DC430B"/>
    <w:rsid w:val="00DC62CF"/>
    <w:rsid w:val="00DD36D6"/>
    <w:rsid w:val="00DD3BF1"/>
    <w:rsid w:val="00DD3FDA"/>
    <w:rsid w:val="00DD5050"/>
    <w:rsid w:val="00DE2641"/>
    <w:rsid w:val="00DE3FEA"/>
    <w:rsid w:val="00DF25F7"/>
    <w:rsid w:val="00DF33A3"/>
    <w:rsid w:val="00E00CDD"/>
    <w:rsid w:val="00E02371"/>
    <w:rsid w:val="00E033C5"/>
    <w:rsid w:val="00E14947"/>
    <w:rsid w:val="00E2772A"/>
    <w:rsid w:val="00E3215E"/>
    <w:rsid w:val="00E34BB7"/>
    <w:rsid w:val="00E357B7"/>
    <w:rsid w:val="00E40D77"/>
    <w:rsid w:val="00E50881"/>
    <w:rsid w:val="00E51C40"/>
    <w:rsid w:val="00E53800"/>
    <w:rsid w:val="00E6081F"/>
    <w:rsid w:val="00E60A81"/>
    <w:rsid w:val="00E60FC8"/>
    <w:rsid w:val="00E6422F"/>
    <w:rsid w:val="00E64693"/>
    <w:rsid w:val="00E71ABE"/>
    <w:rsid w:val="00E72BAF"/>
    <w:rsid w:val="00E72D49"/>
    <w:rsid w:val="00E7335D"/>
    <w:rsid w:val="00E736E1"/>
    <w:rsid w:val="00E80D91"/>
    <w:rsid w:val="00E82502"/>
    <w:rsid w:val="00E8497C"/>
    <w:rsid w:val="00E8535A"/>
    <w:rsid w:val="00E93F65"/>
    <w:rsid w:val="00E970D8"/>
    <w:rsid w:val="00E97F9B"/>
    <w:rsid w:val="00EA00EF"/>
    <w:rsid w:val="00EA04B2"/>
    <w:rsid w:val="00EA20F3"/>
    <w:rsid w:val="00EB20DA"/>
    <w:rsid w:val="00EC0C11"/>
    <w:rsid w:val="00EC7F63"/>
    <w:rsid w:val="00ED1E38"/>
    <w:rsid w:val="00ED43D1"/>
    <w:rsid w:val="00ED7FBA"/>
    <w:rsid w:val="00EE4736"/>
    <w:rsid w:val="00EE4EE1"/>
    <w:rsid w:val="00EE606B"/>
    <w:rsid w:val="00EF4574"/>
    <w:rsid w:val="00EF467C"/>
    <w:rsid w:val="00EF4D18"/>
    <w:rsid w:val="00F01793"/>
    <w:rsid w:val="00F0758C"/>
    <w:rsid w:val="00F0766E"/>
    <w:rsid w:val="00F139C9"/>
    <w:rsid w:val="00F151DA"/>
    <w:rsid w:val="00F16A5C"/>
    <w:rsid w:val="00F25266"/>
    <w:rsid w:val="00F25A89"/>
    <w:rsid w:val="00F2684E"/>
    <w:rsid w:val="00F30B56"/>
    <w:rsid w:val="00F3121A"/>
    <w:rsid w:val="00F35496"/>
    <w:rsid w:val="00F429AE"/>
    <w:rsid w:val="00F42B3A"/>
    <w:rsid w:val="00F43653"/>
    <w:rsid w:val="00F4620E"/>
    <w:rsid w:val="00F4646B"/>
    <w:rsid w:val="00F468B4"/>
    <w:rsid w:val="00F52C12"/>
    <w:rsid w:val="00F5466F"/>
    <w:rsid w:val="00F574A7"/>
    <w:rsid w:val="00F6765D"/>
    <w:rsid w:val="00F729EF"/>
    <w:rsid w:val="00F76076"/>
    <w:rsid w:val="00F77717"/>
    <w:rsid w:val="00F77CAE"/>
    <w:rsid w:val="00F80913"/>
    <w:rsid w:val="00F817A8"/>
    <w:rsid w:val="00F83D2D"/>
    <w:rsid w:val="00F844B4"/>
    <w:rsid w:val="00F8520E"/>
    <w:rsid w:val="00F86D11"/>
    <w:rsid w:val="00F94CF5"/>
    <w:rsid w:val="00F96BB9"/>
    <w:rsid w:val="00FA2F2A"/>
    <w:rsid w:val="00FA54B9"/>
    <w:rsid w:val="00FB44AA"/>
    <w:rsid w:val="00FD7C4E"/>
    <w:rsid w:val="00FE25CC"/>
    <w:rsid w:val="00FE681E"/>
    <w:rsid w:val="00FE6D51"/>
    <w:rsid w:val="00FF1B9A"/>
    <w:rsid w:val="00FF4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49A518A"/>
  <w15:docId w15:val="{1B6CDE11-E29B-4AC0-9DE9-83A5EE3E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locked="1" w:semiHidden="1" w:uiPriority="0"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rPr>
      <w:lang w:eastAsia="en-US"/>
    </w:r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eastAsia="Times New Roman"/>
      <w:bCs/>
      <w:color w:val="1C1C1C"/>
      <w:sz w:val="40"/>
      <w:szCs w:val="28"/>
    </w:rPr>
  </w:style>
  <w:style w:type="paragraph" w:styleId="Heading2">
    <w:name w:val="heading 2"/>
    <w:basedOn w:val="Heading1"/>
    <w:next w:val="Normal"/>
    <w:link w:val="Heading2Char"/>
    <w:uiPriority w:val="99"/>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9"/>
    <w:qFormat/>
    <w:rsid w:val="00D46D82"/>
    <w:pPr>
      <w:spacing w:line="340" w:lineRule="atLeast"/>
      <w:outlineLvl w:val="2"/>
    </w:pPr>
    <w:rPr>
      <w:bCs/>
      <w:sz w:val="30"/>
    </w:rPr>
  </w:style>
  <w:style w:type="paragraph" w:styleId="Heading4">
    <w:name w:val="heading 4"/>
    <w:basedOn w:val="Heading3"/>
    <w:next w:val="Normal"/>
    <w:link w:val="Heading4Char"/>
    <w:uiPriority w:val="99"/>
    <w:qFormat/>
    <w:rsid w:val="00D46D82"/>
    <w:pPr>
      <w:spacing w:before="240" w:line="300" w:lineRule="atLeast"/>
      <w:outlineLvl w:val="3"/>
    </w:pPr>
    <w:rPr>
      <w:iCs/>
      <w:sz w:val="26"/>
    </w:rPr>
  </w:style>
  <w:style w:type="paragraph" w:styleId="Heading5">
    <w:name w:val="heading 5"/>
    <w:basedOn w:val="Heading4"/>
    <w:next w:val="Normal"/>
    <w:link w:val="Heading5Char"/>
    <w:uiPriority w:val="99"/>
    <w:qFormat/>
    <w:rsid w:val="00623BA1"/>
    <w:pPr>
      <w:outlineLvl w:val="4"/>
    </w:pPr>
    <w:rPr>
      <w:i/>
      <w:color w:val="77B6BD"/>
      <w:sz w:val="22"/>
    </w:rPr>
  </w:style>
  <w:style w:type="paragraph" w:styleId="Heading6">
    <w:name w:val="heading 6"/>
    <w:basedOn w:val="Heading5"/>
    <w:next w:val="Normal"/>
    <w:link w:val="Heading6Char"/>
    <w:uiPriority w:val="99"/>
    <w:qFormat/>
    <w:rsid w:val="00486804"/>
    <w:pPr>
      <w:spacing w:before="40"/>
      <w:outlineLvl w:val="5"/>
    </w:pPr>
    <w:rPr>
      <w:color w:val="43838A"/>
    </w:rPr>
  </w:style>
  <w:style w:type="paragraph" w:styleId="Heading7">
    <w:name w:val="heading 7"/>
    <w:basedOn w:val="Heading6"/>
    <w:next w:val="Normal"/>
    <w:link w:val="Heading7Char"/>
    <w:uiPriority w:val="99"/>
    <w:qFormat/>
    <w:rsid w:val="00486804"/>
    <w:pPr>
      <w:outlineLvl w:val="6"/>
    </w:pPr>
    <w:rPr>
      <w:i w:val="0"/>
      <w:iCs w:val="0"/>
    </w:rPr>
  </w:style>
  <w:style w:type="paragraph" w:styleId="Heading8">
    <w:name w:val="heading 8"/>
    <w:basedOn w:val="Heading7"/>
    <w:next w:val="Normal"/>
    <w:link w:val="Heading8Char"/>
    <w:uiPriority w:val="99"/>
    <w:qFormat/>
    <w:rsid w:val="00486804"/>
    <w:pPr>
      <w:outlineLvl w:val="7"/>
    </w:pPr>
    <w:rPr>
      <w:color w:val="272727"/>
      <w:sz w:val="21"/>
      <w:szCs w:val="21"/>
    </w:rPr>
  </w:style>
  <w:style w:type="paragraph" w:styleId="Heading9">
    <w:name w:val="heading 9"/>
    <w:basedOn w:val="Heading8"/>
    <w:next w:val="Normal"/>
    <w:link w:val="Heading9Char"/>
    <w:uiPriority w:val="99"/>
    <w:qFormat/>
    <w:rsid w:val="00486804"/>
    <w:p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12A4"/>
    <w:rPr>
      <w:rFonts w:ascii="Arial" w:hAnsi="Arial" w:cs="Times New Roman"/>
      <w:bCs/>
      <w:color w:val="1C1C1C"/>
      <w:sz w:val="28"/>
      <w:szCs w:val="28"/>
    </w:rPr>
  </w:style>
  <w:style w:type="character" w:customStyle="1" w:styleId="Heading2Char">
    <w:name w:val="Heading 2 Char"/>
    <w:basedOn w:val="DefaultParagraphFont"/>
    <w:link w:val="Heading2"/>
    <w:uiPriority w:val="99"/>
    <w:locked/>
    <w:rsid w:val="001612A4"/>
    <w:rPr>
      <w:rFonts w:ascii="Arial" w:hAnsi="Arial" w:cs="Times New Roman"/>
      <w:color w:val="1C1C1C"/>
      <w:sz w:val="26"/>
      <w:szCs w:val="26"/>
    </w:rPr>
  </w:style>
  <w:style w:type="character" w:customStyle="1" w:styleId="Heading3Char">
    <w:name w:val="Heading 3 Char"/>
    <w:basedOn w:val="DefaultParagraphFont"/>
    <w:link w:val="Heading3"/>
    <w:uiPriority w:val="99"/>
    <w:locked/>
    <w:rsid w:val="00D46D82"/>
    <w:rPr>
      <w:rFonts w:ascii="Arial" w:hAnsi="Arial" w:cs="Times New Roman"/>
      <w:bCs/>
      <w:color w:val="1C1C1C"/>
      <w:sz w:val="26"/>
      <w:szCs w:val="26"/>
    </w:rPr>
  </w:style>
  <w:style w:type="character" w:customStyle="1" w:styleId="Heading4Char">
    <w:name w:val="Heading 4 Char"/>
    <w:basedOn w:val="DefaultParagraphFont"/>
    <w:link w:val="Heading4"/>
    <w:uiPriority w:val="99"/>
    <w:locked/>
    <w:rsid w:val="00D46D82"/>
    <w:rPr>
      <w:rFonts w:ascii="Arial" w:hAnsi="Arial" w:cs="Times New Roman"/>
      <w:bCs/>
      <w:iCs/>
      <w:color w:val="1C1C1C"/>
      <w:sz w:val="26"/>
      <w:szCs w:val="26"/>
    </w:rPr>
  </w:style>
  <w:style w:type="character" w:customStyle="1" w:styleId="Heading5Char">
    <w:name w:val="Heading 5 Char"/>
    <w:basedOn w:val="DefaultParagraphFont"/>
    <w:link w:val="Heading5"/>
    <w:uiPriority w:val="99"/>
    <w:locked/>
    <w:rsid w:val="00486804"/>
    <w:rPr>
      <w:rFonts w:ascii="Arial" w:hAnsi="Arial" w:cs="Times New Roman"/>
      <w:bCs/>
      <w:iCs/>
      <w:color w:val="77B6BD"/>
      <w:sz w:val="26"/>
      <w:szCs w:val="26"/>
    </w:rPr>
  </w:style>
  <w:style w:type="character" w:customStyle="1" w:styleId="Heading6Char">
    <w:name w:val="Heading 6 Char"/>
    <w:basedOn w:val="DefaultParagraphFont"/>
    <w:link w:val="Heading6"/>
    <w:uiPriority w:val="99"/>
    <w:semiHidden/>
    <w:locked/>
    <w:rsid w:val="00486804"/>
    <w:rPr>
      <w:rFonts w:ascii="Arial" w:hAnsi="Arial" w:cs="Times New Roman"/>
      <w:bCs/>
      <w:iCs/>
      <w:color w:val="43838A"/>
      <w:sz w:val="26"/>
      <w:szCs w:val="26"/>
    </w:rPr>
  </w:style>
  <w:style w:type="character" w:customStyle="1" w:styleId="Heading7Char">
    <w:name w:val="Heading 7 Char"/>
    <w:basedOn w:val="DefaultParagraphFont"/>
    <w:link w:val="Heading7"/>
    <w:uiPriority w:val="99"/>
    <w:semiHidden/>
    <w:locked/>
    <w:rsid w:val="00486804"/>
    <w:rPr>
      <w:rFonts w:ascii="Arial" w:hAnsi="Arial" w:cs="Times New Roman"/>
      <w:bCs/>
      <w:i/>
      <w:color w:val="43838A"/>
      <w:sz w:val="26"/>
      <w:szCs w:val="26"/>
    </w:rPr>
  </w:style>
  <w:style w:type="character" w:customStyle="1" w:styleId="Heading8Char">
    <w:name w:val="Heading 8 Char"/>
    <w:basedOn w:val="DefaultParagraphFont"/>
    <w:link w:val="Heading8"/>
    <w:uiPriority w:val="99"/>
    <w:semiHidden/>
    <w:locked/>
    <w:rsid w:val="00486804"/>
    <w:rPr>
      <w:rFonts w:ascii="Arial" w:hAnsi="Arial" w:cs="Times New Roman"/>
      <w:bCs/>
      <w:i/>
      <w:color w:val="272727"/>
      <w:sz w:val="21"/>
      <w:szCs w:val="21"/>
    </w:rPr>
  </w:style>
  <w:style w:type="character" w:customStyle="1" w:styleId="Heading9Char">
    <w:name w:val="Heading 9 Char"/>
    <w:basedOn w:val="DefaultParagraphFont"/>
    <w:link w:val="Heading9"/>
    <w:uiPriority w:val="99"/>
    <w:semiHidden/>
    <w:locked/>
    <w:rsid w:val="00486804"/>
    <w:rPr>
      <w:rFonts w:ascii="Arial" w:hAnsi="Arial" w:cs="Times New Roman"/>
      <w:bCs/>
      <w:iCs/>
      <w:color w:val="272727"/>
      <w:sz w:val="21"/>
      <w:szCs w:val="21"/>
    </w:rPr>
  </w:style>
  <w:style w:type="paragraph" w:customStyle="1" w:styleId="NormalIndented">
    <w:name w:val="Normal Indented"/>
    <w:basedOn w:val="Normal"/>
    <w:uiPriority w:val="99"/>
    <w:rsid w:val="00D0296C"/>
    <w:pPr>
      <w:ind w:left="284"/>
    </w:pPr>
  </w:style>
  <w:style w:type="paragraph" w:styleId="Title">
    <w:name w:val="Title"/>
    <w:basedOn w:val="Heading1"/>
    <w:next w:val="Normal"/>
    <w:link w:val="TitleChar"/>
    <w:uiPriority w:val="99"/>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99"/>
    <w:locked/>
    <w:rsid w:val="00DB6D69"/>
    <w:rPr>
      <w:rFonts w:ascii="Arial" w:hAnsi="Arial" w:cs="Times New Roman"/>
      <w:bCs/>
      <w:color w:val="1C1C1C"/>
      <w:kern w:val="28"/>
      <w:sz w:val="52"/>
      <w:szCs w:val="52"/>
    </w:rPr>
  </w:style>
  <w:style w:type="paragraph" w:styleId="Subtitle">
    <w:name w:val="Subtitle"/>
    <w:basedOn w:val="Title"/>
    <w:next w:val="Normal"/>
    <w:link w:val="SubtitleChar"/>
    <w:uiPriority w:val="99"/>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99"/>
    <w:locked/>
    <w:rsid w:val="00DB6D69"/>
    <w:rPr>
      <w:rFonts w:ascii="Arial" w:hAnsi="Arial" w:cs="Times New Roman"/>
      <w:b/>
      <w:bCs/>
      <w:iCs/>
      <w:color w:val="1C1C1C"/>
      <w:kern w:val="28"/>
      <w:sz w:val="24"/>
      <w:szCs w:val="24"/>
    </w:rPr>
  </w:style>
  <w:style w:type="paragraph" w:customStyle="1" w:styleId="Bullet1">
    <w:name w:val="Bullet 1"/>
    <w:basedOn w:val="Normal"/>
    <w:uiPriority w:val="99"/>
    <w:rsid w:val="00F8520E"/>
    <w:pPr>
      <w:numPr>
        <w:ilvl w:val="2"/>
        <w:numId w:val="29"/>
      </w:numPr>
    </w:pPr>
  </w:style>
  <w:style w:type="paragraph" w:customStyle="1" w:styleId="Bullet2">
    <w:name w:val="Bullet 2"/>
    <w:basedOn w:val="NumberedList1"/>
    <w:uiPriority w:val="99"/>
    <w:rsid w:val="00F8520E"/>
    <w:pPr>
      <w:numPr>
        <w:numId w:val="30"/>
      </w:numPr>
      <w:ind w:left="1418" w:hanging="360"/>
    </w:pPr>
  </w:style>
  <w:style w:type="paragraph" w:customStyle="1" w:styleId="Bullet3">
    <w:name w:val="Bullet 3"/>
    <w:basedOn w:val="NumberedList1"/>
    <w:uiPriority w:val="99"/>
    <w:rsid w:val="00F8520E"/>
    <w:pPr>
      <w:numPr>
        <w:numId w:val="31"/>
      </w:numPr>
      <w:ind w:left="1985"/>
    </w:pPr>
  </w:style>
  <w:style w:type="paragraph" w:customStyle="1" w:styleId="NumberedList1">
    <w:name w:val="Numbered List 1"/>
    <w:basedOn w:val="Normal"/>
    <w:qFormat/>
    <w:rsid w:val="0046056E"/>
    <w:pPr>
      <w:ind w:left="284" w:hanging="284"/>
    </w:pPr>
  </w:style>
  <w:style w:type="paragraph" w:customStyle="1" w:styleId="NumberedList2">
    <w:name w:val="Numbered List 2"/>
    <w:basedOn w:val="NumberedList1"/>
    <w:uiPriority w:val="99"/>
    <w:rsid w:val="0046056E"/>
    <w:pPr>
      <w:numPr>
        <w:ilvl w:val="1"/>
        <w:numId w:val="2"/>
      </w:numPr>
      <w:tabs>
        <w:tab w:val="clear" w:pos="643"/>
      </w:tabs>
      <w:spacing w:before="120"/>
      <w:ind w:left="851" w:hanging="284"/>
    </w:pPr>
  </w:style>
  <w:style w:type="paragraph" w:customStyle="1" w:styleId="NumberedList3">
    <w:name w:val="Numbered List 3"/>
    <w:basedOn w:val="NumberedList2"/>
    <w:uiPriority w:val="99"/>
    <w:rsid w:val="00FB44AA"/>
    <w:pPr>
      <w:numPr>
        <w:ilvl w:val="2"/>
        <w:numId w:val="5"/>
      </w:numPr>
      <w:tabs>
        <w:tab w:val="clear" w:pos="643"/>
      </w:tabs>
      <w:ind w:left="852" w:hanging="284"/>
    </w:pPr>
  </w:style>
  <w:style w:type="paragraph" w:customStyle="1" w:styleId="Heading1Numbered">
    <w:name w:val="Heading 1 Numbered"/>
    <w:basedOn w:val="Heading1"/>
    <w:next w:val="Normal"/>
    <w:uiPriority w:val="99"/>
    <w:rsid w:val="001E1DC0"/>
    <w:pPr>
      <w:numPr>
        <w:numId w:val="18"/>
      </w:numPr>
    </w:pPr>
  </w:style>
  <w:style w:type="paragraph" w:customStyle="1" w:styleId="Heading2Numbered">
    <w:name w:val="Heading 2 Numbered"/>
    <w:basedOn w:val="Heading2"/>
    <w:next w:val="Normal"/>
    <w:uiPriority w:val="99"/>
    <w:rsid w:val="00D46D82"/>
    <w:pPr>
      <w:numPr>
        <w:ilvl w:val="1"/>
        <w:numId w:val="18"/>
      </w:numPr>
    </w:pPr>
    <w:rPr>
      <w:bCs/>
    </w:rPr>
  </w:style>
  <w:style w:type="paragraph" w:customStyle="1" w:styleId="Heading3Numbered">
    <w:name w:val="Heading 3 Numbered"/>
    <w:basedOn w:val="Heading3"/>
    <w:next w:val="Normal"/>
    <w:uiPriority w:val="99"/>
    <w:rsid w:val="001D7EB4"/>
    <w:pPr>
      <w:numPr>
        <w:ilvl w:val="2"/>
        <w:numId w:val="18"/>
      </w:numPr>
    </w:pPr>
    <w:rPr>
      <w:szCs w:val="22"/>
    </w:rPr>
  </w:style>
  <w:style w:type="table" w:customStyle="1" w:styleId="PlainTable21">
    <w:name w:val="Plain Table 21"/>
    <w:uiPriority w:val="99"/>
    <w:rsid w:val="003148B7"/>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styleId="TOCHeading">
    <w:name w:val="TOC Heading"/>
    <w:basedOn w:val="Heading1"/>
    <w:next w:val="Normal"/>
    <w:uiPriority w:val="99"/>
    <w:qFormat/>
    <w:rsid w:val="0020122A"/>
    <w:pPr>
      <w:suppressAutoHyphens w:val="0"/>
      <w:contextualSpacing w:val="0"/>
      <w:outlineLvl w:val="9"/>
    </w:pPr>
    <w:rPr>
      <w:bCs w:val="0"/>
      <w:szCs w:val="32"/>
      <w:lang w:val="en-US"/>
    </w:rPr>
  </w:style>
  <w:style w:type="paragraph" w:styleId="TOC1">
    <w:name w:val="toc 1"/>
    <w:basedOn w:val="Normal"/>
    <w:next w:val="Normal"/>
    <w:autoRedefine/>
    <w:uiPriority w:val="39"/>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rsid w:val="0046056E"/>
    <w:pPr>
      <w:tabs>
        <w:tab w:val="right" w:pos="9072"/>
      </w:tabs>
      <w:spacing w:before="60"/>
      <w:ind w:left="1134" w:hanging="680"/>
    </w:pPr>
  </w:style>
  <w:style w:type="paragraph" w:styleId="Header">
    <w:name w:val="header"/>
    <w:basedOn w:val="Normal"/>
    <w:link w:val="HeaderChar"/>
    <w:uiPriority w:val="99"/>
    <w:rsid w:val="00DB6D69"/>
    <w:pPr>
      <w:tabs>
        <w:tab w:val="center" w:pos="4513"/>
        <w:tab w:val="right" w:pos="9026"/>
      </w:tabs>
      <w:spacing w:before="0" w:after="0" w:line="180" w:lineRule="atLeast"/>
      <w:jc w:val="right"/>
    </w:pPr>
    <w:rPr>
      <w:sz w:val="14"/>
    </w:rPr>
  </w:style>
  <w:style w:type="character" w:customStyle="1" w:styleId="HeaderChar">
    <w:name w:val="Header Char"/>
    <w:basedOn w:val="DefaultParagraphFont"/>
    <w:link w:val="Header"/>
    <w:uiPriority w:val="99"/>
    <w:locked/>
    <w:rsid w:val="00DB6D69"/>
    <w:rPr>
      <w:rFonts w:cs="Times New Roman"/>
      <w:sz w:val="14"/>
    </w:rPr>
  </w:style>
  <w:style w:type="paragraph" w:styleId="TOC4">
    <w:name w:val="toc 4"/>
    <w:basedOn w:val="Normal"/>
    <w:next w:val="Normal"/>
    <w:autoRedefine/>
    <w:uiPriority w:val="99"/>
    <w:rsid w:val="0035119D"/>
    <w:pPr>
      <w:suppressAutoHyphens w:val="0"/>
      <w:spacing w:before="0" w:after="100" w:line="259" w:lineRule="auto"/>
      <w:ind w:left="660"/>
    </w:pPr>
    <w:rPr>
      <w:rFonts w:eastAsia="Times New Roman"/>
      <w:lang w:eastAsia="en-AU"/>
    </w:rPr>
  </w:style>
  <w:style w:type="paragraph" w:styleId="TOC5">
    <w:name w:val="toc 5"/>
    <w:basedOn w:val="Normal"/>
    <w:next w:val="Normal"/>
    <w:autoRedefine/>
    <w:uiPriority w:val="99"/>
    <w:rsid w:val="0035119D"/>
    <w:pPr>
      <w:suppressAutoHyphens w:val="0"/>
      <w:spacing w:before="0" w:after="100" w:line="259" w:lineRule="auto"/>
      <w:ind w:left="880"/>
    </w:pPr>
    <w:rPr>
      <w:rFonts w:eastAsia="Times New Roman"/>
      <w:lang w:eastAsia="en-AU"/>
    </w:rPr>
  </w:style>
  <w:style w:type="paragraph" w:styleId="TOC6">
    <w:name w:val="toc 6"/>
    <w:basedOn w:val="Normal"/>
    <w:next w:val="Normal"/>
    <w:autoRedefine/>
    <w:uiPriority w:val="99"/>
    <w:rsid w:val="0035119D"/>
    <w:pPr>
      <w:suppressAutoHyphens w:val="0"/>
      <w:spacing w:before="0" w:after="100" w:line="259" w:lineRule="auto"/>
      <w:ind w:left="1100"/>
    </w:pPr>
    <w:rPr>
      <w:rFonts w:eastAsia="Times New Roman"/>
      <w:lang w:eastAsia="en-AU"/>
    </w:rPr>
  </w:style>
  <w:style w:type="paragraph" w:styleId="TOC7">
    <w:name w:val="toc 7"/>
    <w:basedOn w:val="Normal"/>
    <w:next w:val="Normal"/>
    <w:autoRedefine/>
    <w:uiPriority w:val="99"/>
    <w:rsid w:val="0035119D"/>
    <w:pPr>
      <w:suppressAutoHyphens w:val="0"/>
      <w:spacing w:before="0" w:after="100" w:line="259" w:lineRule="auto"/>
      <w:ind w:left="1320"/>
    </w:pPr>
    <w:rPr>
      <w:rFonts w:eastAsia="Times New Roman"/>
      <w:lang w:eastAsia="en-AU"/>
    </w:rPr>
  </w:style>
  <w:style w:type="paragraph" w:styleId="TOC8">
    <w:name w:val="toc 8"/>
    <w:basedOn w:val="Normal"/>
    <w:next w:val="Normal"/>
    <w:autoRedefine/>
    <w:uiPriority w:val="99"/>
    <w:rsid w:val="0035119D"/>
    <w:pPr>
      <w:suppressAutoHyphens w:val="0"/>
      <w:spacing w:before="0" w:after="100" w:line="259" w:lineRule="auto"/>
      <w:ind w:left="1540"/>
    </w:pPr>
    <w:rPr>
      <w:rFonts w:eastAsia="Times New Roman"/>
      <w:lang w:eastAsia="en-AU"/>
    </w:rPr>
  </w:style>
  <w:style w:type="paragraph" w:styleId="TOC9">
    <w:name w:val="toc 9"/>
    <w:basedOn w:val="Normal"/>
    <w:next w:val="Normal"/>
    <w:autoRedefine/>
    <w:uiPriority w:val="99"/>
    <w:rsid w:val="0035119D"/>
    <w:pPr>
      <w:suppressAutoHyphens w:val="0"/>
      <w:spacing w:before="0" w:after="100" w:line="259" w:lineRule="auto"/>
      <w:ind w:left="1760"/>
    </w:pPr>
    <w:rPr>
      <w:rFonts w:eastAsia="Times New Roman"/>
      <w:lang w:eastAsia="en-AU"/>
    </w:rPr>
  </w:style>
  <w:style w:type="paragraph" w:styleId="TableofFigures">
    <w:name w:val="table of figures"/>
    <w:basedOn w:val="Normal"/>
    <w:next w:val="Normal"/>
    <w:uiPriority w:val="99"/>
    <w:rsid w:val="0035119D"/>
    <w:pPr>
      <w:spacing w:after="0"/>
      <w:ind w:left="907" w:hanging="907"/>
    </w:pPr>
  </w:style>
  <w:style w:type="paragraph" w:customStyle="1" w:styleId="IntroPara">
    <w:name w:val="Intro Para"/>
    <w:basedOn w:val="Normal"/>
    <w:uiPriority w:val="99"/>
    <w:rsid w:val="001612A4"/>
    <w:pPr>
      <w:pBdr>
        <w:bottom w:val="single" w:sz="4" w:space="6" w:color="BDDCDF"/>
      </w:pBdr>
    </w:pPr>
    <w:rPr>
      <w:sz w:val="24"/>
    </w:rPr>
  </w:style>
  <w:style w:type="table" w:styleId="TableGrid">
    <w:name w:val="Table Grid"/>
    <w:basedOn w:val="TableNormal"/>
    <w:uiPriority w:val="99"/>
    <w:rsid w:val="0031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57ED"/>
    <w:rPr>
      <w:rFonts w:ascii="Arial" w:hAnsi="Arial" w:cs="MuseoSans-500"/>
      <w:i/>
      <w:color w:val="auto"/>
      <w:u w:val="single" w:color="0070C0"/>
    </w:rPr>
  </w:style>
  <w:style w:type="character" w:styleId="IntenseEmphasis">
    <w:name w:val="Intense Emphasis"/>
    <w:basedOn w:val="DefaultParagraphFont"/>
    <w:uiPriority w:val="99"/>
    <w:qFormat/>
    <w:rsid w:val="00FE6D51"/>
    <w:rPr>
      <w:rFonts w:cs="Times New Roman"/>
      <w:b/>
      <w:i/>
      <w:iCs/>
      <w:color w:val="auto"/>
    </w:rPr>
  </w:style>
  <w:style w:type="character" w:styleId="Strong">
    <w:name w:val="Strong"/>
    <w:basedOn w:val="DefaultParagraphFont"/>
    <w:uiPriority w:val="99"/>
    <w:qFormat/>
    <w:rsid w:val="00FE6D51"/>
    <w:rPr>
      <w:rFonts w:cs="Times New Roman"/>
      <w:b/>
      <w:bCs/>
    </w:rPr>
  </w:style>
  <w:style w:type="character" w:styleId="Emphasis">
    <w:name w:val="Emphasis"/>
    <w:basedOn w:val="DefaultParagraphFont"/>
    <w:uiPriority w:val="99"/>
    <w:qFormat/>
    <w:rsid w:val="009D7407"/>
    <w:rPr>
      <w:rFonts w:cs="Times New Roman"/>
      <w:i/>
      <w:iCs/>
    </w:rPr>
  </w:style>
  <w:style w:type="paragraph" w:styleId="Caption">
    <w:name w:val="caption"/>
    <w:basedOn w:val="Normal"/>
    <w:next w:val="Normal"/>
    <w:uiPriority w:val="99"/>
    <w:qFormat/>
    <w:rsid w:val="00FB44AA"/>
    <w:pPr>
      <w:spacing w:before="200" w:after="120"/>
    </w:pPr>
    <w:rPr>
      <w:b/>
      <w:iCs/>
      <w:color w:val="000000"/>
      <w:szCs w:val="18"/>
    </w:rPr>
  </w:style>
  <w:style w:type="paragraph" w:styleId="Footer">
    <w:name w:val="footer"/>
    <w:basedOn w:val="Normal"/>
    <w:link w:val="FooterChar"/>
    <w:uiPriority w:val="99"/>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locked/>
    <w:rsid w:val="00FB44AA"/>
    <w:rPr>
      <w:rFonts w:cs="Times New Roman"/>
      <w:sz w:val="14"/>
    </w:rPr>
  </w:style>
  <w:style w:type="paragraph" w:customStyle="1" w:styleId="Boxed1Text">
    <w:name w:val="Boxed 1 Text"/>
    <w:basedOn w:val="Normal"/>
    <w:link w:val="Boxed1TextChar"/>
    <w:uiPriority w:val="99"/>
    <w:rsid w:val="00486804"/>
    <w:pPr>
      <w:pBdr>
        <w:top w:val="single" w:sz="4" w:space="14" w:color="F1F8F8"/>
        <w:left w:val="single" w:sz="4" w:space="14" w:color="F1F8F8"/>
        <w:bottom w:val="single" w:sz="4" w:space="14" w:color="F1F8F8"/>
        <w:right w:val="single" w:sz="4" w:space="14" w:color="F1F8F8"/>
      </w:pBdr>
      <w:shd w:val="clear" w:color="auto" w:fill="F1F8F8"/>
      <w:ind w:left="284" w:right="284"/>
    </w:pPr>
  </w:style>
  <w:style w:type="paragraph" w:customStyle="1" w:styleId="Boxed1Heading">
    <w:name w:val="Boxed 1 Heading"/>
    <w:basedOn w:val="Boxed1Text"/>
    <w:uiPriority w:val="99"/>
    <w:rsid w:val="00486804"/>
    <w:rPr>
      <w:b/>
      <w:sz w:val="24"/>
    </w:rPr>
  </w:style>
  <w:style w:type="paragraph" w:customStyle="1" w:styleId="Boxed2Text">
    <w:name w:val="Boxed 2 Text"/>
    <w:basedOn w:val="Boxed1Text"/>
    <w:link w:val="Boxed2TextChar"/>
    <w:uiPriority w:val="99"/>
    <w:rsid w:val="000C2A48"/>
    <w:pPr>
      <w:pBdr>
        <w:top w:val="single" w:sz="4" w:space="14" w:color="BDDCDF"/>
        <w:left w:val="single" w:sz="4" w:space="14" w:color="BDDCDF"/>
        <w:bottom w:val="single" w:sz="4" w:space="14" w:color="BDDCDF"/>
        <w:right w:val="single" w:sz="4" w:space="14" w:color="BDDCDF"/>
      </w:pBdr>
      <w:shd w:val="clear" w:color="auto" w:fill="BDDCDF"/>
    </w:pPr>
  </w:style>
  <w:style w:type="paragraph" w:customStyle="1" w:styleId="Boxed2Heading">
    <w:name w:val="Boxed 2 Heading"/>
    <w:basedOn w:val="Boxed2Text"/>
    <w:uiPriority w:val="99"/>
    <w:rsid w:val="000C2A48"/>
    <w:rPr>
      <w:b/>
      <w:sz w:val="24"/>
    </w:rPr>
  </w:style>
  <w:style w:type="character" w:styleId="PageNumber">
    <w:name w:val="page number"/>
    <w:basedOn w:val="DefaultParagraphFont"/>
    <w:uiPriority w:val="99"/>
    <w:rsid w:val="00DB6D69"/>
    <w:rPr>
      <w:rFonts w:cs="Times New Roman"/>
    </w:rPr>
  </w:style>
  <w:style w:type="table" w:customStyle="1" w:styleId="TableGridLight1">
    <w:name w:val="Table Grid Light1"/>
    <w:uiPriority w:val="99"/>
    <w:rsid w:val="000D60B1"/>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5C37F0"/>
    <w:pPr>
      <w:spacing w:before="60" w:after="60" w:line="200" w:lineRule="atLeast"/>
    </w:pPr>
    <w:rPr>
      <w:sz w:val="16"/>
      <w:szCs w:val="20"/>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style>
  <w:style w:type="paragraph" w:customStyle="1" w:styleId="TableText">
    <w:name w:val="Table Text"/>
    <w:basedOn w:val="Normal"/>
    <w:uiPriority w:val="99"/>
    <w:rsid w:val="00FB44AA"/>
    <w:pPr>
      <w:spacing w:before="60"/>
    </w:pPr>
    <w:rPr>
      <w:sz w:val="18"/>
    </w:rPr>
  </w:style>
  <w:style w:type="paragraph" w:customStyle="1" w:styleId="TableSourceNotes">
    <w:name w:val="Table Source Notes"/>
    <w:basedOn w:val="TableText"/>
    <w:uiPriority w:val="99"/>
    <w:rsid w:val="00FB44AA"/>
    <w:pPr>
      <w:spacing w:before="120" w:line="240" w:lineRule="atLeast"/>
      <w:ind w:left="284" w:hanging="284"/>
      <w:contextualSpacing/>
    </w:pPr>
  </w:style>
  <w:style w:type="paragraph" w:styleId="FootnoteText">
    <w:name w:val="footnote text"/>
    <w:basedOn w:val="Normal"/>
    <w:link w:val="FootnoteTextChar"/>
    <w:uiPriority w:val="99"/>
    <w:semiHidden/>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locked/>
    <w:rsid w:val="00AB19CF"/>
    <w:rPr>
      <w:rFonts w:cs="Times New Roman"/>
      <w:sz w:val="20"/>
      <w:szCs w:val="20"/>
    </w:rPr>
  </w:style>
  <w:style w:type="character" w:styleId="FootnoteReference">
    <w:name w:val="footnote reference"/>
    <w:basedOn w:val="DefaultParagraphFont"/>
    <w:uiPriority w:val="99"/>
    <w:semiHidden/>
    <w:rsid w:val="0020122A"/>
    <w:rPr>
      <w:rFonts w:cs="Times New Roman"/>
      <w:vertAlign w:val="superscript"/>
    </w:rPr>
  </w:style>
  <w:style w:type="paragraph" w:customStyle="1" w:styleId="FootnoteSeparator">
    <w:name w:val="Footnote Separator"/>
    <w:basedOn w:val="Normal"/>
    <w:uiPriority w:val="99"/>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rFonts w:cs="Times New Roman"/>
      <w:color w:val="808080"/>
    </w:rPr>
  </w:style>
  <w:style w:type="character" w:customStyle="1" w:styleId="Classification">
    <w:name w:val="Classification"/>
    <w:basedOn w:val="DefaultParagraphFont"/>
    <w:uiPriority w:val="99"/>
    <w:rsid w:val="006C4DD1"/>
    <w:rPr>
      <w:rFonts w:cs="Times New Roman"/>
      <w:b/>
      <w:caps/>
      <w:sz w:val="24"/>
    </w:rPr>
  </w:style>
  <w:style w:type="paragraph" w:customStyle="1" w:styleId="Afterbox">
    <w:name w:val="After box"/>
    <w:next w:val="BodyText1"/>
    <w:uiPriority w:val="99"/>
    <w:semiHidden/>
    <w:rsid w:val="00396E11"/>
    <w:pPr>
      <w:spacing w:after="57" w:line="113" w:lineRule="exact"/>
    </w:pPr>
    <w:rPr>
      <w:rFonts w:ascii="Cambria" w:eastAsia="Times New Roman" w:hAnsi="Cambria"/>
      <w:sz w:val="2"/>
      <w:szCs w:val="24"/>
      <w:lang w:eastAsia="en-US"/>
    </w:rPr>
  </w:style>
  <w:style w:type="paragraph" w:customStyle="1" w:styleId="Bodytextbeforebullets">
    <w:name w:val="Body text (before bullets)"/>
    <w:basedOn w:val="BodyText1"/>
    <w:uiPriority w:val="99"/>
    <w:semiHidden/>
    <w:rsid w:val="00396E11"/>
    <w:pPr>
      <w:spacing w:after="57"/>
    </w:pPr>
  </w:style>
  <w:style w:type="paragraph" w:customStyle="1" w:styleId="BodyText1">
    <w:name w:val="Body Text1"/>
    <w:link w:val="BodyText1Char"/>
    <w:uiPriority w:val="99"/>
    <w:semiHidden/>
    <w:rsid w:val="00396E11"/>
    <w:pPr>
      <w:spacing w:after="113" w:line="260" w:lineRule="atLeast"/>
    </w:pPr>
    <w:rPr>
      <w:rFonts w:ascii="Cambria" w:eastAsia="Times New Roman" w:hAnsi="Cambria"/>
      <w:szCs w:val="24"/>
      <w:lang w:eastAsia="en-US"/>
    </w:rPr>
  </w:style>
  <w:style w:type="paragraph" w:customStyle="1" w:styleId="Bullets1stindent">
    <w:name w:val="Bullets (1st indent)"/>
    <w:basedOn w:val="BodyText1"/>
    <w:link w:val="Bullets1stindentChar"/>
    <w:uiPriority w:val="99"/>
    <w:semiHidden/>
    <w:rsid w:val="002676C9"/>
    <w:pPr>
      <w:spacing w:after="120" w:line="240" w:lineRule="auto"/>
    </w:pPr>
    <w:rPr>
      <w:rFonts w:ascii="Arial" w:eastAsia="Arial" w:hAnsi="Arial"/>
      <w:szCs w:val="22"/>
    </w:rPr>
  </w:style>
  <w:style w:type="paragraph" w:customStyle="1" w:styleId="Bullets2ndindent">
    <w:name w:val="Bullets (2nd indent)"/>
    <w:basedOn w:val="Bullets1stindent"/>
    <w:uiPriority w:val="99"/>
    <w:semiHidden/>
    <w:rsid w:val="00396E11"/>
    <w:pPr>
      <w:numPr>
        <w:numId w:val="25"/>
      </w:numPr>
      <w:tabs>
        <w:tab w:val="right" w:pos="794"/>
      </w:tabs>
      <w:spacing w:after="60"/>
    </w:pPr>
  </w:style>
  <w:style w:type="paragraph" w:customStyle="1" w:styleId="Figuretitle">
    <w:name w:val="Figure title"/>
    <w:next w:val="BodyText1"/>
    <w:uiPriority w:val="99"/>
    <w:rsid w:val="00396E11"/>
    <w:pPr>
      <w:keepNext/>
      <w:keepLines/>
      <w:numPr>
        <w:ilvl w:val="6"/>
        <w:numId w:val="21"/>
      </w:numPr>
      <w:spacing w:before="340" w:after="170"/>
    </w:pPr>
    <w:rPr>
      <w:rFonts w:eastAsia="Times New Roman"/>
      <w:b/>
      <w:color w:val="005A77"/>
      <w:spacing w:val="-6"/>
      <w:sz w:val="24"/>
      <w:szCs w:val="24"/>
      <w:lang w:val="en-US" w:eastAsia="en-US"/>
    </w:rPr>
  </w:style>
  <w:style w:type="paragraph" w:customStyle="1" w:styleId="Footertext">
    <w:name w:val="Footer text"/>
    <w:uiPriority w:val="99"/>
    <w:semiHidden/>
    <w:rsid w:val="00396E11"/>
    <w:pPr>
      <w:framePr w:hSpace="181" w:wrap="around" w:vAnchor="text" w:hAnchor="page" w:x="11228" w:y="1"/>
      <w:spacing w:line="200" w:lineRule="atLeast"/>
      <w:ind w:right="113"/>
      <w:suppressOverlap/>
    </w:pPr>
    <w:rPr>
      <w:rFonts w:eastAsia="Times New Roman" w:cs="Arial"/>
      <w:sz w:val="16"/>
      <w:szCs w:val="24"/>
      <w:lang w:eastAsia="en-US"/>
    </w:rPr>
  </w:style>
  <w:style w:type="paragraph" w:customStyle="1" w:styleId="Sourcenotetext">
    <w:name w:val="Source/note text"/>
    <w:uiPriority w:val="99"/>
    <w:rsid w:val="00396E11"/>
    <w:pPr>
      <w:spacing w:before="85" w:after="85"/>
    </w:pPr>
    <w:rPr>
      <w:rFonts w:eastAsia="Times New Roman" w:cs="Arial"/>
      <w:i/>
      <w:sz w:val="12"/>
      <w:szCs w:val="12"/>
      <w:lang w:eastAsia="en-US"/>
    </w:rPr>
  </w:style>
  <w:style w:type="paragraph" w:customStyle="1" w:styleId="Bulletslast1stindent">
    <w:name w:val="Bullets last (1st indent)"/>
    <w:basedOn w:val="BodyText1"/>
    <w:uiPriority w:val="99"/>
    <w:semiHidden/>
    <w:rsid w:val="00396E11"/>
    <w:pPr>
      <w:numPr>
        <w:ilvl w:val="2"/>
        <w:numId w:val="22"/>
      </w:numPr>
      <w:tabs>
        <w:tab w:val="clear" w:pos="284"/>
      </w:tabs>
      <w:ind w:left="852"/>
    </w:pPr>
  </w:style>
  <w:style w:type="paragraph" w:customStyle="1" w:styleId="Bulletslast2ndindent">
    <w:name w:val="Bullets last (2nd indent)"/>
    <w:basedOn w:val="BodyText1"/>
    <w:uiPriority w:val="99"/>
    <w:semiHidden/>
    <w:rsid w:val="00396E11"/>
    <w:pPr>
      <w:numPr>
        <w:ilvl w:val="3"/>
        <w:numId w:val="22"/>
      </w:numPr>
      <w:tabs>
        <w:tab w:val="clear" w:pos="567"/>
      </w:tabs>
      <w:ind w:left="568" w:hanging="284"/>
    </w:pPr>
  </w:style>
  <w:style w:type="paragraph" w:customStyle="1" w:styleId="Tablebodytext">
    <w:name w:val="Table body text"/>
    <w:uiPriority w:val="99"/>
    <w:rsid w:val="00396E11"/>
    <w:pPr>
      <w:spacing w:before="57" w:after="57"/>
      <w:ind w:left="96" w:right="96"/>
    </w:pPr>
    <w:rPr>
      <w:rFonts w:eastAsia="Times New Roman"/>
      <w:sz w:val="18"/>
      <w:szCs w:val="24"/>
      <w:lang w:eastAsia="en-US"/>
    </w:rPr>
  </w:style>
  <w:style w:type="paragraph" w:customStyle="1" w:styleId="Tablebullets2ndindent">
    <w:name w:val="Table bullets (2nd indent)"/>
    <w:basedOn w:val="Tablebodytext"/>
    <w:uiPriority w:val="99"/>
    <w:rsid w:val="00396E11"/>
    <w:pPr>
      <w:numPr>
        <w:ilvl w:val="6"/>
        <w:numId w:val="22"/>
      </w:numPr>
    </w:pPr>
  </w:style>
  <w:style w:type="paragraph" w:customStyle="1" w:styleId="Tablebullets1stindent">
    <w:name w:val="Table bullets (1st indent)"/>
    <w:basedOn w:val="Tablebodytext"/>
    <w:uiPriority w:val="99"/>
    <w:rsid w:val="00396E11"/>
    <w:pPr>
      <w:numPr>
        <w:ilvl w:val="5"/>
        <w:numId w:val="22"/>
      </w:numPr>
    </w:pPr>
  </w:style>
  <w:style w:type="paragraph" w:customStyle="1" w:styleId="Tablecolumnheading">
    <w:name w:val="Table column heading"/>
    <w:basedOn w:val="Tablebodytext"/>
    <w:uiPriority w:val="99"/>
    <w:rsid w:val="00396E11"/>
    <w:pPr>
      <w:keepNext/>
    </w:pPr>
    <w:rPr>
      <w:b/>
      <w:szCs w:val="18"/>
    </w:rPr>
  </w:style>
  <w:style w:type="paragraph" w:customStyle="1" w:styleId="Title2">
    <w:name w:val="Title 2"/>
    <w:basedOn w:val="Title"/>
    <w:uiPriority w:val="99"/>
    <w:semiHidden/>
    <w:rsid w:val="00396E11"/>
    <w:pPr>
      <w:keepLines w:val="0"/>
      <w:pBdr>
        <w:bottom w:val="single" w:sz="8" w:space="4" w:color="C2B000"/>
      </w:pBdr>
      <w:suppressAutoHyphens w:val="0"/>
      <w:spacing w:before="200" w:after="300" w:line="260" w:lineRule="atLeast"/>
      <w:jc w:val="left"/>
      <w:outlineLvl w:val="9"/>
    </w:pPr>
    <w:rPr>
      <w:rFonts w:eastAsia="MS Gothic"/>
      <w:bCs w:val="0"/>
      <w:color w:val="615800"/>
      <w:spacing w:val="5"/>
      <w:sz w:val="52"/>
    </w:rPr>
  </w:style>
  <w:style w:type="paragraph" w:customStyle="1" w:styleId="Tabletitle">
    <w:name w:val="Table title"/>
    <w:next w:val="BodyText1"/>
    <w:uiPriority w:val="99"/>
    <w:rsid w:val="00396E11"/>
    <w:pPr>
      <w:keepNext/>
      <w:numPr>
        <w:ilvl w:val="8"/>
        <w:numId w:val="21"/>
      </w:numPr>
      <w:spacing w:before="340" w:after="170"/>
    </w:pPr>
    <w:rPr>
      <w:rFonts w:eastAsia="Times New Roman"/>
      <w:b/>
      <w:color w:val="005A77"/>
      <w:spacing w:val="-6"/>
      <w:sz w:val="24"/>
      <w:szCs w:val="24"/>
      <w:lang w:val="en-US" w:eastAsia="en-US"/>
    </w:rPr>
  </w:style>
  <w:style w:type="paragraph" w:customStyle="1" w:styleId="Simpletableheading">
    <w:name w:val="Simple table heading"/>
    <w:next w:val="BodyText1"/>
    <w:uiPriority w:val="99"/>
    <w:rsid w:val="00396E11"/>
    <w:pPr>
      <w:spacing w:line="240" w:lineRule="atLeast"/>
    </w:pPr>
    <w:rPr>
      <w:rFonts w:eastAsia="Times New Roman"/>
      <w:b/>
      <w:color w:val="37424A"/>
      <w:szCs w:val="24"/>
      <w:lang w:eastAsia="en-US"/>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6E11"/>
    <w:rPr>
      <w:rFonts w:ascii="Tahoma" w:hAnsi="Tahoma" w:cs="Tahoma"/>
      <w:sz w:val="16"/>
      <w:szCs w:val="16"/>
    </w:rPr>
  </w:style>
  <w:style w:type="paragraph" w:customStyle="1" w:styleId="Subtitle2">
    <w:name w:val="Subtitle 2"/>
    <w:uiPriority w:val="99"/>
    <w:semiHidden/>
    <w:rsid w:val="00396E11"/>
    <w:pPr>
      <w:spacing w:before="200"/>
      <w:contextualSpacing/>
    </w:pPr>
    <w:rPr>
      <w:rFonts w:eastAsia="Times New Roman"/>
      <w:caps/>
      <w:color w:val="1C2735"/>
      <w:kern w:val="28"/>
      <w:szCs w:val="32"/>
      <w:lang w:eastAsia="en-US"/>
    </w:rPr>
  </w:style>
  <w:style w:type="character" w:customStyle="1" w:styleId="Blue">
    <w:name w:val="Blue"/>
    <w:basedOn w:val="DefaultParagraphFont"/>
    <w:uiPriority w:val="99"/>
    <w:semiHidden/>
    <w:rsid w:val="00396E11"/>
    <w:rPr>
      <w:rFonts w:cs="Times New Roman"/>
      <w:color w:val="C2B000"/>
    </w:rPr>
  </w:style>
  <w:style w:type="paragraph" w:customStyle="1" w:styleId="Boxtext">
    <w:name w:val="Box text"/>
    <w:basedOn w:val="Tablebodytext"/>
    <w:uiPriority w:val="99"/>
    <w:rsid w:val="00396E11"/>
    <w:pPr>
      <w:spacing w:before="113" w:after="113" w:line="240" w:lineRule="atLeast"/>
      <w:ind w:left="0" w:right="0"/>
    </w:pPr>
    <w:rPr>
      <w:color w:val="37424A"/>
    </w:rPr>
  </w:style>
  <w:style w:type="paragraph" w:styleId="Quote">
    <w:name w:val="Quote"/>
    <w:basedOn w:val="Normal"/>
    <w:link w:val="QuoteChar"/>
    <w:uiPriority w:val="99"/>
    <w:qFormat/>
    <w:rsid w:val="00396E11"/>
    <w:pPr>
      <w:suppressAutoHyphens w:val="0"/>
      <w:spacing w:before="170" w:after="170" w:line="240" w:lineRule="auto"/>
      <w:ind w:left="284" w:right="284"/>
    </w:pPr>
    <w:rPr>
      <w:rFonts w:ascii="Cambria" w:eastAsia="Times New Roman" w:hAnsi="Cambria"/>
      <w:i/>
      <w:iCs/>
      <w:color w:val="000000"/>
      <w:spacing w:val="-2"/>
      <w:szCs w:val="24"/>
    </w:rPr>
  </w:style>
  <w:style w:type="character" w:customStyle="1" w:styleId="QuoteChar">
    <w:name w:val="Quote Char"/>
    <w:basedOn w:val="DefaultParagraphFont"/>
    <w:link w:val="Quote"/>
    <w:uiPriority w:val="99"/>
    <w:locked/>
    <w:rsid w:val="00396E11"/>
    <w:rPr>
      <w:rFonts w:ascii="Cambria" w:hAnsi="Cambria" w:cs="Times New Roman"/>
      <w:i/>
      <w:iCs/>
      <w:color w:val="000000"/>
      <w:spacing w:val="-2"/>
      <w:sz w:val="24"/>
      <w:szCs w:val="24"/>
      <w:lang w:val="en-AU" w:eastAsia="en-US" w:bidi="ar-SA"/>
    </w:rPr>
  </w:style>
  <w:style w:type="table" w:customStyle="1" w:styleId="DOFDwithheader">
    <w:name w:val="DOFD with header"/>
    <w:uiPriority w:val="99"/>
    <w:rsid w:val="00396E11"/>
    <w:pPr>
      <w:spacing w:before="57" w:line="220" w:lineRule="atLeast"/>
      <w:ind w:left="96" w:right="96"/>
    </w:pPr>
    <w:rPr>
      <w:rFonts w:eastAsia="Times New Roman"/>
      <w:sz w:val="20"/>
      <w:szCs w:val="20"/>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style>
  <w:style w:type="character" w:customStyle="1" w:styleId="ArialBlackBlue">
    <w:name w:val="Arial Black Blue"/>
    <w:basedOn w:val="DefaultParagraphFont"/>
    <w:uiPriority w:val="99"/>
    <w:semiHidden/>
    <w:rsid w:val="00396E11"/>
    <w:rPr>
      <w:rFonts w:ascii="Arial Black" w:hAnsi="Arial Black" w:cs="Times New Roman"/>
      <w:color w:val="005A77"/>
      <w:sz w:val="18"/>
      <w:szCs w:val="18"/>
    </w:rPr>
  </w:style>
  <w:style w:type="paragraph" w:customStyle="1" w:styleId="Chapternumber">
    <w:name w:val="Chapter number"/>
    <w:uiPriority w:val="99"/>
    <w:rsid w:val="00396E11"/>
    <w:pPr>
      <w:spacing w:line="940" w:lineRule="exact"/>
      <w:jc w:val="center"/>
    </w:pPr>
    <w:rPr>
      <w:rFonts w:eastAsia="Times New Roman" w:cs="Arial"/>
      <w:b/>
      <w:color w:val="A7B4BE"/>
      <w:sz w:val="94"/>
      <w:szCs w:val="94"/>
      <w:lang w:eastAsia="en-US"/>
    </w:rPr>
  </w:style>
  <w:style w:type="paragraph" w:customStyle="1" w:styleId="Boxheading">
    <w:name w:val="Box heading"/>
    <w:basedOn w:val="Simpletableheading"/>
    <w:uiPriority w:val="99"/>
    <w:rsid w:val="00396E11"/>
    <w:pPr>
      <w:spacing w:before="113" w:after="113"/>
    </w:pPr>
    <w:rPr>
      <w:color w:val="005A77"/>
    </w:rPr>
  </w:style>
  <w:style w:type="paragraph" w:customStyle="1" w:styleId="Notetitle">
    <w:name w:val="Note title"/>
    <w:uiPriority w:val="99"/>
    <w:rsid w:val="00396E11"/>
    <w:pPr>
      <w:keepNext/>
      <w:numPr>
        <w:ilvl w:val="7"/>
        <w:numId w:val="21"/>
      </w:numPr>
      <w:spacing w:before="340" w:after="170"/>
    </w:pPr>
    <w:rPr>
      <w:rFonts w:eastAsia="MS Gothic"/>
      <w:b/>
      <w:bCs/>
      <w:iCs/>
      <w:color w:val="005A77"/>
      <w:spacing w:val="-6"/>
      <w:sz w:val="24"/>
      <w:szCs w:val="28"/>
      <w:lang w:val="en-US" w:eastAsia="en-US"/>
    </w:rPr>
  </w:style>
  <w:style w:type="character" w:customStyle="1" w:styleId="Black">
    <w:name w:val="Black"/>
    <w:basedOn w:val="DefaultParagraphFont"/>
    <w:uiPriority w:val="99"/>
    <w:semiHidden/>
    <w:rsid w:val="00396E11"/>
    <w:rPr>
      <w:rFonts w:cs="Times New Roman"/>
      <w:color w:val="1C2735"/>
      <w:lang w:val="en-AU"/>
    </w:rPr>
  </w:style>
  <w:style w:type="paragraph" w:customStyle="1" w:styleId="Numberedpara1stindent">
    <w:name w:val="Numbered para (1st indent)"/>
    <w:basedOn w:val="ListParagraph"/>
    <w:uiPriority w:val="99"/>
    <w:rsid w:val="00396E11"/>
    <w:pPr>
      <w:numPr>
        <w:ilvl w:val="1"/>
      </w:numPr>
      <w:spacing w:before="120"/>
      <w:ind w:left="924" w:hanging="357"/>
    </w:pPr>
  </w:style>
  <w:style w:type="paragraph" w:customStyle="1" w:styleId="Numberedpara2ndindent">
    <w:name w:val="Numbered para (2nd indent)"/>
    <w:basedOn w:val="BodyText1"/>
    <w:uiPriority w:val="99"/>
    <w:rsid w:val="00396E11"/>
    <w:pPr>
      <w:numPr>
        <w:ilvl w:val="4"/>
        <w:numId w:val="21"/>
      </w:numPr>
      <w:tabs>
        <w:tab w:val="clear" w:pos="851"/>
      </w:tabs>
      <w:spacing w:after="0" w:line="240" w:lineRule="auto"/>
      <w:ind w:left="1420"/>
    </w:pPr>
  </w:style>
  <w:style w:type="paragraph" w:customStyle="1" w:styleId="Numberedpara3rdindent">
    <w:name w:val="Numbered para (3rd indent)"/>
    <w:basedOn w:val="BodyText1"/>
    <w:uiPriority w:val="99"/>
    <w:rsid w:val="00396E11"/>
    <w:pPr>
      <w:spacing w:before="120" w:after="0" w:line="240" w:lineRule="auto"/>
      <w:ind w:left="1644" w:hanging="720"/>
    </w:pPr>
  </w:style>
  <w:style w:type="paragraph" w:customStyle="1" w:styleId="Heading2nonumbers">
    <w:name w:val="Heading 2 (no numbers)"/>
    <w:basedOn w:val="Normal"/>
    <w:next w:val="BodyText1"/>
    <w:uiPriority w:val="99"/>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eastAsia="Times New Roman"/>
      <w:b/>
      <w:spacing w:val="-6"/>
      <w:sz w:val="26"/>
      <w:szCs w:val="26"/>
    </w:rPr>
  </w:style>
  <w:style w:type="paragraph" w:customStyle="1" w:styleId="Heading3nonumbers">
    <w:name w:val="Heading 3 (no numbers)"/>
    <w:basedOn w:val="Heading3"/>
    <w:next w:val="BodyText1"/>
    <w:uiPriority w:val="99"/>
    <w:rsid w:val="00396E11"/>
    <w:pPr>
      <w:suppressAutoHyphens w:val="0"/>
      <w:spacing w:before="240" w:line="260" w:lineRule="atLeast"/>
      <w:contextualSpacing w:val="0"/>
    </w:pPr>
    <w:rPr>
      <w:b/>
      <w:bCs w:val="0"/>
      <w:color w:val="005A77"/>
      <w:spacing w:val="-6"/>
      <w:sz w:val="22"/>
    </w:rPr>
  </w:style>
  <w:style w:type="paragraph" w:customStyle="1" w:styleId="Heading4nonumbers">
    <w:name w:val="Heading 4 (no numbers)"/>
    <w:basedOn w:val="Heading4"/>
    <w:next w:val="BodyText1"/>
    <w:link w:val="Heading4nonumbersChar"/>
    <w:uiPriority w:val="99"/>
    <w:rsid w:val="00396E11"/>
    <w:pPr>
      <w:keepLines w:val="0"/>
      <w:suppressAutoHyphens w:val="0"/>
      <w:spacing w:before="360" w:line="260" w:lineRule="exact"/>
      <w:contextualSpacing w:val="0"/>
    </w:pPr>
    <w:rPr>
      <w:b/>
      <w:bCs w:val="0"/>
      <w:iCs w:val="0"/>
      <w:spacing w:val="-6"/>
    </w:rPr>
  </w:style>
  <w:style w:type="character" w:customStyle="1" w:styleId="Heading4nonumbersChar">
    <w:name w:val="Heading 4 (no numbers) Char"/>
    <w:basedOn w:val="Heading4Char"/>
    <w:link w:val="Heading4nonumbers"/>
    <w:uiPriority w:val="99"/>
    <w:locked/>
    <w:rsid w:val="00396E11"/>
    <w:rPr>
      <w:rFonts w:ascii="Arial" w:hAnsi="Arial" w:cs="Times New Roman"/>
      <w:b/>
      <w:bCs/>
      <w:iCs/>
      <w:color w:val="1C1C1C"/>
      <w:spacing w:val="-6"/>
      <w:sz w:val="26"/>
      <w:szCs w:val="26"/>
    </w:rPr>
  </w:style>
  <w:style w:type="paragraph" w:customStyle="1" w:styleId="Boxtitle">
    <w:name w:val="Box title"/>
    <w:basedOn w:val="Boxheading"/>
    <w:uiPriority w:val="99"/>
    <w:rsid w:val="00396E11"/>
  </w:style>
  <w:style w:type="table" w:customStyle="1" w:styleId="DOFDplain">
    <w:name w:val="DOFD plain"/>
    <w:uiPriority w:val="99"/>
    <w:rsid w:val="00396E11"/>
    <w:pPr>
      <w:spacing w:before="57" w:line="220" w:lineRule="atLeast"/>
      <w:ind w:left="96" w:right="96"/>
    </w:pPr>
    <w:rPr>
      <w:rFonts w:eastAsia="Times New Roman"/>
      <w:sz w:val="17"/>
      <w:szCs w:val="20"/>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style>
  <w:style w:type="table" w:customStyle="1" w:styleId="DOFDbanded">
    <w:name w:val="DOFD banded"/>
    <w:uiPriority w:val="99"/>
    <w:rsid w:val="00396E11"/>
    <w:pPr>
      <w:spacing w:before="57" w:line="220" w:lineRule="atLeast"/>
      <w:ind w:left="96" w:right="96"/>
    </w:pPr>
    <w:rPr>
      <w:rFonts w:eastAsia="Times New Roman"/>
      <w:sz w:val="17"/>
      <w:szCs w:val="20"/>
    </w:rPr>
    <w:tblPr>
      <w:tblStyleRowBandSize w:val="1"/>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style>
  <w:style w:type="paragraph" w:styleId="BodyText">
    <w:name w:val="Body Text"/>
    <w:basedOn w:val="Normal"/>
    <w:link w:val="BodyTextChar"/>
    <w:uiPriority w:val="99"/>
    <w:rsid w:val="00396E11"/>
    <w:pPr>
      <w:suppressAutoHyphens w:val="0"/>
      <w:spacing w:before="200" w:after="120" w:line="260" w:lineRule="atLeast"/>
    </w:pPr>
    <w:rPr>
      <w:rFonts w:ascii="Cambria" w:hAnsi="Cambria"/>
    </w:rPr>
  </w:style>
  <w:style w:type="character" w:customStyle="1" w:styleId="BodyTextChar">
    <w:name w:val="Body Text Char"/>
    <w:basedOn w:val="DefaultParagraphFont"/>
    <w:link w:val="BodyText"/>
    <w:uiPriority w:val="99"/>
    <w:locked/>
    <w:rsid w:val="00396E11"/>
    <w:rPr>
      <w:rFonts w:ascii="Cambria" w:hAnsi="Cambria" w:cs="Times New Roman"/>
    </w:rPr>
  </w:style>
  <w:style w:type="paragraph" w:customStyle="1" w:styleId="Bulletsnumbers">
    <w:name w:val="Bullets (numbers)"/>
    <w:basedOn w:val="Bullets1stindent"/>
    <w:link w:val="BulletsnumbersChar"/>
    <w:uiPriority w:val="99"/>
    <w:semiHidden/>
    <w:rsid w:val="00396E11"/>
    <w:pPr>
      <w:numPr>
        <w:numId w:val="23"/>
      </w:numPr>
    </w:pPr>
    <w:rPr>
      <w:lang w:val="en-US"/>
    </w:rPr>
  </w:style>
  <w:style w:type="character" w:customStyle="1" w:styleId="BodyText1Char">
    <w:name w:val="Body Text1 Char"/>
    <w:basedOn w:val="DefaultParagraphFont"/>
    <w:link w:val="BodyText1"/>
    <w:uiPriority w:val="99"/>
    <w:semiHidden/>
    <w:locked/>
    <w:rsid w:val="00396E11"/>
    <w:rPr>
      <w:rFonts w:ascii="Cambria" w:hAnsi="Cambria" w:cs="Times New Roman"/>
      <w:sz w:val="24"/>
      <w:szCs w:val="24"/>
      <w:lang w:val="en-AU" w:eastAsia="en-US" w:bidi="ar-SA"/>
    </w:rPr>
  </w:style>
  <w:style w:type="character" w:customStyle="1" w:styleId="Bullets1stindentChar">
    <w:name w:val="Bullets (1st indent) Char"/>
    <w:basedOn w:val="BodyText1Char"/>
    <w:link w:val="Bullets1stindent"/>
    <w:uiPriority w:val="99"/>
    <w:semiHidden/>
    <w:locked/>
    <w:rsid w:val="002676C9"/>
    <w:rPr>
      <w:rFonts w:ascii="Cambria" w:hAnsi="Cambria" w:cs="Times New Roman"/>
      <w:sz w:val="24"/>
      <w:szCs w:val="24"/>
      <w:lang w:val="en-AU" w:eastAsia="en-US" w:bidi="ar-SA"/>
    </w:rPr>
  </w:style>
  <w:style w:type="character" w:customStyle="1" w:styleId="BulletsnumbersChar">
    <w:name w:val="Bullets (numbers) Char"/>
    <w:basedOn w:val="Bullets1stindentChar"/>
    <w:link w:val="Bulletsnumbers"/>
    <w:uiPriority w:val="99"/>
    <w:semiHidden/>
    <w:locked/>
    <w:rsid w:val="00396E11"/>
    <w:rPr>
      <w:rFonts w:ascii="Cambria" w:hAnsi="Cambria" w:cs="Times New Roman"/>
      <w:sz w:val="24"/>
      <w:szCs w:val="24"/>
      <w:lang w:val="en-US" w:eastAsia="en-US" w:bidi="ar-SA"/>
    </w:rPr>
  </w:style>
  <w:style w:type="character" w:styleId="CommentReference">
    <w:name w:val="annotation reference"/>
    <w:basedOn w:val="DefaultParagraphFont"/>
    <w:uiPriority w:val="99"/>
    <w:semiHidden/>
    <w:rsid w:val="00396E11"/>
    <w:rPr>
      <w:rFonts w:cs="Times New Roman"/>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hAnsi="Cambria"/>
      <w:szCs w:val="20"/>
    </w:rPr>
  </w:style>
  <w:style w:type="character" w:customStyle="1" w:styleId="CommentTextChar">
    <w:name w:val="Comment Text Char"/>
    <w:basedOn w:val="DefaultParagraphFont"/>
    <w:link w:val="CommentText"/>
    <w:uiPriority w:val="99"/>
    <w:semiHidden/>
    <w:locked/>
    <w:rsid w:val="00396E11"/>
    <w:rPr>
      <w:rFonts w:ascii="Cambria" w:hAnsi="Cambria" w:cs="Times New Roman"/>
      <w:sz w:val="20"/>
      <w:szCs w:val="20"/>
    </w:rPr>
  </w:style>
  <w:style w:type="paragraph" w:styleId="ListNumber">
    <w:name w:val="List Number"/>
    <w:basedOn w:val="Normal"/>
    <w:uiPriority w:val="99"/>
    <w:rsid w:val="00396E11"/>
    <w:pPr>
      <w:tabs>
        <w:tab w:val="num" w:pos="360"/>
      </w:tabs>
      <w:suppressAutoHyphens w:val="0"/>
      <w:spacing w:before="200" w:after="240" w:line="260" w:lineRule="atLeast"/>
      <w:ind w:left="357" w:hanging="357"/>
      <w:contextualSpacing/>
    </w:pPr>
    <w:rPr>
      <w:rFonts w:ascii="Cambria" w:hAnsi="Cambria"/>
    </w:rPr>
  </w:style>
  <w:style w:type="paragraph" w:styleId="ListNumber2">
    <w:name w:val="List Number 2"/>
    <w:basedOn w:val="Normal"/>
    <w:uiPriority w:val="99"/>
    <w:rsid w:val="00396E11"/>
    <w:pPr>
      <w:tabs>
        <w:tab w:val="num" w:pos="643"/>
      </w:tabs>
      <w:suppressAutoHyphens w:val="0"/>
      <w:spacing w:before="200" w:after="0" w:line="260" w:lineRule="atLeast"/>
      <w:ind w:left="643" w:hanging="360"/>
      <w:contextualSpacing/>
    </w:pPr>
    <w:rPr>
      <w:rFonts w:ascii="Cambria" w:hAnsi="Cambria"/>
    </w:rPr>
  </w:style>
  <w:style w:type="paragraph" w:styleId="ListBullet">
    <w:name w:val="List Bullet"/>
    <w:basedOn w:val="Normal"/>
    <w:uiPriority w:val="99"/>
    <w:rsid w:val="00396E11"/>
    <w:pPr>
      <w:suppressAutoHyphens w:val="0"/>
      <w:spacing w:before="200" w:after="240" w:line="260" w:lineRule="atLeast"/>
      <w:ind w:left="360" w:hanging="360"/>
      <w:contextualSpacing/>
    </w:pPr>
    <w:rPr>
      <w:rFonts w:ascii="Cambria" w:hAnsi="Cambria"/>
    </w:rPr>
  </w:style>
  <w:style w:type="table" w:customStyle="1" w:styleId="DOFDtexttable">
    <w:name w:val="DOFD_text table"/>
    <w:uiPriority w:val="99"/>
    <w:rsid w:val="00396E11"/>
    <w:pPr>
      <w:spacing w:before="57"/>
    </w:pPr>
    <w:rPr>
      <w:rFonts w:ascii="Cambria" w:eastAsia="Times New Roman" w:hAnsi="Cambria"/>
      <w:sz w:val="20"/>
      <w:szCs w:val="20"/>
    </w:rPr>
    <w:tblPr>
      <w:tblInd w:w="0" w:type="dxa"/>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hAnsi="Cambria"/>
      <w:szCs w:val="20"/>
    </w:rPr>
  </w:style>
  <w:style w:type="character" w:customStyle="1" w:styleId="EndnoteTextChar">
    <w:name w:val="Endnote Text Char"/>
    <w:basedOn w:val="DefaultParagraphFont"/>
    <w:link w:val="EndnoteText"/>
    <w:uiPriority w:val="99"/>
    <w:semiHidden/>
    <w:locked/>
    <w:rsid w:val="00396E11"/>
    <w:rPr>
      <w:rFonts w:ascii="Cambria" w:hAnsi="Cambria" w:cs="Times New Roman"/>
      <w:sz w:val="20"/>
      <w:szCs w:val="20"/>
    </w:rPr>
  </w:style>
  <w:style w:type="character" w:styleId="EndnoteReference">
    <w:name w:val="endnote reference"/>
    <w:basedOn w:val="DefaultParagraphFont"/>
    <w:uiPriority w:val="99"/>
    <w:semiHidden/>
    <w:rsid w:val="00396E11"/>
    <w:rPr>
      <w:rFonts w:cs="Times New Roman"/>
      <w:vertAlign w:val="superscript"/>
    </w:rPr>
  </w:style>
  <w:style w:type="paragraph" w:styleId="List">
    <w:name w:val="List"/>
    <w:basedOn w:val="Numberedpara1stindent"/>
    <w:uiPriority w:val="99"/>
    <w:rsid w:val="00396E11"/>
    <w:pPr>
      <w:spacing w:after="240"/>
    </w:pPr>
  </w:style>
  <w:style w:type="paragraph" w:styleId="List2">
    <w:name w:val="List 2"/>
    <w:basedOn w:val="Numberedpara2ndindent"/>
    <w:uiPriority w:val="99"/>
    <w:rsid w:val="00396E11"/>
  </w:style>
  <w:style w:type="paragraph" w:styleId="List3">
    <w:name w:val="List 3"/>
    <w:basedOn w:val="Numberedpara3rdindent"/>
    <w:uiPriority w:val="99"/>
    <w:rsid w:val="00396E11"/>
  </w:style>
  <w:style w:type="paragraph" w:customStyle="1" w:styleId="NumberedParagraph">
    <w:name w:val="Numbered Paragraph"/>
    <w:basedOn w:val="Numberedpara1stindent"/>
    <w:uiPriority w:val="99"/>
    <w:rsid w:val="00396E11"/>
    <w:pPr>
      <w:tabs>
        <w:tab w:val="num" w:pos="360"/>
      </w:tabs>
      <w:spacing w:after="120"/>
      <w:ind w:left="360" w:hanging="360"/>
    </w:pPr>
    <w:rPr>
      <w:bCs/>
      <w:color w:val="000000"/>
    </w:rPr>
  </w:style>
  <w:style w:type="paragraph" w:styleId="ListParagraph">
    <w:name w:val="List Paragraph"/>
    <w:basedOn w:val="Normal"/>
    <w:link w:val="ListParagraphChar"/>
    <w:uiPriority w:val="99"/>
    <w:qFormat/>
    <w:rsid w:val="00396E11"/>
    <w:pPr>
      <w:suppressAutoHyphens w:val="0"/>
      <w:spacing w:before="200" w:after="0" w:line="260" w:lineRule="exact"/>
      <w:ind w:left="360" w:hanging="360"/>
    </w:pPr>
    <w:rPr>
      <w:rFonts w:ascii="Cambria" w:hAnsi="Cambria"/>
    </w:rPr>
  </w:style>
  <w:style w:type="character" w:styleId="FollowedHyperlink">
    <w:name w:val="FollowedHyperlink"/>
    <w:basedOn w:val="DefaultParagraphFont"/>
    <w:uiPriority w:val="99"/>
    <w:semiHidden/>
    <w:rsid w:val="00396E11"/>
    <w:rPr>
      <w:rFonts w:cs="Times New Roman"/>
      <w:color w:val="954F72"/>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hAnsi="Cambria"/>
    </w:rPr>
  </w:style>
  <w:style w:type="paragraph" w:customStyle="1" w:styleId="Boxnumberedparaindent1">
    <w:name w:val="Box numbered para indent 1"/>
    <w:basedOn w:val="NormalIndent"/>
    <w:uiPriority w:val="99"/>
    <w:rsid w:val="00396E11"/>
    <w:pPr>
      <w:tabs>
        <w:tab w:val="left" w:pos="284"/>
        <w:tab w:val="left" w:pos="1281"/>
        <w:tab w:val="left" w:pos="1418"/>
      </w:tabs>
    </w:pPr>
    <w:rPr>
      <w:lang w:eastAsia="en-AU"/>
    </w:rPr>
  </w:style>
  <w:style w:type="paragraph" w:styleId="NoSpacing">
    <w:name w:val="No Spacing"/>
    <w:uiPriority w:val="99"/>
    <w:qFormat/>
    <w:rsid w:val="00396E11"/>
    <w:rPr>
      <w:rFonts w:ascii="Cambria" w:hAnsi="Cambria"/>
      <w:lang w:eastAsia="en-US"/>
    </w:rPr>
  </w:style>
  <w:style w:type="paragraph" w:customStyle="1" w:styleId="Bullets3rdindent">
    <w:name w:val="Bullets (3rd indent)"/>
    <w:basedOn w:val="Bullets2ndindent"/>
    <w:uiPriority w:val="99"/>
    <w:rsid w:val="00396E11"/>
    <w:pPr>
      <w:numPr>
        <w:numId w:val="27"/>
      </w:numPr>
      <w:tabs>
        <w:tab w:val="right" w:pos="1191"/>
      </w:tabs>
      <w:ind w:left="1701" w:hanging="425"/>
    </w:pPr>
    <w:rPr>
      <w:rFonts w:ascii="Cambria" w:hAnsi="Cambria"/>
    </w:rPr>
  </w:style>
  <w:style w:type="paragraph" w:customStyle="1" w:styleId="Bullets1stindentlast">
    <w:name w:val="Bullets (1st indent) last"/>
    <w:basedOn w:val="Bullets1stindent"/>
    <w:uiPriority w:val="99"/>
    <w:rsid w:val="00396E11"/>
    <w:pPr>
      <w:spacing w:before="120" w:after="0" w:line="260" w:lineRule="atLeast"/>
    </w:pPr>
  </w:style>
  <w:style w:type="paragraph" w:customStyle="1" w:styleId="Bulletintro">
    <w:name w:val="Bullet intro"/>
    <w:basedOn w:val="Normal"/>
    <w:uiPriority w:val="99"/>
    <w:rsid w:val="00396E11"/>
    <w:pPr>
      <w:suppressAutoHyphens w:val="0"/>
      <w:spacing w:before="200" w:after="120" w:line="260" w:lineRule="atLeast"/>
    </w:pPr>
    <w:rPr>
      <w:rFonts w:ascii="Cambria" w:hAnsi="Cambria"/>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hAnsi="Cambria"/>
    </w:rPr>
  </w:style>
  <w:style w:type="paragraph" w:customStyle="1" w:styleId="BodyText2">
    <w:name w:val="Body Text2"/>
    <w:basedOn w:val="Normal"/>
    <w:uiPriority w:val="99"/>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rsid w:val="00396E11"/>
    <w:pPr>
      <w:spacing w:line="240" w:lineRule="auto"/>
    </w:pPr>
    <w:rPr>
      <w:b/>
      <w:bCs/>
      <w:sz w:val="20"/>
    </w:rPr>
  </w:style>
  <w:style w:type="character" w:customStyle="1" w:styleId="CommentSubjectChar">
    <w:name w:val="Comment Subject Char"/>
    <w:basedOn w:val="CommentTextChar"/>
    <w:link w:val="CommentSubject"/>
    <w:uiPriority w:val="99"/>
    <w:semiHidden/>
    <w:locked/>
    <w:rsid w:val="00396E11"/>
    <w:rPr>
      <w:rFonts w:ascii="Cambria" w:hAnsi="Cambria" w:cs="Times New Roman"/>
      <w:b/>
      <w:bCs/>
      <w:sz w:val="20"/>
      <w:szCs w:val="20"/>
    </w:rPr>
  </w:style>
  <w:style w:type="paragraph" w:customStyle="1" w:styleId="FCList">
    <w:name w:val="FC_List"/>
    <w:basedOn w:val="Header"/>
    <w:uiPriority w:val="99"/>
    <w:rsid w:val="00396E11"/>
    <w:pPr>
      <w:numPr>
        <w:numId w:val="22"/>
      </w:numPr>
      <w:tabs>
        <w:tab w:val="clear" w:pos="4513"/>
        <w:tab w:val="clear" w:pos="9026"/>
      </w:tabs>
      <w:suppressAutoHyphens w:val="0"/>
      <w:spacing w:before="60" w:after="60" w:line="240" w:lineRule="auto"/>
      <w:jc w:val="left"/>
    </w:pPr>
    <w:rPr>
      <w:rFonts w:ascii="Times New Roman" w:eastAsia="Times New Roman" w:hAnsi="Times New Roman"/>
      <w:sz w:val="24"/>
      <w:szCs w:val="24"/>
    </w:rPr>
  </w:style>
  <w:style w:type="paragraph" w:customStyle="1" w:styleId="DefaultText1">
    <w:name w:val="Default_Text_1"/>
    <w:basedOn w:val="Normal"/>
    <w:link w:val="DefaultText1Char"/>
    <w:uiPriority w:val="99"/>
    <w:rsid w:val="00396E11"/>
    <w:pPr>
      <w:suppressAutoHyphens w:val="0"/>
      <w:autoSpaceDE w:val="0"/>
      <w:autoSpaceDN w:val="0"/>
      <w:adjustRightInd w:val="0"/>
      <w:spacing w:before="60" w:after="180" w:line="240" w:lineRule="auto"/>
    </w:pPr>
    <w:rPr>
      <w:rFonts w:eastAsia="Times New Roman" w:cs="Times-Roman"/>
      <w:color w:val="FFFFFF"/>
      <w:kern w:val="32"/>
      <w:sz w:val="48"/>
      <w:szCs w:val="32"/>
      <w:lang w:val="en-US"/>
    </w:rPr>
  </w:style>
  <w:style w:type="character" w:customStyle="1" w:styleId="DefaultText1Char">
    <w:name w:val="Default_Text_1 Char"/>
    <w:basedOn w:val="Heading1Char"/>
    <w:link w:val="DefaultText1"/>
    <w:uiPriority w:val="99"/>
    <w:locked/>
    <w:rsid w:val="00396E11"/>
    <w:rPr>
      <w:rFonts w:ascii="Arial" w:hAnsi="Arial" w:cs="Times-Roman"/>
      <w:bCs/>
      <w:color w:val="FFFFFF"/>
      <w:kern w:val="32"/>
      <w:sz w:val="32"/>
      <w:szCs w:val="32"/>
      <w:lang w:val="en-US"/>
    </w:rPr>
  </w:style>
  <w:style w:type="paragraph" w:styleId="Revision">
    <w:name w:val="Revision"/>
    <w:hidden/>
    <w:uiPriority w:val="99"/>
    <w:semiHidden/>
    <w:rsid w:val="00396E11"/>
    <w:rPr>
      <w:rFonts w:ascii="Cambria" w:hAnsi="Cambria"/>
      <w:lang w:eastAsia="en-US"/>
    </w:rPr>
  </w:style>
  <w:style w:type="paragraph" w:styleId="BodyText3">
    <w:name w:val="Body Text 3"/>
    <w:basedOn w:val="Normal"/>
    <w:link w:val="BodyText3Char"/>
    <w:uiPriority w:val="99"/>
    <w:semiHidden/>
    <w:rsid w:val="00A868E8"/>
    <w:pPr>
      <w:spacing w:after="120"/>
    </w:pPr>
    <w:rPr>
      <w:sz w:val="16"/>
      <w:szCs w:val="16"/>
    </w:rPr>
  </w:style>
  <w:style w:type="character" w:customStyle="1" w:styleId="BodyText3Char">
    <w:name w:val="Body Text 3 Char"/>
    <w:basedOn w:val="DefaultParagraphFont"/>
    <w:link w:val="BodyText3"/>
    <w:uiPriority w:val="99"/>
    <w:semiHidden/>
    <w:locked/>
    <w:rsid w:val="00A868E8"/>
    <w:rPr>
      <w:rFonts w:cs="Times New Roman"/>
      <w:sz w:val="16"/>
      <w:szCs w:val="16"/>
    </w:rPr>
  </w:style>
  <w:style w:type="paragraph" w:customStyle="1" w:styleId="Single">
    <w:name w:val="Single"/>
    <w:basedOn w:val="Normal"/>
    <w:uiPriority w:val="99"/>
    <w:rsid w:val="00A868E8"/>
    <w:pPr>
      <w:suppressAutoHyphens w:val="0"/>
      <w:spacing w:before="0" w:after="0" w:line="240" w:lineRule="auto"/>
    </w:pPr>
    <w:rPr>
      <w:rFonts w:ascii="Times New Roman" w:eastAsia="Times New Roman" w:hAnsi="Times New Roman"/>
      <w:sz w:val="24"/>
      <w:szCs w:val="20"/>
    </w:rPr>
  </w:style>
  <w:style w:type="paragraph" w:customStyle="1" w:styleId="Boxed-casestudy">
    <w:name w:val="Boxed - case study"/>
    <w:basedOn w:val="Boxed2Text"/>
    <w:next w:val="Boxed-casestudybullet"/>
    <w:link w:val="Boxed-casestudyChar"/>
    <w:uiPriority w:val="99"/>
    <w:rsid w:val="00903AF5"/>
    <w:pPr>
      <w:shd w:val="clear" w:color="auto" w:fill="65DDF5"/>
    </w:pPr>
  </w:style>
  <w:style w:type="paragraph" w:customStyle="1" w:styleId="Boxed-casestudybullet">
    <w:name w:val="Boxed - case study bullet"/>
    <w:basedOn w:val="Normal"/>
    <w:link w:val="Boxed-casestudybulletChar"/>
    <w:uiPriority w:val="99"/>
    <w:rsid w:val="006F4732"/>
    <w:pPr>
      <w:shd w:val="clear" w:color="auto" w:fill="65DDF5"/>
      <w:contextualSpacing/>
    </w:pPr>
  </w:style>
  <w:style w:type="character" w:customStyle="1" w:styleId="Boxed1TextChar">
    <w:name w:val="Boxed 1 Text Char"/>
    <w:basedOn w:val="DefaultParagraphFont"/>
    <w:link w:val="Boxed1Text"/>
    <w:uiPriority w:val="99"/>
    <w:locked/>
    <w:rsid w:val="00903AF5"/>
    <w:rPr>
      <w:rFonts w:cs="Times New Roman"/>
      <w:shd w:val="clear" w:color="auto" w:fill="F1F8F8"/>
    </w:rPr>
  </w:style>
  <w:style w:type="character" w:customStyle="1" w:styleId="Boxed2TextChar">
    <w:name w:val="Boxed 2 Text Char"/>
    <w:basedOn w:val="Boxed1TextChar"/>
    <w:link w:val="Boxed2Text"/>
    <w:uiPriority w:val="99"/>
    <w:locked/>
    <w:rsid w:val="00903AF5"/>
    <w:rPr>
      <w:rFonts w:cs="Times New Roman"/>
      <w:shd w:val="clear" w:color="auto" w:fill="BDDCDF"/>
    </w:rPr>
  </w:style>
  <w:style w:type="character" w:customStyle="1" w:styleId="Boxed-casestudyChar">
    <w:name w:val="Boxed - case study Char"/>
    <w:basedOn w:val="Boxed2TextChar"/>
    <w:link w:val="Boxed-casestudy"/>
    <w:uiPriority w:val="99"/>
    <w:locked/>
    <w:rsid w:val="00903AF5"/>
    <w:rPr>
      <w:rFonts w:cs="Times New Roman"/>
      <w:shd w:val="clear" w:color="auto" w:fill="65DDF5"/>
    </w:rPr>
  </w:style>
  <w:style w:type="character" w:customStyle="1" w:styleId="Boxed-casestudybulletChar">
    <w:name w:val="Boxed - case study bullet Char"/>
    <w:basedOn w:val="Boxed-casestudyChar"/>
    <w:link w:val="Boxed-casestudybullet"/>
    <w:uiPriority w:val="99"/>
    <w:locked/>
    <w:rsid w:val="006F4732"/>
    <w:rPr>
      <w:rFonts w:cs="Times New Roman"/>
      <w:shd w:val="clear" w:color="auto" w:fill="65DDF5"/>
    </w:rPr>
  </w:style>
  <w:style w:type="character" w:customStyle="1" w:styleId="ListParagraphChar">
    <w:name w:val="List Paragraph Char"/>
    <w:basedOn w:val="DefaultParagraphFont"/>
    <w:link w:val="ListParagraph"/>
    <w:uiPriority w:val="99"/>
    <w:locked/>
    <w:rsid w:val="001765FC"/>
    <w:rPr>
      <w:rFonts w:ascii="Cambria" w:hAnsi="Cambria" w:cs="Times New Roman"/>
      <w:lang w:eastAsia="en-US"/>
    </w:rPr>
  </w:style>
  <w:style w:type="table" w:customStyle="1" w:styleId="GridTable1Light1">
    <w:name w:val="Grid Table 1 Light1"/>
    <w:uiPriority w:val="99"/>
    <w:rsid w:val="00C90A86"/>
    <w:rPr>
      <w:rFonts w:ascii="Courier" w:eastAsia="Times New Roman" w:hAnsi="Courie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footnote">
    <w:name w:val="footnote"/>
    <w:basedOn w:val="Normal"/>
    <w:uiPriority w:val="99"/>
    <w:rsid w:val="006067DB"/>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numbering" w:customStyle="1" w:styleId="Numberedlist">
    <w:name w:val="Numbered list"/>
    <w:uiPriority w:val="99"/>
    <w:rsid w:val="00472526"/>
    <w:pPr>
      <w:numPr>
        <w:numId w:val="28"/>
      </w:numPr>
    </w:pPr>
  </w:style>
  <w:style w:type="numbering" w:customStyle="1" w:styleId="Bullets">
    <w:name w:val="Bullets"/>
    <w:rsid w:val="00472526"/>
    <w:pPr>
      <w:numPr>
        <w:numId w:val="22"/>
      </w:numPr>
    </w:pPr>
  </w:style>
  <w:style w:type="numbering" w:customStyle="1" w:styleId="HeadingsList">
    <w:name w:val="Headings List"/>
    <w:rsid w:val="00472526"/>
    <w:pPr>
      <w:numPr>
        <w:numId w:val="18"/>
      </w:numPr>
    </w:pPr>
  </w:style>
  <w:style w:type="numbering" w:customStyle="1" w:styleId="Numbers">
    <w:name w:val="Numbers"/>
    <w:rsid w:val="00472526"/>
    <w:pPr>
      <w:numPr>
        <w:numId w:val="21"/>
      </w:numPr>
    </w:pPr>
  </w:style>
  <w:style w:type="numbering" w:customStyle="1" w:styleId="TableHeadingNumbers">
    <w:name w:val="Table Heading Numbers"/>
    <w:rsid w:val="00472526"/>
    <w:pPr>
      <w:numPr>
        <w:numId w:val="19"/>
      </w:numPr>
    </w:pPr>
  </w:style>
  <w:style w:type="numbering" w:customStyle="1" w:styleId="FigureTitles">
    <w:name w:val="Figure Titles"/>
    <w:rsid w:val="00472526"/>
    <w:pPr>
      <w:numPr>
        <w:numId w:val="20"/>
      </w:numPr>
    </w:pPr>
  </w:style>
  <w:style w:type="numbering" w:customStyle="1" w:styleId="BulletsList">
    <w:name w:val="Bullets List"/>
    <w:rsid w:val="0047252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35987">
      <w:marLeft w:val="0"/>
      <w:marRight w:val="0"/>
      <w:marTop w:val="0"/>
      <w:marBottom w:val="0"/>
      <w:divBdr>
        <w:top w:val="none" w:sz="0" w:space="0" w:color="auto"/>
        <w:left w:val="none" w:sz="0" w:space="0" w:color="auto"/>
        <w:bottom w:val="none" w:sz="0" w:space="0" w:color="auto"/>
        <w:right w:val="none" w:sz="0" w:space="0" w:color="auto"/>
      </w:divBdr>
    </w:div>
    <w:div w:id="1280335988">
      <w:marLeft w:val="0"/>
      <w:marRight w:val="0"/>
      <w:marTop w:val="0"/>
      <w:marBottom w:val="0"/>
      <w:divBdr>
        <w:top w:val="none" w:sz="0" w:space="0" w:color="auto"/>
        <w:left w:val="none" w:sz="0" w:space="0" w:color="auto"/>
        <w:bottom w:val="none" w:sz="0" w:space="0" w:color="auto"/>
        <w:right w:val="none" w:sz="0" w:space="0" w:color="auto"/>
      </w:divBdr>
    </w:div>
    <w:div w:id="141952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hyperlink" Target="http://www.pmra.finance.gov.au/legislation-pgpa-act/" TargetMode="External"/><Relationship Id="rId26" Type="http://schemas.openxmlformats.org/officeDocument/2006/relationships/hyperlink" Target="http://www.austlii.edu.au/cgi-bin/viewdb/au/legis/cth/consol_act/psa1999152/" TargetMode="External"/><Relationship Id="rId39" Type="http://schemas.openxmlformats.org/officeDocument/2006/relationships/hyperlink" Target="http://www.anao.gov.au/Publications/Better-Practice-Guides" TargetMode="External"/><Relationship Id="rId3" Type="http://schemas.openxmlformats.org/officeDocument/2006/relationships/customXml" Target="../customXml/item3.xml"/><Relationship Id="rId21" Type="http://schemas.openxmlformats.org/officeDocument/2006/relationships/hyperlink" Target="http://www.finance.gov.au/resource-management/spending/" TargetMode="External"/><Relationship Id="rId34" Type="http://schemas.openxmlformats.org/officeDocument/2006/relationships/header" Target="header1.xml"/><Relationship Id="rId42" Type="http://schemas.openxmlformats.org/officeDocument/2006/relationships/hyperlink" Target="http://www.finance.gov.au/resource-management/accountability/accountable-authority-instructions/" TargetMode="External"/><Relationship Id="rId47" Type="http://schemas.openxmlformats.org/officeDocument/2006/relationships/header" Target="header3.xml"/><Relationship Id="rId50" Type="http://schemas.openxmlformats.org/officeDocument/2006/relationships/hyperlink" Target="https://www.comlaw.gov.au/Series/F1997B028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inance.gov.au" TargetMode="External"/><Relationship Id="rId25" Type="http://schemas.openxmlformats.org/officeDocument/2006/relationships/hyperlink" Target="http://www.finance.gov.au/procurement/index.html" TargetMode="External"/><Relationship Id="rId33" Type="http://schemas.openxmlformats.org/officeDocument/2006/relationships/hyperlink" Target="http://www.comlaw.gov.au/Details/C2012C00510/Html/Text" TargetMode="External"/><Relationship Id="rId38" Type="http://schemas.openxmlformats.org/officeDocument/2006/relationships/hyperlink" Target="http://www.finance.gov.au/resource-management/grants/additional-guidance/" TargetMode="External"/><Relationship Id="rId46" Type="http://schemas.openxmlformats.org/officeDocument/2006/relationships/hyperlink" Target="http://www.finance.gov.au/resource-management/discretionary-financial-assistance/act-of-grace-mechanism/information-for-entity-staff/" TargetMode="External"/><Relationship Id="rId2" Type="http://schemas.openxmlformats.org/officeDocument/2006/relationships/customXml" Target="../customXml/item2.xml"/><Relationship Id="rId16" Type="http://schemas.openxmlformats.org/officeDocument/2006/relationships/hyperlink" Target="mailto:grants@finance.gov.au" TargetMode="External"/><Relationship Id="rId20" Type="http://schemas.openxmlformats.org/officeDocument/2006/relationships/hyperlink" Target="https://www.comlaw.gov.au/Series/F1997B02816" TargetMode="External"/><Relationship Id="rId29" Type="http://schemas.openxmlformats.org/officeDocument/2006/relationships/hyperlink" Target="http://www.comlaw.gov.au/Series/C2004A00538" TargetMode="External"/><Relationship Id="rId41" Type="http://schemas.openxmlformats.org/officeDocument/2006/relationships/hyperlink" Target="http://www.finance.gov.au/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inance.gov.au/resource-management/grants/" TargetMode="External"/><Relationship Id="rId32" Type="http://schemas.openxmlformats.org/officeDocument/2006/relationships/hyperlink" Target="http://www.pbs.gov.au/browse/body-system" TargetMode="External"/><Relationship Id="rId37" Type="http://schemas.openxmlformats.org/officeDocument/2006/relationships/footer" Target="footer2.xml"/><Relationship Id="rId40" Type="http://schemas.openxmlformats.org/officeDocument/2006/relationships/hyperlink" Target="https://www.finance.gov.au/procurement/procurement-policy-and-guidance/commonwealth-procurement-rules/" TargetMode="External"/><Relationship Id="rId45" Type="http://schemas.openxmlformats.org/officeDocument/2006/relationships/hyperlink" Target="http://www.finance.gov.au/resource-management/reporting-accounting/accounting-guidance/" TargetMode="External"/><Relationship Id="rId5" Type="http://schemas.openxmlformats.org/officeDocument/2006/relationships/customXml" Target="../customXml/item5.xml"/><Relationship Id="rId15" Type="http://schemas.openxmlformats.org/officeDocument/2006/relationships/hyperlink" Target="http://www.dpmc.gov.au/government/its-honour" TargetMode="External"/><Relationship Id="rId23" Type="http://schemas.openxmlformats.org/officeDocument/2006/relationships/hyperlink" Target="https://www.finance.gov.au/resource-management/grants/additional-guidance/" TargetMode="External"/><Relationship Id="rId28" Type="http://schemas.openxmlformats.org/officeDocument/2006/relationships/hyperlink" Target="mailto:procurementagencyadvice@finance.gov.au" TargetMode="External"/><Relationship Id="rId36" Type="http://schemas.openxmlformats.org/officeDocument/2006/relationships/header" Target="header2.xml"/><Relationship Id="rId49"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comlaw.gov.au/Series/C2004A05251" TargetMode="External"/><Relationship Id="rId31" Type="http://schemas.openxmlformats.org/officeDocument/2006/relationships/hyperlink" Target="https://www.comlaw.gov.au/Series/C2004A03268" TargetMode="External"/><Relationship Id="rId44" Type="http://schemas.openxmlformats.org/officeDocument/2006/relationships/hyperlink" Target="http://www.finance.gov.au/resource-management/managing-cash/"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https://www.finance.gov.au/resource-management/grants/additional-guidance/" TargetMode="External"/><Relationship Id="rId27" Type="http://schemas.openxmlformats.org/officeDocument/2006/relationships/hyperlink" Target="https://www.legislation.gov.au/Details/C2016C00405" TargetMode="External"/><Relationship Id="rId30" Type="http://schemas.openxmlformats.org/officeDocument/2006/relationships/hyperlink" Target="https://www.comlaw.gov.au/Series/C2004A00580" TargetMode="External"/><Relationship Id="rId35" Type="http://schemas.openxmlformats.org/officeDocument/2006/relationships/footer" Target="footer1.xml"/><Relationship Id="rId43" Type="http://schemas.openxmlformats.org/officeDocument/2006/relationships/hyperlink" Target="http://www.finance.gov.au/resource-management/discretionary-financial-assistance/act-of-grace-mechanism/information-for-entity-staff/" TargetMode="External"/><Relationship Id="rId48" Type="http://schemas.openxmlformats.org/officeDocument/2006/relationships/footer" Target="footer3.xml"/><Relationship Id="rId8" Type="http://schemas.openxmlformats.org/officeDocument/2006/relationships/styles" Target="styl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resource-management/pgpa-legislation/delegatio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7CA620E8B34391489F2B6C7FA5EBFA09" ma:contentTypeVersion="70" ma:contentTypeDescription="Create a new document." ma:contentTypeScope="" ma:versionID="3a669e0f6da554bfb63ac42a7cfdb800">
  <xsd:schema xmlns:xsd="http://www.w3.org/2001/XMLSchema" xmlns:xs="http://www.w3.org/2001/XMLSchema" xmlns:p="http://schemas.microsoft.com/office/2006/metadata/properties" xmlns:ns1="http://schemas.microsoft.com/sharepoint/v3" xmlns:ns2="82ff9d9b-d3fc-4aad-bc42-9949ee83b815" xmlns:ns3="8ecdc7eb-6886-4c4b-b031-29c54013a0ed" targetNamespace="http://schemas.microsoft.com/office/2006/metadata/properties" ma:root="true" ma:fieldsID="1661a478c621598fb2bf56c712146110" ns1:_="" ns2:_="" ns3:_="">
    <xsd:import namespace="http://schemas.microsoft.com/sharepoint/v3"/>
    <xsd:import namespace="82ff9d9b-d3fc-4aad-bc42-9949ee83b815"/>
    <xsd:import namespace="8ecdc7eb-6886-4c4b-b031-29c54013a0e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38cd227-fa78-427b-966d-7c19c4bf046b}" ma:internalName="TaxCatchAll" ma:showField="CatchAllData" ma:web="8ecdc7eb-6886-4c4b-b031-29c54013a0e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38cd227-fa78-427b-966d-7c19c4bf046b}" ma:internalName="TaxCatchAllLabel" ma:readOnly="true" ma:showField="CatchAllDataLabel" ma:web="8ecdc7eb-6886-4c4b-b031-29c54013a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dc7eb-6886-4c4b-b031-29c54013a0ed"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Grants Policy and Simplification</TermName>
          <TermId xmlns="http://schemas.microsoft.com/office/infopath/2007/PartnerControls">70c845c2-de6d-438a-85d0-be462581f948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8ecdc7eb-6886-4c4b-b031-29c54013a0ed">FIN201933523-140217785-8709</_dlc_DocId>
    <_dlc_DocIdUrl xmlns="8ecdc7eb-6886-4c4b-b031-29c54013a0ed">
      <Url>https://f1.prdmgd.finance.gov.au/sites/50033523/_layouts/15/DocIdRedir.aspx?ID=FIN201933523-140217785-8709</Url>
      <Description>FIN201933523-140217785-8709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EE8A-16C7-43D4-AB86-606F04F79680}">
  <ds:schemaRefs>
    <ds:schemaRef ds:uri="http://schemas.microsoft.com/sharepoint/events"/>
  </ds:schemaRefs>
</ds:datastoreItem>
</file>

<file path=customXml/itemProps2.xml><?xml version="1.0" encoding="utf-8"?>
<ds:datastoreItem xmlns:ds="http://schemas.openxmlformats.org/officeDocument/2006/customXml" ds:itemID="{55BCA5C6-6B4C-49C5-A637-1841AE470EC9}">
  <ds:schemaRefs>
    <ds:schemaRef ds:uri="Microsoft.SharePoint.Taxonomy.ContentTypeSync"/>
  </ds:schemaRefs>
</ds:datastoreItem>
</file>

<file path=customXml/itemProps3.xml><?xml version="1.0" encoding="utf-8"?>
<ds:datastoreItem xmlns:ds="http://schemas.openxmlformats.org/officeDocument/2006/customXml" ds:itemID="{CD2CB287-A9DE-4DA0-ACBE-00334B9FF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8ecdc7eb-6886-4c4b-b031-29c54013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57878-D480-4795-A7BC-E5C91BA33077}">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82ff9d9b-d3fc-4aad-bc42-9949ee83b815"/>
    <ds:schemaRef ds:uri="http://purl.org/dc/dcmitype/"/>
    <ds:schemaRef ds:uri="http://schemas.microsoft.com/sharepoint/v3"/>
    <ds:schemaRef ds:uri="http://purl.org/dc/elements/1.1/"/>
    <ds:schemaRef ds:uri="http://schemas.openxmlformats.org/package/2006/metadata/core-properties"/>
    <ds:schemaRef ds:uri="8ecdc7eb-6886-4c4b-b031-29c54013a0ed"/>
    <ds:schemaRef ds:uri="http://www.w3.org/XML/1998/namespace"/>
  </ds:schemaRefs>
</ds:datastoreItem>
</file>

<file path=customXml/itemProps5.xml><?xml version="1.0" encoding="utf-8"?>
<ds:datastoreItem xmlns:ds="http://schemas.openxmlformats.org/officeDocument/2006/customXml" ds:itemID="{1FC712BB-F86B-47D9-B56C-AF7D43B9CDF5}">
  <ds:schemaRefs>
    <ds:schemaRef ds:uri="http://schemas.microsoft.com/sharepoint/v3/contenttype/forms"/>
  </ds:schemaRefs>
</ds:datastoreItem>
</file>

<file path=customXml/itemProps6.xml><?xml version="1.0" encoding="utf-8"?>
<ds:datastoreItem xmlns:ds="http://schemas.openxmlformats.org/officeDocument/2006/customXml" ds:itemID="{BE2F6392-084E-463F-9B81-798DA9EF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BF785953</Template>
  <TotalTime>1</TotalTime>
  <Pages>20</Pages>
  <Words>5027</Words>
  <Characters>32531</Characters>
  <Application>Microsoft Office Word</Application>
  <DocSecurity>4</DocSecurity>
  <Lines>271</Lines>
  <Paragraphs>74</Paragraphs>
  <ScaleCrop>false</ScaleCrop>
  <HeadingPairs>
    <vt:vector size="2" baseType="variant">
      <vt:variant>
        <vt:lpstr>Title</vt:lpstr>
      </vt:variant>
      <vt:variant>
        <vt:i4>1</vt:i4>
      </vt:variant>
    </vt:vector>
  </HeadingPairs>
  <TitlesOfParts>
    <vt:vector size="1" baseType="lpstr">
      <vt:lpstr>RMG 411 - Grants Procurements and other Financial Arrangements</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RMG 411 - Grants Procurements and other Financial Arrangements</dc:title>
  <dc:subject/>
  <dc:creator>Department of Finance</dc:creator>
  <cp:keywords/>
  <dc:description/>
  <cp:lastModifiedBy>Truong, Minh</cp:lastModifiedBy>
  <cp:revision>2</cp:revision>
  <cp:lastPrinted>2018-06-15T01:05:00Z</cp:lastPrinted>
  <dcterms:created xsi:type="dcterms:W3CDTF">2020-06-02T00:11:00Z</dcterms:created>
  <dcterms:modified xsi:type="dcterms:W3CDTF">2020-06-02T00:11:00Z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0x010100B321FEA60C5BA343A52BC94EC00ABC9E07007CA620E8B34391489F2B6C7FA5EBFA09</vt:lpwstr>
  </property>
  <property fmtid="{D5CDD505-2E9C-101B-9397-08002B2CF9AE}" pid="3" name="TaxKeyword">
    <vt:lpwstr/>
  </property>
  <property fmtid="{D5CDD505-2E9C-101B-9397-08002B2CF9AE}" pid="4" name="Function and Activity">
    <vt:lpwstr/>
  </property>
  <property fmtid="{D5CDD505-2E9C-101B-9397-08002B2CF9AE}" pid="5" name="AbtEntity">
    <vt:lpwstr>1;#Department of Finance|fd660e8f-8f31-49bd-92a3-d31d4da31afe</vt:lpwstr>
  </property>
  <property fmtid="{D5CDD505-2E9C-101B-9397-08002B2CF9AE}" pid="6" name="OrgUnit">
    <vt:lpwstr>2;#Grants Policy and Simplification|70c845c2-de6d-438a-85d0-be462581f948</vt:lpwstr>
  </property>
  <property fmtid="{D5CDD505-2E9C-101B-9397-08002B2CF9AE}" pid="7" name="InitiatingEntity">
    <vt:lpwstr>1;#Department of Finance|fd660e8f-8f31-49bd-92a3-d31d4da31afe</vt:lpwstr>
  </property>
  <property fmtid="{D5CDD505-2E9C-101B-9397-08002B2CF9AE}" pid="8" name="_dlc_DocIdItemGuid">
    <vt:lpwstr>ea68671a-3bae-421a-abe7-66915a2d4545</vt:lpwstr>
  </property>
</Properties>
</file>