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2A48" w:rsidRDefault="000C2A48" w:rsidP="000C2A48"/>
    <w:p w:rsidR="005E5CB9" w:rsidRDefault="005E5CB9" w:rsidP="00DB6D69">
      <w:pPr>
        <w:pStyle w:val="Title"/>
        <w:rPr>
          <w:rFonts w:ascii="Calibri" w:hAnsi="Calibri"/>
          <w:b/>
          <w:color w:val="000000" w:themeColor="text1"/>
          <w:szCs w:val="40"/>
        </w:rPr>
      </w:pPr>
    </w:p>
    <w:p w:rsidR="004E058F" w:rsidRPr="00B83BE5" w:rsidRDefault="001937FC" w:rsidP="00B83BE5">
      <w:pPr>
        <w:pStyle w:val="BodyText"/>
        <w:jc w:val="right"/>
        <w:rPr>
          <w:rFonts w:ascii="Calibri" w:hAnsi="Calibri"/>
          <w:b/>
          <w:szCs w:val="40"/>
        </w:rPr>
      </w:pPr>
      <w:r w:rsidRPr="00B83BE5">
        <w:rPr>
          <w:rFonts w:ascii="Calibri" w:hAnsi="Calibri"/>
          <w:b/>
          <w:sz w:val="40"/>
          <w:szCs w:val="40"/>
        </w:rPr>
        <w:t xml:space="preserve">Reporting requirements following </w:t>
      </w:r>
      <w:r w:rsidR="00661A7B">
        <w:rPr>
          <w:rFonts w:ascii="Calibri" w:hAnsi="Calibri"/>
          <w:b/>
          <w:sz w:val="40"/>
          <w:szCs w:val="40"/>
        </w:rPr>
        <w:br/>
        <w:t>m</w:t>
      </w:r>
      <w:r w:rsidRPr="00B83BE5">
        <w:rPr>
          <w:rFonts w:ascii="Calibri" w:hAnsi="Calibri"/>
          <w:b/>
          <w:sz w:val="40"/>
          <w:szCs w:val="40"/>
        </w:rPr>
        <w:t xml:space="preserve">achinery of </w:t>
      </w:r>
      <w:r w:rsidR="00661A7B">
        <w:rPr>
          <w:rFonts w:ascii="Calibri" w:hAnsi="Calibri"/>
          <w:b/>
          <w:sz w:val="40"/>
          <w:szCs w:val="40"/>
        </w:rPr>
        <w:t>g</w:t>
      </w:r>
      <w:r w:rsidRPr="00B83BE5">
        <w:rPr>
          <w:rFonts w:ascii="Calibri" w:hAnsi="Calibri"/>
          <w:b/>
          <w:sz w:val="40"/>
          <w:szCs w:val="40"/>
        </w:rPr>
        <w:t>overnment changes</w:t>
      </w:r>
    </w:p>
    <w:p w:rsidR="00B13B6E" w:rsidRPr="00E02371" w:rsidRDefault="00E02371" w:rsidP="00B13B6E">
      <w:pPr>
        <w:jc w:val="right"/>
        <w:rPr>
          <w:color w:val="000000" w:themeColor="text1"/>
          <w:sz w:val="34"/>
          <w:szCs w:val="34"/>
        </w:rPr>
      </w:pPr>
      <w:r w:rsidRPr="00E02371">
        <w:rPr>
          <w:sz w:val="34"/>
          <w:szCs w:val="34"/>
        </w:rPr>
        <w:t xml:space="preserve">Resource Management Guide No. </w:t>
      </w:r>
      <w:r w:rsidR="006C65DA">
        <w:rPr>
          <w:sz w:val="34"/>
          <w:szCs w:val="34"/>
        </w:rPr>
        <w:t>119</w:t>
      </w:r>
    </w:p>
    <w:p w:rsidR="005E5CB9" w:rsidRDefault="005E5CB9" w:rsidP="006C4DD1"/>
    <w:p w:rsidR="005E5CB9" w:rsidRDefault="005E5CB9" w:rsidP="006C4DD1"/>
    <w:p w:rsidR="005E5CB9" w:rsidRDefault="005E5CB9" w:rsidP="006C4DD1"/>
    <w:p w:rsidR="005E5CB9" w:rsidRDefault="005E5CB9" w:rsidP="006C4DD1"/>
    <w:p w:rsidR="000C2A48" w:rsidRDefault="0032634A" w:rsidP="006C4DD1">
      <w:r>
        <w:t>June</w:t>
      </w:r>
      <w:r w:rsidR="0009669D" w:rsidRPr="001937FC">
        <w:t xml:space="preserve"> </w:t>
      </w:r>
      <w:r w:rsidR="005E5CB9" w:rsidRPr="001937FC">
        <w:t>20</w:t>
      </w:r>
      <w:r w:rsidR="001937FC" w:rsidRPr="001937FC">
        <w:t>20</w:t>
      </w:r>
      <w:r w:rsidR="000C2A48">
        <w:br w:type="page"/>
      </w:r>
      <w:bookmarkStart w:id="0" w:name="_GoBack"/>
      <w:bookmarkEnd w:id="0"/>
    </w:p>
    <w:p w:rsidR="005E5CB9" w:rsidRDefault="005E5CB9" w:rsidP="006C4DD1"/>
    <w:p w:rsidR="005E5CB9" w:rsidRPr="003469E3" w:rsidRDefault="005E5CB9" w:rsidP="005E5CB9">
      <w:r>
        <w:t xml:space="preserve">© Commonwealth of Australia </w:t>
      </w:r>
      <w:r w:rsidRPr="004A4BD6">
        <w:t>20</w:t>
      </w:r>
      <w:r w:rsidR="004A4BD6" w:rsidRPr="004A4BD6">
        <w:t>20</w:t>
      </w:r>
    </w:p>
    <w:p w:rsidR="0087616C" w:rsidRDefault="005E5CB9" w:rsidP="005E5CB9">
      <w:r w:rsidRPr="00394ECE">
        <w:t xml:space="preserve">ISBN: </w:t>
      </w:r>
      <w:r w:rsidR="00EB7BA2">
        <w:t>978-1-925537-55-0 (O</w:t>
      </w:r>
      <w:r w:rsidR="00EB7BA2" w:rsidRPr="00EB7BA2">
        <w:t>nline)</w:t>
      </w:r>
    </w:p>
    <w:p w:rsidR="005E5CB9" w:rsidRPr="003469E3" w:rsidRDefault="005E5CB9" w:rsidP="005E5CB9">
      <w:r w:rsidRPr="003469E3">
        <w:t>With the exception of the Commonwealth Coat of Arms and where otherwise noted</w:t>
      </w:r>
      <w:r>
        <w:t>,</w:t>
      </w:r>
      <w:r w:rsidRPr="003469E3">
        <w:t xml:space="preserve"> all material presented in this document is provided under a Creative Commons Attribution 3.0 Australia (</w:t>
      </w:r>
      <w:hyperlink r:id="rId8" w:history="1">
        <w:r>
          <w:rPr>
            <w:rStyle w:val="Hyperlink"/>
          </w:rPr>
          <w:t>http://creativecommons.org/licenses/by/3.0/au</w:t>
        </w:r>
      </w:hyperlink>
      <w:r w:rsidRPr="003469E3">
        <w:t>) licence.</w:t>
      </w:r>
    </w:p>
    <w:p w:rsidR="005E5CB9" w:rsidRPr="003469E3" w:rsidRDefault="005E5CB9" w:rsidP="005E5CB9">
      <w:r w:rsidRPr="003469E3">
        <w:rPr>
          <w:noProof/>
          <w:lang w:eastAsia="en-AU"/>
        </w:rPr>
        <w:drawing>
          <wp:inline distT="0" distB="0" distL="0" distR="0" wp14:anchorId="5B5351D0" wp14:editId="267680DE">
            <wp:extent cx="1152525" cy="397422"/>
            <wp:effectExtent l="0" t="0" r="0" b="3175"/>
            <wp:docPr id="3"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153897" cy="397895"/>
                    </a:xfrm>
                    <a:prstGeom prst="rect">
                      <a:avLst/>
                    </a:prstGeom>
                    <a:noFill/>
                    <a:ln w="9525">
                      <a:noFill/>
                      <a:miter lim="800000"/>
                      <a:headEnd/>
                      <a:tailEnd/>
                    </a:ln>
                  </pic:spPr>
                </pic:pic>
              </a:graphicData>
            </a:graphic>
          </wp:inline>
        </w:drawing>
      </w:r>
    </w:p>
    <w:p w:rsidR="005E5CB9" w:rsidRPr="006A6123" w:rsidRDefault="005E5CB9" w:rsidP="005E5CB9">
      <w:pPr>
        <w:rPr>
          <w:rFonts w:eastAsia="Times New Roman"/>
          <w:szCs w:val="24"/>
        </w:rPr>
      </w:pPr>
      <w:r w:rsidRPr="006A6123">
        <w:rPr>
          <w:rFonts w:eastAsia="Times New Roman"/>
          <w:szCs w:val="24"/>
        </w:rPr>
        <w:t xml:space="preserve">The details of the relevant licence conditions are available </w:t>
      </w:r>
      <w:r>
        <w:rPr>
          <w:rFonts w:eastAsia="Times New Roman"/>
          <w:szCs w:val="24"/>
        </w:rPr>
        <w:t xml:space="preserve">on the Creative Commons website </w:t>
      </w:r>
      <w:r w:rsidRPr="006A6123">
        <w:rPr>
          <w:rFonts w:eastAsia="Times New Roman"/>
          <w:szCs w:val="24"/>
        </w:rPr>
        <w:t>(accessible using the links provided) as is the full legal code for the CC BY 3 AU licence.</w:t>
      </w:r>
    </w:p>
    <w:p w:rsidR="005E5CB9" w:rsidRPr="00EC0C11" w:rsidRDefault="005E5CB9" w:rsidP="005E5CB9">
      <w:pPr>
        <w:spacing w:before="240"/>
        <w:rPr>
          <w:rFonts w:eastAsia="Times New Roman"/>
          <w:b/>
          <w:szCs w:val="24"/>
        </w:rPr>
      </w:pPr>
      <w:r w:rsidRPr="00EC0C11">
        <w:rPr>
          <w:rFonts w:eastAsia="Times New Roman"/>
          <w:b/>
          <w:szCs w:val="24"/>
        </w:rPr>
        <w:t>Use of the Coat of Arms</w:t>
      </w:r>
    </w:p>
    <w:p w:rsidR="005E5CB9" w:rsidRDefault="005E5CB9" w:rsidP="005E5CB9">
      <w:pPr>
        <w:rPr>
          <w:rFonts w:eastAsia="Times New Roman"/>
          <w:szCs w:val="24"/>
        </w:rPr>
      </w:pPr>
      <w:r w:rsidRPr="006A6123">
        <w:rPr>
          <w:rFonts w:eastAsia="Times New Roman"/>
          <w:szCs w:val="24"/>
        </w:rPr>
        <w:t>The terms under which the Coat of Arms can be used are det</w:t>
      </w:r>
      <w:r>
        <w:rPr>
          <w:rFonts w:eastAsia="Times New Roman"/>
          <w:szCs w:val="24"/>
        </w:rPr>
        <w:t xml:space="preserve">ailed on the following website: </w:t>
      </w:r>
      <w:hyperlink r:id="rId10" w:history="1">
        <w:r w:rsidRPr="00592BFA">
          <w:rPr>
            <w:rStyle w:val="Hyperlink"/>
          </w:rPr>
          <w:t>www.dpmc.gov.au/government/its-honour</w:t>
        </w:r>
      </w:hyperlink>
      <w:r w:rsidRPr="006A6123">
        <w:rPr>
          <w:rFonts w:eastAsia="Times New Roman"/>
          <w:szCs w:val="24"/>
        </w:rPr>
        <w:t>.</w:t>
      </w:r>
    </w:p>
    <w:p w:rsidR="005E5CB9" w:rsidRPr="006A6123" w:rsidRDefault="005E5CB9" w:rsidP="005E5CB9">
      <w:pPr>
        <w:spacing w:before="240"/>
        <w:rPr>
          <w:rFonts w:eastAsia="Times New Roman"/>
          <w:b/>
          <w:szCs w:val="24"/>
        </w:rPr>
      </w:pPr>
      <w:r w:rsidRPr="006A6123">
        <w:rPr>
          <w:rFonts w:eastAsia="Times New Roman"/>
          <w:b/>
          <w:szCs w:val="24"/>
        </w:rPr>
        <w:t>Contact us</w:t>
      </w:r>
    </w:p>
    <w:p w:rsidR="005E5CB9" w:rsidRPr="003469E3" w:rsidRDefault="005E5CB9" w:rsidP="005E5CB9">
      <w:r>
        <w:rPr>
          <w:rFonts w:eastAsia="Times New Roman"/>
          <w:szCs w:val="24"/>
        </w:rPr>
        <w:t>Please direct q</w:t>
      </w:r>
      <w:r w:rsidRPr="00C5547B">
        <w:rPr>
          <w:rFonts w:eastAsia="Times New Roman"/>
          <w:szCs w:val="24"/>
        </w:rPr>
        <w:t>uestions or comments about</w:t>
      </w:r>
      <w:r>
        <w:rPr>
          <w:rFonts w:eastAsia="Times New Roman"/>
          <w:szCs w:val="24"/>
        </w:rPr>
        <w:t xml:space="preserve"> the </w:t>
      </w:r>
      <w:r w:rsidR="009A08BD">
        <w:rPr>
          <w:rFonts w:eastAsia="Times New Roman"/>
          <w:szCs w:val="24"/>
        </w:rPr>
        <w:t>guide</w:t>
      </w:r>
      <w:r>
        <w:rPr>
          <w:rFonts w:eastAsia="Times New Roman"/>
          <w:szCs w:val="24"/>
        </w:rPr>
        <w:t xml:space="preserve"> to:</w:t>
      </w:r>
      <w:r w:rsidRPr="003469E3">
        <w:t xml:space="preserve"> </w:t>
      </w:r>
    </w:p>
    <w:p w:rsidR="005E5CB9" w:rsidRPr="00B86EE1" w:rsidRDefault="00B86EE1" w:rsidP="005E5CB9">
      <w:pPr>
        <w:spacing w:before="0" w:after="0" w:line="240" w:lineRule="auto"/>
        <w:rPr>
          <w:color w:val="000000" w:themeColor="text1"/>
        </w:rPr>
      </w:pPr>
      <w:r w:rsidRPr="00B86EE1">
        <w:rPr>
          <w:color w:val="000000" w:themeColor="text1"/>
        </w:rPr>
        <w:t>Accountability &amp; Reporting</w:t>
      </w:r>
    </w:p>
    <w:p w:rsidR="00B86EE1" w:rsidRPr="00B86EE1" w:rsidRDefault="00B86EE1" w:rsidP="005E5CB9">
      <w:pPr>
        <w:spacing w:before="0" w:after="0" w:line="240" w:lineRule="auto"/>
        <w:rPr>
          <w:color w:val="000000" w:themeColor="text1"/>
        </w:rPr>
      </w:pPr>
      <w:r w:rsidRPr="00B86EE1">
        <w:rPr>
          <w:color w:val="000000" w:themeColor="text1"/>
        </w:rPr>
        <w:t xml:space="preserve">Governance </w:t>
      </w:r>
    </w:p>
    <w:p w:rsidR="005E5CB9" w:rsidRPr="00B86EE1" w:rsidRDefault="005E5CB9" w:rsidP="005E5CB9">
      <w:pPr>
        <w:spacing w:before="0" w:after="0" w:line="240" w:lineRule="auto"/>
        <w:rPr>
          <w:color w:val="000000" w:themeColor="text1"/>
        </w:rPr>
      </w:pPr>
      <w:r w:rsidRPr="00B86EE1">
        <w:rPr>
          <w:color w:val="000000" w:themeColor="text1"/>
        </w:rPr>
        <w:t>Department of Finance</w:t>
      </w:r>
    </w:p>
    <w:p w:rsidR="005E5CB9" w:rsidRPr="00B86EE1" w:rsidRDefault="005E5CB9" w:rsidP="005E5CB9">
      <w:pPr>
        <w:spacing w:before="0" w:after="0" w:line="240" w:lineRule="auto"/>
        <w:rPr>
          <w:color w:val="000000" w:themeColor="text1"/>
        </w:rPr>
      </w:pPr>
      <w:r w:rsidRPr="00B86EE1">
        <w:rPr>
          <w:color w:val="000000" w:themeColor="text1"/>
        </w:rPr>
        <w:t>1 Canberra Avenue</w:t>
      </w:r>
    </w:p>
    <w:p w:rsidR="005E5CB9" w:rsidRPr="00B86EE1" w:rsidRDefault="005E5CB9" w:rsidP="009A08BD">
      <w:pPr>
        <w:spacing w:before="0" w:after="120" w:line="240" w:lineRule="auto"/>
        <w:rPr>
          <w:color w:val="000000" w:themeColor="text1"/>
        </w:rPr>
      </w:pPr>
      <w:r w:rsidRPr="00B86EE1">
        <w:rPr>
          <w:color w:val="000000" w:themeColor="text1"/>
        </w:rPr>
        <w:t>Forrest ACT 2603</w:t>
      </w:r>
    </w:p>
    <w:p w:rsidR="005E5CB9" w:rsidRPr="00B86EE1" w:rsidRDefault="005E5CB9" w:rsidP="009A08BD">
      <w:pPr>
        <w:spacing w:before="0" w:after="120" w:line="240" w:lineRule="auto"/>
        <w:rPr>
          <w:color w:val="000000" w:themeColor="text1"/>
        </w:rPr>
      </w:pPr>
      <w:r w:rsidRPr="00B86EE1">
        <w:rPr>
          <w:color w:val="000000" w:themeColor="text1"/>
        </w:rPr>
        <w:t xml:space="preserve">Email: </w:t>
      </w:r>
      <w:hyperlink r:id="rId11" w:history="1">
        <w:r w:rsidR="00B86EE1" w:rsidRPr="00B86EE1">
          <w:rPr>
            <w:rStyle w:val="Hyperlink"/>
            <w:rFonts w:eastAsia="Times New Roman"/>
            <w:szCs w:val="24"/>
          </w:rPr>
          <w:t>pgpa@finance.gov.au</w:t>
        </w:r>
      </w:hyperlink>
    </w:p>
    <w:p w:rsidR="00275E01" w:rsidRPr="00275E01" w:rsidRDefault="00275E01" w:rsidP="004E71F5">
      <w:pPr>
        <w:spacing w:before="0" w:after="120" w:line="240" w:lineRule="auto"/>
        <w:rPr>
          <w:rStyle w:val="Hyperlink"/>
          <w:rFonts w:cstheme="minorHAnsi"/>
          <w:i w:val="0"/>
          <w:color w:val="000000" w:themeColor="text1"/>
          <w:u w:val="none"/>
        </w:rPr>
      </w:pPr>
    </w:p>
    <w:p w:rsidR="00275E01" w:rsidRPr="00275E01" w:rsidRDefault="00275E01" w:rsidP="004E71F5">
      <w:pPr>
        <w:spacing w:before="0" w:after="120" w:line="240" w:lineRule="auto"/>
        <w:rPr>
          <w:rStyle w:val="Hyperlink"/>
          <w:rFonts w:cstheme="minorHAnsi"/>
          <w:i w:val="0"/>
          <w:color w:val="000000" w:themeColor="text1"/>
          <w:u w:val="none"/>
        </w:rPr>
      </w:pPr>
    </w:p>
    <w:p w:rsidR="00275E01" w:rsidRPr="00275E01" w:rsidRDefault="00275E01" w:rsidP="00275E01">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60" w:lineRule="exact"/>
        <w:ind w:left="60" w:right="60"/>
        <w:rPr>
          <w:rFonts w:cstheme="minorHAnsi"/>
          <w:color w:val="000000"/>
          <w:lang w:eastAsia="en-AU"/>
        </w:rPr>
      </w:pPr>
      <w:r w:rsidRPr="00275E01">
        <w:rPr>
          <w:rFonts w:cstheme="minorHAnsi"/>
          <w:color w:val="000000"/>
          <w:lang w:eastAsia="en-AU"/>
        </w:rPr>
        <w:t>The words ‘</w:t>
      </w:r>
      <w:r w:rsidRPr="00275E01">
        <w:rPr>
          <w:rFonts w:cstheme="minorHAnsi"/>
          <w:b/>
          <w:bCs/>
          <w:color w:val="000000"/>
          <w:lang w:eastAsia="en-AU"/>
        </w:rPr>
        <w:t>must</w:t>
      </w:r>
      <w:r w:rsidRPr="00275E01">
        <w:rPr>
          <w:rFonts w:cstheme="minorHAnsi"/>
          <w:color w:val="000000"/>
          <w:lang w:eastAsia="en-AU"/>
        </w:rPr>
        <w:t>’, ‘</w:t>
      </w:r>
      <w:r w:rsidRPr="00275E01">
        <w:rPr>
          <w:rFonts w:cstheme="minorHAnsi"/>
          <w:b/>
          <w:bCs/>
          <w:color w:val="000000"/>
          <w:lang w:eastAsia="en-AU"/>
        </w:rPr>
        <w:t>required</w:t>
      </w:r>
      <w:r w:rsidRPr="00275E01">
        <w:rPr>
          <w:rFonts w:cstheme="minorHAnsi"/>
          <w:color w:val="000000"/>
          <w:lang w:eastAsia="en-AU"/>
        </w:rPr>
        <w:t>’, ‘</w:t>
      </w:r>
      <w:r w:rsidRPr="00275E01">
        <w:rPr>
          <w:rFonts w:cstheme="minorHAnsi"/>
          <w:b/>
          <w:bCs/>
          <w:color w:val="000000"/>
          <w:lang w:eastAsia="en-AU"/>
        </w:rPr>
        <w:t>requires</w:t>
      </w:r>
      <w:r w:rsidRPr="00275E01">
        <w:rPr>
          <w:rFonts w:cstheme="minorHAnsi"/>
          <w:color w:val="000000"/>
          <w:lang w:eastAsia="en-AU"/>
        </w:rPr>
        <w:t>’ and ‘</w:t>
      </w:r>
      <w:r w:rsidRPr="00275E01">
        <w:rPr>
          <w:rFonts w:cstheme="minorHAnsi"/>
          <w:b/>
          <w:bCs/>
          <w:color w:val="000000"/>
          <w:lang w:eastAsia="en-AU"/>
        </w:rPr>
        <w:t>requiring</w:t>
      </w:r>
      <w:r w:rsidRPr="00275E01">
        <w:rPr>
          <w:rFonts w:cstheme="minorHAnsi"/>
          <w:color w:val="000000"/>
          <w:lang w:eastAsia="en-AU"/>
        </w:rPr>
        <w:t xml:space="preserve">’ denote mandatory compliance by accountable authorities/officials. The use of the words ‘could’, ‘may’, ‘encouraged’ or ‘consider’ convey non-mandatory guidance. The guidance to which these words relate may or may not be applied by accountable authorities/officials in their approach to resource management, depending on the operating circumstances of the entity and its appetite for risk. </w:t>
      </w:r>
    </w:p>
    <w:p w:rsidR="00F21E06" w:rsidRDefault="00F21E06">
      <w:pPr>
        <w:suppressAutoHyphens w:val="0"/>
        <w:spacing w:before="0" w:after="120" w:line="440" w:lineRule="atLeast"/>
        <w:rPr>
          <w:sz w:val="18"/>
        </w:rPr>
      </w:pPr>
      <w:r>
        <w:rPr>
          <w:sz w:val="18"/>
        </w:rPr>
        <w:br w:type="page"/>
      </w:r>
    </w:p>
    <w:p w:rsidR="00396E11" w:rsidRDefault="00396E11" w:rsidP="00396E11">
      <w:pPr>
        <w:spacing w:before="0" w:after="120" w:line="240" w:lineRule="auto"/>
        <w:rPr>
          <w:rFonts w:ascii="Arial" w:hAnsi="Arial" w:cs="Arial"/>
          <w:color w:val="92C5C5" w:themeColor="accent2"/>
          <w:sz w:val="42"/>
          <w:szCs w:val="42"/>
        </w:rPr>
      </w:pPr>
      <w:r w:rsidRPr="00E60A81">
        <w:rPr>
          <w:rFonts w:ascii="Arial" w:hAnsi="Arial" w:cs="Arial"/>
          <w:color w:val="92C5C5" w:themeColor="accent2"/>
          <w:sz w:val="42"/>
          <w:szCs w:val="42"/>
        </w:rPr>
        <w:lastRenderedPageBreak/>
        <w:t>Contents</w:t>
      </w:r>
    </w:p>
    <w:p w:rsidR="00075D69" w:rsidRDefault="00396E11">
      <w:pPr>
        <w:pStyle w:val="TOC1"/>
        <w:rPr>
          <w:rFonts w:eastAsiaTheme="minorEastAsia"/>
          <w:b w:val="0"/>
          <w:noProof/>
          <w:sz w:val="22"/>
          <w:lang w:eastAsia="en-AU"/>
        </w:rPr>
      </w:pPr>
      <w:r>
        <w:rPr>
          <w:caps/>
          <w:sz w:val="20"/>
        </w:rPr>
        <w:fldChar w:fldCharType="begin"/>
      </w:r>
      <w:r>
        <w:rPr>
          <w:caps/>
          <w:sz w:val="20"/>
        </w:rPr>
        <w:instrText xml:space="preserve"> TOC \o "1-3" \h \z \u </w:instrText>
      </w:r>
      <w:r>
        <w:rPr>
          <w:caps/>
          <w:sz w:val="20"/>
        </w:rPr>
        <w:fldChar w:fldCharType="separate"/>
      </w:r>
      <w:hyperlink w:anchor="_Toc42244995" w:history="1">
        <w:r w:rsidR="00075D69" w:rsidRPr="008A04B3">
          <w:rPr>
            <w:rStyle w:val="Hyperlink"/>
            <w:noProof/>
          </w:rPr>
          <w:t>Audience</w:t>
        </w:r>
        <w:r w:rsidR="00075D69">
          <w:rPr>
            <w:noProof/>
            <w:webHidden/>
          </w:rPr>
          <w:tab/>
        </w:r>
        <w:r w:rsidR="00075D69">
          <w:rPr>
            <w:noProof/>
            <w:webHidden/>
          </w:rPr>
          <w:fldChar w:fldCharType="begin"/>
        </w:r>
        <w:r w:rsidR="00075D69">
          <w:rPr>
            <w:noProof/>
            <w:webHidden/>
          </w:rPr>
          <w:instrText xml:space="preserve"> PAGEREF _Toc42244995 \h </w:instrText>
        </w:r>
        <w:r w:rsidR="00075D69">
          <w:rPr>
            <w:noProof/>
            <w:webHidden/>
          </w:rPr>
        </w:r>
        <w:r w:rsidR="00075D69">
          <w:rPr>
            <w:noProof/>
            <w:webHidden/>
          </w:rPr>
          <w:fldChar w:fldCharType="separate"/>
        </w:r>
        <w:r w:rsidR="00075D69">
          <w:rPr>
            <w:noProof/>
            <w:webHidden/>
          </w:rPr>
          <w:t>4</w:t>
        </w:r>
        <w:r w:rsidR="00075D69">
          <w:rPr>
            <w:noProof/>
            <w:webHidden/>
          </w:rPr>
          <w:fldChar w:fldCharType="end"/>
        </w:r>
      </w:hyperlink>
    </w:p>
    <w:p w:rsidR="00075D69" w:rsidRDefault="0032634A">
      <w:pPr>
        <w:pStyle w:val="TOC1"/>
        <w:rPr>
          <w:rFonts w:eastAsiaTheme="minorEastAsia"/>
          <w:b w:val="0"/>
          <w:noProof/>
          <w:sz w:val="22"/>
          <w:lang w:eastAsia="en-AU"/>
        </w:rPr>
      </w:pPr>
      <w:hyperlink w:anchor="_Toc42244996" w:history="1">
        <w:r w:rsidR="00075D69" w:rsidRPr="008A04B3">
          <w:rPr>
            <w:rStyle w:val="Hyperlink"/>
            <w:noProof/>
          </w:rPr>
          <w:t>Key points</w:t>
        </w:r>
        <w:r w:rsidR="00075D69">
          <w:rPr>
            <w:noProof/>
            <w:webHidden/>
          </w:rPr>
          <w:tab/>
        </w:r>
        <w:r w:rsidR="00075D69">
          <w:rPr>
            <w:noProof/>
            <w:webHidden/>
          </w:rPr>
          <w:fldChar w:fldCharType="begin"/>
        </w:r>
        <w:r w:rsidR="00075D69">
          <w:rPr>
            <w:noProof/>
            <w:webHidden/>
          </w:rPr>
          <w:instrText xml:space="preserve"> PAGEREF _Toc42244996 \h </w:instrText>
        </w:r>
        <w:r w:rsidR="00075D69">
          <w:rPr>
            <w:noProof/>
            <w:webHidden/>
          </w:rPr>
        </w:r>
        <w:r w:rsidR="00075D69">
          <w:rPr>
            <w:noProof/>
            <w:webHidden/>
          </w:rPr>
          <w:fldChar w:fldCharType="separate"/>
        </w:r>
        <w:r w:rsidR="00075D69">
          <w:rPr>
            <w:noProof/>
            <w:webHidden/>
          </w:rPr>
          <w:t>4</w:t>
        </w:r>
        <w:r w:rsidR="00075D69">
          <w:rPr>
            <w:noProof/>
            <w:webHidden/>
          </w:rPr>
          <w:fldChar w:fldCharType="end"/>
        </w:r>
      </w:hyperlink>
    </w:p>
    <w:p w:rsidR="00075D69" w:rsidRDefault="0032634A">
      <w:pPr>
        <w:pStyle w:val="TOC1"/>
        <w:rPr>
          <w:rFonts w:eastAsiaTheme="minorEastAsia"/>
          <w:b w:val="0"/>
          <w:noProof/>
          <w:sz w:val="22"/>
          <w:lang w:eastAsia="en-AU"/>
        </w:rPr>
      </w:pPr>
      <w:hyperlink w:anchor="_Toc42244997" w:history="1">
        <w:r w:rsidR="00075D69" w:rsidRPr="008A04B3">
          <w:rPr>
            <w:rStyle w:val="Hyperlink"/>
            <w:noProof/>
          </w:rPr>
          <w:t>Resources</w:t>
        </w:r>
        <w:r w:rsidR="00075D69">
          <w:rPr>
            <w:noProof/>
            <w:webHidden/>
          </w:rPr>
          <w:tab/>
        </w:r>
        <w:r w:rsidR="00075D69">
          <w:rPr>
            <w:noProof/>
            <w:webHidden/>
          </w:rPr>
          <w:fldChar w:fldCharType="begin"/>
        </w:r>
        <w:r w:rsidR="00075D69">
          <w:rPr>
            <w:noProof/>
            <w:webHidden/>
          </w:rPr>
          <w:instrText xml:space="preserve"> PAGEREF _Toc42244997 \h </w:instrText>
        </w:r>
        <w:r w:rsidR="00075D69">
          <w:rPr>
            <w:noProof/>
            <w:webHidden/>
          </w:rPr>
        </w:r>
        <w:r w:rsidR="00075D69">
          <w:rPr>
            <w:noProof/>
            <w:webHidden/>
          </w:rPr>
          <w:fldChar w:fldCharType="separate"/>
        </w:r>
        <w:r w:rsidR="00075D69">
          <w:rPr>
            <w:noProof/>
            <w:webHidden/>
          </w:rPr>
          <w:t>4</w:t>
        </w:r>
        <w:r w:rsidR="00075D69">
          <w:rPr>
            <w:noProof/>
            <w:webHidden/>
          </w:rPr>
          <w:fldChar w:fldCharType="end"/>
        </w:r>
      </w:hyperlink>
    </w:p>
    <w:p w:rsidR="00075D69" w:rsidRDefault="0032634A">
      <w:pPr>
        <w:pStyle w:val="TOC1"/>
        <w:rPr>
          <w:rFonts w:eastAsiaTheme="minorEastAsia"/>
          <w:b w:val="0"/>
          <w:noProof/>
          <w:sz w:val="22"/>
          <w:lang w:eastAsia="en-AU"/>
        </w:rPr>
      </w:pPr>
      <w:hyperlink w:anchor="_Toc42244998" w:history="1">
        <w:r w:rsidR="00075D69" w:rsidRPr="008A04B3">
          <w:rPr>
            <w:rStyle w:val="Hyperlink"/>
            <w:noProof/>
          </w:rPr>
          <w:t>Introduction</w:t>
        </w:r>
        <w:r w:rsidR="00075D69">
          <w:rPr>
            <w:noProof/>
            <w:webHidden/>
          </w:rPr>
          <w:tab/>
        </w:r>
        <w:r w:rsidR="00075D69">
          <w:rPr>
            <w:noProof/>
            <w:webHidden/>
          </w:rPr>
          <w:fldChar w:fldCharType="begin"/>
        </w:r>
        <w:r w:rsidR="00075D69">
          <w:rPr>
            <w:noProof/>
            <w:webHidden/>
          </w:rPr>
          <w:instrText xml:space="preserve"> PAGEREF _Toc42244998 \h </w:instrText>
        </w:r>
        <w:r w:rsidR="00075D69">
          <w:rPr>
            <w:noProof/>
            <w:webHidden/>
          </w:rPr>
        </w:r>
        <w:r w:rsidR="00075D69">
          <w:rPr>
            <w:noProof/>
            <w:webHidden/>
          </w:rPr>
          <w:fldChar w:fldCharType="separate"/>
        </w:r>
        <w:r w:rsidR="00075D69">
          <w:rPr>
            <w:noProof/>
            <w:webHidden/>
          </w:rPr>
          <w:t>5</w:t>
        </w:r>
        <w:r w:rsidR="00075D69">
          <w:rPr>
            <w:noProof/>
            <w:webHidden/>
          </w:rPr>
          <w:fldChar w:fldCharType="end"/>
        </w:r>
      </w:hyperlink>
    </w:p>
    <w:p w:rsidR="00075D69" w:rsidRDefault="0032634A">
      <w:pPr>
        <w:pStyle w:val="TOC1"/>
        <w:rPr>
          <w:rFonts w:eastAsiaTheme="minorEastAsia"/>
          <w:b w:val="0"/>
          <w:noProof/>
          <w:sz w:val="22"/>
          <w:lang w:eastAsia="en-AU"/>
        </w:rPr>
      </w:pPr>
      <w:hyperlink w:anchor="_Toc42244999" w:history="1">
        <w:r w:rsidR="00075D69" w:rsidRPr="008A04B3">
          <w:rPr>
            <w:rStyle w:val="Hyperlink"/>
            <w:noProof/>
          </w:rPr>
          <w:t>Part 1 – Legislative framework for reporting</w:t>
        </w:r>
        <w:r w:rsidR="00075D69">
          <w:rPr>
            <w:noProof/>
            <w:webHidden/>
          </w:rPr>
          <w:tab/>
        </w:r>
        <w:r w:rsidR="00075D69">
          <w:rPr>
            <w:noProof/>
            <w:webHidden/>
          </w:rPr>
          <w:fldChar w:fldCharType="begin"/>
        </w:r>
        <w:r w:rsidR="00075D69">
          <w:rPr>
            <w:noProof/>
            <w:webHidden/>
          </w:rPr>
          <w:instrText xml:space="preserve"> PAGEREF _Toc42244999 \h </w:instrText>
        </w:r>
        <w:r w:rsidR="00075D69">
          <w:rPr>
            <w:noProof/>
            <w:webHidden/>
          </w:rPr>
        </w:r>
        <w:r w:rsidR="00075D69">
          <w:rPr>
            <w:noProof/>
            <w:webHidden/>
          </w:rPr>
          <w:fldChar w:fldCharType="separate"/>
        </w:r>
        <w:r w:rsidR="00075D69">
          <w:rPr>
            <w:noProof/>
            <w:webHidden/>
          </w:rPr>
          <w:t>5</w:t>
        </w:r>
        <w:r w:rsidR="00075D69">
          <w:rPr>
            <w:noProof/>
            <w:webHidden/>
          </w:rPr>
          <w:fldChar w:fldCharType="end"/>
        </w:r>
      </w:hyperlink>
    </w:p>
    <w:p w:rsidR="00075D69" w:rsidRDefault="0032634A">
      <w:pPr>
        <w:pStyle w:val="TOC1"/>
        <w:rPr>
          <w:rFonts w:eastAsiaTheme="minorEastAsia"/>
          <w:b w:val="0"/>
          <w:noProof/>
          <w:sz w:val="22"/>
          <w:lang w:eastAsia="en-AU"/>
        </w:rPr>
      </w:pPr>
      <w:hyperlink w:anchor="_Toc42245000" w:history="1">
        <w:r w:rsidR="00075D69" w:rsidRPr="008A04B3">
          <w:rPr>
            <w:rStyle w:val="Hyperlink"/>
            <w:noProof/>
          </w:rPr>
          <w:t>Part 2 – Presentation requirements</w:t>
        </w:r>
        <w:r w:rsidR="00075D69">
          <w:rPr>
            <w:noProof/>
            <w:webHidden/>
          </w:rPr>
          <w:tab/>
        </w:r>
        <w:r w:rsidR="00075D69">
          <w:rPr>
            <w:noProof/>
            <w:webHidden/>
          </w:rPr>
          <w:fldChar w:fldCharType="begin"/>
        </w:r>
        <w:r w:rsidR="00075D69">
          <w:rPr>
            <w:noProof/>
            <w:webHidden/>
          </w:rPr>
          <w:instrText xml:space="preserve"> PAGEREF _Toc42245000 \h </w:instrText>
        </w:r>
        <w:r w:rsidR="00075D69">
          <w:rPr>
            <w:noProof/>
            <w:webHidden/>
          </w:rPr>
        </w:r>
        <w:r w:rsidR="00075D69">
          <w:rPr>
            <w:noProof/>
            <w:webHidden/>
          </w:rPr>
          <w:fldChar w:fldCharType="separate"/>
        </w:r>
        <w:r w:rsidR="00075D69">
          <w:rPr>
            <w:noProof/>
            <w:webHidden/>
          </w:rPr>
          <w:t>7</w:t>
        </w:r>
        <w:r w:rsidR="00075D69">
          <w:rPr>
            <w:noProof/>
            <w:webHidden/>
          </w:rPr>
          <w:fldChar w:fldCharType="end"/>
        </w:r>
      </w:hyperlink>
    </w:p>
    <w:p w:rsidR="00075D69" w:rsidRDefault="0032634A">
      <w:pPr>
        <w:pStyle w:val="TOC1"/>
        <w:rPr>
          <w:rFonts w:eastAsiaTheme="minorEastAsia"/>
          <w:b w:val="0"/>
          <w:noProof/>
          <w:sz w:val="22"/>
          <w:lang w:eastAsia="en-AU"/>
        </w:rPr>
      </w:pPr>
      <w:hyperlink w:anchor="_Toc42245001" w:history="1">
        <w:r w:rsidR="00075D69" w:rsidRPr="008A04B3">
          <w:rPr>
            <w:rStyle w:val="Hyperlink"/>
            <w:rFonts w:cs="Arial"/>
            <w:noProof/>
          </w:rPr>
          <w:t xml:space="preserve">Part 3 </w:t>
        </w:r>
        <w:r w:rsidR="00075D69" w:rsidRPr="008A04B3">
          <w:rPr>
            <w:rStyle w:val="Hyperlink"/>
            <w:noProof/>
          </w:rPr>
          <w:t>–</w:t>
        </w:r>
        <w:r w:rsidR="00075D69" w:rsidRPr="008A04B3">
          <w:rPr>
            <w:rStyle w:val="Hyperlink"/>
            <w:rFonts w:cs="Arial"/>
            <w:noProof/>
          </w:rPr>
          <w:t xml:space="preserve"> </w:t>
        </w:r>
        <w:r w:rsidR="00075D69" w:rsidRPr="008A04B3">
          <w:rPr>
            <w:rStyle w:val="Hyperlink"/>
            <w:noProof/>
          </w:rPr>
          <w:t>Entity has ceased to exist</w:t>
        </w:r>
        <w:r w:rsidR="00075D69">
          <w:rPr>
            <w:noProof/>
            <w:webHidden/>
          </w:rPr>
          <w:tab/>
        </w:r>
        <w:r w:rsidR="00075D69">
          <w:rPr>
            <w:noProof/>
            <w:webHidden/>
          </w:rPr>
          <w:fldChar w:fldCharType="begin"/>
        </w:r>
        <w:r w:rsidR="00075D69">
          <w:rPr>
            <w:noProof/>
            <w:webHidden/>
          </w:rPr>
          <w:instrText xml:space="preserve"> PAGEREF _Toc42245001 \h </w:instrText>
        </w:r>
        <w:r w:rsidR="00075D69">
          <w:rPr>
            <w:noProof/>
            <w:webHidden/>
          </w:rPr>
        </w:r>
        <w:r w:rsidR="00075D69">
          <w:rPr>
            <w:noProof/>
            <w:webHidden/>
          </w:rPr>
          <w:fldChar w:fldCharType="separate"/>
        </w:r>
        <w:r w:rsidR="00075D69">
          <w:rPr>
            <w:noProof/>
            <w:webHidden/>
          </w:rPr>
          <w:t>9</w:t>
        </w:r>
        <w:r w:rsidR="00075D69">
          <w:rPr>
            <w:noProof/>
            <w:webHidden/>
          </w:rPr>
          <w:fldChar w:fldCharType="end"/>
        </w:r>
      </w:hyperlink>
    </w:p>
    <w:p w:rsidR="00075D69" w:rsidRDefault="0032634A">
      <w:pPr>
        <w:pStyle w:val="TOC2"/>
        <w:rPr>
          <w:rFonts w:eastAsiaTheme="minorEastAsia"/>
          <w:noProof/>
          <w:lang w:eastAsia="en-AU"/>
        </w:rPr>
      </w:pPr>
      <w:hyperlink w:anchor="_Toc42245002" w:history="1">
        <w:r w:rsidR="00075D69" w:rsidRPr="008A04B3">
          <w:rPr>
            <w:rStyle w:val="Hyperlink"/>
            <w:noProof/>
          </w:rPr>
          <w:t>Entity has ceased to exist -</w:t>
        </w:r>
        <w:r w:rsidR="00075D69" w:rsidRPr="008A04B3">
          <w:rPr>
            <w:rStyle w:val="Hyperlink"/>
            <w:rFonts w:cs="Arial"/>
            <w:noProof/>
          </w:rPr>
          <w:t xml:space="preserve"> no functions have transferred</w:t>
        </w:r>
        <w:r w:rsidR="00075D69">
          <w:rPr>
            <w:noProof/>
            <w:webHidden/>
          </w:rPr>
          <w:tab/>
        </w:r>
        <w:r w:rsidR="00075D69">
          <w:rPr>
            <w:noProof/>
            <w:webHidden/>
          </w:rPr>
          <w:fldChar w:fldCharType="begin"/>
        </w:r>
        <w:r w:rsidR="00075D69">
          <w:rPr>
            <w:noProof/>
            <w:webHidden/>
          </w:rPr>
          <w:instrText xml:space="preserve"> PAGEREF _Toc42245002 \h </w:instrText>
        </w:r>
        <w:r w:rsidR="00075D69">
          <w:rPr>
            <w:noProof/>
            <w:webHidden/>
          </w:rPr>
        </w:r>
        <w:r w:rsidR="00075D69">
          <w:rPr>
            <w:noProof/>
            <w:webHidden/>
          </w:rPr>
          <w:fldChar w:fldCharType="separate"/>
        </w:r>
        <w:r w:rsidR="00075D69">
          <w:rPr>
            <w:noProof/>
            <w:webHidden/>
          </w:rPr>
          <w:t>9</w:t>
        </w:r>
        <w:r w:rsidR="00075D69">
          <w:rPr>
            <w:noProof/>
            <w:webHidden/>
          </w:rPr>
          <w:fldChar w:fldCharType="end"/>
        </w:r>
      </w:hyperlink>
    </w:p>
    <w:p w:rsidR="00075D69" w:rsidRDefault="0032634A">
      <w:pPr>
        <w:pStyle w:val="TOC2"/>
        <w:rPr>
          <w:rFonts w:eastAsiaTheme="minorEastAsia"/>
          <w:noProof/>
          <w:lang w:eastAsia="en-AU"/>
        </w:rPr>
      </w:pPr>
      <w:hyperlink w:anchor="_Toc42245003" w:history="1">
        <w:r w:rsidR="00075D69" w:rsidRPr="008A04B3">
          <w:rPr>
            <w:rStyle w:val="Hyperlink"/>
            <w:noProof/>
          </w:rPr>
          <w:t>Entity has ceased to exist - some functions have transferred</w:t>
        </w:r>
        <w:r w:rsidR="00075D69">
          <w:rPr>
            <w:noProof/>
            <w:webHidden/>
          </w:rPr>
          <w:tab/>
        </w:r>
        <w:r w:rsidR="00075D69">
          <w:rPr>
            <w:noProof/>
            <w:webHidden/>
          </w:rPr>
          <w:fldChar w:fldCharType="begin"/>
        </w:r>
        <w:r w:rsidR="00075D69">
          <w:rPr>
            <w:noProof/>
            <w:webHidden/>
          </w:rPr>
          <w:instrText xml:space="preserve"> PAGEREF _Toc42245003 \h </w:instrText>
        </w:r>
        <w:r w:rsidR="00075D69">
          <w:rPr>
            <w:noProof/>
            <w:webHidden/>
          </w:rPr>
        </w:r>
        <w:r w:rsidR="00075D69">
          <w:rPr>
            <w:noProof/>
            <w:webHidden/>
          </w:rPr>
          <w:fldChar w:fldCharType="separate"/>
        </w:r>
        <w:r w:rsidR="00075D69">
          <w:rPr>
            <w:noProof/>
            <w:webHidden/>
          </w:rPr>
          <w:t>11</w:t>
        </w:r>
        <w:r w:rsidR="00075D69">
          <w:rPr>
            <w:noProof/>
            <w:webHidden/>
          </w:rPr>
          <w:fldChar w:fldCharType="end"/>
        </w:r>
      </w:hyperlink>
    </w:p>
    <w:p w:rsidR="00075D69" w:rsidRDefault="0032634A">
      <w:pPr>
        <w:pStyle w:val="TOC2"/>
        <w:rPr>
          <w:rFonts w:eastAsiaTheme="minorEastAsia"/>
          <w:noProof/>
          <w:lang w:eastAsia="en-AU"/>
        </w:rPr>
      </w:pPr>
      <w:hyperlink w:anchor="_Toc42245004" w:history="1">
        <w:r w:rsidR="00075D69" w:rsidRPr="008A04B3">
          <w:rPr>
            <w:rStyle w:val="Hyperlink"/>
            <w:noProof/>
          </w:rPr>
          <w:t>Entity has ceased to exist - all functions have transferred</w:t>
        </w:r>
        <w:r w:rsidR="00075D69">
          <w:rPr>
            <w:noProof/>
            <w:webHidden/>
          </w:rPr>
          <w:tab/>
        </w:r>
        <w:r w:rsidR="00075D69">
          <w:rPr>
            <w:noProof/>
            <w:webHidden/>
          </w:rPr>
          <w:fldChar w:fldCharType="begin"/>
        </w:r>
        <w:r w:rsidR="00075D69">
          <w:rPr>
            <w:noProof/>
            <w:webHidden/>
          </w:rPr>
          <w:instrText xml:space="preserve"> PAGEREF _Toc42245004 \h </w:instrText>
        </w:r>
        <w:r w:rsidR="00075D69">
          <w:rPr>
            <w:noProof/>
            <w:webHidden/>
          </w:rPr>
        </w:r>
        <w:r w:rsidR="00075D69">
          <w:rPr>
            <w:noProof/>
            <w:webHidden/>
          </w:rPr>
          <w:fldChar w:fldCharType="separate"/>
        </w:r>
        <w:r w:rsidR="00075D69">
          <w:rPr>
            <w:noProof/>
            <w:webHidden/>
          </w:rPr>
          <w:t>12</w:t>
        </w:r>
        <w:r w:rsidR="00075D69">
          <w:rPr>
            <w:noProof/>
            <w:webHidden/>
          </w:rPr>
          <w:fldChar w:fldCharType="end"/>
        </w:r>
      </w:hyperlink>
    </w:p>
    <w:p w:rsidR="00075D69" w:rsidRDefault="0032634A">
      <w:pPr>
        <w:pStyle w:val="TOC1"/>
        <w:rPr>
          <w:rFonts w:eastAsiaTheme="minorEastAsia"/>
          <w:b w:val="0"/>
          <w:noProof/>
          <w:sz w:val="22"/>
          <w:lang w:eastAsia="en-AU"/>
        </w:rPr>
      </w:pPr>
      <w:hyperlink w:anchor="_Toc42245005" w:history="1">
        <w:r w:rsidR="00075D69" w:rsidRPr="008A04B3">
          <w:rPr>
            <w:rStyle w:val="Hyperlink"/>
            <w:rFonts w:cs="Arial"/>
            <w:noProof/>
          </w:rPr>
          <w:t xml:space="preserve">Part 4 </w:t>
        </w:r>
        <w:r w:rsidR="00075D69" w:rsidRPr="008A04B3">
          <w:rPr>
            <w:rStyle w:val="Hyperlink"/>
            <w:noProof/>
          </w:rPr>
          <w:t>– Entity not ceased – impracticable to report</w:t>
        </w:r>
        <w:r w:rsidR="00075D69">
          <w:rPr>
            <w:noProof/>
            <w:webHidden/>
          </w:rPr>
          <w:tab/>
        </w:r>
        <w:r w:rsidR="00075D69">
          <w:rPr>
            <w:noProof/>
            <w:webHidden/>
          </w:rPr>
          <w:fldChar w:fldCharType="begin"/>
        </w:r>
        <w:r w:rsidR="00075D69">
          <w:rPr>
            <w:noProof/>
            <w:webHidden/>
          </w:rPr>
          <w:instrText xml:space="preserve"> PAGEREF _Toc42245005 \h </w:instrText>
        </w:r>
        <w:r w:rsidR="00075D69">
          <w:rPr>
            <w:noProof/>
            <w:webHidden/>
          </w:rPr>
        </w:r>
        <w:r w:rsidR="00075D69">
          <w:rPr>
            <w:noProof/>
            <w:webHidden/>
          </w:rPr>
          <w:fldChar w:fldCharType="separate"/>
        </w:r>
        <w:r w:rsidR="00075D69">
          <w:rPr>
            <w:noProof/>
            <w:webHidden/>
          </w:rPr>
          <w:t>13</w:t>
        </w:r>
        <w:r w:rsidR="00075D69">
          <w:rPr>
            <w:noProof/>
            <w:webHidden/>
          </w:rPr>
          <w:fldChar w:fldCharType="end"/>
        </w:r>
      </w:hyperlink>
    </w:p>
    <w:p w:rsidR="00075D69" w:rsidRDefault="0032634A">
      <w:pPr>
        <w:pStyle w:val="TOC2"/>
        <w:rPr>
          <w:rFonts w:eastAsiaTheme="minorEastAsia"/>
          <w:noProof/>
          <w:lang w:eastAsia="en-AU"/>
        </w:rPr>
      </w:pPr>
      <w:hyperlink w:anchor="_Toc42245006" w:history="1">
        <w:r w:rsidR="00075D69" w:rsidRPr="008A04B3">
          <w:rPr>
            <w:rStyle w:val="Hyperlink"/>
            <w:noProof/>
          </w:rPr>
          <w:t>Entity has not ceased to exist - some functions transferred</w:t>
        </w:r>
        <w:r w:rsidR="00075D69">
          <w:rPr>
            <w:noProof/>
            <w:webHidden/>
          </w:rPr>
          <w:tab/>
        </w:r>
        <w:r w:rsidR="00075D69">
          <w:rPr>
            <w:noProof/>
            <w:webHidden/>
          </w:rPr>
          <w:fldChar w:fldCharType="begin"/>
        </w:r>
        <w:r w:rsidR="00075D69">
          <w:rPr>
            <w:noProof/>
            <w:webHidden/>
          </w:rPr>
          <w:instrText xml:space="preserve"> PAGEREF _Toc42245006 \h </w:instrText>
        </w:r>
        <w:r w:rsidR="00075D69">
          <w:rPr>
            <w:noProof/>
            <w:webHidden/>
          </w:rPr>
        </w:r>
        <w:r w:rsidR="00075D69">
          <w:rPr>
            <w:noProof/>
            <w:webHidden/>
          </w:rPr>
          <w:fldChar w:fldCharType="separate"/>
        </w:r>
        <w:r w:rsidR="00075D69">
          <w:rPr>
            <w:noProof/>
            <w:webHidden/>
          </w:rPr>
          <w:t>13</w:t>
        </w:r>
        <w:r w:rsidR="00075D69">
          <w:rPr>
            <w:noProof/>
            <w:webHidden/>
          </w:rPr>
          <w:fldChar w:fldCharType="end"/>
        </w:r>
      </w:hyperlink>
    </w:p>
    <w:p w:rsidR="00075D69" w:rsidRDefault="0032634A">
      <w:pPr>
        <w:pStyle w:val="TOC2"/>
        <w:rPr>
          <w:rFonts w:eastAsiaTheme="minorEastAsia"/>
          <w:noProof/>
          <w:lang w:eastAsia="en-AU"/>
        </w:rPr>
      </w:pPr>
      <w:hyperlink w:anchor="_Toc42245007" w:history="1">
        <w:r w:rsidR="00075D69" w:rsidRPr="008A04B3">
          <w:rPr>
            <w:rStyle w:val="Hyperlink"/>
            <w:noProof/>
          </w:rPr>
          <w:t>Entity has not ceased to exist - all functions are transferred</w:t>
        </w:r>
        <w:r w:rsidR="00075D69">
          <w:rPr>
            <w:noProof/>
            <w:webHidden/>
          </w:rPr>
          <w:tab/>
        </w:r>
        <w:r w:rsidR="00075D69">
          <w:rPr>
            <w:noProof/>
            <w:webHidden/>
          </w:rPr>
          <w:fldChar w:fldCharType="begin"/>
        </w:r>
        <w:r w:rsidR="00075D69">
          <w:rPr>
            <w:noProof/>
            <w:webHidden/>
          </w:rPr>
          <w:instrText xml:space="preserve"> PAGEREF _Toc42245007 \h </w:instrText>
        </w:r>
        <w:r w:rsidR="00075D69">
          <w:rPr>
            <w:noProof/>
            <w:webHidden/>
          </w:rPr>
        </w:r>
        <w:r w:rsidR="00075D69">
          <w:rPr>
            <w:noProof/>
            <w:webHidden/>
          </w:rPr>
          <w:fldChar w:fldCharType="separate"/>
        </w:r>
        <w:r w:rsidR="00075D69">
          <w:rPr>
            <w:noProof/>
            <w:webHidden/>
          </w:rPr>
          <w:t>14</w:t>
        </w:r>
        <w:r w:rsidR="00075D69">
          <w:rPr>
            <w:noProof/>
            <w:webHidden/>
          </w:rPr>
          <w:fldChar w:fldCharType="end"/>
        </w:r>
      </w:hyperlink>
    </w:p>
    <w:p w:rsidR="00075D69" w:rsidRDefault="0032634A">
      <w:pPr>
        <w:pStyle w:val="TOC1"/>
        <w:rPr>
          <w:rFonts w:eastAsiaTheme="minorEastAsia"/>
          <w:b w:val="0"/>
          <w:noProof/>
          <w:sz w:val="22"/>
          <w:lang w:eastAsia="en-AU"/>
        </w:rPr>
      </w:pPr>
      <w:hyperlink w:anchor="_Toc42245008" w:history="1">
        <w:r w:rsidR="00075D69" w:rsidRPr="008A04B3">
          <w:rPr>
            <w:rStyle w:val="Hyperlink"/>
            <w:rFonts w:cs="Arial"/>
            <w:noProof/>
          </w:rPr>
          <w:t xml:space="preserve">Part 5 </w:t>
        </w:r>
        <w:r w:rsidR="00075D69" w:rsidRPr="008A04B3">
          <w:rPr>
            <w:rStyle w:val="Hyperlink"/>
            <w:noProof/>
          </w:rPr>
          <w:t xml:space="preserve">– </w:t>
        </w:r>
        <w:r w:rsidR="00075D69" w:rsidRPr="008A04B3">
          <w:rPr>
            <w:rStyle w:val="Hyperlink"/>
            <w:rFonts w:cs="Arial"/>
            <w:noProof/>
          </w:rPr>
          <w:t>Reporting for transferred functions</w:t>
        </w:r>
        <w:r w:rsidR="00075D69">
          <w:rPr>
            <w:noProof/>
            <w:webHidden/>
          </w:rPr>
          <w:tab/>
        </w:r>
        <w:r w:rsidR="00075D69">
          <w:rPr>
            <w:noProof/>
            <w:webHidden/>
          </w:rPr>
          <w:fldChar w:fldCharType="begin"/>
        </w:r>
        <w:r w:rsidR="00075D69">
          <w:rPr>
            <w:noProof/>
            <w:webHidden/>
          </w:rPr>
          <w:instrText xml:space="preserve"> PAGEREF _Toc42245008 \h </w:instrText>
        </w:r>
        <w:r w:rsidR="00075D69">
          <w:rPr>
            <w:noProof/>
            <w:webHidden/>
          </w:rPr>
        </w:r>
        <w:r w:rsidR="00075D69">
          <w:rPr>
            <w:noProof/>
            <w:webHidden/>
          </w:rPr>
          <w:fldChar w:fldCharType="separate"/>
        </w:r>
        <w:r w:rsidR="00075D69">
          <w:rPr>
            <w:noProof/>
            <w:webHidden/>
          </w:rPr>
          <w:t>15</w:t>
        </w:r>
        <w:r w:rsidR="00075D69">
          <w:rPr>
            <w:noProof/>
            <w:webHidden/>
          </w:rPr>
          <w:fldChar w:fldCharType="end"/>
        </w:r>
      </w:hyperlink>
    </w:p>
    <w:p w:rsidR="00075D69" w:rsidRDefault="0032634A">
      <w:pPr>
        <w:pStyle w:val="TOC2"/>
        <w:rPr>
          <w:rFonts w:eastAsiaTheme="minorEastAsia"/>
          <w:noProof/>
          <w:lang w:eastAsia="en-AU"/>
        </w:rPr>
      </w:pPr>
      <w:hyperlink w:anchor="_Toc42245009" w:history="1">
        <w:r w:rsidR="00075D69" w:rsidRPr="008A04B3">
          <w:rPr>
            <w:rStyle w:val="Hyperlink"/>
            <w:noProof/>
          </w:rPr>
          <w:t>Presentation within the annual report</w:t>
        </w:r>
        <w:r w:rsidR="00075D69">
          <w:rPr>
            <w:noProof/>
            <w:webHidden/>
          </w:rPr>
          <w:tab/>
        </w:r>
        <w:r w:rsidR="00075D69">
          <w:rPr>
            <w:noProof/>
            <w:webHidden/>
          </w:rPr>
          <w:fldChar w:fldCharType="begin"/>
        </w:r>
        <w:r w:rsidR="00075D69">
          <w:rPr>
            <w:noProof/>
            <w:webHidden/>
          </w:rPr>
          <w:instrText xml:space="preserve"> PAGEREF _Toc42245009 \h </w:instrText>
        </w:r>
        <w:r w:rsidR="00075D69">
          <w:rPr>
            <w:noProof/>
            <w:webHidden/>
          </w:rPr>
        </w:r>
        <w:r w:rsidR="00075D69">
          <w:rPr>
            <w:noProof/>
            <w:webHidden/>
          </w:rPr>
          <w:fldChar w:fldCharType="separate"/>
        </w:r>
        <w:r w:rsidR="00075D69">
          <w:rPr>
            <w:noProof/>
            <w:webHidden/>
          </w:rPr>
          <w:t>15</w:t>
        </w:r>
        <w:r w:rsidR="00075D69">
          <w:rPr>
            <w:noProof/>
            <w:webHidden/>
          </w:rPr>
          <w:fldChar w:fldCharType="end"/>
        </w:r>
      </w:hyperlink>
    </w:p>
    <w:p w:rsidR="00075D69" w:rsidRDefault="0032634A">
      <w:pPr>
        <w:pStyle w:val="TOC2"/>
        <w:rPr>
          <w:rFonts w:eastAsiaTheme="minorEastAsia"/>
          <w:noProof/>
          <w:lang w:eastAsia="en-AU"/>
        </w:rPr>
      </w:pPr>
      <w:hyperlink w:anchor="_Toc42245010" w:history="1">
        <w:r w:rsidR="00075D69" w:rsidRPr="008A04B3">
          <w:rPr>
            <w:rStyle w:val="Hyperlink"/>
            <w:noProof/>
          </w:rPr>
          <w:t>Annual performance statements</w:t>
        </w:r>
        <w:r w:rsidR="00075D69">
          <w:rPr>
            <w:noProof/>
            <w:webHidden/>
          </w:rPr>
          <w:tab/>
        </w:r>
        <w:r w:rsidR="00075D69">
          <w:rPr>
            <w:noProof/>
            <w:webHidden/>
          </w:rPr>
          <w:fldChar w:fldCharType="begin"/>
        </w:r>
        <w:r w:rsidR="00075D69">
          <w:rPr>
            <w:noProof/>
            <w:webHidden/>
          </w:rPr>
          <w:instrText xml:space="preserve"> PAGEREF _Toc42245010 \h </w:instrText>
        </w:r>
        <w:r w:rsidR="00075D69">
          <w:rPr>
            <w:noProof/>
            <w:webHidden/>
          </w:rPr>
        </w:r>
        <w:r w:rsidR="00075D69">
          <w:rPr>
            <w:noProof/>
            <w:webHidden/>
          </w:rPr>
          <w:fldChar w:fldCharType="separate"/>
        </w:r>
        <w:r w:rsidR="00075D69">
          <w:rPr>
            <w:noProof/>
            <w:webHidden/>
          </w:rPr>
          <w:t>16</w:t>
        </w:r>
        <w:r w:rsidR="00075D69">
          <w:rPr>
            <w:noProof/>
            <w:webHidden/>
          </w:rPr>
          <w:fldChar w:fldCharType="end"/>
        </w:r>
      </w:hyperlink>
    </w:p>
    <w:p w:rsidR="00075D69" w:rsidRDefault="0032634A">
      <w:pPr>
        <w:pStyle w:val="TOC2"/>
        <w:rPr>
          <w:rFonts w:eastAsiaTheme="minorEastAsia"/>
          <w:noProof/>
          <w:lang w:eastAsia="en-AU"/>
        </w:rPr>
      </w:pPr>
      <w:hyperlink w:anchor="_Toc42245011" w:history="1">
        <w:r w:rsidR="00075D69" w:rsidRPr="008A04B3">
          <w:rPr>
            <w:rStyle w:val="Hyperlink"/>
            <w:noProof/>
          </w:rPr>
          <w:t>Annual financial statements</w:t>
        </w:r>
        <w:r w:rsidR="00075D69">
          <w:rPr>
            <w:noProof/>
            <w:webHidden/>
          </w:rPr>
          <w:tab/>
        </w:r>
        <w:r w:rsidR="00075D69">
          <w:rPr>
            <w:noProof/>
            <w:webHidden/>
          </w:rPr>
          <w:fldChar w:fldCharType="begin"/>
        </w:r>
        <w:r w:rsidR="00075D69">
          <w:rPr>
            <w:noProof/>
            <w:webHidden/>
          </w:rPr>
          <w:instrText xml:space="preserve"> PAGEREF _Toc42245011 \h </w:instrText>
        </w:r>
        <w:r w:rsidR="00075D69">
          <w:rPr>
            <w:noProof/>
            <w:webHidden/>
          </w:rPr>
        </w:r>
        <w:r w:rsidR="00075D69">
          <w:rPr>
            <w:noProof/>
            <w:webHidden/>
          </w:rPr>
          <w:fldChar w:fldCharType="separate"/>
        </w:r>
        <w:r w:rsidR="00075D69">
          <w:rPr>
            <w:noProof/>
            <w:webHidden/>
          </w:rPr>
          <w:t>18</w:t>
        </w:r>
        <w:r w:rsidR="00075D69">
          <w:rPr>
            <w:noProof/>
            <w:webHidden/>
          </w:rPr>
          <w:fldChar w:fldCharType="end"/>
        </w:r>
      </w:hyperlink>
    </w:p>
    <w:p w:rsidR="00075D69" w:rsidRDefault="0032634A">
      <w:pPr>
        <w:pStyle w:val="TOC1"/>
        <w:rPr>
          <w:rFonts w:eastAsiaTheme="minorEastAsia"/>
          <w:b w:val="0"/>
          <w:noProof/>
          <w:sz w:val="22"/>
          <w:lang w:eastAsia="en-AU"/>
        </w:rPr>
      </w:pPr>
      <w:hyperlink w:anchor="_Toc42245012" w:history="1">
        <w:r w:rsidR="00075D69" w:rsidRPr="008A04B3">
          <w:rPr>
            <w:rStyle w:val="Hyperlink"/>
            <w:rFonts w:cs="Arial"/>
            <w:noProof/>
          </w:rPr>
          <w:t xml:space="preserve">Part 6 </w:t>
        </w:r>
        <w:r w:rsidR="00075D69" w:rsidRPr="008A04B3">
          <w:rPr>
            <w:rStyle w:val="Hyperlink"/>
            <w:noProof/>
          </w:rPr>
          <w:t xml:space="preserve">– </w:t>
        </w:r>
        <w:r w:rsidR="00075D69" w:rsidRPr="008A04B3">
          <w:rPr>
            <w:rStyle w:val="Hyperlink"/>
            <w:rFonts w:cs="Arial"/>
            <w:noProof/>
          </w:rPr>
          <w:t>Miscellaneous reporting</w:t>
        </w:r>
        <w:r w:rsidR="00075D69">
          <w:rPr>
            <w:noProof/>
            <w:webHidden/>
          </w:rPr>
          <w:tab/>
        </w:r>
        <w:r w:rsidR="00075D69">
          <w:rPr>
            <w:noProof/>
            <w:webHidden/>
          </w:rPr>
          <w:fldChar w:fldCharType="begin"/>
        </w:r>
        <w:r w:rsidR="00075D69">
          <w:rPr>
            <w:noProof/>
            <w:webHidden/>
          </w:rPr>
          <w:instrText xml:space="preserve"> PAGEREF _Toc42245012 \h </w:instrText>
        </w:r>
        <w:r w:rsidR="00075D69">
          <w:rPr>
            <w:noProof/>
            <w:webHidden/>
          </w:rPr>
        </w:r>
        <w:r w:rsidR="00075D69">
          <w:rPr>
            <w:noProof/>
            <w:webHidden/>
          </w:rPr>
          <w:fldChar w:fldCharType="separate"/>
        </w:r>
        <w:r w:rsidR="00075D69">
          <w:rPr>
            <w:noProof/>
            <w:webHidden/>
          </w:rPr>
          <w:t>21</w:t>
        </w:r>
        <w:r w:rsidR="00075D69">
          <w:rPr>
            <w:noProof/>
            <w:webHidden/>
          </w:rPr>
          <w:fldChar w:fldCharType="end"/>
        </w:r>
      </w:hyperlink>
    </w:p>
    <w:p w:rsidR="00075D69" w:rsidRDefault="0032634A">
      <w:pPr>
        <w:pStyle w:val="TOC2"/>
        <w:rPr>
          <w:rFonts w:eastAsiaTheme="minorEastAsia"/>
          <w:noProof/>
          <w:lang w:eastAsia="en-AU"/>
        </w:rPr>
      </w:pPr>
      <w:hyperlink w:anchor="_Toc42245013" w:history="1">
        <w:r w:rsidR="00075D69" w:rsidRPr="008A04B3">
          <w:rPr>
            <w:rStyle w:val="Hyperlink"/>
            <w:noProof/>
          </w:rPr>
          <w:t>Determinations by Finance Minister</w:t>
        </w:r>
        <w:r w:rsidR="00075D69">
          <w:rPr>
            <w:noProof/>
            <w:webHidden/>
          </w:rPr>
          <w:tab/>
        </w:r>
        <w:r w:rsidR="00075D69">
          <w:rPr>
            <w:noProof/>
            <w:webHidden/>
          </w:rPr>
          <w:fldChar w:fldCharType="begin"/>
        </w:r>
        <w:r w:rsidR="00075D69">
          <w:rPr>
            <w:noProof/>
            <w:webHidden/>
          </w:rPr>
          <w:instrText xml:space="preserve"> PAGEREF _Toc42245013 \h </w:instrText>
        </w:r>
        <w:r w:rsidR="00075D69">
          <w:rPr>
            <w:noProof/>
            <w:webHidden/>
          </w:rPr>
        </w:r>
        <w:r w:rsidR="00075D69">
          <w:rPr>
            <w:noProof/>
            <w:webHidden/>
          </w:rPr>
          <w:fldChar w:fldCharType="separate"/>
        </w:r>
        <w:r w:rsidR="00075D69">
          <w:rPr>
            <w:noProof/>
            <w:webHidden/>
          </w:rPr>
          <w:t>21</w:t>
        </w:r>
        <w:r w:rsidR="00075D69">
          <w:rPr>
            <w:noProof/>
            <w:webHidden/>
          </w:rPr>
          <w:fldChar w:fldCharType="end"/>
        </w:r>
      </w:hyperlink>
    </w:p>
    <w:p w:rsidR="00075D69" w:rsidRDefault="0032634A">
      <w:pPr>
        <w:pStyle w:val="TOC2"/>
        <w:rPr>
          <w:rFonts w:eastAsiaTheme="minorEastAsia"/>
          <w:noProof/>
          <w:lang w:eastAsia="en-AU"/>
        </w:rPr>
      </w:pPr>
      <w:hyperlink w:anchor="_Toc42245014" w:history="1">
        <w:r w:rsidR="00075D69" w:rsidRPr="008A04B3">
          <w:rPr>
            <w:rStyle w:val="Hyperlink"/>
            <w:noProof/>
          </w:rPr>
          <w:t>KMP reporting following MoG changes</w:t>
        </w:r>
        <w:r w:rsidR="00075D69">
          <w:rPr>
            <w:noProof/>
            <w:webHidden/>
          </w:rPr>
          <w:tab/>
        </w:r>
        <w:r w:rsidR="00075D69">
          <w:rPr>
            <w:noProof/>
            <w:webHidden/>
          </w:rPr>
          <w:fldChar w:fldCharType="begin"/>
        </w:r>
        <w:r w:rsidR="00075D69">
          <w:rPr>
            <w:noProof/>
            <w:webHidden/>
          </w:rPr>
          <w:instrText xml:space="preserve"> PAGEREF _Toc42245014 \h </w:instrText>
        </w:r>
        <w:r w:rsidR="00075D69">
          <w:rPr>
            <w:noProof/>
            <w:webHidden/>
          </w:rPr>
        </w:r>
        <w:r w:rsidR="00075D69">
          <w:rPr>
            <w:noProof/>
            <w:webHidden/>
          </w:rPr>
          <w:fldChar w:fldCharType="separate"/>
        </w:r>
        <w:r w:rsidR="00075D69">
          <w:rPr>
            <w:noProof/>
            <w:webHidden/>
          </w:rPr>
          <w:t>21</w:t>
        </w:r>
        <w:r w:rsidR="00075D69">
          <w:rPr>
            <w:noProof/>
            <w:webHidden/>
          </w:rPr>
          <w:fldChar w:fldCharType="end"/>
        </w:r>
      </w:hyperlink>
    </w:p>
    <w:p w:rsidR="00075D69" w:rsidRDefault="0032634A">
      <w:pPr>
        <w:pStyle w:val="TOC3"/>
        <w:rPr>
          <w:rFonts w:eastAsiaTheme="minorEastAsia"/>
          <w:noProof/>
          <w:lang w:eastAsia="en-AU"/>
        </w:rPr>
      </w:pPr>
      <w:hyperlink w:anchor="_Toc42245015" w:history="1">
        <w:r w:rsidR="00075D69" w:rsidRPr="008A04B3">
          <w:rPr>
            <w:rStyle w:val="Hyperlink"/>
            <w:noProof/>
          </w:rPr>
          <w:t>KMP reporting in annual reports</w:t>
        </w:r>
        <w:r w:rsidR="00075D69">
          <w:rPr>
            <w:noProof/>
            <w:webHidden/>
          </w:rPr>
          <w:tab/>
        </w:r>
        <w:r w:rsidR="00075D69">
          <w:rPr>
            <w:noProof/>
            <w:webHidden/>
          </w:rPr>
          <w:fldChar w:fldCharType="begin"/>
        </w:r>
        <w:r w:rsidR="00075D69">
          <w:rPr>
            <w:noProof/>
            <w:webHidden/>
          </w:rPr>
          <w:instrText xml:space="preserve"> PAGEREF _Toc42245015 \h </w:instrText>
        </w:r>
        <w:r w:rsidR="00075D69">
          <w:rPr>
            <w:noProof/>
            <w:webHidden/>
          </w:rPr>
        </w:r>
        <w:r w:rsidR="00075D69">
          <w:rPr>
            <w:noProof/>
            <w:webHidden/>
          </w:rPr>
          <w:fldChar w:fldCharType="separate"/>
        </w:r>
        <w:r w:rsidR="00075D69">
          <w:rPr>
            <w:noProof/>
            <w:webHidden/>
          </w:rPr>
          <w:t>22</w:t>
        </w:r>
        <w:r w:rsidR="00075D69">
          <w:rPr>
            <w:noProof/>
            <w:webHidden/>
          </w:rPr>
          <w:fldChar w:fldCharType="end"/>
        </w:r>
      </w:hyperlink>
    </w:p>
    <w:p w:rsidR="00075D69" w:rsidRDefault="0032634A">
      <w:pPr>
        <w:pStyle w:val="TOC3"/>
        <w:rPr>
          <w:rFonts w:eastAsiaTheme="minorEastAsia"/>
          <w:noProof/>
          <w:lang w:eastAsia="en-AU"/>
        </w:rPr>
      </w:pPr>
      <w:hyperlink w:anchor="_Toc42245016" w:history="1">
        <w:r w:rsidR="00075D69" w:rsidRPr="008A04B3">
          <w:rPr>
            <w:rStyle w:val="Hyperlink"/>
            <w:noProof/>
          </w:rPr>
          <w:t>KMP disclosures in annual financial statements</w:t>
        </w:r>
        <w:r w:rsidR="00075D69">
          <w:rPr>
            <w:noProof/>
            <w:webHidden/>
          </w:rPr>
          <w:tab/>
        </w:r>
        <w:r w:rsidR="00075D69">
          <w:rPr>
            <w:noProof/>
            <w:webHidden/>
          </w:rPr>
          <w:fldChar w:fldCharType="begin"/>
        </w:r>
        <w:r w:rsidR="00075D69">
          <w:rPr>
            <w:noProof/>
            <w:webHidden/>
          </w:rPr>
          <w:instrText xml:space="preserve"> PAGEREF _Toc42245016 \h </w:instrText>
        </w:r>
        <w:r w:rsidR="00075D69">
          <w:rPr>
            <w:noProof/>
            <w:webHidden/>
          </w:rPr>
        </w:r>
        <w:r w:rsidR="00075D69">
          <w:rPr>
            <w:noProof/>
            <w:webHidden/>
          </w:rPr>
          <w:fldChar w:fldCharType="separate"/>
        </w:r>
        <w:r w:rsidR="00075D69">
          <w:rPr>
            <w:noProof/>
            <w:webHidden/>
          </w:rPr>
          <w:t>22</w:t>
        </w:r>
        <w:r w:rsidR="00075D69">
          <w:rPr>
            <w:noProof/>
            <w:webHidden/>
          </w:rPr>
          <w:fldChar w:fldCharType="end"/>
        </w:r>
      </w:hyperlink>
    </w:p>
    <w:p w:rsidR="00075D69" w:rsidRDefault="0032634A">
      <w:pPr>
        <w:pStyle w:val="TOC2"/>
        <w:rPr>
          <w:rFonts w:eastAsiaTheme="minorEastAsia"/>
          <w:noProof/>
          <w:lang w:eastAsia="en-AU"/>
        </w:rPr>
      </w:pPr>
      <w:hyperlink w:anchor="_Toc42245017" w:history="1">
        <w:r w:rsidR="00075D69" w:rsidRPr="008A04B3">
          <w:rPr>
            <w:rStyle w:val="Hyperlink"/>
            <w:noProof/>
          </w:rPr>
          <w:t>Entity responsibilities</w:t>
        </w:r>
        <w:r w:rsidR="00075D69">
          <w:rPr>
            <w:noProof/>
            <w:webHidden/>
          </w:rPr>
          <w:tab/>
        </w:r>
        <w:r w:rsidR="00075D69">
          <w:rPr>
            <w:noProof/>
            <w:webHidden/>
          </w:rPr>
          <w:fldChar w:fldCharType="begin"/>
        </w:r>
        <w:r w:rsidR="00075D69">
          <w:rPr>
            <w:noProof/>
            <w:webHidden/>
          </w:rPr>
          <w:instrText xml:space="preserve"> PAGEREF _Toc42245017 \h </w:instrText>
        </w:r>
        <w:r w:rsidR="00075D69">
          <w:rPr>
            <w:noProof/>
            <w:webHidden/>
          </w:rPr>
        </w:r>
        <w:r w:rsidR="00075D69">
          <w:rPr>
            <w:noProof/>
            <w:webHidden/>
          </w:rPr>
          <w:fldChar w:fldCharType="separate"/>
        </w:r>
        <w:r w:rsidR="00075D69">
          <w:rPr>
            <w:noProof/>
            <w:webHidden/>
          </w:rPr>
          <w:t>23</w:t>
        </w:r>
        <w:r w:rsidR="00075D69">
          <w:rPr>
            <w:noProof/>
            <w:webHidden/>
          </w:rPr>
          <w:fldChar w:fldCharType="end"/>
        </w:r>
      </w:hyperlink>
    </w:p>
    <w:p w:rsidR="00075D69" w:rsidRDefault="0032634A">
      <w:pPr>
        <w:pStyle w:val="TOC1"/>
        <w:rPr>
          <w:rFonts w:eastAsiaTheme="minorEastAsia"/>
          <w:b w:val="0"/>
          <w:noProof/>
          <w:sz w:val="22"/>
          <w:lang w:eastAsia="en-AU"/>
        </w:rPr>
      </w:pPr>
      <w:hyperlink w:anchor="_Toc42245018" w:history="1">
        <w:r w:rsidR="00075D69" w:rsidRPr="008A04B3">
          <w:rPr>
            <w:rStyle w:val="Hyperlink"/>
            <w:noProof/>
          </w:rPr>
          <w:t>Appendix 1 – Determining reporting requirements</w:t>
        </w:r>
        <w:r w:rsidR="00075D69">
          <w:rPr>
            <w:noProof/>
            <w:webHidden/>
          </w:rPr>
          <w:tab/>
        </w:r>
        <w:r w:rsidR="00075D69">
          <w:rPr>
            <w:noProof/>
            <w:webHidden/>
          </w:rPr>
          <w:fldChar w:fldCharType="begin"/>
        </w:r>
        <w:r w:rsidR="00075D69">
          <w:rPr>
            <w:noProof/>
            <w:webHidden/>
          </w:rPr>
          <w:instrText xml:space="preserve"> PAGEREF _Toc42245018 \h </w:instrText>
        </w:r>
        <w:r w:rsidR="00075D69">
          <w:rPr>
            <w:noProof/>
            <w:webHidden/>
          </w:rPr>
        </w:r>
        <w:r w:rsidR="00075D69">
          <w:rPr>
            <w:noProof/>
            <w:webHidden/>
          </w:rPr>
          <w:fldChar w:fldCharType="separate"/>
        </w:r>
        <w:r w:rsidR="00075D69">
          <w:rPr>
            <w:noProof/>
            <w:webHidden/>
          </w:rPr>
          <w:t>24</w:t>
        </w:r>
        <w:r w:rsidR="00075D69">
          <w:rPr>
            <w:noProof/>
            <w:webHidden/>
          </w:rPr>
          <w:fldChar w:fldCharType="end"/>
        </w:r>
      </w:hyperlink>
    </w:p>
    <w:p w:rsidR="00075D69" w:rsidRDefault="0032634A">
      <w:pPr>
        <w:pStyle w:val="TOC2"/>
        <w:rPr>
          <w:rFonts w:eastAsiaTheme="minorEastAsia"/>
          <w:noProof/>
          <w:lang w:eastAsia="en-AU"/>
        </w:rPr>
      </w:pPr>
      <w:hyperlink w:anchor="_Toc42245019" w:history="1">
        <w:r w:rsidR="00075D69" w:rsidRPr="008A04B3">
          <w:rPr>
            <w:rStyle w:val="Hyperlink"/>
            <w:noProof/>
          </w:rPr>
          <w:t>Reporting requirements for annual performance statements</w:t>
        </w:r>
        <w:r w:rsidR="00075D69">
          <w:rPr>
            <w:noProof/>
            <w:webHidden/>
          </w:rPr>
          <w:tab/>
        </w:r>
        <w:r w:rsidR="00075D69">
          <w:rPr>
            <w:noProof/>
            <w:webHidden/>
          </w:rPr>
          <w:fldChar w:fldCharType="begin"/>
        </w:r>
        <w:r w:rsidR="00075D69">
          <w:rPr>
            <w:noProof/>
            <w:webHidden/>
          </w:rPr>
          <w:instrText xml:space="preserve"> PAGEREF _Toc42245019 \h </w:instrText>
        </w:r>
        <w:r w:rsidR="00075D69">
          <w:rPr>
            <w:noProof/>
            <w:webHidden/>
          </w:rPr>
        </w:r>
        <w:r w:rsidR="00075D69">
          <w:rPr>
            <w:noProof/>
            <w:webHidden/>
          </w:rPr>
          <w:fldChar w:fldCharType="separate"/>
        </w:r>
        <w:r w:rsidR="00075D69">
          <w:rPr>
            <w:noProof/>
            <w:webHidden/>
          </w:rPr>
          <w:t>25</w:t>
        </w:r>
        <w:r w:rsidR="00075D69">
          <w:rPr>
            <w:noProof/>
            <w:webHidden/>
          </w:rPr>
          <w:fldChar w:fldCharType="end"/>
        </w:r>
      </w:hyperlink>
    </w:p>
    <w:p w:rsidR="00075D69" w:rsidRDefault="0032634A">
      <w:pPr>
        <w:pStyle w:val="TOC2"/>
        <w:rPr>
          <w:rFonts w:eastAsiaTheme="minorEastAsia"/>
          <w:noProof/>
          <w:lang w:eastAsia="en-AU"/>
        </w:rPr>
      </w:pPr>
      <w:hyperlink w:anchor="_Toc42245020" w:history="1">
        <w:r w:rsidR="00075D69" w:rsidRPr="008A04B3">
          <w:rPr>
            <w:rStyle w:val="Hyperlink"/>
            <w:noProof/>
          </w:rPr>
          <w:t>Determining requirements for annual financial statements</w:t>
        </w:r>
        <w:r w:rsidR="00075D69">
          <w:rPr>
            <w:noProof/>
            <w:webHidden/>
          </w:rPr>
          <w:tab/>
        </w:r>
        <w:r w:rsidR="00075D69">
          <w:rPr>
            <w:noProof/>
            <w:webHidden/>
          </w:rPr>
          <w:fldChar w:fldCharType="begin"/>
        </w:r>
        <w:r w:rsidR="00075D69">
          <w:rPr>
            <w:noProof/>
            <w:webHidden/>
          </w:rPr>
          <w:instrText xml:space="preserve"> PAGEREF _Toc42245020 \h </w:instrText>
        </w:r>
        <w:r w:rsidR="00075D69">
          <w:rPr>
            <w:noProof/>
            <w:webHidden/>
          </w:rPr>
        </w:r>
        <w:r w:rsidR="00075D69">
          <w:rPr>
            <w:noProof/>
            <w:webHidden/>
          </w:rPr>
          <w:fldChar w:fldCharType="separate"/>
        </w:r>
        <w:r w:rsidR="00075D69">
          <w:rPr>
            <w:noProof/>
            <w:webHidden/>
          </w:rPr>
          <w:t>26</w:t>
        </w:r>
        <w:r w:rsidR="00075D69">
          <w:rPr>
            <w:noProof/>
            <w:webHidden/>
          </w:rPr>
          <w:fldChar w:fldCharType="end"/>
        </w:r>
      </w:hyperlink>
    </w:p>
    <w:p w:rsidR="00075D69" w:rsidRDefault="0032634A">
      <w:pPr>
        <w:pStyle w:val="TOC2"/>
        <w:rPr>
          <w:rFonts w:eastAsiaTheme="minorEastAsia"/>
          <w:noProof/>
          <w:lang w:eastAsia="en-AU"/>
        </w:rPr>
      </w:pPr>
      <w:hyperlink w:anchor="_Toc42245021" w:history="1">
        <w:r w:rsidR="00075D69" w:rsidRPr="008A04B3">
          <w:rPr>
            <w:rStyle w:val="Hyperlink"/>
            <w:noProof/>
          </w:rPr>
          <w:t>Determining requirements for annual reports</w:t>
        </w:r>
        <w:r w:rsidR="00075D69">
          <w:rPr>
            <w:noProof/>
            <w:webHidden/>
          </w:rPr>
          <w:tab/>
        </w:r>
        <w:r w:rsidR="00075D69">
          <w:rPr>
            <w:noProof/>
            <w:webHidden/>
          </w:rPr>
          <w:fldChar w:fldCharType="begin"/>
        </w:r>
        <w:r w:rsidR="00075D69">
          <w:rPr>
            <w:noProof/>
            <w:webHidden/>
          </w:rPr>
          <w:instrText xml:space="preserve"> PAGEREF _Toc42245021 \h </w:instrText>
        </w:r>
        <w:r w:rsidR="00075D69">
          <w:rPr>
            <w:noProof/>
            <w:webHidden/>
          </w:rPr>
        </w:r>
        <w:r w:rsidR="00075D69">
          <w:rPr>
            <w:noProof/>
            <w:webHidden/>
          </w:rPr>
          <w:fldChar w:fldCharType="separate"/>
        </w:r>
        <w:r w:rsidR="00075D69">
          <w:rPr>
            <w:noProof/>
            <w:webHidden/>
          </w:rPr>
          <w:t>27</w:t>
        </w:r>
        <w:r w:rsidR="00075D69">
          <w:rPr>
            <w:noProof/>
            <w:webHidden/>
          </w:rPr>
          <w:fldChar w:fldCharType="end"/>
        </w:r>
      </w:hyperlink>
    </w:p>
    <w:p w:rsidR="00075D69" w:rsidRDefault="0032634A">
      <w:pPr>
        <w:pStyle w:val="TOC1"/>
        <w:rPr>
          <w:rFonts w:eastAsiaTheme="minorEastAsia"/>
          <w:b w:val="0"/>
          <w:noProof/>
          <w:sz w:val="22"/>
          <w:lang w:eastAsia="en-AU"/>
        </w:rPr>
      </w:pPr>
      <w:hyperlink w:anchor="_Toc42245022" w:history="1">
        <w:r w:rsidR="00075D69" w:rsidRPr="008A04B3">
          <w:rPr>
            <w:rStyle w:val="Hyperlink"/>
            <w:noProof/>
          </w:rPr>
          <w:t>Appendix 2 – Abbreviations</w:t>
        </w:r>
        <w:r w:rsidR="00075D69">
          <w:rPr>
            <w:noProof/>
            <w:webHidden/>
          </w:rPr>
          <w:tab/>
        </w:r>
        <w:r w:rsidR="00075D69">
          <w:rPr>
            <w:noProof/>
            <w:webHidden/>
          </w:rPr>
          <w:fldChar w:fldCharType="begin"/>
        </w:r>
        <w:r w:rsidR="00075D69">
          <w:rPr>
            <w:noProof/>
            <w:webHidden/>
          </w:rPr>
          <w:instrText xml:space="preserve"> PAGEREF _Toc42245022 \h </w:instrText>
        </w:r>
        <w:r w:rsidR="00075D69">
          <w:rPr>
            <w:noProof/>
            <w:webHidden/>
          </w:rPr>
        </w:r>
        <w:r w:rsidR="00075D69">
          <w:rPr>
            <w:noProof/>
            <w:webHidden/>
          </w:rPr>
          <w:fldChar w:fldCharType="separate"/>
        </w:r>
        <w:r w:rsidR="00075D69">
          <w:rPr>
            <w:noProof/>
            <w:webHidden/>
          </w:rPr>
          <w:t>28</w:t>
        </w:r>
        <w:r w:rsidR="00075D69">
          <w:rPr>
            <w:noProof/>
            <w:webHidden/>
          </w:rPr>
          <w:fldChar w:fldCharType="end"/>
        </w:r>
      </w:hyperlink>
    </w:p>
    <w:p w:rsidR="00396E11" w:rsidRDefault="00396E11" w:rsidP="00396E11">
      <w:r>
        <w:rPr>
          <w:rFonts w:ascii="Calibri" w:hAnsi="Calibri"/>
          <w:b/>
          <w:bCs/>
          <w:caps/>
          <w:sz w:val="20"/>
          <w:szCs w:val="24"/>
        </w:rPr>
        <w:fldChar w:fldCharType="end"/>
      </w:r>
      <w:r>
        <w:br w:type="page"/>
      </w:r>
    </w:p>
    <w:p w:rsidR="00396E11" w:rsidRPr="00D2728F" w:rsidRDefault="00396E11" w:rsidP="0046056E">
      <w:pPr>
        <w:pStyle w:val="Heading1"/>
      </w:pPr>
      <w:bookmarkStart w:id="1" w:name="_Toc462156017"/>
      <w:bookmarkStart w:id="2" w:name="_Toc462158389"/>
      <w:bookmarkStart w:id="3" w:name="_Toc462158444"/>
      <w:bookmarkStart w:id="4" w:name="_Toc462158497"/>
      <w:bookmarkStart w:id="5" w:name="_Toc462158567"/>
      <w:bookmarkStart w:id="6" w:name="_Toc462158687"/>
      <w:bookmarkStart w:id="7" w:name="_Toc42244995"/>
      <w:bookmarkStart w:id="8" w:name="Audience"/>
      <w:r w:rsidRPr="00D2728F">
        <w:lastRenderedPageBreak/>
        <w:t>Audience</w:t>
      </w:r>
      <w:bookmarkEnd w:id="1"/>
      <w:bookmarkEnd w:id="2"/>
      <w:bookmarkEnd w:id="3"/>
      <w:bookmarkEnd w:id="4"/>
      <w:bookmarkEnd w:id="5"/>
      <w:bookmarkEnd w:id="6"/>
      <w:bookmarkEnd w:id="7"/>
    </w:p>
    <w:bookmarkEnd w:id="8"/>
    <w:p w:rsidR="005E5CB9" w:rsidRDefault="005E5CB9" w:rsidP="003729ED">
      <w:r w:rsidRPr="00872A62">
        <w:t xml:space="preserve">This </w:t>
      </w:r>
      <w:r w:rsidR="007E6CF5">
        <w:t>Resource Management Guide (RMG)</w:t>
      </w:r>
      <w:r w:rsidRPr="00872A62">
        <w:t xml:space="preserve"> is relevant to</w:t>
      </w:r>
      <w:r w:rsidR="00F834A7">
        <w:t xml:space="preserve"> accountable authorities, </w:t>
      </w:r>
      <w:r w:rsidR="00270798">
        <w:t>c</w:t>
      </w:r>
      <w:r w:rsidR="00F834A7" w:rsidRPr="00F834A7">
        <w:t xml:space="preserve">hief </w:t>
      </w:r>
      <w:r w:rsidR="00CA4ED3">
        <w:t>f</w:t>
      </w:r>
      <w:r w:rsidR="00F834A7" w:rsidRPr="00F834A7">
        <w:t xml:space="preserve">inancial </w:t>
      </w:r>
      <w:r w:rsidR="00CA4ED3">
        <w:t>o</w:t>
      </w:r>
      <w:r w:rsidR="00F834A7" w:rsidRPr="00F834A7">
        <w:t>f</w:t>
      </w:r>
      <w:r w:rsidR="00F954E7">
        <w:t>ficers and officials</w:t>
      </w:r>
      <w:r w:rsidR="001F1330">
        <w:t xml:space="preserve"> of Commonwealth entities</w:t>
      </w:r>
      <w:r w:rsidR="00F954E7">
        <w:t xml:space="preserve"> with responsibility</w:t>
      </w:r>
      <w:r w:rsidR="003729ED">
        <w:t xml:space="preserve"> </w:t>
      </w:r>
      <w:r w:rsidR="003729ED" w:rsidRPr="00F834A7">
        <w:t>for preparing</w:t>
      </w:r>
      <w:r w:rsidR="003729ED">
        <w:t xml:space="preserve"> annual </w:t>
      </w:r>
      <w:r w:rsidR="003729ED" w:rsidRPr="00F834A7">
        <w:t>performance state</w:t>
      </w:r>
      <w:r w:rsidR="003729ED">
        <w:t xml:space="preserve">ments, </w:t>
      </w:r>
      <w:r w:rsidR="003729ED" w:rsidRPr="00F834A7">
        <w:t xml:space="preserve">annual </w:t>
      </w:r>
      <w:r w:rsidR="003729ED">
        <w:t xml:space="preserve">financial statements and </w:t>
      </w:r>
      <w:r w:rsidR="003729ED" w:rsidRPr="00F834A7">
        <w:t>annual reports</w:t>
      </w:r>
      <w:r w:rsidR="007E6CF5">
        <w:t xml:space="preserve"> following</w:t>
      </w:r>
      <w:r w:rsidR="007E6CF5" w:rsidRPr="00F834A7">
        <w:t xml:space="preserve"> </w:t>
      </w:r>
      <w:r w:rsidR="007E6CF5">
        <w:t xml:space="preserve">a </w:t>
      </w:r>
      <w:r w:rsidR="007E6CF5" w:rsidRPr="00F834A7">
        <w:t>machinery of government</w:t>
      </w:r>
      <w:r w:rsidR="007E6CF5">
        <w:t xml:space="preserve"> (MoG)</w:t>
      </w:r>
      <w:r w:rsidR="007E6CF5" w:rsidRPr="00F834A7">
        <w:t xml:space="preserve"> chang</w:t>
      </w:r>
      <w:r w:rsidR="007E6CF5">
        <w:t>e</w:t>
      </w:r>
      <w:r w:rsidR="00F834A7" w:rsidRPr="00F834A7">
        <w:t>.</w:t>
      </w:r>
    </w:p>
    <w:p w:rsidR="00E32FA5" w:rsidRPr="000879AE" w:rsidRDefault="00315F5B" w:rsidP="005E5CB9">
      <w:pPr>
        <w:rPr>
          <w:rFonts w:cstheme="minorHAnsi"/>
        </w:rPr>
      </w:pPr>
      <w:r>
        <w:t>For ease of</w:t>
      </w:r>
      <w:r w:rsidR="007E6CF5">
        <w:t xml:space="preserve"> reference and presentation, this </w:t>
      </w:r>
      <w:r>
        <w:t xml:space="preserve">RMG uses ‘entities’ </w:t>
      </w:r>
      <w:r w:rsidRPr="00A60FF9">
        <w:t xml:space="preserve">to </w:t>
      </w:r>
      <w:r>
        <w:t xml:space="preserve">mean </w:t>
      </w:r>
      <w:r w:rsidRPr="00A60FF9">
        <w:t>Commonwealth</w:t>
      </w:r>
      <w:r>
        <w:t xml:space="preserve"> </w:t>
      </w:r>
      <w:r w:rsidRPr="00A60FF9">
        <w:t>ent</w:t>
      </w:r>
      <w:r>
        <w:t>ities</w:t>
      </w:r>
      <w:r w:rsidRPr="00A60FF9">
        <w:t xml:space="preserve"> as defined by the </w:t>
      </w:r>
      <w:hyperlink r:id="rId12" w:history="1">
        <w:r w:rsidRPr="00646A36">
          <w:rPr>
            <w:rStyle w:val="Hyperlink"/>
          </w:rPr>
          <w:t>Public Governance, Performance and Accountability Act 2013</w:t>
        </w:r>
      </w:hyperlink>
      <w:r>
        <w:t xml:space="preserve"> (</w:t>
      </w:r>
      <w:r w:rsidRPr="00615365">
        <w:t>PGPA Act</w:t>
      </w:r>
      <w:r w:rsidRPr="00A60FF9">
        <w:t>).</w:t>
      </w:r>
    </w:p>
    <w:p w:rsidR="00396E11" w:rsidRPr="00C5547B" w:rsidRDefault="00396E11" w:rsidP="00933C6F">
      <w:pPr>
        <w:pStyle w:val="Heading1"/>
        <w:tabs>
          <w:tab w:val="left" w:pos="567"/>
        </w:tabs>
      </w:pPr>
      <w:bookmarkStart w:id="9" w:name="_Toc390678609"/>
      <w:bookmarkStart w:id="10" w:name="_Toc390678658"/>
      <w:bookmarkStart w:id="11" w:name="_Toc462156018"/>
      <w:bookmarkStart w:id="12" w:name="_Toc462158390"/>
      <w:bookmarkStart w:id="13" w:name="_Toc462158445"/>
      <w:bookmarkStart w:id="14" w:name="_Toc462158498"/>
      <w:bookmarkStart w:id="15" w:name="_Toc462158568"/>
      <w:bookmarkStart w:id="16" w:name="_Toc462158688"/>
      <w:bookmarkStart w:id="17" w:name="_Toc42244996"/>
      <w:r>
        <w:t>Key points</w:t>
      </w:r>
      <w:bookmarkEnd w:id="9"/>
      <w:bookmarkEnd w:id="10"/>
      <w:bookmarkEnd w:id="11"/>
      <w:bookmarkEnd w:id="12"/>
      <w:bookmarkEnd w:id="13"/>
      <w:bookmarkEnd w:id="14"/>
      <w:bookmarkEnd w:id="15"/>
      <w:bookmarkEnd w:id="16"/>
      <w:bookmarkEnd w:id="17"/>
    </w:p>
    <w:p w:rsidR="005E5CB9" w:rsidRDefault="005E5CB9" w:rsidP="005E5CB9">
      <w:pPr>
        <w:spacing w:after="120"/>
      </w:pPr>
      <w:bookmarkStart w:id="18" w:name="_Toc390678610"/>
      <w:bookmarkStart w:id="19" w:name="_Toc390678659"/>
      <w:r w:rsidRPr="00C5547B">
        <w:t>This guide:</w:t>
      </w:r>
    </w:p>
    <w:p w:rsidR="005E5CB9" w:rsidRPr="00AE2ECC" w:rsidRDefault="00344430" w:rsidP="003729ED">
      <w:pPr>
        <w:pStyle w:val="Bullet1"/>
      </w:pPr>
      <w:r>
        <w:t>o</w:t>
      </w:r>
      <w:r w:rsidR="00AE2ECC" w:rsidRPr="00AE2ECC">
        <w:t xml:space="preserve">utlines the </w:t>
      </w:r>
      <w:r w:rsidR="00F834A7">
        <w:t xml:space="preserve">special reporting </w:t>
      </w:r>
      <w:r>
        <w:t>responsibilities</w:t>
      </w:r>
      <w:r w:rsidR="003729ED">
        <w:t xml:space="preserve"> </w:t>
      </w:r>
      <w:r>
        <w:t>for preparing</w:t>
      </w:r>
      <w:r w:rsidR="003729ED">
        <w:t xml:space="preserve"> annual performance statements, </w:t>
      </w:r>
      <w:r>
        <w:t>annual financial statement</w:t>
      </w:r>
      <w:r w:rsidR="003729ED">
        <w:t xml:space="preserve">s and </w:t>
      </w:r>
      <w:r>
        <w:t>annual reports</w:t>
      </w:r>
      <w:r w:rsidR="003729ED">
        <w:t xml:space="preserve"> following a MoG change </w:t>
      </w:r>
    </w:p>
    <w:p w:rsidR="00344430" w:rsidRDefault="00344430" w:rsidP="00344430">
      <w:pPr>
        <w:pStyle w:val="Bullet1"/>
      </w:pPr>
      <w:r>
        <w:t xml:space="preserve">provides guidance to assist </w:t>
      </w:r>
      <w:r w:rsidR="003729ED">
        <w:t xml:space="preserve">entity </w:t>
      </w:r>
      <w:r>
        <w:t>officials in meeting their reporting responsibilities</w:t>
      </w:r>
      <w:r w:rsidR="003729ED">
        <w:t xml:space="preserve"> in accordance with the PGPA Act and </w:t>
      </w:r>
      <w:r w:rsidR="001F1330">
        <w:t xml:space="preserve">Division 4 of </w:t>
      </w:r>
      <w:r w:rsidR="003729ED">
        <w:t xml:space="preserve">the </w:t>
      </w:r>
      <w:hyperlink r:id="rId13" w:history="1">
        <w:r w:rsidR="003729ED" w:rsidRPr="00615365">
          <w:rPr>
            <w:rStyle w:val="Hyperlink"/>
          </w:rPr>
          <w:t>Public Governance, Performance and Accountability Rule 2014</w:t>
        </w:r>
      </w:hyperlink>
      <w:r w:rsidR="003729ED" w:rsidRPr="00615365">
        <w:t xml:space="preserve"> (PGPA Rule)</w:t>
      </w:r>
      <w:r>
        <w:t>.</w:t>
      </w:r>
    </w:p>
    <w:p w:rsidR="00396E11" w:rsidRPr="00C5547B" w:rsidRDefault="00396E11" w:rsidP="00396E11">
      <w:pPr>
        <w:pStyle w:val="Heading1"/>
      </w:pPr>
      <w:bookmarkStart w:id="20" w:name="_Toc462156019"/>
      <w:bookmarkStart w:id="21" w:name="_Toc462158391"/>
      <w:bookmarkStart w:id="22" w:name="_Toc462158446"/>
      <w:bookmarkStart w:id="23" w:name="_Toc462158499"/>
      <w:bookmarkStart w:id="24" w:name="_Toc462158569"/>
      <w:bookmarkStart w:id="25" w:name="_Toc462158689"/>
      <w:bookmarkStart w:id="26" w:name="_Toc42244997"/>
      <w:r>
        <w:t>Resources</w:t>
      </w:r>
      <w:bookmarkEnd w:id="18"/>
      <w:bookmarkEnd w:id="19"/>
      <w:bookmarkEnd w:id="20"/>
      <w:bookmarkEnd w:id="21"/>
      <w:bookmarkEnd w:id="22"/>
      <w:bookmarkEnd w:id="23"/>
      <w:bookmarkEnd w:id="24"/>
      <w:bookmarkEnd w:id="25"/>
      <w:bookmarkEnd w:id="26"/>
    </w:p>
    <w:p w:rsidR="005E5CB9" w:rsidRPr="00C5547B" w:rsidRDefault="005E5CB9" w:rsidP="005E5CB9">
      <w:pPr>
        <w:spacing w:after="120" w:line="260" w:lineRule="exact"/>
        <w:rPr>
          <w:rFonts w:eastAsia="Times New Roman"/>
          <w:szCs w:val="24"/>
        </w:rPr>
      </w:pPr>
      <w:bookmarkStart w:id="27" w:name="_Toc462156020"/>
      <w:bookmarkStart w:id="28" w:name="_Toc462158392"/>
      <w:bookmarkStart w:id="29" w:name="_Toc462158447"/>
      <w:bookmarkStart w:id="30" w:name="_Toc462158500"/>
      <w:bookmarkStart w:id="31" w:name="_Toc462158570"/>
      <w:bookmarkStart w:id="32" w:name="_Toc462158690"/>
      <w:r w:rsidRPr="00C5547B">
        <w:rPr>
          <w:rFonts w:eastAsia="Times New Roman"/>
          <w:szCs w:val="24"/>
        </w:rPr>
        <w:t xml:space="preserve">This guide is available on the </w:t>
      </w:r>
      <w:hyperlink r:id="rId14" w:history="1">
        <w:r w:rsidRPr="00495656">
          <w:rPr>
            <w:rStyle w:val="Hyperlink"/>
            <w:i w:val="0"/>
          </w:rPr>
          <w:t>Department of Finance</w:t>
        </w:r>
      </w:hyperlink>
      <w:r w:rsidR="00787994">
        <w:rPr>
          <w:rFonts w:eastAsia="Times New Roman"/>
          <w:szCs w:val="24"/>
        </w:rPr>
        <w:t xml:space="preserve"> (Finance</w:t>
      </w:r>
      <w:r w:rsidR="00787994" w:rsidRPr="00CA4ED3">
        <w:rPr>
          <w:rFonts w:eastAsia="Times New Roman"/>
          <w:szCs w:val="24"/>
        </w:rPr>
        <w:t>)</w:t>
      </w:r>
      <w:r w:rsidRPr="00CA4ED3">
        <w:rPr>
          <w:rFonts w:eastAsia="Times New Roman"/>
          <w:szCs w:val="24"/>
        </w:rPr>
        <w:t xml:space="preserve"> website</w:t>
      </w:r>
      <w:r w:rsidR="00CA4ED3" w:rsidRPr="00495656">
        <w:rPr>
          <w:rStyle w:val="Hyperlink"/>
          <w:u w:val="none"/>
        </w:rPr>
        <w:t>.</w:t>
      </w:r>
    </w:p>
    <w:p w:rsidR="00C3496C" w:rsidRDefault="005E5CB9" w:rsidP="005E5CB9">
      <w:pPr>
        <w:spacing w:after="120"/>
      </w:pPr>
      <w:r w:rsidRPr="00C5547B">
        <w:t>Other relevant publications include</w:t>
      </w:r>
      <w:r w:rsidR="00CA4ED3">
        <w:t>:</w:t>
      </w:r>
    </w:p>
    <w:p w:rsidR="001E104D" w:rsidRPr="00661A7B" w:rsidRDefault="00661A7B" w:rsidP="00B83BE5">
      <w:pPr>
        <w:pStyle w:val="Bullet1"/>
        <w:rPr>
          <w:rStyle w:val="Hyperlink"/>
        </w:rPr>
      </w:pPr>
      <w:r w:rsidRPr="00661A7B">
        <w:rPr>
          <w:i/>
          <w:u w:color="0070C0"/>
        </w:rPr>
        <w:fldChar w:fldCharType="begin"/>
      </w:r>
      <w:r>
        <w:rPr>
          <w:i/>
          <w:u w:color="0070C0"/>
        </w:rPr>
        <w:instrText xml:space="preserve"> HYPERLINK "https://www.finance.gov.au/publications/resource-management-guides" </w:instrText>
      </w:r>
      <w:r w:rsidRPr="00661A7B">
        <w:rPr>
          <w:i/>
          <w:u w:color="0070C0"/>
        </w:rPr>
        <w:fldChar w:fldCharType="separate"/>
      </w:r>
      <w:r w:rsidR="001E104D" w:rsidRPr="00661A7B">
        <w:rPr>
          <w:rStyle w:val="Hyperlink"/>
        </w:rPr>
        <w:t>Accounting for machinery of government changes</w:t>
      </w:r>
      <w:r w:rsidRPr="00661A7B">
        <w:rPr>
          <w:rStyle w:val="Hyperlink"/>
        </w:rPr>
        <w:t xml:space="preserve"> (RMG 118)</w:t>
      </w:r>
    </w:p>
    <w:p w:rsidR="00661A7B" w:rsidRPr="00D918AE" w:rsidRDefault="00661A7B" w:rsidP="00661A7B">
      <w:pPr>
        <w:pStyle w:val="Bullet1"/>
        <w:rPr>
          <w:rStyle w:val="Hyperlink"/>
        </w:rPr>
      </w:pPr>
      <w:r w:rsidRPr="00661A7B">
        <w:rPr>
          <w:i/>
          <w:u w:color="0070C0"/>
        </w:rPr>
        <w:fldChar w:fldCharType="end"/>
      </w:r>
      <w:hyperlink r:id="rId15" w:history="1">
        <w:r w:rsidRPr="00495656">
          <w:rPr>
            <w:rStyle w:val="Hyperlink"/>
          </w:rPr>
          <w:t>Commonwealth entities financial statements guide — 2019-20 (RMG 125)</w:t>
        </w:r>
      </w:hyperlink>
    </w:p>
    <w:p w:rsidR="00D918AE" w:rsidRDefault="0032634A" w:rsidP="00CA4ED3">
      <w:pPr>
        <w:pStyle w:val="Bullet1"/>
        <w:rPr>
          <w:rStyle w:val="Hyperlink"/>
        </w:rPr>
      </w:pPr>
      <w:hyperlink r:id="rId16" w:history="1">
        <w:r w:rsidR="00CA4ED3" w:rsidRPr="00495656">
          <w:rPr>
            <w:rStyle w:val="Hyperlink"/>
          </w:rPr>
          <w:t>Corporate plans for Commonwealth entities (RMG 132)</w:t>
        </w:r>
      </w:hyperlink>
    </w:p>
    <w:p w:rsidR="008671E3" w:rsidRPr="008671E3" w:rsidRDefault="0032634A" w:rsidP="008671E3">
      <w:pPr>
        <w:pStyle w:val="Bullet1"/>
        <w:rPr>
          <w:rStyle w:val="Hyperlink"/>
          <w:i w:val="0"/>
          <w:u w:val="none"/>
        </w:rPr>
      </w:pPr>
      <w:hyperlink r:id="rId17" w:history="1">
        <w:r w:rsidR="008671E3" w:rsidRPr="008671E3">
          <w:rPr>
            <w:rStyle w:val="Hyperlink"/>
          </w:rPr>
          <w:t>Annual performance statements for Commonwealth entities (RMG 134)</w:t>
        </w:r>
      </w:hyperlink>
    </w:p>
    <w:p w:rsidR="00D918AE" w:rsidRPr="00495656" w:rsidRDefault="0032634A" w:rsidP="00D918AE">
      <w:pPr>
        <w:pStyle w:val="Bullet1"/>
      </w:pPr>
      <w:hyperlink r:id="rId18" w:history="1">
        <w:r w:rsidR="00D918AE" w:rsidRPr="00D918AE">
          <w:rPr>
            <w:rStyle w:val="Hyperlink"/>
          </w:rPr>
          <w:t>Annual report for non-corporate Commonwealth entities (RMG 135)</w:t>
        </w:r>
      </w:hyperlink>
    </w:p>
    <w:p w:rsidR="00D918AE" w:rsidRPr="008671E3" w:rsidRDefault="0032634A" w:rsidP="00D918AE">
      <w:pPr>
        <w:pStyle w:val="Bullet1"/>
        <w:rPr>
          <w:i/>
        </w:rPr>
      </w:pPr>
      <w:hyperlink r:id="rId19" w:history="1">
        <w:r w:rsidR="00D918AE" w:rsidRPr="008671E3">
          <w:rPr>
            <w:rStyle w:val="Hyperlink"/>
          </w:rPr>
          <w:t>Annual report for corporate Commonwealth entities (RMG 136)</w:t>
        </w:r>
      </w:hyperlink>
    </w:p>
    <w:p w:rsidR="00D918AE" w:rsidRDefault="0032634A" w:rsidP="00495656">
      <w:pPr>
        <w:pStyle w:val="Bullet1"/>
        <w:rPr>
          <w:i/>
          <w:u w:color="0070C0"/>
        </w:rPr>
      </w:pPr>
      <w:hyperlink r:id="rId20" w:history="1">
        <w:r w:rsidR="00E86FF8" w:rsidRPr="00D918AE">
          <w:rPr>
            <w:rStyle w:val="Hyperlink"/>
          </w:rPr>
          <w:t>Annual rep</w:t>
        </w:r>
        <w:r w:rsidR="00D918AE" w:rsidRPr="00D918AE">
          <w:rPr>
            <w:rStyle w:val="Hyperlink"/>
          </w:rPr>
          <w:t>ort for Commonwealth-companies (RMG 137)</w:t>
        </w:r>
      </w:hyperlink>
    </w:p>
    <w:p w:rsidR="00E86FF8" w:rsidRDefault="0032634A" w:rsidP="00495656">
      <w:pPr>
        <w:pStyle w:val="Bullet1"/>
        <w:rPr>
          <w:i/>
          <w:u w:color="0070C0"/>
        </w:rPr>
      </w:pPr>
      <w:hyperlink r:id="rId21" w:history="1">
        <w:r w:rsidR="0006578D" w:rsidRPr="00E86FF8">
          <w:rPr>
            <w:rStyle w:val="Hyperlink"/>
          </w:rPr>
          <w:t>Commonwealth entities Executive Remuneration Reporting Guide for Annual Reports</w:t>
        </w:r>
        <w:r w:rsidR="00E86FF8" w:rsidRPr="00E86FF8">
          <w:rPr>
            <w:rStyle w:val="Hyperlink"/>
          </w:rPr>
          <w:t xml:space="preserve"> (RMG 138)</w:t>
        </w:r>
      </w:hyperlink>
    </w:p>
    <w:p w:rsidR="003729ED" w:rsidRDefault="0032634A" w:rsidP="00495656">
      <w:pPr>
        <w:pStyle w:val="Bullet1"/>
      </w:pPr>
      <w:hyperlink r:id="rId22" w:history="1">
        <w:r w:rsidR="00A72FFE" w:rsidRPr="00A72FFE">
          <w:rPr>
            <w:rStyle w:val="Hyperlink"/>
          </w:rPr>
          <w:t>Commonwealth companies Executive Remuneration Reporting Guide for Annual Reports (RMG 139)</w:t>
        </w:r>
      </w:hyperlink>
    </w:p>
    <w:p w:rsidR="003729ED" w:rsidRPr="00495656" w:rsidRDefault="0032634A" w:rsidP="00495656">
      <w:pPr>
        <w:pStyle w:val="Bullet1"/>
      </w:pPr>
      <w:hyperlink r:id="rId23" w:history="1">
        <w:r w:rsidR="003729ED" w:rsidRPr="000D5589">
          <w:rPr>
            <w:rStyle w:val="Hyperlink"/>
          </w:rPr>
          <w:t>Machinery of Government (MoG) changes: A guide</w:t>
        </w:r>
      </w:hyperlink>
    </w:p>
    <w:p w:rsidR="00933C6F" w:rsidRPr="00495656" w:rsidRDefault="00A72FFE" w:rsidP="00495656">
      <w:pPr>
        <w:pStyle w:val="Bullet1"/>
        <w:rPr>
          <w:rStyle w:val="Hyperlink"/>
          <w:i w:val="0"/>
          <w:u w:val="none"/>
        </w:rPr>
      </w:pPr>
      <w:r w:rsidRPr="00495656">
        <w:t>relev</w:t>
      </w:r>
      <w:r w:rsidRPr="00A72FFE">
        <w:t>a</w:t>
      </w:r>
      <w:r w:rsidRPr="00495656">
        <w:t xml:space="preserve">nt </w:t>
      </w:r>
      <w:hyperlink r:id="rId24" w:history="1">
        <w:r w:rsidRPr="00495656">
          <w:rPr>
            <w:rStyle w:val="Hyperlink"/>
            <w:i w:val="0"/>
          </w:rPr>
          <w:t>accounting standards</w:t>
        </w:r>
      </w:hyperlink>
      <w:r w:rsidR="003729ED">
        <w:t xml:space="preserve"> </w:t>
      </w:r>
      <w:r>
        <w:t>published by the Australian Accounting Standards Board (AASB).</w:t>
      </w:r>
    </w:p>
    <w:p w:rsidR="005E5CB9" w:rsidRDefault="005E5CB9" w:rsidP="005E5CB9">
      <w:pPr>
        <w:pStyle w:val="Heading1"/>
      </w:pPr>
      <w:bookmarkStart w:id="33" w:name="_Toc463364660"/>
      <w:bookmarkStart w:id="34" w:name="_Toc42244998"/>
      <w:r>
        <w:lastRenderedPageBreak/>
        <w:t>Introduction</w:t>
      </w:r>
      <w:bookmarkEnd w:id="33"/>
      <w:bookmarkEnd w:id="34"/>
    </w:p>
    <w:p w:rsidR="00E57C95" w:rsidRPr="003F398A" w:rsidRDefault="00E57C95" w:rsidP="00AC5F3F">
      <w:pPr>
        <w:pStyle w:val="NumberedList1"/>
      </w:pPr>
      <w:r w:rsidRPr="003F398A">
        <w:t>MoG changes can involve the movement of functions, appropriations, other resources and people from one entity to another under a number of different scenarios</w:t>
      </w:r>
      <w:r w:rsidR="00AC5F3F">
        <w:t xml:space="preserve"> </w:t>
      </w:r>
      <w:r w:rsidRPr="003F398A">
        <w:t>that impact the reporting respon</w:t>
      </w:r>
      <w:r w:rsidR="001F1330">
        <w:t>sibilities of affected entities. MoG changes may include</w:t>
      </w:r>
      <w:r w:rsidRPr="003F398A">
        <w:t>:</w:t>
      </w:r>
    </w:p>
    <w:p w:rsidR="00E57C95" w:rsidRDefault="00315F5B" w:rsidP="00E57C95">
      <w:pPr>
        <w:pStyle w:val="Bullet1"/>
      </w:pPr>
      <w:r>
        <w:t>a</w:t>
      </w:r>
      <w:r w:rsidR="001F1330">
        <w:t>n</w:t>
      </w:r>
      <w:r w:rsidR="00E57C95">
        <w:t xml:space="preserve"> entity (old</w:t>
      </w:r>
      <w:r w:rsidR="00E57C95" w:rsidRPr="00C07E24">
        <w:t xml:space="preserve"> entity</w:t>
      </w:r>
      <w:r w:rsidR="00E57C95">
        <w:t>)</w:t>
      </w:r>
      <w:r w:rsidR="00611D96">
        <w:t xml:space="preserve"> ceasing</w:t>
      </w:r>
      <w:r w:rsidR="00E57C95" w:rsidRPr="00C07E24">
        <w:t xml:space="preserve"> to exist </w:t>
      </w:r>
      <w:r w:rsidR="00E57C95">
        <w:t>with:</w:t>
      </w:r>
    </w:p>
    <w:p w:rsidR="00E57C95" w:rsidRPr="00C07E24" w:rsidRDefault="00E57C95">
      <w:pPr>
        <w:pStyle w:val="Bullet2"/>
      </w:pPr>
      <w:r w:rsidRPr="00C07E24">
        <w:t>none of its functions</w:t>
      </w:r>
      <w:r>
        <w:t xml:space="preserve"> </w:t>
      </w:r>
      <w:r w:rsidRPr="00C07E24">
        <w:t>transferred</w:t>
      </w:r>
      <w:r w:rsidR="00366225">
        <w:t>, or</w:t>
      </w:r>
    </w:p>
    <w:p w:rsidR="00E57C95" w:rsidRPr="00C07E24" w:rsidRDefault="00E57C95">
      <w:pPr>
        <w:pStyle w:val="Bullet2"/>
      </w:pPr>
      <w:r>
        <w:t>some or</w:t>
      </w:r>
      <w:r w:rsidRPr="00C07E24">
        <w:t xml:space="preserve"> all of its functions transferred</w:t>
      </w:r>
    </w:p>
    <w:p w:rsidR="00E57C95" w:rsidRDefault="00E57C95" w:rsidP="00E57C95">
      <w:pPr>
        <w:pStyle w:val="Bullet1"/>
      </w:pPr>
      <w:r>
        <w:t>an</w:t>
      </w:r>
      <w:r w:rsidRPr="00C07E24">
        <w:t xml:space="preserve"> old entit</w:t>
      </w:r>
      <w:r w:rsidR="00611D96">
        <w:t>y continuing</w:t>
      </w:r>
      <w:r w:rsidRPr="00C07E24">
        <w:t xml:space="preserve"> to exist</w:t>
      </w:r>
      <w:r>
        <w:t xml:space="preserve"> with:</w:t>
      </w:r>
    </w:p>
    <w:p w:rsidR="00611D96" w:rsidRDefault="00611D96">
      <w:pPr>
        <w:pStyle w:val="Bullet2"/>
      </w:pPr>
      <w:r>
        <w:t>some or all functions</w:t>
      </w:r>
      <w:r w:rsidRPr="00C07E24">
        <w:t xml:space="preserve"> transferred</w:t>
      </w:r>
      <w:r>
        <w:t xml:space="preserve"> </w:t>
      </w:r>
      <w:r w:rsidRPr="00C07E24">
        <w:t>to one or more entities</w:t>
      </w:r>
    </w:p>
    <w:p w:rsidR="00E57C95" w:rsidRDefault="00E57C95" w:rsidP="00611D96">
      <w:pPr>
        <w:pStyle w:val="Bullet2"/>
      </w:pPr>
      <w:r>
        <w:t>some functions</w:t>
      </w:r>
      <w:r w:rsidRPr="00C07E24">
        <w:t xml:space="preserve"> transferred</w:t>
      </w:r>
      <w:r>
        <w:t xml:space="preserve"> </w:t>
      </w:r>
      <w:r w:rsidRPr="00C07E24">
        <w:t xml:space="preserve">to one or more entities, but </w:t>
      </w:r>
      <w:r w:rsidR="00611D96">
        <w:t xml:space="preserve">where </w:t>
      </w:r>
      <w:r w:rsidRPr="00C07E24">
        <w:t>it is not practica</w:t>
      </w:r>
      <w:r w:rsidR="00366225">
        <w:t>b</w:t>
      </w:r>
      <w:r w:rsidRPr="00C07E24">
        <w:t>l</w:t>
      </w:r>
      <w:r w:rsidR="00366225">
        <w:t>e</w:t>
      </w:r>
      <w:r w:rsidRPr="00C07E24">
        <w:t xml:space="preserve"> for the </w:t>
      </w:r>
      <w:r>
        <w:t xml:space="preserve">old </w:t>
      </w:r>
      <w:r w:rsidRPr="00C07E24">
        <w:t>entity to report</w:t>
      </w:r>
      <w:r>
        <w:t xml:space="preserve"> on the non-transferred functions.</w:t>
      </w:r>
    </w:p>
    <w:p w:rsidR="00611D96" w:rsidRDefault="00C65A28" w:rsidP="003E6254">
      <w:pPr>
        <w:pStyle w:val="NumberedList1"/>
      </w:pPr>
      <w:r>
        <w:t xml:space="preserve">Division 4 </w:t>
      </w:r>
      <w:r w:rsidR="00611D96">
        <w:t xml:space="preserve">of the </w:t>
      </w:r>
      <w:hyperlink r:id="rId25" w:history="1">
        <w:r w:rsidR="00611D96" w:rsidRPr="003E6254">
          <w:rPr>
            <w:rStyle w:val="Hyperlink"/>
            <w:i w:val="0"/>
          </w:rPr>
          <w:t>PGPA Rule</w:t>
        </w:r>
      </w:hyperlink>
      <w:r w:rsidR="00303FFD" w:rsidRPr="00615365">
        <w:t xml:space="preserve"> set</w:t>
      </w:r>
      <w:r w:rsidR="00611D96">
        <w:t>s</w:t>
      </w:r>
      <w:r w:rsidR="00303FFD" w:rsidRPr="00615365">
        <w:t xml:space="preserve"> out the special reporting requiremen</w:t>
      </w:r>
      <w:r w:rsidR="00735460">
        <w:t>ts that apply where</w:t>
      </w:r>
      <w:r w:rsidR="00303FFD" w:rsidRPr="00615365">
        <w:t xml:space="preserve"> entities have ceased to exist or functions have been transferred.</w:t>
      </w:r>
      <w:r w:rsidR="00735460">
        <w:t xml:space="preserve"> </w:t>
      </w:r>
      <w:bookmarkStart w:id="35" w:name="Division4"/>
      <w:r w:rsidR="00654EA7">
        <w:t xml:space="preserve">Division 4 </w:t>
      </w:r>
      <w:r w:rsidR="00C55D3D">
        <w:t>of the PGPA Rule</w:t>
      </w:r>
      <w:bookmarkEnd w:id="35"/>
      <w:r w:rsidR="00C55D3D">
        <w:t xml:space="preserve"> </w:t>
      </w:r>
      <w:r w:rsidR="00654EA7">
        <w:t>details</w:t>
      </w:r>
      <w:r w:rsidR="00C55D3D">
        <w:t>,</w:t>
      </w:r>
      <w:r w:rsidR="00654EA7">
        <w:t xml:space="preserve"> in four subdivisions</w:t>
      </w:r>
      <w:r w:rsidR="00C55D3D">
        <w:t>,</w:t>
      </w:r>
      <w:r w:rsidR="00654EA7">
        <w:t xml:space="preserve"> the </w:t>
      </w:r>
      <w:r w:rsidR="00C55D3D">
        <w:t>reporting requirements</w:t>
      </w:r>
      <w:r w:rsidR="00611D96">
        <w:t xml:space="preserve"> that apply</w:t>
      </w:r>
      <w:r w:rsidR="00C55D3D">
        <w:t xml:space="preserve"> </w:t>
      </w:r>
      <w:r w:rsidR="00611D96">
        <w:t>for</w:t>
      </w:r>
      <w:r w:rsidR="00C55D3D">
        <w:t xml:space="preserve"> the movement of </w:t>
      </w:r>
      <w:r w:rsidR="00C55D3D" w:rsidRPr="003F398A">
        <w:t>functions,</w:t>
      </w:r>
      <w:r w:rsidR="00C55D3D">
        <w:t xml:space="preserve"> appropriations, other resources following</w:t>
      </w:r>
      <w:r w:rsidR="00654EA7">
        <w:t xml:space="preserve"> a MoG change</w:t>
      </w:r>
      <w:r w:rsidR="00C55D3D">
        <w:t xml:space="preserve">. </w:t>
      </w:r>
    </w:p>
    <w:p w:rsidR="00AC5F3F" w:rsidRPr="004131C2" w:rsidRDefault="00AC5F3F" w:rsidP="00AC5F3F">
      <w:pPr>
        <w:pStyle w:val="NumberedList1"/>
      </w:pPr>
      <w:r>
        <w:t>The reporting requirements at:</w:t>
      </w:r>
    </w:p>
    <w:p w:rsidR="00AC5F3F" w:rsidRPr="003E6254" w:rsidRDefault="00AC5F3F" w:rsidP="00AC5F3F">
      <w:pPr>
        <w:pStyle w:val="Bullet1"/>
      </w:pPr>
      <w:r w:rsidRPr="003E6254">
        <w:t>Subdivision A</w:t>
      </w:r>
      <w:r>
        <w:t xml:space="preserve">, sections 17A–17D, of the PGPA Rule </w:t>
      </w:r>
      <w:r w:rsidRPr="003E6254">
        <w:t xml:space="preserve">apply where </w:t>
      </w:r>
      <w:r w:rsidRPr="00495656">
        <w:rPr>
          <w:rStyle w:val="Hyperlink"/>
          <w:i w:val="0"/>
          <w:u w:val="none"/>
        </w:rPr>
        <w:t xml:space="preserve">an </w:t>
      </w:r>
      <w:hyperlink w:anchor="Entityceasednotransfer" w:history="1">
        <w:r w:rsidRPr="00495656">
          <w:rPr>
            <w:rStyle w:val="Hyperlink"/>
            <w:i w:val="0"/>
          </w:rPr>
          <w:t xml:space="preserve">entity </w:t>
        </w:r>
        <w:r>
          <w:rPr>
            <w:rStyle w:val="Hyperlink"/>
            <w:i w:val="0"/>
          </w:rPr>
          <w:t xml:space="preserve">has </w:t>
        </w:r>
        <w:r w:rsidRPr="00495656">
          <w:rPr>
            <w:rStyle w:val="Hyperlink"/>
            <w:i w:val="0"/>
          </w:rPr>
          <w:t>ceased to exist with no functions transfer</w:t>
        </w:r>
      </w:hyperlink>
      <w:r>
        <w:rPr>
          <w:rStyle w:val="Hyperlink"/>
          <w:i w:val="0"/>
        </w:rPr>
        <w:t>red</w:t>
      </w:r>
    </w:p>
    <w:p w:rsidR="00AC5F3F" w:rsidRPr="004131C2" w:rsidRDefault="00AC5F3F" w:rsidP="00AC5F3F">
      <w:pPr>
        <w:pStyle w:val="Bullet1"/>
      </w:pPr>
      <w:r>
        <w:t xml:space="preserve">Subdivision B, sections 17E–17G, of the PGPA Rule apply where an </w:t>
      </w:r>
      <w:hyperlink w:anchor="Entityceasedwithtransfer" w:history="1">
        <w:r w:rsidRPr="00495656">
          <w:rPr>
            <w:rStyle w:val="Hyperlink"/>
            <w:i w:val="0"/>
          </w:rPr>
          <w:t xml:space="preserve">entity </w:t>
        </w:r>
        <w:r>
          <w:rPr>
            <w:rStyle w:val="Hyperlink"/>
            <w:i w:val="0"/>
          </w:rPr>
          <w:t xml:space="preserve">has </w:t>
        </w:r>
        <w:r w:rsidRPr="00495656">
          <w:rPr>
            <w:rStyle w:val="Hyperlink"/>
            <w:i w:val="0"/>
          </w:rPr>
          <w:t>ceased to exist with some or all functions transferred</w:t>
        </w:r>
      </w:hyperlink>
    </w:p>
    <w:p w:rsidR="00AC5F3F" w:rsidRDefault="00AC5F3F" w:rsidP="00AC5F3F">
      <w:pPr>
        <w:pStyle w:val="Bullet1"/>
      </w:pPr>
      <w:r>
        <w:t xml:space="preserve">Subdivision C, sections 17H–17J, of the PGPA Rule apply to </w:t>
      </w:r>
      <w:hyperlink w:anchor="Reportingtransferredfunctions" w:history="1">
        <w:r w:rsidRPr="00495656">
          <w:rPr>
            <w:rStyle w:val="Hyperlink"/>
            <w:i w:val="0"/>
          </w:rPr>
          <w:t>reporting on transferred functions</w:t>
        </w:r>
      </w:hyperlink>
    </w:p>
    <w:p w:rsidR="00AC5F3F" w:rsidRDefault="00AC5F3F" w:rsidP="00AC5F3F">
      <w:pPr>
        <w:pStyle w:val="Bullet1"/>
      </w:pPr>
      <w:r>
        <w:t xml:space="preserve">Subdivision D, section 17K, of the PGPA Rule applies for </w:t>
      </w:r>
      <w:hyperlink w:anchor="Miscellaneousreporting" w:history="1">
        <w:r w:rsidRPr="003E6254">
          <w:rPr>
            <w:rStyle w:val="Hyperlink"/>
            <w:i w:val="0"/>
          </w:rPr>
          <w:t>miscellaneous reporting</w:t>
        </w:r>
      </w:hyperlink>
      <w:r w:rsidRPr="00495656">
        <w:rPr>
          <w:rStyle w:val="Hyperlink"/>
          <w:i w:val="0"/>
          <w:u w:val="none"/>
        </w:rPr>
        <w:t>.</w:t>
      </w:r>
    </w:p>
    <w:p w:rsidR="00AC5F3F" w:rsidRDefault="00AC5F3F" w:rsidP="00AC5F3F">
      <w:pPr>
        <w:pStyle w:val="NumberedList1"/>
      </w:pPr>
      <w:r>
        <w:t xml:space="preserve">This RMG provides guidance on these requirements, to assist accountable authorities </w:t>
      </w:r>
      <w:r w:rsidRPr="005D7876">
        <w:t>(</w:t>
      </w:r>
      <w:r w:rsidRPr="009D5E2A">
        <w:rPr>
          <w:rFonts w:ascii="Arial" w:hAnsi="Arial" w:cs="Arial"/>
          <w:shd w:val="clear" w:color="auto" w:fill="FFFFFF"/>
        </w:rPr>
        <w:t>ie secretaries, chief executives or governing boards)</w:t>
      </w:r>
      <w:r w:rsidRPr="005D7876">
        <w:t xml:space="preserve"> </w:t>
      </w:r>
      <w:r>
        <w:t>to meet their reporting responsibilities following MoG changes.</w:t>
      </w:r>
      <w:r w:rsidR="00704B54">
        <w:t xml:space="preserve"> </w:t>
      </w:r>
      <w:r w:rsidR="009123A4">
        <w:t>Also</w:t>
      </w:r>
      <w:r>
        <w:t xml:space="preserve">: </w:t>
      </w:r>
    </w:p>
    <w:p w:rsidR="00AC5F3F" w:rsidRDefault="0032634A" w:rsidP="00AC5F3F">
      <w:pPr>
        <w:pStyle w:val="Bullet1"/>
      </w:pPr>
      <w:hyperlink w:anchor="Tables123" w:history="1">
        <w:r w:rsidR="00AC5F3F" w:rsidRPr="00E26A47">
          <w:rPr>
            <w:rStyle w:val="Hyperlink"/>
            <w:i w:val="0"/>
          </w:rPr>
          <w:t>Tables 1–3</w:t>
        </w:r>
      </w:hyperlink>
      <w:r w:rsidR="00AC5F3F">
        <w:rPr>
          <w:rStyle w:val="Hyperlink"/>
          <w:i w:val="0"/>
          <w:u w:val="none"/>
        </w:rPr>
        <w:t xml:space="preserve"> provide a </w:t>
      </w:r>
      <w:r w:rsidR="00AC5F3F">
        <w:t xml:space="preserve">summary of the reporting requirements that apply for various MoG scenarios </w:t>
      </w:r>
    </w:p>
    <w:p w:rsidR="00AC5F3F" w:rsidRPr="00F45B6F" w:rsidRDefault="0032634A" w:rsidP="00AC5F3F">
      <w:pPr>
        <w:pStyle w:val="Bullet1"/>
      </w:pPr>
      <w:hyperlink w:anchor="Appendix1" w:history="1">
        <w:r w:rsidR="00AC5F3F" w:rsidRPr="004131C2">
          <w:rPr>
            <w:rStyle w:val="Hyperlink"/>
            <w:i w:val="0"/>
          </w:rPr>
          <w:t>Appendix 1</w:t>
        </w:r>
      </w:hyperlink>
      <w:r w:rsidR="00AC5F3F" w:rsidRPr="003E6254">
        <w:rPr>
          <w:rStyle w:val="Hyperlink"/>
          <w:i w:val="0"/>
          <w:u w:val="none"/>
        </w:rPr>
        <w:t xml:space="preserve"> provides </w:t>
      </w:r>
      <w:r w:rsidR="00AC5F3F">
        <w:t xml:space="preserve">decision-trees to assist officials in identifying the relevant sections of the PGPA Rule that apply for their particular MoG circumstances. </w:t>
      </w:r>
    </w:p>
    <w:p w:rsidR="005E5CB9" w:rsidRPr="001F5228" w:rsidRDefault="001F5228" w:rsidP="00495656">
      <w:pPr>
        <w:pStyle w:val="Heading1"/>
        <w:shd w:val="clear" w:color="auto" w:fill="BDDCDF" w:themeFill="accent1"/>
      </w:pPr>
      <w:bookmarkStart w:id="36" w:name="_Toc42244999"/>
      <w:r>
        <w:t xml:space="preserve">Part 1 – </w:t>
      </w:r>
      <w:r w:rsidR="00E26A47">
        <w:t>Legislative framework for reporting</w:t>
      </w:r>
      <w:bookmarkEnd w:id="36"/>
    </w:p>
    <w:p w:rsidR="005C365F" w:rsidRDefault="00E57C95">
      <w:pPr>
        <w:pStyle w:val="NumberedList1"/>
      </w:pPr>
      <w:r>
        <w:t>T</w:t>
      </w:r>
      <w:r w:rsidR="00694DA2">
        <w:t xml:space="preserve">he </w:t>
      </w:r>
      <w:hyperlink r:id="rId26" w:history="1">
        <w:r w:rsidR="00611D96" w:rsidRPr="00E71B18">
          <w:rPr>
            <w:rStyle w:val="Hyperlink"/>
            <w:i w:val="0"/>
          </w:rPr>
          <w:t>PGPA Act</w:t>
        </w:r>
      </w:hyperlink>
      <w:r w:rsidR="00611D96" w:rsidRPr="00611D96">
        <w:rPr>
          <w:rStyle w:val="Hyperlink"/>
          <w:i w:val="0"/>
          <w:u w:val="none"/>
        </w:rPr>
        <w:t xml:space="preserve"> </w:t>
      </w:r>
      <w:r w:rsidRPr="00611D96">
        <w:t>requires</w:t>
      </w:r>
      <w:r>
        <w:t xml:space="preserve"> </w:t>
      </w:r>
      <w:r w:rsidR="00694DA2">
        <w:t>accountable authorities to produce</w:t>
      </w:r>
      <w:r w:rsidR="00D8719D">
        <w:t>, fo</w:t>
      </w:r>
      <w:r w:rsidR="00E64403">
        <w:t>r each reporting period:</w:t>
      </w:r>
    </w:p>
    <w:p w:rsidR="00E57C95" w:rsidRDefault="00303FFD" w:rsidP="00495656">
      <w:pPr>
        <w:pStyle w:val="Bullet1"/>
      </w:pPr>
      <w:r>
        <w:t>annual performance statements (</w:t>
      </w:r>
      <w:r w:rsidR="00E57C95">
        <w:t>section 39 of the PGPA Act</w:t>
      </w:r>
      <w:r>
        <w:t>)</w:t>
      </w:r>
    </w:p>
    <w:p w:rsidR="00E57C95" w:rsidRDefault="00303FFD" w:rsidP="00495656">
      <w:pPr>
        <w:pStyle w:val="Bullet1"/>
      </w:pPr>
      <w:r>
        <w:t>annual financial statements (</w:t>
      </w:r>
      <w:r w:rsidR="00E57C95">
        <w:t>section 42 of the PGPA Act</w:t>
      </w:r>
      <w:r>
        <w:t>)</w:t>
      </w:r>
    </w:p>
    <w:p w:rsidR="005C365F" w:rsidRDefault="00E57C95" w:rsidP="00495656">
      <w:pPr>
        <w:pStyle w:val="Bullet1"/>
      </w:pPr>
      <w:r>
        <w:lastRenderedPageBreak/>
        <w:t xml:space="preserve">an </w:t>
      </w:r>
      <w:r w:rsidR="00E84362">
        <w:t xml:space="preserve">annual </w:t>
      </w:r>
      <w:r>
        <w:t>report</w:t>
      </w:r>
      <w:r w:rsidR="00303FFD">
        <w:t xml:space="preserve"> (</w:t>
      </w:r>
      <w:r w:rsidR="00D8719D">
        <w:t>section 46 of the PGPA Act</w:t>
      </w:r>
      <w:r w:rsidR="00303FFD">
        <w:t>)</w:t>
      </w:r>
      <w:r w:rsidR="00B775E8">
        <w:t>.</w:t>
      </w:r>
    </w:p>
    <w:p w:rsidR="00E26A47" w:rsidRPr="003C1D69" w:rsidRDefault="00E26A47" w:rsidP="00E26A47">
      <w:pPr>
        <w:pStyle w:val="NumberedList1"/>
      </w:pPr>
      <w:r w:rsidRPr="003C1D69">
        <w:t xml:space="preserve">A MoG change occurs when the government decides to change the way Commonwealth responsibilities are managed. MoG changes may result from: </w:t>
      </w:r>
    </w:p>
    <w:p w:rsidR="00E26A47" w:rsidRPr="00BB2DA9" w:rsidRDefault="00E26A47" w:rsidP="00E26A47">
      <w:pPr>
        <w:pStyle w:val="Bullet1"/>
        <w:numPr>
          <w:ilvl w:val="1"/>
          <w:numId w:val="128"/>
        </w:numPr>
        <w:ind w:left="852"/>
      </w:pPr>
      <w:r w:rsidRPr="00BB2DA9">
        <w:t xml:space="preserve">a change to </w:t>
      </w:r>
      <w:r>
        <w:t xml:space="preserve">the </w:t>
      </w:r>
      <w:hyperlink r:id="rId27" w:history="1">
        <w:r w:rsidRPr="00611D96">
          <w:rPr>
            <w:rStyle w:val="Hyperlink"/>
            <w:i w:val="0"/>
          </w:rPr>
          <w:t>Administrative Arrangement Orders</w:t>
        </w:r>
      </w:hyperlink>
      <w:r>
        <w:t xml:space="preserve"> (</w:t>
      </w:r>
      <w:r w:rsidRPr="001D042C">
        <w:t>AAO</w:t>
      </w:r>
      <w:r w:rsidRPr="00495656">
        <w:rPr>
          <w:rStyle w:val="Hyperlink"/>
          <w:i w:val="0"/>
          <w:u w:val="none"/>
          <w:lang w:val="en"/>
        </w:rPr>
        <w:t>)</w:t>
      </w:r>
      <w:r>
        <w:rPr>
          <w:rStyle w:val="Hyperlink"/>
          <w:u w:val="none"/>
          <w:lang w:val="en"/>
        </w:rPr>
        <w:t xml:space="preserve">, </w:t>
      </w:r>
      <w:r w:rsidRPr="00611D96">
        <w:rPr>
          <w:rStyle w:val="Hyperlink"/>
          <w:i w:val="0"/>
          <w:u w:val="none"/>
          <w:lang w:val="en"/>
        </w:rPr>
        <w:t>which</w:t>
      </w:r>
      <w:r>
        <w:rPr>
          <w:rStyle w:val="Hyperlink"/>
          <w:u w:val="none"/>
          <w:lang w:val="en"/>
        </w:rPr>
        <w:t xml:space="preserve"> </w:t>
      </w:r>
      <w:r>
        <w:t>set</w:t>
      </w:r>
      <w:r w:rsidRPr="00221727">
        <w:t xml:space="preserve"> out</w:t>
      </w:r>
      <w:r>
        <w:t xml:space="preserve"> </w:t>
      </w:r>
      <w:r w:rsidRPr="00221727">
        <w:t xml:space="preserve">the matters dealt with by </w:t>
      </w:r>
      <w:r>
        <w:t xml:space="preserve">entities, and </w:t>
      </w:r>
      <w:r w:rsidRPr="00221727">
        <w:t>the legislation admi</w:t>
      </w:r>
      <w:r>
        <w:t>nistered by ministers of state</w:t>
      </w:r>
    </w:p>
    <w:p w:rsidR="00E26A47" w:rsidRDefault="00E26A47" w:rsidP="00E26A47">
      <w:pPr>
        <w:pStyle w:val="Bullet1"/>
        <w:numPr>
          <w:ilvl w:val="1"/>
          <w:numId w:val="128"/>
        </w:numPr>
        <w:ind w:left="852"/>
      </w:pPr>
      <w:r w:rsidRPr="00BB2DA9">
        <w:t>a decision of the Prime Minister or Cabinet</w:t>
      </w:r>
      <w:r>
        <w:t xml:space="preserve">, regarding a </w:t>
      </w:r>
      <w:r w:rsidRPr="00BB2DA9">
        <w:t>movement of responsibilitie</w:t>
      </w:r>
      <w:r>
        <w:t xml:space="preserve">s and functions between entities, </w:t>
      </w:r>
      <w:r w:rsidRPr="00BB2DA9">
        <w:t>wh</w:t>
      </w:r>
      <w:r>
        <w:t xml:space="preserve">ere the change is not a change to the </w:t>
      </w:r>
      <w:hyperlink r:id="rId28" w:history="1">
        <w:r w:rsidRPr="004131C2">
          <w:rPr>
            <w:rStyle w:val="Hyperlink"/>
            <w:i w:val="0"/>
          </w:rPr>
          <w:t>AAO</w:t>
        </w:r>
      </w:hyperlink>
      <w:r w:rsidRPr="00BB2DA9">
        <w:t>.</w:t>
      </w:r>
    </w:p>
    <w:p w:rsidR="00A3508A" w:rsidRDefault="00303FFD">
      <w:pPr>
        <w:pStyle w:val="NumberedList1"/>
      </w:pPr>
      <w:r w:rsidRPr="00303FFD">
        <w:t xml:space="preserve">Sections </w:t>
      </w:r>
      <w:r w:rsidR="00514FC6" w:rsidRPr="00304DEE">
        <w:t>17A</w:t>
      </w:r>
      <w:r w:rsidR="00514FC6">
        <w:t>–1</w:t>
      </w:r>
      <w:r w:rsidR="00144E90">
        <w:t>7J</w:t>
      </w:r>
      <w:r w:rsidR="00514FC6">
        <w:t xml:space="preserve"> </w:t>
      </w:r>
      <w:r w:rsidRPr="00303FFD">
        <w:t>of the PGPA Rule set out the special reporting requirement</w:t>
      </w:r>
      <w:r w:rsidR="00A3508A">
        <w:t>s that apply where an entity has</w:t>
      </w:r>
      <w:r w:rsidRPr="00303FFD">
        <w:t xml:space="preserve"> ceased to exist or functions have been transferred</w:t>
      </w:r>
      <w:r w:rsidR="001041B2">
        <w:t xml:space="preserve"> as a result of a MoG change</w:t>
      </w:r>
      <w:r w:rsidRPr="00303FFD">
        <w:t>.</w:t>
      </w:r>
      <w:r w:rsidR="00A3508A">
        <w:t xml:space="preserve"> </w:t>
      </w:r>
      <w:r w:rsidR="003E63DD">
        <w:t>The</w:t>
      </w:r>
      <w:r w:rsidR="00A3508A">
        <w:t>se</w:t>
      </w:r>
      <w:r w:rsidR="003E63DD">
        <w:t xml:space="preserve"> reporting arrangements are </w:t>
      </w:r>
      <w:r w:rsidR="00996879">
        <w:t>designed to ensure that</w:t>
      </w:r>
      <w:r w:rsidR="00A3508A">
        <w:t>:</w:t>
      </w:r>
    </w:p>
    <w:p w:rsidR="00A3508A" w:rsidRDefault="00996879" w:rsidP="00495656">
      <w:pPr>
        <w:pStyle w:val="Bullet1"/>
      </w:pPr>
      <w:r>
        <w:t>all accountability obligations are met following MoG changes</w:t>
      </w:r>
    </w:p>
    <w:p w:rsidR="00144E90" w:rsidRDefault="00996879" w:rsidP="00495656">
      <w:pPr>
        <w:pStyle w:val="Bullet1"/>
      </w:pPr>
      <w:r>
        <w:t>there is no duplication of</w:t>
      </w:r>
      <w:r w:rsidR="001041B2">
        <w:t xml:space="preserve"> reporting of operations </w:t>
      </w:r>
      <w:r>
        <w:t xml:space="preserve">impacted </w:t>
      </w:r>
      <w:r w:rsidR="001041B2">
        <w:t xml:space="preserve">by these changes, including </w:t>
      </w:r>
      <w:hyperlink w:anchor="_Key_management_personnel" w:history="1">
        <w:r w:rsidRPr="00A97A6F">
          <w:rPr>
            <w:rStyle w:val="Hyperlink"/>
            <w:i w:val="0"/>
          </w:rPr>
          <w:t>reporting</w:t>
        </w:r>
        <w:r w:rsidR="00B24946" w:rsidRPr="00A97A6F">
          <w:rPr>
            <w:rStyle w:val="Hyperlink"/>
            <w:i w:val="0"/>
          </w:rPr>
          <w:t xml:space="preserve"> relating </w:t>
        </w:r>
        <w:r w:rsidRPr="00A97A6F">
          <w:rPr>
            <w:rStyle w:val="Hyperlink"/>
            <w:i w:val="0"/>
          </w:rPr>
          <w:t xml:space="preserve">to </w:t>
        </w:r>
        <w:r w:rsidR="00E84362" w:rsidRPr="00A97A6F">
          <w:rPr>
            <w:rStyle w:val="Hyperlink"/>
            <w:i w:val="0"/>
          </w:rPr>
          <w:t>k</w:t>
        </w:r>
        <w:r w:rsidRPr="00A97A6F">
          <w:rPr>
            <w:rStyle w:val="Hyperlink"/>
            <w:i w:val="0"/>
          </w:rPr>
          <w:t xml:space="preserve">ey </w:t>
        </w:r>
        <w:r w:rsidR="00E84362" w:rsidRPr="00A97A6F">
          <w:rPr>
            <w:rStyle w:val="Hyperlink"/>
            <w:i w:val="0"/>
          </w:rPr>
          <w:t>m</w:t>
        </w:r>
        <w:r w:rsidRPr="00A97A6F">
          <w:rPr>
            <w:rStyle w:val="Hyperlink"/>
            <w:i w:val="0"/>
          </w:rPr>
          <w:t xml:space="preserve">anagement </w:t>
        </w:r>
        <w:r w:rsidR="00E84362" w:rsidRPr="00A97A6F">
          <w:rPr>
            <w:rStyle w:val="Hyperlink"/>
            <w:i w:val="0"/>
          </w:rPr>
          <w:t>p</w:t>
        </w:r>
        <w:r w:rsidRPr="00A97A6F">
          <w:rPr>
            <w:rStyle w:val="Hyperlink"/>
            <w:i w:val="0"/>
          </w:rPr>
          <w:t>ersonne</w:t>
        </w:r>
        <w:r w:rsidR="00E84362" w:rsidRPr="00A97A6F">
          <w:rPr>
            <w:rStyle w:val="Hyperlink"/>
            <w:i w:val="0"/>
          </w:rPr>
          <w:t>l</w:t>
        </w:r>
      </w:hyperlink>
      <w:r w:rsidR="00E84362">
        <w:t xml:space="preserve"> (KMP)</w:t>
      </w:r>
      <w:r>
        <w:t>.</w:t>
      </w:r>
    </w:p>
    <w:p w:rsidR="003E63DD" w:rsidRDefault="0019287B" w:rsidP="003E6254">
      <w:pPr>
        <w:pStyle w:val="NumberedList1"/>
      </w:pPr>
      <w:r>
        <w:t>Section 17K</w:t>
      </w:r>
      <w:r w:rsidR="00144E90" w:rsidRPr="003E6254">
        <w:t xml:space="preserve"> of the PGPA Rule </w:t>
      </w:r>
      <w:r w:rsidR="00144E90" w:rsidRPr="003E6254">
        <w:rPr>
          <w:rStyle w:val="IntenseEmphasis"/>
          <w:b w:val="0"/>
          <w:i w:val="0"/>
          <w:iCs w:val="0"/>
        </w:rPr>
        <w:t>provides for</w:t>
      </w:r>
      <w:r w:rsidR="00144E90" w:rsidRPr="00495656">
        <w:rPr>
          <w:rStyle w:val="IntenseEmphasis"/>
          <w:b w:val="0"/>
          <w:i w:val="0"/>
          <w:iCs w:val="0"/>
        </w:rPr>
        <w:t xml:space="preserve"> the </w:t>
      </w:r>
      <w:r w:rsidR="00144E90">
        <w:rPr>
          <w:rStyle w:val="IntenseEmphasis"/>
          <w:b w:val="0"/>
          <w:i w:val="0"/>
          <w:iCs w:val="0"/>
        </w:rPr>
        <w:t>Minister for Finance (</w:t>
      </w:r>
      <w:r w:rsidR="00144E90" w:rsidRPr="00495656">
        <w:rPr>
          <w:rStyle w:val="IntenseEmphasis"/>
          <w:b w:val="0"/>
          <w:i w:val="0"/>
          <w:iCs w:val="0"/>
        </w:rPr>
        <w:t>Fina</w:t>
      </w:r>
      <w:r w:rsidR="00144E90" w:rsidRPr="003E6254">
        <w:rPr>
          <w:rStyle w:val="IntenseEmphasis"/>
          <w:b w:val="0"/>
          <w:i w:val="0"/>
          <w:iCs w:val="0"/>
        </w:rPr>
        <w:t>nce Minister</w:t>
      </w:r>
      <w:r w:rsidR="00144E90">
        <w:rPr>
          <w:rStyle w:val="IntenseEmphasis"/>
          <w:b w:val="0"/>
          <w:i w:val="0"/>
          <w:iCs w:val="0"/>
        </w:rPr>
        <w:t>)</w:t>
      </w:r>
      <w:r w:rsidR="00144E90" w:rsidRPr="003E6254">
        <w:rPr>
          <w:rStyle w:val="IntenseEmphasis"/>
          <w:b w:val="0"/>
          <w:i w:val="0"/>
          <w:iCs w:val="0"/>
        </w:rPr>
        <w:t xml:space="preserve"> to determine that</w:t>
      </w:r>
      <w:r w:rsidR="001041B2">
        <w:rPr>
          <w:rStyle w:val="IntenseEmphasis"/>
          <w:b w:val="0"/>
          <w:i w:val="0"/>
          <w:iCs w:val="0"/>
        </w:rPr>
        <w:t xml:space="preserve"> </w:t>
      </w:r>
      <w:r w:rsidR="00144E90" w:rsidRPr="00495656">
        <w:rPr>
          <w:rStyle w:val="IntenseEmphasis"/>
          <w:b w:val="0"/>
          <w:i w:val="0"/>
          <w:iCs w:val="0"/>
        </w:rPr>
        <w:t>a transfer of</w:t>
      </w:r>
      <w:r w:rsidR="00611E92" w:rsidRPr="00611E92">
        <w:rPr>
          <w:rStyle w:val="IntenseEmphasis"/>
          <w:b w:val="0"/>
          <w:i w:val="0"/>
          <w:iCs w:val="0"/>
        </w:rPr>
        <w:t xml:space="preserve"> functions between </w:t>
      </w:r>
      <w:r w:rsidR="00144E90" w:rsidRPr="00495656">
        <w:rPr>
          <w:rStyle w:val="IntenseEmphasis"/>
          <w:b w:val="0"/>
          <w:i w:val="0"/>
          <w:iCs w:val="0"/>
        </w:rPr>
        <w:t xml:space="preserve">entities is to be taken </w:t>
      </w:r>
      <w:r w:rsidR="001041B2">
        <w:rPr>
          <w:rStyle w:val="IntenseEmphasis"/>
          <w:b w:val="0"/>
          <w:i w:val="0"/>
          <w:iCs w:val="0"/>
        </w:rPr>
        <w:t xml:space="preserve">as </w:t>
      </w:r>
      <w:r w:rsidR="00144E90" w:rsidRPr="00495656">
        <w:rPr>
          <w:rStyle w:val="IntenseEmphasis"/>
          <w:b w:val="0"/>
          <w:i w:val="0"/>
          <w:iCs w:val="0"/>
        </w:rPr>
        <w:t>not to have occurred</w:t>
      </w:r>
      <w:r w:rsidR="001041B2" w:rsidRPr="003E6254">
        <w:rPr>
          <w:rStyle w:val="IntenseEmphasis"/>
          <w:b w:val="0"/>
          <w:i w:val="0"/>
          <w:iCs w:val="0"/>
        </w:rPr>
        <w:t xml:space="preserve"> for annual reporting</w:t>
      </w:r>
      <w:r w:rsidR="001041B2">
        <w:rPr>
          <w:rStyle w:val="IntenseEmphasis"/>
          <w:b w:val="0"/>
          <w:i w:val="0"/>
          <w:iCs w:val="0"/>
        </w:rPr>
        <w:t xml:space="preserve"> purposes</w:t>
      </w:r>
      <w:r w:rsidR="00144E90" w:rsidRPr="00495656">
        <w:rPr>
          <w:rStyle w:val="IntenseEmphasis"/>
          <w:b w:val="0"/>
          <w:i w:val="0"/>
          <w:iCs w:val="0"/>
        </w:rPr>
        <w:t>.</w:t>
      </w:r>
    </w:p>
    <w:p w:rsidR="00A3508A" w:rsidRPr="001566A5" w:rsidRDefault="003C1CCC" w:rsidP="00495656">
      <w:pPr>
        <w:pStyle w:val="NumberedList1"/>
      </w:pPr>
      <w:r w:rsidRPr="001566A5">
        <w:t>Should a situation arise</w:t>
      </w:r>
      <w:r w:rsidR="001041B2">
        <w:t>,</w:t>
      </w:r>
      <w:r w:rsidRPr="001566A5">
        <w:t xml:space="preserve"> as a result of a MoG change</w:t>
      </w:r>
      <w:r w:rsidR="001041B2">
        <w:t>,</w:t>
      </w:r>
      <w:r w:rsidRPr="001566A5">
        <w:t xml:space="preserve"> that does not comfortably fit into </w:t>
      </w:r>
      <w:r w:rsidR="0037058C" w:rsidRPr="001566A5">
        <w:t xml:space="preserve">any of </w:t>
      </w:r>
      <w:r w:rsidRPr="001566A5">
        <w:t xml:space="preserve">the scenarios </w:t>
      </w:r>
      <w:r w:rsidR="00144E90">
        <w:t xml:space="preserve">addressed </w:t>
      </w:r>
      <w:r w:rsidR="00CE2641" w:rsidRPr="001566A5">
        <w:t>at</w:t>
      </w:r>
      <w:r w:rsidRPr="001566A5">
        <w:t xml:space="preserve"> sections </w:t>
      </w:r>
      <w:r w:rsidR="00514FC6" w:rsidRPr="00304DEE">
        <w:t>17A</w:t>
      </w:r>
      <w:r w:rsidR="00514FC6">
        <w:t>–1</w:t>
      </w:r>
      <w:r w:rsidR="00514FC6" w:rsidRPr="00304DEE">
        <w:t>7K</w:t>
      </w:r>
      <w:r w:rsidR="00514FC6">
        <w:t xml:space="preserve"> </w:t>
      </w:r>
      <w:r w:rsidR="00A36661" w:rsidRPr="001566A5">
        <w:t xml:space="preserve">of the PGPA Rule, </w:t>
      </w:r>
      <w:r w:rsidR="0061621D" w:rsidRPr="001566A5">
        <w:t xml:space="preserve">the affected entities </w:t>
      </w:r>
      <w:r w:rsidRPr="001566A5">
        <w:t xml:space="preserve">should </w:t>
      </w:r>
      <w:r w:rsidR="0061621D" w:rsidRPr="001566A5">
        <w:t xml:space="preserve">contact </w:t>
      </w:r>
      <w:r w:rsidRPr="001566A5">
        <w:t>Finance</w:t>
      </w:r>
      <w:r w:rsidR="00144E90">
        <w:t xml:space="preserve"> </w:t>
      </w:r>
      <w:hyperlink r:id="rId29" w:history="1">
        <w:r w:rsidR="00144E90" w:rsidRPr="004131C2">
          <w:rPr>
            <w:rStyle w:val="Hyperlink"/>
            <w:i w:val="0"/>
          </w:rPr>
          <w:t>PGPA</w:t>
        </w:r>
        <w:r w:rsidR="00144E90" w:rsidRPr="003C1D69">
          <w:rPr>
            <w:rStyle w:val="Hyperlink"/>
            <w:i w:val="0"/>
          </w:rPr>
          <w:t xml:space="preserve"> team</w:t>
        </w:r>
      </w:hyperlink>
      <w:r w:rsidR="00144E90" w:rsidRPr="00495656">
        <w:t>.</w:t>
      </w:r>
    </w:p>
    <w:p w:rsidR="00144E90" w:rsidRDefault="00144E90" w:rsidP="00495656">
      <w:pPr>
        <w:pStyle w:val="Boxed2Heading"/>
        <w:pBdr>
          <w:top w:val="single" w:sz="4" w:space="14" w:color="B4B5DF"/>
          <w:left w:val="single" w:sz="4" w:space="14" w:color="B4B5DF"/>
          <w:bottom w:val="single" w:sz="4" w:space="14" w:color="B4B5DF"/>
          <w:right w:val="single" w:sz="4" w:space="14" w:color="B4B5DF"/>
        </w:pBdr>
        <w:shd w:val="clear" w:color="auto" w:fill="B4B5DF"/>
      </w:pPr>
      <w:r>
        <w:t>E</w:t>
      </w:r>
      <w:r w:rsidR="00A55684">
        <w:t>xample</w:t>
      </w:r>
      <w:r w:rsidR="00E21458">
        <w:t xml:space="preserve"> 1: </w:t>
      </w:r>
      <w:r>
        <w:t>MoG scenario where</w:t>
      </w:r>
      <w:r w:rsidR="004E26DA">
        <w:t xml:space="preserve"> an</w:t>
      </w:r>
      <w:r>
        <w:t xml:space="preserve"> entity should contact Finance</w:t>
      </w:r>
      <w:r w:rsidR="00A55684">
        <w:t xml:space="preserve"> </w:t>
      </w:r>
    </w:p>
    <w:p w:rsidR="003C1CCC" w:rsidRDefault="00144E90" w:rsidP="00495656">
      <w:pPr>
        <w:pStyle w:val="Boxed2Text"/>
        <w:pBdr>
          <w:top w:val="single" w:sz="4" w:space="14" w:color="B4B5DF"/>
          <w:left w:val="single" w:sz="4" w:space="14" w:color="B4B5DF"/>
          <w:bottom w:val="single" w:sz="4" w:space="14" w:color="B4B5DF"/>
          <w:right w:val="single" w:sz="4" w:space="14" w:color="B4B5DF"/>
        </w:pBdr>
        <w:shd w:val="clear" w:color="auto" w:fill="B4B5DF"/>
      </w:pPr>
      <w:r>
        <w:t>I</w:t>
      </w:r>
      <w:r w:rsidR="000755A1">
        <w:t xml:space="preserve">f the governance structure </w:t>
      </w:r>
      <w:r w:rsidR="008F0C59">
        <w:t xml:space="preserve">or the name </w:t>
      </w:r>
      <w:r w:rsidR="000755A1">
        <w:t>of</w:t>
      </w:r>
      <w:r>
        <w:t xml:space="preserve"> a</w:t>
      </w:r>
      <w:r w:rsidR="00611E92">
        <w:t>n</w:t>
      </w:r>
      <w:r>
        <w:t xml:space="preserve"> </w:t>
      </w:r>
      <w:r w:rsidR="000755A1">
        <w:t xml:space="preserve">entity </w:t>
      </w:r>
      <w:r>
        <w:t>is</w:t>
      </w:r>
      <w:r w:rsidR="000755A1">
        <w:t xml:space="preserve"> changed </w:t>
      </w:r>
      <w:r w:rsidR="006516E5">
        <w:t xml:space="preserve">as a result of a MoG change, </w:t>
      </w:r>
      <w:r w:rsidR="000755A1">
        <w:t xml:space="preserve">but </w:t>
      </w:r>
      <w:r w:rsidR="00A36661">
        <w:t xml:space="preserve">its functions remain </w:t>
      </w:r>
      <w:r w:rsidR="00CE2641">
        <w:t xml:space="preserve">unchanged, </w:t>
      </w:r>
      <w:r w:rsidR="00A36661">
        <w:t>the entity</w:t>
      </w:r>
      <w:r w:rsidR="008F0C59">
        <w:t xml:space="preserve"> </w:t>
      </w:r>
      <w:r w:rsidR="0037058C">
        <w:t>should discuss</w:t>
      </w:r>
      <w:r w:rsidR="008F0C59">
        <w:t xml:space="preserve"> </w:t>
      </w:r>
      <w:r w:rsidR="00CE2641">
        <w:t xml:space="preserve">the appropriate reporting arrangements with </w:t>
      </w:r>
      <w:r w:rsidR="008F0C59">
        <w:t xml:space="preserve">Finance </w:t>
      </w:r>
      <w:r w:rsidR="00CE2641">
        <w:t>in the first instance.</w:t>
      </w:r>
    </w:p>
    <w:p w:rsidR="00B34C37" w:rsidRPr="003C1D69" w:rsidRDefault="00FE235E" w:rsidP="00495656">
      <w:pPr>
        <w:pStyle w:val="NumberedList1"/>
      </w:pPr>
      <w:r w:rsidRPr="003C1D69">
        <w:t xml:space="preserve">There is a need for the </w:t>
      </w:r>
      <w:r w:rsidR="0058436C" w:rsidRPr="003C1D69">
        <w:t>p</w:t>
      </w:r>
      <w:r w:rsidRPr="003C1D69">
        <w:t xml:space="preserve">arliament to be informed about the financial and non-financial performance of the old entity in relation to the functions performed up until the entity ceased to exist. Therefore, while the PGPA Rule provides discretion to the </w:t>
      </w:r>
      <w:r w:rsidR="001041B2">
        <w:t>Finance </w:t>
      </w:r>
      <w:r w:rsidR="00144E90">
        <w:t>Minister</w:t>
      </w:r>
      <w:r w:rsidR="003E2640" w:rsidRPr="003C1D69">
        <w:t xml:space="preserve"> </w:t>
      </w:r>
      <w:r w:rsidRPr="003C1D69">
        <w:t>to nominate an accountable authority</w:t>
      </w:r>
      <w:r w:rsidR="000879AE">
        <w:t xml:space="preserve"> of an entity</w:t>
      </w:r>
      <w:r w:rsidRPr="003C1D69">
        <w:t>, it would ordinarily be expected that the Finance Minister would nominate an accountable authority to prepare the necessary reports and information for the old entity.</w:t>
      </w:r>
    </w:p>
    <w:p w:rsidR="00AC5F3F" w:rsidRDefault="00AC5F3F" w:rsidP="00AC5F3F">
      <w:pPr>
        <w:pStyle w:val="NumberedList1"/>
      </w:pPr>
      <w:r w:rsidRPr="00057B8B">
        <w:t xml:space="preserve">The implementation of MoG changes necessarily involves consultation between impacted entities and Finance. Where these consultations identify the need for the Finance Minister to make a nomination, Finance will work with relevant entities to request </w:t>
      </w:r>
      <w:r w:rsidR="004E65FA">
        <w:t xml:space="preserve">that </w:t>
      </w:r>
      <w:r w:rsidRPr="00057B8B">
        <w:t>the Finance Minister, or delegate, make the required nomination.</w:t>
      </w:r>
    </w:p>
    <w:p w:rsidR="002D4528" w:rsidRDefault="00A149C3">
      <w:pPr>
        <w:pStyle w:val="NumberedList1"/>
      </w:pPr>
      <w:r>
        <w:t>For</w:t>
      </w:r>
      <w:r w:rsidR="00D8719D">
        <w:t xml:space="preserve"> more information on these</w:t>
      </w:r>
      <w:r>
        <w:t xml:space="preserve"> requirements</w:t>
      </w:r>
      <w:r w:rsidR="001041B2">
        <w:t>,</w:t>
      </w:r>
      <w:r w:rsidR="00D8719D">
        <w:t xml:space="preserve"> or </w:t>
      </w:r>
      <w:r>
        <w:t xml:space="preserve">the process of seeking a determination or nomination, please </w:t>
      </w:r>
      <w:r w:rsidR="001F5228">
        <w:t>email</w:t>
      </w:r>
      <w:r w:rsidR="00A71530">
        <w:t xml:space="preserve"> Finance</w:t>
      </w:r>
      <w:r w:rsidR="001F5228">
        <w:t xml:space="preserve"> </w:t>
      </w:r>
      <w:hyperlink r:id="rId30" w:history="1">
        <w:r w:rsidR="001F5228" w:rsidRPr="00495656">
          <w:rPr>
            <w:rStyle w:val="Hyperlink"/>
            <w:i w:val="0"/>
          </w:rPr>
          <w:t>PGPA</w:t>
        </w:r>
        <w:r w:rsidR="00A71530" w:rsidRPr="003C1D69">
          <w:rPr>
            <w:rStyle w:val="Hyperlink"/>
            <w:i w:val="0"/>
          </w:rPr>
          <w:t xml:space="preserve"> team</w:t>
        </w:r>
      </w:hyperlink>
      <w:r w:rsidR="001F5228" w:rsidRPr="00A71530">
        <w:t xml:space="preserve">. </w:t>
      </w:r>
    </w:p>
    <w:p w:rsidR="002D4528" w:rsidRPr="001F5228" w:rsidRDefault="001F5228" w:rsidP="00495656">
      <w:pPr>
        <w:pStyle w:val="Heading1"/>
        <w:shd w:val="clear" w:color="auto" w:fill="BDDCDF" w:themeFill="accent1"/>
      </w:pPr>
      <w:bookmarkStart w:id="37" w:name="_Toc42245000"/>
      <w:r>
        <w:lastRenderedPageBreak/>
        <w:t xml:space="preserve">Part 2 – </w:t>
      </w:r>
      <w:r w:rsidR="002D4528" w:rsidRPr="001F5228">
        <w:t>Presentation requirements</w:t>
      </w:r>
      <w:bookmarkEnd w:id="37"/>
    </w:p>
    <w:p w:rsidR="007817C6" w:rsidRDefault="00366225" w:rsidP="003E6254">
      <w:pPr>
        <w:pStyle w:val="NumberedList1"/>
      </w:pPr>
      <w:r>
        <w:t xml:space="preserve">For </w:t>
      </w:r>
      <w:r w:rsidR="004D1D5F" w:rsidRPr="00304DEE">
        <w:t xml:space="preserve">the </w:t>
      </w:r>
      <w:r>
        <w:t xml:space="preserve">differing </w:t>
      </w:r>
      <w:r w:rsidR="004D1D5F" w:rsidRPr="00304DEE">
        <w:t>scenarios a</w:t>
      </w:r>
      <w:r>
        <w:t>ddressed</w:t>
      </w:r>
      <w:r w:rsidR="004D1D5F" w:rsidRPr="00304DEE">
        <w:t xml:space="preserve"> in sections 17A</w:t>
      </w:r>
      <w:r w:rsidR="007817C6">
        <w:t>–1</w:t>
      </w:r>
      <w:r w:rsidR="004D1D5F" w:rsidRPr="00304DEE">
        <w:t>7K</w:t>
      </w:r>
      <w:r w:rsidR="00304DEE">
        <w:t xml:space="preserve"> </w:t>
      </w:r>
      <w:r>
        <w:t>of the PGPA Rule</w:t>
      </w:r>
      <w:r w:rsidR="004D1D5F" w:rsidRPr="00304DEE">
        <w:t>, different presentation requirements apply.</w:t>
      </w:r>
      <w:r>
        <w:t xml:space="preserve"> </w:t>
      </w:r>
      <w:r w:rsidR="004D1D5F" w:rsidRPr="00A75844">
        <w:t>Generally speaking</w:t>
      </w:r>
      <w:r w:rsidR="007817C6">
        <w:t>:</w:t>
      </w:r>
    </w:p>
    <w:p w:rsidR="00366225" w:rsidRDefault="007817C6" w:rsidP="00495656">
      <w:pPr>
        <w:pStyle w:val="Bullet1"/>
      </w:pPr>
      <w:r w:rsidRPr="00A75844">
        <w:t xml:space="preserve">under </w:t>
      </w:r>
      <w:r>
        <w:t>sections 17B</w:t>
      </w:r>
      <w:r w:rsidR="0019287B">
        <w:t>–17G</w:t>
      </w:r>
      <w:r w:rsidR="00BC5E8A">
        <w:t xml:space="preserve"> of the PGPA Rule</w:t>
      </w:r>
      <w:r w:rsidRPr="00A75844">
        <w:t>, separate annual performance statements, annual financial statements and a separate annual report must be prepared for the old entity</w:t>
      </w:r>
      <w:r w:rsidR="00514FC6">
        <w:t xml:space="preserve"> to report</w:t>
      </w:r>
      <w:r w:rsidRPr="00A75844">
        <w:t xml:space="preserve"> on the non-transferred functions</w:t>
      </w:r>
      <w:r w:rsidR="00BC5E8A">
        <w:t xml:space="preserve"> (t</w:t>
      </w:r>
      <w:r w:rsidR="005C491D">
        <w:t xml:space="preserve">he </w:t>
      </w:r>
      <w:r w:rsidRPr="00A75844">
        <w:t>accountable authority</w:t>
      </w:r>
      <w:r w:rsidR="005C491D">
        <w:t xml:space="preserve"> of the nominated entity</w:t>
      </w:r>
      <w:r w:rsidRPr="00A75844">
        <w:t xml:space="preserve"> has discretion in how these state</w:t>
      </w:r>
      <w:r>
        <w:t>ments and reports are presented</w:t>
      </w:r>
      <w:r w:rsidR="00BC5E8A">
        <w:t>)</w:t>
      </w:r>
    </w:p>
    <w:p w:rsidR="00514FC6" w:rsidRPr="00BC5E8A" w:rsidRDefault="0019287B" w:rsidP="00BC5E8A">
      <w:pPr>
        <w:pStyle w:val="Bullet1"/>
      </w:pPr>
      <w:r w:rsidRPr="00BC5E8A">
        <w:t xml:space="preserve">under </w:t>
      </w:r>
      <w:hyperlink w:anchor="Section17J" w:history="1">
        <w:r w:rsidRPr="00BC5E8A">
          <w:rPr>
            <w:rStyle w:val="Hyperlink"/>
            <w:i w:val="0"/>
          </w:rPr>
          <w:t>section 17J</w:t>
        </w:r>
        <w:r w:rsidR="00BC5E8A" w:rsidRPr="00BC5E8A">
          <w:rPr>
            <w:rStyle w:val="Hyperlink"/>
            <w:i w:val="0"/>
          </w:rPr>
          <w:t xml:space="preserve"> of the PGPA Rule</w:t>
        </w:r>
      </w:hyperlink>
      <w:r w:rsidR="00BC5E8A" w:rsidRPr="00BC5E8A">
        <w:rPr>
          <w:rStyle w:val="Hyperlink"/>
          <w:i w:val="0"/>
          <w:u w:val="none"/>
        </w:rPr>
        <w:t>,</w:t>
      </w:r>
      <w:r w:rsidRPr="00BC5E8A">
        <w:rPr>
          <w:rStyle w:val="Hyperlink"/>
          <w:i w:val="0"/>
          <w:u w:val="none"/>
        </w:rPr>
        <w:t xml:space="preserve"> </w:t>
      </w:r>
      <w:r w:rsidR="00514FC6" w:rsidRPr="00BC5E8A">
        <w:rPr>
          <w:rStyle w:val="Hyperlink"/>
          <w:i w:val="0"/>
          <w:u w:val="none"/>
        </w:rPr>
        <w:t>reporting requirements</w:t>
      </w:r>
      <w:r w:rsidR="00514FC6" w:rsidRPr="00BC5E8A">
        <w:t xml:space="preserve"> vary</w:t>
      </w:r>
      <w:r w:rsidR="007817C6" w:rsidRPr="00BC5E8A">
        <w:t xml:space="preserve"> according to the type of </w:t>
      </w:r>
      <w:r w:rsidR="00514FC6" w:rsidRPr="00BC5E8A">
        <w:t xml:space="preserve">reporting </w:t>
      </w:r>
      <w:r w:rsidR="007817C6" w:rsidRPr="00BC5E8A">
        <w:t>document and the situation.</w:t>
      </w:r>
      <w:r w:rsidR="00514FC6" w:rsidRPr="00BC5E8A">
        <w:t xml:space="preserve"> Entities should check the relevant presentation requirements applicable to their circumstances.</w:t>
      </w:r>
    </w:p>
    <w:p w:rsidR="00A83F7D" w:rsidRDefault="00A83F7D" w:rsidP="00A83F7D">
      <w:pPr>
        <w:pStyle w:val="NumberedList1"/>
      </w:pPr>
      <w:bookmarkStart w:id="38" w:name="Tables123"/>
      <w:r>
        <w:t xml:space="preserve">The following tables: </w:t>
      </w:r>
    </w:p>
    <w:p w:rsidR="00A83F7D" w:rsidRDefault="00A83F7D" w:rsidP="00A83F7D">
      <w:pPr>
        <w:pStyle w:val="Bullet1"/>
      </w:pPr>
      <w:r>
        <w:t xml:space="preserve">show the </w:t>
      </w:r>
      <w:r w:rsidR="004E65FA">
        <w:t>preparation</w:t>
      </w:r>
      <w:r>
        <w:t xml:space="preserve"> requirements that apply for various MoG scenarios</w:t>
      </w:r>
    </w:p>
    <w:p w:rsidR="00A83F7D" w:rsidRDefault="00A83F7D" w:rsidP="00A83F7D">
      <w:pPr>
        <w:pStyle w:val="Bullet1"/>
      </w:pPr>
      <w:r>
        <w:t>intentionally exclude information for sections 17A, 1</w:t>
      </w:r>
      <w:r w:rsidRPr="005D7EA6">
        <w:t>7E</w:t>
      </w:r>
      <w:r>
        <w:t xml:space="preserve"> and 17H of the PGPA Rule (</w:t>
      </w:r>
      <w:r w:rsidRPr="00984DD1">
        <w:t xml:space="preserve">these are </w:t>
      </w:r>
      <w:r>
        <w:t xml:space="preserve">sections are </w:t>
      </w:r>
      <w:r w:rsidRPr="00984DD1">
        <w:t>guides to subdivision</w:t>
      </w:r>
      <w:r>
        <w:t>s A,B and C)</w:t>
      </w:r>
    </w:p>
    <w:p w:rsidR="00A83F7D" w:rsidRPr="00304DEE" w:rsidRDefault="00A83F7D" w:rsidP="00A83F7D">
      <w:pPr>
        <w:pStyle w:val="Bullet1"/>
      </w:pPr>
      <w:r>
        <w:t xml:space="preserve">provide links from the section reference number to </w:t>
      </w:r>
      <w:r w:rsidRPr="00984DD1">
        <w:t>related information in this RMG.</w:t>
      </w:r>
    </w:p>
    <w:p w:rsidR="00F259C4" w:rsidRPr="00495656" w:rsidRDefault="004716C0" w:rsidP="0096540F">
      <w:pPr>
        <w:pStyle w:val="NumberedList1"/>
        <w:numPr>
          <w:ilvl w:val="0"/>
          <w:numId w:val="0"/>
        </w:numPr>
        <w:spacing w:after="120"/>
        <w:rPr>
          <w:rStyle w:val="Strong"/>
          <w:sz w:val="18"/>
          <w:szCs w:val="18"/>
        </w:rPr>
      </w:pPr>
      <w:bookmarkStart w:id="39" w:name="Table1"/>
      <w:bookmarkEnd w:id="38"/>
      <w:r w:rsidRPr="00FF1139">
        <w:rPr>
          <w:rStyle w:val="Strong"/>
          <w:color w:val="43848B" w:themeColor="accent1" w:themeShade="80"/>
          <w:sz w:val="18"/>
          <w:szCs w:val="18"/>
        </w:rPr>
        <w:t xml:space="preserve">Table 1: </w:t>
      </w:r>
      <w:r w:rsidR="00F259C4" w:rsidRPr="00FF1139">
        <w:rPr>
          <w:rStyle w:val="Strong"/>
          <w:color w:val="43848B" w:themeColor="accent1" w:themeShade="80"/>
          <w:sz w:val="18"/>
          <w:szCs w:val="18"/>
        </w:rPr>
        <w:t>Reporting on non-transferred functions</w:t>
      </w:r>
      <w:r w:rsidR="0096540F">
        <w:rPr>
          <w:rStyle w:val="Strong"/>
          <w:color w:val="43848B" w:themeColor="accent1" w:themeShade="80"/>
          <w:sz w:val="18"/>
          <w:szCs w:val="18"/>
        </w:rPr>
        <w:t xml:space="preserve"> (</w:t>
      </w:r>
      <w:r w:rsidR="00CF38A8" w:rsidRPr="00FF1139">
        <w:rPr>
          <w:rStyle w:val="Strong"/>
          <w:color w:val="43848B" w:themeColor="accent1" w:themeShade="80"/>
          <w:sz w:val="18"/>
          <w:szCs w:val="18"/>
        </w:rPr>
        <w:t>S</w:t>
      </w:r>
      <w:r w:rsidR="00F259C4" w:rsidRPr="00FF1139">
        <w:rPr>
          <w:rStyle w:val="Strong"/>
          <w:color w:val="43848B" w:themeColor="accent1" w:themeShade="80"/>
          <w:sz w:val="18"/>
          <w:szCs w:val="18"/>
        </w:rPr>
        <w:t>ubdivision</w:t>
      </w:r>
      <w:r w:rsidR="00B4793C" w:rsidRPr="00FF1139">
        <w:rPr>
          <w:rStyle w:val="Strong"/>
          <w:color w:val="43848B" w:themeColor="accent1" w:themeShade="80"/>
          <w:sz w:val="18"/>
          <w:szCs w:val="18"/>
        </w:rPr>
        <w:t>s</w:t>
      </w:r>
      <w:r w:rsidR="00F259C4" w:rsidRPr="00FF1139">
        <w:rPr>
          <w:rStyle w:val="Strong"/>
          <w:color w:val="43848B" w:themeColor="accent1" w:themeShade="80"/>
          <w:sz w:val="18"/>
          <w:szCs w:val="18"/>
        </w:rPr>
        <w:t xml:space="preserve"> A</w:t>
      </w:r>
      <w:r w:rsidR="00B4793C" w:rsidRPr="00FF1139">
        <w:rPr>
          <w:rStyle w:val="Strong"/>
          <w:color w:val="43848B" w:themeColor="accent1" w:themeShade="80"/>
          <w:sz w:val="18"/>
          <w:szCs w:val="18"/>
        </w:rPr>
        <w:t xml:space="preserve"> and B</w:t>
      </w:r>
      <w:r w:rsidR="00CF38A8" w:rsidRPr="00FF1139">
        <w:rPr>
          <w:rStyle w:val="Strong"/>
          <w:color w:val="43848B" w:themeColor="accent1" w:themeShade="80"/>
          <w:sz w:val="18"/>
          <w:szCs w:val="18"/>
        </w:rPr>
        <w:t>)</w:t>
      </w:r>
    </w:p>
    <w:tbl>
      <w:tblPr>
        <w:tblStyle w:val="ListTable3-Accent1"/>
        <w:tblW w:w="9067" w:type="dxa"/>
        <w:tblBorders>
          <w:insideH w:val="single" w:sz="4" w:space="0" w:color="D3E7E7" w:themeColor="accent2" w:themeTint="66"/>
          <w:insideV w:val="single" w:sz="4" w:space="0" w:color="D3E7E7" w:themeColor="accent2" w:themeTint="66"/>
        </w:tblBorders>
        <w:tblLook w:val="04A0" w:firstRow="1" w:lastRow="0" w:firstColumn="1" w:lastColumn="0" w:noHBand="0" w:noVBand="1"/>
        <w:tblCaption w:val="Table 1: Reporting on non-transferred functions (Subdivisions A and B)"/>
        <w:tblDescription w:val="This tables details the varying requirements for presenting annual performance statements, annual financial statements and annual reports, according to the nature and extent of the machinery of government change."/>
      </w:tblPr>
      <w:tblGrid>
        <w:gridCol w:w="1124"/>
        <w:gridCol w:w="1372"/>
        <w:gridCol w:w="1288"/>
        <w:gridCol w:w="1225"/>
        <w:gridCol w:w="1479"/>
        <w:gridCol w:w="2579"/>
      </w:tblGrid>
      <w:tr w:rsidR="00167B5E" w:rsidTr="00167B5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29" w:type="dxa"/>
          </w:tcPr>
          <w:bookmarkEnd w:id="39"/>
          <w:p w:rsidR="00F259C4" w:rsidRPr="00364E74" w:rsidRDefault="007C7FB6" w:rsidP="00364E74">
            <w:pPr>
              <w:pStyle w:val="Tablecolumnheading"/>
              <w:rPr>
                <w:b/>
              </w:rPr>
            </w:pPr>
            <w:r w:rsidRPr="00364E74">
              <w:rPr>
                <w:b/>
              </w:rPr>
              <w:t>PGPA Rule Section</w:t>
            </w:r>
          </w:p>
        </w:tc>
        <w:tc>
          <w:tcPr>
            <w:tcW w:w="1373" w:type="dxa"/>
          </w:tcPr>
          <w:p w:rsidR="00F259C4" w:rsidRPr="00364E74" w:rsidRDefault="00F259C4" w:rsidP="00364E74">
            <w:pPr>
              <w:pStyle w:val="Tablecolumnheading"/>
              <w:cnfStyle w:val="100000000000" w:firstRow="1" w:lastRow="0" w:firstColumn="0" w:lastColumn="0" w:oddVBand="0" w:evenVBand="0" w:oddHBand="0" w:evenHBand="0" w:firstRowFirstColumn="0" w:firstRowLastColumn="0" w:lastRowFirstColumn="0" w:lastRowLastColumn="0"/>
              <w:rPr>
                <w:b/>
              </w:rPr>
            </w:pPr>
            <w:r w:rsidRPr="00364E74">
              <w:rPr>
                <w:b/>
              </w:rPr>
              <w:t>Functions transferred</w:t>
            </w:r>
          </w:p>
        </w:tc>
        <w:tc>
          <w:tcPr>
            <w:tcW w:w="1179" w:type="dxa"/>
          </w:tcPr>
          <w:p w:rsidR="00F259C4" w:rsidRPr="00364E74" w:rsidRDefault="00F259C4" w:rsidP="00364E74">
            <w:pPr>
              <w:pStyle w:val="Tablecolumnheading"/>
              <w:cnfStyle w:val="100000000000" w:firstRow="1" w:lastRow="0" w:firstColumn="0" w:lastColumn="0" w:oddVBand="0" w:evenVBand="0" w:oddHBand="0" w:evenHBand="0" w:firstRowFirstColumn="0" w:firstRowLastColumn="0" w:lastRowFirstColumn="0" w:lastRowLastColumn="0"/>
              <w:rPr>
                <w:b/>
              </w:rPr>
            </w:pPr>
            <w:r w:rsidRPr="00364E74">
              <w:rPr>
                <w:b/>
              </w:rPr>
              <w:t>Additional criteria</w:t>
            </w:r>
          </w:p>
        </w:tc>
        <w:tc>
          <w:tcPr>
            <w:tcW w:w="1238" w:type="dxa"/>
          </w:tcPr>
          <w:p w:rsidR="00F259C4" w:rsidRPr="00364E74" w:rsidRDefault="004716C0" w:rsidP="00364E74">
            <w:pPr>
              <w:pStyle w:val="Tablecolumnheading"/>
              <w:cnfStyle w:val="100000000000" w:firstRow="1" w:lastRow="0" w:firstColumn="0" w:lastColumn="0" w:oddVBand="0" w:evenVBand="0" w:oddHBand="0" w:evenHBand="0" w:firstRowFirstColumn="0" w:firstRowLastColumn="0" w:lastRowFirstColumn="0" w:lastRowLastColumn="0"/>
              <w:rPr>
                <w:b/>
              </w:rPr>
            </w:pPr>
            <w:r w:rsidRPr="00364E74">
              <w:rPr>
                <w:b/>
              </w:rPr>
              <w:t>Has</w:t>
            </w:r>
            <w:r w:rsidR="00F259C4" w:rsidRPr="00364E74">
              <w:rPr>
                <w:b/>
              </w:rPr>
              <w:t xml:space="preserve"> old entity cease</w:t>
            </w:r>
            <w:r w:rsidRPr="00364E74">
              <w:rPr>
                <w:b/>
              </w:rPr>
              <w:t>d</w:t>
            </w:r>
            <w:r w:rsidR="00F259C4" w:rsidRPr="00364E74">
              <w:rPr>
                <w:b/>
              </w:rPr>
              <w:t xml:space="preserve"> to exist?</w:t>
            </w:r>
          </w:p>
        </w:tc>
        <w:tc>
          <w:tcPr>
            <w:tcW w:w="1479" w:type="dxa"/>
          </w:tcPr>
          <w:p w:rsidR="00F259C4" w:rsidRPr="00364E74" w:rsidRDefault="00144E90" w:rsidP="00364E74">
            <w:pPr>
              <w:pStyle w:val="Tablecolumnheading"/>
              <w:cnfStyle w:val="100000000000" w:firstRow="1" w:lastRow="0" w:firstColumn="0" w:lastColumn="0" w:oddVBand="0" w:evenVBand="0" w:oddHBand="0" w:evenHBand="0" w:firstRowFirstColumn="0" w:firstRowLastColumn="0" w:lastRowFirstColumn="0" w:lastRowLastColumn="0"/>
              <w:rPr>
                <w:b/>
              </w:rPr>
            </w:pPr>
            <w:r w:rsidRPr="00364E74">
              <w:rPr>
                <w:b/>
              </w:rPr>
              <w:t xml:space="preserve">Responsible AA for the </w:t>
            </w:r>
            <w:r w:rsidR="00F259C4" w:rsidRPr="00364E74">
              <w:rPr>
                <w:b/>
              </w:rPr>
              <w:t>APS, AFS and AR</w:t>
            </w:r>
            <w:r w:rsidR="00984DD1" w:rsidRPr="00364E74">
              <w:rPr>
                <w:b/>
              </w:rPr>
              <w:t>*</w:t>
            </w:r>
            <w:r w:rsidR="00F259C4" w:rsidRPr="00364E74">
              <w:rPr>
                <w:b/>
              </w:rPr>
              <w:t>:</w:t>
            </w:r>
          </w:p>
        </w:tc>
        <w:tc>
          <w:tcPr>
            <w:tcW w:w="2669" w:type="dxa"/>
          </w:tcPr>
          <w:p w:rsidR="00F259C4" w:rsidRPr="00364E74" w:rsidRDefault="00F259C4" w:rsidP="00364E74">
            <w:pPr>
              <w:pStyle w:val="Tablecolumnheading"/>
              <w:cnfStyle w:val="100000000000" w:firstRow="1" w:lastRow="0" w:firstColumn="0" w:lastColumn="0" w:oddVBand="0" w:evenVBand="0" w:oddHBand="0" w:evenHBand="0" w:firstRowFirstColumn="0" w:firstRowLastColumn="0" w:lastRowFirstColumn="0" w:lastRowLastColumn="0"/>
              <w:rPr>
                <w:b/>
              </w:rPr>
            </w:pPr>
            <w:r w:rsidRPr="00364E74">
              <w:rPr>
                <w:b/>
              </w:rPr>
              <w:t>Period for reporting</w:t>
            </w:r>
          </w:p>
        </w:tc>
      </w:tr>
      <w:tr w:rsidR="00FF1139" w:rsidTr="00FF1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F259C4" w:rsidRPr="00FF1139" w:rsidRDefault="0032634A" w:rsidP="00495656">
            <w:pPr>
              <w:pStyle w:val="TableText"/>
              <w:rPr>
                <w:rStyle w:val="Hyperlink"/>
                <w:i w:val="0"/>
              </w:rPr>
            </w:pPr>
            <w:hyperlink w:anchor="Section17B" w:history="1">
              <w:r w:rsidR="00F259C4" w:rsidRPr="00FF1139">
                <w:rPr>
                  <w:rStyle w:val="Hyperlink"/>
                  <w:i w:val="0"/>
                </w:rPr>
                <w:t>17B</w:t>
              </w:r>
            </w:hyperlink>
          </w:p>
        </w:tc>
        <w:tc>
          <w:tcPr>
            <w:tcW w:w="1373" w:type="dxa"/>
          </w:tcPr>
          <w:p w:rsidR="00F259C4" w:rsidRPr="005D7EA6" w:rsidRDefault="00F259C4" w:rsidP="00495656">
            <w:pPr>
              <w:pStyle w:val="TableText"/>
              <w:cnfStyle w:val="000000100000" w:firstRow="0" w:lastRow="0" w:firstColumn="0" w:lastColumn="0" w:oddVBand="0" w:evenVBand="0" w:oddHBand="1" w:evenHBand="0" w:firstRowFirstColumn="0" w:firstRowLastColumn="0" w:lastRowFirstColumn="0" w:lastRowLastColumn="0"/>
            </w:pPr>
            <w:r w:rsidRPr="005D7EA6">
              <w:t>No functions</w:t>
            </w:r>
          </w:p>
        </w:tc>
        <w:tc>
          <w:tcPr>
            <w:tcW w:w="1179" w:type="dxa"/>
          </w:tcPr>
          <w:p w:rsidR="00F259C4" w:rsidRPr="005D7EA6" w:rsidRDefault="00F259C4" w:rsidP="00495656">
            <w:pPr>
              <w:pStyle w:val="TableText"/>
              <w:cnfStyle w:val="000000100000" w:firstRow="0" w:lastRow="0" w:firstColumn="0" w:lastColumn="0" w:oddVBand="0" w:evenVBand="0" w:oddHBand="1" w:evenHBand="0" w:firstRowFirstColumn="0" w:firstRowLastColumn="0" w:lastRowFirstColumn="0" w:lastRowLastColumn="0"/>
            </w:pPr>
          </w:p>
        </w:tc>
        <w:tc>
          <w:tcPr>
            <w:tcW w:w="1238" w:type="dxa"/>
          </w:tcPr>
          <w:p w:rsidR="00F259C4" w:rsidRPr="005D7EA6" w:rsidRDefault="00F259C4" w:rsidP="00495656">
            <w:pPr>
              <w:pStyle w:val="TableText"/>
              <w:cnfStyle w:val="000000100000" w:firstRow="0" w:lastRow="0" w:firstColumn="0" w:lastColumn="0" w:oddVBand="0" w:evenVBand="0" w:oddHBand="1" w:evenHBand="0" w:firstRowFirstColumn="0" w:firstRowLastColumn="0" w:lastRowFirstColumn="0" w:lastRowLastColumn="0"/>
            </w:pPr>
            <w:r w:rsidRPr="005D7EA6">
              <w:t>Yes</w:t>
            </w:r>
          </w:p>
        </w:tc>
        <w:tc>
          <w:tcPr>
            <w:tcW w:w="1479" w:type="dxa"/>
          </w:tcPr>
          <w:p w:rsidR="00F259C4" w:rsidRPr="005D7EA6" w:rsidRDefault="00144E90" w:rsidP="00495656">
            <w:pPr>
              <w:pStyle w:val="TableText"/>
              <w:cnfStyle w:val="000000100000" w:firstRow="0" w:lastRow="0" w:firstColumn="0" w:lastColumn="0" w:oddVBand="0" w:evenVBand="0" w:oddHBand="1" w:evenHBand="0" w:firstRowFirstColumn="0" w:firstRowLastColumn="0" w:lastRowFirstColumn="0" w:lastRowLastColumn="0"/>
            </w:pPr>
            <w:r w:rsidRPr="00495656">
              <w:t xml:space="preserve">AA </w:t>
            </w:r>
            <w:r w:rsidR="00F259C4" w:rsidRPr="005D7EA6">
              <w:t>of the nominated entity</w:t>
            </w:r>
          </w:p>
        </w:tc>
        <w:tc>
          <w:tcPr>
            <w:tcW w:w="2669" w:type="dxa"/>
          </w:tcPr>
          <w:p w:rsidR="00F259C4" w:rsidRPr="005D7EA6" w:rsidRDefault="00F259C4" w:rsidP="00495656">
            <w:pPr>
              <w:pStyle w:val="TableText"/>
              <w:cnfStyle w:val="000000100000" w:firstRow="0" w:lastRow="0" w:firstColumn="0" w:lastColumn="0" w:oddVBand="0" w:evenVBand="0" w:oddHBand="1" w:evenHBand="0" w:firstRowFirstColumn="0" w:firstRowLastColumn="0" w:lastRowFirstColumn="0" w:lastRowLastColumn="0"/>
            </w:pPr>
            <w:r w:rsidRPr="005D7EA6">
              <w:t>APS, AFS and AR</w:t>
            </w:r>
            <w:r w:rsidR="00635F1F" w:rsidRPr="00495656">
              <w:t>:</w:t>
            </w:r>
            <w:r w:rsidRPr="005D7EA6">
              <w:t xml:space="preserve"> </w:t>
            </w:r>
            <w:r w:rsidR="00635F1F" w:rsidRPr="00495656">
              <w:br/>
            </w:r>
            <w:r w:rsidR="00265F5F" w:rsidRPr="00495656">
              <w:t>The n</w:t>
            </w:r>
            <w:r w:rsidRPr="005D7EA6">
              <w:t>ominated entity reports for the full repo</w:t>
            </w:r>
            <w:r w:rsidR="004E26DA" w:rsidRPr="00495656">
              <w:t xml:space="preserve">rting period of </w:t>
            </w:r>
            <w:r w:rsidRPr="005D7EA6">
              <w:t>non-transferred functions</w:t>
            </w:r>
          </w:p>
        </w:tc>
      </w:tr>
      <w:tr w:rsidR="00FF1139" w:rsidTr="00FF1139">
        <w:tc>
          <w:tcPr>
            <w:cnfStyle w:val="001000000000" w:firstRow="0" w:lastRow="0" w:firstColumn="1" w:lastColumn="0" w:oddVBand="0" w:evenVBand="0" w:oddHBand="0" w:evenHBand="0" w:firstRowFirstColumn="0" w:firstRowLastColumn="0" w:lastRowFirstColumn="0" w:lastRowLastColumn="0"/>
            <w:tcW w:w="1129" w:type="dxa"/>
          </w:tcPr>
          <w:p w:rsidR="00F259C4" w:rsidRPr="00FF1139" w:rsidRDefault="0032634A" w:rsidP="00495656">
            <w:pPr>
              <w:pStyle w:val="TableText"/>
              <w:rPr>
                <w:rStyle w:val="Hyperlink"/>
                <w:i w:val="0"/>
              </w:rPr>
            </w:pPr>
            <w:hyperlink w:anchor="Section17C" w:history="1">
              <w:r w:rsidR="00F259C4" w:rsidRPr="00FF1139">
                <w:rPr>
                  <w:rStyle w:val="Hyperlink"/>
                  <w:i w:val="0"/>
                </w:rPr>
                <w:t>17C</w:t>
              </w:r>
            </w:hyperlink>
          </w:p>
        </w:tc>
        <w:tc>
          <w:tcPr>
            <w:tcW w:w="1373" w:type="dxa"/>
          </w:tcPr>
          <w:p w:rsidR="00F259C4" w:rsidRPr="005D7EA6" w:rsidRDefault="00F259C4" w:rsidP="00495656">
            <w:pPr>
              <w:pStyle w:val="TableText"/>
              <w:cnfStyle w:val="000000000000" w:firstRow="0" w:lastRow="0" w:firstColumn="0" w:lastColumn="0" w:oddVBand="0" w:evenVBand="0" w:oddHBand="0" w:evenHBand="0" w:firstRowFirstColumn="0" w:firstRowLastColumn="0" w:lastRowFirstColumn="0" w:lastRowLastColumn="0"/>
            </w:pPr>
            <w:r w:rsidRPr="005D7EA6">
              <w:t>Some functions</w:t>
            </w:r>
          </w:p>
        </w:tc>
        <w:tc>
          <w:tcPr>
            <w:tcW w:w="1179" w:type="dxa"/>
          </w:tcPr>
          <w:p w:rsidR="00F259C4" w:rsidRPr="005D7EA6" w:rsidRDefault="00F259C4" w:rsidP="00495656">
            <w:pPr>
              <w:pStyle w:val="TableText"/>
              <w:cnfStyle w:val="000000000000" w:firstRow="0" w:lastRow="0" w:firstColumn="0" w:lastColumn="0" w:oddVBand="0" w:evenVBand="0" w:oddHBand="0" w:evenHBand="0" w:firstRowFirstColumn="0" w:firstRowLastColumn="0" w:lastRowFirstColumn="0" w:lastRowLastColumn="0"/>
            </w:pPr>
          </w:p>
        </w:tc>
        <w:tc>
          <w:tcPr>
            <w:tcW w:w="1238" w:type="dxa"/>
          </w:tcPr>
          <w:p w:rsidR="00F259C4" w:rsidRPr="005D7EA6" w:rsidRDefault="00F259C4" w:rsidP="00495656">
            <w:pPr>
              <w:pStyle w:val="TableText"/>
              <w:cnfStyle w:val="000000000000" w:firstRow="0" w:lastRow="0" w:firstColumn="0" w:lastColumn="0" w:oddVBand="0" w:evenVBand="0" w:oddHBand="0" w:evenHBand="0" w:firstRowFirstColumn="0" w:firstRowLastColumn="0" w:lastRowFirstColumn="0" w:lastRowLastColumn="0"/>
            </w:pPr>
            <w:r w:rsidRPr="005D7EA6">
              <w:t>Yes</w:t>
            </w:r>
          </w:p>
        </w:tc>
        <w:tc>
          <w:tcPr>
            <w:tcW w:w="1479" w:type="dxa"/>
          </w:tcPr>
          <w:p w:rsidR="00F259C4" w:rsidRPr="005D7EA6" w:rsidRDefault="00144E90" w:rsidP="00495656">
            <w:pPr>
              <w:pStyle w:val="TableText"/>
              <w:cnfStyle w:val="000000000000" w:firstRow="0" w:lastRow="0" w:firstColumn="0" w:lastColumn="0" w:oddVBand="0" w:evenVBand="0" w:oddHBand="0" w:evenHBand="0" w:firstRowFirstColumn="0" w:firstRowLastColumn="0" w:lastRowFirstColumn="0" w:lastRowLastColumn="0"/>
            </w:pPr>
            <w:r w:rsidRPr="00495656">
              <w:t>AA</w:t>
            </w:r>
            <w:r w:rsidR="00F259C4" w:rsidRPr="005D7EA6">
              <w:t xml:space="preserve"> of the nominated entity</w:t>
            </w:r>
          </w:p>
        </w:tc>
        <w:tc>
          <w:tcPr>
            <w:tcW w:w="2669" w:type="dxa"/>
          </w:tcPr>
          <w:p w:rsidR="00F259C4" w:rsidRPr="005D7EA6" w:rsidRDefault="00F259C4" w:rsidP="00495656">
            <w:pPr>
              <w:pStyle w:val="TableText"/>
              <w:cnfStyle w:val="000000000000" w:firstRow="0" w:lastRow="0" w:firstColumn="0" w:lastColumn="0" w:oddVBand="0" w:evenVBand="0" w:oddHBand="0" w:evenHBand="0" w:firstRowFirstColumn="0" w:firstRowLastColumn="0" w:lastRowFirstColumn="0" w:lastRowLastColumn="0"/>
            </w:pPr>
            <w:r w:rsidRPr="005D7EA6">
              <w:t>APS, AFS and AR:</w:t>
            </w:r>
            <w:r w:rsidR="00265F5F" w:rsidRPr="00495656">
              <w:t xml:space="preserve"> </w:t>
            </w:r>
            <w:r w:rsidR="00635F1F" w:rsidRPr="00495656">
              <w:br/>
            </w:r>
            <w:r w:rsidR="00265F5F" w:rsidRPr="00495656">
              <w:t>The n</w:t>
            </w:r>
            <w:r w:rsidRPr="005D7EA6">
              <w:t>ominated entity reports for the full rep</w:t>
            </w:r>
            <w:r w:rsidR="004E26DA" w:rsidRPr="00495656">
              <w:t>orting period of</w:t>
            </w:r>
            <w:r w:rsidRPr="005D7EA6">
              <w:t xml:space="preserve"> non-transferred functions</w:t>
            </w:r>
          </w:p>
        </w:tc>
      </w:tr>
      <w:tr w:rsidR="00FF1139" w:rsidTr="00FF1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F259C4" w:rsidRPr="00FF1139" w:rsidRDefault="0032634A" w:rsidP="00495656">
            <w:pPr>
              <w:pStyle w:val="TableText"/>
              <w:rPr>
                <w:rStyle w:val="Hyperlink"/>
                <w:i w:val="0"/>
              </w:rPr>
            </w:pPr>
            <w:hyperlink w:anchor="Section17D" w:history="1">
              <w:r w:rsidR="00F259C4" w:rsidRPr="00FF1139">
                <w:rPr>
                  <w:rStyle w:val="Hyperlink"/>
                  <w:i w:val="0"/>
                </w:rPr>
                <w:t>17D</w:t>
              </w:r>
            </w:hyperlink>
          </w:p>
        </w:tc>
        <w:tc>
          <w:tcPr>
            <w:tcW w:w="1373" w:type="dxa"/>
          </w:tcPr>
          <w:p w:rsidR="00F259C4" w:rsidRPr="005D7EA6" w:rsidRDefault="00F259C4" w:rsidP="00495656">
            <w:pPr>
              <w:pStyle w:val="TableText"/>
              <w:cnfStyle w:val="000000100000" w:firstRow="0" w:lastRow="0" w:firstColumn="0" w:lastColumn="0" w:oddVBand="0" w:evenVBand="0" w:oddHBand="1" w:evenHBand="0" w:firstRowFirstColumn="0" w:firstRowLastColumn="0" w:lastRowFirstColumn="0" w:lastRowLastColumn="0"/>
            </w:pPr>
            <w:r w:rsidRPr="005D7EA6">
              <w:t>All functions</w:t>
            </w:r>
          </w:p>
        </w:tc>
        <w:tc>
          <w:tcPr>
            <w:tcW w:w="1179" w:type="dxa"/>
          </w:tcPr>
          <w:p w:rsidR="00F259C4" w:rsidRPr="005D7EA6" w:rsidRDefault="00F259C4" w:rsidP="00495656">
            <w:pPr>
              <w:pStyle w:val="TableText"/>
              <w:cnfStyle w:val="000000100000" w:firstRow="0" w:lastRow="0" w:firstColumn="0" w:lastColumn="0" w:oddVBand="0" w:evenVBand="0" w:oddHBand="1" w:evenHBand="0" w:firstRowFirstColumn="0" w:firstRowLastColumn="0" w:lastRowFirstColumn="0" w:lastRowLastColumn="0"/>
            </w:pPr>
          </w:p>
        </w:tc>
        <w:tc>
          <w:tcPr>
            <w:tcW w:w="1238" w:type="dxa"/>
          </w:tcPr>
          <w:p w:rsidR="00F259C4" w:rsidRPr="005D7EA6" w:rsidRDefault="00F259C4" w:rsidP="00495656">
            <w:pPr>
              <w:pStyle w:val="TableText"/>
              <w:cnfStyle w:val="000000100000" w:firstRow="0" w:lastRow="0" w:firstColumn="0" w:lastColumn="0" w:oddVBand="0" w:evenVBand="0" w:oddHBand="1" w:evenHBand="0" w:firstRowFirstColumn="0" w:firstRowLastColumn="0" w:lastRowFirstColumn="0" w:lastRowLastColumn="0"/>
            </w:pPr>
            <w:r w:rsidRPr="005D7EA6">
              <w:t>Yes</w:t>
            </w:r>
          </w:p>
        </w:tc>
        <w:tc>
          <w:tcPr>
            <w:tcW w:w="1479" w:type="dxa"/>
          </w:tcPr>
          <w:p w:rsidR="00F259C4" w:rsidRPr="005D7EA6" w:rsidRDefault="00F259C4" w:rsidP="00495656">
            <w:pPr>
              <w:pStyle w:val="TableText"/>
              <w:cnfStyle w:val="000000100000" w:firstRow="0" w:lastRow="0" w:firstColumn="0" w:lastColumn="0" w:oddVBand="0" w:evenVBand="0" w:oddHBand="1" w:evenHBand="0" w:firstRowFirstColumn="0" w:firstRowLastColumn="0" w:lastRowFirstColumn="0" w:lastRowLastColumn="0"/>
            </w:pPr>
            <w:r w:rsidRPr="005D7EA6">
              <w:t xml:space="preserve">N/A – see </w:t>
            </w:r>
            <w:hyperlink w:anchor="Table2" w:history="1">
              <w:r w:rsidR="00F371A8" w:rsidRPr="00A97A6F">
                <w:rPr>
                  <w:rStyle w:val="Hyperlink"/>
                  <w:i w:val="0"/>
                </w:rPr>
                <w:t>Table 2</w:t>
              </w:r>
            </w:hyperlink>
          </w:p>
        </w:tc>
        <w:tc>
          <w:tcPr>
            <w:tcW w:w="2669" w:type="dxa"/>
          </w:tcPr>
          <w:p w:rsidR="00F259C4" w:rsidRPr="005D7EA6" w:rsidRDefault="00F259C4" w:rsidP="00495656">
            <w:pPr>
              <w:pStyle w:val="TableText"/>
              <w:cnfStyle w:val="000000100000" w:firstRow="0" w:lastRow="0" w:firstColumn="0" w:lastColumn="0" w:oddVBand="0" w:evenVBand="0" w:oddHBand="1" w:evenHBand="0" w:firstRowFirstColumn="0" w:firstRowLastColumn="0" w:lastRowFirstColumn="0" w:lastRowLastColumn="0"/>
            </w:pPr>
            <w:r w:rsidRPr="005D7EA6">
              <w:t>N/A</w:t>
            </w:r>
          </w:p>
        </w:tc>
      </w:tr>
      <w:tr w:rsidR="00FF1139" w:rsidTr="00FF1139">
        <w:tc>
          <w:tcPr>
            <w:cnfStyle w:val="001000000000" w:firstRow="0" w:lastRow="0" w:firstColumn="1" w:lastColumn="0" w:oddVBand="0" w:evenVBand="0" w:oddHBand="0" w:evenHBand="0" w:firstRowFirstColumn="0" w:firstRowLastColumn="0" w:lastRowFirstColumn="0" w:lastRowLastColumn="0"/>
            <w:tcW w:w="1129" w:type="dxa"/>
          </w:tcPr>
          <w:p w:rsidR="00B4793C" w:rsidRPr="00FF1139" w:rsidRDefault="0032634A" w:rsidP="00495656">
            <w:pPr>
              <w:pStyle w:val="TableText"/>
              <w:rPr>
                <w:rStyle w:val="Hyperlink"/>
                <w:i w:val="0"/>
              </w:rPr>
            </w:pPr>
            <w:hyperlink w:anchor="Section17F" w:history="1">
              <w:r w:rsidR="00B4793C" w:rsidRPr="00FF1139">
                <w:rPr>
                  <w:rStyle w:val="Hyperlink"/>
                  <w:i w:val="0"/>
                </w:rPr>
                <w:t>17F</w:t>
              </w:r>
            </w:hyperlink>
          </w:p>
        </w:tc>
        <w:tc>
          <w:tcPr>
            <w:tcW w:w="1373" w:type="dxa"/>
          </w:tcPr>
          <w:p w:rsidR="00B4793C" w:rsidRPr="005D7EA6" w:rsidRDefault="00B4793C" w:rsidP="005D7EA6">
            <w:pPr>
              <w:pStyle w:val="TableText"/>
              <w:cnfStyle w:val="000000000000" w:firstRow="0" w:lastRow="0" w:firstColumn="0" w:lastColumn="0" w:oddVBand="0" w:evenVBand="0" w:oddHBand="0" w:evenHBand="0" w:firstRowFirstColumn="0" w:firstRowLastColumn="0" w:lastRowFirstColumn="0" w:lastRowLastColumn="0"/>
            </w:pPr>
            <w:r w:rsidRPr="005D7EA6">
              <w:t>Some functions</w:t>
            </w:r>
          </w:p>
        </w:tc>
        <w:tc>
          <w:tcPr>
            <w:tcW w:w="1179" w:type="dxa"/>
          </w:tcPr>
          <w:p w:rsidR="00B4793C" w:rsidRPr="005D7EA6" w:rsidRDefault="00397A60" w:rsidP="005D7EA6">
            <w:pPr>
              <w:pStyle w:val="TableText"/>
              <w:cnfStyle w:val="000000000000" w:firstRow="0" w:lastRow="0" w:firstColumn="0" w:lastColumn="0" w:oddVBand="0" w:evenVBand="0" w:oddHBand="0" w:evenHBand="0" w:firstRowFirstColumn="0" w:firstRowLastColumn="0" w:lastRowFirstColumn="0" w:lastRowLastColumn="0"/>
            </w:pPr>
            <w:r w:rsidRPr="00495656">
              <w:t>Unfeasible</w:t>
            </w:r>
            <w:r w:rsidR="004E26DA" w:rsidRPr="00495656">
              <w:t xml:space="preserve"> for </w:t>
            </w:r>
            <w:r w:rsidRPr="00495656">
              <w:t xml:space="preserve">the </w:t>
            </w:r>
            <w:r w:rsidR="004E26DA" w:rsidRPr="00495656">
              <w:t>AA</w:t>
            </w:r>
            <w:r w:rsidR="00B4793C" w:rsidRPr="005D7EA6">
              <w:t xml:space="preserve"> of </w:t>
            </w:r>
            <w:r w:rsidR="000879AE" w:rsidRPr="005D7EA6">
              <w:t xml:space="preserve">the </w:t>
            </w:r>
            <w:r w:rsidR="00B4793C" w:rsidRPr="005D7EA6">
              <w:t>old entity to report</w:t>
            </w:r>
          </w:p>
        </w:tc>
        <w:tc>
          <w:tcPr>
            <w:tcW w:w="1238" w:type="dxa"/>
          </w:tcPr>
          <w:p w:rsidR="00B4793C" w:rsidRPr="005D7EA6" w:rsidRDefault="00B4793C" w:rsidP="005D7EA6">
            <w:pPr>
              <w:pStyle w:val="TableText"/>
              <w:cnfStyle w:val="000000000000" w:firstRow="0" w:lastRow="0" w:firstColumn="0" w:lastColumn="0" w:oddVBand="0" w:evenVBand="0" w:oddHBand="0" w:evenHBand="0" w:firstRowFirstColumn="0" w:firstRowLastColumn="0" w:lastRowFirstColumn="0" w:lastRowLastColumn="0"/>
            </w:pPr>
            <w:r w:rsidRPr="005D7EA6">
              <w:t>No</w:t>
            </w:r>
          </w:p>
        </w:tc>
        <w:tc>
          <w:tcPr>
            <w:tcW w:w="1479" w:type="dxa"/>
          </w:tcPr>
          <w:p w:rsidR="00B4793C" w:rsidRPr="005D7EA6" w:rsidRDefault="00144E90" w:rsidP="005D7EA6">
            <w:pPr>
              <w:pStyle w:val="TableText"/>
              <w:cnfStyle w:val="000000000000" w:firstRow="0" w:lastRow="0" w:firstColumn="0" w:lastColumn="0" w:oddVBand="0" w:evenVBand="0" w:oddHBand="0" w:evenHBand="0" w:firstRowFirstColumn="0" w:firstRowLastColumn="0" w:lastRowFirstColumn="0" w:lastRowLastColumn="0"/>
            </w:pPr>
            <w:r w:rsidRPr="00495656">
              <w:t>AA</w:t>
            </w:r>
            <w:r w:rsidR="00B4793C" w:rsidRPr="005D7EA6">
              <w:t xml:space="preserve"> of the nominated entity</w:t>
            </w:r>
          </w:p>
        </w:tc>
        <w:tc>
          <w:tcPr>
            <w:tcW w:w="2669" w:type="dxa"/>
          </w:tcPr>
          <w:p w:rsidR="00B4793C" w:rsidRPr="005D7EA6" w:rsidRDefault="00B4793C" w:rsidP="005D7EA6">
            <w:pPr>
              <w:pStyle w:val="TableText"/>
              <w:cnfStyle w:val="000000000000" w:firstRow="0" w:lastRow="0" w:firstColumn="0" w:lastColumn="0" w:oddVBand="0" w:evenVBand="0" w:oddHBand="0" w:evenHBand="0" w:firstRowFirstColumn="0" w:firstRowLastColumn="0" w:lastRowFirstColumn="0" w:lastRowLastColumn="0"/>
            </w:pPr>
            <w:r w:rsidRPr="005D7EA6">
              <w:t>APS, AFS and A</w:t>
            </w:r>
            <w:r w:rsidR="00265F5F" w:rsidRPr="00495656">
              <w:t xml:space="preserve">R: </w:t>
            </w:r>
            <w:r w:rsidR="00635F1F" w:rsidRPr="00495656">
              <w:br/>
            </w:r>
            <w:r w:rsidR="00265F5F" w:rsidRPr="00495656">
              <w:t>The n</w:t>
            </w:r>
            <w:r w:rsidRPr="005D7EA6">
              <w:t>ominated entity reports for the full rep</w:t>
            </w:r>
            <w:r w:rsidR="004E26DA" w:rsidRPr="00495656">
              <w:t xml:space="preserve">orting period of </w:t>
            </w:r>
            <w:r w:rsidRPr="005D7EA6">
              <w:t>non-transferred functions</w:t>
            </w:r>
          </w:p>
        </w:tc>
      </w:tr>
      <w:tr w:rsidR="00FF1139" w:rsidTr="00FF1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B4793C" w:rsidRPr="00FF1139" w:rsidRDefault="0032634A" w:rsidP="00495656">
            <w:pPr>
              <w:pStyle w:val="TableText"/>
              <w:rPr>
                <w:rStyle w:val="Hyperlink"/>
                <w:i w:val="0"/>
              </w:rPr>
            </w:pPr>
            <w:hyperlink w:anchor="Section17G" w:history="1">
              <w:r w:rsidR="00B4793C" w:rsidRPr="00FF1139">
                <w:rPr>
                  <w:rStyle w:val="Hyperlink"/>
                  <w:i w:val="0"/>
                </w:rPr>
                <w:t>17G</w:t>
              </w:r>
            </w:hyperlink>
          </w:p>
        </w:tc>
        <w:tc>
          <w:tcPr>
            <w:tcW w:w="1373" w:type="dxa"/>
          </w:tcPr>
          <w:p w:rsidR="00B4793C" w:rsidRPr="005D7EA6" w:rsidRDefault="00B4793C" w:rsidP="005D7EA6">
            <w:pPr>
              <w:pStyle w:val="TableText"/>
              <w:cnfStyle w:val="000000100000" w:firstRow="0" w:lastRow="0" w:firstColumn="0" w:lastColumn="0" w:oddVBand="0" w:evenVBand="0" w:oddHBand="1" w:evenHBand="0" w:firstRowFirstColumn="0" w:firstRowLastColumn="0" w:lastRowFirstColumn="0" w:lastRowLastColumn="0"/>
            </w:pPr>
            <w:r w:rsidRPr="005D7EA6">
              <w:t>All functions</w:t>
            </w:r>
          </w:p>
        </w:tc>
        <w:tc>
          <w:tcPr>
            <w:tcW w:w="1179" w:type="dxa"/>
          </w:tcPr>
          <w:p w:rsidR="00B4793C" w:rsidRPr="005D7EA6" w:rsidRDefault="00B4793C" w:rsidP="005D7EA6">
            <w:pPr>
              <w:pStyle w:val="TableText"/>
              <w:cnfStyle w:val="000000100000" w:firstRow="0" w:lastRow="0" w:firstColumn="0" w:lastColumn="0" w:oddVBand="0" w:evenVBand="0" w:oddHBand="1" w:evenHBand="0" w:firstRowFirstColumn="0" w:firstRowLastColumn="0" w:lastRowFirstColumn="0" w:lastRowLastColumn="0"/>
            </w:pPr>
          </w:p>
        </w:tc>
        <w:tc>
          <w:tcPr>
            <w:tcW w:w="1238" w:type="dxa"/>
          </w:tcPr>
          <w:p w:rsidR="00B4793C" w:rsidRPr="005D7EA6" w:rsidRDefault="00B4793C" w:rsidP="005D7EA6">
            <w:pPr>
              <w:pStyle w:val="TableText"/>
              <w:cnfStyle w:val="000000100000" w:firstRow="0" w:lastRow="0" w:firstColumn="0" w:lastColumn="0" w:oddVBand="0" w:evenVBand="0" w:oddHBand="1" w:evenHBand="0" w:firstRowFirstColumn="0" w:firstRowLastColumn="0" w:lastRowFirstColumn="0" w:lastRowLastColumn="0"/>
            </w:pPr>
            <w:r w:rsidRPr="005D7EA6">
              <w:t>No</w:t>
            </w:r>
          </w:p>
        </w:tc>
        <w:tc>
          <w:tcPr>
            <w:tcW w:w="1479" w:type="dxa"/>
          </w:tcPr>
          <w:p w:rsidR="00B4793C" w:rsidRPr="005D7EA6" w:rsidRDefault="00B4793C" w:rsidP="005D7EA6">
            <w:pPr>
              <w:pStyle w:val="TableText"/>
              <w:cnfStyle w:val="000000100000" w:firstRow="0" w:lastRow="0" w:firstColumn="0" w:lastColumn="0" w:oddVBand="0" w:evenVBand="0" w:oddHBand="1" w:evenHBand="0" w:firstRowFirstColumn="0" w:firstRowLastColumn="0" w:lastRowFirstColumn="0" w:lastRowLastColumn="0"/>
            </w:pPr>
            <w:r w:rsidRPr="005D7EA6">
              <w:t xml:space="preserve">N/A – see </w:t>
            </w:r>
            <w:r w:rsidR="00F371A8" w:rsidRPr="00A97A6F">
              <w:rPr>
                <w:rStyle w:val="Hyperlink"/>
                <w:i w:val="0"/>
              </w:rPr>
              <w:t>Table 2</w:t>
            </w:r>
          </w:p>
        </w:tc>
        <w:tc>
          <w:tcPr>
            <w:tcW w:w="2669" w:type="dxa"/>
          </w:tcPr>
          <w:p w:rsidR="00B4793C" w:rsidRPr="005D7EA6" w:rsidRDefault="00B4793C" w:rsidP="005D7EA6">
            <w:pPr>
              <w:pStyle w:val="TableText"/>
              <w:cnfStyle w:val="000000100000" w:firstRow="0" w:lastRow="0" w:firstColumn="0" w:lastColumn="0" w:oddVBand="0" w:evenVBand="0" w:oddHBand="1" w:evenHBand="0" w:firstRowFirstColumn="0" w:firstRowLastColumn="0" w:lastRowFirstColumn="0" w:lastRowLastColumn="0"/>
            </w:pPr>
            <w:r w:rsidRPr="005D7EA6">
              <w:t>N/A</w:t>
            </w:r>
          </w:p>
        </w:tc>
      </w:tr>
    </w:tbl>
    <w:p w:rsidR="0066788E" w:rsidRPr="00984DD1" w:rsidRDefault="00144E90" w:rsidP="00FF1139">
      <w:pPr>
        <w:pStyle w:val="TableText"/>
        <w:spacing w:after="0" w:line="200" w:lineRule="atLeast"/>
        <w:ind w:left="425" w:hanging="425"/>
        <w:rPr>
          <w:szCs w:val="18"/>
        </w:rPr>
      </w:pPr>
      <w:r>
        <w:t>*</w:t>
      </w:r>
      <w:r w:rsidR="00C44116">
        <w:tab/>
      </w:r>
      <w:r w:rsidR="00C44116" w:rsidRPr="005D7EA6">
        <w:rPr>
          <w:szCs w:val="18"/>
        </w:rPr>
        <w:t>AA means accountable authority, APS means annual performance statements, AFS means annual financial statements, AR means annual report.</w:t>
      </w:r>
    </w:p>
    <w:p w:rsidR="00853E9B" w:rsidRDefault="00853E9B">
      <w:pPr>
        <w:suppressAutoHyphens w:val="0"/>
        <w:spacing w:before="0" w:after="120" w:line="440" w:lineRule="atLeast"/>
        <w:rPr>
          <w:rStyle w:val="Strong"/>
          <w:sz w:val="18"/>
          <w:szCs w:val="18"/>
        </w:rPr>
      </w:pPr>
      <w:r>
        <w:rPr>
          <w:rStyle w:val="Strong"/>
          <w:sz w:val="18"/>
          <w:szCs w:val="18"/>
        </w:rPr>
        <w:br w:type="page"/>
      </w:r>
    </w:p>
    <w:p w:rsidR="00CF38A8" w:rsidRPr="00FF1139" w:rsidRDefault="007C3D87" w:rsidP="0096540F">
      <w:pPr>
        <w:pStyle w:val="NumberedList1"/>
        <w:numPr>
          <w:ilvl w:val="0"/>
          <w:numId w:val="0"/>
        </w:numPr>
        <w:spacing w:before="0" w:after="120"/>
        <w:rPr>
          <w:rStyle w:val="Strong"/>
          <w:color w:val="43848B" w:themeColor="accent1" w:themeShade="80"/>
          <w:sz w:val="18"/>
          <w:szCs w:val="18"/>
        </w:rPr>
      </w:pPr>
      <w:bookmarkStart w:id="40" w:name="Table2"/>
      <w:r w:rsidRPr="00FF1139">
        <w:rPr>
          <w:rStyle w:val="Strong"/>
          <w:color w:val="43848B" w:themeColor="accent1" w:themeShade="80"/>
          <w:sz w:val="18"/>
          <w:szCs w:val="18"/>
        </w:rPr>
        <w:lastRenderedPageBreak/>
        <w:t>Table 2:</w:t>
      </w:r>
      <w:r w:rsidRPr="00FF1139">
        <w:rPr>
          <w:rStyle w:val="Strong"/>
          <w:color w:val="43848B" w:themeColor="accent1" w:themeShade="80"/>
          <w:sz w:val="18"/>
          <w:szCs w:val="18"/>
        </w:rPr>
        <w:tab/>
      </w:r>
      <w:r w:rsidR="00CF38A8" w:rsidRPr="00FF1139">
        <w:rPr>
          <w:rStyle w:val="Strong"/>
          <w:color w:val="43848B" w:themeColor="accent1" w:themeShade="80"/>
          <w:sz w:val="18"/>
          <w:szCs w:val="18"/>
        </w:rPr>
        <w:t>Rep</w:t>
      </w:r>
      <w:r w:rsidR="00853E9B" w:rsidRPr="00FF1139">
        <w:rPr>
          <w:rStyle w:val="Strong"/>
          <w:color w:val="43848B" w:themeColor="accent1" w:themeShade="80"/>
          <w:sz w:val="18"/>
          <w:szCs w:val="18"/>
        </w:rPr>
        <w:t>orting on transferred functions</w:t>
      </w:r>
      <w:r w:rsidR="0096540F">
        <w:rPr>
          <w:rStyle w:val="Strong"/>
          <w:color w:val="43848B" w:themeColor="accent1" w:themeShade="80"/>
          <w:sz w:val="18"/>
          <w:szCs w:val="18"/>
        </w:rPr>
        <w:t xml:space="preserve"> (</w:t>
      </w:r>
      <w:r w:rsidR="0096540F" w:rsidRPr="00FF1139">
        <w:rPr>
          <w:rStyle w:val="Strong"/>
          <w:color w:val="43848B" w:themeColor="accent1" w:themeShade="80"/>
          <w:sz w:val="18"/>
          <w:szCs w:val="18"/>
        </w:rPr>
        <w:t>Subdivision</w:t>
      </w:r>
      <w:r w:rsidR="0096540F">
        <w:rPr>
          <w:rStyle w:val="Strong"/>
          <w:color w:val="43848B" w:themeColor="accent1" w:themeShade="80"/>
          <w:sz w:val="18"/>
          <w:szCs w:val="18"/>
        </w:rPr>
        <w:t xml:space="preserve"> C</w:t>
      </w:r>
      <w:r w:rsidR="0096540F" w:rsidRPr="00FF1139">
        <w:rPr>
          <w:rStyle w:val="Strong"/>
          <w:color w:val="43848B" w:themeColor="accent1" w:themeShade="80"/>
          <w:sz w:val="18"/>
          <w:szCs w:val="18"/>
        </w:rPr>
        <w:t>)</w:t>
      </w:r>
    </w:p>
    <w:tbl>
      <w:tblPr>
        <w:tblStyle w:val="ListTable3-Accent1"/>
        <w:tblW w:w="9067" w:type="dxa"/>
        <w:tblBorders>
          <w:insideH w:val="single" w:sz="4" w:space="0" w:color="D3E7E7" w:themeColor="accent2" w:themeTint="66"/>
          <w:insideV w:val="single" w:sz="4" w:space="0" w:color="D3E7E7" w:themeColor="accent2" w:themeTint="66"/>
        </w:tblBorders>
        <w:tblLook w:val="04A0" w:firstRow="1" w:lastRow="0" w:firstColumn="1" w:lastColumn="0" w:noHBand="0" w:noVBand="1"/>
        <w:tblCaption w:val="Table 2: Reporting on transferred functions (Subdivision C)"/>
        <w:tblDescription w:val="This tables details the varying requirements for presenting annual performance statements, annual financial statements and annual reports, according to the nature and extent of the machinery of government change."/>
      </w:tblPr>
      <w:tblGrid>
        <w:gridCol w:w="1124"/>
        <w:gridCol w:w="1371"/>
        <w:gridCol w:w="1288"/>
        <w:gridCol w:w="1220"/>
        <w:gridCol w:w="1479"/>
        <w:gridCol w:w="2585"/>
      </w:tblGrid>
      <w:tr w:rsidR="007C7FB6" w:rsidRPr="004131C2" w:rsidTr="00FF113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29" w:type="dxa"/>
          </w:tcPr>
          <w:bookmarkEnd w:id="40"/>
          <w:p w:rsidR="007C7FB6" w:rsidRPr="00364E74" w:rsidRDefault="007C7FB6" w:rsidP="00364E74">
            <w:pPr>
              <w:pStyle w:val="Tablecolumnheading"/>
              <w:rPr>
                <w:b/>
              </w:rPr>
            </w:pPr>
            <w:r w:rsidRPr="00364E74">
              <w:rPr>
                <w:b/>
              </w:rPr>
              <w:t xml:space="preserve">PGPA Rule </w:t>
            </w:r>
            <w:r w:rsidR="00984DD1" w:rsidRPr="00364E74">
              <w:rPr>
                <w:b/>
              </w:rPr>
              <w:t>Section</w:t>
            </w:r>
          </w:p>
        </w:tc>
        <w:tc>
          <w:tcPr>
            <w:tcW w:w="1372" w:type="dxa"/>
          </w:tcPr>
          <w:p w:rsidR="007C7FB6" w:rsidRPr="00364E74" w:rsidRDefault="007C7FB6" w:rsidP="00364E74">
            <w:pPr>
              <w:pStyle w:val="Tablecolumnheading"/>
              <w:cnfStyle w:val="100000000000" w:firstRow="1" w:lastRow="0" w:firstColumn="0" w:lastColumn="0" w:oddVBand="0" w:evenVBand="0" w:oddHBand="0" w:evenHBand="0" w:firstRowFirstColumn="0" w:firstRowLastColumn="0" w:lastRowFirstColumn="0" w:lastRowLastColumn="0"/>
              <w:rPr>
                <w:b/>
              </w:rPr>
            </w:pPr>
            <w:r w:rsidRPr="00364E74">
              <w:rPr>
                <w:b/>
              </w:rPr>
              <w:t>Functions transferred</w:t>
            </w:r>
          </w:p>
        </w:tc>
        <w:tc>
          <w:tcPr>
            <w:tcW w:w="1180" w:type="dxa"/>
          </w:tcPr>
          <w:p w:rsidR="007C7FB6" w:rsidRPr="00364E74" w:rsidRDefault="007C7FB6" w:rsidP="00364E74">
            <w:pPr>
              <w:pStyle w:val="Tablecolumnheading"/>
              <w:cnfStyle w:val="100000000000" w:firstRow="1" w:lastRow="0" w:firstColumn="0" w:lastColumn="0" w:oddVBand="0" w:evenVBand="0" w:oddHBand="0" w:evenHBand="0" w:firstRowFirstColumn="0" w:firstRowLastColumn="0" w:lastRowFirstColumn="0" w:lastRowLastColumn="0"/>
              <w:rPr>
                <w:b/>
              </w:rPr>
            </w:pPr>
            <w:r w:rsidRPr="00364E74">
              <w:rPr>
                <w:b/>
              </w:rPr>
              <w:t>Additional criteria</w:t>
            </w:r>
          </w:p>
        </w:tc>
        <w:tc>
          <w:tcPr>
            <w:tcW w:w="1236" w:type="dxa"/>
          </w:tcPr>
          <w:p w:rsidR="007C7FB6" w:rsidRPr="00364E74" w:rsidRDefault="007C7FB6" w:rsidP="00364E74">
            <w:pPr>
              <w:pStyle w:val="Tablecolumnheading"/>
              <w:cnfStyle w:val="100000000000" w:firstRow="1" w:lastRow="0" w:firstColumn="0" w:lastColumn="0" w:oddVBand="0" w:evenVBand="0" w:oddHBand="0" w:evenHBand="0" w:firstRowFirstColumn="0" w:firstRowLastColumn="0" w:lastRowFirstColumn="0" w:lastRowLastColumn="0"/>
              <w:rPr>
                <w:b/>
              </w:rPr>
            </w:pPr>
            <w:r w:rsidRPr="00364E74">
              <w:rPr>
                <w:b/>
              </w:rPr>
              <w:t>Has old entity ceased to exist?</w:t>
            </w:r>
          </w:p>
        </w:tc>
        <w:tc>
          <w:tcPr>
            <w:tcW w:w="1479" w:type="dxa"/>
          </w:tcPr>
          <w:p w:rsidR="007C7FB6" w:rsidRPr="00364E74" w:rsidRDefault="007C7FB6" w:rsidP="00364E74">
            <w:pPr>
              <w:pStyle w:val="Tablecolumnheading"/>
              <w:cnfStyle w:val="100000000000" w:firstRow="1" w:lastRow="0" w:firstColumn="0" w:lastColumn="0" w:oddVBand="0" w:evenVBand="0" w:oddHBand="0" w:evenHBand="0" w:firstRowFirstColumn="0" w:firstRowLastColumn="0" w:lastRowFirstColumn="0" w:lastRowLastColumn="0"/>
              <w:rPr>
                <w:b/>
              </w:rPr>
            </w:pPr>
            <w:r w:rsidRPr="00364E74">
              <w:rPr>
                <w:b/>
              </w:rPr>
              <w:t>Responsible AA for</w:t>
            </w:r>
            <w:r w:rsidR="00984DD1" w:rsidRPr="00364E74">
              <w:rPr>
                <w:b/>
              </w:rPr>
              <w:t xml:space="preserve"> the APS, AFS and AR*</w:t>
            </w:r>
            <w:r w:rsidRPr="00364E74">
              <w:rPr>
                <w:b/>
              </w:rPr>
              <w:t>:</w:t>
            </w:r>
          </w:p>
        </w:tc>
        <w:tc>
          <w:tcPr>
            <w:tcW w:w="2671" w:type="dxa"/>
          </w:tcPr>
          <w:p w:rsidR="007C7FB6" w:rsidRPr="00364E74" w:rsidRDefault="007C7FB6" w:rsidP="00364E74">
            <w:pPr>
              <w:pStyle w:val="Tablecolumnheading"/>
              <w:cnfStyle w:val="100000000000" w:firstRow="1" w:lastRow="0" w:firstColumn="0" w:lastColumn="0" w:oddVBand="0" w:evenVBand="0" w:oddHBand="0" w:evenHBand="0" w:firstRowFirstColumn="0" w:firstRowLastColumn="0" w:lastRowFirstColumn="0" w:lastRowLastColumn="0"/>
              <w:rPr>
                <w:b/>
              </w:rPr>
            </w:pPr>
            <w:r w:rsidRPr="00364E74">
              <w:rPr>
                <w:b/>
              </w:rPr>
              <w:t>Period for reporting</w:t>
            </w:r>
          </w:p>
        </w:tc>
      </w:tr>
      <w:tr w:rsidR="00CF38A8" w:rsidRPr="000879AE" w:rsidTr="00FF1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CF38A8" w:rsidRPr="00FF1139" w:rsidRDefault="0032634A" w:rsidP="005D7EA6">
            <w:pPr>
              <w:pStyle w:val="TableText"/>
              <w:rPr>
                <w:rStyle w:val="Hyperlink"/>
                <w:i w:val="0"/>
              </w:rPr>
            </w:pPr>
            <w:hyperlink w:anchor="Section17J" w:history="1">
              <w:r w:rsidR="00CF38A8" w:rsidRPr="00FF1139">
                <w:rPr>
                  <w:rStyle w:val="Hyperlink"/>
                  <w:i w:val="0"/>
                </w:rPr>
                <w:t>17J</w:t>
              </w:r>
            </w:hyperlink>
          </w:p>
        </w:tc>
        <w:tc>
          <w:tcPr>
            <w:tcW w:w="1372" w:type="dxa"/>
          </w:tcPr>
          <w:p w:rsidR="00CF38A8" w:rsidRPr="005D7EA6" w:rsidRDefault="00CF38A8" w:rsidP="005D7EA6">
            <w:pPr>
              <w:pStyle w:val="TableText"/>
              <w:cnfStyle w:val="000000100000" w:firstRow="0" w:lastRow="0" w:firstColumn="0" w:lastColumn="0" w:oddVBand="0" w:evenVBand="0" w:oddHBand="1" w:evenHBand="0" w:firstRowFirstColumn="0" w:firstRowLastColumn="0" w:lastRowFirstColumn="0" w:lastRowLastColumn="0"/>
            </w:pPr>
            <w:r w:rsidRPr="005D7EA6">
              <w:rPr>
                <w:lang w:eastAsia="en-AU"/>
              </w:rPr>
              <w:t>Some or all functions</w:t>
            </w:r>
          </w:p>
        </w:tc>
        <w:tc>
          <w:tcPr>
            <w:tcW w:w="1180" w:type="dxa"/>
          </w:tcPr>
          <w:p w:rsidR="00CF38A8" w:rsidRPr="00FF1139" w:rsidRDefault="00CF38A8" w:rsidP="005D7EA6">
            <w:pPr>
              <w:pStyle w:val="TableText"/>
              <w:cnfStyle w:val="000000100000" w:firstRow="0" w:lastRow="0" w:firstColumn="0" w:lastColumn="0" w:oddVBand="0" w:evenVBand="0" w:oddHBand="1" w:evenHBand="0" w:firstRowFirstColumn="0" w:firstRowLastColumn="0" w:lastRowFirstColumn="0" w:lastRowLastColumn="0"/>
              <w:rPr>
                <w:color w:val="43848B" w:themeColor="accent1" w:themeShade="80"/>
              </w:rPr>
            </w:pPr>
          </w:p>
        </w:tc>
        <w:tc>
          <w:tcPr>
            <w:tcW w:w="1236" w:type="dxa"/>
          </w:tcPr>
          <w:p w:rsidR="00CF38A8" w:rsidRPr="005D7EA6" w:rsidRDefault="00CF38A8" w:rsidP="005D7EA6">
            <w:pPr>
              <w:pStyle w:val="TableText"/>
              <w:cnfStyle w:val="000000100000" w:firstRow="0" w:lastRow="0" w:firstColumn="0" w:lastColumn="0" w:oddVBand="0" w:evenVBand="0" w:oddHBand="1" w:evenHBand="0" w:firstRowFirstColumn="0" w:firstRowLastColumn="0" w:lastRowFirstColumn="0" w:lastRowLastColumn="0"/>
            </w:pPr>
            <w:r w:rsidRPr="005D7EA6">
              <w:rPr>
                <w:lang w:eastAsia="en-AU"/>
              </w:rPr>
              <w:t>Yes or No</w:t>
            </w:r>
          </w:p>
        </w:tc>
        <w:tc>
          <w:tcPr>
            <w:tcW w:w="1479" w:type="dxa"/>
          </w:tcPr>
          <w:p w:rsidR="00CF38A8" w:rsidRPr="005D7EA6" w:rsidRDefault="00144E90" w:rsidP="005D7EA6">
            <w:pPr>
              <w:pStyle w:val="TableText"/>
              <w:cnfStyle w:val="000000100000" w:firstRow="0" w:lastRow="0" w:firstColumn="0" w:lastColumn="0" w:oddVBand="0" w:evenVBand="0" w:oddHBand="1" w:evenHBand="0" w:firstRowFirstColumn="0" w:firstRowLastColumn="0" w:lastRowFirstColumn="0" w:lastRowLastColumn="0"/>
            </w:pPr>
            <w:r w:rsidRPr="003E6254">
              <w:rPr>
                <w:lang w:eastAsia="en-AU"/>
              </w:rPr>
              <w:t>A</w:t>
            </w:r>
            <w:r>
              <w:rPr>
                <w:lang w:eastAsia="en-AU"/>
              </w:rPr>
              <w:t xml:space="preserve">A </w:t>
            </w:r>
            <w:r w:rsidR="00CF38A8" w:rsidRPr="005D7EA6">
              <w:rPr>
                <w:lang w:eastAsia="en-AU"/>
              </w:rPr>
              <w:t xml:space="preserve">of the </w:t>
            </w:r>
            <w:hyperlink w:anchor="Section17Jreportingentity" w:history="1">
              <w:r w:rsidR="00CF38A8" w:rsidRPr="00A97A6F">
                <w:rPr>
                  <w:rStyle w:val="Hyperlink"/>
                  <w:i w:val="0"/>
                </w:rPr>
                <w:t>reporting entity</w:t>
              </w:r>
            </w:hyperlink>
            <w:r w:rsidR="00CF38A8" w:rsidRPr="005D7EA6">
              <w:rPr>
                <w:lang w:eastAsia="en-AU"/>
              </w:rPr>
              <w:t xml:space="preserve"> (ie the </w:t>
            </w:r>
            <w:r w:rsidRPr="003E6254">
              <w:rPr>
                <w:lang w:eastAsia="en-AU"/>
              </w:rPr>
              <w:t>nominated entity or</w:t>
            </w:r>
            <w:r w:rsidR="00CF38A8" w:rsidRPr="005D7EA6">
              <w:rPr>
                <w:lang w:eastAsia="en-AU"/>
              </w:rPr>
              <w:t xml:space="preserve"> otherwise the new entity)</w:t>
            </w:r>
          </w:p>
        </w:tc>
        <w:tc>
          <w:tcPr>
            <w:tcW w:w="2671" w:type="dxa"/>
          </w:tcPr>
          <w:p w:rsidR="00CF38A8" w:rsidRPr="005D7EA6" w:rsidRDefault="00CF38A8" w:rsidP="005D7EA6">
            <w:pPr>
              <w:pStyle w:val="TableText"/>
              <w:cnfStyle w:val="000000100000" w:firstRow="0" w:lastRow="0" w:firstColumn="0" w:lastColumn="0" w:oddVBand="0" w:evenVBand="0" w:oddHBand="1" w:evenHBand="0" w:firstRowFirstColumn="0" w:firstRowLastColumn="0" w:lastRowFirstColumn="0" w:lastRowLastColumn="0"/>
            </w:pPr>
            <w:r w:rsidRPr="005D7EA6">
              <w:t>APS and AR</w:t>
            </w:r>
            <w:r w:rsidR="00635F1F">
              <w:t>:</w:t>
            </w:r>
            <w:r w:rsidR="00DF30EF">
              <w:br/>
            </w:r>
            <w:r w:rsidRPr="00F96FE2">
              <w:t>The reporting entity reports for the full reporting period in relation to transferred functions (including the part of the reporting period prior to the transfer of functions)</w:t>
            </w:r>
          </w:p>
          <w:p w:rsidR="00CF38A8" w:rsidRPr="005D7EA6" w:rsidRDefault="00CF38A8" w:rsidP="005D7EA6">
            <w:pPr>
              <w:pStyle w:val="TableText"/>
              <w:cnfStyle w:val="000000100000" w:firstRow="0" w:lastRow="0" w:firstColumn="0" w:lastColumn="0" w:oddVBand="0" w:evenVBand="0" w:oddHBand="1" w:evenHBand="0" w:firstRowFirstColumn="0" w:firstRowLastColumn="0" w:lastRowFirstColumn="0" w:lastRowLastColumn="0"/>
            </w:pPr>
            <w:r w:rsidRPr="005D7EA6">
              <w:t>AFS</w:t>
            </w:r>
            <w:r w:rsidR="00635F1F">
              <w:t>:</w:t>
            </w:r>
            <w:r w:rsidR="00DF30EF">
              <w:br/>
            </w:r>
            <w:r w:rsidRPr="005D7EA6">
              <w:t>If</w:t>
            </w:r>
            <w:r w:rsidR="00635F1F">
              <w:t xml:space="preserve"> the old entity</w:t>
            </w:r>
            <w:r w:rsidRPr="005D7EA6">
              <w:t xml:space="preserve">: </w:t>
            </w:r>
          </w:p>
          <w:p w:rsidR="00CF38A8" w:rsidRPr="00ED0532" w:rsidRDefault="00CF38A8" w:rsidP="00E2029F">
            <w:pPr>
              <w:pStyle w:val="Tablebullets1stindent"/>
              <w:spacing w:before="60" w:after="60" w:line="280" w:lineRule="atLeast"/>
              <w:cnfStyle w:val="000000100000" w:firstRow="0" w:lastRow="0" w:firstColumn="0" w:lastColumn="0" w:oddVBand="0" w:evenVBand="0" w:oddHBand="1" w:evenHBand="0" w:firstRowFirstColumn="0" w:firstRowLastColumn="0" w:lastRowFirstColumn="0" w:lastRowLastColumn="0"/>
            </w:pPr>
            <w:r w:rsidRPr="00ED0532">
              <w:rPr>
                <w:rFonts w:asciiTheme="minorHAnsi" w:eastAsiaTheme="minorHAnsi" w:hAnsiTheme="minorHAnsi" w:cstheme="minorBidi"/>
                <w:szCs w:val="22"/>
              </w:rPr>
              <w:t>ceased to exist or all its functions are transferred, the reporting entity prepares a single set of AFS as if the old entity was part of the reporting entity for the entire reporting period in relation to the transferred function(s).</w:t>
            </w:r>
          </w:p>
          <w:p w:rsidR="00CF38A8" w:rsidRPr="003E6254" w:rsidRDefault="00CF38A8" w:rsidP="00E2029F">
            <w:pPr>
              <w:pStyle w:val="Tablebullets1stindent"/>
              <w:spacing w:before="60" w:after="60" w:line="280" w:lineRule="atLeast"/>
              <w:cnfStyle w:val="000000100000" w:firstRow="0" w:lastRow="0" w:firstColumn="0" w:lastColumn="0" w:oddVBand="0" w:evenVBand="0" w:oddHBand="1" w:evenHBand="0" w:firstRowFirstColumn="0" w:firstRowLastColumn="0" w:lastRowFirstColumn="0" w:lastRowLastColumn="0"/>
            </w:pPr>
            <w:r w:rsidRPr="00495656" w:rsidDel="001653F4">
              <w:t xml:space="preserve"> </w:t>
            </w:r>
            <w:r w:rsidRPr="00495656">
              <w:t>continues to exist and some functions of the old entity have been transferred, t</w:t>
            </w:r>
            <w:r w:rsidRPr="00495656">
              <w:rPr>
                <w:lang w:eastAsia="en-AU"/>
              </w:rPr>
              <w:t xml:space="preserve">he old entity will report on the non-transferred functions for the full reporting period and the transferred functions up </w:t>
            </w:r>
            <w:r w:rsidR="008B5BD9">
              <w:rPr>
                <w:lang w:eastAsia="en-AU"/>
              </w:rPr>
              <w:t>to</w:t>
            </w:r>
            <w:r w:rsidR="008B5BD9" w:rsidRPr="00495656">
              <w:rPr>
                <w:lang w:eastAsia="en-AU"/>
              </w:rPr>
              <w:t xml:space="preserve"> </w:t>
            </w:r>
            <w:r w:rsidRPr="00495656">
              <w:rPr>
                <w:lang w:eastAsia="en-AU"/>
              </w:rPr>
              <w:t>the date of transfer; the reporting entity will report on the transferred functions from the date of transfer until the end of the reporting period</w:t>
            </w:r>
            <w:r w:rsidR="00635F1F">
              <w:rPr>
                <w:lang w:eastAsia="en-AU"/>
              </w:rPr>
              <w:t>.</w:t>
            </w:r>
            <w:r w:rsidRPr="003E6254">
              <w:t xml:space="preserve"> </w:t>
            </w:r>
          </w:p>
        </w:tc>
      </w:tr>
    </w:tbl>
    <w:p w:rsidR="00BB79E1" w:rsidRDefault="00DF30EF" w:rsidP="0096540F">
      <w:pPr>
        <w:pStyle w:val="TableText"/>
        <w:spacing w:after="0" w:line="200" w:lineRule="atLeast"/>
        <w:ind w:left="425" w:hanging="425"/>
        <w:rPr>
          <w:szCs w:val="18"/>
        </w:rPr>
      </w:pPr>
      <w:r>
        <w:t>*</w:t>
      </w:r>
      <w:r>
        <w:tab/>
      </w:r>
      <w:r w:rsidR="00C44116" w:rsidRPr="00853E9B">
        <w:rPr>
          <w:szCs w:val="18"/>
        </w:rPr>
        <w:t>AA means accountable authority, APS means annual performance statements, AFS means annual financial statements, AR means annual report.</w:t>
      </w:r>
    </w:p>
    <w:p w:rsidR="00BB79E1" w:rsidRDefault="00BB79E1">
      <w:pPr>
        <w:suppressAutoHyphens w:val="0"/>
        <w:spacing w:before="0" w:after="120" w:line="440" w:lineRule="atLeast"/>
        <w:rPr>
          <w:sz w:val="18"/>
          <w:szCs w:val="18"/>
        </w:rPr>
      </w:pPr>
      <w:r>
        <w:rPr>
          <w:szCs w:val="18"/>
        </w:rPr>
        <w:br w:type="page"/>
      </w:r>
    </w:p>
    <w:p w:rsidR="007C3D87" w:rsidRPr="0096540F" w:rsidRDefault="007C3D87" w:rsidP="0096540F">
      <w:pPr>
        <w:pStyle w:val="TableText"/>
        <w:spacing w:before="120" w:after="120" w:line="200" w:lineRule="atLeast"/>
        <w:ind w:left="425" w:hanging="425"/>
        <w:rPr>
          <w:rStyle w:val="Strong"/>
          <w:b w:val="0"/>
          <w:bCs w:val="0"/>
          <w:szCs w:val="18"/>
        </w:rPr>
      </w:pPr>
      <w:bookmarkStart w:id="41" w:name="Table3"/>
      <w:r w:rsidRPr="00FF1139">
        <w:rPr>
          <w:rStyle w:val="Strong"/>
          <w:color w:val="43848B" w:themeColor="accent1" w:themeShade="80"/>
          <w:szCs w:val="18"/>
        </w:rPr>
        <w:lastRenderedPageBreak/>
        <w:t xml:space="preserve">Table </w:t>
      </w:r>
      <w:r w:rsidR="00514FC6" w:rsidRPr="00FF1139">
        <w:rPr>
          <w:rStyle w:val="Strong"/>
          <w:color w:val="43848B" w:themeColor="accent1" w:themeShade="80"/>
          <w:szCs w:val="18"/>
        </w:rPr>
        <w:t>3:</w:t>
      </w:r>
      <w:r w:rsidR="00514FC6" w:rsidRPr="00FF1139">
        <w:rPr>
          <w:rStyle w:val="Strong"/>
          <w:color w:val="43848B" w:themeColor="accent1" w:themeShade="80"/>
          <w:szCs w:val="18"/>
        </w:rPr>
        <w:tab/>
      </w:r>
      <w:r w:rsidR="00853E9B" w:rsidRPr="00FF1139">
        <w:rPr>
          <w:rStyle w:val="Strong"/>
          <w:color w:val="43848B" w:themeColor="accent1" w:themeShade="80"/>
          <w:szCs w:val="18"/>
        </w:rPr>
        <w:t xml:space="preserve">Minister </w:t>
      </w:r>
      <w:r w:rsidRPr="00FF1139">
        <w:rPr>
          <w:rStyle w:val="Strong"/>
          <w:color w:val="43848B" w:themeColor="accent1" w:themeShade="80"/>
          <w:szCs w:val="18"/>
        </w:rPr>
        <w:t>determine</w:t>
      </w:r>
      <w:r w:rsidR="00853E9B" w:rsidRPr="00FF1139">
        <w:rPr>
          <w:rStyle w:val="Strong"/>
          <w:color w:val="43848B" w:themeColor="accent1" w:themeShade="80"/>
          <w:szCs w:val="18"/>
        </w:rPr>
        <w:t>s</w:t>
      </w:r>
      <w:r w:rsidRPr="00FF1139">
        <w:rPr>
          <w:rStyle w:val="Strong"/>
          <w:color w:val="43848B" w:themeColor="accent1" w:themeShade="80"/>
          <w:szCs w:val="18"/>
        </w:rPr>
        <w:t>, for reporting purposes,</w:t>
      </w:r>
      <w:r w:rsidR="0096540F">
        <w:rPr>
          <w:rStyle w:val="Strong"/>
          <w:color w:val="43848B" w:themeColor="accent1" w:themeShade="80"/>
          <w:szCs w:val="18"/>
        </w:rPr>
        <w:t xml:space="preserve"> transfer </w:t>
      </w:r>
      <w:r w:rsidRPr="00FF1139">
        <w:rPr>
          <w:rStyle w:val="Strong"/>
          <w:color w:val="43848B" w:themeColor="accent1" w:themeShade="80"/>
          <w:szCs w:val="18"/>
        </w:rPr>
        <w:t>has not occurred</w:t>
      </w:r>
      <w:r w:rsidR="0096540F">
        <w:rPr>
          <w:rStyle w:val="Strong"/>
          <w:color w:val="43848B" w:themeColor="accent1" w:themeShade="80"/>
          <w:szCs w:val="18"/>
        </w:rPr>
        <w:t xml:space="preserve"> (</w:t>
      </w:r>
      <w:r w:rsidR="0096540F" w:rsidRPr="00FF1139">
        <w:rPr>
          <w:rStyle w:val="Strong"/>
          <w:color w:val="43848B" w:themeColor="accent1" w:themeShade="80"/>
          <w:szCs w:val="18"/>
        </w:rPr>
        <w:t>Subdivision</w:t>
      </w:r>
      <w:r w:rsidR="0096540F">
        <w:rPr>
          <w:rStyle w:val="Strong"/>
          <w:color w:val="43848B" w:themeColor="accent1" w:themeShade="80"/>
          <w:szCs w:val="18"/>
        </w:rPr>
        <w:t xml:space="preserve"> D</w:t>
      </w:r>
      <w:r w:rsidR="0096540F" w:rsidRPr="00FF1139">
        <w:rPr>
          <w:rStyle w:val="Strong"/>
          <w:color w:val="43848B" w:themeColor="accent1" w:themeShade="80"/>
          <w:szCs w:val="18"/>
        </w:rPr>
        <w:t>)</w:t>
      </w:r>
    </w:p>
    <w:tbl>
      <w:tblPr>
        <w:tblStyle w:val="ListTable3-Accent1"/>
        <w:tblW w:w="9067" w:type="dxa"/>
        <w:tblBorders>
          <w:insideH w:val="single" w:sz="4" w:space="0" w:color="D3E7E7" w:themeColor="accent2" w:themeTint="66"/>
          <w:insideV w:val="single" w:sz="4" w:space="0" w:color="D3E7E7" w:themeColor="accent2" w:themeTint="66"/>
        </w:tblBorders>
        <w:tblLook w:val="04A0" w:firstRow="1" w:lastRow="0" w:firstColumn="1" w:lastColumn="0" w:noHBand="0" w:noVBand="1"/>
        <w:tblCaption w:val="Table 3: Minister determines, for reporting purposes, transfer has not occurred (Subdivision D)"/>
        <w:tblDescription w:val="This tables details the varying requirements for presenting annual performance statements, annual financial statements and annual reports, according to the nature and extent of the machinery of government change."/>
      </w:tblPr>
      <w:tblGrid>
        <w:gridCol w:w="1129"/>
        <w:gridCol w:w="1372"/>
        <w:gridCol w:w="1288"/>
        <w:gridCol w:w="1223"/>
        <w:gridCol w:w="1479"/>
        <w:gridCol w:w="2576"/>
      </w:tblGrid>
      <w:tr w:rsidR="007C7FB6" w:rsidRPr="004131C2" w:rsidTr="00FF113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29" w:type="dxa"/>
          </w:tcPr>
          <w:bookmarkEnd w:id="41"/>
          <w:p w:rsidR="007C7FB6" w:rsidRPr="00364E74" w:rsidRDefault="007C7FB6" w:rsidP="00364E74">
            <w:pPr>
              <w:pStyle w:val="Tablecolumnheading"/>
              <w:rPr>
                <w:b/>
              </w:rPr>
            </w:pPr>
            <w:r w:rsidRPr="00364E74">
              <w:rPr>
                <w:b/>
              </w:rPr>
              <w:t xml:space="preserve">PGPA Rule </w:t>
            </w:r>
            <w:r w:rsidR="00853E9B" w:rsidRPr="00364E74">
              <w:rPr>
                <w:b/>
              </w:rPr>
              <w:t>Section</w:t>
            </w:r>
          </w:p>
        </w:tc>
        <w:tc>
          <w:tcPr>
            <w:tcW w:w="1372" w:type="dxa"/>
          </w:tcPr>
          <w:p w:rsidR="007C7FB6" w:rsidRPr="00364E74" w:rsidRDefault="007C7FB6" w:rsidP="00364E74">
            <w:pPr>
              <w:pStyle w:val="Tablecolumnheading"/>
              <w:cnfStyle w:val="100000000000" w:firstRow="1" w:lastRow="0" w:firstColumn="0" w:lastColumn="0" w:oddVBand="0" w:evenVBand="0" w:oddHBand="0" w:evenHBand="0" w:firstRowFirstColumn="0" w:firstRowLastColumn="0" w:lastRowFirstColumn="0" w:lastRowLastColumn="0"/>
              <w:rPr>
                <w:b/>
              </w:rPr>
            </w:pPr>
            <w:r w:rsidRPr="00364E74">
              <w:rPr>
                <w:b/>
              </w:rPr>
              <w:t>Functions transferred</w:t>
            </w:r>
          </w:p>
        </w:tc>
        <w:tc>
          <w:tcPr>
            <w:tcW w:w="1288" w:type="dxa"/>
          </w:tcPr>
          <w:p w:rsidR="007C7FB6" w:rsidRPr="00364E74" w:rsidRDefault="007C7FB6" w:rsidP="00364E74">
            <w:pPr>
              <w:pStyle w:val="Tablecolumnheading"/>
              <w:cnfStyle w:val="100000000000" w:firstRow="1" w:lastRow="0" w:firstColumn="0" w:lastColumn="0" w:oddVBand="0" w:evenVBand="0" w:oddHBand="0" w:evenHBand="0" w:firstRowFirstColumn="0" w:firstRowLastColumn="0" w:lastRowFirstColumn="0" w:lastRowLastColumn="0"/>
              <w:rPr>
                <w:b/>
              </w:rPr>
            </w:pPr>
            <w:r w:rsidRPr="00364E74">
              <w:rPr>
                <w:b/>
              </w:rPr>
              <w:t>Additional criteria</w:t>
            </w:r>
          </w:p>
        </w:tc>
        <w:tc>
          <w:tcPr>
            <w:tcW w:w="1223" w:type="dxa"/>
          </w:tcPr>
          <w:p w:rsidR="007C7FB6" w:rsidRPr="00364E74" w:rsidRDefault="007C7FB6" w:rsidP="00364E74">
            <w:pPr>
              <w:pStyle w:val="Tablecolumnheading"/>
              <w:cnfStyle w:val="100000000000" w:firstRow="1" w:lastRow="0" w:firstColumn="0" w:lastColumn="0" w:oddVBand="0" w:evenVBand="0" w:oddHBand="0" w:evenHBand="0" w:firstRowFirstColumn="0" w:firstRowLastColumn="0" w:lastRowFirstColumn="0" w:lastRowLastColumn="0"/>
              <w:rPr>
                <w:b/>
              </w:rPr>
            </w:pPr>
            <w:r w:rsidRPr="00364E74">
              <w:rPr>
                <w:b/>
              </w:rPr>
              <w:t>Has old entity ceased to exist?</w:t>
            </w:r>
          </w:p>
        </w:tc>
        <w:tc>
          <w:tcPr>
            <w:tcW w:w="1479" w:type="dxa"/>
          </w:tcPr>
          <w:p w:rsidR="007C7FB6" w:rsidRPr="00364E74" w:rsidRDefault="007C7FB6" w:rsidP="00364E74">
            <w:pPr>
              <w:pStyle w:val="Tablecolumnheading"/>
              <w:cnfStyle w:val="100000000000" w:firstRow="1" w:lastRow="0" w:firstColumn="0" w:lastColumn="0" w:oddVBand="0" w:evenVBand="0" w:oddHBand="0" w:evenHBand="0" w:firstRowFirstColumn="0" w:firstRowLastColumn="0" w:lastRowFirstColumn="0" w:lastRowLastColumn="0"/>
              <w:rPr>
                <w:b/>
              </w:rPr>
            </w:pPr>
            <w:r w:rsidRPr="00364E74">
              <w:rPr>
                <w:b/>
              </w:rPr>
              <w:t>Responsible AA for the APS, AFS and A</w:t>
            </w:r>
            <w:r w:rsidR="00984DD1" w:rsidRPr="00364E74">
              <w:rPr>
                <w:b/>
              </w:rPr>
              <w:t>R*</w:t>
            </w:r>
            <w:r w:rsidRPr="00364E74">
              <w:rPr>
                <w:b/>
              </w:rPr>
              <w:t>:</w:t>
            </w:r>
          </w:p>
        </w:tc>
        <w:tc>
          <w:tcPr>
            <w:tcW w:w="2576" w:type="dxa"/>
          </w:tcPr>
          <w:p w:rsidR="007C7FB6" w:rsidRPr="00364E74" w:rsidRDefault="007C7FB6" w:rsidP="00364E74">
            <w:pPr>
              <w:pStyle w:val="Tablecolumnheading"/>
              <w:cnfStyle w:val="100000000000" w:firstRow="1" w:lastRow="0" w:firstColumn="0" w:lastColumn="0" w:oddVBand="0" w:evenVBand="0" w:oddHBand="0" w:evenHBand="0" w:firstRowFirstColumn="0" w:firstRowLastColumn="0" w:lastRowFirstColumn="0" w:lastRowLastColumn="0"/>
              <w:rPr>
                <w:b/>
              </w:rPr>
            </w:pPr>
            <w:r w:rsidRPr="00364E74">
              <w:rPr>
                <w:b/>
              </w:rPr>
              <w:t>Period for reporting</w:t>
            </w:r>
          </w:p>
        </w:tc>
      </w:tr>
      <w:tr w:rsidR="007C3D87" w:rsidRPr="000879AE" w:rsidTr="00FF1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7C3D87" w:rsidRPr="00FF1139" w:rsidRDefault="0032634A" w:rsidP="005D7EA6">
            <w:pPr>
              <w:pStyle w:val="TableText"/>
              <w:rPr>
                <w:rStyle w:val="Hyperlink"/>
                <w:i w:val="0"/>
              </w:rPr>
            </w:pPr>
            <w:hyperlink w:anchor="Section17K" w:history="1">
              <w:r w:rsidR="007C3D87" w:rsidRPr="00FF1139">
                <w:rPr>
                  <w:rStyle w:val="Hyperlink"/>
                  <w:i w:val="0"/>
                </w:rPr>
                <w:t>17K</w:t>
              </w:r>
            </w:hyperlink>
          </w:p>
        </w:tc>
        <w:tc>
          <w:tcPr>
            <w:tcW w:w="1372" w:type="dxa"/>
          </w:tcPr>
          <w:p w:rsidR="007C3D87" w:rsidRPr="005D7EA6" w:rsidRDefault="007C3D87" w:rsidP="005D7EA6">
            <w:pPr>
              <w:pStyle w:val="TableText"/>
              <w:cnfStyle w:val="000000100000" w:firstRow="0" w:lastRow="0" w:firstColumn="0" w:lastColumn="0" w:oddVBand="0" w:evenVBand="0" w:oddHBand="1" w:evenHBand="0" w:firstRowFirstColumn="0" w:firstRowLastColumn="0" w:lastRowFirstColumn="0" w:lastRowLastColumn="0"/>
            </w:pPr>
            <w:r w:rsidRPr="005D7EA6">
              <w:t>Some or all</w:t>
            </w:r>
          </w:p>
        </w:tc>
        <w:tc>
          <w:tcPr>
            <w:tcW w:w="1288" w:type="dxa"/>
          </w:tcPr>
          <w:p w:rsidR="007C3D87" w:rsidRPr="005D7EA6" w:rsidRDefault="007C3D87" w:rsidP="005D7EA6">
            <w:pPr>
              <w:pStyle w:val="TableText"/>
              <w:cnfStyle w:val="000000100000" w:firstRow="0" w:lastRow="0" w:firstColumn="0" w:lastColumn="0" w:oddVBand="0" w:evenVBand="0" w:oddHBand="1" w:evenHBand="0" w:firstRowFirstColumn="0" w:firstRowLastColumn="0" w:lastRowFirstColumn="0" w:lastRowLastColumn="0"/>
            </w:pPr>
          </w:p>
        </w:tc>
        <w:tc>
          <w:tcPr>
            <w:tcW w:w="1223" w:type="dxa"/>
          </w:tcPr>
          <w:p w:rsidR="007C3D87" w:rsidRPr="005D7EA6" w:rsidRDefault="007C3D87" w:rsidP="005D7EA6">
            <w:pPr>
              <w:pStyle w:val="TableText"/>
              <w:cnfStyle w:val="000000100000" w:firstRow="0" w:lastRow="0" w:firstColumn="0" w:lastColumn="0" w:oddVBand="0" w:evenVBand="0" w:oddHBand="1" w:evenHBand="0" w:firstRowFirstColumn="0" w:firstRowLastColumn="0" w:lastRowFirstColumn="0" w:lastRowLastColumn="0"/>
            </w:pPr>
            <w:r w:rsidRPr="005D7EA6">
              <w:t>Yes or No</w:t>
            </w:r>
          </w:p>
        </w:tc>
        <w:tc>
          <w:tcPr>
            <w:tcW w:w="1479" w:type="dxa"/>
          </w:tcPr>
          <w:p w:rsidR="007C3D87" w:rsidRPr="005D7EA6" w:rsidRDefault="00144E90" w:rsidP="005D7EA6">
            <w:pPr>
              <w:pStyle w:val="TableText"/>
              <w:cnfStyle w:val="000000100000" w:firstRow="0" w:lastRow="0" w:firstColumn="0" w:lastColumn="0" w:oddVBand="0" w:evenVBand="0" w:oddHBand="1" w:evenHBand="0" w:firstRowFirstColumn="0" w:firstRowLastColumn="0" w:lastRowFirstColumn="0" w:lastRowLastColumn="0"/>
            </w:pPr>
            <w:r w:rsidRPr="00495656">
              <w:t xml:space="preserve">AA </w:t>
            </w:r>
            <w:r w:rsidR="007C3D87" w:rsidRPr="005D7EA6">
              <w:t>of the old entity</w:t>
            </w:r>
          </w:p>
        </w:tc>
        <w:tc>
          <w:tcPr>
            <w:tcW w:w="2576" w:type="dxa"/>
          </w:tcPr>
          <w:p w:rsidR="007C3D87" w:rsidRPr="005D7EA6" w:rsidRDefault="007C3D87" w:rsidP="005D7EA6">
            <w:pPr>
              <w:pStyle w:val="TableText"/>
              <w:cnfStyle w:val="000000100000" w:firstRow="0" w:lastRow="0" w:firstColumn="0" w:lastColumn="0" w:oddVBand="0" w:evenVBand="0" w:oddHBand="1" w:evenHBand="0" w:firstRowFirstColumn="0" w:firstRowLastColumn="0" w:lastRowFirstColumn="0" w:lastRowLastColumn="0"/>
            </w:pPr>
            <w:r w:rsidRPr="005D7EA6">
              <w:t xml:space="preserve">APS, AFS and AR: </w:t>
            </w:r>
            <w:r w:rsidR="00DF30EF" w:rsidRPr="00495656">
              <w:br/>
            </w:r>
            <w:r w:rsidRPr="005D7EA6">
              <w:t>The old entity reports for the full reporting period in relation to the transferred and non-transferred functions</w:t>
            </w:r>
          </w:p>
        </w:tc>
      </w:tr>
    </w:tbl>
    <w:p w:rsidR="00167B5E" w:rsidRPr="00632806" w:rsidRDefault="00984DD1" w:rsidP="00FF1139">
      <w:pPr>
        <w:pStyle w:val="TableText"/>
        <w:spacing w:after="0" w:line="200" w:lineRule="atLeast"/>
        <w:ind w:left="425" w:hanging="425"/>
      </w:pPr>
      <w:r>
        <w:t>*</w:t>
      </w:r>
      <w:r w:rsidR="00167B5E" w:rsidRPr="004131C2">
        <w:t xml:space="preserve"> </w:t>
      </w:r>
      <w:r w:rsidR="00167B5E" w:rsidRPr="004131C2">
        <w:tab/>
        <w:t>AA means accountable authority</w:t>
      </w:r>
      <w:r w:rsidR="00167B5E">
        <w:t>, APS means annual performance statements, AFS means annual financial statements, AR means annual r</w:t>
      </w:r>
      <w:r w:rsidR="00167B5E" w:rsidRPr="004131C2">
        <w:t>eport.</w:t>
      </w:r>
    </w:p>
    <w:p w:rsidR="00BC5E8A" w:rsidRPr="00BC5E8A" w:rsidRDefault="00BC5E8A" w:rsidP="00BC5E8A">
      <w:pPr>
        <w:spacing w:before="360" w:line="340" w:lineRule="atLeast"/>
        <w:rPr>
          <w:sz w:val="30"/>
          <w:szCs w:val="30"/>
        </w:rPr>
      </w:pPr>
      <w:r w:rsidRPr="00BC5E8A">
        <w:rPr>
          <w:sz w:val="30"/>
          <w:szCs w:val="30"/>
        </w:rPr>
        <w:t>Statement of preparation for annual financial statements</w:t>
      </w:r>
    </w:p>
    <w:p w:rsidR="00853E9B" w:rsidRPr="00615365" w:rsidRDefault="00BC5E8A" w:rsidP="000F47BF">
      <w:pPr>
        <w:pStyle w:val="NumberedList1"/>
      </w:pPr>
      <w:r>
        <w:t xml:space="preserve">Under the scenarios </w:t>
      </w:r>
      <w:r w:rsidR="00853E9B" w:rsidRPr="00615365">
        <w:t xml:space="preserve">set out in sections </w:t>
      </w:r>
      <w:r w:rsidR="00853E9B" w:rsidRPr="00304DEE">
        <w:t>17A</w:t>
      </w:r>
      <w:r w:rsidR="00853E9B">
        <w:t>–1</w:t>
      </w:r>
      <w:r w:rsidR="00853E9B" w:rsidRPr="00304DEE">
        <w:t>7K</w:t>
      </w:r>
      <w:r w:rsidR="00853E9B">
        <w:t xml:space="preserve"> of the PGPA Rule</w:t>
      </w:r>
      <w:r w:rsidR="00853E9B" w:rsidRPr="00615365">
        <w:t xml:space="preserve">, </w:t>
      </w:r>
      <w:r w:rsidR="000F47BF" w:rsidRPr="00304DEE">
        <w:t>the relevant annual financial statements must include a reference to the PGPA Rule in the basis of preparation note, stating that the financial statements have been prepared in accordance with, am</w:t>
      </w:r>
      <w:r w:rsidR="000F47BF">
        <w:t xml:space="preserve">ong other things, the PGPA Rule </w:t>
      </w:r>
      <w:r w:rsidR="00853E9B">
        <w:t>as shown in the following example.</w:t>
      </w:r>
    </w:p>
    <w:p w:rsidR="007A01C2" w:rsidRDefault="00853E9B" w:rsidP="00A83F7D">
      <w:pPr>
        <w:pStyle w:val="Boxed2Text"/>
        <w:pBdr>
          <w:top w:val="single" w:sz="4" w:space="14" w:color="B4B5DF"/>
          <w:left w:val="single" w:sz="4" w:space="14" w:color="B4B5DF"/>
          <w:bottom w:val="single" w:sz="4" w:space="14" w:color="B4B5DF"/>
          <w:right w:val="single" w:sz="4" w:space="14" w:color="B4B5DF"/>
        </w:pBdr>
        <w:shd w:val="clear" w:color="auto" w:fill="B4B5DF"/>
        <w:rPr>
          <w:b/>
        </w:rPr>
      </w:pPr>
      <w:r w:rsidRPr="00615365">
        <w:rPr>
          <w:b/>
        </w:rPr>
        <w:t>E</w:t>
      </w:r>
      <w:r w:rsidRPr="00FE7216">
        <w:rPr>
          <w:b/>
        </w:rPr>
        <w:t>xample</w:t>
      </w:r>
      <w:r>
        <w:rPr>
          <w:b/>
        </w:rPr>
        <w:t xml:space="preserve"> 2: </w:t>
      </w:r>
      <w:r w:rsidR="00D50EC3">
        <w:rPr>
          <w:b/>
        </w:rPr>
        <w:t>B</w:t>
      </w:r>
      <w:r w:rsidR="00652281">
        <w:rPr>
          <w:b/>
        </w:rPr>
        <w:t xml:space="preserve">asis of preparation of </w:t>
      </w:r>
      <w:r>
        <w:rPr>
          <w:b/>
        </w:rPr>
        <w:t>financial statements</w:t>
      </w:r>
      <w:r w:rsidR="00D50EC3">
        <w:rPr>
          <w:b/>
        </w:rPr>
        <w:t xml:space="preserve"> (extract)</w:t>
      </w:r>
    </w:p>
    <w:p w:rsidR="00A83F7D" w:rsidRPr="00304DEE" w:rsidRDefault="00A83F7D" w:rsidP="00A83F7D">
      <w:pPr>
        <w:pStyle w:val="Boxed2Text"/>
        <w:pBdr>
          <w:top w:val="single" w:sz="4" w:space="14" w:color="B4B5DF"/>
          <w:left w:val="single" w:sz="4" w:space="14" w:color="B4B5DF"/>
          <w:bottom w:val="single" w:sz="4" w:space="14" w:color="B4B5DF"/>
          <w:right w:val="single" w:sz="4" w:space="14" w:color="B4B5DF"/>
        </w:pBdr>
        <w:shd w:val="clear" w:color="auto" w:fill="B4B5DF"/>
      </w:pPr>
      <w:r>
        <w:t>T</w:t>
      </w:r>
      <w:r w:rsidRPr="00304DEE">
        <w:t>he financial statements have been prepared in accordance with:</w:t>
      </w:r>
    </w:p>
    <w:p w:rsidR="00A83F7D" w:rsidRPr="00304DEE" w:rsidRDefault="00A83F7D" w:rsidP="00444717">
      <w:pPr>
        <w:pStyle w:val="Boxed2Text"/>
        <w:pBdr>
          <w:top w:val="single" w:sz="4" w:space="14" w:color="B4B5DF"/>
          <w:left w:val="single" w:sz="4" w:space="14" w:color="B4B5DF"/>
          <w:bottom w:val="single" w:sz="4" w:space="14" w:color="B4B5DF"/>
          <w:right w:val="single" w:sz="4" w:space="14" w:color="B4B5DF"/>
        </w:pBdr>
        <w:shd w:val="clear" w:color="auto" w:fill="B4B5DF"/>
        <w:ind w:left="709" w:hanging="425"/>
      </w:pPr>
      <w:r w:rsidRPr="00304DEE">
        <w:t>a)</w:t>
      </w:r>
      <w:r>
        <w:tab/>
      </w:r>
      <w:r w:rsidR="00444717">
        <w:t>Division 4 of P</w:t>
      </w:r>
      <w:r w:rsidR="00B87FE8">
        <w:t xml:space="preserve">art 2-3, </w:t>
      </w:r>
      <w:r w:rsidRPr="007A01C2">
        <w:rPr>
          <w:i/>
        </w:rPr>
        <w:t>Public Governance, Performance and Accountability Rule</w:t>
      </w:r>
      <w:r w:rsidR="00444717">
        <w:rPr>
          <w:i/>
        </w:rPr>
        <w:t> </w:t>
      </w:r>
      <w:r w:rsidRPr="007A01C2">
        <w:rPr>
          <w:i/>
        </w:rPr>
        <w:t>2014</w:t>
      </w:r>
    </w:p>
    <w:p w:rsidR="00A83F7D" w:rsidRPr="00304DEE" w:rsidRDefault="00A83F7D" w:rsidP="007A01C2">
      <w:pPr>
        <w:pStyle w:val="Boxed2Text"/>
        <w:pBdr>
          <w:top w:val="single" w:sz="4" w:space="14" w:color="B4B5DF"/>
          <w:left w:val="single" w:sz="4" w:space="14" w:color="B4B5DF"/>
          <w:bottom w:val="single" w:sz="4" w:space="14" w:color="B4B5DF"/>
          <w:right w:val="single" w:sz="4" w:space="14" w:color="B4B5DF"/>
        </w:pBdr>
        <w:shd w:val="clear" w:color="auto" w:fill="B4B5DF"/>
        <w:ind w:left="719" w:hanging="435"/>
      </w:pPr>
      <w:r w:rsidRPr="00304DEE">
        <w:t>b)</w:t>
      </w:r>
      <w:r w:rsidR="007A01C2">
        <w:tab/>
      </w:r>
      <w:r w:rsidRPr="007A01C2">
        <w:rPr>
          <w:i/>
        </w:rPr>
        <w:t>Public Governance, Performance and Accountability (Financial Reporting) Rule 2015</w:t>
      </w:r>
    </w:p>
    <w:p w:rsidR="00A83F7D" w:rsidRPr="00DA0FF8" w:rsidRDefault="00A83F7D" w:rsidP="007A01C2">
      <w:pPr>
        <w:pStyle w:val="Boxed2Text"/>
        <w:pBdr>
          <w:top w:val="single" w:sz="4" w:space="14" w:color="B4B5DF"/>
          <w:left w:val="single" w:sz="4" w:space="14" w:color="B4B5DF"/>
          <w:bottom w:val="single" w:sz="4" w:space="14" w:color="B4B5DF"/>
          <w:right w:val="single" w:sz="4" w:space="14" w:color="B4B5DF"/>
        </w:pBdr>
        <w:shd w:val="clear" w:color="auto" w:fill="B4B5DF"/>
        <w:ind w:left="719" w:hanging="435"/>
      </w:pPr>
      <w:r w:rsidRPr="00304DEE">
        <w:t xml:space="preserve">c) </w:t>
      </w:r>
      <w:r w:rsidR="007A01C2">
        <w:tab/>
      </w:r>
      <w:r w:rsidRPr="004E65FA">
        <w:rPr>
          <w:i/>
        </w:rPr>
        <w:t>Australian Accounting Standards and Interpretations – Reduced Disclosure Requirements</w:t>
      </w:r>
      <w:r w:rsidRPr="00304DEE">
        <w:t xml:space="preserve"> issued by the Australian Accounting Standards Board (AASB) that apply for the reporting period.</w:t>
      </w:r>
    </w:p>
    <w:p w:rsidR="00F124B6" w:rsidRPr="00741464" w:rsidRDefault="00F124B6" w:rsidP="00A97A6F">
      <w:pPr>
        <w:pStyle w:val="Heading1"/>
        <w:shd w:val="clear" w:color="auto" w:fill="BDDCDF" w:themeFill="accent1"/>
        <w:spacing w:line="240" w:lineRule="auto"/>
        <w:ind w:left="1560" w:hanging="1560"/>
        <w:contextualSpacing w:val="0"/>
        <w:rPr>
          <w:rFonts w:cs="Arial"/>
          <w:color w:val="000000" w:themeColor="text1"/>
          <w:szCs w:val="40"/>
        </w:rPr>
      </w:pPr>
      <w:bookmarkStart w:id="42" w:name="_Toc42245001"/>
      <w:r>
        <w:rPr>
          <w:rFonts w:cs="Arial"/>
          <w:color w:val="000000" w:themeColor="text1"/>
          <w:szCs w:val="40"/>
        </w:rPr>
        <w:t xml:space="preserve">Part 3 </w:t>
      </w:r>
      <w:r>
        <w:t>–</w:t>
      </w:r>
      <w:r>
        <w:rPr>
          <w:rFonts w:cs="Arial"/>
          <w:color w:val="000000" w:themeColor="text1"/>
          <w:szCs w:val="40"/>
        </w:rPr>
        <w:t xml:space="preserve"> </w:t>
      </w:r>
      <w:bookmarkStart w:id="43" w:name="Entityceasednotransfer"/>
      <w:r w:rsidR="00582FDC">
        <w:t xml:space="preserve">Entity </w:t>
      </w:r>
      <w:r w:rsidR="003B3D1D">
        <w:t xml:space="preserve">has </w:t>
      </w:r>
      <w:r>
        <w:t>ceased to exist</w:t>
      </w:r>
      <w:bookmarkEnd w:id="42"/>
      <w:bookmarkEnd w:id="43"/>
    </w:p>
    <w:p w:rsidR="00A32AE1" w:rsidRPr="00741464" w:rsidRDefault="00A32AE1" w:rsidP="001143C6">
      <w:pPr>
        <w:pStyle w:val="Heading2"/>
        <w:rPr>
          <w:rFonts w:cs="Arial"/>
          <w:color w:val="000000" w:themeColor="text1"/>
          <w:szCs w:val="40"/>
        </w:rPr>
      </w:pPr>
      <w:bookmarkStart w:id="44" w:name="_Toc42245002"/>
      <w:r>
        <w:t xml:space="preserve">Entity </w:t>
      </w:r>
      <w:r w:rsidR="00336732">
        <w:t xml:space="preserve">has </w:t>
      </w:r>
      <w:r>
        <w:t>ceased to exist -</w:t>
      </w:r>
      <w:r>
        <w:rPr>
          <w:rFonts w:cs="Arial"/>
          <w:color w:val="000000" w:themeColor="text1"/>
          <w:szCs w:val="40"/>
        </w:rPr>
        <w:t xml:space="preserve"> no functions </w:t>
      </w:r>
      <w:r w:rsidR="00EF3F95">
        <w:rPr>
          <w:rFonts w:cs="Arial"/>
          <w:color w:val="000000" w:themeColor="text1"/>
          <w:szCs w:val="40"/>
        </w:rPr>
        <w:t xml:space="preserve">have </w:t>
      </w:r>
      <w:r>
        <w:rPr>
          <w:rFonts w:cs="Arial"/>
          <w:color w:val="000000" w:themeColor="text1"/>
          <w:szCs w:val="40"/>
        </w:rPr>
        <w:t>transferred</w:t>
      </w:r>
      <w:bookmarkEnd w:id="44"/>
    </w:p>
    <w:p w:rsidR="007452AF" w:rsidRDefault="00635F1F" w:rsidP="001143C6">
      <w:pPr>
        <w:pStyle w:val="NumberedList1"/>
      </w:pPr>
      <w:bookmarkStart w:id="45" w:name="Section17B"/>
      <w:r>
        <w:t>S</w:t>
      </w:r>
      <w:r w:rsidR="00F124B6">
        <w:t>ection 17B</w:t>
      </w:r>
      <w:r w:rsidR="00582FDC">
        <w:t xml:space="preserve"> </w:t>
      </w:r>
      <w:bookmarkEnd w:id="45"/>
      <w:r w:rsidR="00582FDC">
        <w:t xml:space="preserve">of the </w:t>
      </w:r>
      <w:hyperlink r:id="rId31" w:history="1">
        <w:r w:rsidR="00BB3C87" w:rsidRPr="003E6254">
          <w:rPr>
            <w:rStyle w:val="Hyperlink"/>
            <w:i w:val="0"/>
          </w:rPr>
          <w:t>PGPA Rule</w:t>
        </w:r>
      </w:hyperlink>
      <w:r w:rsidR="00BB3C87" w:rsidRPr="00BB3C87">
        <w:rPr>
          <w:rStyle w:val="Hyperlink"/>
          <w:i w:val="0"/>
          <w:u w:val="none"/>
        </w:rPr>
        <w:t xml:space="preserve"> </w:t>
      </w:r>
      <w:r w:rsidR="00582FDC">
        <w:t xml:space="preserve">applies where an </w:t>
      </w:r>
      <w:r w:rsidR="00F124B6">
        <w:t xml:space="preserve">entity (the </w:t>
      </w:r>
      <w:r w:rsidR="00582FDC">
        <w:t>old entity) has ceased to exist</w:t>
      </w:r>
      <w:r w:rsidR="00E1769C">
        <w:t xml:space="preserve"> but </w:t>
      </w:r>
      <w:r w:rsidR="002D3F0C">
        <w:t>none of its functions have been</w:t>
      </w:r>
      <w:r w:rsidR="00F124B6">
        <w:t xml:space="preserve"> t</w:t>
      </w:r>
      <w:r w:rsidR="00582FDC">
        <w:t>ransferred to other</w:t>
      </w:r>
      <w:r w:rsidR="00F124B6">
        <w:t xml:space="preserve"> entities.</w:t>
      </w:r>
    </w:p>
    <w:p w:rsidR="00A32AE1" w:rsidRPr="00495656" w:rsidRDefault="00A32AE1" w:rsidP="00495656">
      <w:pPr>
        <w:spacing w:before="360" w:line="340" w:lineRule="atLeast"/>
        <w:rPr>
          <w:sz w:val="30"/>
          <w:szCs w:val="30"/>
        </w:rPr>
      </w:pPr>
      <w:r w:rsidRPr="00495656">
        <w:rPr>
          <w:sz w:val="30"/>
          <w:szCs w:val="30"/>
        </w:rPr>
        <w:t>Presentation</w:t>
      </w:r>
      <w:r w:rsidR="002D3F0C" w:rsidRPr="00495656">
        <w:rPr>
          <w:sz w:val="30"/>
          <w:szCs w:val="30"/>
        </w:rPr>
        <w:t xml:space="preserve"> within the annual report</w:t>
      </w:r>
    </w:p>
    <w:p w:rsidR="007452AF" w:rsidRDefault="007452AF" w:rsidP="007452AF">
      <w:pPr>
        <w:pStyle w:val="NumberedList1"/>
      </w:pPr>
      <w:r>
        <w:t xml:space="preserve">Subsection 17B(1) of the </w:t>
      </w:r>
      <w:hyperlink r:id="rId32" w:history="1">
        <w:r w:rsidR="00BB3C87" w:rsidRPr="003E6254">
          <w:rPr>
            <w:rStyle w:val="Hyperlink"/>
            <w:i w:val="0"/>
          </w:rPr>
          <w:t>PGPA Rule</w:t>
        </w:r>
      </w:hyperlink>
      <w:r>
        <w:t xml:space="preserve"> enables the Finance Minister to </w:t>
      </w:r>
      <w:r w:rsidR="006C4A86">
        <w:t>nominate an</w:t>
      </w:r>
      <w:r>
        <w:t xml:space="preserve"> accountable authority of an entity (the nominated entity) to report for the ol</w:t>
      </w:r>
      <w:r w:rsidR="00716C9D">
        <w:t>d entity.</w:t>
      </w:r>
    </w:p>
    <w:p w:rsidR="006133D8" w:rsidRDefault="007C46EB" w:rsidP="000B34A8">
      <w:pPr>
        <w:pStyle w:val="NumberedList1"/>
      </w:pPr>
      <w:r>
        <w:lastRenderedPageBreak/>
        <w:t xml:space="preserve">For this scenario, </w:t>
      </w:r>
      <w:r w:rsidR="00E1769C">
        <w:t xml:space="preserve">the nominated entity must prepare </w:t>
      </w:r>
      <w:r>
        <w:t>s</w:t>
      </w:r>
      <w:r w:rsidR="00F124B6">
        <w:t>eparate annual performance statements, annual financial statements and a separate annual rep</w:t>
      </w:r>
      <w:r w:rsidR="00E1769C">
        <w:t xml:space="preserve">ort </w:t>
      </w:r>
      <w:r w:rsidR="00F124B6">
        <w:t>for the old entity</w:t>
      </w:r>
      <w:r w:rsidR="00E1769C">
        <w:t>,</w:t>
      </w:r>
      <w:r w:rsidR="00F124B6">
        <w:t xml:space="preserve"> o</w:t>
      </w:r>
      <w:r>
        <w:t>n</w:t>
      </w:r>
      <w:r w:rsidR="000B34A8">
        <w:t xml:space="preserve"> the non-transferred functions. </w:t>
      </w:r>
    </w:p>
    <w:p w:rsidR="000B34A8" w:rsidRDefault="006133D8" w:rsidP="001143C6">
      <w:pPr>
        <w:pStyle w:val="NumberedList1"/>
      </w:pPr>
      <w:r>
        <w:t>Under subsection 17B(2) of the PGPA Rule</w:t>
      </w:r>
      <w:r w:rsidRPr="006C7ED4">
        <w:t xml:space="preserve"> </w:t>
      </w:r>
      <w:r>
        <w:t xml:space="preserve">the </w:t>
      </w:r>
      <w:r w:rsidRPr="006C7ED4">
        <w:t>annu</w:t>
      </w:r>
      <w:r>
        <w:t>al performance statements and</w:t>
      </w:r>
      <w:r w:rsidRPr="006C7ED4">
        <w:t xml:space="preserve"> annual report </w:t>
      </w:r>
      <w:r>
        <w:t xml:space="preserve">prepared </w:t>
      </w:r>
      <w:r w:rsidRPr="006C7ED4">
        <w:t>for the old enti</w:t>
      </w:r>
      <w:r>
        <w:t xml:space="preserve">ty must include all information required of the old entity (ie as if it still </w:t>
      </w:r>
      <w:r w:rsidRPr="00B55887">
        <w:t>exist</w:t>
      </w:r>
      <w:r>
        <w:t>ed)</w:t>
      </w:r>
      <w:r w:rsidRPr="00B55887">
        <w:t>.</w:t>
      </w:r>
      <w:r>
        <w:t xml:space="preserve"> </w:t>
      </w:r>
      <w:r w:rsidR="000B34A8">
        <w:t>This means that the annual report</w:t>
      </w:r>
      <w:r w:rsidR="008F02D5">
        <w:t xml:space="preserve">, prepared </w:t>
      </w:r>
      <w:r w:rsidR="000B34A8">
        <w:t xml:space="preserve">for the old entity, must </w:t>
      </w:r>
      <w:r>
        <w:t xml:space="preserve">also </w:t>
      </w:r>
      <w:r w:rsidR="000B34A8">
        <w:t>include:</w:t>
      </w:r>
    </w:p>
    <w:p w:rsidR="000B34A8" w:rsidRDefault="000B34A8" w:rsidP="000B34A8">
      <w:pPr>
        <w:pStyle w:val="Bullet1"/>
      </w:pPr>
      <w:r>
        <w:t>the annual performance statements for the old entity</w:t>
      </w:r>
    </w:p>
    <w:p w:rsidR="000B34A8" w:rsidRDefault="000B34A8" w:rsidP="000B34A8">
      <w:pPr>
        <w:pStyle w:val="Bullet1"/>
      </w:pPr>
      <w:r>
        <w:t>audited annual financial statements for the old entity</w:t>
      </w:r>
    </w:p>
    <w:p w:rsidR="000B34A8" w:rsidRDefault="000B34A8" w:rsidP="001143C6">
      <w:pPr>
        <w:pStyle w:val="Bullet1"/>
      </w:pPr>
      <w:r>
        <w:t>any other information required under the old entity’s enabling legislation.</w:t>
      </w:r>
    </w:p>
    <w:p w:rsidR="006133D8" w:rsidRPr="006133D8" w:rsidRDefault="000B34A8" w:rsidP="006133D8">
      <w:pPr>
        <w:pStyle w:val="NumberedList1"/>
      </w:pPr>
      <w:r>
        <w:t>The</w:t>
      </w:r>
      <w:r w:rsidR="006133D8">
        <w:t>se</w:t>
      </w:r>
      <w:r>
        <w:t xml:space="preserve"> </w:t>
      </w:r>
      <w:r>
        <w:rPr>
          <w:rFonts w:cstheme="minorHAnsi"/>
        </w:rPr>
        <w:t xml:space="preserve">reports are to address </w:t>
      </w:r>
      <w:r w:rsidRPr="004131C2">
        <w:rPr>
          <w:rFonts w:cstheme="minorHAnsi"/>
        </w:rPr>
        <w:t>the</w:t>
      </w:r>
      <w:r>
        <w:rPr>
          <w:rFonts w:cstheme="minorHAnsi"/>
        </w:rPr>
        <w:t xml:space="preserve"> old entity’s</w:t>
      </w:r>
      <w:r w:rsidRPr="004131C2">
        <w:rPr>
          <w:rFonts w:cstheme="minorHAnsi"/>
        </w:rPr>
        <w:t xml:space="preserve"> </w:t>
      </w:r>
      <w:r>
        <w:rPr>
          <w:rFonts w:cstheme="minorHAnsi"/>
        </w:rPr>
        <w:t xml:space="preserve">non-transferred functions for </w:t>
      </w:r>
      <w:r w:rsidR="008F02D5">
        <w:rPr>
          <w:rFonts w:cstheme="minorHAnsi"/>
        </w:rPr>
        <w:t xml:space="preserve">the </w:t>
      </w:r>
      <w:r w:rsidRPr="004131C2">
        <w:rPr>
          <w:rFonts w:cstheme="minorHAnsi"/>
        </w:rPr>
        <w:t>full reporting period</w:t>
      </w:r>
      <w:r w:rsidR="00F21E06">
        <w:rPr>
          <w:rFonts w:cstheme="minorHAnsi"/>
        </w:rPr>
        <w:t>.</w:t>
      </w:r>
    </w:p>
    <w:p w:rsidR="000B34A8" w:rsidRDefault="000B34A8" w:rsidP="001143C6">
      <w:pPr>
        <w:pStyle w:val="NumberedList1"/>
      </w:pPr>
      <w:r>
        <w:t>The content of the annual performance statements and annual report will be dictated by the</w:t>
      </w:r>
      <w:r w:rsidR="006133D8">
        <w:t xml:space="preserve"> </w:t>
      </w:r>
      <w:r>
        <w:t>nature and significance of the functions performed</w:t>
      </w:r>
      <w:r w:rsidR="008F02D5">
        <w:t>,</w:t>
      </w:r>
      <w:r w:rsidR="006133D8">
        <w:t xml:space="preserve"> and length of time that the functions were performed by the old entity during the reporting period.</w:t>
      </w:r>
    </w:p>
    <w:p w:rsidR="00593711" w:rsidRDefault="007C46EB">
      <w:pPr>
        <w:pStyle w:val="NumberedList1"/>
      </w:pPr>
      <w:r>
        <w:t>However,</w:t>
      </w:r>
      <w:r w:rsidR="005C491D">
        <w:t xml:space="preserve"> the </w:t>
      </w:r>
      <w:r w:rsidR="00F124B6">
        <w:t>account</w:t>
      </w:r>
      <w:r>
        <w:t>a</w:t>
      </w:r>
      <w:r w:rsidR="00E1769C">
        <w:t xml:space="preserve">ble authority </w:t>
      </w:r>
      <w:r w:rsidR="005C491D">
        <w:t xml:space="preserve">of the nominated entity </w:t>
      </w:r>
      <w:r w:rsidR="00E1769C">
        <w:t xml:space="preserve">has discretion in </w:t>
      </w:r>
      <w:r w:rsidR="00F124B6">
        <w:t>h</w:t>
      </w:r>
      <w:r w:rsidR="006133D8">
        <w:t>ow the reports for the old entity</w:t>
      </w:r>
      <w:r>
        <w:t xml:space="preserve"> are </w:t>
      </w:r>
      <w:r w:rsidR="000118E9">
        <w:t>presented.</w:t>
      </w:r>
    </w:p>
    <w:p w:rsidR="007C46EB" w:rsidRPr="001143C6" w:rsidRDefault="007C46EB" w:rsidP="001143C6">
      <w:pPr>
        <w:pStyle w:val="Boxed2Text"/>
        <w:pBdr>
          <w:top w:val="single" w:sz="4" w:space="14" w:color="B4B5DF"/>
          <w:left w:val="single" w:sz="4" w:space="14" w:color="B4B5DF"/>
          <w:bottom w:val="single" w:sz="4" w:space="14" w:color="B4B5DF"/>
          <w:right w:val="single" w:sz="4" w:space="14" w:color="B4B5DF"/>
        </w:pBdr>
        <w:shd w:val="clear" w:color="auto" w:fill="B4B5DF"/>
        <w:rPr>
          <w:b/>
        </w:rPr>
      </w:pPr>
      <w:r w:rsidRPr="001143C6">
        <w:rPr>
          <w:b/>
        </w:rPr>
        <w:t>Example</w:t>
      </w:r>
      <w:r w:rsidR="00E21458">
        <w:rPr>
          <w:b/>
        </w:rPr>
        <w:t xml:space="preserve"> 3</w:t>
      </w:r>
      <w:r w:rsidR="0066788E">
        <w:rPr>
          <w:b/>
        </w:rPr>
        <w:t>: P</w:t>
      </w:r>
      <w:r w:rsidR="00212EE9">
        <w:rPr>
          <w:b/>
        </w:rPr>
        <w:t xml:space="preserve">resenting </w:t>
      </w:r>
      <w:r w:rsidR="00E1769C">
        <w:rPr>
          <w:b/>
        </w:rPr>
        <w:t xml:space="preserve">of </w:t>
      </w:r>
      <w:r w:rsidR="00212EE9">
        <w:rPr>
          <w:b/>
        </w:rPr>
        <w:t>annual statements and report for an old entity</w:t>
      </w:r>
    </w:p>
    <w:p w:rsidR="000118E9" w:rsidRDefault="000118E9" w:rsidP="001143C6">
      <w:pPr>
        <w:pStyle w:val="Boxed2Text"/>
        <w:pBdr>
          <w:top w:val="single" w:sz="4" w:space="14" w:color="B4B5DF"/>
          <w:left w:val="single" w:sz="4" w:space="14" w:color="B4B5DF"/>
          <w:bottom w:val="single" w:sz="4" w:space="14" w:color="B4B5DF"/>
          <w:right w:val="single" w:sz="4" w:space="14" w:color="B4B5DF"/>
        </w:pBdr>
        <w:shd w:val="clear" w:color="auto" w:fill="B4B5DF"/>
      </w:pPr>
      <w:r>
        <w:t xml:space="preserve">It may </w:t>
      </w:r>
      <w:r w:rsidR="006133D8">
        <w:t xml:space="preserve">be </w:t>
      </w:r>
      <w:r>
        <w:t>help</w:t>
      </w:r>
      <w:r w:rsidR="006133D8">
        <w:t>ful for</w:t>
      </w:r>
      <w:r>
        <w:t xml:space="preserve"> users of annual reports (whic</w:t>
      </w:r>
      <w:r w:rsidR="005B4F8A">
        <w:t>h incorporate</w:t>
      </w:r>
      <w:r>
        <w:t xml:space="preserve"> </w:t>
      </w:r>
      <w:r w:rsidR="00212EE9">
        <w:t>a</w:t>
      </w:r>
      <w:r w:rsidR="007C46EB">
        <w:t>nnual performan</w:t>
      </w:r>
      <w:r>
        <w:t>ce statements and</w:t>
      </w:r>
      <w:r w:rsidR="007C46EB">
        <w:t xml:space="preserve"> annual financial statements</w:t>
      </w:r>
      <w:r>
        <w:t xml:space="preserve">) </w:t>
      </w:r>
      <w:r w:rsidR="00212EE9">
        <w:t xml:space="preserve">if </w:t>
      </w:r>
      <w:r w:rsidR="00180FCE">
        <w:t xml:space="preserve">the </w:t>
      </w:r>
      <w:r w:rsidR="006C4A86">
        <w:t xml:space="preserve">annual report of the </w:t>
      </w:r>
      <w:r w:rsidR="005C491D">
        <w:t xml:space="preserve">nominated </w:t>
      </w:r>
      <w:r>
        <w:t>entity</w:t>
      </w:r>
      <w:r w:rsidR="005B4F8A">
        <w:t xml:space="preserve"> </w:t>
      </w:r>
      <w:r w:rsidR="000B34A8">
        <w:t>presents</w:t>
      </w:r>
      <w:r>
        <w:t xml:space="preserve"> </w:t>
      </w:r>
      <w:r w:rsidR="000B34A8">
        <w:t>the reports for the old entity in a</w:t>
      </w:r>
      <w:r w:rsidR="005B4F8A">
        <w:t xml:space="preserve"> </w:t>
      </w:r>
      <w:r>
        <w:t>separate section or appendix</w:t>
      </w:r>
      <w:r w:rsidR="005B4F8A">
        <w:t>.</w:t>
      </w:r>
    </w:p>
    <w:p w:rsidR="00F124B6" w:rsidRDefault="00180FCE" w:rsidP="001143C6">
      <w:pPr>
        <w:pStyle w:val="Boxed2Text"/>
        <w:pBdr>
          <w:top w:val="single" w:sz="4" w:space="14" w:color="B4B5DF"/>
          <w:left w:val="single" w:sz="4" w:space="14" w:color="B4B5DF"/>
          <w:bottom w:val="single" w:sz="4" w:space="14" w:color="B4B5DF"/>
          <w:right w:val="single" w:sz="4" w:space="14" w:color="B4B5DF"/>
        </w:pBdr>
        <w:shd w:val="clear" w:color="auto" w:fill="B4B5DF"/>
      </w:pPr>
      <w:r>
        <w:t>Regardless of the approach</w:t>
      </w:r>
      <w:r w:rsidR="005B4F8A">
        <w:t xml:space="preserve"> adopted</w:t>
      </w:r>
      <w:r w:rsidR="00212EE9">
        <w:t xml:space="preserve">, the </w:t>
      </w:r>
      <w:r w:rsidR="00F124B6">
        <w:t>statements a</w:t>
      </w:r>
      <w:r w:rsidR="00212EE9">
        <w:t>nd report for the old entity must be</w:t>
      </w:r>
      <w:r w:rsidR="00F124B6">
        <w:t xml:space="preserve"> clearly distinguishable from those relating to the nominated entity.</w:t>
      </w:r>
    </w:p>
    <w:p w:rsidR="005120FA" w:rsidRDefault="005120FA" w:rsidP="00CC3905">
      <w:pPr>
        <w:spacing w:before="360" w:line="340" w:lineRule="atLeast"/>
        <w:rPr>
          <w:sz w:val="30"/>
          <w:szCs w:val="30"/>
        </w:rPr>
      </w:pPr>
      <w:r w:rsidRPr="00CC3905">
        <w:rPr>
          <w:sz w:val="30"/>
          <w:szCs w:val="30"/>
        </w:rPr>
        <w:t>Annual performance statements</w:t>
      </w:r>
    </w:p>
    <w:p w:rsidR="009D2A80" w:rsidRDefault="009D2A80" w:rsidP="009D2A80">
      <w:pPr>
        <w:pStyle w:val="NumberedList1"/>
        <w:numPr>
          <w:ilvl w:val="0"/>
          <w:numId w:val="23"/>
        </w:numPr>
        <w:ind w:left="426" w:hanging="426"/>
      </w:pPr>
      <w:r>
        <w:t>The content of the annual performance statements and annual report will be dictated by:</w:t>
      </w:r>
    </w:p>
    <w:p w:rsidR="009D2A80" w:rsidRDefault="009D2A80" w:rsidP="009D2A80">
      <w:pPr>
        <w:pStyle w:val="Bullet1"/>
        <w:numPr>
          <w:ilvl w:val="2"/>
          <w:numId w:val="139"/>
        </w:numPr>
      </w:pPr>
      <w:r>
        <w:t>the nature and significance of the functions performed</w:t>
      </w:r>
    </w:p>
    <w:p w:rsidR="002415C0" w:rsidRDefault="009D2A80" w:rsidP="002415C0">
      <w:pPr>
        <w:pStyle w:val="Bullet1"/>
        <w:numPr>
          <w:ilvl w:val="2"/>
          <w:numId w:val="139"/>
        </w:numPr>
      </w:pPr>
      <w:r>
        <w:t>the length of time the functions were performed by the entity during the reporting period.</w:t>
      </w:r>
    </w:p>
    <w:p w:rsidR="002415C0" w:rsidRDefault="002415C0" w:rsidP="00410FAB">
      <w:pPr>
        <w:pStyle w:val="NumberedList1"/>
      </w:pPr>
      <w:r w:rsidRPr="002415C0">
        <w:t xml:space="preserve">Where the functions were substantial and contributed in a significant manner to achieving the purposes of the entity before the entity ceases to exist, and were performed for the majority of the reporting period, it can be expected that the annual performance statements would report in a meaningful way on the performance of these functions. </w:t>
      </w:r>
    </w:p>
    <w:p w:rsidR="002415C0" w:rsidRPr="002415C0" w:rsidRDefault="002415C0" w:rsidP="002415C0">
      <w:pPr>
        <w:pStyle w:val="NumberedList1"/>
      </w:pPr>
      <w:r w:rsidRPr="002415C0">
        <w:t xml:space="preserve">The performance measures and targets relating to the functions performed should be used to report on the level of performance achieved up until the date the entity ceased to exist. The annual performance statements must also include an analysis of the factors </w:t>
      </w:r>
      <w:r w:rsidRPr="002415C0">
        <w:lastRenderedPageBreak/>
        <w:t>that contributed to the old entity’s performance, as required by Item 3 of subsection</w:t>
      </w:r>
      <w:r>
        <w:t> </w:t>
      </w:r>
      <w:r w:rsidRPr="002415C0">
        <w:t xml:space="preserve">16F(2) of the </w:t>
      </w:r>
      <w:hyperlink r:id="rId33" w:history="1">
        <w:r w:rsidRPr="002415C0">
          <w:rPr>
            <w:rStyle w:val="Hyperlink"/>
            <w:i w:val="0"/>
            <w:u w:val="none"/>
          </w:rPr>
          <w:t>PGPA Rule</w:t>
        </w:r>
      </w:hyperlink>
      <w:r w:rsidRPr="002415C0">
        <w:t>. It is expected that the annual report will also report in a substantive way on the operations of the old entity for the reporting period, up until the date it ceased to exist.</w:t>
      </w:r>
    </w:p>
    <w:p w:rsidR="00F124B6" w:rsidRDefault="005C491D" w:rsidP="001143C6">
      <w:pPr>
        <w:pStyle w:val="NumberedList1"/>
      </w:pPr>
      <w:r>
        <w:t>On the other hand, if</w:t>
      </w:r>
      <w:r w:rsidR="00F124B6">
        <w:t xml:space="preserve"> the functions are relatively minor</w:t>
      </w:r>
      <w:r>
        <w:t xml:space="preserve"> </w:t>
      </w:r>
      <w:r w:rsidR="00F124B6">
        <w:t>and only contributed in a minor way to the achievement of the old entity’s purposes, the annual performance sta</w:t>
      </w:r>
      <w:r>
        <w:t xml:space="preserve">tements and annual report could </w:t>
      </w:r>
      <w:r w:rsidR="00F124B6">
        <w:t>c</w:t>
      </w:r>
      <w:r>
        <w:t xml:space="preserve">onsist of </w:t>
      </w:r>
      <w:r w:rsidR="002117FD">
        <w:t xml:space="preserve">a </w:t>
      </w:r>
      <w:r>
        <w:t xml:space="preserve">concise </w:t>
      </w:r>
      <w:r w:rsidR="002117FD">
        <w:t>explanation to the effect</w:t>
      </w:r>
      <w:r>
        <w:t>—</w:t>
      </w:r>
      <w:r w:rsidR="008F02D5">
        <w:t xml:space="preserve">while still providing </w:t>
      </w:r>
      <w:r w:rsidR="00F124B6">
        <w:t xml:space="preserve">sufficient information to meet the </w:t>
      </w:r>
      <w:r w:rsidR="009A7758">
        <w:t xml:space="preserve">requirements of the </w:t>
      </w:r>
      <w:r w:rsidR="00F21E06">
        <w:t>PGPA Rule.</w:t>
      </w:r>
    </w:p>
    <w:p w:rsidR="00F124B6" w:rsidRPr="00CC3905" w:rsidRDefault="00F124B6" w:rsidP="00CC3905">
      <w:pPr>
        <w:spacing w:before="360" w:line="340" w:lineRule="atLeast"/>
        <w:rPr>
          <w:sz w:val="30"/>
          <w:szCs w:val="30"/>
        </w:rPr>
      </w:pPr>
      <w:r w:rsidRPr="00CC3905">
        <w:rPr>
          <w:sz w:val="30"/>
          <w:szCs w:val="30"/>
        </w:rPr>
        <w:t>Annual financial statements</w:t>
      </w:r>
    </w:p>
    <w:p w:rsidR="00F124B6" w:rsidRPr="007B4B59" w:rsidRDefault="006F7A51">
      <w:pPr>
        <w:pStyle w:val="NumberedList1"/>
      </w:pPr>
      <w:r>
        <w:t>Under subsection 17B(2)(b) of the PGPA Rule, t</w:t>
      </w:r>
      <w:r w:rsidR="00F124B6" w:rsidRPr="001D28CA">
        <w:t>he accountable authority of the nominated entity must prepare the annual financial statements for the old entity</w:t>
      </w:r>
      <w:r w:rsidR="008F02D5">
        <w:t>. T</w:t>
      </w:r>
      <w:r w:rsidR="00F124B6" w:rsidRPr="007E0700">
        <w:t>he</w:t>
      </w:r>
      <w:r w:rsidR="008F02D5">
        <w:t>se should be consistent with those the</w:t>
      </w:r>
      <w:r w:rsidR="00F124B6" w:rsidRPr="007E0700">
        <w:t xml:space="preserve"> accountable authority o</w:t>
      </w:r>
      <w:r w:rsidR="009A7758">
        <w:t>f the old entity was</w:t>
      </w:r>
      <w:r w:rsidR="00F124B6" w:rsidRPr="007E0700">
        <w:t xml:space="preserve"> required </w:t>
      </w:r>
      <w:r w:rsidR="008F02D5">
        <w:t xml:space="preserve">to prepare had that </w:t>
      </w:r>
      <w:r w:rsidR="00F124B6">
        <w:t>entity not ceased to exist.</w:t>
      </w:r>
    </w:p>
    <w:p w:rsidR="00F124B6" w:rsidRPr="007B4B59" w:rsidRDefault="006F7A51">
      <w:pPr>
        <w:pStyle w:val="NumberedList1"/>
      </w:pPr>
      <w:r>
        <w:t>Under subsection 17B(2)(c) of the PGPA Rule, t</w:t>
      </w:r>
      <w:r w:rsidR="00F124B6" w:rsidRPr="007B4B59">
        <w:t>he accountable authority of the nominated entity must give the annual financial statements to the Auditor-General as soon as practicable after they are prepared.</w:t>
      </w:r>
    </w:p>
    <w:p w:rsidR="00F124B6" w:rsidRDefault="007C3D87" w:rsidP="001143C6">
      <w:pPr>
        <w:pStyle w:val="Heading2"/>
      </w:pPr>
      <w:bookmarkStart w:id="46" w:name="_Toc42245003"/>
      <w:bookmarkStart w:id="47" w:name="Entityceasedwithtransfer"/>
      <w:r>
        <w:t>E</w:t>
      </w:r>
      <w:r w:rsidR="00F124B6" w:rsidRPr="006938CF">
        <w:t xml:space="preserve">ntity </w:t>
      </w:r>
      <w:r w:rsidR="00336732">
        <w:t xml:space="preserve">has </w:t>
      </w:r>
      <w:r w:rsidR="00A32AE1" w:rsidRPr="00510D4D">
        <w:t>ceased</w:t>
      </w:r>
      <w:r w:rsidR="00F124B6" w:rsidRPr="00F834A7">
        <w:t xml:space="preserve"> to exist </w:t>
      </w:r>
      <w:r w:rsidR="00A32AE1">
        <w:t xml:space="preserve">- some </w:t>
      </w:r>
      <w:r>
        <w:t>functions</w:t>
      </w:r>
      <w:r w:rsidR="00F124B6" w:rsidRPr="006C7ED4">
        <w:t xml:space="preserve"> </w:t>
      </w:r>
      <w:r w:rsidR="009A7758">
        <w:t xml:space="preserve">have </w:t>
      </w:r>
      <w:r w:rsidR="00F124B6" w:rsidRPr="006938CF">
        <w:t>transferred</w:t>
      </w:r>
      <w:bookmarkEnd w:id="46"/>
      <w:r w:rsidR="00F124B6" w:rsidRPr="006938CF">
        <w:t xml:space="preserve"> </w:t>
      </w:r>
    </w:p>
    <w:p w:rsidR="00F124B6" w:rsidRDefault="00F124B6" w:rsidP="00EF3F95">
      <w:pPr>
        <w:pStyle w:val="NumberedList1"/>
      </w:pPr>
      <w:bookmarkStart w:id="48" w:name="Section17C"/>
      <w:bookmarkEnd w:id="47"/>
      <w:r>
        <w:t>Section 17C</w:t>
      </w:r>
      <w:r w:rsidR="00510D4D">
        <w:t xml:space="preserve"> </w:t>
      </w:r>
      <w:bookmarkEnd w:id="48"/>
      <w:r w:rsidR="00510D4D">
        <w:t xml:space="preserve">of the </w:t>
      </w:r>
      <w:hyperlink r:id="rId34" w:history="1">
        <w:r w:rsidR="00BB3C87" w:rsidRPr="003E6254">
          <w:rPr>
            <w:rStyle w:val="Hyperlink"/>
            <w:i w:val="0"/>
          </w:rPr>
          <w:t>PGPA Rule</w:t>
        </w:r>
      </w:hyperlink>
      <w:r>
        <w:t xml:space="preserve"> app</w:t>
      </w:r>
      <w:r w:rsidR="00510D4D">
        <w:t xml:space="preserve">lies where </w:t>
      </w:r>
      <w:r w:rsidR="00611E92">
        <w:t>an</w:t>
      </w:r>
      <w:r>
        <w:t xml:space="preserve"> entity (the old </w:t>
      </w:r>
      <w:r w:rsidR="00510D4D">
        <w:t>entity) has ceased to exist and some, but not all, of its functions have been transferred to</w:t>
      </w:r>
      <w:r w:rsidR="00611E92">
        <w:t xml:space="preserve"> one or more other </w:t>
      </w:r>
      <w:r w:rsidR="00510D4D">
        <w:t>entities. When this occurs, subsection 17C(1) of the PGPA</w:t>
      </w:r>
      <w:r w:rsidR="002B742B">
        <w:t xml:space="preserve"> Rule</w:t>
      </w:r>
      <w:r w:rsidR="00510D4D">
        <w:t xml:space="preserve"> enables </w:t>
      </w:r>
      <w:r w:rsidR="006F7A51">
        <w:t>t</w:t>
      </w:r>
      <w:r w:rsidR="00510D4D">
        <w:t>he Finance Minister to</w:t>
      </w:r>
      <w:r>
        <w:t xml:space="preserve"> nominate the accounta</w:t>
      </w:r>
      <w:r w:rsidR="00510D4D">
        <w:t xml:space="preserve">ble authority of an </w:t>
      </w:r>
      <w:r>
        <w:t xml:space="preserve">entity (the nominated entity) to report on the non-transferred functions. The </w:t>
      </w:r>
      <w:r w:rsidR="003F720E">
        <w:t xml:space="preserve">accountable authority of the </w:t>
      </w:r>
      <w:r w:rsidRPr="00EF3F95">
        <w:rPr>
          <w:rFonts w:cstheme="minorHAnsi"/>
        </w:rPr>
        <w:t>nominated entity would report for the full reporting period in relation to the non-transferred functions.</w:t>
      </w:r>
    </w:p>
    <w:p w:rsidR="00F124B6" w:rsidRDefault="00F124B6">
      <w:pPr>
        <w:pStyle w:val="NumberedList1"/>
      </w:pPr>
      <w:r>
        <w:t>While this scenario is likely to be rare, situations occasionally occur when an entity has ceased to exist even though not all of the functions it previously was respons</w:t>
      </w:r>
      <w:r w:rsidR="00F21E06">
        <w:t>ible for have been transferred.</w:t>
      </w:r>
    </w:p>
    <w:p w:rsidR="002D3F0C" w:rsidRPr="00CC3905" w:rsidRDefault="002D3F0C" w:rsidP="00CC3905">
      <w:pPr>
        <w:spacing w:before="360" w:line="340" w:lineRule="atLeast"/>
        <w:rPr>
          <w:sz w:val="30"/>
          <w:szCs w:val="30"/>
        </w:rPr>
      </w:pPr>
      <w:r w:rsidRPr="00CC3905">
        <w:rPr>
          <w:sz w:val="30"/>
          <w:szCs w:val="30"/>
        </w:rPr>
        <w:t>Presentation within the annual report</w:t>
      </w:r>
    </w:p>
    <w:p w:rsidR="00F124B6" w:rsidRDefault="006F7A51">
      <w:pPr>
        <w:pStyle w:val="NumberedList1"/>
      </w:pPr>
      <w:r>
        <w:t>Under subsections 17C(2)(a)(ii) and (c)(ii)</w:t>
      </w:r>
      <w:r w:rsidR="002B742B">
        <w:t xml:space="preserve"> of the</w:t>
      </w:r>
      <w:r>
        <w:t xml:space="preserve"> PGPA Rule, t</w:t>
      </w:r>
      <w:r w:rsidR="00F124B6">
        <w:t>he annual performance statements, annual financial statements and annual report must not include information relating</w:t>
      </w:r>
      <w:r w:rsidR="009110DD">
        <w:t xml:space="preserve"> to the functions transferred. For t</w:t>
      </w:r>
      <w:r w:rsidR="00F124B6">
        <w:t>he requirements relating to transfer</w:t>
      </w:r>
      <w:r w:rsidR="009110DD">
        <w:t xml:space="preserve">red functions, </w:t>
      </w:r>
      <w:r w:rsidR="009110DD" w:rsidRPr="00E71B18">
        <w:t>see</w:t>
      </w:r>
      <w:r w:rsidR="009110DD" w:rsidRPr="009110DD">
        <w:t xml:space="preserve"> </w:t>
      </w:r>
      <w:hyperlink w:anchor="Reportingtransferredfunctions" w:history="1">
        <w:r w:rsidR="009110DD" w:rsidRPr="00E71B18">
          <w:rPr>
            <w:rStyle w:val="Hyperlink"/>
            <w:i w:val="0"/>
          </w:rPr>
          <w:t>Reporting for transferred functions</w:t>
        </w:r>
      </w:hyperlink>
      <w:r w:rsidR="00F124B6">
        <w:t>.</w:t>
      </w:r>
    </w:p>
    <w:p w:rsidR="00A97A6F" w:rsidRDefault="00F124B6">
      <w:pPr>
        <w:pStyle w:val="NumberedList1"/>
      </w:pPr>
      <w:r>
        <w:t xml:space="preserve">While separate annual performance statements, annual financial statements and a separate annual report must be prepared for the old entity on the non-transferred functions, similar to the scenario dealt with by </w:t>
      </w:r>
      <w:hyperlink w:anchor="Section17B" w:history="1">
        <w:r w:rsidRPr="001143C6">
          <w:rPr>
            <w:rStyle w:val="Hyperlink"/>
            <w:i w:val="0"/>
          </w:rPr>
          <w:t>section 17B</w:t>
        </w:r>
      </w:hyperlink>
      <w:r>
        <w:t xml:space="preserve">, the accountable authority of the nominated entity has discretion in how these statements and </w:t>
      </w:r>
      <w:r w:rsidR="00B12993">
        <w:t xml:space="preserve">the </w:t>
      </w:r>
      <w:r w:rsidR="00F21E06">
        <w:t>report are presented.</w:t>
      </w:r>
    </w:p>
    <w:p w:rsidR="00A97A6F" w:rsidRDefault="00A97A6F">
      <w:pPr>
        <w:suppressAutoHyphens w:val="0"/>
        <w:spacing w:before="0" w:after="120" w:line="440" w:lineRule="atLeast"/>
      </w:pPr>
      <w:r>
        <w:br w:type="page"/>
      </w:r>
    </w:p>
    <w:p w:rsidR="003F720E" w:rsidRPr="00B12993" w:rsidRDefault="003F720E" w:rsidP="00B12993">
      <w:pPr>
        <w:pStyle w:val="Boxed2Text"/>
        <w:pBdr>
          <w:top w:val="single" w:sz="4" w:space="14" w:color="B4B5DF"/>
          <w:left w:val="single" w:sz="4" w:space="14" w:color="B4B5DF"/>
          <w:bottom w:val="single" w:sz="4" w:space="14" w:color="B4B5DF"/>
          <w:right w:val="single" w:sz="4" w:space="14" w:color="B4B5DF"/>
        </w:pBdr>
        <w:shd w:val="clear" w:color="auto" w:fill="B4B5DF"/>
        <w:rPr>
          <w:b/>
        </w:rPr>
      </w:pPr>
      <w:r w:rsidRPr="003F720E">
        <w:rPr>
          <w:b/>
        </w:rPr>
        <w:lastRenderedPageBreak/>
        <w:t>Example</w:t>
      </w:r>
      <w:r w:rsidR="00E21458">
        <w:rPr>
          <w:b/>
        </w:rPr>
        <w:t xml:space="preserve"> 4</w:t>
      </w:r>
      <w:r w:rsidRPr="003F720E">
        <w:rPr>
          <w:b/>
        </w:rPr>
        <w:t xml:space="preserve">: Presenting of </w:t>
      </w:r>
      <w:r w:rsidR="00B12993">
        <w:rPr>
          <w:b/>
        </w:rPr>
        <w:t>annual statements and report of</w:t>
      </w:r>
      <w:r w:rsidRPr="003F720E">
        <w:rPr>
          <w:b/>
        </w:rPr>
        <w:t xml:space="preserve"> an old entity</w:t>
      </w:r>
    </w:p>
    <w:p w:rsidR="00B12993" w:rsidRDefault="003F720E" w:rsidP="001143C6">
      <w:pPr>
        <w:pStyle w:val="Boxed2Text"/>
        <w:pBdr>
          <w:top w:val="single" w:sz="4" w:space="14" w:color="B4B5DF"/>
          <w:left w:val="single" w:sz="4" w:space="14" w:color="B4B5DF"/>
          <w:bottom w:val="single" w:sz="4" w:space="14" w:color="B4B5DF"/>
          <w:right w:val="single" w:sz="4" w:space="14" w:color="B4B5DF"/>
        </w:pBdr>
        <w:shd w:val="clear" w:color="auto" w:fill="B4B5DF"/>
      </w:pPr>
      <w:r>
        <w:t>It may be helpful for users of annual reports (which incorporate annual performance statements and annual financial statements) if the nominated entity presents</w:t>
      </w:r>
      <w:r w:rsidR="00B12993">
        <w:t xml:space="preserve"> </w:t>
      </w:r>
      <w:r w:rsidR="00F124B6">
        <w:t xml:space="preserve">one annual </w:t>
      </w:r>
      <w:r w:rsidR="00B12993">
        <w:t xml:space="preserve">report with one set of </w:t>
      </w:r>
      <w:r w:rsidR="00F124B6">
        <w:t xml:space="preserve">annual performance statements </w:t>
      </w:r>
      <w:r w:rsidR="00B12993">
        <w:t>that clearly separate and identify the targets and results of the old entity.</w:t>
      </w:r>
    </w:p>
    <w:p w:rsidR="00B12993" w:rsidRDefault="00B12993" w:rsidP="001143C6">
      <w:pPr>
        <w:pStyle w:val="Boxed2Text"/>
        <w:pBdr>
          <w:top w:val="single" w:sz="4" w:space="14" w:color="B4B5DF"/>
          <w:left w:val="single" w:sz="4" w:space="14" w:color="B4B5DF"/>
          <w:bottom w:val="single" w:sz="4" w:space="14" w:color="B4B5DF"/>
          <w:right w:val="single" w:sz="4" w:space="14" w:color="B4B5DF"/>
        </w:pBdr>
        <w:shd w:val="clear" w:color="auto" w:fill="B4B5DF"/>
      </w:pPr>
      <w:r>
        <w:t>Regardless of the approach adopted, the statements and report for the old entity must be clearly distinguishable from those relating to the nominated entity.</w:t>
      </w:r>
    </w:p>
    <w:p w:rsidR="00F124B6" w:rsidRPr="009110DD" w:rsidRDefault="00B5735C">
      <w:pPr>
        <w:pStyle w:val="NumberedList1"/>
      </w:pPr>
      <w:r>
        <w:t xml:space="preserve">For </w:t>
      </w:r>
      <w:r w:rsidR="00F124B6" w:rsidRPr="009110DD">
        <w:t>KMP</w:t>
      </w:r>
      <w:r>
        <w:t xml:space="preserve"> disclosure requirements </w:t>
      </w:r>
      <w:r w:rsidR="00B3480E">
        <w:t>where an e</w:t>
      </w:r>
      <w:r w:rsidR="00B3480E" w:rsidRPr="006938CF">
        <w:t xml:space="preserve">ntity </w:t>
      </w:r>
      <w:r w:rsidR="00B3480E">
        <w:t xml:space="preserve">has </w:t>
      </w:r>
      <w:r w:rsidR="00B3480E" w:rsidRPr="00510D4D">
        <w:t>ceased</w:t>
      </w:r>
      <w:r w:rsidR="00B3480E">
        <w:t xml:space="preserve"> to exist with some functions</w:t>
      </w:r>
      <w:r w:rsidR="00B3480E" w:rsidRPr="006C7ED4">
        <w:t xml:space="preserve"> </w:t>
      </w:r>
      <w:r w:rsidR="00B3480E" w:rsidRPr="006938CF">
        <w:t>transferred</w:t>
      </w:r>
      <w:r w:rsidR="009110DD" w:rsidRPr="001143C6">
        <w:t xml:space="preserve">, </w:t>
      </w:r>
      <w:r w:rsidR="009110DD" w:rsidRPr="009110DD">
        <w:t xml:space="preserve">see </w:t>
      </w:r>
      <w:hyperlink w:anchor="Reportingtransferredfunctions" w:history="1">
        <w:r w:rsidR="009110DD" w:rsidRPr="009110DD">
          <w:rPr>
            <w:rStyle w:val="Hyperlink"/>
            <w:i w:val="0"/>
          </w:rPr>
          <w:t>Reporting for transferred functions</w:t>
        </w:r>
      </w:hyperlink>
      <w:r w:rsidR="000118E9" w:rsidRPr="009110DD">
        <w:t>.</w:t>
      </w:r>
    </w:p>
    <w:p w:rsidR="00F124B6" w:rsidRPr="00CC3905" w:rsidRDefault="00F124B6" w:rsidP="00CC3905">
      <w:pPr>
        <w:spacing w:before="360" w:line="340" w:lineRule="atLeast"/>
        <w:rPr>
          <w:sz w:val="30"/>
          <w:szCs w:val="30"/>
        </w:rPr>
      </w:pPr>
      <w:r w:rsidRPr="00CC3905">
        <w:rPr>
          <w:sz w:val="30"/>
          <w:szCs w:val="30"/>
        </w:rPr>
        <w:t xml:space="preserve">Annual performance statements and annual reports </w:t>
      </w:r>
    </w:p>
    <w:p w:rsidR="00F124B6" w:rsidRPr="00D46E62" w:rsidRDefault="006F7A51" w:rsidP="001143C6">
      <w:pPr>
        <w:pStyle w:val="NumberedList1"/>
      </w:pPr>
      <w:r>
        <w:t xml:space="preserve">Under subsection 17C(2)(a) </w:t>
      </w:r>
      <w:r w:rsidR="00EF3F95">
        <w:t xml:space="preserve">of the </w:t>
      </w:r>
      <w:r>
        <w:t>PGPA Rule</w:t>
      </w:r>
      <w:r w:rsidR="00EF3F95">
        <w:t>, t</w:t>
      </w:r>
      <w:r w:rsidR="00F124B6" w:rsidRPr="00D46E62">
        <w:t>he accountable authority of the nominated entity must prepare annual performance statements and an annual report for t</w:t>
      </w:r>
      <w:r w:rsidR="00EF3F95">
        <w:t xml:space="preserve">he old entity—consistent with </w:t>
      </w:r>
      <w:r w:rsidR="00F124B6" w:rsidRPr="00D46E62">
        <w:t xml:space="preserve">the </w:t>
      </w:r>
      <w:r w:rsidR="00EF3F95">
        <w:t>reports that the old entity was</w:t>
      </w:r>
      <w:r w:rsidR="00F124B6" w:rsidRPr="00D46E62">
        <w:t xml:space="preserve"> required to prepare had it not ceased to exist.</w:t>
      </w:r>
      <w:r w:rsidR="00F124B6" w:rsidRPr="00EF3F95">
        <w:rPr>
          <w:vertAlign w:val="superscript"/>
        </w:rPr>
        <w:t xml:space="preserve"> </w:t>
      </w:r>
    </w:p>
    <w:p w:rsidR="00F124B6" w:rsidRDefault="00F124B6">
      <w:pPr>
        <w:pStyle w:val="NumberedList1"/>
      </w:pPr>
      <w:r w:rsidRPr="00896FCB">
        <w:t xml:space="preserve">Similar to </w:t>
      </w:r>
      <w:r>
        <w:t xml:space="preserve">reporting under </w:t>
      </w:r>
      <w:hyperlink w:anchor="Section17B" w:history="1">
        <w:r w:rsidRPr="001143C6">
          <w:rPr>
            <w:rStyle w:val="Hyperlink"/>
            <w:i w:val="0"/>
          </w:rPr>
          <w:t>section 17B</w:t>
        </w:r>
      </w:hyperlink>
      <w:r w:rsidRPr="00896FCB">
        <w:t xml:space="preserve">, the approach followed will be influenced by the significance of these functions. In practice, the remaining functions are likely to be minimal and entities should adopt a </w:t>
      </w:r>
      <w:r>
        <w:t>p</w:t>
      </w:r>
      <w:r w:rsidRPr="00896FCB">
        <w:t>r</w:t>
      </w:r>
      <w:r w:rsidR="007B561B">
        <w:t>oportionate</w:t>
      </w:r>
      <w:r w:rsidRPr="00896FCB">
        <w:t xml:space="preserve"> approach to the preparation and presentation of the required information.</w:t>
      </w:r>
    </w:p>
    <w:p w:rsidR="00F124B6" w:rsidRPr="00CC3905" w:rsidRDefault="00F124B6" w:rsidP="00CC3905">
      <w:pPr>
        <w:spacing w:before="360" w:line="340" w:lineRule="atLeast"/>
        <w:rPr>
          <w:sz w:val="30"/>
          <w:szCs w:val="30"/>
        </w:rPr>
      </w:pPr>
      <w:r w:rsidRPr="00CC3905">
        <w:rPr>
          <w:sz w:val="30"/>
          <w:szCs w:val="30"/>
        </w:rPr>
        <w:t>Annual financial statements</w:t>
      </w:r>
    </w:p>
    <w:p w:rsidR="00F124B6" w:rsidRDefault="00F124B6">
      <w:pPr>
        <w:pStyle w:val="NumberedList1"/>
      </w:pPr>
      <w:r w:rsidRPr="001D28CA">
        <w:t>The accountable authority of the nominated entity is required to prepare annual financial statements for the old entity in relation to those functions not transferred prior to the old entity ceasing to exist.</w:t>
      </w:r>
    </w:p>
    <w:p w:rsidR="00F124B6" w:rsidRDefault="00F124B6">
      <w:pPr>
        <w:pStyle w:val="NumberedList1"/>
      </w:pPr>
      <w:r w:rsidRPr="007E0700">
        <w:t>The accountable authority of the nominated entity must give the annual financial st</w:t>
      </w:r>
      <w:r w:rsidRPr="002E7BED">
        <w:t>atements to the Auditor-General as soon as practicable after they are prepared.</w:t>
      </w:r>
    </w:p>
    <w:p w:rsidR="00582FDC" w:rsidRPr="001143C6" w:rsidRDefault="00582FDC" w:rsidP="001143C6">
      <w:pPr>
        <w:pStyle w:val="Heading2"/>
      </w:pPr>
      <w:bookmarkStart w:id="49" w:name="_Toc42245004"/>
      <w:r>
        <w:t>E</w:t>
      </w:r>
      <w:r w:rsidRPr="006938CF">
        <w:t xml:space="preserve">ntity </w:t>
      </w:r>
      <w:r w:rsidR="00336732">
        <w:t xml:space="preserve">has </w:t>
      </w:r>
      <w:r w:rsidR="00A32AE1">
        <w:t>ceased</w:t>
      </w:r>
      <w:r w:rsidRPr="00F834A7">
        <w:t xml:space="preserve"> to exist </w:t>
      </w:r>
      <w:r w:rsidR="00A32AE1">
        <w:t xml:space="preserve">- </w:t>
      </w:r>
      <w:r w:rsidRPr="006938CF">
        <w:t>all</w:t>
      </w:r>
      <w:r w:rsidR="00EF3F95">
        <w:t xml:space="preserve"> </w:t>
      </w:r>
      <w:r>
        <w:t>functions</w:t>
      </w:r>
      <w:r w:rsidRPr="006C7ED4">
        <w:t xml:space="preserve"> </w:t>
      </w:r>
      <w:r w:rsidR="00EF3F95">
        <w:t xml:space="preserve">have </w:t>
      </w:r>
      <w:r w:rsidRPr="006938CF">
        <w:t>transferred</w:t>
      </w:r>
      <w:bookmarkEnd w:id="49"/>
      <w:r w:rsidRPr="006938CF">
        <w:t xml:space="preserve"> </w:t>
      </w:r>
    </w:p>
    <w:p w:rsidR="00F124B6" w:rsidRDefault="00F124B6" w:rsidP="001143C6">
      <w:pPr>
        <w:pStyle w:val="NumberedList1"/>
      </w:pPr>
      <w:bookmarkStart w:id="50" w:name="Section17D"/>
      <w:r w:rsidRPr="00896FCB">
        <w:t>Section 17D</w:t>
      </w:r>
      <w:r w:rsidR="00582FDC">
        <w:t xml:space="preserve"> </w:t>
      </w:r>
      <w:bookmarkEnd w:id="50"/>
      <w:r w:rsidR="00582FDC">
        <w:t>of the PGPA Rule</w:t>
      </w:r>
      <w:r w:rsidRPr="00896FCB">
        <w:t xml:space="preserve"> </w:t>
      </w:r>
      <w:r>
        <w:t>applies where</w:t>
      </w:r>
      <w:r w:rsidR="00EF3F95">
        <w:t xml:space="preserve"> </w:t>
      </w:r>
      <w:r w:rsidR="00510D4D">
        <w:t xml:space="preserve">an </w:t>
      </w:r>
      <w:r>
        <w:t>entity (the old entity) has ceased to exist, and</w:t>
      </w:r>
      <w:r w:rsidR="00EF3F95">
        <w:t xml:space="preserve"> </w:t>
      </w:r>
      <w:r>
        <w:t>all of its functions have been transferred to o</w:t>
      </w:r>
      <w:r w:rsidR="00510D4D">
        <w:t xml:space="preserve">ne or more other </w:t>
      </w:r>
      <w:r>
        <w:t>entities.</w:t>
      </w:r>
    </w:p>
    <w:p w:rsidR="00EF3F95" w:rsidRPr="00B5735C" w:rsidRDefault="00F124B6" w:rsidP="001143C6">
      <w:pPr>
        <w:pStyle w:val="NumberedList1"/>
        <w:rPr>
          <w:rStyle w:val="Hyperlink"/>
          <w:i w:val="0"/>
          <w:u w:val="none"/>
        </w:rPr>
      </w:pPr>
      <w:r>
        <w:t>W</w:t>
      </w:r>
      <w:r w:rsidRPr="00896FCB">
        <w:t xml:space="preserve">here an entity ceases to exist </w:t>
      </w:r>
      <w:r>
        <w:t>and</w:t>
      </w:r>
      <w:r w:rsidRPr="00896FCB">
        <w:t xml:space="preserve"> all of its functions </w:t>
      </w:r>
      <w:r>
        <w:t>have been transferred</w:t>
      </w:r>
      <w:r w:rsidRPr="00896FCB">
        <w:t xml:space="preserve">, there is no requirement for annual performance statements, annual financial statements or an annual report to </w:t>
      </w:r>
      <w:r w:rsidR="00F12AC1">
        <w:t xml:space="preserve">be prepared for the old entity. </w:t>
      </w:r>
      <w:r w:rsidR="00984DD1">
        <w:t>For more information</w:t>
      </w:r>
      <w:r w:rsidR="00F12AC1">
        <w:t xml:space="preserve"> </w:t>
      </w:r>
      <w:r w:rsidR="00F12AC1" w:rsidRPr="001143C6">
        <w:t>t</w:t>
      </w:r>
      <w:r w:rsidR="00F12AC1" w:rsidRPr="009110DD">
        <w:t xml:space="preserve">he reporting arrangements </w:t>
      </w:r>
      <w:r w:rsidR="00F12AC1">
        <w:t xml:space="preserve">that apply </w:t>
      </w:r>
      <w:r w:rsidR="00F12AC1" w:rsidRPr="009110DD">
        <w:t>in this situation</w:t>
      </w:r>
      <w:r w:rsidR="00F12AC1">
        <w:t>,</w:t>
      </w:r>
      <w:r w:rsidR="00984DD1">
        <w:t xml:space="preserve"> see </w:t>
      </w:r>
      <w:hyperlink w:anchor="Reportingtransferredfunctions" w:history="1">
        <w:r w:rsidR="00984DD1" w:rsidRPr="00CC3905">
          <w:rPr>
            <w:rStyle w:val="Hyperlink"/>
            <w:i w:val="0"/>
          </w:rPr>
          <w:t>Reporting for transferred functions</w:t>
        </w:r>
      </w:hyperlink>
      <w:r w:rsidR="00F21E06" w:rsidRPr="00FF1139">
        <w:rPr>
          <w:rStyle w:val="Hyperlink"/>
          <w:i w:val="0"/>
          <w:u w:val="none"/>
        </w:rPr>
        <w:t>.</w:t>
      </w:r>
    </w:p>
    <w:p w:rsidR="00B5735C" w:rsidRPr="009110DD" w:rsidRDefault="00B5735C" w:rsidP="00B5735C">
      <w:pPr>
        <w:pStyle w:val="NumberedList1"/>
        <w:numPr>
          <w:ilvl w:val="0"/>
          <w:numId w:val="0"/>
        </w:numPr>
        <w:ind w:left="426"/>
      </w:pPr>
    </w:p>
    <w:p w:rsidR="00F124B6" w:rsidRPr="00804051" w:rsidRDefault="00F124B6" w:rsidP="00F96FE2">
      <w:pPr>
        <w:pStyle w:val="Heading1"/>
        <w:shd w:val="clear" w:color="auto" w:fill="BDDCDF" w:themeFill="accent1"/>
        <w:spacing w:before="0" w:line="240" w:lineRule="auto"/>
        <w:ind w:left="1560" w:hanging="1560"/>
        <w:contextualSpacing w:val="0"/>
      </w:pPr>
      <w:bookmarkStart w:id="51" w:name="_Toc42245005"/>
      <w:r>
        <w:rPr>
          <w:rFonts w:cs="Arial"/>
          <w:color w:val="000000" w:themeColor="text1"/>
          <w:szCs w:val="40"/>
        </w:rPr>
        <w:lastRenderedPageBreak/>
        <w:t xml:space="preserve">Part 4 </w:t>
      </w:r>
      <w:r w:rsidR="00A32AE1">
        <w:t xml:space="preserve">– Entity not ceased </w:t>
      </w:r>
      <w:r w:rsidR="00D508DE">
        <w:t>– impracticable to report</w:t>
      </w:r>
      <w:bookmarkEnd w:id="51"/>
    </w:p>
    <w:p w:rsidR="00984D02" w:rsidRPr="006C7ED4" w:rsidRDefault="00984D02" w:rsidP="00E1769C">
      <w:pPr>
        <w:pStyle w:val="Heading2"/>
      </w:pPr>
      <w:bookmarkStart w:id="52" w:name="_Toc42245006"/>
      <w:r w:rsidRPr="003019DD">
        <w:t xml:space="preserve">Entity </w:t>
      </w:r>
      <w:r w:rsidR="001A159E" w:rsidRPr="003019DD">
        <w:t xml:space="preserve">has </w:t>
      </w:r>
      <w:r w:rsidRPr="003019DD">
        <w:t>not ceased to exist</w:t>
      </w:r>
      <w:r w:rsidR="001A159E" w:rsidRPr="003019DD">
        <w:t xml:space="preserve"> - </w:t>
      </w:r>
      <w:r w:rsidRPr="003019DD">
        <w:t>some functions transferred</w:t>
      </w:r>
      <w:bookmarkEnd w:id="52"/>
    </w:p>
    <w:p w:rsidR="00B5735C" w:rsidRDefault="00094446" w:rsidP="00FF1139">
      <w:pPr>
        <w:pStyle w:val="NumberedList1"/>
      </w:pPr>
      <w:bookmarkStart w:id="53" w:name="Section17F"/>
      <w:bookmarkStart w:id="54" w:name="Section17F1"/>
      <w:r>
        <w:t xml:space="preserve">Section 17F </w:t>
      </w:r>
      <w:bookmarkEnd w:id="53"/>
      <w:r>
        <w:t>of the PGPA Rule details the reporting requirements where an e</w:t>
      </w:r>
      <w:r w:rsidRPr="006C7ED4">
        <w:t>nt</w:t>
      </w:r>
      <w:r>
        <w:t>ity has not ceased to exist and some</w:t>
      </w:r>
      <w:r w:rsidRPr="006C7ED4">
        <w:t xml:space="preserve"> </w:t>
      </w:r>
      <w:r>
        <w:t xml:space="preserve">of its functions are </w:t>
      </w:r>
      <w:r w:rsidRPr="006C7ED4">
        <w:t>transferred</w:t>
      </w:r>
      <w:r>
        <w:t xml:space="preserve">. </w:t>
      </w:r>
    </w:p>
    <w:p w:rsidR="00F124B6" w:rsidRPr="00094446" w:rsidRDefault="0019287B" w:rsidP="00FF1139">
      <w:pPr>
        <w:pStyle w:val="NumberedList1"/>
      </w:pPr>
      <w:r>
        <w:t>S</w:t>
      </w:r>
      <w:r w:rsidR="00965CFA">
        <w:t>ubs</w:t>
      </w:r>
      <w:r w:rsidR="00F124B6" w:rsidRPr="00917F5D">
        <w:t>ection 17F</w:t>
      </w:r>
      <w:r w:rsidR="00965CFA">
        <w:t>(1)</w:t>
      </w:r>
      <w:r w:rsidR="004E5B59">
        <w:t xml:space="preserve"> of the </w:t>
      </w:r>
      <w:hyperlink r:id="rId35" w:history="1">
        <w:r w:rsidR="00BB3C87" w:rsidRPr="00094446">
          <w:rPr>
            <w:rStyle w:val="Hyperlink"/>
            <w:i w:val="0"/>
          </w:rPr>
          <w:t>PGPA Rule</w:t>
        </w:r>
      </w:hyperlink>
      <w:bookmarkEnd w:id="54"/>
      <w:r w:rsidR="00BB3C87" w:rsidRPr="00094446">
        <w:rPr>
          <w:rStyle w:val="Hyperlink"/>
          <w:i w:val="0"/>
          <w:u w:val="none"/>
        </w:rPr>
        <w:t xml:space="preserve"> </w:t>
      </w:r>
      <w:r w:rsidR="00094446">
        <w:t xml:space="preserve">clarifies that this section applies </w:t>
      </w:r>
      <w:r w:rsidR="00F124B6">
        <w:t>where:</w:t>
      </w:r>
    </w:p>
    <w:p w:rsidR="00F124B6" w:rsidRDefault="00F124B6" w:rsidP="00F124B6">
      <w:pPr>
        <w:pStyle w:val="Bullet1"/>
      </w:pPr>
      <w:r>
        <w:t>s</w:t>
      </w:r>
      <w:r w:rsidRPr="00B55887">
        <w:t>ome</w:t>
      </w:r>
      <w:r>
        <w:t>,</w:t>
      </w:r>
      <w:r w:rsidRPr="00B55887">
        <w:t xml:space="preserve"> </w:t>
      </w:r>
      <w:r>
        <w:t>but not</w:t>
      </w:r>
      <w:r w:rsidRPr="00B55887">
        <w:t xml:space="preserve"> all</w:t>
      </w:r>
      <w:r>
        <w:t>, of the</w:t>
      </w:r>
      <w:r w:rsidRPr="00B55887">
        <w:t xml:space="preserve"> functions </w:t>
      </w:r>
      <w:r w:rsidR="00F30CA8">
        <w:t>of an</w:t>
      </w:r>
      <w:r>
        <w:t xml:space="preserve"> entity (the old entity) </w:t>
      </w:r>
      <w:r w:rsidRPr="00B55887">
        <w:t xml:space="preserve">have been transferred </w:t>
      </w:r>
      <w:r>
        <w:t>to</w:t>
      </w:r>
      <w:r w:rsidR="00F30CA8">
        <w:t xml:space="preserve"> one or more other entities</w:t>
      </w:r>
    </w:p>
    <w:p w:rsidR="00F124B6" w:rsidRDefault="00F124B6" w:rsidP="00F124B6">
      <w:pPr>
        <w:pStyle w:val="Bullet1"/>
      </w:pPr>
      <w:r>
        <w:t>the old ent</w:t>
      </w:r>
      <w:r w:rsidR="00F30CA8">
        <w:t>ity has not ceased to exist</w:t>
      </w:r>
    </w:p>
    <w:p w:rsidR="003B3D1D" w:rsidRDefault="00F124B6" w:rsidP="001143C6">
      <w:pPr>
        <w:pStyle w:val="Bullet1"/>
      </w:pPr>
      <w:r>
        <w:t>the Finance Minister is reasonably satisfied that</w:t>
      </w:r>
      <w:r w:rsidRPr="00B55887">
        <w:t xml:space="preserve"> it is not practica</w:t>
      </w:r>
      <w:r>
        <w:t>b</w:t>
      </w:r>
      <w:r w:rsidRPr="00B55887">
        <w:t>l</w:t>
      </w:r>
      <w:r>
        <w:t>e</w:t>
      </w:r>
      <w:r w:rsidRPr="00B55887">
        <w:t xml:space="preserve"> for the </w:t>
      </w:r>
      <w:r>
        <w:t xml:space="preserve">accountable authority of the old </w:t>
      </w:r>
      <w:r w:rsidRPr="00B55887">
        <w:t>entity to report</w:t>
      </w:r>
      <w:r>
        <w:t xml:space="preserve"> in rela</w:t>
      </w:r>
      <w:r w:rsidR="00F30CA8">
        <w:t>tion to the function</w:t>
      </w:r>
      <w:r w:rsidR="008702D4">
        <w:t>(</w:t>
      </w:r>
      <w:r w:rsidR="00F30CA8">
        <w:t>s</w:t>
      </w:r>
      <w:r w:rsidR="008702D4">
        <w:t>)</w:t>
      </w:r>
      <w:r w:rsidR="00F30CA8">
        <w:t xml:space="preserve"> </w:t>
      </w:r>
      <w:r>
        <w:t>that have not been transferred.</w:t>
      </w:r>
    </w:p>
    <w:p w:rsidR="009110DD" w:rsidRDefault="009110DD" w:rsidP="001143C6">
      <w:pPr>
        <w:pStyle w:val="NumberedList1"/>
      </w:pPr>
      <w:r>
        <w:t>In this scenario, subsection 17</w:t>
      </w:r>
      <w:r w:rsidR="007B561B">
        <w:t>F</w:t>
      </w:r>
      <w:r>
        <w:t xml:space="preserve">(1) of the PGPA Rule, </w:t>
      </w:r>
      <w:r w:rsidR="007B561B">
        <w:t>enables</w:t>
      </w:r>
      <w:r w:rsidR="00A97A6F">
        <w:t xml:space="preserve"> </w:t>
      </w:r>
      <w:r>
        <w:t xml:space="preserve">the Finance Minister to nominate the accountable authority of an entity (ie the nominated entity) to report on the non-transferred functions of the old entity. The </w:t>
      </w:r>
      <w:r w:rsidRPr="003C1D69">
        <w:rPr>
          <w:rFonts w:cstheme="minorHAnsi"/>
        </w:rPr>
        <w:t>nominated entity would report for the full reporting period in relation to the non-transferred functions</w:t>
      </w:r>
      <w:r>
        <w:rPr>
          <w:rFonts w:cstheme="minorHAnsi"/>
        </w:rPr>
        <w:t>.</w:t>
      </w:r>
    </w:p>
    <w:p w:rsidR="003B3D1D" w:rsidRPr="00804051" w:rsidRDefault="003B3D1D" w:rsidP="00BB79E1">
      <w:pPr>
        <w:pStyle w:val="Boxed2Heading"/>
        <w:pBdr>
          <w:top w:val="single" w:sz="4" w:space="14" w:color="B4B5DF"/>
          <w:left w:val="single" w:sz="4" w:space="14" w:color="B4B5DF"/>
          <w:bottom w:val="single" w:sz="4" w:space="14" w:color="B4B5DF"/>
          <w:right w:val="single" w:sz="4" w:space="14" w:color="B4B5DF"/>
        </w:pBdr>
        <w:shd w:val="clear" w:color="auto" w:fill="B4B5DF"/>
        <w:rPr>
          <w:b w:val="0"/>
        </w:rPr>
      </w:pPr>
      <w:r w:rsidRPr="003B3D1D">
        <w:t>Example</w:t>
      </w:r>
      <w:r w:rsidR="00E21458">
        <w:t xml:space="preserve"> 5</w:t>
      </w:r>
      <w:r>
        <w:t>:</w:t>
      </w:r>
      <w:r w:rsidR="00BB79E1">
        <w:t xml:space="preserve"> </w:t>
      </w:r>
      <w:r>
        <w:t xml:space="preserve">Reporting </w:t>
      </w:r>
      <w:r w:rsidR="00D508DE">
        <w:t>where</w:t>
      </w:r>
      <w:r>
        <w:t xml:space="preserve"> an entity </w:t>
      </w:r>
      <w:r w:rsidR="00D508DE">
        <w:t xml:space="preserve">has </w:t>
      </w:r>
      <w:r>
        <w:t xml:space="preserve">not ceased </w:t>
      </w:r>
      <w:r w:rsidR="00D508DE">
        <w:t>but</w:t>
      </w:r>
      <w:r w:rsidR="00BB79E1">
        <w:t xml:space="preserve"> </w:t>
      </w:r>
      <w:r w:rsidR="008702D4">
        <w:t xml:space="preserve">it </w:t>
      </w:r>
      <w:r w:rsidR="00D508DE">
        <w:t>is not</w:t>
      </w:r>
      <w:r w:rsidR="00BB79E1">
        <w:t xml:space="preserve"> </w:t>
      </w:r>
      <w:r w:rsidR="00D508DE">
        <w:t xml:space="preserve">practicable </w:t>
      </w:r>
      <w:r w:rsidR="008702D4">
        <w:t>for it</w:t>
      </w:r>
      <w:r w:rsidR="00D508DE">
        <w:t xml:space="preserve"> to report</w:t>
      </w:r>
    </w:p>
    <w:p w:rsidR="003B3D1D" w:rsidRDefault="003B3D1D" w:rsidP="001143C6">
      <w:pPr>
        <w:pStyle w:val="Boxed2Text"/>
        <w:pBdr>
          <w:top w:val="single" w:sz="4" w:space="14" w:color="B4B5DF"/>
          <w:left w:val="single" w:sz="4" w:space="14" w:color="B4B5DF"/>
          <w:bottom w:val="single" w:sz="4" w:space="14" w:color="B4B5DF"/>
          <w:right w:val="single" w:sz="4" w:space="14" w:color="B4B5DF"/>
        </w:pBdr>
        <w:shd w:val="clear" w:color="auto" w:fill="B4B5DF"/>
      </w:pPr>
      <w:r>
        <w:t>A</w:t>
      </w:r>
      <w:r w:rsidRPr="00190773">
        <w:t xml:space="preserve">n entity </w:t>
      </w:r>
      <w:r>
        <w:t xml:space="preserve">may have no staff </w:t>
      </w:r>
      <w:r w:rsidRPr="00190773">
        <w:t>and/or no funding during a period when legislation to formally abolish the entity or to transfer responsibility for functions to another entity is yet to be enacted.</w:t>
      </w:r>
      <w:r>
        <w:t xml:space="preserve"> In such situations</w:t>
      </w:r>
      <w:r w:rsidR="009110DD">
        <w:t>,</w:t>
      </w:r>
      <w:r>
        <w:t xml:space="preserve"> s</w:t>
      </w:r>
      <w:r w:rsidRPr="00917F5D">
        <w:t>ection 17F</w:t>
      </w:r>
      <w:r w:rsidR="004E5B59">
        <w:t xml:space="preserve"> of the PGPA Rule</w:t>
      </w:r>
      <w:r>
        <w:t xml:space="preserve"> would apply.</w:t>
      </w:r>
    </w:p>
    <w:p w:rsidR="00F124B6" w:rsidRDefault="00F124B6" w:rsidP="003B3D1D">
      <w:pPr>
        <w:pStyle w:val="NumberedList1"/>
      </w:pPr>
      <w:r>
        <w:t xml:space="preserve">In rare situations, </w:t>
      </w:r>
      <w:r w:rsidRPr="00190773">
        <w:t xml:space="preserve">an entity </w:t>
      </w:r>
      <w:r>
        <w:t>may continue</w:t>
      </w:r>
      <w:r w:rsidR="00984DD1">
        <w:t xml:space="preserve"> to be legally </w:t>
      </w:r>
      <w:r w:rsidRPr="00190773">
        <w:t>responsible</w:t>
      </w:r>
      <w:r w:rsidR="00984DD1">
        <w:t xml:space="preserve"> for certain</w:t>
      </w:r>
      <w:r>
        <w:t xml:space="preserve"> functions but it may</w:t>
      </w:r>
      <w:r w:rsidRPr="00190773">
        <w:t xml:space="preserve"> not</w:t>
      </w:r>
      <w:r>
        <w:t xml:space="preserve"> be</w:t>
      </w:r>
      <w:r w:rsidR="00984DD1">
        <w:t xml:space="preserve"> practical for it</w:t>
      </w:r>
      <w:r w:rsidRPr="00190773">
        <w:t xml:space="preserve"> to meet its reporting respon</w:t>
      </w:r>
      <w:r w:rsidR="002D3F0C">
        <w:t>sibilities for these functions.</w:t>
      </w:r>
    </w:p>
    <w:p w:rsidR="002D3F0C" w:rsidRPr="00CC3905" w:rsidRDefault="002D3F0C" w:rsidP="00CC3905">
      <w:pPr>
        <w:spacing w:before="360" w:line="340" w:lineRule="atLeast"/>
        <w:rPr>
          <w:sz w:val="30"/>
          <w:szCs w:val="30"/>
        </w:rPr>
      </w:pPr>
      <w:r w:rsidRPr="00CC3905">
        <w:rPr>
          <w:sz w:val="30"/>
          <w:szCs w:val="30"/>
        </w:rPr>
        <w:t>Presentation within the annual report</w:t>
      </w:r>
    </w:p>
    <w:p w:rsidR="00B5735C" w:rsidRDefault="003B3D1D" w:rsidP="00BB79E1">
      <w:pPr>
        <w:pStyle w:val="NumberedList1"/>
      </w:pPr>
      <w:r>
        <w:t>For this scenario, separate annual performance statements, annual financial statements and a separate annual report must be prepared for the old entity on the non-transferred fu</w:t>
      </w:r>
      <w:r w:rsidR="00984DD1">
        <w:t>nctions.</w:t>
      </w:r>
      <w:r w:rsidR="00BB79E1">
        <w:t xml:space="preserve"> </w:t>
      </w:r>
      <w:r w:rsidR="006C4A86">
        <w:t xml:space="preserve">However, the </w:t>
      </w:r>
      <w:r>
        <w:t>accountable authority</w:t>
      </w:r>
      <w:r w:rsidR="006C4A86">
        <w:t xml:space="preserve"> of the nominated entity</w:t>
      </w:r>
      <w:r>
        <w:t xml:space="preserve"> has discreti</w:t>
      </w:r>
      <w:r w:rsidR="002D3F0C">
        <w:t xml:space="preserve">on </w:t>
      </w:r>
      <w:r w:rsidR="007B561B">
        <w:t>in</w:t>
      </w:r>
      <w:r w:rsidR="002D3F0C">
        <w:t xml:space="preserve"> how these are presented.</w:t>
      </w:r>
    </w:p>
    <w:p w:rsidR="004F6A88" w:rsidRDefault="004F6A88" w:rsidP="00BB79E1">
      <w:pPr>
        <w:pStyle w:val="Boxed2Heading"/>
        <w:pBdr>
          <w:top w:val="single" w:sz="4" w:space="14" w:color="B4B5DF"/>
          <w:left w:val="single" w:sz="4" w:space="14" w:color="B4B5DF"/>
          <w:bottom w:val="single" w:sz="4" w:space="14" w:color="B4B5DF"/>
          <w:right w:val="single" w:sz="4" w:space="14" w:color="B4B5DF"/>
        </w:pBdr>
        <w:shd w:val="clear" w:color="auto" w:fill="B4B5DF"/>
        <w:ind w:left="1701" w:hanging="1417"/>
      </w:pPr>
      <w:r>
        <w:t>Example</w:t>
      </w:r>
      <w:r w:rsidR="00E21458">
        <w:t xml:space="preserve"> 6</w:t>
      </w:r>
      <w:r>
        <w:t xml:space="preserve">: </w:t>
      </w:r>
      <w:r w:rsidR="00E21458">
        <w:t xml:space="preserve">Presenting information for </w:t>
      </w:r>
      <w:r>
        <w:t>entity that has not ceased to exist</w:t>
      </w:r>
    </w:p>
    <w:p w:rsidR="00B5735C" w:rsidRDefault="005B4F8A" w:rsidP="00984DD1">
      <w:pPr>
        <w:pStyle w:val="Boxed2Text"/>
        <w:pBdr>
          <w:top w:val="single" w:sz="4" w:space="14" w:color="B4B5DF"/>
          <w:left w:val="single" w:sz="4" w:space="14" w:color="B4B5DF"/>
          <w:bottom w:val="single" w:sz="4" w:space="14" w:color="B4B5DF"/>
          <w:right w:val="single" w:sz="4" w:space="14" w:color="B4B5DF"/>
        </w:pBdr>
        <w:shd w:val="clear" w:color="auto" w:fill="B4B5DF"/>
      </w:pPr>
      <w:r>
        <w:t>It may help users of annual reports (which incorporate annual performance statements a</w:t>
      </w:r>
      <w:r w:rsidR="009110DD">
        <w:t>nd annual financial statements)</w:t>
      </w:r>
      <w:r>
        <w:t xml:space="preserve"> </w:t>
      </w:r>
      <w:r w:rsidR="007452AF">
        <w:t xml:space="preserve">if the </w:t>
      </w:r>
      <w:r w:rsidR="005C491D">
        <w:t xml:space="preserve">nominated </w:t>
      </w:r>
      <w:r w:rsidR="007452AF">
        <w:t>entity</w:t>
      </w:r>
      <w:r w:rsidR="005C491D">
        <w:t>’s</w:t>
      </w:r>
      <w:r w:rsidR="007452AF">
        <w:t xml:space="preserve"> annual report includes a s</w:t>
      </w:r>
      <w:r w:rsidR="001143C6">
        <w:t>eparate section with statements and a report for</w:t>
      </w:r>
      <w:r w:rsidR="007452AF">
        <w:t xml:space="preserve"> the old entity.</w:t>
      </w:r>
      <w:r w:rsidR="00984DD1">
        <w:t xml:space="preserve"> </w:t>
      </w:r>
    </w:p>
    <w:p w:rsidR="005B4F8A" w:rsidRDefault="005B4F8A" w:rsidP="00984DD1">
      <w:pPr>
        <w:pStyle w:val="Boxed2Text"/>
        <w:pBdr>
          <w:top w:val="single" w:sz="4" w:space="14" w:color="B4B5DF"/>
          <w:left w:val="single" w:sz="4" w:space="14" w:color="B4B5DF"/>
          <w:bottom w:val="single" w:sz="4" w:space="14" w:color="B4B5DF"/>
          <w:right w:val="single" w:sz="4" w:space="14" w:color="B4B5DF"/>
        </w:pBdr>
        <w:shd w:val="clear" w:color="auto" w:fill="B4B5DF"/>
      </w:pPr>
      <w:r>
        <w:t>Regardless of the approach adopted, the statements and report for the old entity must be clearly distinguishable from those relating to the nominated entity.</w:t>
      </w:r>
    </w:p>
    <w:p w:rsidR="00F124B6" w:rsidRPr="00CC3905" w:rsidRDefault="00F124B6" w:rsidP="00CC3905">
      <w:pPr>
        <w:spacing w:before="360" w:line="340" w:lineRule="atLeast"/>
        <w:rPr>
          <w:sz w:val="30"/>
          <w:szCs w:val="30"/>
        </w:rPr>
      </w:pPr>
      <w:r w:rsidRPr="00CC3905">
        <w:rPr>
          <w:sz w:val="30"/>
          <w:szCs w:val="30"/>
        </w:rPr>
        <w:lastRenderedPageBreak/>
        <w:t>Annual performance statements and annual report</w:t>
      </w:r>
    </w:p>
    <w:p w:rsidR="00F124B6" w:rsidRDefault="00F124B6">
      <w:pPr>
        <w:pStyle w:val="NumberedList1"/>
      </w:pPr>
      <w:r>
        <w:t xml:space="preserve">The Finance Minister may nominate an entity (the nominated entity) to prepare </w:t>
      </w:r>
      <w:r w:rsidR="00D64F2E">
        <w:t xml:space="preserve">the </w:t>
      </w:r>
      <w:r>
        <w:t>annual performance statements and an annual report that reports on the performance and operations of the functions that remain the responsibility of the ‘old entity’, that is,</w:t>
      </w:r>
      <w:r w:rsidR="00B5735C">
        <w:t xml:space="preserve"> the non-transferred functions.</w:t>
      </w:r>
    </w:p>
    <w:p w:rsidR="00F124B6" w:rsidRDefault="00965CFA" w:rsidP="00965CFA">
      <w:pPr>
        <w:pStyle w:val="NumberedList1"/>
      </w:pPr>
      <w:r>
        <w:t xml:space="preserve">To ensure no duplication of reporting occurs, </w:t>
      </w:r>
      <w:r w:rsidR="004E5B59">
        <w:t>sub</w:t>
      </w:r>
      <w:r w:rsidR="00F124B6">
        <w:t>section 17F(2)</w:t>
      </w:r>
      <w:r w:rsidR="004F6A88">
        <w:t xml:space="preserve"> of the PGPA Rule</w:t>
      </w:r>
      <w:r w:rsidR="00F124B6">
        <w:t xml:space="preserve"> indicates that </w:t>
      </w:r>
      <w:r w:rsidR="004F6A88">
        <w:t xml:space="preserve">where the Finance Minister </w:t>
      </w:r>
      <w:r w:rsidR="00F124B6">
        <w:t>nominate</w:t>
      </w:r>
      <w:r w:rsidR="004F6A88">
        <w:t>s</w:t>
      </w:r>
      <w:r>
        <w:t xml:space="preserve"> another entity</w:t>
      </w:r>
      <w:r w:rsidR="00F124B6">
        <w:t xml:space="preserve"> </w:t>
      </w:r>
      <w:r>
        <w:t>(</w:t>
      </w:r>
      <w:r w:rsidR="00266928">
        <w:t>ie in accordance with</w:t>
      </w:r>
      <w:r>
        <w:t xml:space="preserve"> </w:t>
      </w:r>
      <w:r w:rsidR="004E5B59">
        <w:t>sub</w:t>
      </w:r>
      <w:r w:rsidR="00F124B6">
        <w:t xml:space="preserve">section </w:t>
      </w:r>
      <w:hyperlink w:anchor="Section17F1" w:history="1">
        <w:r w:rsidR="00F124B6" w:rsidRPr="00CC3905">
          <w:rPr>
            <w:rStyle w:val="Hyperlink"/>
            <w:i w:val="0"/>
          </w:rPr>
          <w:t>17F(1)</w:t>
        </w:r>
        <w:r w:rsidR="004F6A88" w:rsidRPr="00CC3905">
          <w:rPr>
            <w:rStyle w:val="Hyperlink"/>
            <w:i w:val="0"/>
          </w:rPr>
          <w:t xml:space="preserve"> of the PGPA Rule</w:t>
        </w:r>
      </w:hyperlink>
      <w:r>
        <w:t xml:space="preserve">) </w:t>
      </w:r>
      <w:r w:rsidR="00F124B6">
        <w:t>the accountable authority of the old entity must not prepare annual performance statements, annual financial statements or an annual report for the old entity.</w:t>
      </w:r>
    </w:p>
    <w:p w:rsidR="00F124B6" w:rsidRPr="00CC3905" w:rsidRDefault="00F124B6" w:rsidP="00CC3905">
      <w:pPr>
        <w:spacing w:before="360" w:line="340" w:lineRule="atLeast"/>
        <w:rPr>
          <w:sz w:val="30"/>
          <w:szCs w:val="30"/>
        </w:rPr>
      </w:pPr>
      <w:r w:rsidRPr="00CC3905">
        <w:rPr>
          <w:sz w:val="30"/>
          <w:szCs w:val="30"/>
        </w:rPr>
        <w:t>Annual financial statements</w:t>
      </w:r>
    </w:p>
    <w:p w:rsidR="000E0F29" w:rsidRDefault="00F124B6" w:rsidP="00266928">
      <w:pPr>
        <w:pStyle w:val="NumberedList1"/>
      </w:pPr>
      <w:r w:rsidRPr="00D755C0">
        <w:t>The accountable authority of the nominated entity must prepare annual financial statements for the old entity to report on the functions that have remained with the old entity (non-transferred functions).</w:t>
      </w:r>
      <w:r w:rsidR="000E0F29">
        <w:t xml:space="preserve"> </w:t>
      </w:r>
    </w:p>
    <w:p w:rsidR="00FF1139" w:rsidRPr="00FF1139" w:rsidRDefault="00FF1139" w:rsidP="0096540F">
      <w:pPr>
        <w:pStyle w:val="Boxed2Text"/>
        <w:pBdr>
          <w:top w:val="single" w:sz="4" w:space="14" w:color="B4B5DF"/>
          <w:left w:val="single" w:sz="4" w:space="14" w:color="B4B5DF"/>
          <w:bottom w:val="single" w:sz="4" w:space="14" w:color="B4B5DF"/>
          <w:right w:val="single" w:sz="4" w:space="14" w:color="B4B5DF"/>
        </w:pBdr>
        <w:shd w:val="clear" w:color="auto" w:fill="B4B5DF"/>
        <w:rPr>
          <w:b/>
        </w:rPr>
      </w:pPr>
      <w:r w:rsidRPr="00FF1139">
        <w:rPr>
          <w:b/>
        </w:rPr>
        <w:t>Example 7: Australian National Preventive Health Agency Financial Statements</w:t>
      </w:r>
    </w:p>
    <w:p w:rsidR="007B561B" w:rsidRDefault="007B561B" w:rsidP="007B561B">
      <w:pPr>
        <w:pStyle w:val="Boxed2Text"/>
        <w:pBdr>
          <w:top w:val="single" w:sz="4" w:space="14" w:color="B4B5DF"/>
          <w:left w:val="single" w:sz="4" w:space="14" w:color="B4B5DF"/>
          <w:bottom w:val="single" w:sz="4" w:space="14" w:color="B4B5DF"/>
          <w:right w:val="single" w:sz="4" w:space="14" w:color="B4B5DF"/>
        </w:pBdr>
        <w:shd w:val="clear" w:color="auto" w:fill="B4B5DF"/>
      </w:pPr>
      <w:r>
        <w:t xml:space="preserve">The essential functions of the </w:t>
      </w:r>
      <w:hyperlink r:id="rId36" w:history="1">
        <w:r w:rsidRPr="00BB4386">
          <w:rPr>
            <w:rStyle w:val="Hyperlink"/>
          </w:rPr>
          <w:t xml:space="preserve">Australian National Preventative </w:t>
        </w:r>
        <w:r w:rsidR="00BB4386" w:rsidRPr="00BB4386">
          <w:rPr>
            <w:rStyle w:val="Hyperlink"/>
          </w:rPr>
          <w:t xml:space="preserve">Health </w:t>
        </w:r>
        <w:r w:rsidRPr="00BB4386">
          <w:rPr>
            <w:rStyle w:val="Hyperlink"/>
          </w:rPr>
          <w:t>Agency</w:t>
        </w:r>
      </w:hyperlink>
      <w:r w:rsidRPr="00BB4386">
        <w:rPr>
          <w:rStyle w:val="Hyperlink"/>
        </w:rPr>
        <w:t xml:space="preserve"> </w:t>
      </w:r>
      <w:r>
        <w:t xml:space="preserve">(ANPHA) were transferred to the </w:t>
      </w:r>
      <w:r>
        <w:rPr>
          <w:rFonts w:cstheme="minorHAnsi"/>
        </w:rPr>
        <w:t>Department of Health from 1 July 2014. ANPHA retains a dormant special account</w:t>
      </w:r>
      <w:r>
        <w:rPr>
          <w:rFonts w:ascii="Times New Roman" w:hAnsi="Times New Roman" w:cs="Times New Roman"/>
        </w:rPr>
        <w:t xml:space="preserve">. </w:t>
      </w:r>
      <w:r>
        <w:t>Legislation to abolish ANPHA has not been passed, requiring ANPHA to continue to prepare annual financial statements. These statements, together with the auditor’s report, are included in the Department of Health’</w:t>
      </w:r>
      <w:r w:rsidR="00716C9D">
        <w:t>s annual report as an appendix.</w:t>
      </w:r>
    </w:p>
    <w:p w:rsidR="000E0F29" w:rsidRDefault="000E0F29" w:rsidP="00A07DBF">
      <w:pPr>
        <w:pStyle w:val="NumberedList1"/>
      </w:pPr>
      <w:r w:rsidRPr="000E0F29">
        <w:t xml:space="preserve">The accountable authority must also give the annual financial statements to the </w:t>
      </w:r>
      <w:r w:rsidRPr="000E0F29">
        <w:br/>
        <w:t>Auditor-General as soon as practicable after they are prepared.</w:t>
      </w:r>
    </w:p>
    <w:p w:rsidR="00F124B6" w:rsidRPr="00A32AE1" w:rsidRDefault="001174DC" w:rsidP="000E0F29">
      <w:pPr>
        <w:pStyle w:val="Heading2"/>
      </w:pPr>
      <w:bookmarkStart w:id="55" w:name="_Toc42245007"/>
      <w:r w:rsidRPr="003019DD">
        <w:t>E</w:t>
      </w:r>
      <w:r w:rsidR="00F124B6" w:rsidRPr="003019DD">
        <w:t>nt</w:t>
      </w:r>
      <w:r w:rsidR="004D67BD" w:rsidRPr="003019DD">
        <w:t xml:space="preserve">ity </w:t>
      </w:r>
      <w:r w:rsidR="001A159E" w:rsidRPr="003019DD">
        <w:t xml:space="preserve">has </w:t>
      </w:r>
      <w:r w:rsidR="004D67BD" w:rsidRPr="003019DD">
        <w:t>not ceased to exist</w:t>
      </w:r>
      <w:r w:rsidR="001A159E" w:rsidRPr="003019DD">
        <w:t xml:space="preserve"> - </w:t>
      </w:r>
      <w:r w:rsidR="00F124B6" w:rsidRPr="003019DD">
        <w:t xml:space="preserve">all </w:t>
      </w:r>
      <w:r w:rsidRPr="003019DD">
        <w:t xml:space="preserve">functions </w:t>
      </w:r>
      <w:r w:rsidR="004D67BD" w:rsidRPr="003019DD">
        <w:t xml:space="preserve">are </w:t>
      </w:r>
      <w:r w:rsidR="00F124B6" w:rsidRPr="003019DD">
        <w:t>transferred</w:t>
      </w:r>
      <w:bookmarkEnd w:id="55"/>
    </w:p>
    <w:p w:rsidR="00A07DBF" w:rsidRDefault="00F124B6" w:rsidP="00A07DBF">
      <w:pPr>
        <w:pStyle w:val="NumberedList1"/>
      </w:pPr>
      <w:bookmarkStart w:id="56" w:name="Section17G"/>
      <w:r>
        <w:t>Section 17G</w:t>
      </w:r>
      <w:r w:rsidR="004E5B59">
        <w:t xml:space="preserve"> </w:t>
      </w:r>
      <w:bookmarkEnd w:id="56"/>
      <w:r w:rsidR="004E5B59">
        <w:t>of the PGPA Rule</w:t>
      </w:r>
      <w:r w:rsidR="00A07DBF">
        <w:t xml:space="preserve"> applies where all of the functions of an entity (the old entity) have been transferred to one or more other entities but </w:t>
      </w:r>
      <w:r>
        <w:t>the old entity has not ceased to exist.</w:t>
      </w:r>
      <w:r w:rsidR="00A07DBF">
        <w:t xml:space="preserve"> Where this occurs</w:t>
      </w:r>
      <w:r>
        <w:t xml:space="preserve">, </w:t>
      </w:r>
      <w:r w:rsidR="0019287B">
        <w:t xml:space="preserve">the old entity is not required to </w:t>
      </w:r>
      <w:r>
        <w:t xml:space="preserve">prepare </w:t>
      </w:r>
      <w:r w:rsidR="00D64F2E">
        <w:t xml:space="preserve">the </w:t>
      </w:r>
      <w:r>
        <w:t xml:space="preserve">annual performance statements, annual financial statements or </w:t>
      </w:r>
      <w:r w:rsidR="0019287B">
        <w:t xml:space="preserve">an </w:t>
      </w:r>
      <w:r w:rsidR="00F21E06">
        <w:t>annual report.</w:t>
      </w:r>
    </w:p>
    <w:p w:rsidR="00A07DBF" w:rsidRDefault="00F124B6" w:rsidP="00A07DBF">
      <w:pPr>
        <w:pStyle w:val="NumberedList1"/>
      </w:pPr>
      <w:r>
        <w:t xml:space="preserve">The reports </w:t>
      </w:r>
      <w:r w:rsidR="0019287B">
        <w:t xml:space="preserve">and information that would </w:t>
      </w:r>
      <w:r>
        <w:t xml:space="preserve">otherwise </w:t>
      </w:r>
      <w:r w:rsidR="0019287B">
        <w:t xml:space="preserve">have </w:t>
      </w:r>
      <w:r>
        <w:t>been reported for the old entity</w:t>
      </w:r>
      <w:r w:rsidR="0019287B">
        <w:t>,</w:t>
      </w:r>
      <w:r>
        <w:t xml:space="preserve"> must </w:t>
      </w:r>
      <w:r w:rsidR="008929A4">
        <w:t xml:space="preserve">now </w:t>
      </w:r>
      <w:r>
        <w:t xml:space="preserve">be reported by the entity or entities to which the functions have been transferred in accordance with </w:t>
      </w:r>
      <w:r w:rsidR="00D64F2E">
        <w:t>sections 17H–17J</w:t>
      </w:r>
      <w:r w:rsidR="00D64F2E" w:rsidRPr="00CC3905">
        <w:t xml:space="preserve"> </w:t>
      </w:r>
      <w:r w:rsidR="008929A4">
        <w:t xml:space="preserve">of the </w:t>
      </w:r>
      <w:hyperlink r:id="rId37" w:history="1">
        <w:r w:rsidR="00A07DBF" w:rsidRPr="003E6254">
          <w:rPr>
            <w:rStyle w:val="Hyperlink"/>
            <w:i w:val="0"/>
          </w:rPr>
          <w:t>PGPA Rule</w:t>
        </w:r>
      </w:hyperlink>
      <w:r>
        <w:t>.</w:t>
      </w:r>
    </w:p>
    <w:p w:rsidR="00FE663F" w:rsidRDefault="00A07DBF" w:rsidP="00A07DBF">
      <w:pPr>
        <w:pStyle w:val="NumberedList1"/>
        <w:rPr>
          <w:rFonts w:cs="Arial"/>
          <w:color w:val="000000" w:themeColor="text1"/>
          <w:szCs w:val="40"/>
        </w:rPr>
      </w:pPr>
      <w:r>
        <w:t>For more information</w:t>
      </w:r>
      <w:r w:rsidR="00167B5E">
        <w:t>,</w:t>
      </w:r>
      <w:r>
        <w:t xml:space="preserve"> see </w:t>
      </w:r>
      <w:hyperlink w:anchor="Reportingtransferredfunctions" w:history="1">
        <w:r w:rsidRPr="00CC3905">
          <w:rPr>
            <w:rStyle w:val="Hyperlink"/>
            <w:i w:val="0"/>
          </w:rPr>
          <w:t>Reporting for transferred functions</w:t>
        </w:r>
      </w:hyperlink>
      <w:r>
        <w:rPr>
          <w:rFonts w:cs="Arial"/>
          <w:color w:val="000000" w:themeColor="text1"/>
          <w:szCs w:val="40"/>
        </w:rPr>
        <w:t>.</w:t>
      </w:r>
    </w:p>
    <w:p w:rsidR="00FE663F" w:rsidRDefault="00FE663F">
      <w:pPr>
        <w:suppressAutoHyphens w:val="0"/>
        <w:spacing w:before="0" w:after="120" w:line="440" w:lineRule="atLeast"/>
        <w:rPr>
          <w:rFonts w:cs="Arial"/>
          <w:color w:val="000000" w:themeColor="text1"/>
          <w:szCs w:val="40"/>
        </w:rPr>
      </w:pPr>
      <w:r>
        <w:rPr>
          <w:rFonts w:cs="Arial"/>
          <w:color w:val="000000" w:themeColor="text1"/>
          <w:szCs w:val="40"/>
        </w:rPr>
        <w:br w:type="page"/>
      </w:r>
    </w:p>
    <w:p w:rsidR="00F124B6" w:rsidRPr="00741464" w:rsidRDefault="00F124B6" w:rsidP="00F124B6">
      <w:pPr>
        <w:pStyle w:val="Heading1"/>
        <w:shd w:val="clear" w:color="auto" w:fill="BDDCDF" w:themeFill="accent1"/>
        <w:spacing w:before="0" w:line="240" w:lineRule="auto"/>
        <w:contextualSpacing w:val="0"/>
        <w:rPr>
          <w:rFonts w:cs="Arial"/>
          <w:color w:val="000000" w:themeColor="text1"/>
          <w:szCs w:val="40"/>
        </w:rPr>
      </w:pPr>
      <w:bookmarkStart w:id="57" w:name="_Toc42245008"/>
      <w:r>
        <w:rPr>
          <w:rFonts w:cs="Arial"/>
          <w:color w:val="000000" w:themeColor="text1"/>
          <w:szCs w:val="40"/>
        </w:rPr>
        <w:lastRenderedPageBreak/>
        <w:t xml:space="preserve">Part 5 </w:t>
      </w:r>
      <w:r>
        <w:t xml:space="preserve">– </w:t>
      </w:r>
      <w:bookmarkStart w:id="58" w:name="Reportingtransferredfunctions"/>
      <w:r w:rsidR="008929A4">
        <w:rPr>
          <w:rFonts w:cs="Arial"/>
          <w:color w:val="000000" w:themeColor="text1"/>
          <w:szCs w:val="40"/>
        </w:rPr>
        <w:t>Reporting for</w:t>
      </w:r>
      <w:r w:rsidRPr="00615365">
        <w:rPr>
          <w:rFonts w:cs="Arial"/>
          <w:color w:val="000000" w:themeColor="text1"/>
          <w:szCs w:val="40"/>
        </w:rPr>
        <w:t xml:space="preserve"> transferred functions</w:t>
      </w:r>
      <w:bookmarkEnd w:id="57"/>
      <w:r w:rsidRPr="003553E5">
        <w:rPr>
          <w:sz w:val="26"/>
          <w:szCs w:val="26"/>
        </w:rPr>
        <w:t xml:space="preserve"> </w:t>
      </w:r>
      <w:bookmarkEnd w:id="58"/>
    </w:p>
    <w:p w:rsidR="001F1330" w:rsidRDefault="001F1330" w:rsidP="001F1330">
      <w:pPr>
        <w:pStyle w:val="NumberedList1"/>
      </w:pPr>
      <w:bookmarkStart w:id="59" w:name="Section17J"/>
      <w:r w:rsidRPr="00810ADA">
        <w:t xml:space="preserve">Section 17J </w:t>
      </w:r>
      <w:bookmarkEnd w:id="59"/>
      <w:r w:rsidRPr="00810ADA">
        <w:t xml:space="preserve">of the </w:t>
      </w:r>
      <w:hyperlink r:id="rId38" w:history="1">
        <w:r w:rsidRPr="00810ADA">
          <w:rPr>
            <w:rStyle w:val="Hyperlink"/>
            <w:i w:val="0"/>
            <w:u w:val="none"/>
          </w:rPr>
          <w:t>PGPA Rule</w:t>
        </w:r>
      </w:hyperlink>
      <w:r w:rsidRPr="00810ADA">
        <w:rPr>
          <w:rStyle w:val="Hyperlink"/>
          <w:i w:val="0"/>
          <w:u w:val="none"/>
        </w:rPr>
        <w:t xml:space="preserve"> </w:t>
      </w:r>
      <w:r w:rsidRPr="00810ADA">
        <w:t>applies where functions of an entity (the old entity) have been transferred to another entity (the new entity).</w:t>
      </w:r>
    </w:p>
    <w:p w:rsidR="001F1330" w:rsidRDefault="001F1330" w:rsidP="001F1330">
      <w:pPr>
        <w:pStyle w:val="NumberedList1"/>
      </w:pPr>
      <w:r w:rsidRPr="00810ADA">
        <w:t>Under subsection 17J(1) of the PGPA Rule, these arrangements apply whether or not the old entity has ceased to exist. Under subsection 17J(3) of the PGPA Rule, the Finance Minister may nominate the accountable authority of an entity to report in relation to the transferred functions.</w:t>
      </w:r>
    </w:p>
    <w:p w:rsidR="001F1330" w:rsidRDefault="001F1330" w:rsidP="001F1330">
      <w:pPr>
        <w:pStyle w:val="NumberedList1"/>
      </w:pPr>
      <w:r>
        <w:t xml:space="preserve">For the purpose of sections </w:t>
      </w:r>
      <w:bookmarkStart w:id="60" w:name="Section17Jreportingentity"/>
      <w:r>
        <w:t xml:space="preserve">17J of the PGPA Rule, the </w:t>
      </w:r>
      <w:r w:rsidR="00D64F2E">
        <w:t>‘</w:t>
      </w:r>
      <w:r>
        <w:t>reporting entity</w:t>
      </w:r>
      <w:r w:rsidR="00D64F2E">
        <w:t>’</w:t>
      </w:r>
      <w:r>
        <w:t xml:space="preserve"> </w:t>
      </w:r>
      <w:bookmarkEnd w:id="60"/>
      <w:r>
        <w:t>is defined as:</w:t>
      </w:r>
    </w:p>
    <w:p w:rsidR="001F1330" w:rsidRDefault="001F1330" w:rsidP="001F1330">
      <w:pPr>
        <w:pStyle w:val="Bullet1"/>
      </w:pPr>
      <w:r>
        <w:t>the entity nominated by the Finance Minister under subsection 17J(3), or</w:t>
      </w:r>
    </w:p>
    <w:p w:rsidR="001F1330" w:rsidRPr="001F1330" w:rsidRDefault="00B5735C" w:rsidP="00B5735C">
      <w:pPr>
        <w:pStyle w:val="Bullet1"/>
      </w:pPr>
      <w:r>
        <w:t>the new entity—if no entity is nominated</w:t>
      </w:r>
      <w:r w:rsidR="001F1330">
        <w:t>.</w:t>
      </w:r>
    </w:p>
    <w:p w:rsidR="00F124B6" w:rsidRPr="00CC3905" w:rsidRDefault="002D3F0C" w:rsidP="001F1330">
      <w:pPr>
        <w:pStyle w:val="Heading2"/>
      </w:pPr>
      <w:bookmarkStart w:id="61" w:name="_Toc42245009"/>
      <w:r w:rsidRPr="00CC3905">
        <w:t>Presentation</w:t>
      </w:r>
      <w:r w:rsidR="00224140" w:rsidRPr="00CC3905">
        <w:t xml:space="preserve"> within the annual report</w:t>
      </w:r>
      <w:bookmarkEnd w:id="61"/>
      <w:r w:rsidR="00224140" w:rsidRPr="00CC3905">
        <w:t xml:space="preserve"> </w:t>
      </w:r>
    </w:p>
    <w:p w:rsidR="00F124B6" w:rsidRDefault="00F124B6">
      <w:pPr>
        <w:pStyle w:val="NumberedList1"/>
      </w:pPr>
      <w:r>
        <w:t xml:space="preserve">Unlike the statements and reports prepared in accordance with </w:t>
      </w:r>
      <w:r w:rsidR="00BD5942">
        <w:t>sections 17A–17G of the PGPA Rule</w:t>
      </w:r>
      <w:r>
        <w:t xml:space="preserve">, the preparation and presentation of documents under section 17J </w:t>
      </w:r>
      <w:r w:rsidR="00B5735C">
        <w:t xml:space="preserve">of the PGPA Rule </w:t>
      </w:r>
      <w:r>
        <w:t>varies according to the type of document and the situation.</w:t>
      </w:r>
    </w:p>
    <w:p w:rsidR="00224140" w:rsidRDefault="00224140" w:rsidP="00224140">
      <w:pPr>
        <w:pStyle w:val="NumberedList1"/>
      </w:pPr>
      <w:r>
        <w:t>Subsection</w:t>
      </w:r>
      <w:r w:rsidRPr="00434F12">
        <w:t xml:space="preserve"> 17J(6)</w:t>
      </w:r>
      <w:r>
        <w:t xml:space="preserve"> of the </w:t>
      </w:r>
      <w:hyperlink r:id="rId39" w:history="1">
        <w:r w:rsidRPr="003E6254">
          <w:rPr>
            <w:rStyle w:val="Hyperlink"/>
            <w:i w:val="0"/>
          </w:rPr>
          <w:t>PGPA Rule</w:t>
        </w:r>
      </w:hyperlink>
      <w:r w:rsidRPr="00266928">
        <w:rPr>
          <w:rStyle w:val="Hyperlink"/>
          <w:i w:val="0"/>
          <w:u w:val="none"/>
        </w:rPr>
        <w:t xml:space="preserve"> </w:t>
      </w:r>
      <w:r>
        <w:t xml:space="preserve">requires the information relating to the transferred functions to be included in the annual </w:t>
      </w:r>
      <w:r w:rsidR="00F21E06">
        <w:t>report of the reporting entity.</w:t>
      </w:r>
    </w:p>
    <w:p w:rsidR="00532B35" w:rsidRDefault="00224140" w:rsidP="00224140">
      <w:pPr>
        <w:pStyle w:val="NumberedList1"/>
      </w:pPr>
      <w:r>
        <w:t xml:space="preserve">The accountable authority of the </w:t>
      </w:r>
      <w:hyperlink w:anchor="Section17Jreportingentity" w:history="1">
        <w:r w:rsidRPr="00C51D21">
          <w:rPr>
            <w:rStyle w:val="Hyperlink"/>
            <w:i w:val="0"/>
          </w:rPr>
          <w:t>reporting entity</w:t>
        </w:r>
      </w:hyperlink>
      <w:r w:rsidRPr="000D0648">
        <w:t xml:space="preserve"> </w:t>
      </w:r>
      <w:r>
        <w:t xml:space="preserve">would be expected to </w:t>
      </w:r>
      <w:r w:rsidRPr="000D0648">
        <w:t>report in relation to the transferred functions for the full reporting period (</w:t>
      </w:r>
      <w:r>
        <w:t>including</w:t>
      </w:r>
      <w:r w:rsidRPr="000D0648">
        <w:t xml:space="preserve"> th</w:t>
      </w:r>
      <w:r>
        <w:t>at</w:t>
      </w:r>
      <w:r w:rsidRPr="000D0648">
        <w:t xml:space="preserve"> part of the reporting period prior to the transfer of functions)</w:t>
      </w:r>
      <w:r w:rsidR="00716C9D">
        <w:t>.</w:t>
      </w:r>
    </w:p>
    <w:p w:rsidR="00224140" w:rsidRDefault="00224140" w:rsidP="00224140">
      <w:pPr>
        <w:pStyle w:val="NumberedList1"/>
      </w:pPr>
      <w:r w:rsidRPr="0065506F">
        <w:t xml:space="preserve">This means that the accountable authority of the reporting entity should prepare one consolidated </w:t>
      </w:r>
      <w:r>
        <w:t xml:space="preserve">annual report </w:t>
      </w:r>
      <w:r w:rsidR="00532B35">
        <w:t xml:space="preserve">which includes </w:t>
      </w:r>
      <w:r w:rsidRPr="0065506F">
        <w:t xml:space="preserve">performance and </w:t>
      </w:r>
      <w:r w:rsidR="00532B35">
        <w:t xml:space="preserve">other </w:t>
      </w:r>
      <w:r w:rsidRPr="0065506F">
        <w:t>information relating to the transferred functions f</w:t>
      </w:r>
      <w:r w:rsidR="00F21E06">
        <w:t>or the entire reporting period.</w:t>
      </w:r>
    </w:p>
    <w:p w:rsidR="00224140" w:rsidRPr="0065506F" w:rsidRDefault="005D7EA6" w:rsidP="00224140">
      <w:pPr>
        <w:pStyle w:val="Boxed2Text"/>
      </w:pPr>
      <w:r>
        <w:t>Where functions have been transferred, t</w:t>
      </w:r>
      <w:r w:rsidR="00224140" w:rsidRPr="0065506F">
        <w:t xml:space="preserve">he </w:t>
      </w:r>
      <w:r w:rsidR="00224140">
        <w:t>relevant</w:t>
      </w:r>
      <w:r w:rsidR="00224140" w:rsidRPr="0065506F">
        <w:t xml:space="preserve"> information for the functions transferred from </w:t>
      </w:r>
      <w:r w:rsidR="00224140">
        <w:t xml:space="preserve">an </w:t>
      </w:r>
      <w:r w:rsidR="00224140" w:rsidRPr="0065506F">
        <w:t xml:space="preserve">old entity must be incorporated into the </w:t>
      </w:r>
      <w:hyperlink w:anchor="Section17Jreportingentity" w:history="1">
        <w:r w:rsidR="00224140" w:rsidRPr="00C51D21">
          <w:rPr>
            <w:rStyle w:val="Hyperlink"/>
            <w:i w:val="0"/>
          </w:rPr>
          <w:t>reporting entity’s</w:t>
        </w:r>
      </w:hyperlink>
      <w:r w:rsidR="00224140" w:rsidRPr="0065506F">
        <w:t xml:space="preserve"> annual report, rather than </w:t>
      </w:r>
      <w:r w:rsidR="00224140">
        <w:t xml:space="preserve">being presented </w:t>
      </w:r>
      <w:r w:rsidR="00224140" w:rsidRPr="0065506F">
        <w:t>in a separate annual report.</w:t>
      </w:r>
    </w:p>
    <w:p w:rsidR="00224140" w:rsidRPr="0031118A" w:rsidRDefault="00224140" w:rsidP="00224140">
      <w:pPr>
        <w:pStyle w:val="NumberedList1"/>
      </w:pPr>
      <w:r w:rsidRPr="00632390">
        <w:t xml:space="preserve">Section 37 of the </w:t>
      </w:r>
      <w:hyperlink r:id="rId40" w:history="1">
        <w:r w:rsidRPr="00E71B18">
          <w:rPr>
            <w:rStyle w:val="Hyperlink"/>
            <w:i w:val="0"/>
          </w:rPr>
          <w:t>PGPA Act</w:t>
        </w:r>
      </w:hyperlink>
      <w:r w:rsidRPr="00632390">
        <w:t xml:space="preserve"> </w:t>
      </w:r>
      <w:r w:rsidRPr="00FD6884">
        <w:t>requires the accountable authority of entities to cause records to be kept</w:t>
      </w:r>
      <w:r w:rsidR="00532B35">
        <w:t xml:space="preserve"> in a manner</w:t>
      </w:r>
      <w:r w:rsidRPr="00FD6884">
        <w:t xml:space="preserve"> that properly record</w:t>
      </w:r>
      <w:r w:rsidR="00532B35">
        <w:t>s</w:t>
      </w:r>
      <w:r w:rsidRPr="00FD6884">
        <w:t xml:space="preserve"> and explain</w:t>
      </w:r>
      <w:r w:rsidR="00532B35">
        <w:t>s</w:t>
      </w:r>
      <w:r w:rsidRPr="00FD6884">
        <w:t xml:space="preserve"> the entity’s performance in achieving its purposes</w:t>
      </w:r>
      <w:r>
        <w:t>.</w:t>
      </w:r>
      <w:r w:rsidRPr="0031118A">
        <w:t xml:space="preserve"> To enable</w:t>
      </w:r>
      <w:r>
        <w:t xml:space="preserve"> the reporting entity to prepare the annual report</w:t>
      </w:r>
      <w:r w:rsidRPr="0031118A">
        <w:t>, it is expected that the old entity would provide the reporting entity</w:t>
      </w:r>
      <w:r>
        <w:t xml:space="preserve"> with</w:t>
      </w:r>
      <w:r w:rsidRPr="0031118A">
        <w:t xml:space="preserve"> records</w:t>
      </w:r>
      <w:r>
        <w:t xml:space="preserve"> </w:t>
      </w:r>
      <w:r w:rsidRPr="0031118A">
        <w:t>relating to the performance of the transferred functions.</w:t>
      </w:r>
    </w:p>
    <w:p w:rsidR="00224140" w:rsidRPr="0031118A" w:rsidRDefault="00224140" w:rsidP="00224140">
      <w:pPr>
        <w:pStyle w:val="NumberedList1"/>
      </w:pPr>
      <w:r w:rsidRPr="0031118A">
        <w:t xml:space="preserve">The reporting entity has discretion in how to incorporate the information </w:t>
      </w:r>
      <w:r>
        <w:t xml:space="preserve">relating to </w:t>
      </w:r>
      <w:r w:rsidRPr="0031118A">
        <w:t xml:space="preserve">the transferred functions into its consolidated annual report. As a minimum, the accountable authority of the reporting entity would be expected to include notes or explanations in the annual report to explain that the reporting entity has gained the relevant functions </w:t>
      </w:r>
      <w:r>
        <w:t xml:space="preserve">during the reporting period and, therefore, </w:t>
      </w:r>
      <w:r w:rsidRPr="0031118A">
        <w:t>is reporting on them.</w:t>
      </w:r>
    </w:p>
    <w:p w:rsidR="00224140" w:rsidRPr="00B26E5F" w:rsidRDefault="00224140" w:rsidP="00224140">
      <w:pPr>
        <w:pStyle w:val="NumberedList1"/>
      </w:pPr>
      <w:bookmarkStart w:id="62" w:name="Section17K"/>
      <w:r>
        <w:lastRenderedPageBreak/>
        <w:t xml:space="preserve">Section 17K </w:t>
      </w:r>
      <w:bookmarkEnd w:id="62"/>
      <w:r>
        <w:t xml:space="preserve">of the PGPA Rule provides </w:t>
      </w:r>
      <w:hyperlink w:anchor="DetermininationbyFinanceMinsiter" w:history="1">
        <w:r w:rsidRPr="00E71B18">
          <w:rPr>
            <w:rStyle w:val="Hyperlink"/>
            <w:i w:val="0"/>
          </w:rPr>
          <w:t>the Finance Minister the authority to determine</w:t>
        </w:r>
      </w:hyperlink>
      <w:r>
        <w:t xml:space="preserve"> that a transfer of functions is taken not to have occurred, for the purposes of reporting under </w:t>
      </w:r>
      <w:r w:rsidRPr="00697853">
        <w:rPr>
          <w:rFonts w:ascii="Arial" w:hAnsi="Arial" w:cs="Arial"/>
        </w:rPr>
        <w:t>sections 17A–17</w:t>
      </w:r>
      <w:r>
        <w:rPr>
          <w:rFonts w:ascii="Arial" w:hAnsi="Arial" w:cs="Arial"/>
        </w:rPr>
        <w:t xml:space="preserve">J </w:t>
      </w:r>
      <w:r w:rsidRPr="00697853">
        <w:rPr>
          <w:rFonts w:ascii="Arial" w:hAnsi="Arial" w:cs="Arial"/>
        </w:rPr>
        <w:t>of the PGPA Rule</w:t>
      </w:r>
      <w:r>
        <w:t>.</w:t>
      </w:r>
    </w:p>
    <w:p w:rsidR="00F124B6" w:rsidRPr="00CC3905" w:rsidRDefault="00F124B6" w:rsidP="001F1330">
      <w:pPr>
        <w:pStyle w:val="Heading2"/>
      </w:pPr>
      <w:bookmarkStart w:id="63" w:name="_Toc42245010"/>
      <w:r w:rsidRPr="00CC3905">
        <w:t>Annual performance statements</w:t>
      </w:r>
      <w:bookmarkEnd w:id="63"/>
      <w:r w:rsidR="00142CC3" w:rsidRPr="00CC3905">
        <w:t xml:space="preserve"> </w:t>
      </w:r>
    </w:p>
    <w:p w:rsidR="00532B35" w:rsidRDefault="00F124B6" w:rsidP="00604C35">
      <w:pPr>
        <w:pStyle w:val="NumberedList1"/>
      </w:pPr>
      <w:r w:rsidRPr="00434F12">
        <w:t>Subsection 17J</w:t>
      </w:r>
      <w:r>
        <w:t>(</w:t>
      </w:r>
      <w:r w:rsidRPr="00434F12">
        <w:t>4)</w:t>
      </w:r>
      <w:r w:rsidR="00142CC3">
        <w:t xml:space="preserve"> of the PGPA Rule,</w:t>
      </w:r>
      <w:r w:rsidRPr="00434F12">
        <w:t xml:space="preserve"> </w:t>
      </w:r>
      <w:r>
        <w:t xml:space="preserve">requires the information relating to the transferred functions to be included in the annual performance statements of the </w:t>
      </w:r>
      <w:hyperlink w:anchor="Section17Jreportingentity" w:history="1">
        <w:r w:rsidR="00142CC3" w:rsidRPr="00E71B18">
          <w:rPr>
            <w:rStyle w:val="Hyperlink"/>
            <w:i w:val="0"/>
          </w:rPr>
          <w:t>reporting entity</w:t>
        </w:r>
      </w:hyperlink>
      <w:r w:rsidR="00604C35">
        <w:t xml:space="preserve">. </w:t>
      </w:r>
    </w:p>
    <w:p w:rsidR="00604C35" w:rsidRDefault="00604C35" w:rsidP="00604C35">
      <w:pPr>
        <w:pStyle w:val="NumberedList1"/>
      </w:pPr>
      <w:r>
        <w:t>T</w:t>
      </w:r>
      <w:r w:rsidR="00F124B6" w:rsidRPr="0065506F">
        <w:t>he accountable authority of the reporting entity should prepare one consolidated set of ann</w:t>
      </w:r>
      <w:r>
        <w:t>ual performance statements, which</w:t>
      </w:r>
      <w:r w:rsidR="00F124B6" w:rsidRPr="0065506F">
        <w:t xml:space="preserve"> include the performance and </w:t>
      </w:r>
      <w:r w:rsidR="00532B35">
        <w:t xml:space="preserve">other </w:t>
      </w:r>
      <w:r w:rsidR="00F124B6" w:rsidRPr="0065506F">
        <w:t>information relating to the transferred functions</w:t>
      </w:r>
      <w:r>
        <w:t>,</w:t>
      </w:r>
      <w:r w:rsidR="00F124B6" w:rsidRPr="0065506F">
        <w:t xml:space="preserve"> for the </w:t>
      </w:r>
      <w:r w:rsidR="00F21E06">
        <w:t>entire reporting period.</w:t>
      </w:r>
    </w:p>
    <w:p w:rsidR="00F124B6" w:rsidRPr="0065506F" w:rsidRDefault="00604C35" w:rsidP="00CC3905">
      <w:pPr>
        <w:pStyle w:val="Boxed2Text"/>
      </w:pPr>
      <w:r>
        <w:t>Where functions have been transferred,</w:t>
      </w:r>
      <w:r w:rsidR="00F124B6" w:rsidRPr="0065506F">
        <w:t xml:space="preserve"> performance and other information for the functions transferred from </w:t>
      </w:r>
      <w:r>
        <w:t xml:space="preserve">an </w:t>
      </w:r>
      <w:r w:rsidR="00F124B6" w:rsidRPr="0065506F">
        <w:t xml:space="preserve">old entity must be incorporated into the </w:t>
      </w:r>
      <w:hyperlink w:anchor="Section17Jreportingentity" w:history="1">
        <w:r w:rsidR="00F124B6" w:rsidRPr="00604C35">
          <w:rPr>
            <w:rStyle w:val="Hyperlink"/>
            <w:i w:val="0"/>
          </w:rPr>
          <w:t>reporting entity’s</w:t>
        </w:r>
      </w:hyperlink>
      <w:r w:rsidR="00F124B6" w:rsidRPr="0065506F">
        <w:t xml:space="preserve"> annual performance statements, rather than in a separate annual performance statement.</w:t>
      </w:r>
    </w:p>
    <w:p w:rsidR="000605C2" w:rsidRDefault="00F124B6" w:rsidP="000605C2">
      <w:pPr>
        <w:pStyle w:val="NumberedList1"/>
      </w:pPr>
      <w:r w:rsidRPr="0031118A">
        <w:t>The reporting entity has discr</w:t>
      </w:r>
      <w:r w:rsidR="00532B35">
        <w:t xml:space="preserve">etion in how to incorporate </w:t>
      </w:r>
      <w:r w:rsidRPr="0031118A">
        <w:t>performance and</w:t>
      </w:r>
      <w:r w:rsidR="004F73E8">
        <w:t xml:space="preserve"> other </w:t>
      </w:r>
      <w:r w:rsidRPr="0031118A">
        <w:t xml:space="preserve">information of the transferred functions into its consolidated annual performance statements. As a minimum, the accountable authority of the reporting entity would be expected to include notes or explanations in the </w:t>
      </w:r>
      <w:r w:rsidR="00532B35">
        <w:t>annual performance statements that</w:t>
      </w:r>
      <w:r w:rsidRPr="0031118A">
        <w:t xml:space="preserve"> explain that the reporting entity has gained the relevant functions du</w:t>
      </w:r>
      <w:r w:rsidR="00532B35">
        <w:t>ring the reporting period and,</w:t>
      </w:r>
      <w:r w:rsidRPr="0031118A">
        <w:t xml:space="preserve"> </w:t>
      </w:r>
      <w:r w:rsidR="00532B35">
        <w:t xml:space="preserve">therefore, is </w:t>
      </w:r>
      <w:r w:rsidRPr="0031118A">
        <w:t>reporting on them.</w:t>
      </w:r>
      <w:r w:rsidR="000605C2">
        <w:t xml:space="preserve"> For examples of notes and explanations to annual performance statements, see </w:t>
      </w:r>
      <w:hyperlink w:anchor="Example8A" w:history="1">
        <w:r w:rsidR="000605C2" w:rsidRPr="000605C2">
          <w:rPr>
            <w:rStyle w:val="Hyperlink"/>
            <w:i w:val="0"/>
          </w:rPr>
          <w:t>Example 8A</w:t>
        </w:r>
      </w:hyperlink>
      <w:r w:rsidR="000605C2">
        <w:t xml:space="preserve"> and </w:t>
      </w:r>
      <w:hyperlink w:anchor="Example8B" w:history="1">
        <w:r w:rsidR="000605C2" w:rsidRPr="000605C2">
          <w:rPr>
            <w:rStyle w:val="Hyperlink"/>
            <w:i w:val="0"/>
          </w:rPr>
          <w:t>Example 8B</w:t>
        </w:r>
      </w:hyperlink>
      <w:r w:rsidR="000605C2">
        <w:t>.</w:t>
      </w:r>
    </w:p>
    <w:p w:rsidR="00F124B6" w:rsidRPr="0031118A" w:rsidRDefault="00F124B6" w:rsidP="004F73E8">
      <w:pPr>
        <w:pStyle w:val="NumberedList1"/>
      </w:pPr>
      <w:r w:rsidRPr="0031118A">
        <w:t>The approach adopted will depend on a number of factors including:</w:t>
      </w:r>
    </w:p>
    <w:p w:rsidR="00F124B6" w:rsidRPr="0031118A" w:rsidRDefault="00F124B6" w:rsidP="00F124B6">
      <w:pPr>
        <w:pStyle w:val="Bullet1"/>
      </w:pPr>
      <w:r w:rsidRPr="0031118A">
        <w:t>the nature and significance o</w:t>
      </w:r>
      <w:r w:rsidR="004F73E8">
        <w:t>f the functions transferred</w:t>
      </w:r>
    </w:p>
    <w:p w:rsidR="00F124B6" w:rsidRPr="0031118A" w:rsidRDefault="00F124B6" w:rsidP="00F124B6">
      <w:pPr>
        <w:pStyle w:val="Bullet1"/>
      </w:pPr>
      <w:r w:rsidRPr="0031118A">
        <w:t>the timing of the transfer of functions.</w:t>
      </w:r>
    </w:p>
    <w:p w:rsidR="00F124B6" w:rsidRPr="0031118A" w:rsidRDefault="004F73E8" w:rsidP="00763037">
      <w:pPr>
        <w:pStyle w:val="NumberedList1"/>
      </w:pPr>
      <w:r>
        <w:t>W</w:t>
      </w:r>
      <w:r w:rsidR="00F124B6" w:rsidRPr="0031118A">
        <w:t>here the old entity has performed the functions for the majority of the reporting period, it is expected that the</w:t>
      </w:r>
      <w:r>
        <w:t xml:space="preserve"> </w:t>
      </w:r>
      <w:hyperlink w:anchor="Section17Jreportingentity" w:history="1">
        <w:r w:rsidRPr="004F73E8">
          <w:rPr>
            <w:rStyle w:val="Hyperlink"/>
            <w:i w:val="0"/>
          </w:rPr>
          <w:t>reporting entity</w:t>
        </w:r>
      </w:hyperlink>
      <w:r w:rsidRPr="004F73E8">
        <w:rPr>
          <w:rStyle w:val="Hyperlink"/>
          <w:i w:val="0"/>
          <w:u w:val="none"/>
        </w:rPr>
        <w:t xml:space="preserve"> would </w:t>
      </w:r>
      <w:r w:rsidR="00763037">
        <w:rPr>
          <w:rStyle w:val="Hyperlink"/>
          <w:i w:val="0"/>
          <w:u w:val="none"/>
        </w:rPr>
        <w:t xml:space="preserve">report </w:t>
      </w:r>
      <w:r w:rsidR="00F124B6" w:rsidRPr="0031118A">
        <w:t>on the extent to which the performance measur</w:t>
      </w:r>
      <w:r>
        <w:t>es and targets relating to the transferred</w:t>
      </w:r>
      <w:r w:rsidR="00F124B6" w:rsidRPr="0031118A">
        <w:t xml:space="preserve"> functions had been achieved by the old entity</w:t>
      </w:r>
      <w:r>
        <w:t xml:space="preserve">, in accordance with the </w:t>
      </w:r>
      <w:hyperlink r:id="rId41" w:history="1">
        <w:r w:rsidRPr="00584175">
          <w:rPr>
            <w:rStyle w:val="Hyperlink"/>
            <w:i w:val="0"/>
          </w:rPr>
          <w:t>Commonwealth Performance Framework</w:t>
        </w:r>
      </w:hyperlink>
      <w:r w:rsidR="00F124B6" w:rsidRPr="0031118A">
        <w:t>.</w:t>
      </w:r>
    </w:p>
    <w:p w:rsidR="00F124B6" w:rsidRDefault="00763037">
      <w:pPr>
        <w:pStyle w:val="NumberedList1"/>
      </w:pPr>
      <w:r>
        <w:t>However</w:t>
      </w:r>
      <w:r w:rsidR="00F124B6" w:rsidRPr="0031118A">
        <w:t xml:space="preserve">, where functions are transferred early in the reporting period, it may not be practical to report on the performance of the old entity in relation to the transferred functions. In these circumstances, the annual performance statements of the new entity should explain how its performance relating to these functions has been measured, including any changes that have been made to </w:t>
      </w:r>
      <w:r>
        <w:t xml:space="preserve">the </w:t>
      </w:r>
      <w:r w:rsidR="00F124B6" w:rsidRPr="0031118A">
        <w:t>performance measures and targets following the transfer.</w:t>
      </w:r>
    </w:p>
    <w:p w:rsidR="00FE663F" w:rsidRDefault="00F124B6" w:rsidP="000605C2">
      <w:pPr>
        <w:pStyle w:val="NumberedList1"/>
      </w:pPr>
      <w:r>
        <w:t xml:space="preserve">Where the transfer has occurred very late in the reporting period, for example, the </w:t>
      </w:r>
      <w:hyperlink w:anchor="DetermininationbyFinanceMinsiter" w:history="1">
        <w:r w:rsidRPr="00763037">
          <w:rPr>
            <w:rStyle w:val="Hyperlink"/>
            <w:i w:val="0"/>
          </w:rPr>
          <w:t>Finance Minister may make a determination</w:t>
        </w:r>
      </w:hyperlink>
      <w:r>
        <w:t xml:space="preserve"> under section 17K</w:t>
      </w:r>
      <w:r w:rsidR="00763037">
        <w:t xml:space="preserve"> of the PGPA Rule</w:t>
      </w:r>
      <w:r>
        <w:t>.</w:t>
      </w:r>
    </w:p>
    <w:p w:rsidR="00FE663F" w:rsidRDefault="00FE663F">
      <w:pPr>
        <w:suppressAutoHyphens w:val="0"/>
        <w:spacing w:before="0" w:after="120" w:line="440" w:lineRule="atLeast"/>
      </w:pPr>
      <w:r>
        <w:br w:type="page"/>
      </w:r>
    </w:p>
    <w:p w:rsidR="004176E6" w:rsidRPr="003C2BAA" w:rsidRDefault="004176E6" w:rsidP="003C2BAA">
      <w:pPr>
        <w:pStyle w:val="Boxed2Text"/>
        <w:pBdr>
          <w:top w:val="single" w:sz="4" w:space="14" w:color="B4B5DF"/>
          <w:left w:val="single" w:sz="4" w:space="14" w:color="B4B5DF"/>
          <w:bottom w:val="single" w:sz="4" w:space="14" w:color="B4B5DF"/>
          <w:right w:val="single" w:sz="4" w:space="14" w:color="B4B5DF"/>
        </w:pBdr>
        <w:shd w:val="clear" w:color="auto" w:fill="B4B5DF"/>
        <w:rPr>
          <w:b/>
        </w:rPr>
      </w:pPr>
      <w:bookmarkStart w:id="64" w:name="Example8A"/>
      <w:r w:rsidRPr="003C2BAA">
        <w:rPr>
          <w:b/>
        </w:rPr>
        <w:lastRenderedPageBreak/>
        <w:t>Example</w:t>
      </w:r>
      <w:r w:rsidR="00E21458">
        <w:rPr>
          <w:b/>
        </w:rPr>
        <w:t xml:space="preserve"> 8A</w:t>
      </w:r>
      <w:bookmarkEnd w:id="64"/>
      <w:r w:rsidRPr="004176E6">
        <w:rPr>
          <w:b/>
        </w:rPr>
        <w:t>: S</w:t>
      </w:r>
      <w:r>
        <w:rPr>
          <w:b/>
        </w:rPr>
        <w:t>tatement for c</w:t>
      </w:r>
      <w:r w:rsidRPr="003C2BAA">
        <w:rPr>
          <w:b/>
        </w:rPr>
        <w:t>ombined annual performance statements</w:t>
      </w:r>
    </w:p>
    <w:p w:rsidR="004176E6" w:rsidRDefault="004176E6" w:rsidP="003C2BAA">
      <w:pPr>
        <w:pStyle w:val="Boxed2Text"/>
        <w:pBdr>
          <w:top w:val="single" w:sz="4" w:space="14" w:color="B4B5DF"/>
          <w:left w:val="single" w:sz="4" w:space="14" w:color="B4B5DF"/>
          <w:bottom w:val="single" w:sz="4" w:space="14" w:color="B4B5DF"/>
          <w:right w:val="single" w:sz="4" w:space="14" w:color="B4B5DF"/>
        </w:pBdr>
        <w:shd w:val="clear" w:color="auto" w:fill="B4B5DF"/>
      </w:pPr>
      <w:r w:rsidRPr="004176E6">
        <w:t>As a result of MoG changes during the 2017-18 reporting period,</w:t>
      </w:r>
      <w:r w:rsidR="00AC0063">
        <w:t xml:space="preserve"> functions were transferred to the </w:t>
      </w:r>
      <w:hyperlink r:id="rId42" w:history="1">
        <w:r w:rsidRPr="004176E6">
          <w:rPr>
            <w:rStyle w:val="Hyperlink"/>
            <w:i w:val="0"/>
            <w:u w:val="none"/>
          </w:rPr>
          <w:t>Department of Home Affairs</w:t>
        </w:r>
      </w:hyperlink>
      <w:r w:rsidRPr="004176E6">
        <w:t xml:space="preserve"> (HA)</w:t>
      </w:r>
      <w:r w:rsidR="00AC0063">
        <w:t xml:space="preserve">, </w:t>
      </w:r>
      <w:r w:rsidRPr="004176E6">
        <w:t>from the</w:t>
      </w:r>
      <w:r>
        <w:t xml:space="preserve"> </w:t>
      </w:r>
      <w:r w:rsidR="003C2BAA">
        <w:t>Department of Immigration and Border Pr</w:t>
      </w:r>
      <w:r w:rsidR="00AC0063">
        <w:t xml:space="preserve">otection, </w:t>
      </w:r>
      <w:r w:rsidR="003C2BAA">
        <w:t xml:space="preserve">the </w:t>
      </w:r>
      <w:r w:rsidRPr="004176E6">
        <w:t>Attorn</w:t>
      </w:r>
      <w:r w:rsidR="003C2BAA">
        <w:t>ey-General’s Department</w:t>
      </w:r>
      <w:r w:rsidR="00AC0063">
        <w:t>, the Department of Infrastructure and Regional Development, the Department of Social Services and the Department of Prime Minister and Cabinet.</w:t>
      </w:r>
    </w:p>
    <w:p w:rsidR="004176E6" w:rsidRDefault="00AC0063" w:rsidP="00BA7782">
      <w:pPr>
        <w:pStyle w:val="Boxed2Text"/>
        <w:pBdr>
          <w:top w:val="single" w:sz="4" w:space="14" w:color="B4B5DF"/>
          <w:left w:val="single" w:sz="4" w:space="14" w:color="B4B5DF"/>
          <w:bottom w:val="single" w:sz="4" w:space="14" w:color="B4B5DF"/>
          <w:right w:val="single" w:sz="4" w:space="14" w:color="B4B5DF"/>
        </w:pBdr>
        <w:shd w:val="clear" w:color="auto" w:fill="B4B5DF"/>
        <w:spacing w:after="0"/>
      </w:pPr>
      <w:r>
        <w:t xml:space="preserve">At the introduction to the 2017-18 </w:t>
      </w:r>
      <w:r w:rsidR="004176E6" w:rsidRPr="004176E6">
        <w:t xml:space="preserve">annual performance statements </w:t>
      </w:r>
      <w:r>
        <w:t xml:space="preserve">for </w:t>
      </w:r>
      <w:r w:rsidR="004176E6" w:rsidRPr="004176E6">
        <w:t>HA</w:t>
      </w:r>
      <w:r>
        <w:t xml:space="preserve">, the following note explained </w:t>
      </w:r>
      <w:r w:rsidR="004176E6" w:rsidRPr="004176E6">
        <w:t xml:space="preserve">the </w:t>
      </w:r>
      <w:r>
        <w:t xml:space="preserve">inclusion of results for the transferred functions against the </w:t>
      </w:r>
      <w:r w:rsidR="004176E6" w:rsidRPr="004176E6">
        <w:t>performance</w:t>
      </w:r>
      <w:r w:rsidR="000250B8">
        <w:t xml:space="preserve"> criteria that had been</w:t>
      </w:r>
      <w:r>
        <w:t xml:space="preserve"> published in </w:t>
      </w:r>
      <w:r w:rsidR="00A86092">
        <w:t xml:space="preserve">the 2017-18 corporate plans, </w:t>
      </w:r>
      <w:r>
        <w:t>portfolio budget statements</w:t>
      </w:r>
      <w:r w:rsidR="00A86092">
        <w:t>, portfolio additional estimates statements</w:t>
      </w:r>
      <w:r w:rsidR="000250B8">
        <w:t xml:space="preserve"> for the old entities.</w:t>
      </w:r>
    </w:p>
    <w:tbl>
      <w:tblPr>
        <w:tblStyle w:val="TableGrid"/>
        <w:tblW w:w="0" w:type="auto"/>
        <w:tblInd w:w="-5" w:type="dxa"/>
        <w:tblLook w:val="04A0" w:firstRow="1" w:lastRow="0" w:firstColumn="1" w:lastColumn="0" w:noHBand="0" w:noVBand="1"/>
        <w:tblCaption w:val="Performance Reporting"/>
        <w:tblDescription w:val="Performance Reporting &#10;&#10;Part 2 of this report includes the Department’s results against performance criteria outlined in the Department of Immigration and Border Protection Corporate Plan 2017–18, Department of Immigration and Border Protection Portfolio Budget Statements (PBS) 2017–18 and the Department of Immigration and Border Protection Portfolio Additional Estimates Statements 2017–18. The link between the outcome structure of the Department of Immigration and Border Protection (DIBP) PBS and purposes in the DIBP Corporate Plan are shown below. The DIBP performance measures for 2017–18 are updated from those reported in 2016–17. Where comparative data from 2016–17 is available for the new measures, it has been included.&#10; &#10;The second half of Part 2 includes reporting of performance measures for functions that moved into the Department from the Attorney-General’s Department (AGD) and the Department of Infrastructure and Regional Development, and which were contained in the previous agencies’ 2017–18 corporate plans.  The list of these performance measures is outlined on page 75. &#10;&#10;Note: Functions transferred into the Department from the Department of Social Services and the Department of Prime Minister and Cabinet did not come with accompanying performance measures for 2017–18.&#10;"/>
      </w:tblPr>
      <w:tblGrid>
        <w:gridCol w:w="9067"/>
      </w:tblGrid>
      <w:tr w:rsidR="00A83A77" w:rsidTr="00BA7782">
        <w:trPr>
          <w:tblHeader/>
        </w:trPr>
        <w:tc>
          <w:tcPr>
            <w:tcW w:w="9065" w:type="dxa"/>
            <w:tcBorders>
              <w:top w:val="single" w:sz="4" w:space="0" w:color="B4B5DF"/>
              <w:left w:val="single" w:sz="4" w:space="0" w:color="B4B5DF"/>
              <w:bottom w:val="single" w:sz="4" w:space="0" w:color="B4B5DF"/>
              <w:right w:val="single" w:sz="4" w:space="0" w:color="B4B5DF"/>
            </w:tcBorders>
            <w:shd w:val="clear" w:color="auto" w:fill="B4B5DF"/>
          </w:tcPr>
          <w:p w:rsidR="00A83A77" w:rsidRDefault="00A83A77" w:rsidP="00BA7782">
            <w:pPr>
              <w:pStyle w:val="Boxed2Text"/>
              <w:pBdr>
                <w:top w:val="none" w:sz="0" w:space="0" w:color="auto"/>
                <w:left w:val="none" w:sz="0" w:space="0" w:color="auto"/>
                <w:bottom w:val="none" w:sz="0" w:space="0" w:color="auto"/>
                <w:right w:val="none" w:sz="0" w:space="0" w:color="auto"/>
              </w:pBdr>
              <w:shd w:val="clear" w:color="auto" w:fill="auto"/>
              <w:spacing w:before="0"/>
              <w:ind w:left="0"/>
            </w:pPr>
            <w:r>
              <w:rPr>
                <w:noProof/>
                <w:lang w:eastAsia="en-AU"/>
              </w:rPr>
              <w:drawing>
                <wp:inline distT="0" distB="0" distL="0" distR="0" wp14:anchorId="2B3A7D98" wp14:editId="7DF10BDA">
                  <wp:extent cx="5581015" cy="3096456"/>
                  <wp:effectExtent l="0" t="0" r="63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5626090" cy="3121465"/>
                          </a:xfrm>
                          <a:prstGeom prst="rect">
                            <a:avLst/>
                          </a:prstGeom>
                          <a:ln>
                            <a:noFill/>
                          </a:ln>
                          <a:extLst>
                            <a:ext uri="{53640926-AAD7-44D8-BBD7-CCE9431645EC}">
                              <a14:shadowObscured xmlns:a14="http://schemas.microsoft.com/office/drawing/2010/main"/>
                            </a:ext>
                          </a:extLst>
                        </pic:spPr>
                      </pic:pic>
                    </a:graphicData>
                  </a:graphic>
                </wp:inline>
              </w:drawing>
            </w:r>
          </w:p>
        </w:tc>
      </w:tr>
    </w:tbl>
    <w:p w:rsidR="001A159E" w:rsidRDefault="001A159E">
      <w:pPr>
        <w:suppressAutoHyphens w:val="0"/>
        <w:spacing w:before="0" w:after="120" w:line="440" w:lineRule="atLeast"/>
      </w:pPr>
      <w:r>
        <w:br w:type="page"/>
      </w:r>
    </w:p>
    <w:p w:rsidR="00A86092" w:rsidRPr="00CC3905" w:rsidRDefault="00A86092" w:rsidP="00A83A77">
      <w:pPr>
        <w:pStyle w:val="Boxed2Text"/>
        <w:pBdr>
          <w:top w:val="single" w:sz="4" w:space="14" w:color="B4B5DF"/>
          <w:left w:val="single" w:sz="4" w:space="14" w:color="B4B5DF"/>
          <w:bottom w:val="single" w:sz="4" w:space="14" w:color="B4B5DF"/>
          <w:right w:val="single" w:sz="4" w:space="14" w:color="B4B5DF"/>
        </w:pBdr>
        <w:shd w:val="clear" w:color="auto" w:fill="B4B5DF"/>
        <w:rPr>
          <w:b/>
        </w:rPr>
      </w:pPr>
      <w:bookmarkStart w:id="65" w:name="Example8B"/>
      <w:r w:rsidRPr="003C2BAA">
        <w:rPr>
          <w:b/>
        </w:rPr>
        <w:lastRenderedPageBreak/>
        <w:t>Example</w:t>
      </w:r>
      <w:r w:rsidR="00E21458">
        <w:rPr>
          <w:b/>
        </w:rPr>
        <w:t xml:space="preserve"> 8B</w:t>
      </w:r>
      <w:bookmarkEnd w:id="65"/>
      <w:r w:rsidRPr="004176E6">
        <w:rPr>
          <w:b/>
        </w:rPr>
        <w:t>: S</w:t>
      </w:r>
      <w:r>
        <w:rPr>
          <w:b/>
        </w:rPr>
        <w:t>tatement for c</w:t>
      </w:r>
      <w:r w:rsidRPr="003C2BAA">
        <w:rPr>
          <w:b/>
        </w:rPr>
        <w:t>ombined annual performance statements</w:t>
      </w:r>
    </w:p>
    <w:p w:rsidR="00A86092" w:rsidRPr="00E462A2" w:rsidRDefault="00F21E06" w:rsidP="00BA7782">
      <w:pPr>
        <w:pStyle w:val="Boxed2Text"/>
        <w:pBdr>
          <w:top w:val="single" w:sz="4" w:space="14" w:color="B4B5DF"/>
          <w:left w:val="single" w:sz="4" w:space="14" w:color="B4B5DF"/>
          <w:bottom w:val="single" w:sz="4" w:space="14" w:color="B4B5DF"/>
          <w:right w:val="single" w:sz="4" w:space="14" w:color="B4B5DF"/>
        </w:pBdr>
        <w:shd w:val="clear" w:color="auto" w:fill="B4B5DF"/>
        <w:spacing w:after="0"/>
      </w:pPr>
      <w:r w:rsidRPr="00A83A77">
        <w:t>HA also distinguished</w:t>
      </w:r>
      <w:r w:rsidR="00A86092" w:rsidRPr="00A83A77">
        <w:t xml:space="preserve"> the performance information for the transferred functions by including the</w:t>
      </w:r>
      <w:r w:rsidRPr="00A83A77">
        <w:t xml:space="preserve"> following statement</w:t>
      </w:r>
      <w:r w:rsidR="00A86092" w:rsidRPr="00A83A77">
        <w:t xml:space="preserve"> in the</w:t>
      </w:r>
      <w:r w:rsidR="00E21458" w:rsidRPr="00A83A77">
        <w:t xml:space="preserve"> annual performance statement</w:t>
      </w:r>
      <w:r w:rsidRPr="00A83A77">
        <w:t>. This provided additional context before present</w:t>
      </w:r>
      <w:r w:rsidR="00A86092" w:rsidRPr="00E462A2">
        <w:t>ing th</w:t>
      </w:r>
      <w:r w:rsidRPr="00E462A2">
        <w:t>e results a</w:t>
      </w:r>
      <w:r w:rsidR="000250B8" w:rsidRPr="00E462A2">
        <w:t xml:space="preserve">nd analysis for the transferred </w:t>
      </w:r>
      <w:r w:rsidRPr="00E462A2">
        <w:t>performance measures</w:t>
      </w:r>
      <w:r w:rsidR="00A86092" w:rsidRPr="00E462A2">
        <w:t>.</w:t>
      </w:r>
    </w:p>
    <w:tbl>
      <w:tblPr>
        <w:tblStyle w:val="TableGrid"/>
        <w:tblW w:w="0" w:type="auto"/>
        <w:tblInd w:w="-5" w:type="dxa"/>
        <w:tblLook w:val="04A0" w:firstRow="1" w:lastRow="0" w:firstColumn="1" w:lastColumn="0" w:noHBand="0" w:noVBand="1"/>
        <w:tblCaption w:val="Additional performance measures"/>
        <w:tblDescription w:val="Additional performance measures&#10;&#10;Additional performance measures The Department of Immigration and Border Protection Corporate Plan 2017–18 was published on 31 August 2017, ahead of the formal establishment of the Department of Home Affairs on 20 December 2017. Performance measures belonging to the functions subject to machinery-of-government (MoG) changes and transferred into the new Department of Home Affairs appeared in the corporate plans of their originating agency. &#10;&#10;The Department is required to report against the performance measures of the incoming MoG functions in accordance with section 16F of the Public Governance, Performance and Accountability Rule 2014 (PGPA Rule), which mandates that where a function or office is transferred between entities, the gaining entity will take responsibility for the mandatory reporting requirements. &#10;&#10;The Attorney-General’s Department Performance Measures transferred to the Department as part of the MoG changes relied on a survey of stakeholders. The Department maintained this approach for consistency and completed the survey for the relevant 2017–18 performance measures. &#10;&#10;A range of stakeholders across the private, and public sectors and other government agencies were contacted for the survey, although all responses were anonymous. In total, the survey resulted in 228 responses, with valid response rates across questions for three categories: national security, law enforcement and emergency management. This approach will not be used in 2018–19 when we will apply a different methodology to assess performance. &#10;&#10;Table 9 provides information on the additional performance measures from the Department of Infrastructure and Regional Development and the Attorney-General’s Department. An analysis of each performance measure that transferred is included on pages 80 to 93.&#10;"/>
      </w:tblPr>
      <w:tblGrid>
        <w:gridCol w:w="9017"/>
      </w:tblGrid>
      <w:tr w:rsidR="00E462A2" w:rsidTr="00BA7782">
        <w:trPr>
          <w:tblHeader/>
        </w:trPr>
        <w:tc>
          <w:tcPr>
            <w:tcW w:w="9070" w:type="dxa"/>
            <w:tcBorders>
              <w:top w:val="single" w:sz="24" w:space="0" w:color="B4B5DF"/>
              <w:left w:val="single" w:sz="24" w:space="0" w:color="B4B5DF"/>
              <w:bottom w:val="single" w:sz="24" w:space="0" w:color="B4B5DF"/>
              <w:right w:val="single" w:sz="24" w:space="0" w:color="B4B5DF"/>
            </w:tcBorders>
            <w:shd w:val="clear" w:color="auto" w:fill="B4B5DF"/>
          </w:tcPr>
          <w:p w:rsidR="00E462A2" w:rsidRDefault="00E462A2" w:rsidP="00BA7782">
            <w:pPr>
              <w:pStyle w:val="Boxed2Text"/>
              <w:pBdr>
                <w:top w:val="none" w:sz="0" w:space="0" w:color="auto"/>
                <w:left w:val="none" w:sz="0" w:space="0" w:color="auto"/>
                <w:bottom w:val="none" w:sz="0" w:space="0" w:color="auto"/>
                <w:right w:val="none" w:sz="0" w:space="0" w:color="auto"/>
              </w:pBdr>
              <w:shd w:val="clear" w:color="auto" w:fill="auto"/>
              <w:spacing w:before="0" w:line="200" w:lineRule="atLeast"/>
              <w:ind w:left="-244" w:right="33" w:firstLine="244"/>
            </w:pPr>
            <w:r w:rsidRPr="00CC3905">
              <w:rPr>
                <w:noProof/>
                <w:shd w:val="clear" w:color="auto" w:fill="B4B5DF"/>
                <w:lang w:eastAsia="en-AU"/>
              </w:rPr>
              <w:drawing>
                <wp:inline distT="0" distB="0" distL="0" distR="0" wp14:anchorId="2360B005" wp14:editId="4F4D732D">
                  <wp:extent cx="5632704" cy="332041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5817210" cy="3429179"/>
                          </a:xfrm>
                          <a:prstGeom prst="rect">
                            <a:avLst/>
                          </a:prstGeom>
                          <a:ln>
                            <a:noFill/>
                          </a:ln>
                          <a:extLst>
                            <a:ext uri="{53640926-AAD7-44D8-BBD7-CCE9431645EC}">
                              <a14:shadowObscured xmlns:a14="http://schemas.microsoft.com/office/drawing/2010/main"/>
                            </a:ext>
                          </a:extLst>
                        </pic:spPr>
                      </pic:pic>
                    </a:graphicData>
                  </a:graphic>
                </wp:inline>
              </w:drawing>
            </w:r>
          </w:p>
        </w:tc>
      </w:tr>
    </w:tbl>
    <w:p w:rsidR="00F124B6" w:rsidRPr="00CC3905" w:rsidRDefault="00E462A2" w:rsidP="001F1330">
      <w:pPr>
        <w:pStyle w:val="Heading2"/>
      </w:pPr>
      <w:bookmarkStart w:id="66" w:name="_Toc42245011"/>
      <w:r>
        <w:t>A</w:t>
      </w:r>
      <w:r w:rsidR="00F124B6" w:rsidRPr="00CC3905">
        <w:t>nnual financial statements</w:t>
      </w:r>
      <w:bookmarkEnd w:id="66"/>
    </w:p>
    <w:p w:rsidR="00F124B6" w:rsidRPr="009525BC" w:rsidRDefault="00336732" w:rsidP="00F124B6">
      <w:pPr>
        <w:numPr>
          <w:ilvl w:val="0"/>
          <w:numId w:val="2"/>
        </w:numPr>
        <w:tabs>
          <w:tab w:val="left" w:pos="426"/>
        </w:tabs>
        <w:ind w:left="426" w:right="-144" w:hanging="426"/>
      </w:pPr>
      <w:r>
        <w:t>D</w:t>
      </w:r>
      <w:r w:rsidR="00F124B6" w:rsidRPr="00632390">
        <w:t>ifferent</w:t>
      </w:r>
      <w:r w:rsidR="00F124B6" w:rsidRPr="009525BC">
        <w:t xml:space="preserve"> r</w:t>
      </w:r>
      <w:r>
        <w:t xml:space="preserve">equirements </w:t>
      </w:r>
      <w:r w:rsidR="00F124B6" w:rsidRPr="009525BC">
        <w:t>apply wh</w:t>
      </w:r>
      <w:r>
        <w:t>en an old entity</w:t>
      </w:r>
      <w:r w:rsidR="00F124B6" w:rsidRPr="009525BC">
        <w:t xml:space="preserve">: </w:t>
      </w:r>
    </w:p>
    <w:p w:rsidR="00F124B6" w:rsidRPr="009E2618" w:rsidRDefault="00F124B6" w:rsidP="00F124B6">
      <w:pPr>
        <w:pStyle w:val="Bullet1"/>
      </w:pPr>
      <w:r w:rsidRPr="009E2618">
        <w:t>ceases to e</w:t>
      </w:r>
      <w:r w:rsidR="00336732">
        <w:t>xist, or all the functions of an</w:t>
      </w:r>
      <w:r w:rsidRPr="009E2618">
        <w:t xml:space="preserve"> old entity have been transferred to one or more </w:t>
      </w:r>
      <w:r w:rsidR="00336732">
        <w:t>entities</w:t>
      </w:r>
    </w:p>
    <w:p w:rsidR="00F124B6" w:rsidRPr="00012244" w:rsidRDefault="00F124B6" w:rsidP="00F124B6">
      <w:pPr>
        <w:pStyle w:val="Bullet1"/>
      </w:pPr>
      <w:r w:rsidRPr="009E2618">
        <w:t xml:space="preserve">has not ceased </w:t>
      </w:r>
      <w:r w:rsidR="00336732">
        <w:t xml:space="preserve">to exist </w:t>
      </w:r>
      <w:r>
        <w:t>and</w:t>
      </w:r>
      <w:r w:rsidRPr="009E2618">
        <w:t xml:space="preserve"> </w:t>
      </w:r>
      <w:r w:rsidRPr="00012244">
        <w:t xml:space="preserve">only some </w:t>
      </w:r>
      <w:r w:rsidR="00336732">
        <w:t xml:space="preserve">its functions </w:t>
      </w:r>
      <w:r w:rsidRPr="00012244">
        <w:t>have been transferred</w:t>
      </w:r>
      <w:r>
        <w:t>.</w:t>
      </w:r>
    </w:p>
    <w:p w:rsidR="00F124B6" w:rsidRDefault="00F124B6" w:rsidP="00F124B6">
      <w:pPr>
        <w:numPr>
          <w:ilvl w:val="0"/>
          <w:numId w:val="2"/>
        </w:numPr>
        <w:tabs>
          <w:tab w:val="left" w:pos="426"/>
        </w:tabs>
        <w:ind w:left="426" w:right="-144" w:hanging="426"/>
      </w:pPr>
      <w:r w:rsidRPr="009E2618">
        <w:t xml:space="preserve">Under </w:t>
      </w:r>
      <w:r w:rsidR="004E5B59">
        <w:t>sub</w:t>
      </w:r>
      <w:r w:rsidRPr="009E2618">
        <w:t xml:space="preserve">section 17J(5), </w:t>
      </w:r>
      <w:r>
        <w:t xml:space="preserve">if the old entity ceases to exist, </w:t>
      </w:r>
      <w:r w:rsidRPr="009E2618">
        <w:t xml:space="preserve">a </w:t>
      </w:r>
      <w:hyperlink w:anchor="Section17Jreportingentity" w:history="1">
        <w:r w:rsidR="00142CC3" w:rsidRPr="00E71B18">
          <w:rPr>
            <w:rStyle w:val="Hyperlink"/>
            <w:i w:val="0"/>
          </w:rPr>
          <w:t>reporting entity</w:t>
        </w:r>
      </w:hyperlink>
      <w:r w:rsidRPr="009E2618">
        <w:t xml:space="preserve"> is required to prepare its annual financial statements, c</w:t>
      </w:r>
      <w:r w:rsidR="00A72FFE">
        <w:t>overing the function/</w:t>
      </w:r>
      <w:r w:rsidRPr="009E2618">
        <w:t>s transferred from the old entity, as if the old entity has been part of the new entity for the entire reporting period.</w:t>
      </w:r>
    </w:p>
    <w:p w:rsidR="001A159E" w:rsidRDefault="001A159E" w:rsidP="00F124B6">
      <w:pPr>
        <w:numPr>
          <w:ilvl w:val="0"/>
          <w:numId w:val="2"/>
        </w:numPr>
        <w:tabs>
          <w:tab w:val="left" w:pos="426"/>
        </w:tabs>
        <w:ind w:left="426" w:right="-144" w:hanging="426"/>
      </w:pPr>
      <w:r w:rsidRPr="009525BC">
        <w:t>If subsection 17J(5) does not apply, the ordinary requirements in relation to the preparation of annual financial statements apply, subject to sections 17B, 17C and 17F.</w:t>
      </w:r>
    </w:p>
    <w:p w:rsidR="00410FAB" w:rsidRDefault="00410FAB" w:rsidP="00F124B6">
      <w:pPr>
        <w:numPr>
          <w:ilvl w:val="0"/>
          <w:numId w:val="2"/>
        </w:numPr>
        <w:tabs>
          <w:tab w:val="left" w:pos="426"/>
        </w:tabs>
        <w:ind w:left="426" w:right="-144" w:hanging="426"/>
      </w:pPr>
      <w:r>
        <w:t>The detailed requirements are specified below.</w:t>
      </w:r>
    </w:p>
    <w:p w:rsidR="00021453" w:rsidRPr="00021453" w:rsidRDefault="00006785" w:rsidP="00410FAB">
      <w:pPr>
        <w:tabs>
          <w:tab w:val="left" w:pos="426"/>
        </w:tabs>
        <w:spacing w:before="360"/>
        <w:ind w:right="-142"/>
        <w:rPr>
          <w:sz w:val="26"/>
          <w:szCs w:val="26"/>
        </w:rPr>
      </w:pPr>
      <w:r w:rsidRPr="003019DD">
        <w:rPr>
          <w:sz w:val="26"/>
          <w:szCs w:val="26"/>
        </w:rPr>
        <w:t>Old e</w:t>
      </w:r>
      <w:r w:rsidR="00021453" w:rsidRPr="003019DD">
        <w:rPr>
          <w:sz w:val="26"/>
          <w:szCs w:val="26"/>
        </w:rPr>
        <w:t xml:space="preserve">ntity </w:t>
      </w:r>
      <w:r w:rsidR="001A3DBC" w:rsidRPr="003019DD">
        <w:rPr>
          <w:sz w:val="26"/>
          <w:szCs w:val="26"/>
        </w:rPr>
        <w:t xml:space="preserve">has </w:t>
      </w:r>
      <w:r w:rsidR="00021453" w:rsidRPr="003019DD">
        <w:rPr>
          <w:sz w:val="26"/>
          <w:szCs w:val="26"/>
        </w:rPr>
        <w:t>ceased</w:t>
      </w:r>
      <w:r w:rsidR="001A3DBC" w:rsidRPr="003019DD">
        <w:rPr>
          <w:sz w:val="26"/>
          <w:szCs w:val="26"/>
        </w:rPr>
        <w:t xml:space="preserve"> to exist</w:t>
      </w:r>
      <w:r w:rsidR="00021453" w:rsidRPr="003019DD">
        <w:rPr>
          <w:sz w:val="26"/>
          <w:szCs w:val="26"/>
        </w:rPr>
        <w:t xml:space="preserve"> </w:t>
      </w:r>
      <w:r w:rsidR="00704B54" w:rsidRPr="003019DD">
        <w:rPr>
          <w:sz w:val="26"/>
          <w:szCs w:val="26"/>
        </w:rPr>
        <w:t xml:space="preserve">or </w:t>
      </w:r>
      <w:r w:rsidR="00021453" w:rsidRPr="003019DD">
        <w:rPr>
          <w:sz w:val="26"/>
          <w:szCs w:val="26"/>
        </w:rPr>
        <w:t xml:space="preserve">all functions </w:t>
      </w:r>
      <w:r w:rsidR="00704B54" w:rsidRPr="003019DD">
        <w:rPr>
          <w:sz w:val="26"/>
          <w:szCs w:val="26"/>
        </w:rPr>
        <w:t xml:space="preserve">have been </w:t>
      </w:r>
      <w:r w:rsidR="00021453" w:rsidRPr="003019DD">
        <w:rPr>
          <w:sz w:val="26"/>
          <w:szCs w:val="26"/>
        </w:rPr>
        <w:t>transferred</w:t>
      </w:r>
    </w:p>
    <w:p w:rsidR="00F124B6" w:rsidRPr="00632390" w:rsidRDefault="004E3F71" w:rsidP="00376E49">
      <w:pPr>
        <w:numPr>
          <w:ilvl w:val="0"/>
          <w:numId w:val="2"/>
        </w:numPr>
        <w:tabs>
          <w:tab w:val="left" w:pos="426"/>
        </w:tabs>
        <w:ind w:left="426" w:right="-144" w:hanging="426"/>
      </w:pPr>
      <w:r>
        <w:t>W</w:t>
      </w:r>
      <w:r w:rsidR="00336732">
        <w:t xml:space="preserve">here an </w:t>
      </w:r>
      <w:r w:rsidR="00F124B6" w:rsidRPr="00632390">
        <w:t xml:space="preserve">entity </w:t>
      </w:r>
      <w:r w:rsidR="005D7EA6">
        <w:t xml:space="preserve">ceases to exist </w:t>
      </w:r>
      <w:r w:rsidR="005D7EA6" w:rsidRPr="00632390">
        <w:t xml:space="preserve">(the old entity) </w:t>
      </w:r>
      <w:r w:rsidR="00F124B6" w:rsidRPr="00632390">
        <w:t>or all its functions have been transferred to</w:t>
      </w:r>
      <w:r w:rsidR="00510D4D">
        <w:t xml:space="preserve"> one or more other </w:t>
      </w:r>
      <w:r w:rsidR="00F124B6" w:rsidRPr="00632390">
        <w:t xml:space="preserve">entities, the accountable authority of the </w:t>
      </w:r>
      <w:hyperlink w:anchor="Section17Jreportingentity" w:history="1">
        <w:r w:rsidR="00142CC3" w:rsidRPr="00E71B18">
          <w:rPr>
            <w:rStyle w:val="Hyperlink"/>
            <w:i w:val="0"/>
          </w:rPr>
          <w:t>reporting entity</w:t>
        </w:r>
      </w:hyperlink>
      <w:r w:rsidR="00376E49" w:rsidRPr="00CC3905">
        <w:rPr>
          <w:rStyle w:val="Hyperlink"/>
          <w:i w:val="0"/>
          <w:u w:val="none"/>
        </w:rPr>
        <w:t>(s)</w:t>
      </w:r>
      <w:r w:rsidR="00F124B6" w:rsidRPr="00632390">
        <w:t xml:space="preserve"> is required </w:t>
      </w:r>
      <w:r w:rsidR="00F124B6" w:rsidRPr="00632390">
        <w:lastRenderedPageBreak/>
        <w:t xml:space="preserve">to produce a single set of </w:t>
      </w:r>
      <w:r w:rsidR="003A26E3">
        <w:t xml:space="preserve">annual </w:t>
      </w:r>
      <w:r w:rsidR="00F124B6" w:rsidRPr="00632390">
        <w:t>financial statement</w:t>
      </w:r>
      <w:r w:rsidR="00DA7E85">
        <w:t>s, incorporating</w:t>
      </w:r>
      <w:r w:rsidR="00F124B6" w:rsidRPr="00632390">
        <w:t xml:space="preserve"> the functions transferred from the old entity</w:t>
      </w:r>
      <w:r w:rsidR="00376E49">
        <w:t>,</w:t>
      </w:r>
      <w:r w:rsidR="00F124B6" w:rsidRPr="00632390">
        <w:t xml:space="preserve"> for the </w:t>
      </w:r>
      <w:r w:rsidR="00F124B6">
        <w:t xml:space="preserve">full </w:t>
      </w:r>
      <w:r w:rsidR="00F124B6" w:rsidRPr="009E2618">
        <w:t>reporting period</w:t>
      </w:r>
      <w:r w:rsidR="00F124B6">
        <w:t>.</w:t>
      </w:r>
    </w:p>
    <w:p w:rsidR="00F124B6" w:rsidRDefault="00F124B6" w:rsidP="00F124B6">
      <w:pPr>
        <w:numPr>
          <w:ilvl w:val="0"/>
          <w:numId w:val="2"/>
        </w:numPr>
        <w:tabs>
          <w:tab w:val="left" w:pos="426"/>
        </w:tabs>
        <w:ind w:left="426" w:right="-144" w:hanging="426"/>
      </w:pPr>
      <w:r>
        <w:t xml:space="preserve">This requires the accountable authority of the </w:t>
      </w:r>
      <w:r w:rsidR="003A26E3">
        <w:t>reporting</w:t>
      </w:r>
      <w:r>
        <w:t xml:space="preserve"> entity to take responsibility for reporting on the functions transferred for the period prior to the transfer date.</w:t>
      </w:r>
    </w:p>
    <w:p w:rsidR="00F124B6" w:rsidRPr="00632390" w:rsidRDefault="00F124B6" w:rsidP="00F124B6">
      <w:pPr>
        <w:numPr>
          <w:ilvl w:val="0"/>
          <w:numId w:val="2"/>
        </w:numPr>
        <w:tabs>
          <w:tab w:val="left" w:pos="426"/>
        </w:tabs>
        <w:ind w:left="426" w:right="-144" w:hanging="426"/>
      </w:pPr>
      <w:r w:rsidRPr="006779C8">
        <w:t xml:space="preserve">In preparing the annual financial statements, the accountable authority of the </w:t>
      </w:r>
      <w:r>
        <w:t>reporting</w:t>
      </w:r>
      <w:r w:rsidR="00DA7E85">
        <w:t xml:space="preserve"> entity is </w:t>
      </w:r>
      <w:r w:rsidRPr="006779C8">
        <w:t>to disclose the carrying amount of assets, liabilities, expenses and/or income that are reliably attributable to the transferred function(s) from the old entity, over the entire reporting period, that is, prior to and post the transfer date.</w:t>
      </w:r>
    </w:p>
    <w:p w:rsidR="00DA7E85" w:rsidRDefault="00F124B6" w:rsidP="00376E49">
      <w:pPr>
        <w:numPr>
          <w:ilvl w:val="0"/>
          <w:numId w:val="2"/>
        </w:numPr>
        <w:tabs>
          <w:tab w:val="left" w:pos="426"/>
        </w:tabs>
        <w:ind w:left="426" w:right="-144" w:hanging="426"/>
      </w:pPr>
      <w:r w:rsidRPr="009525BC">
        <w:t xml:space="preserve">As a minimum, the accountable authority of the </w:t>
      </w:r>
      <w:r>
        <w:t>reporting</w:t>
      </w:r>
      <w:r w:rsidRPr="009525BC">
        <w:t xml:space="preserve"> entity would be expected to include notes or explanations in the</w:t>
      </w:r>
      <w:r>
        <w:t>ir</w:t>
      </w:r>
      <w:r w:rsidRPr="009525BC">
        <w:t xml:space="preserve"> annual financial statements</w:t>
      </w:r>
      <w:r w:rsidR="00376E49">
        <w:t xml:space="preserve">, </w:t>
      </w:r>
      <w:r w:rsidRPr="009525BC">
        <w:t>explain</w:t>
      </w:r>
      <w:r w:rsidR="00376E49">
        <w:t>ing</w:t>
      </w:r>
      <w:r w:rsidR="00DA7E85">
        <w:t xml:space="preserve"> </w:t>
      </w:r>
      <w:r w:rsidRPr="009525BC">
        <w:t xml:space="preserve">the </w:t>
      </w:r>
      <w:r>
        <w:t xml:space="preserve">reporting </w:t>
      </w:r>
      <w:r w:rsidR="00376E49">
        <w:t xml:space="preserve">entity </w:t>
      </w:r>
      <w:r w:rsidRPr="009525BC">
        <w:t xml:space="preserve">gained the relevant functions during the reporting period and is </w:t>
      </w:r>
      <w:r w:rsidR="00DA7E85">
        <w:t xml:space="preserve">therefore </w:t>
      </w:r>
      <w:r w:rsidRPr="009525BC">
        <w:t>reporting on them.</w:t>
      </w:r>
    </w:p>
    <w:p w:rsidR="00F124B6" w:rsidRPr="00AC149F" w:rsidRDefault="00F124B6" w:rsidP="00376E49">
      <w:pPr>
        <w:numPr>
          <w:ilvl w:val="0"/>
          <w:numId w:val="2"/>
        </w:numPr>
        <w:tabs>
          <w:tab w:val="left" w:pos="426"/>
        </w:tabs>
        <w:ind w:left="426" w:right="-144" w:hanging="426"/>
      </w:pPr>
      <w:r>
        <w:t xml:space="preserve">It would be expected that </w:t>
      </w:r>
      <w:r w:rsidR="004D5326">
        <w:t xml:space="preserve">the </w:t>
      </w:r>
      <w:hyperlink w:anchor="Section17Jreportingentity" w:history="1">
        <w:r w:rsidR="00DA7E85" w:rsidRPr="00E24375">
          <w:rPr>
            <w:rStyle w:val="Hyperlink"/>
            <w:i w:val="0"/>
          </w:rPr>
          <w:t xml:space="preserve">reporting </w:t>
        </w:r>
        <w:r w:rsidRPr="00E24375">
          <w:rPr>
            <w:rStyle w:val="Hyperlink"/>
            <w:i w:val="0"/>
          </w:rPr>
          <w:t>entit</w:t>
        </w:r>
        <w:r w:rsidR="004D5326" w:rsidRPr="00E24375">
          <w:rPr>
            <w:rStyle w:val="Hyperlink"/>
            <w:i w:val="0"/>
          </w:rPr>
          <w:t>y</w:t>
        </w:r>
      </w:hyperlink>
      <w:r w:rsidR="004D5326" w:rsidRPr="00CC3905">
        <w:rPr>
          <w:rStyle w:val="Hyperlink"/>
          <w:i w:val="0"/>
          <w:u w:val="none"/>
        </w:rPr>
        <w:t>(s)</w:t>
      </w:r>
      <w:r w:rsidRPr="004D5326">
        <w:t xml:space="preserve"> </w:t>
      </w:r>
      <w:r>
        <w:t xml:space="preserve">would include the </w:t>
      </w:r>
      <w:r w:rsidRPr="00AC149F">
        <w:t>following additional disclosures</w:t>
      </w:r>
      <w:r>
        <w:t xml:space="preserve"> in their annual financial statements</w:t>
      </w:r>
      <w:r w:rsidR="00F21E06">
        <w:t>:</w:t>
      </w:r>
    </w:p>
    <w:p w:rsidR="00F124B6" w:rsidRPr="00632390" w:rsidRDefault="00F124B6" w:rsidP="00F124B6">
      <w:pPr>
        <w:pStyle w:val="Bullet1"/>
      </w:pPr>
      <w:r>
        <w:t xml:space="preserve">meaningful </w:t>
      </w:r>
      <w:r w:rsidRPr="00632390">
        <w:t xml:space="preserve">comparatives </w:t>
      </w:r>
      <w:r>
        <w:t>for</w:t>
      </w:r>
      <w:r w:rsidRPr="00632390">
        <w:t xml:space="preserve"> the </w:t>
      </w:r>
      <w:r w:rsidR="00DA7E85">
        <w:t xml:space="preserve">old </w:t>
      </w:r>
      <w:r w:rsidRPr="00632390">
        <w:t>entit</w:t>
      </w:r>
      <w:r>
        <w:t>y</w:t>
      </w:r>
      <w:r w:rsidRPr="00632390">
        <w:t xml:space="preserve"> and the </w:t>
      </w:r>
      <w:r>
        <w:t xml:space="preserve">reporting </w:t>
      </w:r>
      <w:r w:rsidRPr="00632390">
        <w:t>entity</w:t>
      </w:r>
      <w:r>
        <w:t>’s</w:t>
      </w:r>
      <w:r w:rsidRPr="00632390">
        <w:t xml:space="preserve"> prior year annual financial statements</w:t>
      </w:r>
    </w:p>
    <w:p w:rsidR="00F124B6" w:rsidRPr="00632390" w:rsidRDefault="00F124B6" w:rsidP="00F124B6">
      <w:pPr>
        <w:pStyle w:val="Bullet1"/>
      </w:pPr>
      <w:r w:rsidRPr="00AC149F">
        <w:t>a</w:t>
      </w:r>
      <w:r w:rsidRPr="00632390">
        <w:t xml:space="preserve"> budgetary reporting note with the comparative original budget from the </w:t>
      </w:r>
      <w:r w:rsidR="004D5326">
        <w:t xml:space="preserve">old </w:t>
      </w:r>
      <w:r w:rsidRPr="00632390">
        <w:t xml:space="preserve">entity(s) and the </w:t>
      </w:r>
      <w:r>
        <w:t>reporting</w:t>
      </w:r>
      <w:r w:rsidRPr="00632390">
        <w:t xml:space="preserve"> entity</w:t>
      </w:r>
    </w:p>
    <w:p w:rsidR="00F124B6" w:rsidRPr="0092458C" w:rsidRDefault="00FF28F0" w:rsidP="00F124B6">
      <w:pPr>
        <w:pStyle w:val="Bullet1"/>
      </w:pPr>
      <w:r>
        <w:t>a</w:t>
      </w:r>
      <w:r w:rsidR="00F124B6" w:rsidRPr="0092458C">
        <w:t xml:space="preserve"> restructure note </w:t>
      </w:r>
      <w:r w:rsidR="000250B8">
        <w:t xml:space="preserve">that </w:t>
      </w:r>
      <w:r w:rsidR="00F124B6" w:rsidRPr="0092458C">
        <w:t>include</w:t>
      </w:r>
      <w:r w:rsidR="000250B8">
        <w:t>s</w:t>
      </w:r>
      <w:r w:rsidR="00F124B6" w:rsidRPr="0092458C">
        <w:t xml:space="preserve"> </w:t>
      </w:r>
      <w:r w:rsidR="00F124B6">
        <w:t xml:space="preserve">the amount of </w:t>
      </w:r>
      <w:r w:rsidR="00F124B6" w:rsidRPr="0092458C">
        <w:t xml:space="preserve">total expenses and revenue </w:t>
      </w:r>
      <w:r w:rsidR="00F124B6">
        <w:t>attributable to the transferred functions</w:t>
      </w:r>
      <w:r w:rsidR="00F124B6" w:rsidRPr="0092458C">
        <w:t xml:space="preserve"> </w:t>
      </w:r>
      <w:r w:rsidR="004D5326">
        <w:t xml:space="preserve">from the old </w:t>
      </w:r>
      <w:r w:rsidR="00F124B6">
        <w:t>entity</w:t>
      </w:r>
      <w:r w:rsidR="004D5326">
        <w:t>(s)</w:t>
      </w:r>
      <w:r w:rsidR="00F124B6">
        <w:t xml:space="preserve"> </w:t>
      </w:r>
      <w:r w:rsidR="00F124B6" w:rsidRPr="0092458C">
        <w:t>up to the date of transfer</w:t>
      </w:r>
    </w:p>
    <w:p w:rsidR="0053231E" w:rsidRDefault="00FF28F0" w:rsidP="0053231E">
      <w:pPr>
        <w:pStyle w:val="Bullet1"/>
      </w:pPr>
      <w:r>
        <w:t>an</w:t>
      </w:r>
      <w:r w:rsidR="0053231E">
        <w:t xml:space="preserve"> appropriation note at the entity level on a</w:t>
      </w:r>
      <w:r w:rsidR="001023CE">
        <w:t>n</w:t>
      </w:r>
      <w:r w:rsidR="0053231E">
        <w:t xml:space="preserve"> </w:t>
      </w:r>
      <w:r w:rsidR="001023CE">
        <w:t xml:space="preserve">aggregated </w:t>
      </w:r>
      <w:r w:rsidR="0053231E">
        <w:t>basis</w:t>
      </w:r>
      <w:r>
        <w:t>, which</w:t>
      </w:r>
      <w:r w:rsidR="0053231E">
        <w:t xml:space="preserve"> should include sufficient notes and</w:t>
      </w:r>
      <w:r w:rsidR="00E54F02">
        <w:t xml:space="preserve"> footnotes</w:t>
      </w:r>
      <w:r w:rsidR="0053231E">
        <w:t xml:space="preserve"> to identify the amounts </w:t>
      </w:r>
      <w:r w:rsidR="00F61CA5">
        <w:t xml:space="preserve">attributable to </w:t>
      </w:r>
      <w:r w:rsidR="00E54F02">
        <w:t>the old</w:t>
      </w:r>
      <w:r w:rsidR="0053231E">
        <w:t xml:space="preserve"> entity</w:t>
      </w:r>
      <w:r w:rsidR="00F61CA5">
        <w:t>.</w:t>
      </w:r>
    </w:p>
    <w:p w:rsidR="0053231E" w:rsidRPr="002415C0" w:rsidRDefault="002415C0" w:rsidP="002415C0">
      <w:pPr>
        <w:pStyle w:val="NumberedList1"/>
        <w:rPr>
          <w:rFonts w:ascii="Arial" w:hAnsi="Arial" w:cs="Arial"/>
        </w:rPr>
      </w:pPr>
      <w:r w:rsidRPr="002415C0">
        <w:rPr>
          <w:rFonts w:ascii="Arial" w:hAnsi="Arial" w:cs="Arial"/>
        </w:rPr>
        <w:t>If the above listed disclosures are impractical, the reporting entity should disclose the fact, together with an explanation as to why this is the case.</w:t>
      </w:r>
    </w:p>
    <w:p w:rsidR="002C1B69" w:rsidRDefault="00F124B6" w:rsidP="00F124B6">
      <w:pPr>
        <w:numPr>
          <w:ilvl w:val="0"/>
          <w:numId w:val="2"/>
        </w:numPr>
        <w:tabs>
          <w:tab w:val="left" w:pos="426"/>
        </w:tabs>
        <w:ind w:left="426" w:right="-144" w:hanging="426"/>
      </w:pPr>
      <w:r>
        <w:t xml:space="preserve">Finance recommends entities discuss the disclosure requirements for transferred functions with the </w:t>
      </w:r>
      <w:hyperlink r:id="rId45" w:history="1">
        <w:r w:rsidRPr="00CC3905">
          <w:rPr>
            <w:rStyle w:val="Hyperlink"/>
            <w:i w:val="0"/>
          </w:rPr>
          <w:t>Australian National Audit Office</w:t>
        </w:r>
      </w:hyperlink>
      <w:r>
        <w:t xml:space="preserve"> as part of the planning process for the preparation of their annual financial statements</w:t>
      </w:r>
      <w:r w:rsidRPr="009525BC">
        <w:t>.</w:t>
      </w:r>
    </w:p>
    <w:p w:rsidR="000250B8" w:rsidRDefault="0032634A" w:rsidP="00503B9D">
      <w:pPr>
        <w:pStyle w:val="NumberedList1"/>
      </w:pPr>
      <w:hyperlink w:anchor="Example9" w:history="1">
        <w:r w:rsidR="000250B8" w:rsidRPr="00503B9D">
          <w:rPr>
            <w:rStyle w:val="Hyperlink"/>
            <w:i w:val="0"/>
          </w:rPr>
          <w:t>Example 9</w:t>
        </w:r>
      </w:hyperlink>
      <w:r w:rsidR="000250B8">
        <w:t xml:space="preserve"> </w:t>
      </w:r>
      <w:r w:rsidR="00503B9D">
        <w:t>demonstrate</w:t>
      </w:r>
      <w:r w:rsidR="00584175">
        <w:t>s</w:t>
      </w:r>
      <w:r w:rsidR="00503B9D">
        <w:t xml:space="preserve"> the approach to presenting annual f</w:t>
      </w:r>
      <w:r w:rsidR="00503B9D" w:rsidRPr="00CC3905">
        <w:t>inancia</w:t>
      </w:r>
      <w:r w:rsidR="00503B9D">
        <w:t xml:space="preserve">l statements where the </w:t>
      </w:r>
      <w:r w:rsidR="00503B9D" w:rsidRPr="002C1B69">
        <w:t xml:space="preserve">old entity </w:t>
      </w:r>
      <w:r w:rsidR="00503B9D">
        <w:t xml:space="preserve">has </w:t>
      </w:r>
      <w:r w:rsidR="00503B9D" w:rsidRPr="002C1B69">
        <w:t>ceased</w:t>
      </w:r>
      <w:r w:rsidR="00503B9D">
        <w:t xml:space="preserve"> to exist and</w:t>
      </w:r>
      <w:r w:rsidR="00503B9D" w:rsidRPr="002C1B69">
        <w:t xml:space="preserve"> all </w:t>
      </w:r>
      <w:r w:rsidR="00503B9D">
        <w:t xml:space="preserve">of its </w:t>
      </w:r>
      <w:r w:rsidR="00503B9D" w:rsidRPr="002C1B69">
        <w:t xml:space="preserve">functions </w:t>
      </w:r>
      <w:r w:rsidR="00503B9D">
        <w:t xml:space="preserve">have been </w:t>
      </w:r>
      <w:r w:rsidR="00503B9D" w:rsidRPr="002C1B69">
        <w:t>transferred</w:t>
      </w:r>
      <w:r w:rsidR="00503B9D">
        <w:t>.</w:t>
      </w:r>
    </w:p>
    <w:p w:rsidR="002C1B69" w:rsidRDefault="002C1B69">
      <w:pPr>
        <w:suppressAutoHyphens w:val="0"/>
        <w:spacing w:before="0" w:after="120" w:line="440" w:lineRule="atLeast"/>
      </w:pPr>
      <w:r>
        <w:br w:type="page"/>
      </w:r>
    </w:p>
    <w:p w:rsidR="002C1B69" w:rsidRPr="00CC3905" w:rsidRDefault="002C1B69" w:rsidP="00CC3905">
      <w:pPr>
        <w:pStyle w:val="Boxed2Text"/>
        <w:pBdr>
          <w:top w:val="single" w:sz="4" w:space="14" w:color="B4B5DF"/>
          <w:left w:val="single" w:sz="4" w:space="14" w:color="B4B5DF"/>
          <w:bottom w:val="single" w:sz="4" w:space="14" w:color="B4B5DF"/>
          <w:right w:val="single" w:sz="4" w:space="14" w:color="B4B5DF"/>
        </w:pBdr>
        <w:shd w:val="clear" w:color="auto" w:fill="B4B5DF"/>
        <w:rPr>
          <w:b/>
        </w:rPr>
      </w:pPr>
      <w:bookmarkStart w:id="67" w:name="Example9"/>
      <w:r w:rsidRPr="00CC3905">
        <w:rPr>
          <w:b/>
        </w:rPr>
        <w:lastRenderedPageBreak/>
        <w:t xml:space="preserve">Example 9: </w:t>
      </w:r>
      <w:bookmarkEnd w:id="67"/>
      <w:r w:rsidRPr="00CC3905">
        <w:rPr>
          <w:b/>
        </w:rPr>
        <w:t>Financia</w:t>
      </w:r>
      <w:r w:rsidRPr="002C1B69">
        <w:rPr>
          <w:b/>
        </w:rPr>
        <w:t>l statements - old entity ceased, all functions transferred</w:t>
      </w:r>
    </w:p>
    <w:p w:rsidR="007361C6" w:rsidRDefault="007361C6" w:rsidP="00CC3905">
      <w:pPr>
        <w:pStyle w:val="Boxed2Text"/>
        <w:pBdr>
          <w:top w:val="single" w:sz="4" w:space="14" w:color="B4B5DF"/>
          <w:left w:val="single" w:sz="4" w:space="14" w:color="B4B5DF"/>
          <w:bottom w:val="single" w:sz="4" w:space="14" w:color="B4B5DF"/>
          <w:right w:val="single" w:sz="4" w:space="14" w:color="B4B5DF"/>
        </w:pBdr>
        <w:shd w:val="clear" w:color="auto" w:fill="B4B5DF"/>
      </w:pPr>
      <w:r>
        <w:t xml:space="preserve">In the example below, as a part of MoG changes, Entity B ceased to exist effective 1 February 2020 and all its functions </w:t>
      </w:r>
      <w:r w:rsidR="002C1B69">
        <w:t>transferred to Entity</w:t>
      </w:r>
      <w:r>
        <w:t xml:space="preserve"> A</w:t>
      </w:r>
      <w:r w:rsidR="002C1B69">
        <w:t>.</w:t>
      </w:r>
      <w:r>
        <w:t xml:space="preserve"> </w:t>
      </w:r>
      <w:r w:rsidR="002C1B69">
        <w:t xml:space="preserve">For the purposes of section 17J of the PGPA Rule, Entity A is the </w:t>
      </w:r>
      <w:hyperlink w:anchor="Section17Jreportingentity" w:history="1">
        <w:r w:rsidR="002C1B69" w:rsidRPr="002C1B69">
          <w:rPr>
            <w:rStyle w:val="Hyperlink"/>
            <w:i w:val="0"/>
          </w:rPr>
          <w:t>reporting entity</w:t>
        </w:r>
      </w:hyperlink>
      <w:r w:rsidR="002C1B69">
        <w:t>.</w:t>
      </w:r>
    </w:p>
    <w:p w:rsidR="002D780B" w:rsidRDefault="007361C6" w:rsidP="00CC3905">
      <w:pPr>
        <w:pStyle w:val="Boxed2Text"/>
        <w:pBdr>
          <w:top w:val="single" w:sz="4" w:space="14" w:color="B4B5DF"/>
          <w:left w:val="single" w:sz="4" w:space="14" w:color="B4B5DF"/>
          <w:bottom w:val="single" w:sz="4" w:space="14" w:color="B4B5DF"/>
          <w:right w:val="single" w:sz="4" w:space="14" w:color="B4B5DF"/>
        </w:pBdr>
        <w:shd w:val="clear" w:color="auto" w:fill="B4B5DF"/>
      </w:pPr>
      <w:r>
        <w:t>In column 1</w:t>
      </w:r>
      <w:r w:rsidR="002C1B69" w:rsidRPr="000128C6">
        <w:t xml:space="preserve">, </w:t>
      </w:r>
      <w:r w:rsidR="002231F4">
        <w:t xml:space="preserve">for the reporting period, </w:t>
      </w:r>
      <w:r w:rsidR="002C1B69" w:rsidRPr="000128C6">
        <w:t>Entity A would present</w:t>
      </w:r>
      <w:r w:rsidR="002231F4">
        <w:t>,</w:t>
      </w:r>
      <w:r w:rsidR="002C1B69" w:rsidRPr="000128C6">
        <w:t xml:space="preserve"> the aggregated total of expenses and income, including</w:t>
      </w:r>
      <w:r w:rsidR="002231F4">
        <w:t xml:space="preserve"> for</w:t>
      </w:r>
      <w:r w:rsidR="002D780B">
        <w:t>:</w:t>
      </w:r>
    </w:p>
    <w:p w:rsidR="002D780B" w:rsidRDefault="002D780B" w:rsidP="00CC3905">
      <w:pPr>
        <w:pStyle w:val="Boxed2Text"/>
        <w:numPr>
          <w:ilvl w:val="1"/>
          <w:numId w:val="137"/>
        </w:numPr>
        <w:pBdr>
          <w:top w:val="single" w:sz="4" w:space="14" w:color="B4B5DF"/>
          <w:left w:val="single" w:sz="4" w:space="14" w:color="B4B5DF"/>
          <w:bottom w:val="single" w:sz="4" w:space="14" w:color="B4B5DF"/>
          <w:right w:val="single" w:sz="4" w:space="14" w:color="B4B5DF"/>
        </w:pBdr>
        <w:shd w:val="clear" w:color="auto" w:fill="B4B5DF"/>
      </w:pPr>
      <w:r w:rsidRPr="002D780B">
        <w:t>Entity B</w:t>
      </w:r>
      <w:r w:rsidR="002231F4">
        <w:t xml:space="preserve"> </w:t>
      </w:r>
      <w:r w:rsidRPr="002D780B">
        <w:t xml:space="preserve">operating results that are reliably attributable to the transferred functions prior to the transfer date (ie the period 1 July 2019 </w:t>
      </w:r>
      <w:r w:rsidR="00822355">
        <w:t>until</w:t>
      </w:r>
      <w:r w:rsidRPr="002D780B">
        <w:t xml:space="preserve"> 31 January 2020)</w:t>
      </w:r>
    </w:p>
    <w:p w:rsidR="002D780B" w:rsidRDefault="002D780B" w:rsidP="00CC3905">
      <w:pPr>
        <w:pStyle w:val="Boxed2Text"/>
        <w:numPr>
          <w:ilvl w:val="1"/>
          <w:numId w:val="137"/>
        </w:numPr>
        <w:pBdr>
          <w:top w:val="single" w:sz="4" w:space="14" w:color="B4B5DF"/>
          <w:left w:val="single" w:sz="4" w:space="14" w:color="B4B5DF"/>
          <w:bottom w:val="single" w:sz="4" w:space="14" w:color="B4B5DF"/>
          <w:right w:val="single" w:sz="4" w:space="14" w:color="B4B5DF"/>
        </w:pBdr>
        <w:shd w:val="clear" w:color="auto" w:fill="B4B5DF"/>
      </w:pPr>
      <w:r w:rsidRPr="002D780B">
        <w:t>Entity A</w:t>
      </w:r>
      <w:r w:rsidR="002231F4">
        <w:t xml:space="preserve"> </w:t>
      </w:r>
      <w:r w:rsidR="00822355">
        <w:t xml:space="preserve">operating </w:t>
      </w:r>
      <w:r w:rsidR="002231F4">
        <w:t>results</w:t>
      </w:r>
      <w:r w:rsidRPr="002D780B">
        <w:t xml:space="preserve"> during the financial year (which would include the</w:t>
      </w:r>
      <w:r w:rsidR="00822355">
        <w:t xml:space="preserve"> income/</w:t>
      </w:r>
      <w:r w:rsidRPr="002D780B">
        <w:t xml:space="preserve"> expenses attributable to functions transferred from 1 February 2020).</w:t>
      </w:r>
    </w:p>
    <w:p w:rsidR="002C1B69" w:rsidRDefault="002D780B" w:rsidP="00CC3905">
      <w:pPr>
        <w:pStyle w:val="Boxed2Text"/>
        <w:pBdr>
          <w:top w:val="single" w:sz="4" w:space="14" w:color="B4B5DF"/>
          <w:left w:val="single" w:sz="4" w:space="14" w:color="B4B5DF"/>
          <w:bottom w:val="single" w:sz="4" w:space="14" w:color="B4B5DF"/>
          <w:right w:val="single" w:sz="4" w:space="14" w:color="B4B5DF"/>
        </w:pBdr>
        <w:shd w:val="clear" w:color="auto" w:fill="B4B5DF"/>
      </w:pPr>
      <w:r>
        <w:t>Column</w:t>
      </w:r>
      <w:r w:rsidR="001865CB">
        <w:t>s</w:t>
      </w:r>
      <w:r>
        <w:t xml:space="preserve"> 2 </w:t>
      </w:r>
      <w:r w:rsidR="002231F4">
        <w:t xml:space="preserve">and </w:t>
      </w:r>
      <w:r>
        <w:t xml:space="preserve">3 </w:t>
      </w:r>
      <w:r w:rsidR="002C1B69" w:rsidRPr="000128C6">
        <w:t>separately disclose the prior year’s</w:t>
      </w:r>
      <w:r w:rsidR="002231F4">
        <w:t xml:space="preserve"> comparative figures for Entity A and Entity </w:t>
      </w:r>
      <w:r w:rsidR="002C1B69" w:rsidRPr="000128C6">
        <w:t>B. This would normally reflect the actuals from E</w:t>
      </w:r>
      <w:r w:rsidR="002231F4">
        <w:t>ntity A and Entity </w:t>
      </w:r>
      <w:r w:rsidR="002C1B69" w:rsidRPr="000128C6">
        <w:t>B prior year financial statements in their entirety, not just for the transferred functions.</w:t>
      </w:r>
    </w:p>
    <w:p w:rsidR="002C1B69" w:rsidRDefault="00EF415D" w:rsidP="00CC3905">
      <w:pPr>
        <w:pStyle w:val="Boxed2Text"/>
        <w:pBdr>
          <w:top w:val="single" w:sz="4" w:space="14" w:color="B4B5DF"/>
          <w:left w:val="single" w:sz="4" w:space="14" w:color="B4B5DF"/>
          <w:bottom w:val="single" w:sz="4" w:space="14" w:color="B4B5DF"/>
          <w:right w:val="single" w:sz="4" w:space="14" w:color="B4B5DF"/>
        </w:pBdr>
        <w:shd w:val="clear" w:color="auto" w:fill="B4B5DF"/>
      </w:pPr>
      <w:r>
        <w:rPr>
          <w:noProof/>
          <w:lang w:eastAsia="en-AU"/>
        </w:rPr>
        <mc:AlternateContent>
          <mc:Choice Requires="wps">
            <w:drawing>
              <wp:anchor distT="0" distB="0" distL="114300" distR="114300" simplePos="0" relativeHeight="251663360" behindDoc="0" locked="0" layoutInCell="1" allowOverlap="1" wp14:anchorId="69486A80" wp14:editId="1A2A9295">
                <wp:simplePos x="0" y="0"/>
                <wp:positionH relativeFrom="margin">
                  <wp:posOffset>3472637</wp:posOffset>
                </wp:positionH>
                <wp:positionV relativeFrom="paragraph">
                  <wp:posOffset>102870</wp:posOffset>
                </wp:positionV>
                <wp:extent cx="628650" cy="4581525"/>
                <wp:effectExtent l="19050" t="19050" r="19050" b="28575"/>
                <wp:wrapNone/>
                <wp:docPr id="30" name="Rectangle 30"/>
                <wp:cNvGraphicFramePr/>
                <a:graphic xmlns:a="http://schemas.openxmlformats.org/drawingml/2006/main">
                  <a:graphicData uri="http://schemas.microsoft.com/office/word/2010/wordprocessingShape">
                    <wps:wsp>
                      <wps:cNvSpPr/>
                      <wps:spPr>
                        <a:xfrm>
                          <a:off x="0" y="0"/>
                          <a:ext cx="628650" cy="4581525"/>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027F" w:rsidRPr="00E1196F" w:rsidRDefault="0028027F" w:rsidP="00F124B6">
                            <w:pPr>
                              <w:jc w:val="center"/>
                              <w:rPr>
                                <w:b/>
                                <w:color w:val="0070C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196F">
                              <w:rPr>
                                <w:b/>
                                <w:color w:val="0070C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86A80" id="Rectangle 30" o:spid="_x0000_s1026" style="position:absolute;left:0;text-align:left;margin-left:273.45pt;margin-top:8.1pt;width:49.5pt;height:360.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" filled="f" strokecolor="#0070c0" strokeweight="3pt">
                <v:textbox>
                  <w:txbxContent>
                    <w:p w:rsidR="0028027F" w:rsidRPr="00E1196F" w:rsidRDefault="0028027F" w:rsidP="00F124B6">
                      <w:pPr>
                        <w:jc w:val="center"/>
                        <w:rPr>
                          <w:b/>
                          <w:color w:val="0070C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196F">
                        <w:rPr>
                          <w:b/>
                          <w:color w:val="0070C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anchorx="margin"/>
              </v:rect>
            </w:pict>
          </mc:Fallback>
        </mc:AlternateContent>
      </w:r>
      <w:r>
        <w:rPr>
          <w:noProof/>
          <w:lang w:eastAsia="en-AU"/>
        </w:rPr>
        <mc:AlternateContent>
          <mc:Choice Requires="wps">
            <w:drawing>
              <wp:anchor distT="0" distB="0" distL="114300" distR="114300" simplePos="0" relativeHeight="251665408" behindDoc="0" locked="0" layoutInCell="1" allowOverlap="1" wp14:anchorId="6E462F0D" wp14:editId="1587E629">
                <wp:simplePos x="0" y="0"/>
                <wp:positionH relativeFrom="margin">
                  <wp:posOffset>4117137</wp:posOffset>
                </wp:positionH>
                <wp:positionV relativeFrom="paragraph">
                  <wp:posOffset>102870</wp:posOffset>
                </wp:positionV>
                <wp:extent cx="614476" cy="4581525"/>
                <wp:effectExtent l="19050" t="19050" r="14605" b="28575"/>
                <wp:wrapNone/>
                <wp:docPr id="31" name="Rectangle 31"/>
                <wp:cNvGraphicFramePr/>
                <a:graphic xmlns:a="http://schemas.openxmlformats.org/drawingml/2006/main">
                  <a:graphicData uri="http://schemas.microsoft.com/office/word/2010/wordprocessingShape">
                    <wps:wsp>
                      <wps:cNvSpPr/>
                      <wps:spPr>
                        <a:xfrm>
                          <a:off x="0" y="0"/>
                          <a:ext cx="614476" cy="458152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027F" w:rsidRPr="00E1196F" w:rsidRDefault="0028027F" w:rsidP="00F124B6">
                            <w:pPr>
                              <w:jc w:val="center"/>
                              <w:rPr>
                                <w:b/>
                                <w:color w:val="FF0000"/>
                              </w:rPr>
                            </w:pPr>
                            <w:r w:rsidRPr="00E1196F">
                              <w:rPr>
                                <w:b/>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62F0D" id="Rectangle 31" o:spid="_x0000_s1027" style="position:absolute;left:0;text-align:left;margin-left:324.2pt;margin-top:8.1pt;width:48.4pt;height:360.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" filled="f" strokecolor="#c00000" strokeweight="3pt">
                <v:textbox>
                  <w:txbxContent>
                    <w:p w:rsidR="0028027F" w:rsidRPr="00E1196F" w:rsidRDefault="0028027F" w:rsidP="00F124B6">
                      <w:pPr>
                        <w:jc w:val="center"/>
                        <w:rPr>
                          <w:b/>
                          <w:color w:val="FF0000"/>
                        </w:rPr>
                      </w:pPr>
                      <w:r w:rsidRPr="00E1196F">
                        <w:rPr>
                          <w:b/>
                          <w:color w:val="FF0000"/>
                        </w:rPr>
                        <w:t>2</w:t>
                      </w:r>
                    </w:p>
                  </w:txbxContent>
                </v:textbox>
                <w10:wrap anchorx="margin"/>
              </v:rect>
            </w:pict>
          </mc:Fallback>
        </mc:AlternateContent>
      </w:r>
      <w:r>
        <w:rPr>
          <w:noProof/>
          <w:lang w:eastAsia="en-AU"/>
        </w:rPr>
        <mc:AlternateContent>
          <mc:Choice Requires="wps">
            <w:drawing>
              <wp:anchor distT="0" distB="0" distL="114300" distR="114300" simplePos="0" relativeHeight="251664384" behindDoc="0" locked="0" layoutInCell="1" allowOverlap="1" wp14:anchorId="19955DAE" wp14:editId="1237AB30">
                <wp:simplePos x="0" y="0"/>
                <wp:positionH relativeFrom="margin">
                  <wp:posOffset>4746549</wp:posOffset>
                </wp:positionH>
                <wp:positionV relativeFrom="paragraph">
                  <wp:posOffset>102870</wp:posOffset>
                </wp:positionV>
                <wp:extent cx="599846" cy="4581525"/>
                <wp:effectExtent l="19050" t="19050" r="10160" b="28575"/>
                <wp:wrapNone/>
                <wp:docPr id="32" name="Rectangle 32"/>
                <wp:cNvGraphicFramePr/>
                <a:graphic xmlns:a="http://schemas.openxmlformats.org/drawingml/2006/main">
                  <a:graphicData uri="http://schemas.microsoft.com/office/word/2010/wordprocessingShape">
                    <wps:wsp>
                      <wps:cNvSpPr/>
                      <wps:spPr>
                        <a:xfrm>
                          <a:off x="0" y="0"/>
                          <a:ext cx="599846" cy="4581525"/>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027F" w:rsidRPr="00E1196F" w:rsidRDefault="0028027F" w:rsidP="00F124B6">
                            <w:pPr>
                              <w:jc w:val="center"/>
                              <w:rPr>
                                <w:b/>
                                <w:color w:val="92D050"/>
                              </w:rPr>
                            </w:pPr>
                            <w:r w:rsidRPr="00E1196F">
                              <w:rPr>
                                <w:b/>
                                <w:color w:val="92D05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55DAE" id="Rectangle 32" o:spid="_x0000_s1028" style="position:absolute;left:0;text-align:left;margin-left:373.75pt;margin-top:8.1pt;width:47.25pt;height:360.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" filled="f" strokecolor="#92d050" strokeweight="3pt">
                <v:textbox>
                  <w:txbxContent>
                    <w:p w:rsidR="0028027F" w:rsidRPr="00E1196F" w:rsidRDefault="0028027F" w:rsidP="00F124B6">
                      <w:pPr>
                        <w:jc w:val="center"/>
                        <w:rPr>
                          <w:b/>
                          <w:color w:val="92D050"/>
                        </w:rPr>
                      </w:pPr>
                      <w:r w:rsidRPr="00E1196F">
                        <w:rPr>
                          <w:b/>
                          <w:color w:val="92D050"/>
                        </w:rPr>
                        <w:t>3</w:t>
                      </w:r>
                    </w:p>
                  </w:txbxContent>
                </v:textbox>
                <w10:wrap anchorx="margin"/>
              </v:rect>
            </w:pict>
          </mc:Fallback>
        </mc:AlternateContent>
      </w:r>
      <w:r w:rsidR="002C1B69">
        <w:rPr>
          <w:noProof/>
          <w:lang w:eastAsia="en-AU"/>
        </w:rPr>
        <w:drawing>
          <wp:inline distT="0" distB="0" distL="0" distR="0" wp14:anchorId="7CAF1525" wp14:editId="63CB1BEF">
            <wp:extent cx="5219700" cy="46094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19700" cy="4609465"/>
                    </a:xfrm>
                    <a:prstGeom prst="rect">
                      <a:avLst/>
                    </a:prstGeom>
                  </pic:spPr>
                </pic:pic>
              </a:graphicData>
            </a:graphic>
          </wp:inline>
        </w:drawing>
      </w:r>
    </w:p>
    <w:p w:rsidR="002231F4" w:rsidRDefault="002C1B69" w:rsidP="00CC3905">
      <w:pPr>
        <w:pStyle w:val="Boxed2Text"/>
        <w:numPr>
          <w:ilvl w:val="6"/>
          <w:numId w:val="2"/>
        </w:numPr>
        <w:pBdr>
          <w:top w:val="single" w:sz="4" w:space="14" w:color="B4B5DF"/>
          <w:left w:val="single" w:sz="4" w:space="14" w:color="B4B5DF"/>
          <w:bottom w:val="single" w:sz="4" w:space="14" w:color="B4B5DF"/>
          <w:right w:val="single" w:sz="4" w:space="14" w:color="B4B5DF"/>
        </w:pBdr>
        <w:shd w:val="clear" w:color="auto" w:fill="B4B5DF"/>
        <w:ind w:left="567" w:hanging="283"/>
        <w:rPr>
          <w:sz w:val="18"/>
          <w:szCs w:val="18"/>
        </w:rPr>
      </w:pPr>
      <w:r w:rsidRPr="007361C6">
        <w:rPr>
          <w:sz w:val="18"/>
          <w:szCs w:val="18"/>
        </w:rPr>
        <w:t xml:space="preserve">Incorporates Entity B for the period 1 July 2019 </w:t>
      </w:r>
      <w:r w:rsidR="00822355">
        <w:rPr>
          <w:sz w:val="18"/>
          <w:szCs w:val="18"/>
        </w:rPr>
        <w:t>until</w:t>
      </w:r>
      <w:r w:rsidRPr="007361C6">
        <w:rPr>
          <w:sz w:val="18"/>
          <w:szCs w:val="18"/>
        </w:rPr>
        <w:t xml:space="preserve"> 31 January 2020.</w:t>
      </w:r>
    </w:p>
    <w:p w:rsidR="002C1B69" w:rsidRPr="00CC3905" w:rsidRDefault="002231F4" w:rsidP="00CC3905">
      <w:pPr>
        <w:pStyle w:val="Boxed2Text"/>
        <w:numPr>
          <w:ilvl w:val="6"/>
          <w:numId w:val="2"/>
        </w:numPr>
        <w:pBdr>
          <w:top w:val="single" w:sz="4" w:space="14" w:color="B4B5DF"/>
          <w:left w:val="single" w:sz="4" w:space="14" w:color="B4B5DF"/>
          <w:bottom w:val="single" w:sz="4" w:space="14" w:color="B4B5DF"/>
          <w:right w:val="single" w:sz="4" w:space="14" w:color="B4B5DF"/>
        </w:pBdr>
        <w:shd w:val="clear" w:color="auto" w:fill="B4B5DF"/>
        <w:ind w:left="567" w:hanging="283"/>
        <w:rPr>
          <w:sz w:val="18"/>
          <w:szCs w:val="18"/>
        </w:rPr>
      </w:pPr>
      <w:r w:rsidRPr="00CC3905">
        <w:rPr>
          <w:sz w:val="18"/>
          <w:szCs w:val="18"/>
        </w:rPr>
        <w:t>C</w:t>
      </w:r>
      <w:r w:rsidR="002C1B69" w:rsidRPr="00CC3905">
        <w:rPr>
          <w:sz w:val="18"/>
          <w:szCs w:val="18"/>
        </w:rPr>
        <w:t>omparative figures for</w:t>
      </w:r>
      <w:r w:rsidRPr="00CC3905">
        <w:rPr>
          <w:sz w:val="18"/>
          <w:szCs w:val="18"/>
        </w:rPr>
        <w:t xml:space="preserve"> Entity B are included </w:t>
      </w:r>
      <w:r w:rsidR="00822355">
        <w:rPr>
          <w:sz w:val="18"/>
          <w:szCs w:val="18"/>
        </w:rPr>
        <w:t xml:space="preserve">due to </w:t>
      </w:r>
      <w:r w:rsidRPr="00CC3905">
        <w:rPr>
          <w:sz w:val="18"/>
          <w:szCs w:val="18"/>
        </w:rPr>
        <w:t>function</w:t>
      </w:r>
      <w:r>
        <w:rPr>
          <w:sz w:val="18"/>
          <w:szCs w:val="18"/>
        </w:rPr>
        <w:t>s</w:t>
      </w:r>
      <w:r w:rsidRPr="00CC3905">
        <w:rPr>
          <w:sz w:val="18"/>
          <w:szCs w:val="18"/>
        </w:rPr>
        <w:t xml:space="preserve"> transferred to </w:t>
      </w:r>
      <w:r w:rsidR="002C1B69" w:rsidRPr="00CC3905">
        <w:rPr>
          <w:sz w:val="18"/>
          <w:szCs w:val="18"/>
        </w:rPr>
        <w:t xml:space="preserve">Entity </w:t>
      </w:r>
      <w:r w:rsidRPr="00CC3905">
        <w:rPr>
          <w:sz w:val="18"/>
          <w:szCs w:val="18"/>
        </w:rPr>
        <w:t>A</w:t>
      </w:r>
      <w:r w:rsidR="002C1B69" w:rsidRPr="00CC3905">
        <w:rPr>
          <w:sz w:val="18"/>
          <w:szCs w:val="18"/>
        </w:rPr>
        <w:t xml:space="preserve"> </w:t>
      </w:r>
      <w:r w:rsidR="00822355">
        <w:rPr>
          <w:sz w:val="18"/>
          <w:szCs w:val="18"/>
        </w:rPr>
        <w:t>effective</w:t>
      </w:r>
      <w:r w:rsidR="002C1B69" w:rsidRPr="00CC3905">
        <w:rPr>
          <w:sz w:val="18"/>
          <w:szCs w:val="18"/>
        </w:rPr>
        <w:t xml:space="preserve"> 1</w:t>
      </w:r>
      <w:r w:rsidR="00822355">
        <w:rPr>
          <w:sz w:val="18"/>
          <w:szCs w:val="18"/>
        </w:rPr>
        <w:t> </w:t>
      </w:r>
      <w:r w:rsidR="002C1B69" w:rsidRPr="00CC3905">
        <w:rPr>
          <w:sz w:val="18"/>
          <w:szCs w:val="18"/>
        </w:rPr>
        <w:t>February</w:t>
      </w:r>
      <w:r w:rsidR="00822355">
        <w:rPr>
          <w:sz w:val="18"/>
          <w:szCs w:val="18"/>
        </w:rPr>
        <w:t> </w:t>
      </w:r>
      <w:r w:rsidR="002C1B69" w:rsidRPr="00CC3905">
        <w:rPr>
          <w:sz w:val="18"/>
          <w:szCs w:val="18"/>
        </w:rPr>
        <w:t>2020.</w:t>
      </w:r>
    </w:p>
    <w:p w:rsidR="004E3F71" w:rsidRPr="00CC3905" w:rsidRDefault="00006785" w:rsidP="00410FAB">
      <w:pPr>
        <w:pStyle w:val="NormalIndented"/>
        <w:spacing w:before="360" w:line="340" w:lineRule="atLeast"/>
        <w:ind w:hanging="284"/>
        <w:rPr>
          <w:sz w:val="26"/>
          <w:szCs w:val="26"/>
        </w:rPr>
      </w:pPr>
      <w:r w:rsidRPr="00410FAB">
        <w:rPr>
          <w:sz w:val="26"/>
          <w:szCs w:val="26"/>
        </w:rPr>
        <w:lastRenderedPageBreak/>
        <w:t>Old e</w:t>
      </w:r>
      <w:r w:rsidR="004E3F71" w:rsidRPr="00410FAB">
        <w:rPr>
          <w:sz w:val="26"/>
          <w:szCs w:val="26"/>
        </w:rPr>
        <w:t xml:space="preserve">ntity </w:t>
      </w:r>
      <w:r w:rsidR="001A3DBC" w:rsidRPr="00410FAB">
        <w:rPr>
          <w:sz w:val="26"/>
          <w:szCs w:val="26"/>
        </w:rPr>
        <w:t xml:space="preserve">has </w:t>
      </w:r>
      <w:r w:rsidR="004E3F71" w:rsidRPr="00410FAB">
        <w:rPr>
          <w:sz w:val="26"/>
          <w:szCs w:val="26"/>
        </w:rPr>
        <w:t>not ceased</w:t>
      </w:r>
      <w:r w:rsidR="001A3DBC" w:rsidRPr="00410FAB">
        <w:rPr>
          <w:sz w:val="26"/>
          <w:szCs w:val="26"/>
        </w:rPr>
        <w:t xml:space="preserve"> to exist</w:t>
      </w:r>
      <w:r w:rsidR="004E3F71" w:rsidRPr="00410FAB">
        <w:rPr>
          <w:sz w:val="26"/>
          <w:szCs w:val="26"/>
        </w:rPr>
        <w:t xml:space="preserve"> with some functions transferred</w:t>
      </w:r>
    </w:p>
    <w:p w:rsidR="004E3F71" w:rsidRDefault="00F124B6" w:rsidP="004E3F71">
      <w:pPr>
        <w:pStyle w:val="NumberedList1"/>
      </w:pPr>
      <w:r w:rsidRPr="009525BC">
        <w:t xml:space="preserve">Where the old entity </w:t>
      </w:r>
      <w:r>
        <w:t xml:space="preserve">continues </w:t>
      </w:r>
      <w:r w:rsidRPr="009525BC">
        <w:t>to exist and only some functions have been transferred</w:t>
      </w:r>
      <w:r>
        <w:t xml:space="preserve"> </w:t>
      </w:r>
      <w:r w:rsidR="004E3F71">
        <w:t>(ie</w:t>
      </w:r>
      <w:r>
        <w:t xml:space="preserve"> the old enti</w:t>
      </w:r>
      <w:r w:rsidR="004E3F71">
        <w:t>ty has retained some functions), t</w:t>
      </w:r>
      <w:r w:rsidR="004E3F71" w:rsidRPr="002E7BED">
        <w:t>he accountable authority of the</w:t>
      </w:r>
      <w:r w:rsidR="004E3F71">
        <w:t>:</w:t>
      </w:r>
    </w:p>
    <w:p w:rsidR="004E3F71" w:rsidRDefault="00F124B6" w:rsidP="00CC3905">
      <w:pPr>
        <w:pStyle w:val="Bullet1"/>
      </w:pPr>
      <w:r>
        <w:t>old entity should report on the</w:t>
      </w:r>
      <w:r w:rsidR="004E3F71">
        <w:t>:</w:t>
      </w:r>
    </w:p>
    <w:p w:rsidR="004E3F71" w:rsidRDefault="00F124B6" w:rsidP="00CC3905">
      <w:pPr>
        <w:pStyle w:val="Bullet2"/>
      </w:pPr>
      <w:r>
        <w:t>transferred functions up</w:t>
      </w:r>
      <w:r w:rsidR="004E3F71">
        <w:t xml:space="preserve"> until the date of the transfer</w:t>
      </w:r>
    </w:p>
    <w:p w:rsidR="00F124B6" w:rsidRDefault="004E3F71" w:rsidP="00CC3905">
      <w:pPr>
        <w:pStyle w:val="Bullet2"/>
      </w:pPr>
      <w:r>
        <w:t>non-transferred functions (those</w:t>
      </w:r>
      <w:r w:rsidRPr="004C0F87">
        <w:t xml:space="preserve"> functions </w:t>
      </w:r>
      <w:r>
        <w:t xml:space="preserve">that </w:t>
      </w:r>
      <w:r w:rsidRPr="004C0F87">
        <w:t>remained with the old entity) for the full reporting period</w:t>
      </w:r>
    </w:p>
    <w:p w:rsidR="00F124B6" w:rsidRDefault="00F124B6" w:rsidP="00CC3905">
      <w:pPr>
        <w:pStyle w:val="Bullet1"/>
      </w:pPr>
      <w:r>
        <w:t>reporting entity is required to report on the functions transferred from the old entity from the date of transfer until t</w:t>
      </w:r>
      <w:r w:rsidR="004E3F71">
        <w:t>he end of the reporting period</w:t>
      </w:r>
      <w:r w:rsidRPr="004C0F87">
        <w:t>.</w:t>
      </w:r>
    </w:p>
    <w:p w:rsidR="00F124B6" w:rsidRDefault="006278AF" w:rsidP="00706AE8">
      <w:pPr>
        <w:pStyle w:val="NumberedList1"/>
      </w:pPr>
      <w:r>
        <w:t>Also see</w:t>
      </w:r>
      <w:r w:rsidR="00706AE8">
        <w:t xml:space="preserve"> </w:t>
      </w:r>
      <w:hyperlink w:anchor="_KMP_reporting_following" w:history="1">
        <w:r w:rsidR="00706AE8" w:rsidRPr="00706AE8">
          <w:rPr>
            <w:rStyle w:val="Hyperlink"/>
            <w:i w:val="0"/>
          </w:rPr>
          <w:t>KMP reporting following MoG changes</w:t>
        </w:r>
      </w:hyperlink>
      <w:r>
        <w:t>.</w:t>
      </w:r>
    </w:p>
    <w:p w:rsidR="00503B9D" w:rsidRDefault="00503B9D" w:rsidP="00503B9D">
      <w:pPr>
        <w:pStyle w:val="NumberedList1"/>
        <w:numPr>
          <w:ilvl w:val="0"/>
          <w:numId w:val="0"/>
        </w:numPr>
      </w:pPr>
    </w:p>
    <w:p w:rsidR="00F124B6" w:rsidRPr="00615365" w:rsidRDefault="00F124B6" w:rsidP="00F124B6">
      <w:pPr>
        <w:pStyle w:val="Heading1"/>
        <w:shd w:val="clear" w:color="auto" w:fill="BDDCDF" w:themeFill="accent1"/>
        <w:spacing w:before="0" w:line="240" w:lineRule="auto"/>
        <w:contextualSpacing w:val="0"/>
        <w:rPr>
          <w:rFonts w:cs="Arial"/>
          <w:color w:val="000000" w:themeColor="text1"/>
          <w:szCs w:val="40"/>
        </w:rPr>
      </w:pPr>
      <w:bookmarkStart w:id="68" w:name="_Toc42245012"/>
      <w:r>
        <w:rPr>
          <w:rFonts w:cs="Arial"/>
          <w:color w:val="000000" w:themeColor="text1"/>
          <w:szCs w:val="40"/>
        </w:rPr>
        <w:t xml:space="preserve">Part 6 </w:t>
      </w:r>
      <w:r>
        <w:t xml:space="preserve">– </w:t>
      </w:r>
      <w:bookmarkStart w:id="69" w:name="Miscellaneousreporting"/>
      <w:r w:rsidRPr="00615365">
        <w:rPr>
          <w:rFonts w:cs="Arial"/>
          <w:color w:val="000000" w:themeColor="text1"/>
          <w:szCs w:val="40"/>
        </w:rPr>
        <w:t>Miscellaneous</w:t>
      </w:r>
      <w:r w:rsidR="009B5700">
        <w:rPr>
          <w:rFonts w:cs="Arial"/>
          <w:color w:val="000000" w:themeColor="text1"/>
          <w:szCs w:val="40"/>
        </w:rPr>
        <w:t xml:space="preserve"> reporting</w:t>
      </w:r>
      <w:bookmarkEnd w:id="68"/>
      <w:bookmarkEnd w:id="69"/>
    </w:p>
    <w:p w:rsidR="001174DC" w:rsidRPr="00E32FA5" w:rsidRDefault="00F124B6" w:rsidP="00CC3905">
      <w:pPr>
        <w:pStyle w:val="Heading2"/>
      </w:pPr>
      <w:bookmarkStart w:id="70" w:name="_Toc42245013"/>
      <w:bookmarkStart w:id="71" w:name="DetermininationbyFinanceMinsiter"/>
      <w:r w:rsidRPr="00750B42">
        <w:t>Determinations by Finance Minister</w:t>
      </w:r>
      <w:bookmarkEnd w:id="70"/>
    </w:p>
    <w:bookmarkEnd w:id="71"/>
    <w:p w:rsidR="007211FE" w:rsidRDefault="007211FE">
      <w:pPr>
        <w:pStyle w:val="NumberedList1"/>
      </w:pPr>
      <w:r>
        <w:t xml:space="preserve">Under </w:t>
      </w:r>
      <w:r w:rsidR="004E5B59">
        <w:t>sub</w:t>
      </w:r>
      <w:r>
        <w:t>s</w:t>
      </w:r>
      <w:r w:rsidR="00BD5942">
        <w:t xml:space="preserve">ection 17K(2) of the </w:t>
      </w:r>
      <w:hyperlink r:id="rId47" w:history="1">
        <w:r w:rsidR="00503B9D" w:rsidRPr="003E6254">
          <w:rPr>
            <w:rStyle w:val="Hyperlink"/>
            <w:i w:val="0"/>
          </w:rPr>
          <w:t>PGPA Rule</w:t>
        </w:r>
      </w:hyperlink>
      <w:r w:rsidR="00BD5942">
        <w:t>, d</w:t>
      </w:r>
      <w:r>
        <w:t xml:space="preserve">espite amendments to the </w:t>
      </w:r>
      <w:hyperlink r:id="rId48" w:history="1">
        <w:r w:rsidRPr="004131C2">
          <w:rPr>
            <w:rStyle w:val="Hyperlink"/>
            <w:i w:val="0"/>
          </w:rPr>
          <w:t>AAO</w:t>
        </w:r>
      </w:hyperlink>
      <w:r w:rsidR="00F124B6">
        <w:t xml:space="preserve"> providing for a transfer of functions between entities, the Finance Minister can determine</w:t>
      </w:r>
      <w:r>
        <w:t>,</w:t>
      </w:r>
      <w:r w:rsidRPr="007211FE">
        <w:t xml:space="preserve"> </w:t>
      </w:r>
      <w:r>
        <w:t xml:space="preserve">for the purposes of reporting under sections </w:t>
      </w:r>
      <w:r w:rsidRPr="00697853">
        <w:rPr>
          <w:rFonts w:ascii="Arial" w:hAnsi="Arial" w:cs="Arial"/>
        </w:rPr>
        <w:t>17A–17</w:t>
      </w:r>
      <w:r>
        <w:rPr>
          <w:rFonts w:ascii="Arial" w:hAnsi="Arial" w:cs="Arial"/>
        </w:rPr>
        <w:t xml:space="preserve">J </w:t>
      </w:r>
      <w:r w:rsidRPr="00697853">
        <w:rPr>
          <w:rFonts w:ascii="Arial" w:hAnsi="Arial" w:cs="Arial"/>
        </w:rPr>
        <w:t>of the PGPA Rule</w:t>
      </w:r>
      <w:r>
        <w:rPr>
          <w:rFonts w:ascii="Arial" w:hAnsi="Arial" w:cs="Arial"/>
        </w:rPr>
        <w:t>,</w:t>
      </w:r>
      <w:r w:rsidR="00F124B6">
        <w:t xml:space="preserve"> that a transfer of functions is taken not to have occurred.</w:t>
      </w:r>
    </w:p>
    <w:p w:rsidR="00F124B6" w:rsidRDefault="00F124B6">
      <w:pPr>
        <w:pStyle w:val="NumberedList1"/>
      </w:pPr>
      <w:r>
        <w:t xml:space="preserve">This would usually mean that the old entity would prepare its own statements and reports for the reporting period, rather than the new entity (or </w:t>
      </w:r>
      <w:r w:rsidR="00503B9D">
        <w:t xml:space="preserve">a </w:t>
      </w:r>
      <w:r>
        <w:t>reporting entity) reporting on the transferred functions.</w:t>
      </w:r>
    </w:p>
    <w:p w:rsidR="007211FE" w:rsidRDefault="007211FE" w:rsidP="00566424">
      <w:pPr>
        <w:pStyle w:val="Boxed2Heading"/>
        <w:pBdr>
          <w:top w:val="single" w:sz="4" w:space="14" w:color="B4B5DF"/>
          <w:left w:val="single" w:sz="4" w:space="14" w:color="B4B5DF"/>
          <w:bottom w:val="single" w:sz="4" w:space="14" w:color="B4B5DF"/>
          <w:right w:val="single" w:sz="4" w:space="14" w:color="B4B5DF"/>
        </w:pBdr>
        <w:shd w:val="clear" w:color="auto" w:fill="B4B5DF"/>
      </w:pPr>
      <w:r>
        <w:rPr>
          <w:shd w:val="clear" w:color="auto" w:fill="B4B5DF"/>
        </w:rPr>
        <w:t>E</w:t>
      </w:r>
      <w:r w:rsidR="00F124B6" w:rsidRPr="00566424">
        <w:rPr>
          <w:shd w:val="clear" w:color="auto" w:fill="B4B5DF"/>
        </w:rPr>
        <w:t>xample</w:t>
      </w:r>
      <w:r w:rsidR="002C1B69">
        <w:rPr>
          <w:shd w:val="clear" w:color="auto" w:fill="B4B5DF"/>
        </w:rPr>
        <w:t xml:space="preserve"> 10</w:t>
      </w:r>
      <w:r>
        <w:rPr>
          <w:shd w:val="clear" w:color="auto" w:fill="B4B5DF"/>
        </w:rPr>
        <w:t>:</w:t>
      </w:r>
      <w:r w:rsidRPr="007211FE">
        <w:rPr>
          <w:shd w:val="clear" w:color="auto" w:fill="B4B5DF"/>
        </w:rPr>
        <w:t xml:space="preserve"> Finance Minister</w:t>
      </w:r>
      <w:r w:rsidR="00DF2611">
        <w:rPr>
          <w:shd w:val="clear" w:color="auto" w:fill="B4B5DF"/>
        </w:rPr>
        <w:t xml:space="preserve"> </w:t>
      </w:r>
      <w:r w:rsidR="002C1B69">
        <w:rPr>
          <w:shd w:val="clear" w:color="auto" w:fill="B4B5DF"/>
        </w:rPr>
        <w:t xml:space="preserve">determination - PGPA Rule, </w:t>
      </w:r>
      <w:r w:rsidR="002C1B69" w:rsidRPr="00566424">
        <w:rPr>
          <w:shd w:val="clear" w:color="auto" w:fill="B4B5DF"/>
        </w:rPr>
        <w:t>section 17K</w:t>
      </w:r>
      <w:r w:rsidR="00F124B6" w:rsidRPr="00566424">
        <w:rPr>
          <w:shd w:val="clear" w:color="auto" w:fill="B4B5DF"/>
        </w:rPr>
        <w:t xml:space="preserve"> </w:t>
      </w:r>
    </w:p>
    <w:p w:rsidR="00F124B6" w:rsidRDefault="007211FE" w:rsidP="00566424">
      <w:pPr>
        <w:pStyle w:val="Boxed2Text"/>
        <w:pBdr>
          <w:top w:val="single" w:sz="4" w:space="14" w:color="B4B5DF"/>
          <w:left w:val="single" w:sz="4" w:space="14" w:color="B4B5DF"/>
          <w:bottom w:val="single" w:sz="4" w:space="14" w:color="B4B5DF"/>
          <w:right w:val="single" w:sz="4" w:space="14" w:color="B4B5DF"/>
        </w:pBdr>
        <w:shd w:val="clear" w:color="auto" w:fill="B4B5DF"/>
      </w:pPr>
      <w:r>
        <w:t xml:space="preserve">A MoG </w:t>
      </w:r>
      <w:r w:rsidRPr="00791DAA">
        <w:t>cha</w:t>
      </w:r>
      <w:r>
        <w:t>nge may</w:t>
      </w:r>
      <w:r w:rsidRPr="00791DAA">
        <w:t xml:space="preserve"> involve the formal transfer of some or all functions</w:t>
      </w:r>
      <w:r>
        <w:t xml:space="preserve"> from the old entity</w:t>
      </w:r>
      <w:r w:rsidRPr="00791DAA">
        <w:t xml:space="preserve"> t</w:t>
      </w:r>
      <w:r>
        <w:t>o one or more other entities with the date of effect</w:t>
      </w:r>
      <w:r w:rsidR="00F124B6" w:rsidRPr="00791DAA">
        <w:t xml:space="preserve"> </w:t>
      </w:r>
      <w:r>
        <w:t>being</w:t>
      </w:r>
      <w:r w:rsidR="00F124B6">
        <w:t xml:space="preserve"> close to </w:t>
      </w:r>
      <w:r>
        <w:t>the end of a reporting per</w:t>
      </w:r>
      <w:r w:rsidR="00DF2611">
        <w:t>iod. For</w:t>
      </w:r>
      <w:r>
        <w:t xml:space="preserve"> this scenario, </w:t>
      </w:r>
      <w:r w:rsidR="00F124B6" w:rsidRPr="00791DAA">
        <w:t>section</w:t>
      </w:r>
      <w:r>
        <w:t xml:space="preserve"> 17K of the PGPA Rule enables the Finance </w:t>
      </w:r>
      <w:r w:rsidR="00F124B6" w:rsidRPr="00791DAA">
        <w:t xml:space="preserve">Minister to </w:t>
      </w:r>
      <w:r>
        <w:t>make a determination</w:t>
      </w:r>
      <w:r w:rsidR="00F124B6" w:rsidRPr="00791DAA">
        <w:t xml:space="preserve"> that the old entity must prepare the </w:t>
      </w:r>
      <w:r w:rsidR="00F124B6">
        <w:t>required</w:t>
      </w:r>
      <w:r w:rsidR="00F124B6" w:rsidRPr="00791DAA">
        <w:t xml:space="preserve"> reports and documents for the full report</w:t>
      </w:r>
      <w:r w:rsidR="00DF2611">
        <w:t xml:space="preserve">ing period, as </w:t>
      </w:r>
      <w:r w:rsidR="008E55B7">
        <w:t>the best-</w:t>
      </w:r>
      <w:r w:rsidR="00F124B6" w:rsidRPr="00791DAA">
        <w:t xml:space="preserve">placed </w:t>
      </w:r>
      <w:r w:rsidR="008E55B7">
        <w:t xml:space="preserve">entity for </w:t>
      </w:r>
      <w:r w:rsidR="00F124B6" w:rsidRPr="00791DAA">
        <w:t>this.</w:t>
      </w:r>
    </w:p>
    <w:p w:rsidR="00F124B6" w:rsidRDefault="00F124B6" w:rsidP="008E55B7">
      <w:pPr>
        <w:pStyle w:val="NumberedList1"/>
      </w:pPr>
      <w:r>
        <w:t xml:space="preserve">It is important to note that a </w:t>
      </w:r>
      <w:r w:rsidR="00503B9D">
        <w:t xml:space="preserve">determination under </w:t>
      </w:r>
      <w:r w:rsidR="00DF2611">
        <w:t>section 17K</w:t>
      </w:r>
      <w:r w:rsidR="00503B9D">
        <w:t xml:space="preserve"> of the PGPA Rule</w:t>
      </w:r>
      <w:r w:rsidR="00DF2611">
        <w:t xml:space="preserve"> </w:t>
      </w:r>
      <w:r>
        <w:t>does not alter</w:t>
      </w:r>
      <w:r w:rsidR="00BD5942">
        <w:t xml:space="preserve"> the effect or content of the </w:t>
      </w:r>
      <w:hyperlink r:id="rId49" w:history="1">
        <w:r w:rsidR="00BD5942" w:rsidRPr="00566424">
          <w:rPr>
            <w:rStyle w:val="Hyperlink"/>
            <w:i w:val="0"/>
          </w:rPr>
          <w:t>AAO</w:t>
        </w:r>
      </w:hyperlink>
      <w:r w:rsidR="008E55B7">
        <w:t>—</w:t>
      </w:r>
      <w:r>
        <w:t>it only changes the allocation of reporting responsi</w:t>
      </w:r>
      <w:r w:rsidR="00BD5942">
        <w:t>bilities for the reporting perio</w:t>
      </w:r>
      <w:r>
        <w:t>d in which the tran</w:t>
      </w:r>
      <w:r w:rsidR="00F21E06">
        <w:t>sfer of functions has occurred.</w:t>
      </w:r>
    </w:p>
    <w:p w:rsidR="00F124B6" w:rsidRDefault="00706AE8" w:rsidP="00566424">
      <w:pPr>
        <w:pStyle w:val="Heading2"/>
      </w:pPr>
      <w:bookmarkStart w:id="72" w:name="_Key_management_personnel"/>
      <w:bookmarkStart w:id="73" w:name="_KMP_reporting_following"/>
      <w:bookmarkStart w:id="74" w:name="_Toc42245014"/>
      <w:bookmarkStart w:id="75" w:name="DisclosuresKMP"/>
      <w:bookmarkEnd w:id="72"/>
      <w:bookmarkEnd w:id="73"/>
      <w:r>
        <w:t>KMP reporting following MoG changes</w:t>
      </w:r>
      <w:bookmarkEnd w:id="74"/>
    </w:p>
    <w:p w:rsidR="0095521A" w:rsidRPr="0039089D" w:rsidRDefault="0024147E" w:rsidP="0095521A">
      <w:pPr>
        <w:pStyle w:val="NumberedList1"/>
        <w:rPr>
          <w:u w:color="0070C0"/>
        </w:rPr>
      </w:pPr>
      <w:r>
        <w:t xml:space="preserve">Where KMP reporting is affected by a MoG change, for clarity, transparency and accuracy in remuneration reporting in </w:t>
      </w:r>
      <w:hyperlink w:anchor="KMPannualfinancialstatements" w:history="1">
        <w:r w:rsidRPr="00706AE8">
          <w:rPr>
            <w:rStyle w:val="Hyperlink"/>
            <w:i w:val="0"/>
          </w:rPr>
          <w:t>annual reports</w:t>
        </w:r>
      </w:hyperlink>
      <w:r>
        <w:t xml:space="preserve"> and </w:t>
      </w:r>
      <w:hyperlink w:anchor="KMPannualfinancialstatements" w:history="1">
        <w:r w:rsidRPr="00706AE8">
          <w:rPr>
            <w:rStyle w:val="Hyperlink"/>
            <w:i w:val="0"/>
          </w:rPr>
          <w:t>annual financial statements</w:t>
        </w:r>
      </w:hyperlink>
      <w:r>
        <w:t xml:space="preserve"> entities should include notes, footnotes and cross references in KMP </w:t>
      </w:r>
      <w:r w:rsidR="00706AE8">
        <w:t xml:space="preserve">reports and </w:t>
      </w:r>
      <w:r>
        <w:t xml:space="preserve">disclosures. </w:t>
      </w:r>
    </w:p>
    <w:p w:rsidR="0095521A" w:rsidRPr="0039089D" w:rsidRDefault="002E7DF5" w:rsidP="0095521A">
      <w:pPr>
        <w:pStyle w:val="NumberedList1"/>
        <w:rPr>
          <w:u w:color="0070C0"/>
        </w:rPr>
      </w:pPr>
      <w:r>
        <w:lastRenderedPageBreak/>
        <w:t>P</w:t>
      </w:r>
      <w:r w:rsidR="0095521A" w:rsidRPr="006F17CA">
        <w:t xml:space="preserve">rofessional judgement is required in determining </w:t>
      </w:r>
      <w:r w:rsidR="0095521A">
        <w:t xml:space="preserve">the </w:t>
      </w:r>
      <w:r w:rsidR="0095521A" w:rsidRPr="006F17CA">
        <w:t xml:space="preserve">positions that meet the KMP definition in </w:t>
      </w:r>
      <w:hyperlink r:id="rId50" w:history="1">
        <w:r w:rsidR="0095521A" w:rsidRPr="00A72FFE">
          <w:rPr>
            <w:rStyle w:val="Hyperlink"/>
          </w:rPr>
          <w:t>AASB 124 Related Party Disclosures</w:t>
        </w:r>
      </w:hyperlink>
      <w:r w:rsidR="0095521A">
        <w:t xml:space="preserve">, </w:t>
      </w:r>
      <w:r w:rsidR="0095521A" w:rsidRPr="006F17CA">
        <w:t>in the context of an entity’s structure</w:t>
      </w:r>
      <w:r w:rsidR="0095521A">
        <w:t>,</w:t>
      </w:r>
      <w:r w:rsidR="0095521A" w:rsidRPr="006F17CA">
        <w:t xml:space="preserve"> before and after a MoG change</w:t>
      </w:r>
      <w:r w:rsidR="0095521A">
        <w:t>.</w:t>
      </w:r>
      <w:r w:rsidR="0095521A" w:rsidRPr="00BC42F3">
        <w:t xml:space="preserve"> </w:t>
      </w:r>
      <w:r w:rsidR="009C5157">
        <w:t xml:space="preserve">For more information, see </w:t>
      </w:r>
      <w:hyperlink r:id="rId51" w:history="1">
        <w:r w:rsidR="009C5157" w:rsidRPr="00A72FFE">
          <w:rPr>
            <w:rStyle w:val="Hyperlink"/>
            <w:i w:val="0"/>
          </w:rPr>
          <w:t>RMG 138</w:t>
        </w:r>
      </w:hyperlink>
      <w:r w:rsidR="009C5157" w:rsidRPr="001727B5">
        <w:rPr>
          <w:rStyle w:val="Hyperlink"/>
          <w:i w:val="0"/>
          <w:u w:val="none"/>
        </w:rPr>
        <w:t xml:space="preserve"> </w:t>
      </w:r>
      <w:r w:rsidR="009C5157" w:rsidRPr="00FB256B">
        <w:t>and</w:t>
      </w:r>
      <w:r w:rsidR="009C5157">
        <w:t xml:space="preserve"> </w:t>
      </w:r>
      <w:hyperlink r:id="rId52" w:history="1">
        <w:r w:rsidR="009C5157" w:rsidRPr="00A72FFE">
          <w:rPr>
            <w:rStyle w:val="Hyperlink"/>
            <w:i w:val="0"/>
          </w:rPr>
          <w:t xml:space="preserve">RMG </w:t>
        </w:r>
        <w:r w:rsidR="009C5157">
          <w:rPr>
            <w:rStyle w:val="Hyperlink"/>
            <w:i w:val="0"/>
          </w:rPr>
          <w:t>139</w:t>
        </w:r>
      </w:hyperlink>
      <w:r w:rsidR="009C5157">
        <w:t>.</w:t>
      </w:r>
      <w:r w:rsidR="009C5157">
        <w:rPr>
          <w:rStyle w:val="Hyperlink"/>
          <w:i w:val="0"/>
          <w:u w:val="none"/>
        </w:rPr>
        <w:t xml:space="preserve"> </w:t>
      </w:r>
    </w:p>
    <w:p w:rsidR="0024147E" w:rsidRPr="0024147E" w:rsidRDefault="0095521A" w:rsidP="001727B5">
      <w:pPr>
        <w:pStyle w:val="NumberedList1"/>
      </w:pPr>
      <w:r>
        <w:t>Entities should also ensure that there is no duplication of the reporting of KMP remuneration, and the reporting of executive remuneration more broadly.</w:t>
      </w:r>
    </w:p>
    <w:p w:rsidR="0024147E" w:rsidRPr="006C65DA" w:rsidRDefault="0024147E" w:rsidP="0024147E">
      <w:pPr>
        <w:pStyle w:val="Heading3"/>
        <w:rPr>
          <w:u w:color="0070C0"/>
        </w:rPr>
      </w:pPr>
      <w:bookmarkStart w:id="76" w:name="_Toc42245015"/>
      <w:bookmarkStart w:id="77" w:name="KMPannualreports"/>
      <w:r w:rsidRPr="006C65DA">
        <w:rPr>
          <w:u w:color="0070C0"/>
        </w:rPr>
        <w:t>KMP reporting in annual reports</w:t>
      </w:r>
      <w:bookmarkEnd w:id="76"/>
    </w:p>
    <w:bookmarkEnd w:id="75"/>
    <w:bookmarkEnd w:id="77"/>
    <w:p w:rsidR="005E09D3" w:rsidRPr="006C65DA" w:rsidRDefault="005E09D3" w:rsidP="0024147E">
      <w:pPr>
        <w:pStyle w:val="NumberedList1"/>
        <w:rPr>
          <w:u w:color="0070C0"/>
        </w:rPr>
      </w:pPr>
      <w:r w:rsidRPr="006C65DA">
        <w:rPr>
          <w:u w:color="0070C0"/>
        </w:rPr>
        <w:t>Following a MoG change, the annual report is</w:t>
      </w:r>
      <w:r w:rsidR="00706AE8" w:rsidRPr="006C65DA">
        <w:rPr>
          <w:u w:color="0070C0"/>
        </w:rPr>
        <w:t xml:space="preserve"> </w:t>
      </w:r>
      <w:r w:rsidRPr="006C65DA">
        <w:rPr>
          <w:u w:color="0070C0"/>
        </w:rPr>
        <w:t xml:space="preserve">expected </w:t>
      </w:r>
      <w:r w:rsidR="00706AE8" w:rsidRPr="006C65DA">
        <w:rPr>
          <w:u w:color="0070C0"/>
        </w:rPr>
        <w:t xml:space="preserve">to </w:t>
      </w:r>
      <w:r w:rsidR="0095521A" w:rsidRPr="006C65DA">
        <w:rPr>
          <w:u w:color="0070C0"/>
        </w:rPr>
        <w:t xml:space="preserve">include explanations on </w:t>
      </w:r>
      <w:r w:rsidRPr="006C65DA">
        <w:rPr>
          <w:u w:color="0070C0"/>
        </w:rPr>
        <w:t>any discrepancies that arise, between the</w:t>
      </w:r>
      <w:r w:rsidR="0024147E" w:rsidRPr="006C65DA">
        <w:rPr>
          <w:u w:color="0070C0"/>
        </w:rPr>
        <w:t>:</w:t>
      </w:r>
    </w:p>
    <w:p w:rsidR="00A93DB4" w:rsidRPr="006C65DA" w:rsidRDefault="00A93DB4" w:rsidP="00A93DB4">
      <w:pPr>
        <w:pStyle w:val="Bullet1"/>
        <w:rPr>
          <w:u w:color="0070C0"/>
        </w:rPr>
      </w:pPr>
      <w:r w:rsidRPr="006C65DA">
        <w:rPr>
          <w:u w:color="0070C0"/>
        </w:rPr>
        <w:t xml:space="preserve">KMP executive remuneration reported in an entity’s annual report, and </w:t>
      </w:r>
    </w:p>
    <w:p w:rsidR="00A93DB4" w:rsidRPr="006C65DA" w:rsidRDefault="00A93DB4" w:rsidP="00A93DB4">
      <w:pPr>
        <w:pStyle w:val="Bullet1"/>
        <w:rPr>
          <w:u w:color="0070C0"/>
        </w:rPr>
      </w:pPr>
      <w:r w:rsidRPr="006C65DA">
        <w:rPr>
          <w:u w:color="0070C0"/>
        </w:rPr>
        <w:t xml:space="preserve">the KMP disclosure note in that entity’s </w:t>
      </w:r>
      <w:hyperlink w:anchor="KMPannualfinancialstatements" w:history="1">
        <w:r w:rsidRPr="006C65DA">
          <w:rPr>
            <w:rStyle w:val="Hyperlink"/>
            <w:i w:val="0"/>
          </w:rPr>
          <w:t>annual financial statements</w:t>
        </w:r>
      </w:hyperlink>
      <w:r w:rsidRPr="006C65DA">
        <w:rPr>
          <w:i/>
          <w:u w:color="0070C0"/>
        </w:rPr>
        <w:t>.</w:t>
      </w:r>
    </w:p>
    <w:p w:rsidR="002E7DF5" w:rsidRPr="006C65DA" w:rsidRDefault="0024147E" w:rsidP="0024147E">
      <w:pPr>
        <w:pStyle w:val="NumberedList1"/>
        <w:rPr>
          <w:u w:color="0070C0"/>
        </w:rPr>
      </w:pPr>
      <w:r w:rsidRPr="006C65DA">
        <w:t>For more information on</w:t>
      </w:r>
      <w:r w:rsidR="002E7DF5" w:rsidRPr="006C65DA">
        <w:t>:</w:t>
      </w:r>
    </w:p>
    <w:p w:rsidR="002E7DF5" w:rsidRPr="006C65DA" w:rsidRDefault="0024147E" w:rsidP="001727B5">
      <w:pPr>
        <w:pStyle w:val="Bullet1"/>
        <w:rPr>
          <w:u w:color="0070C0"/>
        </w:rPr>
      </w:pPr>
      <w:r w:rsidRPr="006C65DA">
        <w:t>who constitutes KMP for the purposes of executive remuneration reporting in entity annual reports,</w:t>
      </w:r>
      <w:r w:rsidR="009C5157" w:rsidRPr="006C65DA">
        <w:t xml:space="preserve"> </w:t>
      </w:r>
      <w:r w:rsidRPr="006C65DA">
        <w:t xml:space="preserve">see </w:t>
      </w:r>
      <w:hyperlink r:id="rId53" w:history="1">
        <w:r w:rsidRPr="006C65DA">
          <w:rPr>
            <w:rStyle w:val="Hyperlink"/>
            <w:i w:val="0"/>
          </w:rPr>
          <w:t>RMG 138</w:t>
        </w:r>
      </w:hyperlink>
      <w:r w:rsidR="00CD1AF0" w:rsidRPr="006C65DA">
        <w:rPr>
          <w:rStyle w:val="Hyperlink"/>
          <w:i w:val="0"/>
          <w:u w:val="none"/>
        </w:rPr>
        <w:t xml:space="preserve"> </w:t>
      </w:r>
      <w:r w:rsidRPr="006C65DA">
        <w:t>an</w:t>
      </w:r>
      <w:r w:rsidR="009C5157" w:rsidRPr="006C65DA">
        <w:t>d</w:t>
      </w:r>
      <w:r w:rsidR="00CD1AF0" w:rsidRPr="006C65DA">
        <w:t xml:space="preserve"> </w:t>
      </w:r>
      <w:hyperlink r:id="rId54" w:history="1">
        <w:r w:rsidRPr="006C65DA">
          <w:rPr>
            <w:rStyle w:val="Hyperlink"/>
            <w:i w:val="0"/>
          </w:rPr>
          <w:t>RMG 139</w:t>
        </w:r>
      </w:hyperlink>
      <w:r w:rsidR="00CD1AF0" w:rsidRPr="006C65DA">
        <w:t xml:space="preserve"> </w:t>
      </w:r>
      <w:r w:rsidR="00CD1AF0" w:rsidRPr="006C65DA">
        <w:rPr>
          <w:rStyle w:val="Hyperlink"/>
          <w:i w:val="0"/>
          <w:u w:val="none"/>
        </w:rPr>
        <w:t xml:space="preserve"> </w:t>
      </w:r>
    </w:p>
    <w:p w:rsidR="002E055D" w:rsidRPr="006C65DA" w:rsidRDefault="002E055D" w:rsidP="002E055D">
      <w:pPr>
        <w:pStyle w:val="Heading3"/>
      </w:pPr>
      <w:bookmarkStart w:id="78" w:name="_Toc42245016"/>
      <w:bookmarkStart w:id="79" w:name="KMPannualfinancialstatements"/>
      <w:r w:rsidRPr="006C65DA">
        <w:rPr>
          <w:u w:color="0070C0"/>
        </w:rPr>
        <w:t xml:space="preserve">KMP </w:t>
      </w:r>
      <w:r w:rsidRPr="006C65DA">
        <w:t>disclosures in annual financial statements</w:t>
      </w:r>
      <w:bookmarkEnd w:id="78"/>
    </w:p>
    <w:bookmarkEnd w:id="79"/>
    <w:p w:rsidR="00454A7D" w:rsidRPr="006C65DA" w:rsidRDefault="00454A7D">
      <w:pPr>
        <w:pStyle w:val="NumberedList1"/>
      </w:pPr>
      <w:r w:rsidRPr="006C65DA">
        <w:rPr>
          <w:u w:color="0070C0"/>
        </w:rPr>
        <w:t xml:space="preserve">The following arrangements relate to KMP </w:t>
      </w:r>
      <w:r w:rsidR="00883732" w:rsidRPr="006C65DA">
        <w:rPr>
          <w:u w:color="0070C0"/>
        </w:rPr>
        <w:t xml:space="preserve">disclosures </w:t>
      </w:r>
      <w:r w:rsidRPr="006C65DA">
        <w:rPr>
          <w:u w:color="0070C0"/>
        </w:rPr>
        <w:t>in annual financial statements.</w:t>
      </w:r>
    </w:p>
    <w:p w:rsidR="002E055D" w:rsidRPr="006C65DA" w:rsidRDefault="00B9636A" w:rsidP="002E055D">
      <w:pPr>
        <w:pStyle w:val="Heading4"/>
      </w:pPr>
      <w:r w:rsidRPr="006C65DA">
        <w:t>Standard arrangements for KMP disclosures</w:t>
      </w:r>
    </w:p>
    <w:p w:rsidR="00B9636A" w:rsidRPr="006C65DA" w:rsidRDefault="00B9636A" w:rsidP="002E055D">
      <w:pPr>
        <w:pStyle w:val="NumberedList1"/>
        <w:rPr>
          <w:u w:color="0070C0"/>
        </w:rPr>
      </w:pPr>
      <w:r w:rsidRPr="006C65DA">
        <w:rPr>
          <w:u w:color="0070C0"/>
        </w:rPr>
        <w:t xml:space="preserve">Apart from the scenario outlined </w:t>
      </w:r>
      <w:r w:rsidR="00D856BC" w:rsidRPr="006C65DA">
        <w:rPr>
          <w:u w:color="0070C0"/>
        </w:rPr>
        <w:t xml:space="preserve">at </w:t>
      </w:r>
      <w:hyperlink w:anchor="KMPspecialarrangements" w:history="1">
        <w:r w:rsidRPr="006C65DA">
          <w:rPr>
            <w:rStyle w:val="Hyperlink"/>
            <w:i w:val="0"/>
          </w:rPr>
          <w:t>special arrangements</w:t>
        </w:r>
        <w:r w:rsidR="00D856BC" w:rsidRPr="006C65DA">
          <w:rPr>
            <w:rStyle w:val="Hyperlink"/>
            <w:i w:val="0"/>
          </w:rPr>
          <w:t xml:space="preserve"> for KMP disclosures</w:t>
        </w:r>
      </w:hyperlink>
      <w:r w:rsidRPr="006C65DA">
        <w:rPr>
          <w:i/>
          <w:u w:color="0070C0"/>
        </w:rPr>
        <w:t>,</w:t>
      </w:r>
      <w:r w:rsidRPr="006C65DA">
        <w:rPr>
          <w:u w:color="0070C0"/>
        </w:rPr>
        <w:t xml:space="preserve"> the reporting of KMP remuneration in entity financial statements should be consistent with </w:t>
      </w:r>
      <w:r w:rsidR="000267B4" w:rsidRPr="006C65DA">
        <w:rPr>
          <w:u w:color="0070C0"/>
        </w:rPr>
        <w:t>the requirements for annual</w:t>
      </w:r>
      <w:r w:rsidR="00454A7D" w:rsidRPr="006C65DA">
        <w:rPr>
          <w:u w:color="0070C0"/>
        </w:rPr>
        <w:t xml:space="preserve"> financial </w:t>
      </w:r>
      <w:r w:rsidR="000267B4" w:rsidRPr="006C65DA">
        <w:rPr>
          <w:u w:color="0070C0"/>
        </w:rPr>
        <w:t>statements as outlined in this RMG</w:t>
      </w:r>
      <w:r w:rsidR="000267B4" w:rsidRPr="006C65DA" w:rsidDel="000267B4">
        <w:rPr>
          <w:u w:color="0070C0"/>
        </w:rPr>
        <w:t xml:space="preserve"> </w:t>
      </w:r>
      <w:r w:rsidR="00454A7D" w:rsidRPr="006C65DA">
        <w:rPr>
          <w:u w:color="0070C0"/>
        </w:rPr>
        <w:t>for various scenarios</w:t>
      </w:r>
      <w:r w:rsidR="000267B4" w:rsidRPr="006C65DA">
        <w:rPr>
          <w:u w:color="0070C0"/>
        </w:rPr>
        <w:t>.</w:t>
      </w:r>
    </w:p>
    <w:p w:rsidR="00122C33" w:rsidRPr="006C65DA" w:rsidRDefault="001A427A" w:rsidP="001A427A">
      <w:pPr>
        <w:pStyle w:val="NumberedList1"/>
        <w:rPr>
          <w:u w:color="0070C0"/>
        </w:rPr>
      </w:pPr>
      <w:r w:rsidRPr="006C65DA">
        <w:rPr>
          <w:u w:color="0070C0"/>
        </w:rPr>
        <w:t>Following a MoG change, the annual financial statements are expected to include n</w:t>
      </w:r>
      <w:r w:rsidR="00122C33" w:rsidRPr="006C65DA">
        <w:rPr>
          <w:u w:color="0070C0"/>
        </w:rPr>
        <w:t>otes and/or foo</w:t>
      </w:r>
      <w:r w:rsidRPr="006C65DA">
        <w:rPr>
          <w:u w:color="0070C0"/>
        </w:rPr>
        <w:t>tnotes to explain any</w:t>
      </w:r>
      <w:r w:rsidR="00122C33" w:rsidRPr="006C65DA">
        <w:rPr>
          <w:u w:color="0070C0"/>
        </w:rPr>
        <w:t xml:space="preserve"> discrepancies</w:t>
      </w:r>
      <w:r w:rsidRPr="006C65DA">
        <w:rPr>
          <w:u w:color="0070C0"/>
        </w:rPr>
        <w:t xml:space="preserve"> that </w:t>
      </w:r>
      <w:r w:rsidR="00B9636A" w:rsidRPr="006C65DA">
        <w:rPr>
          <w:u w:color="0070C0"/>
        </w:rPr>
        <w:t>arise</w:t>
      </w:r>
      <w:r w:rsidRPr="006C65DA">
        <w:rPr>
          <w:u w:color="0070C0"/>
        </w:rPr>
        <w:t xml:space="preserve">, </w:t>
      </w:r>
      <w:r w:rsidR="00B9636A" w:rsidRPr="006C65DA">
        <w:rPr>
          <w:u w:color="0070C0"/>
        </w:rPr>
        <w:t>between</w:t>
      </w:r>
      <w:r w:rsidR="005E09D3" w:rsidRPr="006C65DA">
        <w:rPr>
          <w:u w:color="0070C0"/>
        </w:rPr>
        <w:t xml:space="preserve"> the</w:t>
      </w:r>
      <w:r w:rsidR="00122C33" w:rsidRPr="006C65DA">
        <w:rPr>
          <w:u w:color="0070C0"/>
        </w:rPr>
        <w:t>:</w:t>
      </w:r>
    </w:p>
    <w:p w:rsidR="00122C33" w:rsidRPr="006C65DA" w:rsidRDefault="00B9636A" w:rsidP="001A427A">
      <w:pPr>
        <w:pStyle w:val="Bullet1"/>
        <w:rPr>
          <w:u w:color="0070C0"/>
        </w:rPr>
      </w:pPr>
      <w:r w:rsidRPr="006C65DA">
        <w:rPr>
          <w:u w:color="0070C0"/>
        </w:rPr>
        <w:t>KMP executive remuneration</w:t>
      </w:r>
      <w:r w:rsidR="00122C33" w:rsidRPr="006C65DA">
        <w:rPr>
          <w:u w:color="0070C0"/>
        </w:rPr>
        <w:t xml:space="preserve"> </w:t>
      </w:r>
      <w:r w:rsidR="001A427A" w:rsidRPr="006C65DA">
        <w:rPr>
          <w:u w:color="0070C0"/>
        </w:rPr>
        <w:t xml:space="preserve">reported </w:t>
      </w:r>
      <w:r w:rsidRPr="006C65DA">
        <w:rPr>
          <w:u w:color="0070C0"/>
        </w:rPr>
        <w:t xml:space="preserve">in an entity’s </w:t>
      </w:r>
      <w:hyperlink w:anchor="KMPannualreports" w:history="1">
        <w:r w:rsidRPr="006C65DA">
          <w:rPr>
            <w:rStyle w:val="Hyperlink"/>
            <w:i w:val="0"/>
          </w:rPr>
          <w:t>annual report</w:t>
        </w:r>
      </w:hyperlink>
      <w:r w:rsidR="001A427A" w:rsidRPr="006C65DA">
        <w:rPr>
          <w:i/>
          <w:u w:color="0070C0"/>
        </w:rPr>
        <w:t>,</w:t>
      </w:r>
      <w:r w:rsidR="001A427A" w:rsidRPr="006C65DA">
        <w:rPr>
          <w:u w:color="0070C0"/>
        </w:rPr>
        <w:t xml:space="preserve"> </w:t>
      </w:r>
      <w:r w:rsidR="00122C33" w:rsidRPr="006C65DA">
        <w:rPr>
          <w:u w:color="0070C0"/>
        </w:rPr>
        <w:t xml:space="preserve">and </w:t>
      </w:r>
    </w:p>
    <w:p w:rsidR="00122C33" w:rsidRPr="006C65DA" w:rsidRDefault="00122C33" w:rsidP="001A427A">
      <w:pPr>
        <w:pStyle w:val="Bullet1"/>
        <w:rPr>
          <w:u w:color="0070C0"/>
        </w:rPr>
      </w:pPr>
      <w:r w:rsidRPr="006C65DA">
        <w:rPr>
          <w:u w:color="0070C0"/>
        </w:rPr>
        <w:t xml:space="preserve">KMP disclosure note in </w:t>
      </w:r>
      <w:r w:rsidR="001A427A" w:rsidRPr="006C65DA">
        <w:rPr>
          <w:u w:color="0070C0"/>
        </w:rPr>
        <w:t>that</w:t>
      </w:r>
      <w:r w:rsidRPr="006C65DA">
        <w:rPr>
          <w:u w:color="0070C0"/>
        </w:rPr>
        <w:t xml:space="preserve"> entity’s annual financial statements</w:t>
      </w:r>
      <w:r w:rsidR="001A427A" w:rsidRPr="006C65DA">
        <w:rPr>
          <w:u w:color="0070C0"/>
        </w:rPr>
        <w:t>.</w:t>
      </w:r>
    </w:p>
    <w:p w:rsidR="00077259" w:rsidRPr="006C65DA" w:rsidRDefault="002579F7" w:rsidP="00122C33">
      <w:pPr>
        <w:pStyle w:val="Heading4"/>
      </w:pPr>
      <w:bookmarkStart w:id="80" w:name="KMPspecialarrangements"/>
      <w:r w:rsidRPr="006C65DA">
        <w:t>Special arrangements</w:t>
      </w:r>
      <w:r w:rsidR="00E20DFA" w:rsidRPr="006C65DA">
        <w:t xml:space="preserve"> for KMP disclosures</w:t>
      </w:r>
      <w:bookmarkEnd w:id="80"/>
      <w:r w:rsidRPr="006C65DA">
        <w:t xml:space="preserve"> </w:t>
      </w:r>
    </w:p>
    <w:p w:rsidR="00077259" w:rsidRPr="006C65DA" w:rsidRDefault="001A427A" w:rsidP="00F057D3">
      <w:pPr>
        <w:pStyle w:val="NumberedList1"/>
      </w:pPr>
      <w:r w:rsidRPr="006C65DA">
        <w:t>The following s</w:t>
      </w:r>
      <w:r w:rsidR="00F124B6" w:rsidRPr="006C65DA">
        <w:t>pecial arrangements apply to the reporting of KMP remuneration in entity finan</w:t>
      </w:r>
      <w:r w:rsidR="00BE78F8" w:rsidRPr="006C65DA">
        <w:t xml:space="preserve">cial statements </w:t>
      </w:r>
      <w:r w:rsidR="00F124B6" w:rsidRPr="006C65DA">
        <w:t xml:space="preserve">where </w:t>
      </w:r>
      <w:r w:rsidR="00BE78F8" w:rsidRPr="006C65DA">
        <w:t>an</w:t>
      </w:r>
      <w:r w:rsidR="00F124B6" w:rsidRPr="006C65DA">
        <w:t xml:space="preserve"> old entity has ceased to exist, and some functions of the old entity have been transferre</w:t>
      </w:r>
      <w:r w:rsidR="00510D4D" w:rsidRPr="006C65DA">
        <w:t xml:space="preserve">d to </w:t>
      </w:r>
      <w:r w:rsidR="00FF00ED" w:rsidRPr="006C65DA">
        <w:t>two</w:t>
      </w:r>
      <w:r w:rsidR="0024558C" w:rsidRPr="006C65DA">
        <w:t xml:space="preserve"> or more </w:t>
      </w:r>
      <w:r w:rsidR="00A27606" w:rsidRPr="006C65DA">
        <w:t>(new)</w:t>
      </w:r>
      <w:r w:rsidR="0072327C" w:rsidRPr="006C65DA">
        <w:t xml:space="preserve"> </w:t>
      </w:r>
      <w:r w:rsidR="0024558C" w:rsidRPr="006C65DA">
        <w:t>entities</w:t>
      </w:r>
      <w:r w:rsidRPr="006C65DA">
        <w:t>.</w:t>
      </w:r>
    </w:p>
    <w:p w:rsidR="0083499F" w:rsidRPr="006C65DA" w:rsidRDefault="00732509" w:rsidP="003B6A9C">
      <w:pPr>
        <w:pStyle w:val="NumberedList1"/>
      </w:pPr>
      <w:r w:rsidRPr="006C65DA">
        <w:t>F</w:t>
      </w:r>
      <w:r w:rsidR="0083499F" w:rsidRPr="006C65DA">
        <w:t>or</w:t>
      </w:r>
      <w:r w:rsidR="00566424" w:rsidRPr="006C65DA">
        <w:t xml:space="preserve"> the</w:t>
      </w:r>
      <w:r w:rsidR="0083499F" w:rsidRPr="006C65DA">
        <w:t>:</w:t>
      </w:r>
    </w:p>
    <w:p w:rsidR="008D3A5F" w:rsidRPr="006C65DA" w:rsidRDefault="008D3A5F" w:rsidP="003B6A9C">
      <w:pPr>
        <w:pStyle w:val="Bullet1"/>
      </w:pPr>
      <w:r w:rsidRPr="006C65DA">
        <w:rPr>
          <w:b/>
        </w:rPr>
        <w:t xml:space="preserve">old entity </w:t>
      </w:r>
      <w:r w:rsidR="003B6A9C" w:rsidRPr="006C65DA">
        <w:t xml:space="preserve">— annual financial statements that are </w:t>
      </w:r>
      <w:r w:rsidRPr="006C65DA">
        <w:t>prepared by the entity nominated by the Finance Minister (the reporting entity)</w:t>
      </w:r>
      <w:r w:rsidR="003B6A9C" w:rsidRPr="006C65DA">
        <w:t>,</w:t>
      </w:r>
      <w:r w:rsidR="00732509" w:rsidRPr="006C65DA">
        <w:t xml:space="preserve"> the KMP disclosures </w:t>
      </w:r>
      <w:r w:rsidRPr="006C65DA">
        <w:t>should include:</w:t>
      </w:r>
    </w:p>
    <w:p w:rsidR="008D3A5F" w:rsidRPr="006C65DA" w:rsidRDefault="008D3A5F" w:rsidP="003B6A9C">
      <w:pPr>
        <w:pStyle w:val="Bullet2"/>
      </w:pPr>
      <w:r w:rsidRPr="006C65DA">
        <w:t xml:space="preserve">remuneration of the KMP that remained with the old entity prior to its cessation </w:t>
      </w:r>
    </w:p>
    <w:p w:rsidR="003B6A9C" w:rsidRPr="006C65DA" w:rsidRDefault="008D3A5F" w:rsidP="00C7749E">
      <w:pPr>
        <w:pStyle w:val="Bullet2"/>
      </w:pPr>
      <w:r w:rsidRPr="006C65DA">
        <w:t>a cross-reference to associated disclosures made by other entities relating to the KMP that transferred as a result of the MoG change</w:t>
      </w:r>
    </w:p>
    <w:p w:rsidR="00F124B6" w:rsidRPr="006C65DA" w:rsidRDefault="00F124B6" w:rsidP="003B6A9C">
      <w:pPr>
        <w:pStyle w:val="Bullet1"/>
      </w:pPr>
      <w:r w:rsidRPr="006C65DA">
        <w:rPr>
          <w:b/>
        </w:rPr>
        <w:lastRenderedPageBreak/>
        <w:t>reporting entity</w:t>
      </w:r>
      <w:r w:rsidR="00F1545F" w:rsidRPr="006C65DA">
        <w:t xml:space="preserve"> </w:t>
      </w:r>
      <w:r w:rsidR="00025C75" w:rsidRPr="006C65DA">
        <w:t>—</w:t>
      </w:r>
      <w:r w:rsidR="00F1545F" w:rsidRPr="006C65DA">
        <w:t xml:space="preserve"> </w:t>
      </w:r>
      <w:r w:rsidR="001B6094" w:rsidRPr="006C65DA">
        <w:t xml:space="preserve">the </w:t>
      </w:r>
      <w:r w:rsidR="00566424" w:rsidRPr="006C65DA">
        <w:t>KMP disclosures</w:t>
      </w:r>
      <w:r w:rsidR="00A27606" w:rsidRPr="006C65DA">
        <w:t xml:space="preserve"> in the annual financial statements</w:t>
      </w:r>
      <w:r w:rsidR="00566424" w:rsidRPr="006C65DA">
        <w:t xml:space="preserve"> </w:t>
      </w:r>
      <w:r w:rsidRPr="006C65DA">
        <w:t>should include:</w:t>
      </w:r>
    </w:p>
    <w:p w:rsidR="00F124B6" w:rsidRPr="006C65DA" w:rsidRDefault="00025C75" w:rsidP="00CC3905">
      <w:pPr>
        <w:pStyle w:val="Bullet2"/>
      </w:pPr>
      <w:r w:rsidRPr="006C65DA">
        <w:t>a separate note</w:t>
      </w:r>
      <w:r w:rsidR="00E157FB" w:rsidRPr="006C65DA">
        <w:t xml:space="preserve"> or footnote</w:t>
      </w:r>
      <w:r w:rsidRPr="006C65DA">
        <w:t xml:space="preserve"> </w:t>
      </w:r>
      <w:r w:rsidR="00A27606" w:rsidRPr="006C65DA">
        <w:t xml:space="preserve">that discloses details of the </w:t>
      </w:r>
      <w:r w:rsidR="00E20DFA" w:rsidRPr="006C65DA">
        <w:t xml:space="preserve">remuneration of </w:t>
      </w:r>
      <w:r w:rsidRPr="006C65DA">
        <w:t xml:space="preserve">the KMP that transferred </w:t>
      </w:r>
      <w:r w:rsidR="00F124B6" w:rsidRPr="006C65DA">
        <w:t>with the transferred functions</w:t>
      </w:r>
      <w:r w:rsidR="00E121D9" w:rsidRPr="006C65DA">
        <w:t xml:space="preserve"> from the old entity to new entities</w:t>
      </w:r>
      <w:r w:rsidR="00F96FE2" w:rsidRPr="006C65DA">
        <w:t>,</w:t>
      </w:r>
      <w:r w:rsidR="00F124B6" w:rsidRPr="006C65DA">
        <w:t xml:space="preserve"> from the commencement of the report</w:t>
      </w:r>
      <w:r w:rsidR="001B6094" w:rsidRPr="006C65DA">
        <w:t>ing period to the transfer date</w:t>
      </w:r>
    </w:p>
    <w:p w:rsidR="00F124B6" w:rsidRPr="006C65DA" w:rsidRDefault="00025C75" w:rsidP="00CC3905">
      <w:pPr>
        <w:pStyle w:val="Bullet2"/>
      </w:pPr>
      <w:r w:rsidRPr="006C65DA">
        <w:t xml:space="preserve">remuneration of </w:t>
      </w:r>
      <w:r w:rsidR="00F124B6" w:rsidRPr="006C65DA">
        <w:t>transferred KMP position</w:t>
      </w:r>
      <w:r w:rsidRPr="006C65DA">
        <w:t>(s)</w:t>
      </w:r>
      <w:r w:rsidR="00F96FE2" w:rsidRPr="006C65DA">
        <w:t>,</w:t>
      </w:r>
      <w:r w:rsidR="00F124B6" w:rsidRPr="006C65DA">
        <w:t xml:space="preserve"> from the transfer date until </w:t>
      </w:r>
      <w:r w:rsidRPr="006C65DA">
        <w:t>the end of the reporting period</w:t>
      </w:r>
      <w:r w:rsidR="00503B9D" w:rsidRPr="006C65DA">
        <w:t>,</w:t>
      </w:r>
      <w:r w:rsidRPr="006C65DA">
        <w:t xml:space="preserve"> where</w:t>
      </w:r>
      <w:r w:rsidR="00F124B6" w:rsidRPr="006C65DA">
        <w:t xml:space="preserve"> the transferred KMP position </w:t>
      </w:r>
      <w:r w:rsidR="002579F7" w:rsidRPr="006C65DA">
        <w:t xml:space="preserve">is </w:t>
      </w:r>
      <w:r w:rsidRPr="006C65DA">
        <w:t xml:space="preserve">determined as </w:t>
      </w:r>
      <w:r w:rsidR="001B6094" w:rsidRPr="006C65DA">
        <w:t>KMP by the reporting entity</w:t>
      </w:r>
    </w:p>
    <w:p w:rsidR="00F124B6" w:rsidRPr="006C65DA" w:rsidRDefault="00F124B6" w:rsidP="00CC3905">
      <w:pPr>
        <w:pStyle w:val="Bullet2"/>
      </w:pPr>
      <w:r w:rsidRPr="006C65DA">
        <w:t>a cross-reference to the associated disclo</w:t>
      </w:r>
      <w:r w:rsidR="00503B9D" w:rsidRPr="006C65DA">
        <w:t>sure notes</w:t>
      </w:r>
      <w:r w:rsidR="000B397F" w:rsidRPr="006C65DA">
        <w:t xml:space="preserve"> of the new entity (see below)</w:t>
      </w:r>
      <w:r w:rsidR="00503B9D" w:rsidRPr="006C65DA">
        <w:t xml:space="preserve"> about the MoG change</w:t>
      </w:r>
    </w:p>
    <w:p w:rsidR="00F124B6" w:rsidRPr="006C65DA" w:rsidRDefault="00F124B6" w:rsidP="00CC3905">
      <w:pPr>
        <w:pStyle w:val="Bullet1"/>
      </w:pPr>
      <w:r w:rsidRPr="006C65DA">
        <w:rPr>
          <w:b/>
        </w:rPr>
        <w:t>new entit</w:t>
      </w:r>
      <w:r w:rsidR="00025C75" w:rsidRPr="006C65DA">
        <w:rPr>
          <w:b/>
        </w:rPr>
        <w:t>y</w:t>
      </w:r>
      <w:r w:rsidR="001B6094" w:rsidRPr="006C65DA">
        <w:t xml:space="preserve"> (i</w:t>
      </w:r>
      <w:r w:rsidR="00732509" w:rsidRPr="006C65DA">
        <w:t>e</w:t>
      </w:r>
      <w:r w:rsidR="001B6094" w:rsidRPr="006C65DA">
        <w:t xml:space="preserve"> not </w:t>
      </w:r>
      <w:r w:rsidR="00A27606" w:rsidRPr="006C65DA">
        <w:t xml:space="preserve">the </w:t>
      </w:r>
      <w:r w:rsidRPr="006C65DA">
        <w:t>reporting entity</w:t>
      </w:r>
      <w:r w:rsidR="001B6094" w:rsidRPr="006C65DA">
        <w:t xml:space="preserve"> nominated by the Finance Minister)</w:t>
      </w:r>
      <w:r w:rsidR="00F1545F" w:rsidRPr="006C65DA">
        <w:t xml:space="preserve"> — </w:t>
      </w:r>
      <w:r w:rsidR="001B6094" w:rsidRPr="006C65DA">
        <w:t>the</w:t>
      </w:r>
      <w:r w:rsidR="00025C75" w:rsidRPr="006C65DA">
        <w:t xml:space="preserve"> KMP disclosures </w:t>
      </w:r>
      <w:r w:rsidRPr="006C65DA">
        <w:t>should include:</w:t>
      </w:r>
    </w:p>
    <w:p w:rsidR="00F124B6" w:rsidRPr="006C65DA" w:rsidRDefault="00025C75" w:rsidP="00CC3905">
      <w:pPr>
        <w:pStyle w:val="Bullet2"/>
      </w:pPr>
      <w:r w:rsidRPr="006C65DA">
        <w:t xml:space="preserve">remuneration details of </w:t>
      </w:r>
      <w:r w:rsidR="00F124B6" w:rsidRPr="006C65DA">
        <w:t>transferred KMP position</w:t>
      </w:r>
      <w:r w:rsidRPr="006C65DA">
        <w:t>(s),</w:t>
      </w:r>
      <w:r w:rsidR="00F124B6" w:rsidRPr="006C65DA">
        <w:t xml:space="preserve"> from the transfer date until the end</w:t>
      </w:r>
      <w:r w:rsidRPr="006C65DA">
        <w:t xml:space="preserve"> of the reporting period, where</w:t>
      </w:r>
      <w:r w:rsidR="00F124B6" w:rsidRPr="006C65DA">
        <w:t xml:space="preserve"> the KMP position</w:t>
      </w:r>
      <w:r w:rsidRPr="006C65DA">
        <w:t xml:space="preserve"> </w:t>
      </w:r>
      <w:r w:rsidR="002579F7" w:rsidRPr="006C65DA">
        <w:t xml:space="preserve">is </w:t>
      </w:r>
      <w:r w:rsidR="00F124B6" w:rsidRPr="006C65DA">
        <w:t>determined</w:t>
      </w:r>
      <w:r w:rsidRPr="006C65DA">
        <w:t xml:space="preserve"> as </w:t>
      </w:r>
      <w:r w:rsidR="002D3BD6" w:rsidRPr="006C65DA">
        <w:t>KMP by the new entity</w:t>
      </w:r>
    </w:p>
    <w:p w:rsidR="00F124B6" w:rsidRPr="006C65DA" w:rsidRDefault="00F124B6" w:rsidP="00CC3905">
      <w:pPr>
        <w:pStyle w:val="Bullet2"/>
      </w:pPr>
      <w:r w:rsidRPr="006C65DA">
        <w:t>a cross-reference to the associated disclosure notes about the MoG change including the KMP remuneration disclosure by the reporting entity as outlined above.</w:t>
      </w:r>
    </w:p>
    <w:p w:rsidR="00F124B6" w:rsidRPr="00D6648A" w:rsidRDefault="00F124B6" w:rsidP="00CC3905">
      <w:pPr>
        <w:pStyle w:val="Heading2"/>
      </w:pPr>
      <w:bookmarkStart w:id="81" w:name="_Toc42245017"/>
      <w:r w:rsidRPr="00D6648A">
        <w:t>Entity responsibilities</w:t>
      </w:r>
      <w:bookmarkEnd w:id="81"/>
    </w:p>
    <w:p w:rsidR="00574A12" w:rsidRDefault="00574A12" w:rsidP="00F124B6">
      <w:pPr>
        <w:numPr>
          <w:ilvl w:val="0"/>
          <w:numId w:val="2"/>
        </w:numPr>
        <w:tabs>
          <w:tab w:val="left" w:pos="426"/>
        </w:tabs>
        <w:ind w:left="426" w:right="-144" w:hanging="426"/>
      </w:pPr>
      <w:r>
        <w:t>For the reporting entity(s)</w:t>
      </w:r>
      <w:r w:rsidR="00A02FDF">
        <w:t xml:space="preserve"> to meet </w:t>
      </w:r>
      <w:hyperlink w:anchor="Division4" w:history="1">
        <w:r w:rsidR="00A02FDF" w:rsidRPr="00632806">
          <w:rPr>
            <w:rStyle w:val="Hyperlink"/>
            <w:i w:val="0"/>
          </w:rPr>
          <w:t>Division 4 of the PGPA Rule</w:t>
        </w:r>
      </w:hyperlink>
      <w:r w:rsidR="00A02FDF">
        <w:t xml:space="preserve"> </w:t>
      </w:r>
      <w:r>
        <w:t>requirements</w:t>
      </w:r>
      <w:r w:rsidR="00F83636">
        <w:t>,</w:t>
      </w:r>
      <w:r w:rsidR="00A02FDF">
        <w:t xml:space="preserve"> following a MoG change,</w:t>
      </w:r>
      <w:r>
        <w:t xml:space="preserve"> </w:t>
      </w:r>
      <w:r w:rsidR="00F124B6" w:rsidRPr="0031118A">
        <w:t>it is expected that the old entity</w:t>
      </w:r>
      <w:r>
        <w:t>(s)</w:t>
      </w:r>
      <w:r w:rsidR="00F124B6" w:rsidRPr="0031118A">
        <w:t xml:space="preserve"> would provide</w:t>
      </w:r>
      <w:r w:rsidRPr="0031118A">
        <w:t xml:space="preserve"> </w:t>
      </w:r>
      <w:r w:rsidR="00F96FE2">
        <w:t xml:space="preserve">the </w:t>
      </w:r>
      <w:r w:rsidRPr="0031118A">
        <w:t>reporting entity</w:t>
      </w:r>
      <w:r>
        <w:t>(s) with</w:t>
      </w:r>
      <w:r w:rsidR="00F124B6" w:rsidRPr="0031118A">
        <w:t xml:space="preserve"> records</w:t>
      </w:r>
      <w:r w:rsidR="00F124B6">
        <w:t xml:space="preserve"> </w:t>
      </w:r>
      <w:r>
        <w:t xml:space="preserve">relating to of </w:t>
      </w:r>
      <w:r w:rsidRPr="0031118A">
        <w:t>transferred functions</w:t>
      </w:r>
      <w:r>
        <w:t>, for the full reporting period, including:</w:t>
      </w:r>
    </w:p>
    <w:p w:rsidR="00574A12" w:rsidRDefault="00F124B6" w:rsidP="00CC3905">
      <w:pPr>
        <w:pStyle w:val="Bullet1"/>
      </w:pPr>
      <w:r>
        <w:t xml:space="preserve">transactions and </w:t>
      </w:r>
      <w:r w:rsidR="00810ADA">
        <w:t xml:space="preserve">information on </w:t>
      </w:r>
      <w:r w:rsidR="00574A12">
        <w:t xml:space="preserve">the old entity’s </w:t>
      </w:r>
      <w:r>
        <w:t>financial position</w:t>
      </w:r>
    </w:p>
    <w:p w:rsidR="00F124B6" w:rsidRDefault="00574A12" w:rsidP="00CC3905">
      <w:pPr>
        <w:pStyle w:val="Bullet1"/>
      </w:pPr>
      <w:r>
        <w:t>non-financial performance information</w:t>
      </w:r>
      <w:r w:rsidR="00F124B6" w:rsidRPr="0031118A">
        <w:t>.</w:t>
      </w:r>
    </w:p>
    <w:p w:rsidR="00810ADA" w:rsidRDefault="00BC42F3" w:rsidP="00CC3905">
      <w:pPr>
        <w:pStyle w:val="NumberedList1"/>
      </w:pPr>
      <w:r w:rsidRPr="00632390">
        <w:t xml:space="preserve">Section 37 of the </w:t>
      </w:r>
      <w:hyperlink r:id="rId55" w:history="1">
        <w:r w:rsidR="005D7EA6" w:rsidRPr="00632806">
          <w:rPr>
            <w:rStyle w:val="Hyperlink"/>
            <w:i w:val="0"/>
          </w:rPr>
          <w:t>PGPA Act</w:t>
        </w:r>
      </w:hyperlink>
      <w:r w:rsidR="005D7EA6" w:rsidRPr="005D7EA6">
        <w:rPr>
          <w:rStyle w:val="Hyperlink"/>
          <w:i w:val="0"/>
          <w:u w:val="none"/>
        </w:rPr>
        <w:t xml:space="preserve"> </w:t>
      </w:r>
      <w:r w:rsidRPr="00FD6884">
        <w:t>requires the accoun</w:t>
      </w:r>
      <w:r w:rsidR="005D7EA6">
        <w:t xml:space="preserve">table authority of </w:t>
      </w:r>
      <w:r w:rsidRPr="00FD6884">
        <w:t xml:space="preserve">entities to cause records to be kept </w:t>
      </w:r>
      <w:r w:rsidR="00F83636">
        <w:t xml:space="preserve">in a manner </w:t>
      </w:r>
      <w:r w:rsidRPr="00FD6884">
        <w:t>that properly record</w:t>
      </w:r>
      <w:r w:rsidR="00F83636">
        <w:t>s</w:t>
      </w:r>
      <w:r w:rsidRPr="00FD6884">
        <w:t xml:space="preserve"> and explain</w:t>
      </w:r>
      <w:r w:rsidR="00F83636">
        <w:t>s</w:t>
      </w:r>
      <w:r w:rsidRPr="00FD6884">
        <w:t xml:space="preserve"> the entity’s performance in achieving its purposes.</w:t>
      </w:r>
    </w:p>
    <w:p w:rsidR="00BC42F3" w:rsidRDefault="00BC42F3" w:rsidP="00CC3905">
      <w:pPr>
        <w:pStyle w:val="NumberedList1"/>
      </w:pPr>
      <w:r>
        <w:t xml:space="preserve">Section 41 of the PGPA Act sets out </w:t>
      </w:r>
      <w:r w:rsidR="001F1330">
        <w:t>the requirements for the</w:t>
      </w:r>
      <w:r>
        <w:t xml:space="preserve"> keeping of accoun</w:t>
      </w:r>
      <w:r w:rsidR="00510D4D">
        <w:t xml:space="preserve">ts and records </w:t>
      </w:r>
      <w:r w:rsidR="00574A12">
        <w:t xml:space="preserve">of </w:t>
      </w:r>
      <w:r>
        <w:t>entities</w:t>
      </w:r>
      <w:r w:rsidR="00810ADA">
        <w:t xml:space="preserve"> and s</w:t>
      </w:r>
      <w:r w:rsidRPr="00D6648A">
        <w:t>ection 17 of the PGPA Act requires accounta</w:t>
      </w:r>
      <w:r w:rsidR="001F1330">
        <w:t xml:space="preserve">ble authorities </w:t>
      </w:r>
      <w:r w:rsidRPr="00D6648A">
        <w:t xml:space="preserve">to encourage </w:t>
      </w:r>
      <w:r w:rsidR="00574A12">
        <w:t xml:space="preserve">entity officials </w:t>
      </w:r>
      <w:r w:rsidRPr="00D6648A">
        <w:t>to cooperate with others to achieve common objectives, where practicable.</w:t>
      </w:r>
    </w:p>
    <w:p w:rsidR="00537FC8" w:rsidRPr="00810ADA" w:rsidRDefault="00F124B6" w:rsidP="00BA7782">
      <w:pPr>
        <w:numPr>
          <w:ilvl w:val="0"/>
          <w:numId w:val="2"/>
        </w:numPr>
        <w:tabs>
          <w:tab w:val="left" w:pos="426"/>
        </w:tabs>
        <w:ind w:left="426" w:right="-144" w:hanging="426"/>
      </w:pPr>
      <w:r>
        <w:t>Providing full and ready access to data and information is essential to enable the reporting entity to meet their responsibilities</w:t>
      </w:r>
      <w:r w:rsidR="0040158D">
        <w:t>. A</w:t>
      </w:r>
      <w:r>
        <w:t>ll entities impac</w:t>
      </w:r>
      <w:r w:rsidR="0040158D">
        <w:t>ted by Mo</w:t>
      </w:r>
      <w:r>
        <w:t xml:space="preserve">G changes are encouraged to </w:t>
      </w:r>
      <w:r w:rsidR="0040158D">
        <w:t xml:space="preserve">establish </w:t>
      </w:r>
      <w:r>
        <w:t>agree</w:t>
      </w:r>
      <w:r w:rsidR="0040158D">
        <w:t xml:space="preserve">d protocols or arrangements </w:t>
      </w:r>
      <w:r>
        <w:t xml:space="preserve">as soon as practical after MoG changes </w:t>
      </w:r>
      <w:r w:rsidR="0040158D">
        <w:t xml:space="preserve">are announced or </w:t>
      </w:r>
      <w:r w:rsidR="00F83636">
        <w:t xml:space="preserve">as they </w:t>
      </w:r>
      <w:r w:rsidR="0040158D">
        <w:t>take effect</w:t>
      </w:r>
      <w:r w:rsidR="00005806">
        <w:t>.</w:t>
      </w:r>
      <w:r w:rsidR="00F96FE2">
        <w:t xml:space="preserve"> </w:t>
      </w:r>
      <w:r w:rsidR="0040158D">
        <w:t xml:space="preserve">Where necessary, </w:t>
      </w:r>
      <w:r>
        <w:t>Finance will discuss reporting arrangements with entities and facilitate access arrangements.</w:t>
      </w:r>
      <w:r w:rsidR="00537FC8" w:rsidRPr="00A83A77">
        <w:rPr>
          <w:sz w:val="34"/>
          <w:szCs w:val="34"/>
        </w:rPr>
        <w:br w:type="page"/>
      </w:r>
    </w:p>
    <w:p w:rsidR="00537FC8" w:rsidRPr="00052714" w:rsidRDefault="00537FC8" w:rsidP="00537FC8">
      <w:pPr>
        <w:pStyle w:val="Heading1"/>
        <w:shd w:val="clear" w:color="auto" w:fill="BDDCDF" w:themeFill="accent1"/>
      </w:pPr>
      <w:bookmarkStart w:id="82" w:name="_Toc42245018"/>
      <w:bookmarkStart w:id="83" w:name="Appendix1"/>
      <w:r>
        <w:lastRenderedPageBreak/>
        <w:t>Appendix 1 – Determining reporting requirements</w:t>
      </w:r>
      <w:bookmarkEnd w:id="82"/>
    </w:p>
    <w:bookmarkEnd w:id="83"/>
    <w:p w:rsidR="006578B2" w:rsidRDefault="00F83636">
      <w:pPr>
        <w:pStyle w:val="NumberedList1"/>
        <w:numPr>
          <w:ilvl w:val="0"/>
          <w:numId w:val="0"/>
        </w:numPr>
      </w:pPr>
      <w:r>
        <w:t>This appendix provides several decision-trees that are designed to</w:t>
      </w:r>
      <w:r w:rsidR="00537FC8">
        <w:t xml:space="preserve"> assist entities in determining the appropriate reporting requirements that</w:t>
      </w:r>
      <w:r w:rsidR="00005806">
        <w:t xml:space="preserve"> apply in different situations</w:t>
      </w:r>
      <w:r>
        <w:t xml:space="preserve"> and the relevant sections of </w:t>
      </w:r>
      <w:hyperlink w:anchor="Division4" w:history="1">
        <w:r w:rsidRPr="00F83636">
          <w:rPr>
            <w:rStyle w:val="Hyperlink"/>
            <w:i w:val="0"/>
          </w:rPr>
          <w:t>Division 4 of the PGPA Rule</w:t>
        </w:r>
      </w:hyperlink>
      <w:r w:rsidR="00005806">
        <w:t>.</w:t>
      </w:r>
    </w:p>
    <w:p w:rsidR="00537FC8" w:rsidRDefault="00F83636">
      <w:pPr>
        <w:pStyle w:val="NumberedList1"/>
        <w:numPr>
          <w:ilvl w:val="0"/>
          <w:numId w:val="0"/>
        </w:numPr>
      </w:pPr>
      <w:r>
        <w:t>The appendix is</w:t>
      </w:r>
      <w:r w:rsidR="00537FC8">
        <w:t xml:space="preserve"> separated according to whether or not the reporting relates to </w:t>
      </w:r>
      <w:r>
        <w:t xml:space="preserve">transferred functions or </w:t>
      </w:r>
      <w:r w:rsidR="00537FC8">
        <w:t>non-transferr</w:t>
      </w:r>
      <w:r>
        <w:t xml:space="preserve">ed functions and the type of statements or </w:t>
      </w:r>
      <w:r w:rsidR="00537FC8">
        <w:t xml:space="preserve">report </w:t>
      </w:r>
      <w:r>
        <w:t xml:space="preserve">to be </w:t>
      </w:r>
      <w:r w:rsidR="006578B2">
        <w:t>produced, including the requirements for:</w:t>
      </w:r>
    </w:p>
    <w:p w:rsidR="00537FC8" w:rsidRPr="00F83636" w:rsidRDefault="00F83636">
      <w:pPr>
        <w:pStyle w:val="Bullet1"/>
        <w:rPr>
          <w:rStyle w:val="Hyperlink"/>
          <w:i w:val="0"/>
        </w:rPr>
      </w:pPr>
      <w:r>
        <w:rPr>
          <w:rStyle w:val="Hyperlink"/>
          <w:i w:val="0"/>
        </w:rPr>
        <w:fldChar w:fldCharType="begin"/>
      </w:r>
      <w:r>
        <w:rPr>
          <w:rStyle w:val="Hyperlink"/>
          <w:i w:val="0"/>
        </w:rPr>
        <w:instrText xml:space="preserve"> HYPERLINK  \l "APSrequirements" </w:instrText>
      </w:r>
      <w:r>
        <w:rPr>
          <w:rStyle w:val="Hyperlink"/>
          <w:i w:val="0"/>
        </w:rPr>
        <w:fldChar w:fldCharType="separate"/>
      </w:r>
      <w:r w:rsidR="006578B2" w:rsidRPr="00F83636">
        <w:rPr>
          <w:rStyle w:val="Hyperlink"/>
          <w:i w:val="0"/>
        </w:rPr>
        <w:t>A</w:t>
      </w:r>
      <w:r w:rsidR="00537FC8" w:rsidRPr="00F83636">
        <w:rPr>
          <w:rStyle w:val="Hyperlink"/>
          <w:i w:val="0"/>
        </w:rPr>
        <w:t>nnual performance stateme</w:t>
      </w:r>
      <w:r w:rsidR="006578B2" w:rsidRPr="00F83636">
        <w:rPr>
          <w:rStyle w:val="Hyperlink"/>
          <w:i w:val="0"/>
        </w:rPr>
        <w:t>nts</w:t>
      </w:r>
    </w:p>
    <w:p w:rsidR="00537FC8" w:rsidRPr="00CC3905" w:rsidRDefault="00F83636" w:rsidP="00537FC8">
      <w:pPr>
        <w:pStyle w:val="Bullet1"/>
        <w:rPr>
          <w:rStyle w:val="Hyperlink"/>
          <w:i w:val="0"/>
        </w:rPr>
      </w:pPr>
      <w:r>
        <w:rPr>
          <w:rStyle w:val="Hyperlink"/>
          <w:i w:val="0"/>
        </w:rPr>
        <w:fldChar w:fldCharType="end"/>
      </w:r>
      <w:hyperlink w:anchor="AFSrequirements" w:history="1">
        <w:r w:rsidR="006578B2" w:rsidRPr="00CC3905">
          <w:rPr>
            <w:rStyle w:val="Hyperlink"/>
            <w:i w:val="0"/>
          </w:rPr>
          <w:t>A</w:t>
        </w:r>
        <w:r w:rsidR="00537FC8" w:rsidRPr="00CC3905">
          <w:rPr>
            <w:rStyle w:val="Hyperlink"/>
            <w:i w:val="0"/>
          </w:rPr>
          <w:t>nnual financial stateme</w:t>
        </w:r>
        <w:r w:rsidR="006578B2" w:rsidRPr="00CC3905">
          <w:rPr>
            <w:rStyle w:val="Hyperlink"/>
            <w:i w:val="0"/>
          </w:rPr>
          <w:t>nts</w:t>
        </w:r>
      </w:hyperlink>
    </w:p>
    <w:p w:rsidR="00537FC8" w:rsidRPr="00CC3905" w:rsidRDefault="0032634A" w:rsidP="00537FC8">
      <w:pPr>
        <w:pStyle w:val="Bullet1"/>
        <w:rPr>
          <w:rStyle w:val="Hyperlink"/>
          <w:i w:val="0"/>
        </w:rPr>
      </w:pPr>
      <w:hyperlink w:anchor="ARrequirements" w:history="1">
        <w:r w:rsidR="006578B2" w:rsidRPr="00CC3905">
          <w:rPr>
            <w:rStyle w:val="Hyperlink"/>
            <w:i w:val="0"/>
          </w:rPr>
          <w:t>A</w:t>
        </w:r>
        <w:r w:rsidR="00537FC8" w:rsidRPr="00CC3905">
          <w:rPr>
            <w:rStyle w:val="Hyperlink"/>
            <w:i w:val="0"/>
          </w:rPr>
          <w:t>nnual repor</w:t>
        </w:r>
        <w:r w:rsidR="006578B2" w:rsidRPr="00CC3905">
          <w:rPr>
            <w:rStyle w:val="Hyperlink"/>
            <w:i w:val="0"/>
          </w:rPr>
          <w:t>t</w:t>
        </w:r>
      </w:hyperlink>
    </w:p>
    <w:p w:rsidR="003C1D69" w:rsidRDefault="003C1D69">
      <w:pPr>
        <w:suppressAutoHyphens w:val="0"/>
        <w:spacing w:before="0" w:after="120" w:line="440" w:lineRule="atLeast"/>
        <w:rPr>
          <w:rFonts w:asciiTheme="majorHAnsi" w:eastAsiaTheme="majorEastAsia" w:hAnsiTheme="majorHAnsi" w:cstheme="majorBidi"/>
          <w:color w:val="1C1C1C" w:themeColor="text2"/>
          <w:sz w:val="34"/>
          <w:szCs w:val="26"/>
        </w:rPr>
      </w:pPr>
      <w:r>
        <w:br w:type="page"/>
      </w:r>
    </w:p>
    <w:p w:rsidR="00537FC8" w:rsidRPr="00FF1139" w:rsidRDefault="009F1394" w:rsidP="003E6254">
      <w:pPr>
        <w:pStyle w:val="Heading2"/>
        <w:rPr>
          <w:sz w:val="30"/>
          <w:szCs w:val="30"/>
        </w:rPr>
      </w:pPr>
      <w:bookmarkStart w:id="84" w:name="_Toc42245019"/>
      <w:bookmarkStart w:id="85" w:name="APSrequirements"/>
      <w:r>
        <w:rPr>
          <w:sz w:val="30"/>
          <w:szCs w:val="30"/>
        </w:rPr>
        <w:lastRenderedPageBreak/>
        <w:t xml:space="preserve">Reporting </w:t>
      </w:r>
      <w:r w:rsidR="00F12AC1" w:rsidRPr="00FF1139">
        <w:rPr>
          <w:sz w:val="30"/>
          <w:szCs w:val="30"/>
        </w:rPr>
        <w:t>requirements for a</w:t>
      </w:r>
      <w:r w:rsidR="00537FC8" w:rsidRPr="00FF1139">
        <w:rPr>
          <w:sz w:val="30"/>
          <w:szCs w:val="30"/>
        </w:rPr>
        <w:t>nnual performance statements</w:t>
      </w:r>
      <w:bookmarkEnd w:id="84"/>
    </w:p>
    <w:bookmarkEnd w:id="85"/>
    <w:p w:rsidR="00F12AC1" w:rsidRPr="00FF1139" w:rsidRDefault="006578B2" w:rsidP="00FF1139">
      <w:pPr>
        <w:spacing w:before="360" w:line="340" w:lineRule="atLeast"/>
        <w:rPr>
          <w:sz w:val="26"/>
          <w:szCs w:val="26"/>
        </w:rPr>
      </w:pPr>
      <w:r w:rsidRPr="00FF1139">
        <w:rPr>
          <w:sz w:val="26"/>
          <w:szCs w:val="26"/>
        </w:rPr>
        <w:t xml:space="preserve">Reporting </w:t>
      </w:r>
      <w:r w:rsidR="009F1394">
        <w:rPr>
          <w:sz w:val="26"/>
          <w:szCs w:val="26"/>
        </w:rPr>
        <w:t xml:space="preserve">requirements </w:t>
      </w:r>
      <w:r w:rsidRPr="00FF1139">
        <w:rPr>
          <w:sz w:val="26"/>
          <w:szCs w:val="26"/>
        </w:rPr>
        <w:t>for non-transferred functions of the old entity</w:t>
      </w:r>
    </w:p>
    <w:p w:rsidR="00EF3C6F" w:rsidRDefault="00EF3C6F" w:rsidP="00364E74">
      <w:pPr>
        <w:pStyle w:val="Tablecolumnheading"/>
        <w:rPr>
          <w:rFonts w:eastAsiaTheme="majorEastAsia"/>
        </w:rPr>
      </w:pPr>
    </w:p>
    <w:tbl>
      <w:tblPr>
        <w:tblStyle w:val="TableGrid"/>
        <w:tblW w:w="0" w:type="auto"/>
        <w:tblInd w:w="96" w:type="dxa"/>
        <w:tblLook w:val="04A0" w:firstRow="1" w:lastRow="0" w:firstColumn="1" w:lastColumn="0" w:noHBand="0" w:noVBand="1"/>
        <w:tblCaption w:val="Decision-tree for non-transferred functions of the old entity "/>
        <w:tblDescription w:val="Annual Performance Statements&#10;Reporting requirements for non-transferred functions of the old entity&#10;&#10;For an old entity that has not ceased to exist:&#10;• where not all of the functions of the old entity have been transferred:&#10;a) where it is not practicable for the old entity to report, under section 17F of the PGPA Rule, the accountable authority of the nominated entity is to prepare the annual performance statements for the old entity&#10;b) where it is practicable for the old entity to report, the accountable authority of the old entity is to prepare the annual performance statements&#10;• where all of the functions of the old entity have been transferred, under section 17G of the PGPA Rule, no annual performance statements for the old entity are required&#10;For an old entity that has ceased to exist: &#10;• if none of the functions of the old entity have been transferred, under section 17B of the PGPA Rule, the accountable authority of the nominated entity is to prepare the annual performance statements for the old entity&#10;• if some of the functions of the old entity have been transferred, under section 17C of the PGPA Rule, the accountable authority of the nominated entity is to prepare the annual performance statements for the old entity, for the non-transferred functions only&#10;• if all of the functions of the old entity have been transferred, under section 17D of the PGPA Rule, no annual performance statements are required for the old entity."/>
      </w:tblPr>
      <w:tblGrid>
        <w:gridCol w:w="8976"/>
      </w:tblGrid>
      <w:tr w:rsidR="00EF3C6F" w:rsidTr="00EF3C6F">
        <w:trPr>
          <w:tblHeader/>
        </w:trPr>
        <w:tc>
          <w:tcPr>
            <w:tcW w:w="9060" w:type="dxa"/>
            <w:tcBorders>
              <w:top w:val="nil"/>
              <w:left w:val="nil"/>
              <w:bottom w:val="nil"/>
              <w:right w:val="nil"/>
            </w:tcBorders>
          </w:tcPr>
          <w:p w:rsidR="00EF3C6F" w:rsidRPr="00EF3C6F" w:rsidRDefault="00EF3C6F" w:rsidP="00364E74">
            <w:pPr>
              <w:pStyle w:val="Tablecolumnheading"/>
              <w:rPr>
                <w:noProof/>
                <w:lang w:eastAsia="en-AU"/>
              </w:rPr>
            </w:pPr>
            <w:r w:rsidRPr="00EF3C6F">
              <w:rPr>
                <w:rFonts w:eastAsiaTheme="majorEastAsia"/>
              </w:rPr>
              <w:t>Decision-tree for non-transferred functions of the old entity</w:t>
            </w:r>
            <w:r w:rsidRPr="00EF3C6F">
              <w:rPr>
                <w:noProof/>
                <w:color w:val="auto"/>
                <w:lang w:eastAsia="en-AU"/>
              </w:rPr>
              <w:t xml:space="preserve"> </w:t>
            </w:r>
          </w:p>
        </w:tc>
      </w:tr>
    </w:tbl>
    <w:p w:rsidR="00537FC8" w:rsidRDefault="00537FC8" w:rsidP="00364E74">
      <w:pPr>
        <w:pStyle w:val="Tablecolumnheading"/>
        <w:rPr>
          <w:noProof/>
          <w:lang w:eastAsia="en-AU"/>
        </w:rPr>
      </w:pPr>
      <w:r>
        <w:rPr>
          <w:noProof/>
          <w:lang w:eastAsia="en-AU"/>
        </w:rPr>
        <w:drawing>
          <wp:inline distT="0" distB="0" distL="0" distR="0" wp14:anchorId="01FB8475" wp14:editId="29152DCF">
            <wp:extent cx="5753100" cy="54937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cision Trees (LV edit) v5.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56997" cy="5497436"/>
                    </a:xfrm>
                    <a:prstGeom prst="rect">
                      <a:avLst/>
                    </a:prstGeom>
                  </pic:spPr>
                </pic:pic>
              </a:graphicData>
            </a:graphic>
          </wp:inline>
        </w:drawing>
      </w:r>
    </w:p>
    <w:p w:rsidR="0095482A" w:rsidRPr="00FF1139" w:rsidRDefault="0095482A" w:rsidP="00FF1139">
      <w:pPr>
        <w:spacing w:before="360" w:line="340" w:lineRule="atLeast"/>
        <w:rPr>
          <w:sz w:val="26"/>
          <w:szCs w:val="26"/>
        </w:rPr>
      </w:pPr>
      <w:r w:rsidRPr="00FF1139">
        <w:rPr>
          <w:sz w:val="26"/>
          <w:szCs w:val="26"/>
        </w:rPr>
        <w:t xml:space="preserve">Reporting </w:t>
      </w:r>
      <w:r w:rsidR="009F1394">
        <w:rPr>
          <w:sz w:val="26"/>
          <w:szCs w:val="26"/>
        </w:rPr>
        <w:t xml:space="preserve">requirements </w:t>
      </w:r>
      <w:r w:rsidRPr="00FF1139">
        <w:rPr>
          <w:sz w:val="26"/>
          <w:szCs w:val="26"/>
        </w:rPr>
        <w:t>for functions transferred from old the entity</w:t>
      </w:r>
    </w:p>
    <w:p w:rsidR="00537FC8" w:rsidRPr="00615365" w:rsidRDefault="00537FC8" w:rsidP="00CC3905">
      <w:r w:rsidRPr="00615365">
        <w:t xml:space="preserve">Under </w:t>
      </w:r>
      <w:r w:rsidR="004E5B59">
        <w:t>sub</w:t>
      </w:r>
      <w:r w:rsidRPr="00615365">
        <w:t>section 17J</w:t>
      </w:r>
      <w:r w:rsidR="004E5B59">
        <w:t>(4) of the PGPA Rule</w:t>
      </w:r>
      <w:r>
        <w:t>, the accountable authority of the reporting entity is to prepare its annual performance statements as if the old entity had been part of the new entity for the entire reporting period, to the extent of the transferred functions.</w:t>
      </w:r>
    </w:p>
    <w:p w:rsidR="00537FC8" w:rsidRDefault="00537FC8">
      <w:pPr>
        <w:suppressAutoHyphens w:val="0"/>
        <w:spacing w:before="0" w:after="120" w:line="440" w:lineRule="atLeast"/>
        <w:rPr>
          <w:rFonts w:asciiTheme="majorHAnsi" w:eastAsiaTheme="majorEastAsia" w:hAnsiTheme="majorHAnsi" w:cstheme="majorBidi"/>
          <w:color w:val="1C1C1C" w:themeColor="text2"/>
          <w:sz w:val="34"/>
          <w:szCs w:val="26"/>
        </w:rPr>
      </w:pPr>
      <w:r>
        <w:br w:type="page"/>
      </w:r>
    </w:p>
    <w:p w:rsidR="00537FC8" w:rsidRPr="00FF1139" w:rsidRDefault="00F12AC1" w:rsidP="00537FC8">
      <w:pPr>
        <w:pStyle w:val="Heading2"/>
        <w:ind w:right="991"/>
        <w:rPr>
          <w:sz w:val="30"/>
          <w:szCs w:val="30"/>
        </w:rPr>
      </w:pPr>
      <w:bookmarkStart w:id="86" w:name="_Toc42245020"/>
      <w:bookmarkStart w:id="87" w:name="AFSrequirements"/>
      <w:r>
        <w:rPr>
          <w:sz w:val="30"/>
          <w:szCs w:val="30"/>
        </w:rPr>
        <w:lastRenderedPageBreak/>
        <w:t>Determining requirements for a</w:t>
      </w:r>
      <w:r w:rsidR="00537FC8" w:rsidRPr="00FF1139">
        <w:rPr>
          <w:sz w:val="30"/>
          <w:szCs w:val="30"/>
        </w:rPr>
        <w:t>nnual financial statements</w:t>
      </w:r>
      <w:bookmarkEnd w:id="86"/>
    </w:p>
    <w:bookmarkEnd w:id="87"/>
    <w:p w:rsidR="00EF3C6F" w:rsidRPr="00EF3C6F" w:rsidRDefault="0095482A" w:rsidP="00EF3C6F">
      <w:pPr>
        <w:spacing w:before="360" w:line="340" w:lineRule="atLeast"/>
        <w:rPr>
          <w:sz w:val="26"/>
          <w:szCs w:val="26"/>
        </w:rPr>
      </w:pPr>
      <w:r w:rsidRPr="00FF1139">
        <w:rPr>
          <w:sz w:val="26"/>
          <w:szCs w:val="26"/>
        </w:rPr>
        <w:t>Reporting for non-transferred functions of the old entity</w:t>
      </w:r>
      <w:r w:rsidR="00F12AC1">
        <w:rPr>
          <w:rFonts w:eastAsiaTheme="majorEastAsia"/>
        </w:rPr>
        <w:br/>
      </w:r>
    </w:p>
    <w:tbl>
      <w:tblPr>
        <w:tblStyle w:val="TableGrid"/>
        <w:tblW w:w="0" w:type="auto"/>
        <w:tblInd w:w="96" w:type="dxa"/>
        <w:tblLook w:val="04A0" w:firstRow="1" w:lastRow="0" w:firstColumn="1" w:lastColumn="0" w:noHBand="0" w:noVBand="1"/>
        <w:tblCaption w:val="Decision-tree for non-transferred functions of the old entity"/>
        <w:tblDescription w:val="Annual Financial Statements&#10;Reporting requirements for non-transferred functions of the old entity&#10;&#10;For an old entity that has not ceased to exist:&#10;• if not all of the functions of the old entity have been transferred:&#10;a) where it is not practicable for the old entity to report, under section 17F of the PGPA Rule, the accountable authority of the nominated entity is to prepare the annual performance statements for the old entity&#10;b) where it is practicable for the old entity to report, the accountable authority of the old entity is to prepare the annual financial statements as per ordinary requirements.&#10;• if all of the functions of the old entity have been transferred, no annual financial statements for the old entity are required,&#10;For an old entity that has ceased to exist: &#10;• if none of the functions of the old entity have been transferred, under section 17B of the PGPA Rule, the accountable authority of the nominated entity is to prepare the annual financial statements for the old entity&#10;• if some of the functions of the old entity have been transferred, under section 17C of the PGPA Rule, the accountable authority of the nominated entity is to prepare the annual financial statements for the old entity, for the non-transferred functions only&#10;• if all of the functions of the old entity have been transferred, under section 17D of the PGPA Rule, no annual financial statements are required for the old entity.&#10;&#10;&#10;"/>
      </w:tblPr>
      <w:tblGrid>
        <w:gridCol w:w="8976"/>
      </w:tblGrid>
      <w:tr w:rsidR="00EF3C6F" w:rsidTr="00EF3C6F">
        <w:trPr>
          <w:tblHeader/>
        </w:trPr>
        <w:tc>
          <w:tcPr>
            <w:tcW w:w="9060" w:type="dxa"/>
            <w:tcBorders>
              <w:top w:val="nil"/>
              <w:left w:val="nil"/>
              <w:bottom w:val="nil"/>
              <w:right w:val="nil"/>
            </w:tcBorders>
          </w:tcPr>
          <w:p w:rsidR="00EF3C6F" w:rsidRDefault="00EF3C6F" w:rsidP="00364E74">
            <w:pPr>
              <w:pStyle w:val="Tablecolumnheading"/>
              <w:rPr>
                <w:rFonts w:eastAsiaTheme="majorEastAsia"/>
              </w:rPr>
            </w:pPr>
            <w:r>
              <w:rPr>
                <w:rFonts w:eastAsiaTheme="majorEastAsia"/>
              </w:rPr>
              <w:t>Decision-</w:t>
            </w:r>
            <w:r w:rsidRPr="00FF1139">
              <w:rPr>
                <w:rFonts w:eastAsiaTheme="majorEastAsia"/>
              </w:rPr>
              <w:t>tree for non-transferred functions of the old entity</w:t>
            </w:r>
          </w:p>
        </w:tc>
      </w:tr>
    </w:tbl>
    <w:p w:rsidR="00537FC8" w:rsidRDefault="00537FC8" w:rsidP="00364E74">
      <w:pPr>
        <w:pStyle w:val="Tablecolumnheading"/>
      </w:pPr>
      <w:r>
        <w:rPr>
          <w:noProof/>
          <w:lang w:eastAsia="en-AU"/>
        </w:rPr>
        <w:drawing>
          <wp:inline distT="0" distB="0" distL="0" distR="0" wp14:anchorId="2C8B259C" wp14:editId="712EA01E">
            <wp:extent cx="5904230" cy="35433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ecision Trees (LV edit) v6.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30301" cy="3558946"/>
                    </a:xfrm>
                    <a:prstGeom prst="rect">
                      <a:avLst/>
                    </a:prstGeom>
                  </pic:spPr>
                </pic:pic>
              </a:graphicData>
            </a:graphic>
          </wp:inline>
        </w:drawing>
      </w:r>
    </w:p>
    <w:p w:rsidR="00F12AC1" w:rsidRPr="00FF1139" w:rsidRDefault="0095482A" w:rsidP="00FF1139">
      <w:pPr>
        <w:spacing w:before="360" w:line="340" w:lineRule="atLeast"/>
        <w:rPr>
          <w:sz w:val="26"/>
          <w:szCs w:val="26"/>
        </w:rPr>
      </w:pPr>
      <w:r w:rsidRPr="00FF1139">
        <w:rPr>
          <w:sz w:val="26"/>
          <w:szCs w:val="26"/>
        </w:rPr>
        <w:t xml:space="preserve">Reporting </w:t>
      </w:r>
      <w:r w:rsidR="009F1394">
        <w:rPr>
          <w:sz w:val="26"/>
          <w:szCs w:val="26"/>
        </w:rPr>
        <w:t xml:space="preserve">requirements </w:t>
      </w:r>
      <w:r w:rsidRPr="00FF1139">
        <w:rPr>
          <w:sz w:val="26"/>
          <w:szCs w:val="26"/>
        </w:rPr>
        <w:t>for functions transferred from the old entity</w:t>
      </w:r>
    </w:p>
    <w:tbl>
      <w:tblPr>
        <w:tblStyle w:val="TableGrid"/>
        <w:tblW w:w="0" w:type="auto"/>
        <w:tblLook w:val="04A0" w:firstRow="1" w:lastRow="0" w:firstColumn="1" w:lastColumn="0" w:noHBand="0" w:noVBand="1"/>
        <w:tblCaption w:val="Decision-tree for functions transferred from the old entity"/>
        <w:tblDescription w:val="Annual Financial Statements&#10;Reporting requirements for the functions transferred from the old entity&#10;&#10;For an old entity that has not ceased to exist:&#10;• where not all of the functions of the old entity have been transferred,  the accountable authority of the reporting entity is to prepare its annual financial statements as per ordinary requirements&#10;• where all of the functions of the old entity have been transferred, under subsection17J(5) of the PGPA Rule, the accountable authority of the reporting entity is to prepare its annual financial statements as if the old entity had been part of the new entity for the entire reporting period, to the extent of the transferred functions.&#10;For an old entity that has ceased to exist: &#10;• under subsection17J(5) of the PGPA Rule, the accountable authority of the reporting entity is to prepare its annual financial statements as if the old entity had been part of the new entity for the entire reporting period, to the extent of the transferred functions.&#10;"/>
      </w:tblPr>
      <w:tblGrid>
        <w:gridCol w:w="9060"/>
      </w:tblGrid>
      <w:tr w:rsidR="00FF28F0" w:rsidTr="00FF28F0">
        <w:trPr>
          <w:tblHeader/>
        </w:trPr>
        <w:tc>
          <w:tcPr>
            <w:tcW w:w="9060" w:type="dxa"/>
            <w:tcBorders>
              <w:top w:val="nil"/>
              <w:left w:val="nil"/>
              <w:bottom w:val="nil"/>
              <w:right w:val="nil"/>
            </w:tcBorders>
          </w:tcPr>
          <w:p w:rsidR="00FF28F0" w:rsidRPr="00FF28F0" w:rsidRDefault="00FF28F0" w:rsidP="00FF1139">
            <w:pPr>
              <w:spacing w:before="120" w:line="340" w:lineRule="atLeast"/>
              <w:rPr>
                <w:color w:val="43848B" w:themeColor="accent1" w:themeShade="80"/>
                <w:sz w:val="30"/>
                <w:szCs w:val="30"/>
              </w:rPr>
            </w:pPr>
            <w:r>
              <w:rPr>
                <w:rFonts w:ascii="Arial" w:hAnsi="Arial" w:cs="Times New Roman"/>
                <w:b/>
                <w:color w:val="43848B" w:themeColor="accent1" w:themeShade="80"/>
                <w:sz w:val="18"/>
                <w:szCs w:val="18"/>
              </w:rPr>
              <w:t>Decision-</w:t>
            </w:r>
            <w:r w:rsidRPr="00FF1139">
              <w:rPr>
                <w:rFonts w:ascii="Arial" w:hAnsi="Arial" w:cs="Times New Roman"/>
                <w:b/>
                <w:color w:val="43848B" w:themeColor="accent1" w:themeShade="80"/>
                <w:sz w:val="18"/>
                <w:szCs w:val="18"/>
              </w:rPr>
              <w:t>tree for</w:t>
            </w:r>
            <w:r w:rsidR="009F1394">
              <w:rPr>
                <w:rFonts w:ascii="Arial" w:hAnsi="Arial" w:cs="Times New Roman"/>
                <w:b/>
                <w:color w:val="43848B" w:themeColor="accent1" w:themeShade="80"/>
                <w:sz w:val="18"/>
                <w:szCs w:val="18"/>
              </w:rPr>
              <w:t xml:space="preserve"> annual financial statements</w:t>
            </w:r>
            <w:r w:rsidRPr="00FF1139">
              <w:rPr>
                <w:rFonts w:ascii="Arial" w:hAnsi="Arial" w:cs="Times New Roman"/>
                <w:b/>
                <w:color w:val="43848B" w:themeColor="accent1" w:themeShade="80"/>
                <w:sz w:val="18"/>
                <w:szCs w:val="18"/>
              </w:rPr>
              <w:t xml:space="preserve"> </w:t>
            </w:r>
            <w:r w:rsidR="009F1394">
              <w:rPr>
                <w:rFonts w:ascii="Arial" w:hAnsi="Arial" w:cs="Times New Roman"/>
                <w:b/>
                <w:color w:val="43848B" w:themeColor="accent1" w:themeShade="80"/>
                <w:sz w:val="18"/>
                <w:szCs w:val="18"/>
              </w:rPr>
              <w:t xml:space="preserve">requirements for </w:t>
            </w:r>
            <w:r w:rsidRPr="00FF1139">
              <w:rPr>
                <w:rFonts w:ascii="Arial" w:hAnsi="Arial" w:cs="Times New Roman"/>
                <w:b/>
                <w:color w:val="43848B" w:themeColor="accent1" w:themeShade="80"/>
                <w:sz w:val="18"/>
                <w:szCs w:val="18"/>
              </w:rPr>
              <w:t>functions transferred from the old entity</w:t>
            </w:r>
          </w:p>
        </w:tc>
      </w:tr>
    </w:tbl>
    <w:p w:rsidR="00537FC8" w:rsidRDefault="00537FC8" w:rsidP="00537FC8">
      <w:pPr>
        <w:suppressAutoHyphens w:val="0"/>
        <w:spacing w:before="0" w:after="120" w:line="440" w:lineRule="atLeast"/>
        <w:rPr>
          <w:b/>
          <w:sz w:val="18"/>
          <w:szCs w:val="18"/>
        </w:rPr>
      </w:pPr>
      <w:r>
        <w:rPr>
          <w:noProof/>
          <w:lang w:eastAsia="en-AU"/>
        </w:rPr>
        <w:drawing>
          <wp:inline distT="0" distB="0" distL="0" distR="0" wp14:anchorId="24C1A5EC" wp14:editId="34070E80">
            <wp:extent cx="6047359" cy="30607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cision Trees (LV edit) v3.jpg"/>
                    <pic:cNvPicPr/>
                  </pic:nvPicPr>
                  <pic:blipFill rotWithShape="1">
                    <a:blip r:embed="rId58" cstate="print">
                      <a:extLst>
                        <a:ext uri="{28A0092B-C50C-407E-A947-70E740481C1C}">
                          <a14:useLocalDpi xmlns:a14="http://schemas.microsoft.com/office/drawing/2010/main" val="0"/>
                        </a:ext>
                      </a:extLst>
                    </a:blip>
                    <a:srcRect b="17198"/>
                    <a:stretch/>
                  </pic:blipFill>
                  <pic:spPr bwMode="auto">
                    <a:xfrm>
                      <a:off x="0" y="0"/>
                      <a:ext cx="6073335" cy="3073847"/>
                    </a:xfrm>
                    <a:prstGeom prst="rect">
                      <a:avLst/>
                    </a:prstGeom>
                    <a:ln>
                      <a:noFill/>
                    </a:ln>
                    <a:extLst>
                      <a:ext uri="{53640926-AAD7-44D8-BBD7-CCE9431645EC}">
                        <a14:shadowObscured xmlns:a14="http://schemas.microsoft.com/office/drawing/2010/main"/>
                      </a:ext>
                    </a:extLst>
                  </pic:spPr>
                </pic:pic>
              </a:graphicData>
            </a:graphic>
          </wp:inline>
        </w:drawing>
      </w:r>
      <w:r>
        <w:rPr>
          <w:b/>
          <w:sz w:val="18"/>
          <w:szCs w:val="18"/>
        </w:rPr>
        <w:br w:type="page"/>
      </w:r>
    </w:p>
    <w:p w:rsidR="00537FC8" w:rsidRPr="00FF1139" w:rsidRDefault="00F12AC1" w:rsidP="00537FC8">
      <w:pPr>
        <w:pStyle w:val="Heading2"/>
        <w:rPr>
          <w:sz w:val="30"/>
          <w:szCs w:val="30"/>
        </w:rPr>
      </w:pPr>
      <w:bookmarkStart w:id="88" w:name="_Toc42245021"/>
      <w:bookmarkStart w:id="89" w:name="ARrequirements"/>
      <w:r>
        <w:rPr>
          <w:sz w:val="30"/>
          <w:szCs w:val="30"/>
        </w:rPr>
        <w:lastRenderedPageBreak/>
        <w:t>Determining requirements for a</w:t>
      </w:r>
      <w:r w:rsidRPr="00F12AC1">
        <w:rPr>
          <w:sz w:val="30"/>
          <w:szCs w:val="30"/>
        </w:rPr>
        <w:t>nnual report</w:t>
      </w:r>
      <w:r w:rsidR="003C1D69" w:rsidRPr="00FF1139">
        <w:rPr>
          <w:sz w:val="30"/>
          <w:szCs w:val="30"/>
        </w:rPr>
        <w:t>s</w:t>
      </w:r>
      <w:bookmarkEnd w:id="88"/>
    </w:p>
    <w:bookmarkEnd w:id="89"/>
    <w:p w:rsidR="00F12AC1" w:rsidRPr="00FF1139" w:rsidRDefault="0095482A" w:rsidP="00FF1139">
      <w:pPr>
        <w:spacing w:before="360" w:line="340" w:lineRule="atLeast"/>
        <w:rPr>
          <w:sz w:val="26"/>
          <w:szCs w:val="26"/>
        </w:rPr>
      </w:pPr>
      <w:r w:rsidRPr="00FF1139">
        <w:rPr>
          <w:sz w:val="26"/>
          <w:szCs w:val="26"/>
        </w:rPr>
        <w:t xml:space="preserve">Reporting </w:t>
      </w:r>
      <w:r w:rsidR="009F1394">
        <w:rPr>
          <w:sz w:val="26"/>
          <w:szCs w:val="26"/>
        </w:rPr>
        <w:t xml:space="preserve">requirements </w:t>
      </w:r>
      <w:r w:rsidRPr="00FF1139">
        <w:rPr>
          <w:sz w:val="26"/>
          <w:szCs w:val="26"/>
        </w:rPr>
        <w:t>for non-transferred functions of the old entity</w:t>
      </w:r>
    </w:p>
    <w:tbl>
      <w:tblPr>
        <w:tblStyle w:val="TableGrid"/>
        <w:tblW w:w="0" w:type="auto"/>
        <w:tblLook w:val="04A0" w:firstRow="1" w:lastRow="0" w:firstColumn="1" w:lastColumn="0" w:noHBand="0" w:noVBand="1"/>
        <w:tblCaption w:val="Reporting requirements for non-transferred functions of the old entity"/>
        <w:tblDescription w:val="Annual Reports&#10;Reporting requirements for non-transferred functions of the old entity&#10;&#10;For an old entity that has not ceased to exist:&#10;• where not all of the functions of the old entity have been ceased and it is not practicable for the old entity to report, under section 17F of the PGPA Rule, the accountable authority of the nominated entity is to prepare the annual report for the old entity&#10;• where not all of the functions of the old entity have been ceased and it is practicable for the old entity to report, the accountable authority of the old entity is to prepare the annual report as per ordinary requirements&#10;• where all of the functions of the old entity have been transferred, under section 17G of the PGPA Rule, not annual report is required for the old entity.&#10;For an old entity that has ceased to exist: &#10;• where none of the functions of the old entity have been transferred, under section 17B of the PGPA Rule, the accountable authority of the nominated entity is to prepare the annual report for the old entity&#10;• where some of the functions of the old entity have been transferred, under section 17C of the PGPA Rule, the accountable authority of the nominated entity is to prepare the annual report for the old entity, for the non-transferred functions only&#10;• where all of the functions of the old entity have been transferred, under section 17D of the PGPA Rule, no annual report is required for the old entity.&#10;"/>
      </w:tblPr>
      <w:tblGrid>
        <w:gridCol w:w="9060"/>
      </w:tblGrid>
      <w:tr w:rsidR="009F1394" w:rsidTr="0024693E">
        <w:trPr>
          <w:tblHeader/>
        </w:trPr>
        <w:tc>
          <w:tcPr>
            <w:tcW w:w="9060" w:type="dxa"/>
            <w:tcBorders>
              <w:top w:val="nil"/>
              <w:left w:val="nil"/>
              <w:bottom w:val="nil"/>
              <w:right w:val="nil"/>
            </w:tcBorders>
          </w:tcPr>
          <w:p w:rsidR="009F1394" w:rsidRDefault="009F1394" w:rsidP="00FF1139">
            <w:pPr>
              <w:spacing w:before="120" w:line="340" w:lineRule="atLeast"/>
              <w:rPr>
                <w:b/>
                <w:color w:val="43848B" w:themeColor="accent1" w:themeShade="80"/>
                <w:sz w:val="18"/>
                <w:szCs w:val="18"/>
              </w:rPr>
            </w:pPr>
            <w:r>
              <w:rPr>
                <w:b/>
                <w:color w:val="43848B" w:themeColor="accent1" w:themeShade="80"/>
                <w:sz w:val="18"/>
                <w:szCs w:val="18"/>
              </w:rPr>
              <w:t>Decision-</w:t>
            </w:r>
            <w:r w:rsidRPr="00FF1139">
              <w:rPr>
                <w:b/>
                <w:color w:val="43848B" w:themeColor="accent1" w:themeShade="80"/>
                <w:sz w:val="18"/>
                <w:szCs w:val="18"/>
              </w:rPr>
              <w:t>tree for a</w:t>
            </w:r>
            <w:r>
              <w:rPr>
                <w:b/>
                <w:color w:val="43848B" w:themeColor="accent1" w:themeShade="80"/>
                <w:sz w:val="18"/>
                <w:szCs w:val="18"/>
              </w:rPr>
              <w:t>nnual report requirements for non-transferred functions of the old entity</w:t>
            </w:r>
          </w:p>
        </w:tc>
      </w:tr>
    </w:tbl>
    <w:p w:rsidR="00537FC8" w:rsidRPr="00FF1139" w:rsidRDefault="00537FC8" w:rsidP="00FF1139">
      <w:pPr>
        <w:spacing w:before="120" w:line="340" w:lineRule="atLeast"/>
        <w:rPr>
          <w:sz w:val="30"/>
          <w:szCs w:val="30"/>
        </w:rPr>
      </w:pPr>
      <w:r>
        <w:rPr>
          <w:noProof/>
          <w:lang w:eastAsia="en-AU"/>
        </w:rPr>
        <w:drawing>
          <wp:inline distT="0" distB="0" distL="0" distR="0" wp14:anchorId="0DC40E15" wp14:editId="355CFD58">
            <wp:extent cx="5934075" cy="52011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ecision Trees (LV edit) v4.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8686" cy="5213913"/>
                    </a:xfrm>
                    <a:prstGeom prst="rect">
                      <a:avLst/>
                    </a:prstGeom>
                  </pic:spPr>
                </pic:pic>
              </a:graphicData>
            </a:graphic>
          </wp:inline>
        </w:drawing>
      </w:r>
    </w:p>
    <w:p w:rsidR="0095482A" w:rsidRPr="00FF1139" w:rsidRDefault="0095482A" w:rsidP="00FF1139">
      <w:pPr>
        <w:spacing w:before="360" w:line="340" w:lineRule="atLeast"/>
        <w:rPr>
          <w:sz w:val="26"/>
          <w:szCs w:val="26"/>
        </w:rPr>
      </w:pPr>
      <w:r w:rsidRPr="00FF1139">
        <w:rPr>
          <w:sz w:val="26"/>
          <w:szCs w:val="26"/>
        </w:rPr>
        <w:t>Reporting for functions transferred from the old entity</w:t>
      </w:r>
    </w:p>
    <w:p w:rsidR="00537FC8" w:rsidRDefault="00537FC8" w:rsidP="00537FC8">
      <w:pPr>
        <w:pStyle w:val="Boxed2Text"/>
        <w:shd w:val="clear" w:color="auto" w:fill="F2F2F2" w:themeFill="background1" w:themeFillShade="F2"/>
      </w:pPr>
      <w:r w:rsidRPr="00615365">
        <w:t xml:space="preserve">Under </w:t>
      </w:r>
      <w:r w:rsidR="004E5B59">
        <w:t>sub</w:t>
      </w:r>
      <w:r w:rsidRPr="00615365">
        <w:t xml:space="preserve">section </w:t>
      </w:r>
      <w:r w:rsidRPr="00615365">
        <w:rPr>
          <w:iCs/>
        </w:rPr>
        <w:t>17J</w:t>
      </w:r>
      <w:r w:rsidR="004E5B59">
        <w:rPr>
          <w:iCs/>
        </w:rPr>
        <w:t>(6) of the PGPA Rule</w:t>
      </w:r>
      <w:r>
        <w:rPr>
          <w:iCs/>
        </w:rPr>
        <w:t>, the accountable authority of the reporting entity is to include in the annual report t</w:t>
      </w:r>
      <w:r>
        <w:t>he information relating to the transferred function or functions that would have been required to have been included in the annual report for the old entity.</w:t>
      </w:r>
    </w:p>
    <w:p w:rsidR="00364E74" w:rsidRDefault="00364E74" w:rsidP="00364E74">
      <w:pPr>
        <w:pStyle w:val="Heading1"/>
        <w:shd w:val="clear" w:color="auto" w:fill="BDDCDF" w:themeFill="accent1"/>
      </w:pPr>
      <w:bookmarkStart w:id="90" w:name="_Toc38306063"/>
      <w:bookmarkStart w:id="91" w:name="_Toc38312118"/>
      <w:bookmarkStart w:id="92" w:name="_Toc38316248"/>
      <w:bookmarkStart w:id="93" w:name="_Toc38318067"/>
      <w:bookmarkStart w:id="94" w:name="_Toc38318104"/>
      <w:bookmarkStart w:id="95" w:name="_Toc38318156"/>
      <w:bookmarkStart w:id="96" w:name="_Toc38318220"/>
      <w:bookmarkStart w:id="97" w:name="_Toc38318281"/>
      <w:bookmarkStart w:id="98" w:name="_Toc38452472"/>
      <w:bookmarkStart w:id="99" w:name="_Toc38306064"/>
      <w:bookmarkStart w:id="100" w:name="_Toc38312119"/>
      <w:bookmarkStart w:id="101" w:name="_Toc38316249"/>
      <w:bookmarkStart w:id="102" w:name="_Toc38318068"/>
      <w:bookmarkStart w:id="103" w:name="_Toc38318105"/>
      <w:bookmarkStart w:id="104" w:name="_Toc38318157"/>
      <w:bookmarkStart w:id="105" w:name="_Toc38318221"/>
      <w:bookmarkStart w:id="106" w:name="_Toc38318282"/>
      <w:bookmarkStart w:id="107" w:name="_Toc38452473"/>
      <w:bookmarkStart w:id="108" w:name="_Toc38318070"/>
      <w:bookmarkStart w:id="109" w:name="_Toc38318107"/>
      <w:bookmarkStart w:id="110" w:name="_Toc38318159"/>
      <w:bookmarkStart w:id="111" w:name="_Toc38318223"/>
      <w:bookmarkStart w:id="112" w:name="_Toc38318284"/>
      <w:bookmarkStart w:id="113" w:name="_Toc38452475"/>
      <w:bookmarkStart w:id="114" w:name="_Toc38306066"/>
      <w:bookmarkStart w:id="115" w:name="_Toc38312121"/>
      <w:bookmarkStart w:id="116" w:name="_Toc38316251"/>
      <w:bookmarkStart w:id="117" w:name="_Toc38318071"/>
      <w:bookmarkStart w:id="118" w:name="_Toc38318108"/>
      <w:bookmarkStart w:id="119" w:name="_Toc38318160"/>
      <w:bookmarkStart w:id="120" w:name="_Toc38318224"/>
      <w:bookmarkStart w:id="121" w:name="_Toc38318285"/>
      <w:bookmarkStart w:id="122" w:name="_Toc38452476"/>
      <w:bookmarkStart w:id="123" w:name="_Toc38316253"/>
      <w:bookmarkStart w:id="124" w:name="_Toc38318073"/>
      <w:bookmarkStart w:id="125" w:name="_Toc38318110"/>
      <w:bookmarkStart w:id="126" w:name="_Toc38318162"/>
      <w:bookmarkStart w:id="127" w:name="_Toc38318226"/>
      <w:bookmarkStart w:id="128" w:name="_Toc38318287"/>
      <w:bookmarkStart w:id="129" w:name="_Toc38452478"/>
      <w:bookmarkStart w:id="130" w:name="_Toc38318078"/>
      <w:bookmarkStart w:id="131" w:name="_Toc38318115"/>
      <w:bookmarkStart w:id="132" w:name="_Toc38318167"/>
      <w:bookmarkStart w:id="133" w:name="_Toc38318231"/>
      <w:bookmarkStart w:id="134" w:name="_Toc38318292"/>
      <w:bookmarkStart w:id="135" w:name="_Toc38452483"/>
      <w:bookmarkStart w:id="136" w:name="_Toc38461783"/>
      <w:bookmarkStart w:id="137" w:name="_Toc38318079"/>
      <w:bookmarkStart w:id="138" w:name="_Toc38318116"/>
      <w:bookmarkStart w:id="139" w:name="_Toc38318168"/>
      <w:bookmarkStart w:id="140" w:name="_Toc38318232"/>
      <w:bookmarkStart w:id="141" w:name="_Toc38318293"/>
      <w:bookmarkStart w:id="142" w:name="_Toc38452484"/>
      <w:bookmarkStart w:id="143" w:name="_Toc38461784"/>
      <w:bookmarkStart w:id="144" w:name="_Toc37766810"/>
      <w:bookmarkStart w:id="145" w:name="_Toc37766959"/>
      <w:bookmarkStart w:id="146" w:name="_Toc38306074"/>
      <w:bookmarkStart w:id="147" w:name="_Toc38312131"/>
      <w:bookmarkStart w:id="148" w:name="_Toc38316261"/>
      <w:bookmarkStart w:id="149" w:name="_Toc38318083"/>
      <w:bookmarkStart w:id="150" w:name="_Toc38318120"/>
      <w:bookmarkStart w:id="151" w:name="_Toc38318172"/>
      <w:bookmarkStart w:id="152" w:name="_Toc38318236"/>
      <w:bookmarkStart w:id="153" w:name="_Toc38318297"/>
      <w:bookmarkStart w:id="154" w:name="_Toc38452488"/>
      <w:bookmarkStart w:id="155" w:name="_Toc38461788"/>
      <w:bookmarkStart w:id="156" w:name="_Toc38461792"/>
      <w:bookmarkStart w:id="157" w:name="_Toc38461793"/>
      <w:bookmarkStart w:id="158" w:name="_Toc38312139"/>
      <w:bookmarkStart w:id="159" w:name="_Toc38316268"/>
      <w:bookmarkStart w:id="160" w:name="_Toc38318090"/>
      <w:bookmarkStart w:id="161" w:name="_Toc38318127"/>
      <w:bookmarkStart w:id="162" w:name="_Toc38318179"/>
      <w:bookmarkStart w:id="163" w:name="_Toc38318243"/>
      <w:bookmarkStart w:id="164" w:name="_Toc38318304"/>
      <w:bookmarkStart w:id="165" w:name="_Toc38452495"/>
      <w:bookmarkStart w:id="166" w:name="_Toc38461797"/>
      <w:bookmarkStart w:id="167" w:name="_Toc38463727"/>
      <w:bookmarkStart w:id="168" w:name="_Toc38465128"/>
      <w:bookmarkStart w:id="169" w:name="_Toc38316271"/>
      <w:bookmarkStart w:id="170" w:name="_Toc38318093"/>
      <w:bookmarkStart w:id="171" w:name="_Toc38318130"/>
      <w:bookmarkStart w:id="172" w:name="_Toc38318182"/>
      <w:bookmarkStart w:id="173" w:name="_Toc38318246"/>
      <w:bookmarkStart w:id="174" w:name="_Toc38318307"/>
      <w:bookmarkStart w:id="175" w:name="_Toc38452498"/>
      <w:bookmarkStart w:id="176" w:name="_Toc38461800"/>
      <w:bookmarkStart w:id="177" w:name="_Toc38463730"/>
      <w:bookmarkStart w:id="178" w:name="_Toc38316272"/>
      <w:bookmarkStart w:id="179" w:name="_Toc38318094"/>
      <w:bookmarkStart w:id="180" w:name="_Toc38318131"/>
      <w:bookmarkStart w:id="181" w:name="_Toc38318183"/>
      <w:bookmarkStart w:id="182" w:name="_Toc38318247"/>
      <w:bookmarkStart w:id="183" w:name="_Toc38318308"/>
      <w:bookmarkStart w:id="184" w:name="_Toc38452499"/>
      <w:bookmarkStart w:id="185" w:name="_Toc38461801"/>
      <w:bookmarkStart w:id="186" w:name="_Toc38463731"/>
      <w:bookmarkStart w:id="187" w:name="_Toc38316273"/>
      <w:bookmarkStart w:id="188" w:name="_Toc38318095"/>
      <w:bookmarkStart w:id="189" w:name="_Toc38318132"/>
      <w:bookmarkStart w:id="190" w:name="_Toc38318184"/>
      <w:bookmarkStart w:id="191" w:name="_Toc38318248"/>
      <w:bookmarkStart w:id="192" w:name="_Toc38318309"/>
      <w:bookmarkStart w:id="193" w:name="_Toc38452500"/>
      <w:bookmarkStart w:id="194" w:name="_Toc38461802"/>
      <w:bookmarkStart w:id="195" w:name="_Toc38463732"/>
      <w:bookmarkStart w:id="196" w:name="_Toc38452503"/>
      <w:bookmarkStart w:id="197" w:name="_Toc38461805"/>
      <w:bookmarkStart w:id="198" w:name="_Toc38463735"/>
      <w:bookmarkStart w:id="199" w:name="_Toc38452504"/>
      <w:bookmarkStart w:id="200" w:name="_Toc38461806"/>
      <w:bookmarkStart w:id="201" w:name="_Toc38463736"/>
      <w:bookmarkStart w:id="202" w:name="_Toc40357309"/>
      <w:bookmarkStart w:id="203" w:name="_Toc42245022"/>
      <w:bookmarkEnd w:id="27"/>
      <w:bookmarkEnd w:id="28"/>
      <w:bookmarkEnd w:id="29"/>
      <w:bookmarkEnd w:id="30"/>
      <w:bookmarkEnd w:id="31"/>
      <w:bookmarkEnd w:id="32"/>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lastRenderedPageBreak/>
        <w:t>Appendix 2 – Abbreviations</w:t>
      </w:r>
      <w:bookmarkEnd w:id="202"/>
      <w:bookmarkEnd w:id="203"/>
    </w:p>
    <w:tbl>
      <w:tblPr>
        <w:tblStyle w:val="TableGrid1"/>
        <w:tblW w:w="9067" w:type="dxa"/>
        <w:tblLook w:val="04A0" w:firstRow="1" w:lastRow="0" w:firstColumn="1" w:lastColumn="0" w:noHBand="0" w:noVBand="1"/>
        <w:tblCaption w:val="Appendix 2 - Abbreviations"/>
        <w:tblDescription w:val="This table provides a list of the abbreviations used in this guide and the meaning, full name or title for that abbreviation."/>
      </w:tblPr>
      <w:tblGrid>
        <w:gridCol w:w="2405"/>
        <w:gridCol w:w="6662"/>
      </w:tblGrid>
      <w:tr w:rsidR="00364E74" w:rsidRPr="00140B6E" w:rsidTr="00BB4386">
        <w:trPr>
          <w:tblHeader/>
        </w:trPr>
        <w:tc>
          <w:tcPr>
            <w:tcW w:w="2405" w:type="dxa"/>
            <w:tcBorders>
              <w:top w:val="single" w:sz="4" w:space="0" w:color="92C5C5" w:themeColor="accent2"/>
              <w:left w:val="single" w:sz="4" w:space="0" w:color="92C5C5" w:themeColor="accent2"/>
              <w:bottom w:val="single" w:sz="4" w:space="0" w:color="BDDCDF" w:themeColor="accent1"/>
              <w:right w:val="single" w:sz="4" w:space="0" w:color="92C5C5" w:themeColor="accent2"/>
            </w:tcBorders>
            <w:shd w:val="clear" w:color="auto" w:fill="D3E7E7" w:themeFill="accent2" w:themeFillTint="66"/>
          </w:tcPr>
          <w:p w:rsidR="00364E74" w:rsidRPr="00FE663F" w:rsidRDefault="00364E74" w:rsidP="00FE663F">
            <w:pPr>
              <w:pStyle w:val="TableText"/>
              <w:spacing w:before="120" w:after="120"/>
              <w:rPr>
                <w:b/>
                <w:sz w:val="22"/>
              </w:rPr>
            </w:pPr>
            <w:r w:rsidRPr="00FE663F">
              <w:rPr>
                <w:b/>
                <w:sz w:val="22"/>
              </w:rPr>
              <w:t>Abbreviation</w:t>
            </w:r>
          </w:p>
        </w:tc>
        <w:tc>
          <w:tcPr>
            <w:tcW w:w="6662" w:type="dxa"/>
            <w:tcBorders>
              <w:top w:val="single" w:sz="4" w:space="0" w:color="92C5C5" w:themeColor="accent2"/>
              <w:left w:val="single" w:sz="4" w:space="0" w:color="92C5C5" w:themeColor="accent2"/>
              <w:bottom w:val="single" w:sz="4" w:space="0" w:color="BDDCDF" w:themeColor="accent1"/>
              <w:right w:val="single" w:sz="4" w:space="0" w:color="92C5C5" w:themeColor="accent2"/>
            </w:tcBorders>
            <w:shd w:val="clear" w:color="auto" w:fill="D3E7E7" w:themeFill="accent2" w:themeFillTint="66"/>
          </w:tcPr>
          <w:p w:rsidR="00364E74" w:rsidRPr="00FE663F" w:rsidRDefault="00364E74" w:rsidP="00FE663F">
            <w:pPr>
              <w:pStyle w:val="TableText"/>
              <w:spacing w:before="120" w:after="120"/>
              <w:rPr>
                <w:b/>
                <w:sz w:val="22"/>
              </w:rPr>
            </w:pPr>
            <w:r w:rsidRPr="00FE663F">
              <w:rPr>
                <w:b/>
                <w:sz w:val="22"/>
              </w:rPr>
              <w:t>Full title or term</w:t>
            </w:r>
          </w:p>
        </w:tc>
      </w:tr>
      <w:tr w:rsidR="00BE3A24" w:rsidRPr="00140B6E" w:rsidTr="00BB4386">
        <w:tc>
          <w:tcPr>
            <w:tcW w:w="2405" w:type="dxa"/>
            <w:tcBorders>
              <w:top w:val="single" w:sz="4" w:space="0" w:color="64CCC9"/>
              <w:left w:val="single" w:sz="4" w:space="0" w:color="64CCC9"/>
              <w:bottom w:val="single" w:sz="4" w:space="0" w:color="64CCC9"/>
              <w:right w:val="single" w:sz="4" w:space="0" w:color="64CCC9"/>
            </w:tcBorders>
          </w:tcPr>
          <w:p w:rsidR="00BE3A24" w:rsidRPr="00BE3A24" w:rsidRDefault="00BE3A24" w:rsidP="00BE3A24">
            <w:pPr>
              <w:pStyle w:val="TableText"/>
              <w:spacing w:before="120" w:after="120"/>
              <w:rPr>
                <w:b/>
                <w:sz w:val="22"/>
              </w:rPr>
            </w:pPr>
            <w:r w:rsidRPr="00BE3A24">
              <w:rPr>
                <w:b/>
                <w:sz w:val="22"/>
              </w:rPr>
              <w:t>AA</w:t>
            </w:r>
          </w:p>
        </w:tc>
        <w:tc>
          <w:tcPr>
            <w:tcW w:w="6662" w:type="dxa"/>
            <w:tcBorders>
              <w:top w:val="single" w:sz="4" w:space="0" w:color="64CCC9"/>
              <w:left w:val="single" w:sz="4" w:space="0" w:color="64CCC9"/>
              <w:bottom w:val="single" w:sz="4" w:space="0" w:color="64CCC9"/>
              <w:right w:val="single" w:sz="4" w:space="0" w:color="64CCC9"/>
            </w:tcBorders>
          </w:tcPr>
          <w:p w:rsidR="00BE3A24" w:rsidRPr="00BE3A24" w:rsidRDefault="00BE3A24" w:rsidP="00BE3A24">
            <w:pPr>
              <w:pStyle w:val="TableText"/>
              <w:spacing w:before="120" w:after="120"/>
              <w:rPr>
                <w:sz w:val="22"/>
              </w:rPr>
            </w:pPr>
            <w:r w:rsidRPr="00BE3A24">
              <w:rPr>
                <w:sz w:val="22"/>
              </w:rPr>
              <w:t xml:space="preserve">Accountable authority </w:t>
            </w:r>
          </w:p>
        </w:tc>
      </w:tr>
      <w:tr w:rsidR="00BE3A24" w:rsidRPr="00140B6E" w:rsidTr="00BB4386">
        <w:tc>
          <w:tcPr>
            <w:tcW w:w="2405" w:type="dxa"/>
            <w:tcBorders>
              <w:top w:val="single" w:sz="4" w:space="0" w:color="64CCC9"/>
              <w:left w:val="single" w:sz="4" w:space="0" w:color="64CCC9"/>
              <w:bottom w:val="single" w:sz="4" w:space="0" w:color="64CCC9"/>
              <w:right w:val="single" w:sz="4" w:space="0" w:color="64CCC9"/>
            </w:tcBorders>
          </w:tcPr>
          <w:p w:rsidR="00BE3A24" w:rsidRPr="00BE3A24" w:rsidRDefault="00BE3A24" w:rsidP="00BE3A24">
            <w:pPr>
              <w:pStyle w:val="TableText"/>
              <w:spacing w:before="120" w:after="120"/>
              <w:rPr>
                <w:b/>
                <w:sz w:val="22"/>
              </w:rPr>
            </w:pPr>
            <w:r w:rsidRPr="00BE3A24">
              <w:rPr>
                <w:b/>
                <w:sz w:val="22"/>
              </w:rPr>
              <w:t>AAO</w:t>
            </w:r>
          </w:p>
        </w:tc>
        <w:tc>
          <w:tcPr>
            <w:tcW w:w="6662" w:type="dxa"/>
            <w:tcBorders>
              <w:top w:val="single" w:sz="4" w:space="0" w:color="64CCC9"/>
              <w:left w:val="single" w:sz="4" w:space="0" w:color="64CCC9"/>
              <w:bottom w:val="single" w:sz="4" w:space="0" w:color="64CCC9"/>
              <w:right w:val="single" w:sz="4" w:space="0" w:color="64CCC9"/>
            </w:tcBorders>
          </w:tcPr>
          <w:p w:rsidR="00BE3A24" w:rsidRPr="00BE3A24" w:rsidRDefault="0032634A" w:rsidP="00BE3A24">
            <w:pPr>
              <w:pStyle w:val="TableText"/>
              <w:spacing w:before="120" w:after="120"/>
              <w:rPr>
                <w:sz w:val="22"/>
              </w:rPr>
            </w:pPr>
            <w:hyperlink r:id="rId60" w:history="1">
              <w:r w:rsidR="00BE3A24" w:rsidRPr="00BE3A24">
                <w:rPr>
                  <w:rStyle w:val="Hyperlink"/>
                  <w:i w:val="0"/>
                  <w:sz w:val="22"/>
                </w:rPr>
                <w:t>Administrative Arrangement Orders</w:t>
              </w:r>
            </w:hyperlink>
          </w:p>
        </w:tc>
      </w:tr>
      <w:tr w:rsidR="00BE3A24" w:rsidRPr="00140B6E" w:rsidTr="00BB4386">
        <w:tc>
          <w:tcPr>
            <w:tcW w:w="2405" w:type="dxa"/>
            <w:tcBorders>
              <w:top w:val="single" w:sz="4" w:space="0" w:color="64CCC9"/>
              <w:left w:val="single" w:sz="4" w:space="0" w:color="64CCC9"/>
              <w:bottom w:val="single" w:sz="4" w:space="0" w:color="64CCC9"/>
              <w:right w:val="single" w:sz="4" w:space="0" w:color="64CCC9"/>
            </w:tcBorders>
          </w:tcPr>
          <w:p w:rsidR="00BE3A24" w:rsidRPr="00BE3A24" w:rsidRDefault="00BE3A24" w:rsidP="00BE3A24">
            <w:pPr>
              <w:pStyle w:val="TableText"/>
              <w:spacing w:before="120" w:after="120"/>
              <w:rPr>
                <w:b/>
                <w:sz w:val="22"/>
              </w:rPr>
            </w:pPr>
            <w:r w:rsidRPr="00BE3A24">
              <w:rPr>
                <w:b/>
                <w:sz w:val="22"/>
              </w:rPr>
              <w:t>AASB</w:t>
            </w:r>
          </w:p>
        </w:tc>
        <w:tc>
          <w:tcPr>
            <w:tcW w:w="6662" w:type="dxa"/>
            <w:tcBorders>
              <w:top w:val="single" w:sz="4" w:space="0" w:color="64CCC9"/>
              <w:left w:val="single" w:sz="4" w:space="0" w:color="64CCC9"/>
              <w:bottom w:val="single" w:sz="4" w:space="0" w:color="64CCC9"/>
              <w:right w:val="single" w:sz="4" w:space="0" w:color="64CCC9"/>
            </w:tcBorders>
          </w:tcPr>
          <w:p w:rsidR="00BE3A24" w:rsidRPr="00BE3A24" w:rsidRDefault="00BE3A24" w:rsidP="00BE3A24">
            <w:pPr>
              <w:pStyle w:val="TableText"/>
              <w:spacing w:before="120" w:after="120"/>
              <w:rPr>
                <w:sz w:val="22"/>
              </w:rPr>
            </w:pPr>
            <w:r w:rsidRPr="00BE3A24">
              <w:rPr>
                <w:sz w:val="22"/>
              </w:rPr>
              <w:t>Australian Accounting Standards Board</w:t>
            </w:r>
          </w:p>
        </w:tc>
      </w:tr>
      <w:tr w:rsidR="00BE3A24" w:rsidRPr="00140B6E" w:rsidTr="00BB4386">
        <w:tc>
          <w:tcPr>
            <w:tcW w:w="2405" w:type="dxa"/>
            <w:tcBorders>
              <w:top w:val="single" w:sz="4" w:space="0" w:color="64CCC9"/>
              <w:left w:val="single" w:sz="4" w:space="0" w:color="64CCC9"/>
              <w:bottom w:val="single" w:sz="4" w:space="0" w:color="64CCC9"/>
              <w:right w:val="single" w:sz="4" w:space="0" w:color="64CCC9"/>
            </w:tcBorders>
          </w:tcPr>
          <w:p w:rsidR="00BE3A24" w:rsidRPr="00BE3A24" w:rsidRDefault="00BE3A24" w:rsidP="00BE3A24">
            <w:pPr>
              <w:pStyle w:val="TableText"/>
              <w:spacing w:before="120" w:after="120"/>
              <w:rPr>
                <w:b/>
                <w:sz w:val="22"/>
              </w:rPr>
            </w:pPr>
            <w:r w:rsidRPr="00BE3A24">
              <w:rPr>
                <w:b/>
                <w:sz w:val="22"/>
              </w:rPr>
              <w:t>AFS</w:t>
            </w:r>
          </w:p>
        </w:tc>
        <w:tc>
          <w:tcPr>
            <w:tcW w:w="6662" w:type="dxa"/>
            <w:tcBorders>
              <w:top w:val="single" w:sz="4" w:space="0" w:color="64CCC9"/>
              <w:left w:val="single" w:sz="4" w:space="0" w:color="64CCC9"/>
              <w:bottom w:val="single" w:sz="4" w:space="0" w:color="64CCC9"/>
              <w:right w:val="single" w:sz="4" w:space="0" w:color="64CCC9"/>
            </w:tcBorders>
          </w:tcPr>
          <w:p w:rsidR="00BE3A24" w:rsidRPr="00BE3A24" w:rsidRDefault="00BE3A24" w:rsidP="00BE3A24">
            <w:pPr>
              <w:pStyle w:val="TableText"/>
              <w:spacing w:before="120" w:after="120"/>
              <w:rPr>
                <w:sz w:val="22"/>
              </w:rPr>
            </w:pPr>
            <w:r w:rsidRPr="00BE3A24">
              <w:rPr>
                <w:sz w:val="22"/>
              </w:rPr>
              <w:t>Annual financial statements</w:t>
            </w:r>
          </w:p>
        </w:tc>
      </w:tr>
      <w:tr w:rsidR="00BE3A24" w:rsidRPr="00140B6E" w:rsidTr="00BB4386">
        <w:tc>
          <w:tcPr>
            <w:tcW w:w="2405" w:type="dxa"/>
            <w:tcBorders>
              <w:top w:val="single" w:sz="4" w:space="0" w:color="64CCC9"/>
              <w:left w:val="single" w:sz="4" w:space="0" w:color="64CCC9"/>
              <w:bottom w:val="single" w:sz="4" w:space="0" w:color="64CCC9"/>
              <w:right w:val="single" w:sz="4" w:space="0" w:color="64CCC9"/>
            </w:tcBorders>
          </w:tcPr>
          <w:p w:rsidR="00BE3A24" w:rsidRPr="00BE3A24" w:rsidRDefault="00BE3A24" w:rsidP="00BE3A24">
            <w:pPr>
              <w:pStyle w:val="TableText"/>
              <w:spacing w:before="120" w:after="120"/>
              <w:rPr>
                <w:b/>
                <w:sz w:val="22"/>
              </w:rPr>
            </w:pPr>
            <w:r w:rsidRPr="00BE3A24">
              <w:rPr>
                <w:b/>
                <w:sz w:val="22"/>
              </w:rPr>
              <w:t>AGD</w:t>
            </w:r>
          </w:p>
        </w:tc>
        <w:tc>
          <w:tcPr>
            <w:tcW w:w="6662" w:type="dxa"/>
            <w:tcBorders>
              <w:top w:val="single" w:sz="4" w:space="0" w:color="64CCC9"/>
              <w:left w:val="single" w:sz="4" w:space="0" w:color="64CCC9"/>
              <w:bottom w:val="single" w:sz="4" w:space="0" w:color="64CCC9"/>
              <w:right w:val="single" w:sz="4" w:space="0" w:color="64CCC9"/>
            </w:tcBorders>
          </w:tcPr>
          <w:p w:rsidR="00BE3A24" w:rsidRPr="00BE3A24" w:rsidRDefault="00BE3A24" w:rsidP="00BE3A24">
            <w:pPr>
              <w:pStyle w:val="TableText"/>
              <w:spacing w:before="120" w:after="120"/>
              <w:rPr>
                <w:sz w:val="22"/>
              </w:rPr>
            </w:pPr>
            <w:r w:rsidRPr="00BE3A24">
              <w:rPr>
                <w:sz w:val="22"/>
              </w:rPr>
              <w:t>Attorney-General’s Department</w:t>
            </w:r>
          </w:p>
        </w:tc>
      </w:tr>
      <w:tr w:rsidR="00BE3A24" w:rsidRPr="00140B6E" w:rsidTr="00BB4386">
        <w:tc>
          <w:tcPr>
            <w:tcW w:w="2405" w:type="dxa"/>
            <w:tcBorders>
              <w:top w:val="single" w:sz="4" w:space="0" w:color="64CCC9"/>
              <w:left w:val="single" w:sz="4" w:space="0" w:color="64CCC9"/>
              <w:bottom w:val="single" w:sz="4" w:space="0" w:color="64CCC9"/>
              <w:right w:val="single" w:sz="4" w:space="0" w:color="64CCC9"/>
            </w:tcBorders>
          </w:tcPr>
          <w:p w:rsidR="00BE3A24" w:rsidRPr="00BE3A24" w:rsidRDefault="00BE3A24" w:rsidP="00BE3A24">
            <w:pPr>
              <w:pStyle w:val="TableText"/>
              <w:spacing w:before="120" w:after="120"/>
              <w:rPr>
                <w:b/>
                <w:sz w:val="22"/>
              </w:rPr>
            </w:pPr>
            <w:r w:rsidRPr="00BE3A24">
              <w:rPr>
                <w:b/>
                <w:sz w:val="22"/>
              </w:rPr>
              <w:t>ANPHA</w:t>
            </w:r>
          </w:p>
        </w:tc>
        <w:tc>
          <w:tcPr>
            <w:tcW w:w="6662" w:type="dxa"/>
            <w:tcBorders>
              <w:top w:val="single" w:sz="4" w:space="0" w:color="64CCC9"/>
              <w:left w:val="single" w:sz="4" w:space="0" w:color="64CCC9"/>
              <w:bottom w:val="single" w:sz="4" w:space="0" w:color="64CCC9"/>
              <w:right w:val="single" w:sz="4" w:space="0" w:color="64CCC9"/>
            </w:tcBorders>
          </w:tcPr>
          <w:p w:rsidR="00BE3A24" w:rsidRPr="00534994" w:rsidRDefault="0032634A" w:rsidP="00BE3A24">
            <w:pPr>
              <w:pStyle w:val="TableText"/>
              <w:spacing w:before="120" w:after="120"/>
              <w:rPr>
                <w:rStyle w:val="Hyperlink"/>
                <w:i w:val="0"/>
                <w:sz w:val="22"/>
              </w:rPr>
            </w:pPr>
            <w:hyperlink r:id="rId61" w:history="1">
              <w:r w:rsidR="00BE3A24" w:rsidRPr="00534994">
                <w:rPr>
                  <w:rStyle w:val="Hyperlink"/>
                  <w:i w:val="0"/>
                  <w:sz w:val="22"/>
                </w:rPr>
                <w:t xml:space="preserve">Australian National Preventative </w:t>
              </w:r>
              <w:r w:rsidR="00534994" w:rsidRPr="00534994">
                <w:rPr>
                  <w:rStyle w:val="Hyperlink"/>
                  <w:i w:val="0"/>
                  <w:sz w:val="22"/>
                </w:rPr>
                <w:t xml:space="preserve">Health </w:t>
              </w:r>
              <w:r w:rsidR="00BE3A24" w:rsidRPr="00534994">
                <w:rPr>
                  <w:rStyle w:val="Hyperlink"/>
                  <w:i w:val="0"/>
                  <w:sz w:val="22"/>
                </w:rPr>
                <w:t>Agency</w:t>
              </w:r>
            </w:hyperlink>
          </w:p>
        </w:tc>
      </w:tr>
      <w:tr w:rsidR="00BE3A24" w:rsidRPr="00140B6E" w:rsidTr="00BB4386">
        <w:tc>
          <w:tcPr>
            <w:tcW w:w="2405" w:type="dxa"/>
            <w:tcBorders>
              <w:top w:val="single" w:sz="4" w:space="0" w:color="64CCC9"/>
              <w:left w:val="single" w:sz="4" w:space="0" w:color="64CCC9"/>
              <w:bottom w:val="single" w:sz="4" w:space="0" w:color="64CCC9"/>
              <w:right w:val="single" w:sz="4" w:space="0" w:color="64CCC9"/>
            </w:tcBorders>
          </w:tcPr>
          <w:p w:rsidR="00BE3A24" w:rsidRPr="00BE3A24" w:rsidRDefault="00BE3A24" w:rsidP="00BE3A24">
            <w:pPr>
              <w:pStyle w:val="TableText"/>
              <w:spacing w:before="120" w:after="120"/>
              <w:rPr>
                <w:b/>
                <w:sz w:val="22"/>
              </w:rPr>
            </w:pPr>
            <w:r w:rsidRPr="00BE3A24">
              <w:rPr>
                <w:b/>
                <w:sz w:val="22"/>
              </w:rPr>
              <w:t>APS</w:t>
            </w:r>
          </w:p>
        </w:tc>
        <w:tc>
          <w:tcPr>
            <w:tcW w:w="6662" w:type="dxa"/>
            <w:tcBorders>
              <w:top w:val="single" w:sz="4" w:space="0" w:color="64CCC9"/>
              <w:left w:val="single" w:sz="4" w:space="0" w:color="64CCC9"/>
              <w:bottom w:val="single" w:sz="4" w:space="0" w:color="64CCC9"/>
              <w:right w:val="single" w:sz="4" w:space="0" w:color="64CCC9"/>
            </w:tcBorders>
          </w:tcPr>
          <w:p w:rsidR="00BE3A24" w:rsidRPr="00BE3A24" w:rsidRDefault="00BE3A24" w:rsidP="00BE3A24">
            <w:pPr>
              <w:pStyle w:val="TableText"/>
              <w:spacing w:before="120" w:after="120"/>
              <w:rPr>
                <w:sz w:val="22"/>
              </w:rPr>
            </w:pPr>
            <w:r w:rsidRPr="00BE3A24">
              <w:rPr>
                <w:sz w:val="22"/>
              </w:rPr>
              <w:t>Annual performance statements</w:t>
            </w:r>
          </w:p>
        </w:tc>
      </w:tr>
      <w:tr w:rsidR="00BE3A24" w:rsidRPr="00140B6E" w:rsidTr="00BB4386">
        <w:tc>
          <w:tcPr>
            <w:tcW w:w="2405" w:type="dxa"/>
            <w:tcBorders>
              <w:top w:val="single" w:sz="4" w:space="0" w:color="64CCC9"/>
              <w:left w:val="single" w:sz="4" w:space="0" w:color="64CCC9"/>
              <w:bottom w:val="single" w:sz="4" w:space="0" w:color="64CCC9"/>
              <w:right w:val="single" w:sz="4" w:space="0" w:color="64CCC9"/>
            </w:tcBorders>
          </w:tcPr>
          <w:p w:rsidR="00BE3A24" w:rsidRPr="00BE3A24" w:rsidRDefault="00BE3A24" w:rsidP="00BE3A24">
            <w:pPr>
              <w:pStyle w:val="TableText"/>
              <w:spacing w:before="120" w:after="120"/>
              <w:rPr>
                <w:b/>
                <w:sz w:val="22"/>
              </w:rPr>
            </w:pPr>
            <w:r w:rsidRPr="00BE3A24">
              <w:rPr>
                <w:b/>
                <w:sz w:val="22"/>
              </w:rPr>
              <w:t>AR</w:t>
            </w:r>
          </w:p>
        </w:tc>
        <w:tc>
          <w:tcPr>
            <w:tcW w:w="6662" w:type="dxa"/>
            <w:tcBorders>
              <w:top w:val="single" w:sz="4" w:space="0" w:color="64CCC9"/>
              <w:left w:val="single" w:sz="4" w:space="0" w:color="64CCC9"/>
              <w:bottom w:val="single" w:sz="4" w:space="0" w:color="64CCC9"/>
              <w:right w:val="single" w:sz="4" w:space="0" w:color="64CCC9"/>
            </w:tcBorders>
          </w:tcPr>
          <w:p w:rsidR="00BE3A24" w:rsidRPr="00BE3A24" w:rsidRDefault="00BE3A24" w:rsidP="00BE3A24">
            <w:pPr>
              <w:pStyle w:val="TableText"/>
              <w:spacing w:before="120" w:after="120"/>
              <w:rPr>
                <w:sz w:val="22"/>
              </w:rPr>
            </w:pPr>
            <w:r w:rsidRPr="00BE3A24">
              <w:rPr>
                <w:sz w:val="22"/>
              </w:rPr>
              <w:t>Annual report</w:t>
            </w:r>
          </w:p>
        </w:tc>
      </w:tr>
      <w:tr w:rsidR="00BE3A24" w:rsidRPr="00140B6E" w:rsidTr="00BB4386">
        <w:tc>
          <w:tcPr>
            <w:tcW w:w="2405" w:type="dxa"/>
            <w:tcBorders>
              <w:top w:val="single" w:sz="4" w:space="0" w:color="64CCC9"/>
              <w:left w:val="single" w:sz="4" w:space="0" w:color="64CCC9"/>
              <w:bottom w:val="single" w:sz="4" w:space="0" w:color="64CCC9"/>
              <w:right w:val="single" w:sz="4" w:space="0" w:color="64CCC9"/>
            </w:tcBorders>
          </w:tcPr>
          <w:p w:rsidR="00BE3A24" w:rsidRPr="00BE3A24" w:rsidRDefault="00BE3A24" w:rsidP="00BE3A24">
            <w:pPr>
              <w:pStyle w:val="TableText"/>
              <w:spacing w:before="120" w:after="120"/>
              <w:rPr>
                <w:b/>
                <w:sz w:val="22"/>
              </w:rPr>
            </w:pPr>
            <w:r w:rsidRPr="00BE3A24">
              <w:rPr>
                <w:b/>
                <w:sz w:val="22"/>
              </w:rPr>
              <w:t>DIBP</w:t>
            </w:r>
          </w:p>
        </w:tc>
        <w:tc>
          <w:tcPr>
            <w:tcW w:w="6662" w:type="dxa"/>
            <w:tcBorders>
              <w:top w:val="single" w:sz="4" w:space="0" w:color="64CCC9"/>
              <w:left w:val="single" w:sz="4" w:space="0" w:color="64CCC9"/>
              <w:bottom w:val="single" w:sz="4" w:space="0" w:color="64CCC9"/>
              <w:right w:val="single" w:sz="4" w:space="0" w:color="64CCC9"/>
            </w:tcBorders>
          </w:tcPr>
          <w:p w:rsidR="00BE3A24" w:rsidRPr="00BE3A24" w:rsidRDefault="00BE3A24" w:rsidP="00BE3A24">
            <w:pPr>
              <w:pStyle w:val="TableText"/>
              <w:spacing w:before="120" w:after="120"/>
              <w:rPr>
                <w:sz w:val="22"/>
              </w:rPr>
            </w:pPr>
            <w:r w:rsidRPr="00BE3A24">
              <w:rPr>
                <w:sz w:val="22"/>
              </w:rPr>
              <w:t>Department of Immigration and Border Protection</w:t>
            </w:r>
          </w:p>
        </w:tc>
      </w:tr>
      <w:tr w:rsidR="00BE3A24" w:rsidRPr="00140B6E" w:rsidTr="00BB4386">
        <w:tc>
          <w:tcPr>
            <w:tcW w:w="2405" w:type="dxa"/>
            <w:tcBorders>
              <w:top w:val="single" w:sz="4" w:space="0" w:color="64CCC9"/>
              <w:left w:val="single" w:sz="4" w:space="0" w:color="64CCC9"/>
              <w:bottom w:val="single" w:sz="4" w:space="0" w:color="64CCC9"/>
              <w:right w:val="single" w:sz="4" w:space="0" w:color="64CCC9"/>
            </w:tcBorders>
          </w:tcPr>
          <w:p w:rsidR="00BE3A24" w:rsidRPr="00BE3A24" w:rsidRDefault="00BE3A24" w:rsidP="00BE3A24">
            <w:pPr>
              <w:pStyle w:val="TableText"/>
              <w:spacing w:before="120" w:after="120"/>
              <w:rPr>
                <w:b/>
                <w:sz w:val="22"/>
              </w:rPr>
            </w:pPr>
            <w:r w:rsidRPr="00BE3A24">
              <w:rPr>
                <w:b/>
                <w:sz w:val="22"/>
              </w:rPr>
              <w:t>Finance</w:t>
            </w:r>
          </w:p>
        </w:tc>
        <w:tc>
          <w:tcPr>
            <w:tcW w:w="6662" w:type="dxa"/>
            <w:tcBorders>
              <w:top w:val="single" w:sz="4" w:space="0" w:color="64CCC9"/>
              <w:left w:val="single" w:sz="4" w:space="0" w:color="64CCC9"/>
              <w:bottom w:val="single" w:sz="4" w:space="0" w:color="64CCC9"/>
              <w:right w:val="single" w:sz="4" w:space="0" w:color="64CCC9"/>
            </w:tcBorders>
          </w:tcPr>
          <w:p w:rsidR="00BE3A24" w:rsidRPr="00BE3A24" w:rsidRDefault="0032634A" w:rsidP="00BE3A24">
            <w:pPr>
              <w:pStyle w:val="TableText"/>
              <w:spacing w:before="120" w:after="120"/>
              <w:rPr>
                <w:sz w:val="22"/>
              </w:rPr>
            </w:pPr>
            <w:hyperlink r:id="rId62" w:history="1">
              <w:r w:rsidR="00BE3A24" w:rsidRPr="00BE3A24">
                <w:rPr>
                  <w:rStyle w:val="Hyperlink"/>
                  <w:i w:val="0"/>
                  <w:sz w:val="22"/>
                </w:rPr>
                <w:t>Department of Finance</w:t>
              </w:r>
            </w:hyperlink>
          </w:p>
        </w:tc>
      </w:tr>
      <w:tr w:rsidR="00BE3A24" w:rsidRPr="00140B6E" w:rsidTr="00BB4386">
        <w:tc>
          <w:tcPr>
            <w:tcW w:w="2405" w:type="dxa"/>
            <w:tcBorders>
              <w:top w:val="single" w:sz="4" w:space="0" w:color="64CCC9"/>
              <w:left w:val="single" w:sz="4" w:space="0" w:color="64CCC9"/>
              <w:bottom w:val="single" w:sz="4" w:space="0" w:color="64CCC9"/>
              <w:right w:val="single" w:sz="4" w:space="0" w:color="64CCC9"/>
            </w:tcBorders>
          </w:tcPr>
          <w:p w:rsidR="00BE3A24" w:rsidRPr="00BE3A24" w:rsidRDefault="00BE3A24" w:rsidP="00BE3A24">
            <w:pPr>
              <w:pStyle w:val="TableText"/>
              <w:spacing w:before="120" w:after="120"/>
              <w:rPr>
                <w:b/>
                <w:sz w:val="22"/>
              </w:rPr>
            </w:pPr>
            <w:r w:rsidRPr="00BE3A24">
              <w:rPr>
                <w:b/>
                <w:sz w:val="22"/>
              </w:rPr>
              <w:t>Finance Minister</w:t>
            </w:r>
          </w:p>
        </w:tc>
        <w:tc>
          <w:tcPr>
            <w:tcW w:w="6662" w:type="dxa"/>
            <w:tcBorders>
              <w:top w:val="single" w:sz="4" w:space="0" w:color="64CCC9"/>
              <w:left w:val="single" w:sz="4" w:space="0" w:color="64CCC9"/>
              <w:bottom w:val="single" w:sz="4" w:space="0" w:color="64CCC9"/>
              <w:right w:val="single" w:sz="4" w:space="0" w:color="64CCC9"/>
            </w:tcBorders>
          </w:tcPr>
          <w:p w:rsidR="00BE3A24" w:rsidRPr="00BE3A24" w:rsidRDefault="00BE3A24" w:rsidP="00BE3A24">
            <w:pPr>
              <w:pStyle w:val="TableText"/>
              <w:spacing w:before="120" w:after="120"/>
              <w:rPr>
                <w:sz w:val="22"/>
              </w:rPr>
            </w:pPr>
            <w:r w:rsidRPr="00BE3A24">
              <w:rPr>
                <w:rStyle w:val="IntenseEmphasis"/>
                <w:b w:val="0"/>
                <w:i w:val="0"/>
                <w:iCs w:val="0"/>
                <w:sz w:val="22"/>
              </w:rPr>
              <w:t>Minister for Finance</w:t>
            </w:r>
          </w:p>
        </w:tc>
      </w:tr>
      <w:tr w:rsidR="00BE3A24" w:rsidRPr="00140B6E" w:rsidTr="00BB4386">
        <w:tc>
          <w:tcPr>
            <w:tcW w:w="2405" w:type="dxa"/>
            <w:tcBorders>
              <w:top w:val="single" w:sz="4" w:space="0" w:color="64CCC9"/>
              <w:left w:val="single" w:sz="4" w:space="0" w:color="64CCC9"/>
              <w:bottom w:val="single" w:sz="4" w:space="0" w:color="64CCC9"/>
              <w:right w:val="single" w:sz="4" w:space="0" w:color="64CCC9"/>
            </w:tcBorders>
          </w:tcPr>
          <w:p w:rsidR="00BE3A24" w:rsidRPr="00BE3A24" w:rsidRDefault="00BE3A24" w:rsidP="00BE3A24">
            <w:pPr>
              <w:pStyle w:val="TableText"/>
              <w:spacing w:before="120" w:after="120"/>
              <w:rPr>
                <w:b/>
                <w:sz w:val="22"/>
              </w:rPr>
            </w:pPr>
            <w:r w:rsidRPr="00BE3A24">
              <w:rPr>
                <w:b/>
                <w:sz w:val="22"/>
              </w:rPr>
              <w:t>HA</w:t>
            </w:r>
          </w:p>
        </w:tc>
        <w:tc>
          <w:tcPr>
            <w:tcW w:w="6662" w:type="dxa"/>
            <w:tcBorders>
              <w:top w:val="single" w:sz="4" w:space="0" w:color="64CCC9"/>
              <w:left w:val="single" w:sz="4" w:space="0" w:color="64CCC9"/>
              <w:bottom w:val="single" w:sz="4" w:space="0" w:color="64CCC9"/>
              <w:right w:val="single" w:sz="4" w:space="0" w:color="64CCC9"/>
            </w:tcBorders>
          </w:tcPr>
          <w:p w:rsidR="00BE3A24" w:rsidRPr="00534994" w:rsidRDefault="0032634A" w:rsidP="00BE3A24">
            <w:pPr>
              <w:pStyle w:val="TableText"/>
              <w:spacing w:before="120" w:after="120"/>
              <w:rPr>
                <w:rStyle w:val="Hyperlink"/>
                <w:i w:val="0"/>
                <w:sz w:val="22"/>
              </w:rPr>
            </w:pPr>
            <w:hyperlink r:id="rId63" w:history="1">
              <w:r w:rsidR="00BE3A24" w:rsidRPr="00534994">
                <w:rPr>
                  <w:rStyle w:val="Hyperlink"/>
                  <w:i w:val="0"/>
                  <w:sz w:val="22"/>
                </w:rPr>
                <w:t>Department of Home Affairs</w:t>
              </w:r>
            </w:hyperlink>
          </w:p>
        </w:tc>
      </w:tr>
      <w:tr w:rsidR="00BE3A24" w:rsidRPr="00140B6E" w:rsidTr="00BB4386">
        <w:tc>
          <w:tcPr>
            <w:tcW w:w="2405" w:type="dxa"/>
            <w:tcBorders>
              <w:top w:val="single" w:sz="4" w:space="0" w:color="64CCC9"/>
              <w:left w:val="single" w:sz="4" w:space="0" w:color="64CCC9"/>
              <w:bottom w:val="single" w:sz="4" w:space="0" w:color="64CCC9"/>
              <w:right w:val="single" w:sz="4" w:space="0" w:color="64CCC9"/>
            </w:tcBorders>
          </w:tcPr>
          <w:p w:rsidR="00BE3A24" w:rsidRPr="00BE3A24" w:rsidRDefault="00BE3A24" w:rsidP="00BE3A24">
            <w:pPr>
              <w:pStyle w:val="TableText"/>
              <w:spacing w:before="120" w:after="120"/>
              <w:rPr>
                <w:b/>
                <w:sz w:val="22"/>
              </w:rPr>
            </w:pPr>
            <w:r w:rsidRPr="00BE3A24">
              <w:rPr>
                <w:b/>
                <w:sz w:val="22"/>
              </w:rPr>
              <w:t>KMP</w:t>
            </w:r>
          </w:p>
        </w:tc>
        <w:tc>
          <w:tcPr>
            <w:tcW w:w="6662" w:type="dxa"/>
            <w:tcBorders>
              <w:top w:val="single" w:sz="4" w:space="0" w:color="64CCC9"/>
              <w:left w:val="single" w:sz="4" w:space="0" w:color="64CCC9"/>
              <w:bottom w:val="single" w:sz="4" w:space="0" w:color="64CCC9"/>
              <w:right w:val="single" w:sz="4" w:space="0" w:color="64CCC9"/>
            </w:tcBorders>
          </w:tcPr>
          <w:p w:rsidR="00BE3A24" w:rsidRPr="00BE3A24" w:rsidRDefault="00BE3A24" w:rsidP="00BE3A24">
            <w:pPr>
              <w:pStyle w:val="TableText"/>
              <w:spacing w:before="120" w:after="120"/>
              <w:rPr>
                <w:sz w:val="22"/>
              </w:rPr>
            </w:pPr>
            <w:r w:rsidRPr="00BE3A24">
              <w:rPr>
                <w:sz w:val="22"/>
                <w:u w:color="0070C0"/>
              </w:rPr>
              <w:t>Key management personnel</w:t>
            </w:r>
          </w:p>
        </w:tc>
      </w:tr>
      <w:tr w:rsidR="00BE3A24" w:rsidRPr="00140B6E" w:rsidTr="00BB4386">
        <w:tc>
          <w:tcPr>
            <w:tcW w:w="2405" w:type="dxa"/>
            <w:tcBorders>
              <w:top w:val="single" w:sz="4" w:space="0" w:color="64CCC9"/>
              <w:left w:val="single" w:sz="4" w:space="0" w:color="64CCC9"/>
              <w:bottom w:val="single" w:sz="4" w:space="0" w:color="64CCC9"/>
              <w:right w:val="single" w:sz="4" w:space="0" w:color="64CCC9"/>
            </w:tcBorders>
          </w:tcPr>
          <w:p w:rsidR="00BE3A24" w:rsidRPr="00BE3A24" w:rsidRDefault="00BE3A24" w:rsidP="00BE3A24">
            <w:pPr>
              <w:pStyle w:val="TableText"/>
              <w:spacing w:before="120" w:after="120"/>
              <w:rPr>
                <w:b/>
                <w:sz w:val="22"/>
              </w:rPr>
            </w:pPr>
            <w:r w:rsidRPr="00BE3A24">
              <w:rPr>
                <w:b/>
                <w:sz w:val="22"/>
              </w:rPr>
              <w:t>MoG</w:t>
            </w:r>
          </w:p>
        </w:tc>
        <w:tc>
          <w:tcPr>
            <w:tcW w:w="6662" w:type="dxa"/>
            <w:tcBorders>
              <w:top w:val="single" w:sz="4" w:space="0" w:color="64CCC9"/>
              <w:left w:val="single" w:sz="4" w:space="0" w:color="64CCC9"/>
              <w:bottom w:val="single" w:sz="4" w:space="0" w:color="64CCC9"/>
              <w:right w:val="single" w:sz="4" w:space="0" w:color="64CCC9"/>
            </w:tcBorders>
          </w:tcPr>
          <w:p w:rsidR="00BE3A24" w:rsidRPr="00BE3A24" w:rsidRDefault="00BE3A24" w:rsidP="00BE3A24">
            <w:pPr>
              <w:pStyle w:val="TableText"/>
              <w:spacing w:before="120" w:after="120"/>
              <w:rPr>
                <w:sz w:val="22"/>
              </w:rPr>
            </w:pPr>
            <w:r w:rsidRPr="00BE3A24">
              <w:rPr>
                <w:sz w:val="22"/>
              </w:rPr>
              <w:t>Machinery of government</w:t>
            </w:r>
          </w:p>
        </w:tc>
      </w:tr>
      <w:tr w:rsidR="00BE3A24" w:rsidRPr="00140B6E" w:rsidTr="00BB4386">
        <w:tc>
          <w:tcPr>
            <w:tcW w:w="2405" w:type="dxa"/>
            <w:tcBorders>
              <w:top w:val="single" w:sz="4" w:space="0" w:color="64CCC9"/>
              <w:left w:val="single" w:sz="4" w:space="0" w:color="64CCC9"/>
              <w:bottom w:val="single" w:sz="4" w:space="0" w:color="64CCC9"/>
              <w:right w:val="single" w:sz="4" w:space="0" w:color="64CCC9"/>
            </w:tcBorders>
          </w:tcPr>
          <w:p w:rsidR="00BE3A24" w:rsidRPr="00BE3A24" w:rsidRDefault="00BE3A24" w:rsidP="00BE3A24">
            <w:pPr>
              <w:pStyle w:val="TableText"/>
              <w:spacing w:before="120" w:after="120"/>
              <w:rPr>
                <w:b/>
                <w:sz w:val="22"/>
              </w:rPr>
            </w:pPr>
            <w:r w:rsidRPr="00BE3A24">
              <w:rPr>
                <w:b/>
                <w:sz w:val="22"/>
              </w:rPr>
              <w:t>PBS</w:t>
            </w:r>
          </w:p>
        </w:tc>
        <w:tc>
          <w:tcPr>
            <w:tcW w:w="6662" w:type="dxa"/>
            <w:tcBorders>
              <w:top w:val="single" w:sz="4" w:space="0" w:color="64CCC9"/>
              <w:left w:val="single" w:sz="4" w:space="0" w:color="64CCC9"/>
              <w:bottom w:val="single" w:sz="4" w:space="0" w:color="64CCC9"/>
              <w:right w:val="single" w:sz="4" w:space="0" w:color="64CCC9"/>
            </w:tcBorders>
          </w:tcPr>
          <w:p w:rsidR="00BE3A24" w:rsidRPr="00BE3A24" w:rsidRDefault="00BE3A24" w:rsidP="00BE3A24">
            <w:pPr>
              <w:pStyle w:val="TableText"/>
              <w:spacing w:before="120" w:after="120"/>
              <w:rPr>
                <w:sz w:val="22"/>
              </w:rPr>
            </w:pPr>
            <w:r w:rsidRPr="00BE3A24">
              <w:rPr>
                <w:sz w:val="22"/>
              </w:rPr>
              <w:t>Portfolio Budget Statements</w:t>
            </w:r>
          </w:p>
        </w:tc>
      </w:tr>
      <w:tr w:rsidR="00BE3A24" w:rsidRPr="00140B6E" w:rsidTr="00BB4386">
        <w:tc>
          <w:tcPr>
            <w:tcW w:w="2405" w:type="dxa"/>
            <w:tcBorders>
              <w:top w:val="single" w:sz="4" w:space="0" w:color="64CCC9"/>
              <w:left w:val="single" w:sz="4" w:space="0" w:color="64CCC9"/>
              <w:bottom w:val="single" w:sz="4" w:space="0" w:color="64CCC9"/>
              <w:right w:val="single" w:sz="4" w:space="0" w:color="64CCC9"/>
            </w:tcBorders>
          </w:tcPr>
          <w:p w:rsidR="00BE3A24" w:rsidRPr="00BE3A24" w:rsidRDefault="00BE3A24" w:rsidP="00BE3A24">
            <w:pPr>
              <w:pStyle w:val="TableText"/>
              <w:spacing w:before="120" w:after="120"/>
              <w:rPr>
                <w:b/>
                <w:sz w:val="22"/>
              </w:rPr>
            </w:pPr>
            <w:r w:rsidRPr="00BE3A24">
              <w:rPr>
                <w:b/>
                <w:sz w:val="22"/>
              </w:rPr>
              <w:t>PGPA Act</w:t>
            </w:r>
          </w:p>
        </w:tc>
        <w:tc>
          <w:tcPr>
            <w:tcW w:w="6662" w:type="dxa"/>
            <w:tcBorders>
              <w:top w:val="single" w:sz="4" w:space="0" w:color="64CCC9"/>
              <w:left w:val="single" w:sz="4" w:space="0" w:color="64CCC9"/>
              <w:bottom w:val="single" w:sz="4" w:space="0" w:color="64CCC9"/>
              <w:right w:val="single" w:sz="4" w:space="0" w:color="64CCC9"/>
            </w:tcBorders>
          </w:tcPr>
          <w:p w:rsidR="00BE3A24" w:rsidRPr="00BE3A24" w:rsidRDefault="0032634A" w:rsidP="00BE3A24">
            <w:pPr>
              <w:pStyle w:val="TableText"/>
              <w:spacing w:before="120" w:after="120"/>
              <w:rPr>
                <w:sz w:val="22"/>
              </w:rPr>
            </w:pPr>
            <w:hyperlink r:id="rId64" w:history="1">
              <w:r w:rsidR="00BE3A24" w:rsidRPr="00BE3A24">
                <w:rPr>
                  <w:rStyle w:val="Hyperlink"/>
                  <w:sz w:val="22"/>
                </w:rPr>
                <w:t>Public Governance, Performance and Accountability Act 2013</w:t>
              </w:r>
            </w:hyperlink>
          </w:p>
        </w:tc>
      </w:tr>
      <w:tr w:rsidR="00BE3A24" w:rsidRPr="00140B6E" w:rsidTr="00BB4386">
        <w:tc>
          <w:tcPr>
            <w:tcW w:w="2405" w:type="dxa"/>
            <w:tcBorders>
              <w:top w:val="single" w:sz="4" w:space="0" w:color="64CCC9"/>
              <w:left w:val="single" w:sz="4" w:space="0" w:color="64CCC9"/>
              <w:bottom w:val="single" w:sz="4" w:space="0" w:color="64CCC9"/>
              <w:right w:val="single" w:sz="4" w:space="0" w:color="64CCC9"/>
            </w:tcBorders>
          </w:tcPr>
          <w:p w:rsidR="00BE3A24" w:rsidRPr="00BE3A24" w:rsidRDefault="00BE3A24" w:rsidP="00BE3A24">
            <w:pPr>
              <w:pStyle w:val="TableText"/>
              <w:spacing w:before="120" w:after="120"/>
              <w:rPr>
                <w:b/>
                <w:sz w:val="22"/>
              </w:rPr>
            </w:pPr>
            <w:r w:rsidRPr="00BE3A24">
              <w:rPr>
                <w:b/>
                <w:sz w:val="22"/>
              </w:rPr>
              <w:t>PGPA Rule</w:t>
            </w:r>
          </w:p>
        </w:tc>
        <w:tc>
          <w:tcPr>
            <w:tcW w:w="6662" w:type="dxa"/>
            <w:tcBorders>
              <w:top w:val="single" w:sz="4" w:space="0" w:color="64CCC9"/>
              <w:left w:val="single" w:sz="4" w:space="0" w:color="64CCC9"/>
              <w:bottom w:val="single" w:sz="4" w:space="0" w:color="64CCC9"/>
              <w:right w:val="single" w:sz="4" w:space="0" w:color="64CCC9"/>
            </w:tcBorders>
          </w:tcPr>
          <w:p w:rsidR="00BE3A24" w:rsidRPr="00BE3A24" w:rsidRDefault="0032634A" w:rsidP="00BE3A24">
            <w:pPr>
              <w:pStyle w:val="TableText"/>
              <w:spacing w:before="120" w:after="120"/>
              <w:rPr>
                <w:sz w:val="22"/>
              </w:rPr>
            </w:pPr>
            <w:hyperlink r:id="rId65" w:history="1">
              <w:r w:rsidR="00BE3A24" w:rsidRPr="00BE3A24">
                <w:rPr>
                  <w:rStyle w:val="Hyperlink"/>
                  <w:sz w:val="22"/>
                </w:rPr>
                <w:t>Public Governance, Performance and Accountability Rule 2014</w:t>
              </w:r>
            </w:hyperlink>
          </w:p>
        </w:tc>
      </w:tr>
      <w:tr w:rsidR="00BE3A24" w:rsidRPr="00140B6E" w:rsidTr="00BB4386">
        <w:tc>
          <w:tcPr>
            <w:tcW w:w="2405" w:type="dxa"/>
            <w:tcBorders>
              <w:top w:val="single" w:sz="4" w:space="0" w:color="64CCC9"/>
              <w:left w:val="single" w:sz="4" w:space="0" w:color="64CCC9"/>
              <w:bottom w:val="single" w:sz="4" w:space="0" w:color="64CCC9"/>
              <w:right w:val="single" w:sz="4" w:space="0" w:color="64CCC9"/>
            </w:tcBorders>
          </w:tcPr>
          <w:p w:rsidR="00BE3A24" w:rsidRPr="00BE3A24" w:rsidRDefault="00BE3A24" w:rsidP="00BE3A24">
            <w:pPr>
              <w:pStyle w:val="TableText"/>
              <w:spacing w:after="120"/>
              <w:rPr>
                <w:b/>
                <w:sz w:val="22"/>
              </w:rPr>
            </w:pPr>
            <w:r w:rsidRPr="00BE3A24">
              <w:rPr>
                <w:b/>
                <w:sz w:val="22"/>
              </w:rPr>
              <w:t>RMG</w:t>
            </w:r>
          </w:p>
        </w:tc>
        <w:tc>
          <w:tcPr>
            <w:tcW w:w="6662" w:type="dxa"/>
            <w:tcBorders>
              <w:top w:val="single" w:sz="4" w:space="0" w:color="64CCC9"/>
              <w:left w:val="single" w:sz="4" w:space="0" w:color="64CCC9"/>
              <w:bottom w:val="single" w:sz="4" w:space="0" w:color="64CCC9"/>
              <w:right w:val="single" w:sz="4" w:space="0" w:color="64CCC9"/>
            </w:tcBorders>
          </w:tcPr>
          <w:p w:rsidR="00BE3A24" w:rsidRPr="00BE3A24" w:rsidRDefault="00BE3A24" w:rsidP="00BE3A24">
            <w:pPr>
              <w:pStyle w:val="TableText"/>
              <w:spacing w:after="120"/>
              <w:rPr>
                <w:sz w:val="22"/>
              </w:rPr>
            </w:pPr>
            <w:r w:rsidRPr="00BE3A24">
              <w:rPr>
                <w:sz w:val="22"/>
              </w:rPr>
              <w:t>Resource management guide</w:t>
            </w:r>
          </w:p>
        </w:tc>
      </w:tr>
    </w:tbl>
    <w:p w:rsidR="007134C1" w:rsidRPr="00E54D19" w:rsidRDefault="007134C1" w:rsidP="00534994"/>
    <w:sectPr w:rsidR="007134C1" w:rsidRPr="00E54D19" w:rsidSect="00364E74">
      <w:headerReference w:type="default" r:id="rId66"/>
      <w:footerReference w:type="default" r:id="rId67"/>
      <w:headerReference w:type="first" r:id="rId68"/>
      <w:footerReference w:type="first" r:id="rId69"/>
      <w:pgSz w:w="11906" w:h="16838" w:code="9"/>
      <w:pgMar w:top="1560" w:right="1416" w:bottom="1418" w:left="1418" w:header="56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3F0A" w:rsidRDefault="009C3F0A" w:rsidP="00EF4574">
      <w:pPr>
        <w:spacing w:before="0" w:after="0" w:line="240" w:lineRule="auto"/>
      </w:pPr>
      <w:r>
        <w:separator/>
      </w:r>
    </w:p>
    <w:p w:rsidR="009C3F0A" w:rsidRDefault="009C3F0A"/>
  </w:endnote>
  <w:endnote w:type="continuationSeparator" w:id="0">
    <w:p w:rsidR="009C3F0A" w:rsidRDefault="009C3F0A" w:rsidP="00EF4574">
      <w:pPr>
        <w:spacing w:before="0" w:after="0" w:line="240" w:lineRule="auto"/>
      </w:pPr>
      <w:r>
        <w:continuationSeparator/>
      </w:r>
    </w:p>
    <w:p w:rsidR="009C3F0A" w:rsidRDefault="009C3F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27F" w:rsidRDefault="0028027F" w:rsidP="005B696C">
    <w:pPr>
      <w:pStyle w:val="Footer"/>
    </w:pPr>
    <w:r>
      <w:rPr>
        <w:noProof/>
        <w:lang w:eastAsia="en-AU"/>
      </w:rPr>
      <mc:AlternateContent>
        <mc:Choice Requires="wps">
          <w:drawing>
            <wp:anchor distT="0" distB="0" distL="114300" distR="114300" simplePos="0" relativeHeight="251661312" behindDoc="1" locked="0" layoutInCell="1" allowOverlap="1" wp14:anchorId="0378B6F8" wp14:editId="491003A9">
              <wp:simplePos x="0" y="0"/>
              <wp:positionH relativeFrom="page">
                <wp:posOffset>6341926</wp:posOffset>
              </wp:positionH>
              <wp:positionV relativeFrom="page">
                <wp:posOffset>10076815</wp:posOffset>
              </wp:positionV>
              <wp:extent cx="324000" cy="324000"/>
              <wp:effectExtent l="0" t="0" r="19050" b="19050"/>
              <wp:wrapNone/>
              <wp:docPr id="12" name="Oval 12"/>
              <wp:cNvGraphicFramePr/>
              <a:graphic xmlns:a="http://schemas.openxmlformats.org/drawingml/2006/main">
                <a:graphicData uri="http://schemas.microsoft.com/office/word/2010/wordprocessingShape">
                  <wps:wsp>
                    <wps:cNvSpPr/>
                    <wps:spPr>
                      <a:xfrm>
                        <a:off x="0" y="0"/>
                        <a:ext cx="324000" cy="324000"/>
                      </a:xfrm>
                      <a:prstGeom prst="ellipse">
                        <a:avLst/>
                      </a:prstGeom>
                      <a:solidFill>
                        <a:schemeClr val="accent1"/>
                      </a:solidFill>
                      <a:ln w="63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027F" w:rsidRDefault="0028027F" w:rsidP="005B69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78B6F8" id="Oval 12" o:spid="_x0000_s1029" style="position:absolute;margin-left:499.35pt;margin-top:793.45pt;width:25.5pt;height:2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" fillcolor="#bddcdf [3204]" strokecolor="#1c1c1c [3215]" strokeweight=".5pt">
              <v:stroke joinstyle="miter"/>
              <v:textbox>
                <w:txbxContent>
                  <w:p w:rsidR="0028027F" w:rsidRDefault="0028027F" w:rsidP="005B696C">
                    <w:pPr>
                      <w:jc w:val="center"/>
                    </w:pPr>
                  </w:p>
                </w:txbxContent>
              </v:textbox>
              <w10:wrap anchorx="page" anchory="page"/>
            </v:oval>
          </w:pict>
        </mc:Fallback>
      </mc:AlternateContent>
    </w:r>
    <w:r>
      <w:tab/>
    </w:r>
    <w:r>
      <w:tab/>
    </w:r>
    <w:r>
      <w:fldChar w:fldCharType="begin"/>
    </w:r>
    <w:r>
      <w:instrText xml:space="preserve"> PAGE   \* MERGEFORMAT </w:instrText>
    </w:r>
    <w:r>
      <w:fldChar w:fldCharType="separate"/>
    </w:r>
    <w:r w:rsidR="0032634A">
      <w:rPr>
        <w:noProof/>
      </w:rPr>
      <w:t>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27F" w:rsidRDefault="0028027F">
    <w:pPr>
      <w:pStyle w:val="Footer"/>
    </w:pPr>
  </w:p>
  <w:p w:rsidR="0028027F" w:rsidRDefault="0028027F" w:rsidP="000A6A8B">
    <w:pPr>
      <w:pStyle w:val="Footer"/>
      <w:jc w:val="center"/>
      <w:rPr>
        <w:rStyle w:val="Classification"/>
      </w:rPr>
    </w:pPr>
  </w:p>
  <w:p w:rsidR="0028027F" w:rsidRPr="000A6A8B" w:rsidRDefault="0028027F" w:rsidP="000A6A8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3F0A" w:rsidRDefault="009C3F0A" w:rsidP="0020122A">
      <w:pPr>
        <w:pStyle w:val="FootnoteSeparator"/>
      </w:pPr>
    </w:p>
  </w:footnote>
  <w:footnote w:type="continuationSeparator" w:id="0">
    <w:p w:rsidR="009C3F0A" w:rsidRDefault="009C3F0A" w:rsidP="00EF4574">
      <w:pPr>
        <w:spacing w:before="0" w:after="0" w:line="240" w:lineRule="auto"/>
      </w:pPr>
      <w:r>
        <w:continuationSeparator/>
      </w:r>
    </w:p>
    <w:p w:rsidR="009C3F0A" w:rsidRDefault="009C3F0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27F" w:rsidRPr="00DB6D69" w:rsidRDefault="0028027F">
    <w:pPr>
      <w:pStyle w:val="Header"/>
      <w:rPr>
        <w:b/>
      </w:rPr>
    </w:pPr>
    <w:r w:rsidRPr="00DB6D69">
      <w:rPr>
        <w:b/>
      </w:rPr>
      <w:t>Department of Finance</w:t>
    </w:r>
  </w:p>
  <w:p w:rsidR="0028027F" w:rsidRDefault="0028027F" w:rsidP="006E76A5">
    <w:pPr>
      <w:pStyle w:val="Header"/>
    </w:pPr>
    <w:r w:rsidRPr="006E76A5">
      <w:t>Reporting requirements following machinery of government changes</w:t>
    </w:r>
    <w:r>
      <w:t xml:space="preserve"> (RMG </w:t>
    </w:r>
    <w:r w:rsidR="006C65DA">
      <w:t>119)</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27F" w:rsidRDefault="0028027F" w:rsidP="000A6A8B">
    <w:pPr>
      <w:pStyle w:val="Header"/>
      <w:jc w:val="center"/>
    </w:pPr>
    <w:r>
      <w:rPr>
        <w:noProof/>
        <w:lang w:eastAsia="en-AU"/>
      </w:rPr>
      <w:drawing>
        <wp:anchor distT="0" distB="0" distL="114300" distR="114300" simplePos="0" relativeHeight="251664384" behindDoc="1" locked="0" layoutInCell="1" allowOverlap="1" wp14:anchorId="066953BF" wp14:editId="11BE88B4">
          <wp:simplePos x="0" y="0"/>
          <wp:positionH relativeFrom="page">
            <wp:posOffset>0</wp:posOffset>
          </wp:positionH>
          <wp:positionV relativeFrom="page">
            <wp:posOffset>0</wp:posOffset>
          </wp:positionV>
          <wp:extent cx="7559640" cy="10694160"/>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nance_Long_Report_Mask.png"/>
                  <pic:cNvPicPr/>
                </pic:nvPicPr>
                <pic:blipFill>
                  <a:blip r:embed="rId1">
                    <a:extLst>
                      <a:ext uri="{28A0092B-C50C-407E-A947-70E740481C1C}">
                        <a14:useLocalDpi xmlns:a14="http://schemas.microsoft.com/office/drawing/2010/main" val="0"/>
                      </a:ext>
                    </a:extLst>
                  </a:blip>
                  <a:stretch>
                    <a:fillRect/>
                  </a:stretch>
                </pic:blipFill>
                <pic:spPr>
                  <a:xfrm>
                    <a:off x="0" y="0"/>
                    <a:ext cx="7559640" cy="106941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63360" behindDoc="1" locked="0" layoutInCell="1" allowOverlap="1" wp14:anchorId="558F0B59" wp14:editId="6BB34ABE">
              <wp:simplePos x="0" y="0"/>
              <wp:positionH relativeFrom="column">
                <wp:posOffset>-633730</wp:posOffset>
              </wp:positionH>
              <wp:positionV relativeFrom="paragraph">
                <wp:posOffset>2319655</wp:posOffset>
              </wp:positionV>
              <wp:extent cx="7086600" cy="3949700"/>
              <wp:effectExtent l="0" t="0" r="0" b="0"/>
              <wp:wrapNone/>
              <wp:docPr id="13" name="Isosceles Triangle 13"/>
              <wp:cNvGraphicFramePr/>
              <a:graphic xmlns:a="http://schemas.openxmlformats.org/drawingml/2006/main">
                <a:graphicData uri="http://schemas.microsoft.com/office/word/2010/wordprocessingShape">
                  <wps:wsp>
                    <wps:cNvSpPr/>
                    <wps:spPr>
                      <a:xfrm>
                        <a:off x="0" y="0"/>
                        <a:ext cx="7086600" cy="3949700"/>
                      </a:xfrm>
                      <a:prstGeom prst="triangle">
                        <a:avLst>
                          <a:gd name="adj" fmla="val 10000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3D245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26" type="#_x0000_t5" style="position:absolute;margin-left:-49.9pt;margin-top:182.65pt;width:558pt;height:31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" adj="21600" fillcolor="#92c5c5 [3205]" stroked="f" strokeweight="1pt"/>
          </w:pict>
        </mc:Fallback>
      </mc:AlternateContent>
    </w:r>
    <w:r>
      <w:rPr>
        <w:noProof/>
        <w:lang w:eastAsia="en-AU"/>
      </w:rPr>
      <mc:AlternateContent>
        <mc:Choice Requires="wps">
          <w:drawing>
            <wp:anchor distT="0" distB="0" distL="114300" distR="114300" simplePos="0" relativeHeight="251662336" behindDoc="1" locked="0" layoutInCell="1" allowOverlap="1" wp14:anchorId="58474D10" wp14:editId="42644A56">
              <wp:simplePos x="0" y="0"/>
              <wp:positionH relativeFrom="column">
                <wp:posOffset>-633730</wp:posOffset>
              </wp:positionH>
              <wp:positionV relativeFrom="paragraph">
                <wp:posOffset>2624455</wp:posOffset>
              </wp:positionV>
              <wp:extent cx="7086600" cy="7467600"/>
              <wp:effectExtent l="0" t="0" r="0" b="0"/>
              <wp:wrapNone/>
              <wp:docPr id="14" name="Rectangle 14"/>
              <wp:cNvGraphicFramePr/>
              <a:graphic xmlns:a="http://schemas.openxmlformats.org/drawingml/2006/main">
                <a:graphicData uri="http://schemas.microsoft.com/office/word/2010/wordprocessingShape">
                  <wps:wsp>
                    <wps:cNvSpPr/>
                    <wps:spPr>
                      <a:xfrm>
                        <a:off x="0" y="0"/>
                        <a:ext cx="7086600" cy="7467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B68CB" id="Rectangle 14" o:spid="_x0000_s1026" style="position:absolute;margin-left:-49.9pt;margin-top:206.65pt;width:558pt;height:58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" fillcolor="#bddcdf [3204]" stroked="f" strokeweight="1pt"/>
          </w:pict>
        </mc:Fallback>
      </mc:AlternateContent>
    </w:r>
    <w:r>
      <w:rPr>
        <w:noProof/>
        <w:lang w:eastAsia="en-AU"/>
      </w:rPr>
      <w:drawing>
        <wp:anchor distT="0" distB="0" distL="114300" distR="114300" simplePos="0" relativeHeight="251665408" behindDoc="0" locked="0" layoutInCell="1" allowOverlap="1" wp14:anchorId="1C8491D2" wp14:editId="24DAF132">
          <wp:simplePos x="0" y="0"/>
          <wp:positionH relativeFrom="page">
            <wp:posOffset>900430</wp:posOffset>
          </wp:positionH>
          <wp:positionV relativeFrom="page">
            <wp:posOffset>900430</wp:posOffset>
          </wp:positionV>
          <wp:extent cx="2350800" cy="5749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ance_Logo.png"/>
                  <pic:cNvPicPr/>
                </pic:nvPicPr>
                <pic:blipFill>
                  <a:blip r:embed="rId2">
                    <a:extLst>
                      <a:ext uri="{28A0092B-C50C-407E-A947-70E740481C1C}">
                        <a14:useLocalDpi xmlns:a14="http://schemas.microsoft.com/office/drawing/2010/main" val="0"/>
                      </a:ext>
                    </a:extLst>
                  </a:blip>
                  <a:stretch>
                    <a:fillRect/>
                  </a:stretch>
                </pic:blipFill>
                <pic:spPr>
                  <a:xfrm>
                    <a:off x="0" y="0"/>
                    <a:ext cx="2350800" cy="5749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5EBD"/>
    <w:multiLevelType w:val="hybridMultilevel"/>
    <w:tmpl w:val="748CC044"/>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 w15:restartNumberingAfterBreak="0">
    <w:nsid w:val="03E06683"/>
    <w:multiLevelType w:val="multilevel"/>
    <w:tmpl w:val="19D43CCC"/>
    <w:lvl w:ilvl="0">
      <w:start w:val="1"/>
      <w:numFmt w:val="bullet"/>
      <w:lvlText w:val=""/>
      <w:lvlJc w:val="left"/>
      <w:pPr>
        <w:ind w:left="284" w:hanging="284"/>
      </w:pPr>
      <w:rPr>
        <w:rFonts w:ascii="Symbol" w:hAnsi="Symbol"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048F157C"/>
    <w:multiLevelType w:val="hybridMultilevel"/>
    <w:tmpl w:val="5A165CA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664274"/>
    <w:multiLevelType w:val="hybridMultilevel"/>
    <w:tmpl w:val="2A78CC1C"/>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4" w15:restartNumberingAfterBreak="0">
    <w:nsid w:val="0A201D9A"/>
    <w:multiLevelType w:val="hybridMultilevel"/>
    <w:tmpl w:val="B0BEE5A4"/>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5" w15:restartNumberingAfterBreak="0">
    <w:nsid w:val="0A2F6B80"/>
    <w:multiLevelType w:val="multilevel"/>
    <w:tmpl w:val="47AA9B78"/>
    <w:styleLink w:val="Numberedlist"/>
    <w:lvl w:ilvl="0">
      <w:start w:val="1"/>
      <w:numFmt w:val="decimal"/>
      <w:pStyle w:val="NumberedList1"/>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11BD4530"/>
    <w:multiLevelType w:val="multilevel"/>
    <w:tmpl w:val="E1EEE818"/>
    <w:lvl w:ilvl="0">
      <w:start w:val="1"/>
      <w:numFmt w:val="bullet"/>
      <w:pStyle w:val="Bullet2"/>
      <w:lvlText w:val="o"/>
      <w:lvlJc w:val="left"/>
      <w:pPr>
        <w:ind w:left="284" w:hanging="284"/>
      </w:pPr>
      <w:rPr>
        <w:rFonts w:ascii="Courier New" w:hAnsi="Courier New" w:cs="Courier New"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19D8176B"/>
    <w:multiLevelType w:val="hybridMultilevel"/>
    <w:tmpl w:val="8D4E8DE6"/>
    <w:lvl w:ilvl="0" w:tplc="2FCC1686">
      <w:start w:val="1"/>
      <w:numFmt w:val="bullet"/>
      <w:pStyle w:val="Bullets2ndindent"/>
      <w:lvlText w:val=""/>
      <w:lvlJc w:val="left"/>
      <w:pPr>
        <w:ind w:left="1211"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E653BB"/>
    <w:multiLevelType w:val="multilevel"/>
    <w:tmpl w:val="79262C7A"/>
    <w:numStyleLink w:val="BulletsList"/>
  </w:abstractNum>
  <w:abstractNum w:abstractNumId="9" w15:restartNumberingAfterBreak="0">
    <w:nsid w:val="1CFA6B78"/>
    <w:multiLevelType w:val="multilevel"/>
    <w:tmpl w:val="70B8A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565FE6"/>
    <w:multiLevelType w:val="multilevel"/>
    <w:tmpl w:val="67F82714"/>
    <w:lvl w:ilvl="0">
      <w:start w:val="1"/>
      <w:numFmt w:val="bullet"/>
      <w:lvlText w:val=""/>
      <w:lvlJc w:val="left"/>
      <w:pPr>
        <w:ind w:left="710" w:hanging="284"/>
      </w:pPr>
      <w:rPr>
        <w:rFonts w:ascii="Symbol" w:hAnsi="Symbol" w:hint="default"/>
      </w:rPr>
    </w:lvl>
    <w:lvl w:ilvl="1">
      <w:start w:val="1"/>
      <w:numFmt w:val="lowerLetter"/>
      <w:lvlText w:val="%2."/>
      <w:lvlJc w:val="left"/>
      <w:pPr>
        <w:ind w:left="994" w:hanging="284"/>
      </w:pPr>
      <w:rPr>
        <w:rFonts w:hint="default"/>
      </w:rPr>
    </w:lvl>
    <w:lvl w:ilvl="2">
      <w:start w:val="1"/>
      <w:numFmt w:val="lowerRoman"/>
      <w:lvlText w:val="%3."/>
      <w:lvlJc w:val="left"/>
      <w:pPr>
        <w:ind w:left="1278" w:hanging="284"/>
      </w:pPr>
      <w:rPr>
        <w:rFonts w:hint="default"/>
      </w:rPr>
    </w:lvl>
    <w:lvl w:ilvl="3">
      <w:start w:val="1"/>
      <w:numFmt w:val="decimal"/>
      <w:lvlText w:val="(%4)"/>
      <w:lvlJc w:val="left"/>
      <w:pPr>
        <w:ind w:left="1562" w:hanging="284"/>
      </w:pPr>
      <w:rPr>
        <w:rFonts w:hint="default"/>
      </w:rPr>
    </w:lvl>
    <w:lvl w:ilvl="4">
      <w:start w:val="1"/>
      <w:numFmt w:val="lowerLetter"/>
      <w:lvlText w:val="(%5)"/>
      <w:lvlJc w:val="left"/>
      <w:pPr>
        <w:ind w:left="1846" w:hanging="284"/>
      </w:pPr>
      <w:rPr>
        <w:rFonts w:hint="default"/>
      </w:rPr>
    </w:lvl>
    <w:lvl w:ilvl="5">
      <w:start w:val="1"/>
      <w:numFmt w:val="lowerRoman"/>
      <w:lvlText w:val="(%6)"/>
      <w:lvlJc w:val="left"/>
      <w:pPr>
        <w:ind w:left="2130" w:hanging="284"/>
      </w:pPr>
      <w:rPr>
        <w:rFonts w:hint="default"/>
      </w:rPr>
    </w:lvl>
    <w:lvl w:ilvl="6">
      <w:start w:val="1"/>
      <w:numFmt w:val="decimal"/>
      <w:lvlText w:val="%7."/>
      <w:lvlJc w:val="left"/>
      <w:pPr>
        <w:ind w:left="2414" w:hanging="284"/>
      </w:pPr>
      <w:rPr>
        <w:rFonts w:hint="default"/>
      </w:rPr>
    </w:lvl>
    <w:lvl w:ilvl="7">
      <w:start w:val="1"/>
      <w:numFmt w:val="lowerLetter"/>
      <w:lvlText w:val="%8."/>
      <w:lvlJc w:val="left"/>
      <w:pPr>
        <w:ind w:left="2698" w:hanging="284"/>
      </w:pPr>
      <w:rPr>
        <w:rFonts w:hint="default"/>
      </w:rPr>
    </w:lvl>
    <w:lvl w:ilvl="8">
      <w:start w:val="1"/>
      <w:numFmt w:val="lowerRoman"/>
      <w:lvlText w:val="%9."/>
      <w:lvlJc w:val="left"/>
      <w:pPr>
        <w:ind w:left="2982" w:hanging="284"/>
      </w:pPr>
      <w:rPr>
        <w:rFonts w:hint="default"/>
      </w:rPr>
    </w:lvl>
  </w:abstractNum>
  <w:abstractNum w:abstractNumId="11" w15:restartNumberingAfterBreak="0">
    <w:nsid w:val="215C0B3C"/>
    <w:multiLevelType w:val="hybridMultilevel"/>
    <w:tmpl w:val="57CEF0BA"/>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2" w15:restartNumberingAfterBreak="0">
    <w:nsid w:val="23937897"/>
    <w:multiLevelType w:val="hybridMultilevel"/>
    <w:tmpl w:val="026E6E82"/>
    <w:lvl w:ilvl="0" w:tplc="995ABE8E">
      <w:start w:val="79"/>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27B33909"/>
    <w:multiLevelType w:val="hybridMultilevel"/>
    <w:tmpl w:val="866C6FC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294214C9"/>
    <w:multiLevelType w:val="multilevel"/>
    <w:tmpl w:val="0D18962A"/>
    <w:styleLink w:val="Bullets"/>
    <w:lvl w:ilvl="0">
      <w:start w:val="1"/>
      <w:numFmt w:val="bullet"/>
      <w:pStyle w:val="FCList"/>
      <w:lvlText w:val="•"/>
      <w:lvlJc w:val="left"/>
      <w:pPr>
        <w:tabs>
          <w:tab w:val="num" w:pos="284"/>
        </w:tabs>
        <w:ind w:left="284" w:hanging="284"/>
      </w:pPr>
      <w:rPr>
        <w:rFonts w:ascii="Cambria" w:hAnsi="Cambria" w:hint="default"/>
        <w:color w:val="C2B000"/>
      </w:rPr>
    </w:lvl>
    <w:lvl w:ilvl="1">
      <w:start w:val="1"/>
      <w:numFmt w:val="bullet"/>
      <w:lvlText w:val="•"/>
      <w:lvlJc w:val="left"/>
      <w:pPr>
        <w:tabs>
          <w:tab w:val="num" w:pos="567"/>
        </w:tabs>
        <w:ind w:left="567" w:hanging="283"/>
      </w:pPr>
      <w:rPr>
        <w:rFonts w:ascii="Cambria" w:hAnsi="Cambria" w:hint="default"/>
        <w:color w:val="C2B000"/>
      </w:rPr>
    </w:lvl>
    <w:lvl w:ilvl="2">
      <w:start w:val="1"/>
      <w:numFmt w:val="bullet"/>
      <w:pStyle w:val="Bulletslast1stindent"/>
      <w:lvlText w:val="•"/>
      <w:lvlJc w:val="left"/>
      <w:pPr>
        <w:tabs>
          <w:tab w:val="num" w:pos="284"/>
        </w:tabs>
        <w:ind w:left="284" w:hanging="284"/>
      </w:pPr>
      <w:rPr>
        <w:rFonts w:ascii="Cambria" w:hAnsi="Cambria" w:hint="default"/>
        <w:color w:val="C2B000"/>
      </w:rPr>
    </w:lvl>
    <w:lvl w:ilvl="3">
      <w:start w:val="1"/>
      <w:numFmt w:val="bullet"/>
      <w:pStyle w:val="Bulletslast2ndindent"/>
      <w:lvlText w:val="•"/>
      <w:lvlJc w:val="left"/>
      <w:pPr>
        <w:tabs>
          <w:tab w:val="num" w:pos="567"/>
        </w:tabs>
        <w:ind w:left="567" w:hanging="283"/>
      </w:pPr>
      <w:rPr>
        <w:rFonts w:ascii="Cambria" w:hAnsi="Cambria" w:hint="default"/>
        <w:color w:val="C2B000"/>
      </w:rPr>
    </w:lvl>
    <w:lvl w:ilvl="4">
      <w:start w:val="1"/>
      <w:numFmt w:val="none"/>
      <w:lvlText w:val=""/>
      <w:lvlJc w:val="left"/>
      <w:pPr>
        <w:ind w:left="0" w:firstLine="0"/>
      </w:pPr>
      <w:rPr>
        <w:rFonts w:hint="default"/>
      </w:rPr>
    </w:lvl>
    <w:lvl w:ilvl="5">
      <w:start w:val="1"/>
      <w:numFmt w:val="bullet"/>
      <w:pStyle w:val="Tablebullets1stindent"/>
      <w:lvlText w:val=""/>
      <w:lvlJc w:val="left"/>
      <w:pPr>
        <w:tabs>
          <w:tab w:val="num" w:pos="266"/>
        </w:tabs>
        <w:ind w:left="266" w:hanging="170"/>
      </w:pPr>
      <w:rPr>
        <w:rFonts w:ascii="Symbol" w:hAnsi="Symbol" w:hint="default"/>
        <w:color w:val="615800"/>
        <w:sz w:val="16"/>
      </w:rPr>
    </w:lvl>
    <w:lvl w:ilvl="6">
      <w:start w:val="1"/>
      <w:numFmt w:val="bullet"/>
      <w:pStyle w:val="Tablebullets2ndindent"/>
      <w:lvlText w:val=""/>
      <w:lvlJc w:val="left"/>
      <w:pPr>
        <w:tabs>
          <w:tab w:val="num" w:pos="437"/>
        </w:tabs>
        <w:ind w:left="437" w:hanging="171"/>
      </w:pPr>
      <w:rPr>
        <w:rFonts w:ascii="Symbol" w:hAnsi="Symbol" w:hint="default"/>
        <w:color w:val="615800"/>
        <w:sz w:val="16"/>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6" w15:restartNumberingAfterBreak="0">
    <w:nsid w:val="2BA50B97"/>
    <w:multiLevelType w:val="hybridMultilevel"/>
    <w:tmpl w:val="A78C1F92"/>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7" w15:restartNumberingAfterBreak="0">
    <w:nsid w:val="2FEE78FA"/>
    <w:multiLevelType w:val="hybridMultilevel"/>
    <w:tmpl w:val="A2C4AF9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349457B2"/>
    <w:multiLevelType w:val="multilevel"/>
    <w:tmpl w:val="19D43CCC"/>
    <w:lvl w:ilvl="0">
      <w:start w:val="1"/>
      <w:numFmt w:val="bullet"/>
      <w:lvlText w:val=""/>
      <w:lvlJc w:val="left"/>
      <w:pPr>
        <w:ind w:left="284" w:hanging="284"/>
      </w:pPr>
      <w:rPr>
        <w:rFonts w:ascii="Symbol" w:hAnsi="Symbol"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 w15:restartNumberingAfterBreak="0">
    <w:nsid w:val="364F29A9"/>
    <w:multiLevelType w:val="multilevel"/>
    <w:tmpl w:val="92A42DD2"/>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bullet"/>
      <w:pStyle w:val="Bullet1"/>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0" w15:restartNumberingAfterBreak="0">
    <w:nsid w:val="3B804FCD"/>
    <w:multiLevelType w:val="hybridMultilevel"/>
    <w:tmpl w:val="1D907FC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3B811432"/>
    <w:multiLevelType w:val="multilevel"/>
    <w:tmpl w:val="19D43CCC"/>
    <w:lvl w:ilvl="0">
      <w:start w:val="1"/>
      <w:numFmt w:val="bullet"/>
      <w:lvlText w:val=""/>
      <w:lvlJc w:val="left"/>
      <w:pPr>
        <w:ind w:left="284" w:hanging="284"/>
      </w:pPr>
      <w:rPr>
        <w:rFonts w:ascii="Symbol" w:hAnsi="Symbol"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2" w15:restartNumberingAfterBreak="0">
    <w:nsid w:val="40135203"/>
    <w:multiLevelType w:val="hybridMultilevel"/>
    <w:tmpl w:val="5B2C2250"/>
    <w:lvl w:ilvl="0" w:tplc="8162F414">
      <w:start w:val="24"/>
      <w:numFmt w:val="decimal"/>
      <w:lvlText w:val="%1"/>
      <w:lvlJc w:val="left"/>
      <w:pPr>
        <w:ind w:left="786" w:hanging="360"/>
      </w:pPr>
      <w:rPr>
        <w:rFonts w:ascii="Calibri" w:hAnsi="Calibri" w:cs="Calibri" w:hint="default"/>
      </w:rPr>
    </w:lvl>
    <w:lvl w:ilvl="1" w:tplc="0C090019">
      <w:start w:val="1"/>
      <w:numFmt w:val="lowerLetter"/>
      <w:lvlText w:val="%2."/>
      <w:lvlJc w:val="left"/>
      <w:pPr>
        <w:ind w:left="1506" w:hanging="360"/>
      </w:pPr>
    </w:lvl>
    <w:lvl w:ilvl="2" w:tplc="0C09001B">
      <w:start w:val="1"/>
      <w:numFmt w:val="lowerRoman"/>
      <w:lvlText w:val="%3."/>
      <w:lvlJc w:val="right"/>
      <w:pPr>
        <w:ind w:left="2226" w:hanging="180"/>
      </w:pPr>
    </w:lvl>
    <w:lvl w:ilvl="3" w:tplc="0C09000F">
      <w:start w:val="1"/>
      <w:numFmt w:val="decimal"/>
      <w:lvlText w:val="%4."/>
      <w:lvlJc w:val="left"/>
      <w:pPr>
        <w:ind w:left="2946" w:hanging="360"/>
      </w:pPr>
    </w:lvl>
    <w:lvl w:ilvl="4" w:tplc="0C090019">
      <w:start w:val="1"/>
      <w:numFmt w:val="lowerLetter"/>
      <w:lvlText w:val="%5."/>
      <w:lvlJc w:val="left"/>
      <w:pPr>
        <w:ind w:left="3666" w:hanging="360"/>
      </w:pPr>
    </w:lvl>
    <w:lvl w:ilvl="5" w:tplc="0C09001B">
      <w:start w:val="1"/>
      <w:numFmt w:val="lowerRoman"/>
      <w:lvlText w:val="%6."/>
      <w:lvlJc w:val="right"/>
      <w:pPr>
        <w:ind w:left="4386" w:hanging="180"/>
      </w:pPr>
    </w:lvl>
    <w:lvl w:ilvl="6" w:tplc="0C09000F">
      <w:start w:val="1"/>
      <w:numFmt w:val="decimal"/>
      <w:lvlText w:val="%7."/>
      <w:lvlJc w:val="left"/>
      <w:pPr>
        <w:ind w:left="5106" w:hanging="360"/>
      </w:pPr>
    </w:lvl>
    <w:lvl w:ilvl="7" w:tplc="0C090019">
      <w:start w:val="1"/>
      <w:numFmt w:val="lowerLetter"/>
      <w:lvlText w:val="%8."/>
      <w:lvlJc w:val="left"/>
      <w:pPr>
        <w:ind w:left="5826" w:hanging="360"/>
      </w:pPr>
    </w:lvl>
    <w:lvl w:ilvl="8" w:tplc="0C09001B">
      <w:start w:val="1"/>
      <w:numFmt w:val="lowerRoman"/>
      <w:lvlText w:val="%9."/>
      <w:lvlJc w:val="right"/>
      <w:pPr>
        <w:ind w:left="6546" w:hanging="180"/>
      </w:pPr>
    </w:lvl>
  </w:abstractNum>
  <w:abstractNum w:abstractNumId="23" w15:restartNumberingAfterBreak="0">
    <w:nsid w:val="417D0AE9"/>
    <w:multiLevelType w:val="hybridMultilevel"/>
    <w:tmpl w:val="702A85CC"/>
    <w:lvl w:ilvl="0" w:tplc="0C090001">
      <w:start w:val="1"/>
      <w:numFmt w:val="bullet"/>
      <w:lvlText w:val=""/>
      <w:lvlJc w:val="left"/>
      <w:pPr>
        <w:ind w:left="928" w:hanging="360"/>
      </w:pPr>
      <w:rPr>
        <w:rFonts w:ascii="Symbol" w:hAnsi="Symbol" w:hint="default"/>
      </w:rPr>
    </w:lvl>
    <w:lvl w:ilvl="1" w:tplc="0C090003">
      <w:start w:val="1"/>
      <w:numFmt w:val="bullet"/>
      <w:lvlText w:val="o"/>
      <w:lvlJc w:val="left"/>
      <w:pPr>
        <w:ind w:left="1648" w:hanging="360"/>
      </w:pPr>
      <w:rPr>
        <w:rFonts w:ascii="Courier New" w:hAnsi="Courier New" w:cs="Courier New" w:hint="default"/>
      </w:rPr>
    </w:lvl>
    <w:lvl w:ilvl="2" w:tplc="0C090005">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24" w15:restartNumberingAfterBreak="0">
    <w:nsid w:val="42AF647F"/>
    <w:multiLevelType w:val="multilevel"/>
    <w:tmpl w:val="A4B652B6"/>
    <w:lvl w:ilvl="0">
      <w:start w:val="1"/>
      <w:numFmt w:val="decimal"/>
      <w:lvlText w:val="%1."/>
      <w:lvlJc w:val="left"/>
      <w:pPr>
        <w:ind w:left="510" w:hanging="510"/>
      </w:pPr>
      <w:rPr>
        <w:rFonts w:ascii="Arial" w:eastAsia="Cambria" w:hAnsi="Arial" w:cs="Arial" w:hint="default"/>
        <w:i w:val="0"/>
        <w:color w:val="auto"/>
        <w:sz w:val="22"/>
        <w:szCs w:val="22"/>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15:restartNumberingAfterBreak="0">
    <w:nsid w:val="46125937"/>
    <w:multiLevelType w:val="hybridMultilevel"/>
    <w:tmpl w:val="99B67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99244E"/>
    <w:multiLevelType w:val="multilevel"/>
    <w:tmpl w:val="E23C98EA"/>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7" w15:restartNumberingAfterBreak="0">
    <w:nsid w:val="487D31C8"/>
    <w:multiLevelType w:val="hybridMultilevel"/>
    <w:tmpl w:val="6C78A2C8"/>
    <w:lvl w:ilvl="0" w:tplc="77F6B5E2">
      <w:start w:val="1"/>
      <w:numFmt w:val="bullet"/>
      <w:pStyle w:val="Bullets1stindent"/>
      <w:lvlText w:val=""/>
      <w:lvlJc w:val="left"/>
      <w:pPr>
        <w:ind w:left="720" w:hanging="360"/>
      </w:pPr>
      <w:rPr>
        <w:rFonts w:ascii="Symbol" w:hAnsi="Symbol" w:hint="default"/>
      </w:rPr>
    </w:lvl>
    <w:lvl w:ilvl="1" w:tplc="0C090017">
      <w:start w:val="1"/>
      <w:numFmt w:val="bullet"/>
      <w:lvlText w:val="o"/>
      <w:lvlJc w:val="left"/>
      <w:pPr>
        <w:ind w:left="1440" w:hanging="360"/>
      </w:pPr>
      <w:rPr>
        <w:rFonts w:ascii="Courier New" w:hAnsi="Courier New" w:cs="Courier New" w:hint="default"/>
      </w:rPr>
    </w:lvl>
    <w:lvl w:ilvl="2" w:tplc="0C09001B">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8" w15:restartNumberingAfterBreak="0">
    <w:nsid w:val="4B45690C"/>
    <w:multiLevelType w:val="multilevel"/>
    <w:tmpl w:val="E37458BA"/>
    <w:lvl w:ilvl="0">
      <w:start w:val="1"/>
      <w:numFmt w:val="bullet"/>
      <w:pStyle w:val="Bullet3"/>
      <w:lvlText w:val=""/>
      <w:lvlJc w:val="left"/>
      <w:pPr>
        <w:ind w:left="284" w:hanging="284"/>
      </w:pPr>
      <w:rPr>
        <w:rFonts w:ascii="Wingdings" w:hAnsi="Wingdings"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9" w15:restartNumberingAfterBreak="0">
    <w:nsid w:val="4BA42503"/>
    <w:multiLevelType w:val="hybridMultilevel"/>
    <w:tmpl w:val="195C38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F1523F7"/>
    <w:multiLevelType w:val="multilevel"/>
    <w:tmpl w:val="1C5C7DB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31" w15:restartNumberingAfterBreak="0">
    <w:nsid w:val="52013BB0"/>
    <w:multiLevelType w:val="multilevel"/>
    <w:tmpl w:val="19D43CCC"/>
    <w:lvl w:ilvl="0">
      <w:start w:val="1"/>
      <w:numFmt w:val="bullet"/>
      <w:lvlText w:val=""/>
      <w:lvlJc w:val="left"/>
      <w:pPr>
        <w:ind w:left="284" w:hanging="284"/>
      </w:pPr>
      <w:rPr>
        <w:rFonts w:ascii="Symbol" w:hAnsi="Symbol"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2" w15:restartNumberingAfterBreak="0">
    <w:nsid w:val="52D85C96"/>
    <w:multiLevelType w:val="multilevel"/>
    <w:tmpl w:val="19D43CCC"/>
    <w:lvl w:ilvl="0">
      <w:start w:val="1"/>
      <w:numFmt w:val="bullet"/>
      <w:lvlText w:val=""/>
      <w:lvlJc w:val="left"/>
      <w:pPr>
        <w:ind w:left="284" w:hanging="284"/>
      </w:pPr>
      <w:rPr>
        <w:rFonts w:ascii="Symbol" w:hAnsi="Symbol"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3" w15:restartNumberingAfterBreak="0">
    <w:nsid w:val="53EC49A7"/>
    <w:multiLevelType w:val="hybridMultilevel"/>
    <w:tmpl w:val="EFC6007C"/>
    <w:lvl w:ilvl="0" w:tplc="93384DE0">
      <w:start w:val="1"/>
      <w:numFmt w:val="decimal"/>
      <w:pStyle w:val="ListParagraph"/>
      <w:lvlText w:val="%1."/>
      <w:lvlJc w:val="left"/>
      <w:pPr>
        <w:ind w:left="360" w:hanging="360"/>
      </w:pPr>
      <w:rPr>
        <w:rFonts w:hint="default"/>
      </w:rPr>
    </w:lvl>
    <w:lvl w:ilvl="1" w:tplc="A7ACFB9C">
      <w:start w:val="1"/>
      <w:numFmt w:val="lowerLetter"/>
      <w:pStyle w:val="Numberedpara1stindent"/>
      <w:lvlText w:val="%2."/>
      <w:lvlJc w:val="left"/>
      <w:pPr>
        <w:ind w:left="1440" w:hanging="360"/>
      </w:pPr>
      <w:rPr>
        <w:rFonts w:hint="default"/>
      </w:rPr>
    </w:lvl>
    <w:lvl w:ilvl="2" w:tplc="FDDA3FAC">
      <w:start w:val="1"/>
      <w:numFmt w:val="bullet"/>
      <w:lvlText w:val="–"/>
      <w:lvlJc w:val="left"/>
      <w:pPr>
        <w:ind w:left="2160" w:hanging="180"/>
      </w:pPr>
      <w:rPr>
        <w:rFonts w:ascii="Calibri" w:hAnsi="Calibri" w:hint="default"/>
      </w:rPr>
    </w:lvl>
    <w:lvl w:ilvl="3" w:tplc="0C09000F">
      <w:start w:val="1"/>
      <w:numFmt w:val="decimal"/>
      <w:lvlText w:val="%4."/>
      <w:lvlJc w:val="left"/>
      <w:pPr>
        <w:ind w:left="2880" w:hanging="360"/>
      </w:pPr>
    </w:lvl>
    <w:lvl w:ilvl="4" w:tplc="DDE67586">
      <w:numFmt w:val="bullet"/>
      <w:lvlText w:val="-"/>
      <w:lvlJc w:val="left"/>
      <w:pPr>
        <w:ind w:left="3600" w:hanging="360"/>
      </w:pPr>
      <w:rPr>
        <w:rFonts w:ascii="Cambria" w:eastAsia="Times New Roman" w:hAnsi="Cambria" w:cs="Times New Roman"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572313D"/>
    <w:multiLevelType w:val="hybridMultilevel"/>
    <w:tmpl w:val="42169D0E"/>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5" w15:restartNumberingAfterBreak="0">
    <w:nsid w:val="55C23006"/>
    <w:multiLevelType w:val="multilevel"/>
    <w:tmpl w:val="19D43CCC"/>
    <w:lvl w:ilvl="0">
      <w:start w:val="1"/>
      <w:numFmt w:val="bullet"/>
      <w:lvlText w:val=""/>
      <w:lvlJc w:val="left"/>
      <w:pPr>
        <w:ind w:left="284" w:hanging="284"/>
      </w:pPr>
      <w:rPr>
        <w:rFonts w:ascii="Symbol" w:hAnsi="Symbol"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6" w15:restartNumberingAfterBreak="0">
    <w:nsid w:val="58057DFD"/>
    <w:multiLevelType w:val="multilevel"/>
    <w:tmpl w:val="078E56FA"/>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2694"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7"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8" w15:restartNumberingAfterBreak="0">
    <w:nsid w:val="5AA12893"/>
    <w:multiLevelType w:val="multilevel"/>
    <w:tmpl w:val="19D43CCC"/>
    <w:lvl w:ilvl="0">
      <w:start w:val="1"/>
      <w:numFmt w:val="bullet"/>
      <w:lvlText w:val=""/>
      <w:lvlJc w:val="left"/>
      <w:pPr>
        <w:ind w:left="284" w:hanging="284"/>
      </w:pPr>
      <w:rPr>
        <w:rFonts w:ascii="Symbol" w:hAnsi="Symbol"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9" w15:restartNumberingAfterBreak="0">
    <w:nsid w:val="5B9958C2"/>
    <w:multiLevelType w:val="hybridMultilevel"/>
    <w:tmpl w:val="C2F2557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5C5037DA"/>
    <w:multiLevelType w:val="hybridMultilevel"/>
    <w:tmpl w:val="CCEE5346"/>
    <w:lvl w:ilvl="0" w:tplc="724C3ADE">
      <w:start w:val="1"/>
      <w:numFmt w:val="bullet"/>
      <w:pStyle w:val="Bullets3rdindent"/>
      <w:lvlText w:val="o"/>
      <w:lvlJc w:val="left"/>
      <w:pPr>
        <w:ind w:left="1996" w:hanging="360"/>
      </w:pPr>
      <w:rPr>
        <w:rFonts w:ascii="Courier New" w:hAnsi="Courier New" w:cs="Courier New" w:hint="default"/>
      </w:rPr>
    </w:lvl>
    <w:lvl w:ilvl="1" w:tplc="0C090003" w:tentative="1">
      <w:start w:val="1"/>
      <w:numFmt w:val="bullet"/>
      <w:lvlText w:val="o"/>
      <w:lvlJc w:val="left"/>
      <w:pPr>
        <w:ind w:left="2716" w:hanging="360"/>
      </w:pPr>
      <w:rPr>
        <w:rFonts w:ascii="Courier New" w:hAnsi="Courier New" w:cs="Courier New"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Courier New"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Courier New" w:hint="default"/>
      </w:rPr>
    </w:lvl>
    <w:lvl w:ilvl="8" w:tplc="0C090005" w:tentative="1">
      <w:start w:val="1"/>
      <w:numFmt w:val="bullet"/>
      <w:lvlText w:val=""/>
      <w:lvlJc w:val="left"/>
      <w:pPr>
        <w:ind w:left="7756" w:hanging="360"/>
      </w:pPr>
      <w:rPr>
        <w:rFonts w:ascii="Wingdings" w:hAnsi="Wingdings" w:hint="default"/>
      </w:rPr>
    </w:lvl>
  </w:abstractNum>
  <w:abstractNum w:abstractNumId="41"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42" w15:restartNumberingAfterBreak="0">
    <w:nsid w:val="69357587"/>
    <w:multiLevelType w:val="hybridMultilevel"/>
    <w:tmpl w:val="F82421BA"/>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43" w15:restartNumberingAfterBreak="0">
    <w:nsid w:val="6BE172B7"/>
    <w:multiLevelType w:val="hybridMultilevel"/>
    <w:tmpl w:val="83ACC430"/>
    <w:lvl w:ilvl="0" w:tplc="BA10AC88">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1B56D0A"/>
    <w:multiLevelType w:val="multilevel"/>
    <w:tmpl w:val="79262C7A"/>
    <w:numStyleLink w:val="BulletsList"/>
  </w:abstractNum>
  <w:abstractNum w:abstractNumId="45" w15:restartNumberingAfterBreak="0">
    <w:nsid w:val="71FA5281"/>
    <w:multiLevelType w:val="multilevel"/>
    <w:tmpl w:val="52FE3B94"/>
    <w:lvl w:ilvl="0">
      <w:start w:val="1"/>
      <w:numFmt w:val="decimal"/>
      <w:pStyle w:val="Bulletsnumbers"/>
      <w:lvlText w:val="%1."/>
      <w:lvlJc w:val="left"/>
      <w:pPr>
        <w:tabs>
          <w:tab w:val="num" w:pos="284"/>
        </w:tabs>
        <w:ind w:left="284" w:hanging="284"/>
      </w:pPr>
      <w:rPr>
        <w:rFonts w:hint="default"/>
        <w:color w:val="auto"/>
      </w:rPr>
    </w:lvl>
    <w:lvl w:ilvl="1">
      <w:start w:val="1"/>
      <w:numFmt w:val="bullet"/>
      <w:lvlText w:val="•"/>
      <w:lvlJc w:val="left"/>
      <w:pPr>
        <w:tabs>
          <w:tab w:val="num" w:pos="567"/>
        </w:tabs>
        <w:ind w:left="567" w:hanging="283"/>
      </w:pPr>
      <w:rPr>
        <w:rFonts w:ascii="Cambria" w:hAnsi="Cambria" w:hint="default"/>
        <w:color w:val="C2B000"/>
      </w:rPr>
    </w:lvl>
    <w:lvl w:ilvl="2">
      <w:start w:val="1"/>
      <w:numFmt w:val="bullet"/>
      <w:lvlText w:val="•"/>
      <w:lvlJc w:val="left"/>
      <w:pPr>
        <w:tabs>
          <w:tab w:val="num" w:pos="284"/>
        </w:tabs>
        <w:ind w:left="284" w:hanging="284"/>
      </w:pPr>
      <w:rPr>
        <w:rFonts w:ascii="Cambria" w:hAnsi="Cambria" w:hint="default"/>
        <w:color w:val="C2B000"/>
      </w:rPr>
    </w:lvl>
    <w:lvl w:ilvl="3">
      <w:start w:val="1"/>
      <w:numFmt w:val="bullet"/>
      <w:lvlText w:val="•"/>
      <w:lvlJc w:val="left"/>
      <w:pPr>
        <w:tabs>
          <w:tab w:val="num" w:pos="567"/>
        </w:tabs>
        <w:ind w:left="567" w:hanging="283"/>
      </w:pPr>
      <w:rPr>
        <w:rFonts w:ascii="Cambria" w:hAnsi="Cambria" w:hint="default"/>
        <w:color w:val="C2B000"/>
      </w:rPr>
    </w:lvl>
    <w:lvl w:ilvl="4">
      <w:start w:val="1"/>
      <w:numFmt w:val="none"/>
      <w:lvlText w:val=""/>
      <w:lvlJc w:val="left"/>
      <w:pPr>
        <w:ind w:left="0" w:firstLine="0"/>
      </w:pPr>
      <w:rPr>
        <w:rFonts w:hint="default"/>
      </w:rPr>
    </w:lvl>
    <w:lvl w:ilvl="5">
      <w:start w:val="1"/>
      <w:numFmt w:val="bullet"/>
      <w:lvlText w:val="•"/>
      <w:lvlJc w:val="left"/>
      <w:pPr>
        <w:tabs>
          <w:tab w:val="num" w:pos="266"/>
        </w:tabs>
        <w:ind w:left="266" w:hanging="170"/>
      </w:pPr>
      <w:rPr>
        <w:rFonts w:ascii="Cambria" w:hAnsi="Cambria" w:hint="default"/>
        <w:color w:val="C2B000"/>
      </w:rPr>
    </w:lvl>
    <w:lvl w:ilvl="6">
      <w:start w:val="1"/>
      <w:numFmt w:val="bullet"/>
      <w:lvlText w:val="•"/>
      <w:lvlJc w:val="left"/>
      <w:pPr>
        <w:tabs>
          <w:tab w:val="num" w:pos="437"/>
        </w:tabs>
        <w:ind w:left="437" w:hanging="171"/>
      </w:pPr>
      <w:rPr>
        <w:rFonts w:ascii="Cambria" w:hAnsi="Cambria" w:hint="default"/>
        <w:color w:val="C2B000"/>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6" w15:restartNumberingAfterBreak="0">
    <w:nsid w:val="73107305"/>
    <w:multiLevelType w:val="multilevel"/>
    <w:tmpl w:val="79262C7A"/>
    <w:styleLink w:val="BulletsList"/>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7" w15:restartNumberingAfterBreak="0">
    <w:nsid w:val="77F53652"/>
    <w:multiLevelType w:val="hybridMultilevel"/>
    <w:tmpl w:val="346C715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46"/>
  </w:num>
  <w:num w:numId="2">
    <w:abstractNumId w:val="5"/>
    <w:lvlOverride w:ilvl="0">
      <w:lvl w:ilvl="0">
        <w:start w:val="1"/>
        <w:numFmt w:val="decimal"/>
        <w:pStyle w:val="NumberedList1"/>
        <w:lvlText w:val="%1."/>
        <w:lvlJc w:val="left"/>
        <w:pPr>
          <w:ind w:left="3262" w:hanging="284"/>
        </w:pPr>
        <w:rPr>
          <w:rFonts w:hint="default"/>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5955"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3">
    <w:abstractNumId w:val="15"/>
  </w:num>
  <w:num w:numId="4">
    <w:abstractNumId w:val="37"/>
  </w:num>
  <w:num w:numId="5">
    <w:abstractNumId w:val="41"/>
  </w:num>
  <w:num w:numId="6">
    <w:abstractNumId w:val="30"/>
    <w:lvlOverride w:ilvl="8">
      <w:lvl w:ilvl="8">
        <w:start w:val="1"/>
        <w:numFmt w:val="decimal"/>
        <w:lvlRestart w:val="1"/>
        <w:pStyle w:val="Tabletitle"/>
        <w:suff w:val="space"/>
        <w:lvlText w:val="Table %1.%9:"/>
        <w:lvlJc w:val="left"/>
        <w:pPr>
          <w:ind w:left="0" w:firstLine="0"/>
        </w:pPr>
        <w:rPr>
          <w:rFonts w:hint="default"/>
        </w:rPr>
      </w:lvl>
    </w:lvlOverride>
  </w:num>
  <w:num w:numId="7">
    <w:abstractNumId w:val="14"/>
  </w:num>
  <w:num w:numId="8">
    <w:abstractNumId w:val="45"/>
  </w:num>
  <w:num w:numId="9">
    <w:abstractNumId w:val="27"/>
  </w:num>
  <w:num w:numId="10">
    <w:abstractNumId w:val="7"/>
  </w:num>
  <w:num w:numId="11">
    <w:abstractNumId w:val="33"/>
  </w:num>
  <w:num w:numId="12">
    <w:abstractNumId w:val="40"/>
  </w:num>
  <w:num w:numId="13">
    <w:abstractNumId w:val="5"/>
  </w:num>
  <w:num w:numId="14">
    <w:abstractNumId w:val="5"/>
    <w:lvlOverride w:ilvl="0">
      <w:lvl w:ilvl="0">
        <w:start w:val="1"/>
        <w:numFmt w:val="decimal"/>
        <w:pStyle w:val="NumberedList1"/>
        <w:lvlText w:val="%1."/>
        <w:lvlJc w:val="left"/>
        <w:pPr>
          <w:ind w:left="3687" w:hanging="284"/>
        </w:pPr>
        <w:rPr>
          <w:rFonts w:hint="default"/>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15">
    <w:abstractNumId w:val="19"/>
  </w:num>
  <w:num w:numId="16">
    <w:abstractNumId w:val="6"/>
  </w:num>
  <w:num w:numId="17">
    <w:abstractNumId w:val="28"/>
  </w:num>
  <w:num w:numId="18">
    <w:abstractNumId w:val="11"/>
  </w:num>
  <w:num w:numId="19">
    <w:abstractNumId w:val="2"/>
  </w:num>
  <w:num w:numId="20">
    <w:abstractNumId w:val="42"/>
  </w:num>
  <w:num w:numId="21">
    <w:abstractNumId w:val="3"/>
  </w:num>
  <w:num w:numId="22">
    <w:abstractNumId w:val="47"/>
  </w:num>
  <w:num w:numId="23">
    <w:abstractNumId w:val="5"/>
    <w:lvlOverride w:ilvl="0">
      <w:lvl w:ilvl="0">
        <w:start w:val="1"/>
        <w:numFmt w:val="decimal"/>
        <w:pStyle w:val="NumberedList1"/>
        <w:lvlText w:val="%1."/>
        <w:lvlJc w:val="left"/>
        <w:pPr>
          <w:ind w:left="284" w:hanging="284"/>
        </w:pPr>
        <w:rPr>
          <w:rFonts w:hint="default"/>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24">
    <w:abstractNumId w:val="5"/>
    <w:lvlOverride w:ilvl="0">
      <w:lvl w:ilvl="0">
        <w:start w:val="1"/>
        <w:numFmt w:val="decimal"/>
        <w:pStyle w:val="NumberedList1"/>
        <w:lvlText w:val="%1."/>
        <w:lvlJc w:val="left"/>
        <w:pPr>
          <w:ind w:left="284" w:hanging="284"/>
        </w:pPr>
        <w:rPr>
          <w:rFonts w:hint="default"/>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25">
    <w:abstractNumId w:val="5"/>
    <w:lvlOverride w:ilvl="0">
      <w:lvl w:ilvl="0">
        <w:start w:val="1"/>
        <w:numFmt w:val="decimal"/>
        <w:pStyle w:val="NumberedList1"/>
        <w:lvlText w:val="%1."/>
        <w:lvlJc w:val="left"/>
        <w:pPr>
          <w:ind w:left="284" w:hanging="284"/>
        </w:pPr>
        <w:rPr>
          <w:rFonts w:hint="default"/>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26">
    <w:abstractNumId w:val="5"/>
    <w:lvlOverride w:ilvl="0">
      <w:lvl w:ilvl="0">
        <w:start w:val="1"/>
        <w:numFmt w:val="decimal"/>
        <w:pStyle w:val="NumberedList1"/>
        <w:lvlText w:val="%1."/>
        <w:lvlJc w:val="left"/>
        <w:pPr>
          <w:ind w:left="284" w:hanging="284"/>
        </w:pPr>
        <w:rPr>
          <w:rFonts w:hint="default"/>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27">
    <w:abstractNumId w:val="5"/>
    <w:lvlOverride w:ilvl="0">
      <w:lvl w:ilvl="0">
        <w:start w:val="1"/>
        <w:numFmt w:val="decimal"/>
        <w:pStyle w:val="NumberedList1"/>
        <w:lvlText w:val="%1."/>
        <w:lvlJc w:val="left"/>
        <w:pPr>
          <w:ind w:left="284" w:hanging="284"/>
        </w:pPr>
        <w:rPr>
          <w:rFonts w:hint="default"/>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28">
    <w:abstractNumId w:val="5"/>
    <w:lvlOverride w:ilvl="0">
      <w:lvl w:ilvl="0">
        <w:start w:val="1"/>
        <w:numFmt w:val="decimal"/>
        <w:pStyle w:val="NumberedList1"/>
        <w:lvlText w:val="%1."/>
        <w:lvlJc w:val="left"/>
        <w:pPr>
          <w:ind w:left="284" w:hanging="284"/>
        </w:pPr>
        <w:rPr>
          <w:rFonts w:hint="default"/>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29">
    <w:abstractNumId w:val="5"/>
    <w:lvlOverride w:ilvl="0">
      <w:lvl w:ilvl="0">
        <w:start w:val="1"/>
        <w:numFmt w:val="decimal"/>
        <w:pStyle w:val="NumberedList1"/>
        <w:lvlText w:val="%1."/>
        <w:lvlJc w:val="left"/>
        <w:pPr>
          <w:ind w:left="284" w:hanging="284"/>
        </w:pPr>
        <w:rPr>
          <w:rFonts w:hint="default"/>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30">
    <w:abstractNumId w:val="5"/>
    <w:lvlOverride w:ilvl="0">
      <w:lvl w:ilvl="0">
        <w:start w:val="1"/>
        <w:numFmt w:val="decimal"/>
        <w:pStyle w:val="NumberedList1"/>
        <w:lvlText w:val="%1."/>
        <w:lvlJc w:val="left"/>
        <w:pPr>
          <w:ind w:left="284" w:hanging="284"/>
        </w:pPr>
        <w:rPr>
          <w:rFonts w:hint="default"/>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31">
    <w:abstractNumId w:val="5"/>
    <w:lvlOverride w:ilvl="0">
      <w:lvl w:ilvl="0">
        <w:start w:val="1"/>
        <w:numFmt w:val="decimal"/>
        <w:pStyle w:val="NumberedList1"/>
        <w:lvlText w:val="%1."/>
        <w:lvlJc w:val="left"/>
        <w:pPr>
          <w:ind w:left="284" w:hanging="284"/>
        </w:pPr>
        <w:rPr>
          <w:rFonts w:hint="default"/>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32">
    <w:abstractNumId w:val="5"/>
    <w:lvlOverride w:ilvl="0">
      <w:lvl w:ilvl="0">
        <w:start w:val="1"/>
        <w:numFmt w:val="decimal"/>
        <w:pStyle w:val="NumberedList1"/>
        <w:lvlText w:val="%1."/>
        <w:lvlJc w:val="left"/>
        <w:pPr>
          <w:ind w:left="284" w:hanging="284"/>
        </w:pPr>
        <w:rPr>
          <w:rFonts w:hint="default"/>
          <w:b w:val="0"/>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33">
    <w:abstractNumId w:val="34"/>
  </w:num>
  <w:num w:numId="34">
    <w:abstractNumId w:val="5"/>
    <w:lvlOverride w:ilvl="0">
      <w:lvl w:ilvl="0">
        <w:start w:val="1"/>
        <w:numFmt w:val="decimal"/>
        <w:pStyle w:val="NumberedList1"/>
        <w:lvlText w:val="%1."/>
        <w:lvlJc w:val="left"/>
        <w:pPr>
          <w:ind w:left="284" w:hanging="284"/>
        </w:pPr>
        <w:rPr>
          <w:rFonts w:hint="default"/>
          <w:b w:val="0"/>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35">
    <w:abstractNumId w:val="4"/>
  </w:num>
  <w:num w:numId="36">
    <w:abstractNumId w:val="5"/>
    <w:lvlOverride w:ilvl="0">
      <w:lvl w:ilvl="0">
        <w:start w:val="1"/>
        <w:numFmt w:val="decimal"/>
        <w:pStyle w:val="NumberedList1"/>
        <w:lvlText w:val="%1."/>
        <w:lvlJc w:val="left"/>
        <w:pPr>
          <w:ind w:left="284" w:hanging="284"/>
        </w:pPr>
        <w:rPr>
          <w:rFonts w:hint="default"/>
          <w:b w:val="0"/>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37">
    <w:abstractNumId w:val="5"/>
    <w:lvlOverride w:ilvl="0">
      <w:lvl w:ilvl="0">
        <w:start w:val="1"/>
        <w:numFmt w:val="decimal"/>
        <w:pStyle w:val="NumberedList1"/>
        <w:lvlText w:val="%1."/>
        <w:lvlJc w:val="left"/>
        <w:pPr>
          <w:ind w:left="284" w:hanging="284"/>
        </w:pPr>
        <w:rPr>
          <w:rFonts w:hint="default"/>
          <w:b w:val="0"/>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38">
    <w:abstractNumId w:val="5"/>
    <w:lvlOverride w:ilvl="0">
      <w:lvl w:ilvl="0">
        <w:start w:val="1"/>
        <w:numFmt w:val="decimal"/>
        <w:pStyle w:val="NumberedList1"/>
        <w:lvlText w:val="%1."/>
        <w:lvlJc w:val="left"/>
        <w:pPr>
          <w:ind w:left="284" w:hanging="284"/>
        </w:pPr>
        <w:rPr>
          <w:rFonts w:hint="default"/>
          <w:b w:val="0"/>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39">
    <w:abstractNumId w:val="5"/>
    <w:lvlOverride w:ilvl="0">
      <w:lvl w:ilvl="0">
        <w:start w:val="1"/>
        <w:numFmt w:val="decimal"/>
        <w:pStyle w:val="NumberedList1"/>
        <w:lvlText w:val="%1."/>
        <w:lvlJc w:val="left"/>
        <w:pPr>
          <w:ind w:left="284" w:hanging="284"/>
        </w:pPr>
        <w:rPr>
          <w:rFonts w:hint="default"/>
          <w:b w:val="0"/>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40">
    <w:abstractNumId w:val="15"/>
  </w:num>
  <w:num w:numId="41">
    <w:abstractNumId w:val="15"/>
  </w:num>
  <w:num w:numId="42">
    <w:abstractNumId w:val="15"/>
  </w:num>
  <w:num w:numId="43">
    <w:abstractNumId w:val="5"/>
    <w:lvlOverride w:ilvl="0">
      <w:lvl w:ilvl="0">
        <w:start w:val="1"/>
        <w:numFmt w:val="decimal"/>
        <w:pStyle w:val="NumberedList1"/>
        <w:lvlText w:val="%1."/>
        <w:lvlJc w:val="left"/>
        <w:pPr>
          <w:ind w:left="284" w:hanging="284"/>
        </w:pPr>
        <w:rPr>
          <w:rFonts w:hint="default"/>
          <w:b w:val="0"/>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44">
    <w:abstractNumId w:val="5"/>
    <w:lvlOverride w:ilvl="0">
      <w:lvl w:ilvl="0">
        <w:start w:val="1"/>
        <w:numFmt w:val="decimal"/>
        <w:pStyle w:val="NumberedList1"/>
        <w:lvlText w:val="%1."/>
        <w:lvlJc w:val="left"/>
        <w:pPr>
          <w:ind w:left="284" w:hanging="284"/>
        </w:pPr>
        <w:rPr>
          <w:rFonts w:hint="default"/>
          <w:b w:val="0"/>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45">
    <w:abstractNumId w:val="5"/>
    <w:lvlOverride w:ilvl="0">
      <w:lvl w:ilvl="0">
        <w:start w:val="1"/>
        <w:numFmt w:val="decimal"/>
        <w:pStyle w:val="NumberedList1"/>
        <w:lvlText w:val="%1."/>
        <w:lvlJc w:val="left"/>
        <w:pPr>
          <w:ind w:left="710" w:hanging="284"/>
        </w:pPr>
        <w:rPr>
          <w:rFonts w:hint="default"/>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46">
    <w:abstractNumId w:val="39"/>
  </w:num>
  <w:num w:numId="47">
    <w:abstractNumId w:val="10"/>
  </w:num>
  <w:num w:numId="48">
    <w:abstractNumId w:val="5"/>
    <w:lvlOverride w:ilvl="0">
      <w:lvl w:ilvl="0">
        <w:start w:val="1"/>
        <w:numFmt w:val="decimal"/>
        <w:pStyle w:val="NumberedList1"/>
        <w:lvlText w:val="%1."/>
        <w:lvlJc w:val="left"/>
        <w:pPr>
          <w:ind w:left="284" w:hanging="284"/>
        </w:pPr>
        <w:rPr>
          <w:rFonts w:hint="default"/>
          <w:b w:val="0"/>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49">
    <w:abstractNumId w:val="35"/>
  </w:num>
  <w:num w:numId="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
    <w:lvlOverride w:ilvl="0">
      <w:startOverride w:val="1"/>
      <w:lvl w:ilvl="0">
        <w:start w:val="1"/>
        <w:numFmt w:val="decimal"/>
        <w:pStyle w:val="NumberedList1"/>
        <w:lvlText w:val="%1."/>
        <w:lvlJc w:val="left"/>
        <w:pPr>
          <w:ind w:left="284" w:hanging="284"/>
        </w:pPr>
        <w:rPr>
          <w:rFonts w:hint="default"/>
        </w:rPr>
      </w:lvl>
    </w:lvlOverride>
    <w:lvlOverride w:ilvl="1">
      <w:startOverride w:val="1"/>
      <w:lvl w:ilvl="1">
        <w:start w:val="1"/>
        <w:numFmt w:val="lowerLetter"/>
        <w:lvlText w:val="%2."/>
        <w:lvlJc w:val="left"/>
        <w:pPr>
          <w:ind w:left="568" w:hanging="284"/>
        </w:pPr>
        <w:rPr>
          <w:rFonts w:hint="default"/>
        </w:rPr>
      </w:lvl>
    </w:lvlOverride>
    <w:lvlOverride w:ilvl="2">
      <w:startOverride w:val="1"/>
      <w:lvl w:ilvl="2">
        <w:start w:val="1"/>
        <w:numFmt w:val="lowerRoman"/>
        <w:lvlText w:val="%3."/>
        <w:lvlJc w:val="left"/>
        <w:pPr>
          <w:ind w:left="852" w:hanging="284"/>
        </w:pPr>
        <w:rPr>
          <w:rFonts w:hint="default"/>
        </w:rPr>
      </w:lvl>
    </w:lvlOverride>
    <w:lvlOverride w:ilvl="3">
      <w:startOverride w:val="1"/>
      <w:lvl w:ilvl="3">
        <w:start w:val="1"/>
        <w:numFmt w:val="decimal"/>
        <w:lvlText w:val="(%4)"/>
        <w:lvlJc w:val="left"/>
        <w:pPr>
          <w:ind w:left="1136" w:hanging="284"/>
        </w:pPr>
        <w:rPr>
          <w:rFonts w:hint="default"/>
        </w:rPr>
      </w:lvl>
    </w:lvlOverride>
    <w:lvlOverride w:ilvl="4">
      <w:startOverride w:val="1"/>
      <w:lvl w:ilvl="4">
        <w:start w:val="1"/>
        <w:numFmt w:val="lowerLetter"/>
        <w:lvlText w:val="(%5)"/>
        <w:lvlJc w:val="left"/>
        <w:pPr>
          <w:ind w:left="1420" w:hanging="284"/>
        </w:pPr>
        <w:rPr>
          <w:rFonts w:hint="default"/>
        </w:rPr>
      </w:lvl>
    </w:lvlOverride>
    <w:lvlOverride w:ilvl="5">
      <w:startOverride w:val="1"/>
      <w:lvl w:ilvl="5">
        <w:start w:val="1"/>
        <w:numFmt w:val="lowerRoman"/>
        <w:lvlText w:val="(%6)"/>
        <w:lvlJc w:val="left"/>
        <w:pPr>
          <w:ind w:left="1704" w:hanging="284"/>
        </w:pPr>
        <w:rPr>
          <w:rFonts w:hint="default"/>
        </w:rPr>
      </w:lvl>
    </w:lvlOverride>
    <w:lvlOverride w:ilvl="6">
      <w:startOverride w:val="1"/>
      <w:lvl w:ilvl="6">
        <w:start w:val="1"/>
        <w:numFmt w:val="decimal"/>
        <w:lvlText w:val="%7."/>
        <w:lvlJc w:val="left"/>
        <w:pPr>
          <w:ind w:left="1988" w:hanging="284"/>
        </w:pPr>
        <w:rPr>
          <w:rFonts w:hint="default"/>
        </w:rPr>
      </w:lvl>
    </w:lvlOverride>
    <w:lvlOverride w:ilvl="7">
      <w:startOverride w:val="1"/>
      <w:lvl w:ilvl="7">
        <w:start w:val="1"/>
        <w:numFmt w:val="lowerLetter"/>
        <w:lvlText w:val="%8."/>
        <w:lvlJc w:val="left"/>
        <w:pPr>
          <w:ind w:left="2272" w:hanging="284"/>
        </w:pPr>
        <w:rPr>
          <w:rFonts w:hint="default"/>
        </w:rPr>
      </w:lvl>
    </w:lvlOverride>
    <w:lvlOverride w:ilvl="8">
      <w:startOverride w:val="1"/>
      <w:lvl w:ilvl="8">
        <w:start w:val="1"/>
        <w:numFmt w:val="lowerRoman"/>
        <w:lvlText w:val="%9."/>
        <w:lvlJc w:val="left"/>
        <w:pPr>
          <w:ind w:left="2556" w:hanging="284"/>
        </w:pPr>
        <w:rPr>
          <w:rFonts w:hint="default"/>
        </w:rPr>
      </w:lvl>
    </w:lvlOverride>
  </w:num>
  <w:num w:numId="52">
    <w:abstractNumId w:val="5"/>
    <w:lvlOverride w:ilvl="0">
      <w:lvl w:ilvl="0">
        <w:start w:val="1"/>
        <w:numFmt w:val="decimal"/>
        <w:pStyle w:val="NumberedList1"/>
        <w:lvlText w:val="%1."/>
        <w:lvlJc w:val="left"/>
        <w:pPr>
          <w:ind w:left="284" w:hanging="284"/>
        </w:pPr>
        <w:rPr>
          <w:rFonts w:hint="default"/>
          <w:b w:val="0"/>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53">
    <w:abstractNumId w:val="5"/>
    <w:lvlOverride w:ilvl="0">
      <w:lvl w:ilvl="0">
        <w:start w:val="1"/>
        <w:numFmt w:val="decimal"/>
        <w:pStyle w:val="NumberedList1"/>
        <w:lvlText w:val="%1."/>
        <w:lvlJc w:val="left"/>
        <w:pPr>
          <w:ind w:left="284" w:hanging="284"/>
        </w:pPr>
        <w:rPr>
          <w:rFonts w:hint="default"/>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54">
    <w:abstractNumId w:val="32"/>
  </w:num>
  <w:num w:numId="55">
    <w:abstractNumId w:val="23"/>
  </w:num>
  <w:num w:numId="56">
    <w:abstractNumId w:val="19"/>
  </w:num>
  <w:num w:numId="57">
    <w:abstractNumId w:val="19"/>
  </w:num>
  <w:num w:numId="58">
    <w:abstractNumId w:val="5"/>
    <w:lvlOverride w:ilvl="0">
      <w:lvl w:ilvl="0">
        <w:start w:val="1"/>
        <w:numFmt w:val="decimal"/>
        <w:pStyle w:val="NumberedList1"/>
        <w:lvlText w:val="%1."/>
        <w:lvlJc w:val="left"/>
        <w:pPr>
          <w:ind w:left="284" w:hanging="284"/>
        </w:pPr>
        <w:rPr>
          <w:rFonts w:hint="default"/>
          <w:b w:val="0"/>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59">
    <w:abstractNumId w:val="5"/>
    <w:lvlOverride w:ilvl="0">
      <w:lvl w:ilvl="0">
        <w:start w:val="1"/>
        <w:numFmt w:val="decimal"/>
        <w:pStyle w:val="NumberedList1"/>
        <w:lvlText w:val="%1."/>
        <w:lvlJc w:val="left"/>
        <w:pPr>
          <w:ind w:left="284" w:hanging="284"/>
        </w:pPr>
        <w:rPr>
          <w:rFonts w:hint="default"/>
          <w:b w:val="0"/>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60">
    <w:abstractNumId w:val="5"/>
    <w:lvlOverride w:ilvl="0">
      <w:lvl w:ilvl="0">
        <w:start w:val="1"/>
        <w:numFmt w:val="decimal"/>
        <w:pStyle w:val="NumberedList1"/>
        <w:lvlText w:val="%1."/>
        <w:lvlJc w:val="left"/>
        <w:pPr>
          <w:ind w:left="284" w:hanging="284"/>
        </w:pPr>
        <w:rPr>
          <w:rFonts w:hint="default"/>
          <w:b w:val="0"/>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61">
    <w:abstractNumId w:val="5"/>
    <w:lvlOverride w:ilvl="0">
      <w:lvl w:ilvl="0">
        <w:start w:val="1"/>
        <w:numFmt w:val="decimal"/>
        <w:pStyle w:val="NumberedList1"/>
        <w:lvlText w:val="%1."/>
        <w:lvlJc w:val="left"/>
        <w:pPr>
          <w:ind w:left="284" w:hanging="284"/>
        </w:pPr>
        <w:rPr>
          <w:rFonts w:hint="default"/>
          <w:b w:val="0"/>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62">
    <w:abstractNumId w:val="5"/>
    <w:lvlOverride w:ilvl="0">
      <w:lvl w:ilvl="0">
        <w:start w:val="1"/>
        <w:numFmt w:val="decimal"/>
        <w:pStyle w:val="NumberedList1"/>
        <w:lvlText w:val="%1."/>
        <w:lvlJc w:val="left"/>
        <w:pPr>
          <w:ind w:left="284" w:hanging="284"/>
        </w:pPr>
        <w:rPr>
          <w:rFonts w:hint="default"/>
          <w:b w:val="0"/>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63">
    <w:abstractNumId w:val="5"/>
    <w:lvlOverride w:ilvl="0">
      <w:lvl w:ilvl="0">
        <w:start w:val="1"/>
        <w:numFmt w:val="decimal"/>
        <w:pStyle w:val="NumberedList1"/>
        <w:lvlText w:val="%1."/>
        <w:lvlJc w:val="left"/>
        <w:pPr>
          <w:ind w:left="284" w:hanging="284"/>
        </w:pPr>
        <w:rPr>
          <w:rFonts w:hint="default"/>
          <w:b w:val="0"/>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64">
    <w:abstractNumId w:val="5"/>
    <w:lvlOverride w:ilvl="0">
      <w:lvl w:ilvl="0">
        <w:start w:val="1"/>
        <w:numFmt w:val="decimal"/>
        <w:pStyle w:val="NumberedList1"/>
        <w:lvlText w:val="%1."/>
        <w:lvlJc w:val="left"/>
        <w:pPr>
          <w:ind w:left="284" w:hanging="284"/>
        </w:pPr>
        <w:rPr>
          <w:rFonts w:hint="default"/>
          <w:b w:val="0"/>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65">
    <w:abstractNumId w:val="5"/>
    <w:lvlOverride w:ilvl="0">
      <w:lvl w:ilvl="0">
        <w:start w:val="1"/>
        <w:numFmt w:val="decimal"/>
        <w:pStyle w:val="NumberedList1"/>
        <w:lvlText w:val="%1."/>
        <w:lvlJc w:val="left"/>
        <w:pPr>
          <w:ind w:left="284" w:hanging="284"/>
        </w:pPr>
        <w:rPr>
          <w:rFonts w:hint="default"/>
          <w:b w:val="0"/>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66">
    <w:abstractNumId w:val="5"/>
    <w:lvlOverride w:ilvl="0">
      <w:lvl w:ilvl="0">
        <w:start w:val="1"/>
        <w:numFmt w:val="decimal"/>
        <w:pStyle w:val="NumberedList1"/>
        <w:lvlText w:val="%1."/>
        <w:lvlJc w:val="left"/>
        <w:pPr>
          <w:ind w:left="284" w:hanging="284"/>
        </w:pPr>
        <w:rPr>
          <w:rFonts w:hint="default"/>
          <w:b w:val="0"/>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67">
    <w:abstractNumId w:val="5"/>
    <w:lvlOverride w:ilvl="0">
      <w:lvl w:ilvl="0">
        <w:start w:val="1"/>
        <w:numFmt w:val="decimal"/>
        <w:pStyle w:val="NumberedList1"/>
        <w:lvlText w:val="%1."/>
        <w:lvlJc w:val="left"/>
        <w:pPr>
          <w:ind w:left="284" w:hanging="284"/>
        </w:pPr>
        <w:rPr>
          <w:rFonts w:hint="default"/>
          <w:b w:val="0"/>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68">
    <w:abstractNumId w:val="5"/>
    <w:lvlOverride w:ilvl="0">
      <w:lvl w:ilvl="0">
        <w:start w:val="1"/>
        <w:numFmt w:val="decimal"/>
        <w:pStyle w:val="NumberedList1"/>
        <w:lvlText w:val="%1."/>
        <w:lvlJc w:val="left"/>
        <w:pPr>
          <w:ind w:left="284" w:hanging="284"/>
        </w:pPr>
        <w:rPr>
          <w:rFonts w:hint="default"/>
          <w:b w:val="0"/>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69">
    <w:abstractNumId w:val="5"/>
    <w:lvlOverride w:ilvl="0">
      <w:lvl w:ilvl="0">
        <w:start w:val="1"/>
        <w:numFmt w:val="decimal"/>
        <w:pStyle w:val="NumberedList1"/>
        <w:lvlText w:val="%1."/>
        <w:lvlJc w:val="left"/>
        <w:pPr>
          <w:ind w:left="284" w:hanging="284"/>
        </w:pPr>
        <w:rPr>
          <w:rFonts w:hint="default"/>
          <w:b w:val="0"/>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70">
    <w:abstractNumId w:val="5"/>
    <w:lvlOverride w:ilvl="0">
      <w:lvl w:ilvl="0">
        <w:start w:val="1"/>
        <w:numFmt w:val="decimal"/>
        <w:pStyle w:val="NumberedList1"/>
        <w:lvlText w:val="%1."/>
        <w:lvlJc w:val="left"/>
        <w:pPr>
          <w:ind w:left="284" w:hanging="284"/>
        </w:pPr>
        <w:rPr>
          <w:rFonts w:hint="default"/>
          <w:b w:val="0"/>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71">
    <w:abstractNumId w:val="1"/>
  </w:num>
  <w:num w:numId="72">
    <w:abstractNumId w:val="38"/>
  </w:num>
  <w:num w:numId="73">
    <w:abstractNumId w:val="19"/>
  </w:num>
  <w:num w:numId="74">
    <w:abstractNumId w:val="19"/>
  </w:num>
  <w:num w:numId="75">
    <w:abstractNumId w:val="19"/>
  </w:num>
  <w:num w:numId="76">
    <w:abstractNumId w:val="19"/>
  </w:num>
  <w:num w:numId="77">
    <w:abstractNumId w:val="19"/>
  </w:num>
  <w:num w:numId="78">
    <w:abstractNumId w:val="19"/>
  </w:num>
  <w:num w:numId="79">
    <w:abstractNumId w:val="19"/>
  </w:num>
  <w:num w:numId="80">
    <w:abstractNumId w:val="21"/>
  </w:num>
  <w:num w:numId="81">
    <w:abstractNumId w:val="19"/>
  </w:num>
  <w:num w:numId="82">
    <w:abstractNumId w:val="5"/>
    <w:lvlOverride w:ilvl="0">
      <w:lvl w:ilvl="0">
        <w:start w:val="1"/>
        <w:numFmt w:val="decimal"/>
        <w:pStyle w:val="NumberedList1"/>
        <w:lvlText w:val="%1."/>
        <w:lvlJc w:val="left"/>
        <w:pPr>
          <w:ind w:left="284" w:hanging="284"/>
        </w:pPr>
        <w:rPr>
          <w:rFonts w:hint="default"/>
          <w:b w:val="0"/>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83">
    <w:abstractNumId w:val="5"/>
    <w:lvlOverride w:ilvl="0">
      <w:lvl w:ilvl="0">
        <w:start w:val="1"/>
        <w:numFmt w:val="decimal"/>
        <w:pStyle w:val="NumberedList1"/>
        <w:lvlText w:val="%1."/>
        <w:lvlJc w:val="left"/>
        <w:pPr>
          <w:ind w:left="284" w:hanging="284"/>
        </w:pPr>
        <w:rPr>
          <w:rFonts w:hint="default"/>
          <w:b w:val="0"/>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84">
    <w:abstractNumId w:val="5"/>
    <w:lvlOverride w:ilvl="0">
      <w:lvl w:ilvl="0">
        <w:start w:val="1"/>
        <w:numFmt w:val="decimal"/>
        <w:pStyle w:val="NumberedList1"/>
        <w:lvlText w:val="%1."/>
        <w:lvlJc w:val="left"/>
        <w:pPr>
          <w:ind w:left="9073" w:hanging="284"/>
        </w:pPr>
        <w:rPr>
          <w:rFonts w:hint="default"/>
          <w:b w:val="0"/>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85">
    <w:abstractNumId w:val="5"/>
    <w:lvlOverride w:ilvl="0">
      <w:lvl w:ilvl="0">
        <w:start w:val="1"/>
        <w:numFmt w:val="decimal"/>
        <w:pStyle w:val="NumberedList1"/>
        <w:lvlText w:val="%1."/>
        <w:lvlJc w:val="left"/>
        <w:pPr>
          <w:ind w:left="9073" w:hanging="284"/>
        </w:pPr>
        <w:rPr>
          <w:rFonts w:hint="default"/>
          <w:b w:val="0"/>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86">
    <w:abstractNumId w:val="31"/>
  </w:num>
  <w:num w:numId="87">
    <w:abstractNumId w:val="19"/>
  </w:num>
  <w:num w:numId="88">
    <w:abstractNumId w:val="18"/>
  </w:num>
  <w:num w:numId="89">
    <w:abstractNumId w:val="19"/>
  </w:num>
  <w:num w:numId="90">
    <w:abstractNumId w:val="5"/>
    <w:lvlOverride w:ilvl="0">
      <w:lvl w:ilvl="0">
        <w:start w:val="1"/>
        <w:numFmt w:val="decimal"/>
        <w:pStyle w:val="NumberedList1"/>
        <w:lvlText w:val="%1."/>
        <w:lvlJc w:val="left"/>
        <w:pPr>
          <w:ind w:left="9073" w:hanging="284"/>
        </w:pPr>
        <w:rPr>
          <w:rFonts w:hint="default"/>
          <w:b w:val="0"/>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91">
    <w:abstractNumId w:val="5"/>
    <w:lvlOverride w:ilvl="0">
      <w:lvl w:ilvl="0">
        <w:start w:val="1"/>
        <w:numFmt w:val="decimal"/>
        <w:pStyle w:val="NumberedList1"/>
        <w:lvlText w:val="%1."/>
        <w:lvlJc w:val="left"/>
        <w:pPr>
          <w:ind w:left="9073" w:hanging="284"/>
        </w:pPr>
        <w:rPr>
          <w:rFonts w:hint="default"/>
          <w:b w:val="0"/>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92">
    <w:abstractNumId w:val="25"/>
  </w:num>
  <w:num w:numId="93">
    <w:abstractNumId w:val="15"/>
  </w:num>
  <w:num w:numId="94">
    <w:abstractNumId w:val="15"/>
  </w:num>
  <w:num w:numId="95">
    <w:abstractNumId w:val="15"/>
  </w:num>
  <w:num w:numId="96">
    <w:abstractNumId w:val="15"/>
  </w:num>
  <w:num w:numId="97">
    <w:abstractNumId w:val="15"/>
  </w:num>
  <w:num w:numId="98">
    <w:abstractNumId w:val="0"/>
  </w:num>
  <w:num w:numId="99">
    <w:abstractNumId w:val="19"/>
  </w:num>
  <w:num w:numId="100">
    <w:abstractNumId w:val="19"/>
  </w:num>
  <w:num w:numId="101">
    <w:abstractNumId w:val="19"/>
  </w:num>
  <w:num w:numId="102">
    <w:abstractNumId w:val="5"/>
    <w:lvlOverride w:ilvl="0">
      <w:lvl w:ilvl="0">
        <w:start w:val="1"/>
        <w:numFmt w:val="decimal"/>
        <w:pStyle w:val="NumberedList1"/>
        <w:lvlText w:val="%1."/>
        <w:lvlJc w:val="left"/>
        <w:pPr>
          <w:ind w:left="9073" w:hanging="284"/>
        </w:pPr>
        <w:rPr>
          <w:rFonts w:hint="default"/>
          <w:b w:val="0"/>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103">
    <w:abstractNumId w:val="5"/>
    <w:lvlOverride w:ilvl="0">
      <w:lvl w:ilvl="0">
        <w:start w:val="1"/>
        <w:numFmt w:val="decimal"/>
        <w:pStyle w:val="NumberedList1"/>
        <w:lvlText w:val="%1."/>
        <w:lvlJc w:val="left"/>
        <w:pPr>
          <w:ind w:left="9073" w:hanging="284"/>
        </w:pPr>
        <w:rPr>
          <w:rFonts w:hint="default"/>
          <w:b w:val="0"/>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104">
    <w:abstractNumId w:val="15"/>
  </w:num>
  <w:num w:numId="105">
    <w:abstractNumId w:val="15"/>
  </w:num>
  <w:num w:numId="106">
    <w:abstractNumId w:val="15"/>
  </w:num>
  <w:num w:numId="107">
    <w:abstractNumId w:val="15"/>
  </w:num>
  <w:num w:numId="108">
    <w:abstractNumId w:val="5"/>
    <w:lvlOverride w:ilvl="0">
      <w:lvl w:ilvl="0">
        <w:start w:val="1"/>
        <w:numFmt w:val="decimal"/>
        <w:pStyle w:val="NumberedList1"/>
        <w:lvlText w:val="%1."/>
        <w:lvlJc w:val="left"/>
        <w:pPr>
          <w:ind w:left="9073" w:hanging="284"/>
        </w:pPr>
        <w:rPr>
          <w:rFonts w:hint="default"/>
          <w:b w:val="0"/>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109">
    <w:abstractNumId w:val="5"/>
    <w:lvlOverride w:ilvl="0">
      <w:lvl w:ilvl="0">
        <w:start w:val="1"/>
        <w:numFmt w:val="decimal"/>
        <w:pStyle w:val="NumberedList1"/>
        <w:lvlText w:val="%1."/>
        <w:lvlJc w:val="left"/>
        <w:pPr>
          <w:ind w:left="9073" w:hanging="284"/>
        </w:pPr>
        <w:rPr>
          <w:rFonts w:hint="default"/>
          <w:b w:val="0"/>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1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
    <w:lvlOverride w:ilvl="0">
      <w:lvl w:ilvl="0">
        <w:start w:val="1"/>
        <w:numFmt w:val="decimal"/>
        <w:pStyle w:val="NumberedList1"/>
        <w:lvlText w:val="%1."/>
        <w:lvlJc w:val="left"/>
        <w:pPr>
          <w:ind w:left="9073" w:hanging="284"/>
        </w:pPr>
        <w:rPr>
          <w:rFonts w:hint="default"/>
          <w:b w:val="0"/>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112">
    <w:abstractNumId w:val="5"/>
    <w:lvlOverride w:ilvl="0">
      <w:lvl w:ilvl="0">
        <w:start w:val="1"/>
        <w:numFmt w:val="decimal"/>
        <w:pStyle w:val="NumberedList1"/>
        <w:lvlText w:val="%1."/>
        <w:lvlJc w:val="left"/>
        <w:pPr>
          <w:ind w:left="9073" w:hanging="284"/>
        </w:pPr>
        <w:rPr>
          <w:rFonts w:hint="default"/>
          <w:b w:val="0"/>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113">
    <w:abstractNumId w:val="5"/>
    <w:lvlOverride w:ilvl="0">
      <w:lvl w:ilvl="0">
        <w:start w:val="1"/>
        <w:numFmt w:val="decimal"/>
        <w:pStyle w:val="NumberedList1"/>
        <w:lvlText w:val="%1."/>
        <w:lvlJc w:val="left"/>
        <w:pPr>
          <w:ind w:left="9073" w:hanging="284"/>
        </w:pPr>
        <w:rPr>
          <w:rFonts w:hint="default"/>
          <w:b w:val="0"/>
          <w:sz w:val="22"/>
          <w:szCs w:val="22"/>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114">
    <w:abstractNumId w:val="43"/>
  </w:num>
  <w:num w:numId="115">
    <w:abstractNumId w:val="5"/>
    <w:lvlOverride w:ilvl="0">
      <w:startOverride w:val="1"/>
      <w:lvl w:ilvl="0">
        <w:start w:val="1"/>
        <w:numFmt w:val="decimal"/>
        <w:pStyle w:val="NumberedList1"/>
        <w:lvlText w:val="%1."/>
        <w:lvlJc w:val="left"/>
        <w:pPr>
          <w:ind w:left="284" w:hanging="284"/>
        </w:pPr>
        <w:rPr>
          <w:rFonts w:hint="default"/>
        </w:rPr>
      </w:lvl>
    </w:lvlOverride>
    <w:lvlOverride w:ilvl="1">
      <w:startOverride w:val="1"/>
      <w:lvl w:ilvl="1">
        <w:start w:val="1"/>
        <w:numFmt w:val="lowerLetter"/>
        <w:lvlText w:val="%2."/>
        <w:lvlJc w:val="left"/>
        <w:pPr>
          <w:ind w:left="568" w:hanging="284"/>
        </w:pPr>
        <w:rPr>
          <w:rFonts w:hint="default"/>
        </w:rPr>
      </w:lvl>
    </w:lvlOverride>
    <w:lvlOverride w:ilvl="2">
      <w:startOverride w:val="1"/>
      <w:lvl w:ilvl="2">
        <w:start w:val="1"/>
        <w:numFmt w:val="lowerRoman"/>
        <w:lvlText w:val="%3."/>
        <w:lvlJc w:val="left"/>
        <w:pPr>
          <w:ind w:left="852" w:hanging="284"/>
        </w:pPr>
        <w:rPr>
          <w:rFonts w:hint="default"/>
        </w:rPr>
      </w:lvl>
    </w:lvlOverride>
    <w:lvlOverride w:ilvl="3">
      <w:startOverride w:val="1"/>
      <w:lvl w:ilvl="3">
        <w:start w:val="1"/>
        <w:numFmt w:val="decimal"/>
        <w:lvlText w:val="(%4)"/>
        <w:lvlJc w:val="left"/>
        <w:pPr>
          <w:ind w:left="1136" w:hanging="284"/>
        </w:pPr>
        <w:rPr>
          <w:rFonts w:hint="default"/>
        </w:rPr>
      </w:lvl>
    </w:lvlOverride>
    <w:lvlOverride w:ilvl="4">
      <w:startOverride w:val="1"/>
      <w:lvl w:ilvl="4">
        <w:start w:val="1"/>
        <w:numFmt w:val="lowerLetter"/>
        <w:lvlText w:val="(%5)"/>
        <w:lvlJc w:val="left"/>
        <w:pPr>
          <w:ind w:left="1420" w:hanging="284"/>
        </w:pPr>
        <w:rPr>
          <w:rFonts w:hint="default"/>
        </w:rPr>
      </w:lvl>
    </w:lvlOverride>
    <w:lvlOverride w:ilvl="5">
      <w:startOverride w:val="1"/>
      <w:lvl w:ilvl="5">
        <w:start w:val="1"/>
        <w:numFmt w:val="lowerRoman"/>
        <w:lvlText w:val="(%6)"/>
        <w:lvlJc w:val="left"/>
        <w:pPr>
          <w:ind w:left="1704" w:hanging="284"/>
        </w:pPr>
        <w:rPr>
          <w:rFonts w:hint="default"/>
        </w:rPr>
      </w:lvl>
    </w:lvlOverride>
    <w:lvlOverride w:ilvl="6">
      <w:startOverride w:val="1"/>
      <w:lvl w:ilvl="6">
        <w:start w:val="1"/>
        <w:numFmt w:val="decimal"/>
        <w:lvlText w:val="%7."/>
        <w:lvlJc w:val="left"/>
        <w:pPr>
          <w:ind w:left="1988" w:hanging="284"/>
        </w:pPr>
        <w:rPr>
          <w:rFonts w:hint="default"/>
        </w:rPr>
      </w:lvl>
    </w:lvlOverride>
    <w:lvlOverride w:ilvl="7">
      <w:startOverride w:val="1"/>
      <w:lvl w:ilvl="7">
        <w:start w:val="1"/>
        <w:numFmt w:val="lowerLetter"/>
        <w:lvlText w:val="%8."/>
        <w:lvlJc w:val="left"/>
        <w:pPr>
          <w:ind w:left="2272" w:hanging="284"/>
        </w:pPr>
        <w:rPr>
          <w:rFonts w:hint="default"/>
        </w:rPr>
      </w:lvl>
    </w:lvlOverride>
    <w:lvlOverride w:ilvl="8">
      <w:startOverride w:val="1"/>
      <w:lvl w:ilvl="8">
        <w:start w:val="1"/>
        <w:numFmt w:val="lowerRoman"/>
        <w:lvlText w:val="%9."/>
        <w:lvlJc w:val="left"/>
        <w:pPr>
          <w:ind w:left="2556" w:hanging="284"/>
        </w:pPr>
        <w:rPr>
          <w:rFonts w:hint="default"/>
        </w:rPr>
      </w:lvl>
    </w:lvlOverride>
  </w:num>
  <w:num w:numId="116">
    <w:abstractNumId w:val="29"/>
  </w:num>
  <w:num w:numId="117">
    <w:abstractNumId w:val="5"/>
    <w:lvlOverride w:ilvl="0">
      <w:lvl w:ilvl="0">
        <w:start w:val="1"/>
        <w:numFmt w:val="decimal"/>
        <w:pStyle w:val="NumberedList1"/>
        <w:lvlText w:val="%1."/>
        <w:lvlJc w:val="left"/>
        <w:pPr>
          <w:ind w:left="284" w:hanging="284"/>
        </w:pPr>
        <w:rPr>
          <w:rFonts w:hint="default"/>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118">
    <w:abstractNumId w:val="5"/>
    <w:lvlOverride w:ilvl="0">
      <w:lvl w:ilvl="0">
        <w:start w:val="1"/>
        <w:numFmt w:val="decimal"/>
        <w:pStyle w:val="NumberedList1"/>
        <w:lvlText w:val="%1."/>
        <w:lvlJc w:val="left"/>
        <w:pPr>
          <w:ind w:left="284" w:hanging="284"/>
        </w:pPr>
        <w:rPr>
          <w:rFonts w:hint="default"/>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119">
    <w:abstractNumId w:val="5"/>
    <w:lvlOverride w:ilvl="0">
      <w:lvl w:ilvl="0">
        <w:start w:val="1"/>
        <w:numFmt w:val="decimal"/>
        <w:pStyle w:val="NumberedList1"/>
        <w:lvlText w:val="%1."/>
        <w:lvlJc w:val="left"/>
        <w:pPr>
          <w:ind w:left="284" w:hanging="284"/>
        </w:pPr>
        <w:rPr>
          <w:rFonts w:hint="default"/>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120">
    <w:abstractNumId w:val="5"/>
    <w:lvlOverride w:ilvl="0">
      <w:lvl w:ilvl="0">
        <w:start w:val="1"/>
        <w:numFmt w:val="decimal"/>
        <w:pStyle w:val="NumberedList1"/>
        <w:lvlText w:val="%1."/>
        <w:lvlJc w:val="left"/>
        <w:pPr>
          <w:ind w:left="284" w:hanging="284"/>
        </w:pPr>
        <w:rPr>
          <w:rFonts w:hint="default"/>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121">
    <w:abstractNumId w:val="5"/>
    <w:lvlOverride w:ilvl="0">
      <w:lvl w:ilvl="0">
        <w:start w:val="1"/>
        <w:numFmt w:val="decimal"/>
        <w:pStyle w:val="NumberedList1"/>
        <w:lvlText w:val="%1."/>
        <w:lvlJc w:val="left"/>
        <w:pPr>
          <w:ind w:left="284" w:hanging="284"/>
        </w:pPr>
        <w:rPr>
          <w:rFonts w:hint="default"/>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122">
    <w:abstractNumId w:val="5"/>
    <w:lvlOverride w:ilvl="0">
      <w:lvl w:ilvl="0">
        <w:start w:val="1"/>
        <w:numFmt w:val="decimal"/>
        <w:pStyle w:val="NumberedList1"/>
        <w:lvlText w:val="%1."/>
        <w:lvlJc w:val="left"/>
        <w:pPr>
          <w:ind w:left="284" w:hanging="284"/>
        </w:pPr>
        <w:rPr>
          <w:rFonts w:hint="default"/>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123">
    <w:abstractNumId w:val="5"/>
    <w:lvlOverride w:ilvl="0">
      <w:lvl w:ilvl="0">
        <w:start w:val="1"/>
        <w:numFmt w:val="decimal"/>
        <w:pStyle w:val="NumberedList1"/>
        <w:lvlText w:val="%1."/>
        <w:lvlJc w:val="left"/>
        <w:pPr>
          <w:ind w:left="284" w:hanging="284"/>
        </w:pPr>
        <w:rPr>
          <w:rFonts w:hint="default"/>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124">
    <w:abstractNumId w:val="5"/>
    <w:lvlOverride w:ilvl="0">
      <w:lvl w:ilvl="0">
        <w:start w:val="1"/>
        <w:numFmt w:val="decimal"/>
        <w:pStyle w:val="NumberedList1"/>
        <w:lvlText w:val="%1."/>
        <w:lvlJc w:val="left"/>
        <w:pPr>
          <w:ind w:left="284" w:hanging="284"/>
        </w:pPr>
        <w:rPr>
          <w:rFonts w:hint="default"/>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125">
    <w:abstractNumId w:val="24"/>
  </w:num>
  <w:num w:numId="126">
    <w:abstractNumId w:val="5"/>
    <w:lvlOverride w:ilvl="0">
      <w:lvl w:ilvl="0">
        <w:start w:val="1"/>
        <w:numFmt w:val="decimal"/>
        <w:pStyle w:val="NumberedList1"/>
        <w:lvlText w:val="%1."/>
        <w:lvlJc w:val="left"/>
        <w:pPr>
          <w:ind w:left="284" w:hanging="284"/>
        </w:pPr>
        <w:rPr>
          <w:rFonts w:hint="default"/>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127">
    <w:abstractNumId w:val="5"/>
    <w:lvlOverride w:ilvl="0">
      <w:lvl w:ilvl="0">
        <w:start w:val="1"/>
        <w:numFmt w:val="decimal"/>
        <w:pStyle w:val="NumberedList1"/>
        <w:lvlText w:val="%1."/>
        <w:lvlJc w:val="left"/>
        <w:pPr>
          <w:ind w:left="284" w:hanging="284"/>
        </w:pPr>
        <w:rPr>
          <w:rFonts w:hint="default"/>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128">
    <w:abstractNumId w:val="36"/>
  </w:num>
  <w:num w:numId="129">
    <w:abstractNumId w:val="13"/>
  </w:num>
  <w:num w:numId="130">
    <w:abstractNumId w:val="5"/>
    <w:lvlOverride w:ilvl="0">
      <w:lvl w:ilvl="0">
        <w:start w:val="1"/>
        <w:numFmt w:val="decimal"/>
        <w:pStyle w:val="NumberedList1"/>
        <w:lvlText w:val="%1."/>
        <w:lvlJc w:val="left"/>
        <w:pPr>
          <w:ind w:left="284" w:hanging="284"/>
        </w:pPr>
        <w:rPr>
          <w:rFonts w:hint="default"/>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131">
    <w:abstractNumId w:val="5"/>
    <w:lvlOverride w:ilvl="0">
      <w:lvl w:ilvl="0">
        <w:start w:val="1"/>
        <w:numFmt w:val="decimal"/>
        <w:pStyle w:val="NumberedList1"/>
        <w:lvlText w:val="%1."/>
        <w:lvlJc w:val="left"/>
        <w:pPr>
          <w:ind w:left="284" w:hanging="284"/>
        </w:pPr>
        <w:rPr>
          <w:rFonts w:hint="default"/>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132">
    <w:abstractNumId w:val="30"/>
  </w:num>
  <w:num w:numId="133">
    <w:abstractNumId w:val="17"/>
  </w:num>
  <w:num w:numId="134">
    <w:abstractNumId w:val="16"/>
  </w:num>
  <w:num w:numId="135">
    <w:abstractNumId w:val="44"/>
  </w:num>
  <w:num w:numId="136">
    <w:abstractNumId w:val="8"/>
  </w:num>
  <w:num w:numId="137">
    <w:abstractNumId w:val="26"/>
  </w:num>
  <w:num w:numId="138">
    <w:abstractNumId w:val="9"/>
  </w:num>
  <w:num w:numId="139">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5"/>
    <w:lvlOverride w:ilvl="0">
      <w:lvl w:ilvl="0">
        <w:start w:val="1"/>
        <w:numFmt w:val="decimal"/>
        <w:pStyle w:val="NumberedList1"/>
        <w:lvlText w:val="%1."/>
        <w:lvlJc w:val="left"/>
        <w:pPr>
          <w:ind w:left="3687" w:hanging="284"/>
        </w:pPr>
        <w:rPr>
          <w:rFonts w:hint="default"/>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141">
    <w:abstractNumId w:val="5"/>
    <w:lvlOverride w:ilvl="0">
      <w:lvl w:ilvl="0">
        <w:start w:val="1"/>
        <w:numFmt w:val="decimal"/>
        <w:pStyle w:val="NumberedList1"/>
        <w:lvlText w:val="%1."/>
        <w:lvlJc w:val="left"/>
        <w:pPr>
          <w:ind w:left="4537" w:hanging="284"/>
        </w:pPr>
        <w:rPr>
          <w:rFonts w:hint="default"/>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142">
    <w:abstractNumId w:val="22"/>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2"/>
    <w:lvlOverride w:ilvl="0">
      <w:startOverride w:val="7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6C"/>
    <w:rsid w:val="00001816"/>
    <w:rsid w:val="00003F3C"/>
    <w:rsid w:val="00005806"/>
    <w:rsid w:val="00005B97"/>
    <w:rsid w:val="00006785"/>
    <w:rsid w:val="000118E9"/>
    <w:rsid w:val="0001243A"/>
    <w:rsid w:val="000128C6"/>
    <w:rsid w:val="000168EB"/>
    <w:rsid w:val="0002026C"/>
    <w:rsid w:val="000205B7"/>
    <w:rsid w:val="00021453"/>
    <w:rsid w:val="0002296E"/>
    <w:rsid w:val="000250B8"/>
    <w:rsid w:val="00025C75"/>
    <w:rsid w:val="000267B4"/>
    <w:rsid w:val="0002782F"/>
    <w:rsid w:val="0003035B"/>
    <w:rsid w:val="00030FE0"/>
    <w:rsid w:val="00031BAB"/>
    <w:rsid w:val="00032222"/>
    <w:rsid w:val="0003233F"/>
    <w:rsid w:val="00034175"/>
    <w:rsid w:val="0003582F"/>
    <w:rsid w:val="00037889"/>
    <w:rsid w:val="00054E4D"/>
    <w:rsid w:val="000558D4"/>
    <w:rsid w:val="000560C6"/>
    <w:rsid w:val="00056B97"/>
    <w:rsid w:val="00057B8B"/>
    <w:rsid w:val="00060073"/>
    <w:rsid w:val="000603C7"/>
    <w:rsid w:val="000605C2"/>
    <w:rsid w:val="000615A0"/>
    <w:rsid w:val="0006578D"/>
    <w:rsid w:val="00065B40"/>
    <w:rsid w:val="000740F6"/>
    <w:rsid w:val="00074576"/>
    <w:rsid w:val="000755A1"/>
    <w:rsid w:val="00075D69"/>
    <w:rsid w:val="00076DA8"/>
    <w:rsid w:val="00077259"/>
    <w:rsid w:val="00081112"/>
    <w:rsid w:val="00081C25"/>
    <w:rsid w:val="000829F4"/>
    <w:rsid w:val="00085A4F"/>
    <w:rsid w:val="000879AE"/>
    <w:rsid w:val="00090D0D"/>
    <w:rsid w:val="00094446"/>
    <w:rsid w:val="0009600C"/>
    <w:rsid w:val="000965F4"/>
    <w:rsid w:val="0009669D"/>
    <w:rsid w:val="000A4B30"/>
    <w:rsid w:val="000A6A8B"/>
    <w:rsid w:val="000B34A8"/>
    <w:rsid w:val="000B397F"/>
    <w:rsid w:val="000C2A48"/>
    <w:rsid w:val="000C5F75"/>
    <w:rsid w:val="000C6501"/>
    <w:rsid w:val="000D0558"/>
    <w:rsid w:val="000D55A4"/>
    <w:rsid w:val="000D60B1"/>
    <w:rsid w:val="000D7623"/>
    <w:rsid w:val="000E0F29"/>
    <w:rsid w:val="000E413D"/>
    <w:rsid w:val="000F0343"/>
    <w:rsid w:val="000F47BF"/>
    <w:rsid w:val="001023CE"/>
    <w:rsid w:val="001041B2"/>
    <w:rsid w:val="00111C98"/>
    <w:rsid w:val="0011239B"/>
    <w:rsid w:val="001143C6"/>
    <w:rsid w:val="001174DC"/>
    <w:rsid w:val="00117FA7"/>
    <w:rsid w:val="001223C3"/>
    <w:rsid w:val="00122C33"/>
    <w:rsid w:val="00132249"/>
    <w:rsid w:val="00134D94"/>
    <w:rsid w:val="001350E9"/>
    <w:rsid w:val="00136530"/>
    <w:rsid w:val="00137D88"/>
    <w:rsid w:val="00142CC3"/>
    <w:rsid w:val="00144E90"/>
    <w:rsid w:val="0015047B"/>
    <w:rsid w:val="0015074D"/>
    <w:rsid w:val="00153B11"/>
    <w:rsid w:val="00153FF3"/>
    <w:rsid w:val="001541EA"/>
    <w:rsid w:val="001566A5"/>
    <w:rsid w:val="001612A4"/>
    <w:rsid w:val="0016132A"/>
    <w:rsid w:val="001653F4"/>
    <w:rsid w:val="00167B5E"/>
    <w:rsid w:val="001727B5"/>
    <w:rsid w:val="00173437"/>
    <w:rsid w:val="00174938"/>
    <w:rsid w:val="00174DD2"/>
    <w:rsid w:val="00180FCE"/>
    <w:rsid w:val="00182058"/>
    <w:rsid w:val="0018549D"/>
    <w:rsid w:val="001865CB"/>
    <w:rsid w:val="00190773"/>
    <w:rsid w:val="0019258E"/>
    <w:rsid w:val="0019287B"/>
    <w:rsid w:val="00192EF0"/>
    <w:rsid w:val="001935DA"/>
    <w:rsid w:val="001937FC"/>
    <w:rsid w:val="001A159E"/>
    <w:rsid w:val="001A18B3"/>
    <w:rsid w:val="001A20FB"/>
    <w:rsid w:val="001A3DBC"/>
    <w:rsid w:val="001A427A"/>
    <w:rsid w:val="001B6094"/>
    <w:rsid w:val="001B772C"/>
    <w:rsid w:val="001C6EA7"/>
    <w:rsid w:val="001C7759"/>
    <w:rsid w:val="001D06A1"/>
    <w:rsid w:val="001D28CA"/>
    <w:rsid w:val="001D306E"/>
    <w:rsid w:val="001D4BB5"/>
    <w:rsid w:val="001D5188"/>
    <w:rsid w:val="001D7EB4"/>
    <w:rsid w:val="001E104D"/>
    <w:rsid w:val="001E1200"/>
    <w:rsid w:val="001E1DC0"/>
    <w:rsid w:val="001E2069"/>
    <w:rsid w:val="001F1330"/>
    <w:rsid w:val="001F5228"/>
    <w:rsid w:val="001F5AA7"/>
    <w:rsid w:val="001F5F5F"/>
    <w:rsid w:val="0020122A"/>
    <w:rsid w:val="00204564"/>
    <w:rsid w:val="00205CDA"/>
    <w:rsid w:val="00210FAA"/>
    <w:rsid w:val="002117FD"/>
    <w:rsid w:val="00212EE9"/>
    <w:rsid w:val="00215633"/>
    <w:rsid w:val="002164C1"/>
    <w:rsid w:val="00222AEC"/>
    <w:rsid w:val="002231F4"/>
    <w:rsid w:val="00224140"/>
    <w:rsid w:val="0022538D"/>
    <w:rsid w:val="00226A79"/>
    <w:rsid w:val="002337AE"/>
    <w:rsid w:val="00235697"/>
    <w:rsid w:val="0024147E"/>
    <w:rsid w:val="002415C0"/>
    <w:rsid w:val="00242D30"/>
    <w:rsid w:val="00242DE1"/>
    <w:rsid w:val="0024558C"/>
    <w:rsid w:val="002458C7"/>
    <w:rsid w:val="0024693E"/>
    <w:rsid w:val="002524EF"/>
    <w:rsid w:val="00252C2C"/>
    <w:rsid w:val="002579F7"/>
    <w:rsid w:val="00262851"/>
    <w:rsid w:val="00265F5F"/>
    <w:rsid w:val="00266928"/>
    <w:rsid w:val="002676C9"/>
    <w:rsid w:val="00267BF3"/>
    <w:rsid w:val="00270798"/>
    <w:rsid w:val="00274CF2"/>
    <w:rsid w:val="00275E01"/>
    <w:rsid w:val="00275F8E"/>
    <w:rsid w:val="0028027F"/>
    <w:rsid w:val="002809A5"/>
    <w:rsid w:val="0028602A"/>
    <w:rsid w:val="002919A5"/>
    <w:rsid w:val="002921AF"/>
    <w:rsid w:val="00292F42"/>
    <w:rsid w:val="002941CC"/>
    <w:rsid w:val="002A150D"/>
    <w:rsid w:val="002A2D54"/>
    <w:rsid w:val="002A554E"/>
    <w:rsid w:val="002A6312"/>
    <w:rsid w:val="002A6C57"/>
    <w:rsid w:val="002B742B"/>
    <w:rsid w:val="002C1B69"/>
    <w:rsid w:val="002C6290"/>
    <w:rsid w:val="002D3BD6"/>
    <w:rsid w:val="002D3F0C"/>
    <w:rsid w:val="002D415F"/>
    <w:rsid w:val="002D4528"/>
    <w:rsid w:val="002D7560"/>
    <w:rsid w:val="002D780B"/>
    <w:rsid w:val="002E055D"/>
    <w:rsid w:val="002E7BED"/>
    <w:rsid w:val="002E7DF5"/>
    <w:rsid w:val="002F3A4D"/>
    <w:rsid w:val="00301144"/>
    <w:rsid w:val="003019DD"/>
    <w:rsid w:val="00303FFD"/>
    <w:rsid w:val="00304DEE"/>
    <w:rsid w:val="00305BB1"/>
    <w:rsid w:val="003109AB"/>
    <w:rsid w:val="0031117E"/>
    <w:rsid w:val="0031118A"/>
    <w:rsid w:val="00313742"/>
    <w:rsid w:val="003140C3"/>
    <w:rsid w:val="003148B7"/>
    <w:rsid w:val="003158C3"/>
    <w:rsid w:val="00315F5B"/>
    <w:rsid w:val="003164C5"/>
    <w:rsid w:val="00320D98"/>
    <w:rsid w:val="00325D5A"/>
    <w:rsid w:val="0032634A"/>
    <w:rsid w:val="003274CD"/>
    <w:rsid w:val="00330C65"/>
    <w:rsid w:val="00334B54"/>
    <w:rsid w:val="00336732"/>
    <w:rsid w:val="00344430"/>
    <w:rsid w:val="00344994"/>
    <w:rsid w:val="0035119D"/>
    <w:rsid w:val="003535BE"/>
    <w:rsid w:val="00355814"/>
    <w:rsid w:val="0035645A"/>
    <w:rsid w:val="00360E00"/>
    <w:rsid w:val="00362D50"/>
    <w:rsid w:val="00364E74"/>
    <w:rsid w:val="0036578D"/>
    <w:rsid w:val="003659A4"/>
    <w:rsid w:val="00365C5B"/>
    <w:rsid w:val="00366225"/>
    <w:rsid w:val="0037058C"/>
    <w:rsid w:val="00370740"/>
    <w:rsid w:val="003729ED"/>
    <w:rsid w:val="00373420"/>
    <w:rsid w:val="00374052"/>
    <w:rsid w:val="0037644B"/>
    <w:rsid w:val="00376E49"/>
    <w:rsid w:val="00380F99"/>
    <w:rsid w:val="003825CC"/>
    <w:rsid w:val="0039089D"/>
    <w:rsid w:val="00390B07"/>
    <w:rsid w:val="003925E9"/>
    <w:rsid w:val="00393A4F"/>
    <w:rsid w:val="00396E11"/>
    <w:rsid w:val="00397A60"/>
    <w:rsid w:val="003A0F2C"/>
    <w:rsid w:val="003A19A9"/>
    <w:rsid w:val="003A26E3"/>
    <w:rsid w:val="003A71C5"/>
    <w:rsid w:val="003A73E4"/>
    <w:rsid w:val="003B3D1D"/>
    <w:rsid w:val="003B4F12"/>
    <w:rsid w:val="003B5FFD"/>
    <w:rsid w:val="003B6A9C"/>
    <w:rsid w:val="003C0E5E"/>
    <w:rsid w:val="003C1405"/>
    <w:rsid w:val="003C1CCC"/>
    <w:rsid w:val="003C1D69"/>
    <w:rsid w:val="003C2BAA"/>
    <w:rsid w:val="003C7218"/>
    <w:rsid w:val="003C7CC1"/>
    <w:rsid w:val="003D295A"/>
    <w:rsid w:val="003D314C"/>
    <w:rsid w:val="003D4335"/>
    <w:rsid w:val="003E2640"/>
    <w:rsid w:val="003E3BF1"/>
    <w:rsid w:val="003E41C5"/>
    <w:rsid w:val="003E6246"/>
    <w:rsid w:val="003E6254"/>
    <w:rsid w:val="003E63DD"/>
    <w:rsid w:val="003F398A"/>
    <w:rsid w:val="003F5AB2"/>
    <w:rsid w:val="003F720E"/>
    <w:rsid w:val="0040158D"/>
    <w:rsid w:val="00401A0F"/>
    <w:rsid w:val="00402569"/>
    <w:rsid w:val="00410906"/>
    <w:rsid w:val="00410FAB"/>
    <w:rsid w:val="00414474"/>
    <w:rsid w:val="00414944"/>
    <w:rsid w:val="004176E6"/>
    <w:rsid w:val="00420441"/>
    <w:rsid w:val="0042132B"/>
    <w:rsid w:val="00423F31"/>
    <w:rsid w:val="0042714C"/>
    <w:rsid w:val="00431899"/>
    <w:rsid w:val="0043430A"/>
    <w:rsid w:val="00434F12"/>
    <w:rsid w:val="0044444A"/>
    <w:rsid w:val="00444717"/>
    <w:rsid w:val="004540AD"/>
    <w:rsid w:val="00454A7D"/>
    <w:rsid w:val="00455B29"/>
    <w:rsid w:val="0046056E"/>
    <w:rsid w:val="00461141"/>
    <w:rsid w:val="00462171"/>
    <w:rsid w:val="00462267"/>
    <w:rsid w:val="0047009C"/>
    <w:rsid w:val="004716C0"/>
    <w:rsid w:val="00472A7B"/>
    <w:rsid w:val="0047380F"/>
    <w:rsid w:val="00473C4A"/>
    <w:rsid w:val="0048297B"/>
    <w:rsid w:val="00484B2D"/>
    <w:rsid w:val="00485D24"/>
    <w:rsid w:val="00485FEA"/>
    <w:rsid w:val="00486804"/>
    <w:rsid w:val="00491608"/>
    <w:rsid w:val="00492043"/>
    <w:rsid w:val="0049237D"/>
    <w:rsid w:val="004930D1"/>
    <w:rsid w:val="004946A0"/>
    <w:rsid w:val="00495656"/>
    <w:rsid w:val="004A0917"/>
    <w:rsid w:val="004A0D88"/>
    <w:rsid w:val="004A4BD6"/>
    <w:rsid w:val="004A741A"/>
    <w:rsid w:val="004A7CCA"/>
    <w:rsid w:val="004B3775"/>
    <w:rsid w:val="004B61ED"/>
    <w:rsid w:val="004C0F87"/>
    <w:rsid w:val="004C2A06"/>
    <w:rsid w:val="004C3D75"/>
    <w:rsid w:val="004C5E5E"/>
    <w:rsid w:val="004C7199"/>
    <w:rsid w:val="004D0E47"/>
    <w:rsid w:val="004D158D"/>
    <w:rsid w:val="004D1D5F"/>
    <w:rsid w:val="004D2043"/>
    <w:rsid w:val="004D4559"/>
    <w:rsid w:val="004D5326"/>
    <w:rsid w:val="004D67BD"/>
    <w:rsid w:val="004E058F"/>
    <w:rsid w:val="004E2098"/>
    <w:rsid w:val="004E26DA"/>
    <w:rsid w:val="004E3B87"/>
    <w:rsid w:val="004E3F71"/>
    <w:rsid w:val="004E5B59"/>
    <w:rsid w:val="004E65FA"/>
    <w:rsid w:val="004E71F5"/>
    <w:rsid w:val="004F1178"/>
    <w:rsid w:val="004F68A6"/>
    <w:rsid w:val="004F6A88"/>
    <w:rsid w:val="004F71F5"/>
    <w:rsid w:val="004F73E8"/>
    <w:rsid w:val="00503598"/>
    <w:rsid w:val="00503B9D"/>
    <w:rsid w:val="00503C37"/>
    <w:rsid w:val="005106EC"/>
    <w:rsid w:val="00510921"/>
    <w:rsid w:val="00510AD3"/>
    <w:rsid w:val="00510D4D"/>
    <w:rsid w:val="0051199A"/>
    <w:rsid w:val="005120FA"/>
    <w:rsid w:val="00513348"/>
    <w:rsid w:val="0051496A"/>
    <w:rsid w:val="00514FC6"/>
    <w:rsid w:val="00520C04"/>
    <w:rsid w:val="0052347F"/>
    <w:rsid w:val="0053231E"/>
    <w:rsid w:val="00532B35"/>
    <w:rsid w:val="00533B5D"/>
    <w:rsid w:val="00534994"/>
    <w:rsid w:val="00535966"/>
    <w:rsid w:val="00537FC8"/>
    <w:rsid w:val="00543020"/>
    <w:rsid w:val="0055281E"/>
    <w:rsid w:val="0055288B"/>
    <w:rsid w:val="005570E8"/>
    <w:rsid w:val="00566424"/>
    <w:rsid w:val="00566CF9"/>
    <w:rsid w:val="00567A0F"/>
    <w:rsid w:val="00570B7C"/>
    <w:rsid w:val="00573DBF"/>
    <w:rsid w:val="00574A12"/>
    <w:rsid w:val="00574FDE"/>
    <w:rsid w:val="005754E9"/>
    <w:rsid w:val="00576642"/>
    <w:rsid w:val="00576A57"/>
    <w:rsid w:val="00582D93"/>
    <w:rsid w:val="00582FDC"/>
    <w:rsid w:val="00584175"/>
    <w:rsid w:val="0058436C"/>
    <w:rsid w:val="005844DF"/>
    <w:rsid w:val="005846AC"/>
    <w:rsid w:val="00590402"/>
    <w:rsid w:val="00593711"/>
    <w:rsid w:val="005970EA"/>
    <w:rsid w:val="005A17EE"/>
    <w:rsid w:val="005A7596"/>
    <w:rsid w:val="005B4F8A"/>
    <w:rsid w:val="005B696C"/>
    <w:rsid w:val="005C176C"/>
    <w:rsid w:val="005C33CE"/>
    <w:rsid w:val="005C365F"/>
    <w:rsid w:val="005C37F0"/>
    <w:rsid w:val="005C491D"/>
    <w:rsid w:val="005C6912"/>
    <w:rsid w:val="005C6FFA"/>
    <w:rsid w:val="005D2D36"/>
    <w:rsid w:val="005D2F8A"/>
    <w:rsid w:val="005D368F"/>
    <w:rsid w:val="005D5F0F"/>
    <w:rsid w:val="005D7EA6"/>
    <w:rsid w:val="005E0771"/>
    <w:rsid w:val="005E09D3"/>
    <w:rsid w:val="005E408B"/>
    <w:rsid w:val="005E4814"/>
    <w:rsid w:val="005E5CB9"/>
    <w:rsid w:val="005E7E61"/>
    <w:rsid w:val="005F4BB6"/>
    <w:rsid w:val="005F54F5"/>
    <w:rsid w:val="00604C35"/>
    <w:rsid w:val="006065A2"/>
    <w:rsid w:val="00611D96"/>
    <w:rsid w:val="00611E92"/>
    <w:rsid w:val="006133D8"/>
    <w:rsid w:val="00614AA9"/>
    <w:rsid w:val="0061621D"/>
    <w:rsid w:val="00622A59"/>
    <w:rsid w:val="00623BA1"/>
    <w:rsid w:val="00625602"/>
    <w:rsid w:val="006278AF"/>
    <w:rsid w:val="00632390"/>
    <w:rsid w:val="006346BC"/>
    <w:rsid w:val="00635F1F"/>
    <w:rsid w:val="00644B08"/>
    <w:rsid w:val="006516E5"/>
    <w:rsid w:val="00652281"/>
    <w:rsid w:val="00654EA7"/>
    <w:rsid w:val="0065506F"/>
    <w:rsid w:val="00655263"/>
    <w:rsid w:val="006578B2"/>
    <w:rsid w:val="0066050C"/>
    <w:rsid w:val="00660814"/>
    <w:rsid w:val="00661A7B"/>
    <w:rsid w:val="00662CE7"/>
    <w:rsid w:val="006633BF"/>
    <w:rsid w:val="00666291"/>
    <w:rsid w:val="0066652A"/>
    <w:rsid w:val="0066788E"/>
    <w:rsid w:val="00670172"/>
    <w:rsid w:val="00670BCA"/>
    <w:rsid w:val="00677745"/>
    <w:rsid w:val="00680973"/>
    <w:rsid w:val="00682167"/>
    <w:rsid w:val="00682F7F"/>
    <w:rsid w:val="00686592"/>
    <w:rsid w:val="00687B73"/>
    <w:rsid w:val="00691856"/>
    <w:rsid w:val="00692A11"/>
    <w:rsid w:val="006938CF"/>
    <w:rsid w:val="00694DA2"/>
    <w:rsid w:val="006960F2"/>
    <w:rsid w:val="006A1AF5"/>
    <w:rsid w:val="006A1CE8"/>
    <w:rsid w:val="006A1DB4"/>
    <w:rsid w:val="006A4AC7"/>
    <w:rsid w:val="006B1465"/>
    <w:rsid w:val="006C11FF"/>
    <w:rsid w:val="006C140D"/>
    <w:rsid w:val="006C42AF"/>
    <w:rsid w:val="006C4A86"/>
    <w:rsid w:val="006C4DD1"/>
    <w:rsid w:val="006C65C2"/>
    <w:rsid w:val="006C65DA"/>
    <w:rsid w:val="006C7ED4"/>
    <w:rsid w:val="006D3773"/>
    <w:rsid w:val="006E4D56"/>
    <w:rsid w:val="006E76A5"/>
    <w:rsid w:val="006F17CA"/>
    <w:rsid w:val="006F1F75"/>
    <w:rsid w:val="006F3056"/>
    <w:rsid w:val="006F33F7"/>
    <w:rsid w:val="006F3A1C"/>
    <w:rsid w:val="006F4732"/>
    <w:rsid w:val="006F7A51"/>
    <w:rsid w:val="007001B1"/>
    <w:rsid w:val="007004C6"/>
    <w:rsid w:val="007005D8"/>
    <w:rsid w:val="007026B9"/>
    <w:rsid w:val="00704B54"/>
    <w:rsid w:val="00706AE8"/>
    <w:rsid w:val="007079CF"/>
    <w:rsid w:val="00711D8E"/>
    <w:rsid w:val="00712672"/>
    <w:rsid w:val="007134C1"/>
    <w:rsid w:val="00716C9D"/>
    <w:rsid w:val="00720B35"/>
    <w:rsid w:val="007210D2"/>
    <w:rsid w:val="007211FE"/>
    <w:rsid w:val="00722C59"/>
    <w:rsid w:val="0072327C"/>
    <w:rsid w:val="00726F6B"/>
    <w:rsid w:val="00727295"/>
    <w:rsid w:val="007272B1"/>
    <w:rsid w:val="00727635"/>
    <w:rsid w:val="00727C9A"/>
    <w:rsid w:val="00732509"/>
    <w:rsid w:val="00734E3F"/>
    <w:rsid w:val="00735460"/>
    <w:rsid w:val="007361C6"/>
    <w:rsid w:val="00736985"/>
    <w:rsid w:val="00737A13"/>
    <w:rsid w:val="00741464"/>
    <w:rsid w:val="00741E47"/>
    <w:rsid w:val="007452AF"/>
    <w:rsid w:val="00745799"/>
    <w:rsid w:val="00750B42"/>
    <w:rsid w:val="00762B34"/>
    <w:rsid w:val="00763037"/>
    <w:rsid w:val="00763C2A"/>
    <w:rsid w:val="007707A2"/>
    <w:rsid w:val="00772193"/>
    <w:rsid w:val="00772DA4"/>
    <w:rsid w:val="007817C6"/>
    <w:rsid w:val="00783B4E"/>
    <w:rsid w:val="007844C3"/>
    <w:rsid w:val="007859A8"/>
    <w:rsid w:val="00787994"/>
    <w:rsid w:val="00791DAA"/>
    <w:rsid w:val="00797686"/>
    <w:rsid w:val="00797A42"/>
    <w:rsid w:val="00797D96"/>
    <w:rsid w:val="007A0100"/>
    <w:rsid w:val="007A01C2"/>
    <w:rsid w:val="007A165B"/>
    <w:rsid w:val="007A1FD9"/>
    <w:rsid w:val="007B1617"/>
    <w:rsid w:val="007B2F79"/>
    <w:rsid w:val="007B4B59"/>
    <w:rsid w:val="007B561B"/>
    <w:rsid w:val="007B6200"/>
    <w:rsid w:val="007B7C8D"/>
    <w:rsid w:val="007C23BB"/>
    <w:rsid w:val="007C2F35"/>
    <w:rsid w:val="007C3D87"/>
    <w:rsid w:val="007C46EB"/>
    <w:rsid w:val="007C7FB6"/>
    <w:rsid w:val="007D2D40"/>
    <w:rsid w:val="007D4D14"/>
    <w:rsid w:val="007D7DB7"/>
    <w:rsid w:val="007E0700"/>
    <w:rsid w:val="007E6179"/>
    <w:rsid w:val="007E6C35"/>
    <w:rsid w:val="007E6CF5"/>
    <w:rsid w:val="007F1F7F"/>
    <w:rsid w:val="007F400F"/>
    <w:rsid w:val="00800799"/>
    <w:rsid w:val="00801B9F"/>
    <w:rsid w:val="00802BBE"/>
    <w:rsid w:val="00804051"/>
    <w:rsid w:val="00805264"/>
    <w:rsid w:val="00810ADA"/>
    <w:rsid w:val="0081126C"/>
    <w:rsid w:val="00822355"/>
    <w:rsid w:val="008263B1"/>
    <w:rsid w:val="0083499F"/>
    <w:rsid w:val="00836069"/>
    <w:rsid w:val="0084135B"/>
    <w:rsid w:val="008436BE"/>
    <w:rsid w:val="0084520B"/>
    <w:rsid w:val="00853E9B"/>
    <w:rsid w:val="00857E44"/>
    <w:rsid w:val="008671E3"/>
    <w:rsid w:val="008702D4"/>
    <w:rsid w:val="00873D7E"/>
    <w:rsid w:val="008760A5"/>
    <w:rsid w:val="0087616C"/>
    <w:rsid w:val="00880B3F"/>
    <w:rsid w:val="00882639"/>
    <w:rsid w:val="00883732"/>
    <w:rsid w:val="008929A4"/>
    <w:rsid w:val="00895F2E"/>
    <w:rsid w:val="00896FCB"/>
    <w:rsid w:val="008A05DD"/>
    <w:rsid w:val="008A3A03"/>
    <w:rsid w:val="008A4E67"/>
    <w:rsid w:val="008A566E"/>
    <w:rsid w:val="008A5A22"/>
    <w:rsid w:val="008B5BD9"/>
    <w:rsid w:val="008B62C7"/>
    <w:rsid w:val="008C6570"/>
    <w:rsid w:val="008C72D9"/>
    <w:rsid w:val="008D1333"/>
    <w:rsid w:val="008D3A5F"/>
    <w:rsid w:val="008D3D30"/>
    <w:rsid w:val="008D4A99"/>
    <w:rsid w:val="008D67B0"/>
    <w:rsid w:val="008E08A9"/>
    <w:rsid w:val="008E55B7"/>
    <w:rsid w:val="008E7379"/>
    <w:rsid w:val="008F02D5"/>
    <w:rsid w:val="008F0C59"/>
    <w:rsid w:val="00900810"/>
    <w:rsid w:val="00900AE7"/>
    <w:rsid w:val="00902127"/>
    <w:rsid w:val="00903AF5"/>
    <w:rsid w:val="00905736"/>
    <w:rsid w:val="0090651B"/>
    <w:rsid w:val="009110DD"/>
    <w:rsid w:val="00911A76"/>
    <w:rsid w:val="00911DE8"/>
    <w:rsid w:val="009123A4"/>
    <w:rsid w:val="00914D10"/>
    <w:rsid w:val="00917F5D"/>
    <w:rsid w:val="0092289A"/>
    <w:rsid w:val="009238BB"/>
    <w:rsid w:val="0092458C"/>
    <w:rsid w:val="00924E7F"/>
    <w:rsid w:val="00924FF2"/>
    <w:rsid w:val="009262D4"/>
    <w:rsid w:val="0092775A"/>
    <w:rsid w:val="00932D9F"/>
    <w:rsid w:val="00933C6F"/>
    <w:rsid w:val="00936026"/>
    <w:rsid w:val="00936EA4"/>
    <w:rsid w:val="00941CFB"/>
    <w:rsid w:val="00946187"/>
    <w:rsid w:val="00946585"/>
    <w:rsid w:val="009525BC"/>
    <w:rsid w:val="00953F91"/>
    <w:rsid w:val="0095482A"/>
    <w:rsid w:val="00955214"/>
    <w:rsid w:val="0095521A"/>
    <w:rsid w:val="009561A0"/>
    <w:rsid w:val="00960160"/>
    <w:rsid w:val="0096540F"/>
    <w:rsid w:val="00965CFA"/>
    <w:rsid w:val="009763B6"/>
    <w:rsid w:val="009773B9"/>
    <w:rsid w:val="00984D02"/>
    <w:rsid w:val="00984DD1"/>
    <w:rsid w:val="009876E7"/>
    <w:rsid w:val="00992EE6"/>
    <w:rsid w:val="009967A0"/>
    <w:rsid w:val="00996879"/>
    <w:rsid w:val="009A08BD"/>
    <w:rsid w:val="009A2DA7"/>
    <w:rsid w:val="009A7758"/>
    <w:rsid w:val="009B4D3B"/>
    <w:rsid w:val="009B537E"/>
    <w:rsid w:val="009B5700"/>
    <w:rsid w:val="009B613E"/>
    <w:rsid w:val="009B79EC"/>
    <w:rsid w:val="009C3084"/>
    <w:rsid w:val="009C3F0A"/>
    <w:rsid w:val="009C5157"/>
    <w:rsid w:val="009C5175"/>
    <w:rsid w:val="009C55FD"/>
    <w:rsid w:val="009D1070"/>
    <w:rsid w:val="009D2A80"/>
    <w:rsid w:val="009D7407"/>
    <w:rsid w:val="009E0866"/>
    <w:rsid w:val="009E1AAB"/>
    <w:rsid w:val="009E20FA"/>
    <w:rsid w:val="009E2618"/>
    <w:rsid w:val="009E274A"/>
    <w:rsid w:val="009E2850"/>
    <w:rsid w:val="009E5749"/>
    <w:rsid w:val="009F1394"/>
    <w:rsid w:val="009F3808"/>
    <w:rsid w:val="00A00F25"/>
    <w:rsid w:val="00A02FDF"/>
    <w:rsid w:val="00A03408"/>
    <w:rsid w:val="00A061B9"/>
    <w:rsid w:val="00A07DBF"/>
    <w:rsid w:val="00A104DB"/>
    <w:rsid w:val="00A120E1"/>
    <w:rsid w:val="00A126FD"/>
    <w:rsid w:val="00A128C1"/>
    <w:rsid w:val="00A12A31"/>
    <w:rsid w:val="00A149C3"/>
    <w:rsid w:val="00A20E8E"/>
    <w:rsid w:val="00A21453"/>
    <w:rsid w:val="00A24A62"/>
    <w:rsid w:val="00A27606"/>
    <w:rsid w:val="00A3074E"/>
    <w:rsid w:val="00A313EC"/>
    <w:rsid w:val="00A31C9F"/>
    <w:rsid w:val="00A31D8C"/>
    <w:rsid w:val="00A32AE1"/>
    <w:rsid w:val="00A332C9"/>
    <w:rsid w:val="00A34EDC"/>
    <w:rsid w:val="00A3508A"/>
    <w:rsid w:val="00A36661"/>
    <w:rsid w:val="00A50B5F"/>
    <w:rsid w:val="00A5130E"/>
    <w:rsid w:val="00A5275C"/>
    <w:rsid w:val="00A54EF7"/>
    <w:rsid w:val="00A55684"/>
    <w:rsid w:val="00A57A9E"/>
    <w:rsid w:val="00A57CF1"/>
    <w:rsid w:val="00A6735D"/>
    <w:rsid w:val="00A71530"/>
    <w:rsid w:val="00A72FFE"/>
    <w:rsid w:val="00A75844"/>
    <w:rsid w:val="00A82B42"/>
    <w:rsid w:val="00A83A77"/>
    <w:rsid w:val="00A83F7D"/>
    <w:rsid w:val="00A84B0D"/>
    <w:rsid w:val="00A86092"/>
    <w:rsid w:val="00A860DC"/>
    <w:rsid w:val="00A868E8"/>
    <w:rsid w:val="00A87FA6"/>
    <w:rsid w:val="00A90424"/>
    <w:rsid w:val="00A90555"/>
    <w:rsid w:val="00A91063"/>
    <w:rsid w:val="00A93DB4"/>
    <w:rsid w:val="00A97A6F"/>
    <w:rsid w:val="00A97BCE"/>
    <w:rsid w:val="00AA1F3A"/>
    <w:rsid w:val="00AA5A48"/>
    <w:rsid w:val="00AA7893"/>
    <w:rsid w:val="00AB19CF"/>
    <w:rsid w:val="00AB2A9F"/>
    <w:rsid w:val="00AB3E24"/>
    <w:rsid w:val="00AC0063"/>
    <w:rsid w:val="00AC0200"/>
    <w:rsid w:val="00AC149F"/>
    <w:rsid w:val="00AC164A"/>
    <w:rsid w:val="00AC4409"/>
    <w:rsid w:val="00AC5F3F"/>
    <w:rsid w:val="00AC63A8"/>
    <w:rsid w:val="00AD06AF"/>
    <w:rsid w:val="00AD0F89"/>
    <w:rsid w:val="00AD13C3"/>
    <w:rsid w:val="00AD5208"/>
    <w:rsid w:val="00AD543A"/>
    <w:rsid w:val="00AE2ECC"/>
    <w:rsid w:val="00AE31CC"/>
    <w:rsid w:val="00AE3892"/>
    <w:rsid w:val="00AE60EE"/>
    <w:rsid w:val="00AF2050"/>
    <w:rsid w:val="00AF5BED"/>
    <w:rsid w:val="00AF6D1A"/>
    <w:rsid w:val="00AF7EDE"/>
    <w:rsid w:val="00B12993"/>
    <w:rsid w:val="00B13B6E"/>
    <w:rsid w:val="00B16F57"/>
    <w:rsid w:val="00B24946"/>
    <w:rsid w:val="00B26E5F"/>
    <w:rsid w:val="00B309BC"/>
    <w:rsid w:val="00B329B6"/>
    <w:rsid w:val="00B32F99"/>
    <w:rsid w:val="00B3480E"/>
    <w:rsid w:val="00B34BDB"/>
    <w:rsid w:val="00B34C37"/>
    <w:rsid w:val="00B36924"/>
    <w:rsid w:val="00B4793C"/>
    <w:rsid w:val="00B53FEA"/>
    <w:rsid w:val="00B54596"/>
    <w:rsid w:val="00B552F9"/>
    <w:rsid w:val="00B55887"/>
    <w:rsid w:val="00B55A9E"/>
    <w:rsid w:val="00B5735C"/>
    <w:rsid w:val="00B6303B"/>
    <w:rsid w:val="00B650D3"/>
    <w:rsid w:val="00B6726F"/>
    <w:rsid w:val="00B7306B"/>
    <w:rsid w:val="00B76B75"/>
    <w:rsid w:val="00B775E8"/>
    <w:rsid w:val="00B83BE5"/>
    <w:rsid w:val="00B85247"/>
    <w:rsid w:val="00B86EE1"/>
    <w:rsid w:val="00B87FE8"/>
    <w:rsid w:val="00B901B9"/>
    <w:rsid w:val="00B9346E"/>
    <w:rsid w:val="00B9636A"/>
    <w:rsid w:val="00BA00AD"/>
    <w:rsid w:val="00BA7782"/>
    <w:rsid w:val="00BA7C45"/>
    <w:rsid w:val="00BB02BF"/>
    <w:rsid w:val="00BB26C5"/>
    <w:rsid w:val="00BB2935"/>
    <w:rsid w:val="00BB3C87"/>
    <w:rsid w:val="00BB4386"/>
    <w:rsid w:val="00BB67AA"/>
    <w:rsid w:val="00BB79E1"/>
    <w:rsid w:val="00BC0C63"/>
    <w:rsid w:val="00BC3BA7"/>
    <w:rsid w:val="00BC42F3"/>
    <w:rsid w:val="00BC5E8A"/>
    <w:rsid w:val="00BD14B5"/>
    <w:rsid w:val="00BD1D20"/>
    <w:rsid w:val="00BD3D70"/>
    <w:rsid w:val="00BD5942"/>
    <w:rsid w:val="00BD5E69"/>
    <w:rsid w:val="00BE1A36"/>
    <w:rsid w:val="00BE2535"/>
    <w:rsid w:val="00BE3A24"/>
    <w:rsid w:val="00BE45B1"/>
    <w:rsid w:val="00BE5A15"/>
    <w:rsid w:val="00BE78F8"/>
    <w:rsid w:val="00BF3BA2"/>
    <w:rsid w:val="00BF4DE6"/>
    <w:rsid w:val="00BF6958"/>
    <w:rsid w:val="00C0340A"/>
    <w:rsid w:val="00C03C41"/>
    <w:rsid w:val="00C04038"/>
    <w:rsid w:val="00C043BD"/>
    <w:rsid w:val="00C0757D"/>
    <w:rsid w:val="00C07E24"/>
    <w:rsid w:val="00C145FD"/>
    <w:rsid w:val="00C15CE8"/>
    <w:rsid w:val="00C228D3"/>
    <w:rsid w:val="00C22C5C"/>
    <w:rsid w:val="00C26390"/>
    <w:rsid w:val="00C30746"/>
    <w:rsid w:val="00C312BD"/>
    <w:rsid w:val="00C331E2"/>
    <w:rsid w:val="00C3496C"/>
    <w:rsid w:val="00C35431"/>
    <w:rsid w:val="00C3720A"/>
    <w:rsid w:val="00C373BC"/>
    <w:rsid w:val="00C42CDE"/>
    <w:rsid w:val="00C44116"/>
    <w:rsid w:val="00C47876"/>
    <w:rsid w:val="00C515C8"/>
    <w:rsid w:val="00C51D21"/>
    <w:rsid w:val="00C530FE"/>
    <w:rsid w:val="00C54329"/>
    <w:rsid w:val="00C55D3D"/>
    <w:rsid w:val="00C61A15"/>
    <w:rsid w:val="00C6347E"/>
    <w:rsid w:val="00C65A28"/>
    <w:rsid w:val="00C72EE7"/>
    <w:rsid w:val="00C746C8"/>
    <w:rsid w:val="00C76AC1"/>
    <w:rsid w:val="00C7749E"/>
    <w:rsid w:val="00C81087"/>
    <w:rsid w:val="00C857C0"/>
    <w:rsid w:val="00C87A54"/>
    <w:rsid w:val="00C93432"/>
    <w:rsid w:val="00C94A5B"/>
    <w:rsid w:val="00C95122"/>
    <w:rsid w:val="00CA0986"/>
    <w:rsid w:val="00CA37B1"/>
    <w:rsid w:val="00CA4263"/>
    <w:rsid w:val="00CA4949"/>
    <w:rsid w:val="00CA4ED3"/>
    <w:rsid w:val="00CA537C"/>
    <w:rsid w:val="00CA7227"/>
    <w:rsid w:val="00CB1959"/>
    <w:rsid w:val="00CB1FED"/>
    <w:rsid w:val="00CB7EC0"/>
    <w:rsid w:val="00CC11B2"/>
    <w:rsid w:val="00CC25C7"/>
    <w:rsid w:val="00CC3905"/>
    <w:rsid w:val="00CD1A77"/>
    <w:rsid w:val="00CD1AF0"/>
    <w:rsid w:val="00CD1ED1"/>
    <w:rsid w:val="00CD46A6"/>
    <w:rsid w:val="00CD57ED"/>
    <w:rsid w:val="00CD7ACB"/>
    <w:rsid w:val="00CE17AF"/>
    <w:rsid w:val="00CE2641"/>
    <w:rsid w:val="00CE49FF"/>
    <w:rsid w:val="00CE7617"/>
    <w:rsid w:val="00CF3314"/>
    <w:rsid w:val="00CF38A8"/>
    <w:rsid w:val="00D0296C"/>
    <w:rsid w:val="00D1013C"/>
    <w:rsid w:val="00D10364"/>
    <w:rsid w:val="00D145C4"/>
    <w:rsid w:val="00D17EC6"/>
    <w:rsid w:val="00D17FCD"/>
    <w:rsid w:val="00D22869"/>
    <w:rsid w:val="00D22936"/>
    <w:rsid w:val="00D26171"/>
    <w:rsid w:val="00D34885"/>
    <w:rsid w:val="00D4159E"/>
    <w:rsid w:val="00D44BDE"/>
    <w:rsid w:val="00D46D82"/>
    <w:rsid w:val="00D508DE"/>
    <w:rsid w:val="00D50C34"/>
    <w:rsid w:val="00D50EC3"/>
    <w:rsid w:val="00D64D27"/>
    <w:rsid w:val="00D64F2E"/>
    <w:rsid w:val="00D6648A"/>
    <w:rsid w:val="00D71430"/>
    <w:rsid w:val="00D7288F"/>
    <w:rsid w:val="00D7302C"/>
    <w:rsid w:val="00D755C0"/>
    <w:rsid w:val="00D75C1E"/>
    <w:rsid w:val="00D814CA"/>
    <w:rsid w:val="00D83ADD"/>
    <w:rsid w:val="00D856BC"/>
    <w:rsid w:val="00D8719D"/>
    <w:rsid w:val="00D91222"/>
    <w:rsid w:val="00D918AE"/>
    <w:rsid w:val="00DA0FF8"/>
    <w:rsid w:val="00DA1BE1"/>
    <w:rsid w:val="00DA67C0"/>
    <w:rsid w:val="00DA7E85"/>
    <w:rsid w:val="00DB2568"/>
    <w:rsid w:val="00DB6D69"/>
    <w:rsid w:val="00DC3F64"/>
    <w:rsid w:val="00DC430B"/>
    <w:rsid w:val="00DC516B"/>
    <w:rsid w:val="00DC5D95"/>
    <w:rsid w:val="00DE1A22"/>
    <w:rsid w:val="00DE2395"/>
    <w:rsid w:val="00DE2641"/>
    <w:rsid w:val="00DE2C36"/>
    <w:rsid w:val="00DE3F03"/>
    <w:rsid w:val="00DE473B"/>
    <w:rsid w:val="00DE59F9"/>
    <w:rsid w:val="00DF25F7"/>
    <w:rsid w:val="00DF2611"/>
    <w:rsid w:val="00DF30EF"/>
    <w:rsid w:val="00DF751C"/>
    <w:rsid w:val="00E01E22"/>
    <w:rsid w:val="00E02371"/>
    <w:rsid w:val="00E02472"/>
    <w:rsid w:val="00E121D9"/>
    <w:rsid w:val="00E157FB"/>
    <w:rsid w:val="00E1769C"/>
    <w:rsid w:val="00E2029F"/>
    <w:rsid w:val="00E20DFA"/>
    <w:rsid w:val="00E21458"/>
    <w:rsid w:val="00E22270"/>
    <w:rsid w:val="00E226C3"/>
    <w:rsid w:val="00E24375"/>
    <w:rsid w:val="00E26A47"/>
    <w:rsid w:val="00E31F55"/>
    <w:rsid w:val="00E32FA5"/>
    <w:rsid w:val="00E357B7"/>
    <w:rsid w:val="00E378D0"/>
    <w:rsid w:val="00E40D77"/>
    <w:rsid w:val="00E4335F"/>
    <w:rsid w:val="00E462A2"/>
    <w:rsid w:val="00E51C40"/>
    <w:rsid w:val="00E53800"/>
    <w:rsid w:val="00E54D19"/>
    <w:rsid w:val="00E54F02"/>
    <w:rsid w:val="00E55473"/>
    <w:rsid w:val="00E57C95"/>
    <w:rsid w:val="00E6081F"/>
    <w:rsid w:val="00E60A81"/>
    <w:rsid w:val="00E60FC8"/>
    <w:rsid w:val="00E62B16"/>
    <w:rsid w:val="00E6311A"/>
    <w:rsid w:val="00E6422F"/>
    <w:rsid w:val="00E64403"/>
    <w:rsid w:val="00E67717"/>
    <w:rsid w:val="00E70F3F"/>
    <w:rsid w:val="00E7335D"/>
    <w:rsid w:val="00E80902"/>
    <w:rsid w:val="00E80A06"/>
    <w:rsid w:val="00E82A23"/>
    <w:rsid w:val="00E82EF2"/>
    <w:rsid w:val="00E84362"/>
    <w:rsid w:val="00E85EC2"/>
    <w:rsid w:val="00E86FF8"/>
    <w:rsid w:val="00E91272"/>
    <w:rsid w:val="00E96E5C"/>
    <w:rsid w:val="00EA04B2"/>
    <w:rsid w:val="00EA20F3"/>
    <w:rsid w:val="00EA4CBA"/>
    <w:rsid w:val="00EA4D47"/>
    <w:rsid w:val="00EA7A50"/>
    <w:rsid w:val="00EB7BA2"/>
    <w:rsid w:val="00EC6942"/>
    <w:rsid w:val="00EC7F63"/>
    <w:rsid w:val="00ED0532"/>
    <w:rsid w:val="00ED32D9"/>
    <w:rsid w:val="00ED43D1"/>
    <w:rsid w:val="00ED4F3B"/>
    <w:rsid w:val="00EE4EE1"/>
    <w:rsid w:val="00EE7FA2"/>
    <w:rsid w:val="00EF13E6"/>
    <w:rsid w:val="00EF3389"/>
    <w:rsid w:val="00EF3C6F"/>
    <w:rsid w:val="00EF3F95"/>
    <w:rsid w:val="00EF415D"/>
    <w:rsid w:val="00EF4574"/>
    <w:rsid w:val="00EF467C"/>
    <w:rsid w:val="00EF7177"/>
    <w:rsid w:val="00F01793"/>
    <w:rsid w:val="00F057D3"/>
    <w:rsid w:val="00F124B6"/>
    <w:rsid w:val="00F12AC1"/>
    <w:rsid w:val="00F139C9"/>
    <w:rsid w:val="00F1545F"/>
    <w:rsid w:val="00F15470"/>
    <w:rsid w:val="00F169B7"/>
    <w:rsid w:val="00F21E06"/>
    <w:rsid w:val="00F23D59"/>
    <w:rsid w:val="00F24610"/>
    <w:rsid w:val="00F25966"/>
    <w:rsid w:val="00F259C4"/>
    <w:rsid w:val="00F2684E"/>
    <w:rsid w:val="00F30ADE"/>
    <w:rsid w:val="00F30CA8"/>
    <w:rsid w:val="00F3121A"/>
    <w:rsid w:val="00F3216A"/>
    <w:rsid w:val="00F371A8"/>
    <w:rsid w:val="00F4058F"/>
    <w:rsid w:val="00F42B3A"/>
    <w:rsid w:val="00F45B6F"/>
    <w:rsid w:val="00F52889"/>
    <w:rsid w:val="00F5466F"/>
    <w:rsid w:val="00F61CA5"/>
    <w:rsid w:val="00F729EF"/>
    <w:rsid w:val="00F74057"/>
    <w:rsid w:val="00F77CAE"/>
    <w:rsid w:val="00F80913"/>
    <w:rsid w:val="00F8229D"/>
    <w:rsid w:val="00F834A7"/>
    <w:rsid w:val="00F83636"/>
    <w:rsid w:val="00F8385A"/>
    <w:rsid w:val="00F84BDA"/>
    <w:rsid w:val="00F8520E"/>
    <w:rsid w:val="00F855E0"/>
    <w:rsid w:val="00F92DE1"/>
    <w:rsid w:val="00F954E7"/>
    <w:rsid w:val="00F96BB9"/>
    <w:rsid w:val="00F96FE2"/>
    <w:rsid w:val="00FA3C31"/>
    <w:rsid w:val="00FA6151"/>
    <w:rsid w:val="00FB256B"/>
    <w:rsid w:val="00FB44AA"/>
    <w:rsid w:val="00FB65F8"/>
    <w:rsid w:val="00FC1ECD"/>
    <w:rsid w:val="00FC3A0D"/>
    <w:rsid w:val="00FC4B9E"/>
    <w:rsid w:val="00FD602F"/>
    <w:rsid w:val="00FD6884"/>
    <w:rsid w:val="00FD7C4E"/>
    <w:rsid w:val="00FE0683"/>
    <w:rsid w:val="00FE235E"/>
    <w:rsid w:val="00FE663F"/>
    <w:rsid w:val="00FE681E"/>
    <w:rsid w:val="00FE6D51"/>
    <w:rsid w:val="00FE7216"/>
    <w:rsid w:val="00FE7E2E"/>
    <w:rsid w:val="00FF00ED"/>
    <w:rsid w:val="00FF1139"/>
    <w:rsid w:val="00FF192F"/>
    <w:rsid w:val="00FF28F0"/>
    <w:rsid w:val="00FF43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022E73A"/>
  <w15:docId w15:val="{9B3D9A84-8831-4BE1-A87C-A2E0FB43B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4AA"/>
    <w:pPr>
      <w:suppressAutoHyphens/>
      <w:spacing w:before="180" w:after="60" w:line="280" w:lineRule="atLeast"/>
    </w:pPr>
  </w:style>
  <w:style w:type="paragraph" w:styleId="Heading1">
    <w:name w:val="heading 1"/>
    <w:basedOn w:val="Normal"/>
    <w:next w:val="Normal"/>
    <w:link w:val="Heading1Char"/>
    <w:qFormat/>
    <w:rsid w:val="001612A4"/>
    <w:pPr>
      <w:keepNext/>
      <w:keepLines/>
      <w:spacing w:before="360" w:after="120" w:line="460" w:lineRule="atLeast"/>
      <w:contextualSpacing/>
      <w:outlineLvl w:val="0"/>
    </w:pPr>
    <w:rPr>
      <w:rFonts w:asciiTheme="majorHAnsi" w:eastAsiaTheme="majorEastAsia" w:hAnsiTheme="majorHAnsi" w:cstheme="majorBidi"/>
      <w:bCs/>
      <w:color w:val="1C1C1C" w:themeColor="text2"/>
      <w:sz w:val="40"/>
      <w:szCs w:val="28"/>
    </w:rPr>
  </w:style>
  <w:style w:type="paragraph" w:styleId="Heading2">
    <w:name w:val="heading 2"/>
    <w:basedOn w:val="Heading1"/>
    <w:next w:val="Normal"/>
    <w:link w:val="Heading2Char"/>
    <w:unhideWhenUsed/>
    <w:qFormat/>
    <w:rsid w:val="001612A4"/>
    <w:pPr>
      <w:spacing w:line="400" w:lineRule="atLeast"/>
      <w:outlineLvl w:val="1"/>
    </w:pPr>
    <w:rPr>
      <w:bCs w:val="0"/>
      <w:sz w:val="34"/>
      <w:szCs w:val="26"/>
    </w:rPr>
  </w:style>
  <w:style w:type="paragraph" w:styleId="Heading3">
    <w:name w:val="heading 3"/>
    <w:basedOn w:val="Heading2"/>
    <w:next w:val="Normal"/>
    <w:link w:val="Heading3Char"/>
    <w:unhideWhenUsed/>
    <w:qFormat/>
    <w:rsid w:val="00D46D82"/>
    <w:pPr>
      <w:spacing w:line="340" w:lineRule="atLeast"/>
      <w:outlineLvl w:val="2"/>
    </w:pPr>
    <w:rPr>
      <w:bCs/>
      <w:sz w:val="30"/>
    </w:rPr>
  </w:style>
  <w:style w:type="paragraph" w:styleId="Heading4">
    <w:name w:val="heading 4"/>
    <w:basedOn w:val="Heading3"/>
    <w:next w:val="Normal"/>
    <w:link w:val="Heading4Char"/>
    <w:unhideWhenUsed/>
    <w:qFormat/>
    <w:rsid w:val="00D46D82"/>
    <w:pPr>
      <w:spacing w:before="240" w:line="300" w:lineRule="atLeast"/>
      <w:outlineLvl w:val="3"/>
    </w:pPr>
    <w:rPr>
      <w:iCs/>
      <w:sz w:val="26"/>
    </w:rPr>
  </w:style>
  <w:style w:type="paragraph" w:styleId="Heading5">
    <w:name w:val="heading 5"/>
    <w:basedOn w:val="Heading4"/>
    <w:next w:val="Normal"/>
    <w:link w:val="Heading5Char"/>
    <w:unhideWhenUsed/>
    <w:qFormat/>
    <w:rsid w:val="00623BA1"/>
    <w:pPr>
      <w:outlineLvl w:val="4"/>
    </w:pPr>
    <w:rPr>
      <w:i/>
      <w:color w:val="77B6BD" w:themeColor="accent1" w:themeShade="BF"/>
      <w:sz w:val="22"/>
    </w:rPr>
  </w:style>
  <w:style w:type="paragraph" w:styleId="Heading6">
    <w:name w:val="heading 6"/>
    <w:basedOn w:val="Heading5"/>
    <w:next w:val="Normal"/>
    <w:link w:val="Heading6Char"/>
    <w:uiPriority w:val="9"/>
    <w:semiHidden/>
    <w:unhideWhenUsed/>
    <w:qFormat/>
    <w:rsid w:val="00486804"/>
    <w:pPr>
      <w:spacing w:before="40"/>
      <w:outlineLvl w:val="5"/>
    </w:pPr>
    <w:rPr>
      <w:color w:val="43838A" w:themeColor="accent1" w:themeShade="7F"/>
    </w:rPr>
  </w:style>
  <w:style w:type="paragraph" w:styleId="Heading7">
    <w:name w:val="heading 7"/>
    <w:basedOn w:val="Heading6"/>
    <w:next w:val="Normal"/>
    <w:link w:val="Heading7Char"/>
    <w:uiPriority w:val="9"/>
    <w:semiHidden/>
    <w:unhideWhenUsed/>
    <w:qFormat/>
    <w:rsid w:val="00486804"/>
    <w:pPr>
      <w:outlineLvl w:val="6"/>
    </w:pPr>
    <w:rPr>
      <w:i w:val="0"/>
      <w:iCs w:val="0"/>
    </w:rPr>
  </w:style>
  <w:style w:type="paragraph" w:styleId="Heading8">
    <w:name w:val="heading 8"/>
    <w:basedOn w:val="Heading7"/>
    <w:next w:val="Normal"/>
    <w:link w:val="Heading8Char"/>
    <w:uiPriority w:val="9"/>
    <w:semiHidden/>
    <w:unhideWhenUsed/>
    <w:qFormat/>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rsid w:val="00486804"/>
    <w:p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12A4"/>
    <w:rPr>
      <w:rFonts w:asciiTheme="majorHAnsi" w:eastAsiaTheme="majorEastAsia" w:hAnsiTheme="majorHAnsi" w:cstheme="majorBidi"/>
      <w:bCs/>
      <w:color w:val="1C1C1C" w:themeColor="text2"/>
      <w:sz w:val="40"/>
      <w:szCs w:val="28"/>
    </w:rPr>
  </w:style>
  <w:style w:type="character" w:customStyle="1" w:styleId="Heading2Char">
    <w:name w:val="Heading 2 Char"/>
    <w:basedOn w:val="DefaultParagraphFont"/>
    <w:link w:val="Heading2"/>
    <w:rsid w:val="001612A4"/>
    <w:rPr>
      <w:rFonts w:asciiTheme="majorHAnsi" w:eastAsiaTheme="majorEastAsia" w:hAnsiTheme="majorHAnsi" w:cstheme="majorBidi"/>
      <w:color w:val="1C1C1C" w:themeColor="text2"/>
      <w:sz w:val="34"/>
      <w:szCs w:val="26"/>
    </w:rPr>
  </w:style>
  <w:style w:type="character" w:customStyle="1" w:styleId="Heading3Char">
    <w:name w:val="Heading 3 Char"/>
    <w:basedOn w:val="DefaultParagraphFont"/>
    <w:link w:val="Heading3"/>
    <w:uiPriority w:val="9"/>
    <w:rsid w:val="00D46D82"/>
    <w:rPr>
      <w:rFonts w:asciiTheme="majorHAnsi" w:eastAsiaTheme="majorEastAsia" w:hAnsiTheme="majorHAnsi" w:cstheme="majorBidi"/>
      <w:bCs/>
      <w:color w:val="1C1C1C" w:themeColor="text2"/>
      <w:sz w:val="30"/>
      <w:szCs w:val="26"/>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DB6D69"/>
    <w:pPr>
      <w:keepNext w:val="0"/>
      <w:spacing w:before="8400" w:line="480" w:lineRule="atLeast"/>
      <w:jc w:val="right"/>
    </w:pPr>
    <w:rPr>
      <w:kern w:val="28"/>
      <w:szCs w:val="52"/>
    </w:rPr>
  </w:style>
  <w:style w:type="character" w:customStyle="1" w:styleId="TitleChar">
    <w:name w:val="Title Char"/>
    <w:basedOn w:val="DefaultParagraphFont"/>
    <w:link w:val="Title"/>
    <w:uiPriority w:val="10"/>
    <w:rsid w:val="00DB6D69"/>
    <w:rPr>
      <w:rFonts w:asciiTheme="majorHAnsi" w:eastAsiaTheme="majorEastAsia" w:hAnsiTheme="majorHAnsi" w:cstheme="majorBidi"/>
      <w:bCs/>
      <w:color w:val="1C1C1C" w:themeColor="text2"/>
      <w:kern w:val="28"/>
      <w:sz w:val="40"/>
      <w:szCs w:val="52"/>
    </w:rPr>
  </w:style>
  <w:style w:type="paragraph" w:styleId="Subtitle">
    <w:name w:val="Subtitle"/>
    <w:basedOn w:val="Title"/>
    <w:next w:val="Normal"/>
    <w:link w:val="SubtitleChar"/>
    <w:uiPriority w:val="2"/>
    <w:qFormat/>
    <w:rsid w:val="00DB6D69"/>
    <w:pPr>
      <w:numPr>
        <w:ilvl w:val="1"/>
      </w:numPr>
      <w:spacing w:before="360" w:line="260" w:lineRule="atLeast"/>
    </w:pPr>
    <w:rPr>
      <w:b/>
      <w:iCs/>
      <w:sz w:val="20"/>
      <w:szCs w:val="24"/>
    </w:rPr>
  </w:style>
  <w:style w:type="character" w:customStyle="1" w:styleId="SubtitleChar">
    <w:name w:val="Subtitle Char"/>
    <w:basedOn w:val="DefaultParagraphFont"/>
    <w:link w:val="Subtitle"/>
    <w:uiPriority w:val="11"/>
    <w:rsid w:val="00DB6D69"/>
    <w:rPr>
      <w:rFonts w:asciiTheme="majorHAnsi" w:eastAsiaTheme="majorEastAsia" w:hAnsiTheme="majorHAnsi" w:cstheme="majorBidi"/>
      <w:b/>
      <w:bCs/>
      <w:iCs/>
      <w:color w:val="1C1C1C" w:themeColor="text2"/>
      <w:kern w:val="28"/>
      <w:sz w:val="20"/>
      <w:szCs w:val="24"/>
    </w:rPr>
  </w:style>
  <w:style w:type="paragraph" w:customStyle="1" w:styleId="Bullet1">
    <w:name w:val="Bullet 1"/>
    <w:basedOn w:val="Normal"/>
    <w:qFormat/>
    <w:rsid w:val="00F8520E"/>
    <w:pPr>
      <w:numPr>
        <w:ilvl w:val="2"/>
        <w:numId w:val="15"/>
      </w:numPr>
    </w:pPr>
  </w:style>
  <w:style w:type="paragraph" w:customStyle="1" w:styleId="Bullet2">
    <w:name w:val="Bullet 2"/>
    <w:basedOn w:val="NumberedList1"/>
    <w:qFormat/>
    <w:rsid w:val="00F8520E"/>
    <w:pPr>
      <w:numPr>
        <w:numId w:val="16"/>
      </w:numPr>
      <w:ind w:left="1418"/>
    </w:pPr>
  </w:style>
  <w:style w:type="paragraph" w:customStyle="1" w:styleId="Bullet3">
    <w:name w:val="Bullet 3"/>
    <w:basedOn w:val="NumberedList1"/>
    <w:qFormat/>
    <w:rsid w:val="00F8520E"/>
    <w:pPr>
      <w:numPr>
        <w:numId w:val="17"/>
      </w:numPr>
      <w:ind w:left="1985"/>
    </w:pPr>
  </w:style>
  <w:style w:type="paragraph" w:customStyle="1" w:styleId="NumberedList1">
    <w:name w:val="Numbered List 1"/>
    <w:basedOn w:val="Normal"/>
    <w:link w:val="NumberedList1Char"/>
    <w:qFormat/>
    <w:rsid w:val="001566A5"/>
    <w:pPr>
      <w:numPr>
        <w:numId w:val="2"/>
      </w:numPr>
      <w:ind w:left="426" w:hanging="426"/>
    </w:pPr>
  </w:style>
  <w:style w:type="paragraph" w:customStyle="1" w:styleId="NumberedList2">
    <w:name w:val="Numbered List 2"/>
    <w:basedOn w:val="NumberedList1"/>
    <w:qFormat/>
    <w:rsid w:val="0046056E"/>
    <w:pPr>
      <w:numPr>
        <w:ilvl w:val="1"/>
        <w:numId w:val="0"/>
      </w:numPr>
      <w:spacing w:before="120"/>
      <w:ind w:left="851"/>
    </w:pPr>
  </w:style>
  <w:style w:type="paragraph" w:customStyle="1" w:styleId="NumberedList3">
    <w:name w:val="Numbered List 3"/>
    <w:basedOn w:val="NumberedList2"/>
    <w:qFormat/>
    <w:rsid w:val="00FB44AA"/>
    <w:pPr>
      <w:numPr>
        <w:ilvl w:val="2"/>
      </w:numPr>
      <w:ind w:left="851"/>
    </w:pPr>
  </w:style>
  <w:style w:type="paragraph" w:customStyle="1" w:styleId="Heading1Numbered">
    <w:name w:val="Heading 1 Numbered"/>
    <w:basedOn w:val="Heading1"/>
    <w:next w:val="Normal"/>
    <w:qFormat/>
    <w:rsid w:val="001E1DC0"/>
    <w:pPr>
      <w:numPr>
        <w:numId w:val="3"/>
      </w:numPr>
    </w:pPr>
  </w:style>
  <w:style w:type="paragraph" w:customStyle="1" w:styleId="Heading2Numbered">
    <w:name w:val="Heading 2 Numbered"/>
    <w:basedOn w:val="Heading2"/>
    <w:next w:val="Normal"/>
    <w:qFormat/>
    <w:rsid w:val="00D46D82"/>
    <w:pPr>
      <w:numPr>
        <w:ilvl w:val="1"/>
        <w:numId w:val="3"/>
      </w:numPr>
    </w:pPr>
    <w:rPr>
      <w:bCs/>
    </w:rPr>
  </w:style>
  <w:style w:type="paragraph" w:customStyle="1" w:styleId="Heading3Numbered">
    <w:name w:val="Heading 3 Numbered"/>
    <w:basedOn w:val="Heading3"/>
    <w:next w:val="Normal"/>
    <w:qFormat/>
    <w:rsid w:val="001D7EB4"/>
    <w:pPr>
      <w:numPr>
        <w:ilvl w:val="2"/>
        <w:numId w:val="3"/>
      </w:numPr>
    </w:pPr>
    <w:rPr>
      <w:szCs w:val="22"/>
    </w:rPr>
  </w:style>
  <w:style w:type="numbering" w:customStyle="1" w:styleId="BulletsList">
    <w:name w:val="Bullets List"/>
    <w:uiPriority w:val="99"/>
    <w:rsid w:val="00F2684E"/>
    <w:pPr>
      <w:numPr>
        <w:numId w:val="1"/>
      </w:numPr>
    </w:pPr>
  </w:style>
  <w:style w:type="numbering" w:customStyle="1" w:styleId="Numberedlist">
    <w:name w:val="Numbered list"/>
    <w:uiPriority w:val="99"/>
    <w:rsid w:val="00F2684E"/>
    <w:pPr>
      <w:numPr>
        <w:numId w:val="13"/>
      </w:numPr>
    </w:pPr>
  </w:style>
  <w:style w:type="numbering" w:customStyle="1" w:styleId="HeadingsList">
    <w:name w:val="Headings List"/>
    <w:uiPriority w:val="99"/>
    <w:rsid w:val="001E1DC0"/>
    <w:pPr>
      <w:numPr>
        <w:numId w:val="3"/>
      </w:numPr>
    </w:pPr>
  </w:style>
  <w:style w:type="table" w:styleId="PlainTable2">
    <w:name w:val="Plain Table 2"/>
    <w:basedOn w:val="TableNormal"/>
    <w:uiPriority w:val="42"/>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20122A"/>
    <w:pPr>
      <w:suppressAutoHyphens w:val="0"/>
      <w:contextualSpacing w:val="0"/>
      <w:outlineLvl w:val="9"/>
    </w:pPr>
    <w:rPr>
      <w:bCs w:val="0"/>
      <w:szCs w:val="32"/>
      <w:lang w:val="en-US"/>
    </w:rPr>
  </w:style>
  <w:style w:type="character" w:customStyle="1" w:styleId="Heading4Char">
    <w:name w:val="Heading 4 Char"/>
    <w:basedOn w:val="DefaultParagraphFont"/>
    <w:link w:val="Heading4"/>
    <w:rsid w:val="00D46D82"/>
    <w:rPr>
      <w:rFonts w:asciiTheme="majorHAnsi" w:eastAsiaTheme="majorEastAsia" w:hAnsiTheme="majorHAnsi" w:cstheme="majorBidi"/>
      <w:bCs/>
      <w:iCs/>
      <w:color w:val="1C1C1C" w:themeColor="text2"/>
      <w:sz w:val="26"/>
      <w:szCs w:val="26"/>
    </w:rPr>
  </w:style>
  <w:style w:type="paragraph" w:styleId="TOC1">
    <w:name w:val="toc 1"/>
    <w:basedOn w:val="Normal"/>
    <w:next w:val="Normal"/>
    <w:autoRedefine/>
    <w:uiPriority w:val="39"/>
    <w:unhideWhenUsed/>
    <w:rsid w:val="003B6A9C"/>
    <w:pPr>
      <w:tabs>
        <w:tab w:val="left" w:pos="454"/>
        <w:tab w:val="right" w:pos="9072"/>
      </w:tabs>
      <w:spacing w:after="180" w:line="230" w:lineRule="atLeast"/>
    </w:pPr>
    <w:rPr>
      <w:b/>
      <w:sz w:val="23"/>
    </w:rPr>
  </w:style>
  <w:style w:type="paragraph" w:styleId="TOC2">
    <w:name w:val="toc 2"/>
    <w:basedOn w:val="Normal"/>
    <w:next w:val="Normal"/>
    <w:autoRedefine/>
    <w:uiPriority w:val="39"/>
    <w:unhideWhenUsed/>
    <w:rsid w:val="005D5F0F"/>
    <w:pPr>
      <w:tabs>
        <w:tab w:val="left" w:pos="454"/>
        <w:tab w:val="right" w:pos="9072"/>
      </w:tabs>
      <w:spacing w:after="180" w:line="230" w:lineRule="atLeast"/>
    </w:pPr>
  </w:style>
  <w:style w:type="paragraph" w:styleId="TOC3">
    <w:name w:val="toc 3"/>
    <w:basedOn w:val="Normal"/>
    <w:next w:val="Normal"/>
    <w:autoRedefine/>
    <w:uiPriority w:val="39"/>
    <w:unhideWhenUsed/>
    <w:rsid w:val="0046056E"/>
    <w:pPr>
      <w:tabs>
        <w:tab w:val="right" w:pos="9072"/>
      </w:tabs>
      <w:spacing w:before="60"/>
      <w:ind w:left="1134" w:hanging="680"/>
    </w:pPr>
  </w:style>
  <w:style w:type="paragraph" w:styleId="Header">
    <w:name w:val="header"/>
    <w:basedOn w:val="Normal"/>
    <w:link w:val="HeaderChar"/>
    <w:uiPriority w:val="99"/>
    <w:unhideWhenUsed/>
    <w:rsid w:val="00DB6D69"/>
    <w:pPr>
      <w:tabs>
        <w:tab w:val="center" w:pos="4513"/>
        <w:tab w:val="right" w:pos="9026"/>
      </w:tabs>
      <w:spacing w:before="0" w:after="0" w:line="180" w:lineRule="atLeast"/>
      <w:jc w:val="right"/>
    </w:pPr>
    <w:rPr>
      <w:sz w:val="14"/>
    </w:rPr>
  </w:style>
  <w:style w:type="paragraph" w:styleId="TOC4">
    <w:name w:val="toc 4"/>
    <w:basedOn w:val="Normal"/>
    <w:next w:val="Normal"/>
    <w:autoRedefine/>
    <w:uiPriority w:val="39"/>
    <w:unhideWhenUs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4"/>
      </w:numPr>
    </w:pPr>
  </w:style>
  <w:style w:type="paragraph" w:styleId="TOC8">
    <w:name w:val="toc 8"/>
    <w:basedOn w:val="Normal"/>
    <w:next w:val="Normal"/>
    <w:autoRedefine/>
    <w:uiPriority w:val="39"/>
    <w:unhideWhenUs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1612A4"/>
    <w:pPr>
      <w:pBdr>
        <w:bottom w:val="single" w:sz="4" w:space="6" w:color="BDDCDF" w:themeColor="accent1"/>
      </w:pBdr>
    </w:pPr>
    <w:rPr>
      <w:sz w:val="24"/>
    </w:rPr>
  </w:style>
  <w:style w:type="table" w:styleId="TableGrid">
    <w:name w:val="Table Grid"/>
    <w:basedOn w:val="TableNormal"/>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DB6D69"/>
    <w:rPr>
      <w:sz w:val="14"/>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qFormat/>
    <w:rsid w:val="00661A7B"/>
    <w:rPr>
      <w:i/>
      <w:u w:val="single" w:color="0070C0"/>
    </w:rPr>
  </w:style>
  <w:style w:type="character" w:styleId="IntenseEmphasis">
    <w:name w:val="Intense Emphasis"/>
    <w:basedOn w:val="DefaultParagraphFont"/>
    <w:uiPriority w:val="21"/>
    <w:qFormat/>
    <w:rsid w:val="00FE6D51"/>
    <w:rPr>
      <w:b/>
      <w:i/>
      <w:iCs/>
      <w:color w:val="auto"/>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rsid w:val="00486804"/>
    <w:rPr>
      <w:rFonts w:asciiTheme="majorHAnsi" w:eastAsiaTheme="majorEastAsia" w:hAnsiTheme="majorHAnsi" w:cstheme="majorBidi"/>
      <w:bCs/>
      <w:iCs/>
      <w:color w:val="77B6BD" w:themeColor="accent1" w:themeShade="BF"/>
      <w:szCs w:val="26"/>
    </w:rPr>
  </w:style>
  <w:style w:type="paragraph" w:styleId="Caption">
    <w:name w:val="caption"/>
    <w:basedOn w:val="Normal"/>
    <w:next w:val="Normal"/>
    <w:uiPriority w:val="35"/>
    <w:unhideWhenUsed/>
    <w:qFormat/>
    <w:rsid w:val="00FB44AA"/>
    <w:pPr>
      <w:spacing w:before="200" w:after="120"/>
    </w:pPr>
    <w:rPr>
      <w:b/>
      <w:iCs/>
      <w:color w:val="000000" w:themeColor="text1"/>
      <w:szCs w:val="18"/>
    </w:rPr>
  </w:style>
  <w:style w:type="paragraph" w:styleId="Footer">
    <w:name w:val="footer"/>
    <w:basedOn w:val="Normal"/>
    <w:link w:val="FooterChar"/>
    <w:uiPriority w:val="99"/>
    <w:unhideWhenUsed/>
    <w:rsid w:val="00FB44AA"/>
    <w:pPr>
      <w:tabs>
        <w:tab w:val="center" w:pos="4513"/>
        <w:tab w:val="center" w:pos="8819"/>
        <w:tab w:val="right" w:pos="9026"/>
      </w:tabs>
      <w:spacing w:before="120" w:after="0" w:line="180" w:lineRule="atLeast"/>
    </w:pPr>
    <w:rPr>
      <w:sz w:val="14"/>
    </w:rPr>
  </w:style>
  <w:style w:type="character" w:customStyle="1" w:styleId="FooterChar">
    <w:name w:val="Footer Char"/>
    <w:basedOn w:val="DefaultParagraphFont"/>
    <w:link w:val="Footer"/>
    <w:uiPriority w:val="99"/>
    <w:rsid w:val="00FB44AA"/>
    <w:rPr>
      <w:sz w:val="14"/>
    </w:rPr>
  </w:style>
  <w:style w:type="character" w:customStyle="1" w:styleId="Heading6Char">
    <w:name w:val="Heading 6 Char"/>
    <w:basedOn w:val="DefaultParagraphFont"/>
    <w:link w:val="Heading6"/>
    <w:uiPriority w:val="9"/>
    <w:semiHidden/>
    <w:rsid w:val="00486804"/>
    <w:rPr>
      <w:rFonts w:asciiTheme="majorHAnsi" w:eastAsiaTheme="majorEastAsia" w:hAnsiTheme="majorHAnsi" w:cstheme="majorBidi"/>
      <w:bCs/>
      <w:iCs/>
      <w:color w:val="43838A"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43838A"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paragraph" w:customStyle="1" w:styleId="Boxed1Text">
    <w:name w:val="Boxed 1 Text"/>
    <w:basedOn w:val="Normal"/>
    <w:link w:val="Boxed1TextChar"/>
    <w:qFormat/>
    <w:rsid w:val="00486804"/>
    <w:pPr>
      <w:pBdr>
        <w:top w:val="single" w:sz="4" w:space="14" w:color="F1F8F8" w:themeColor="accent1" w:themeTint="33"/>
        <w:left w:val="single" w:sz="4" w:space="14" w:color="F1F8F8" w:themeColor="accent1" w:themeTint="33"/>
        <w:bottom w:val="single" w:sz="4" w:space="14" w:color="F1F8F8" w:themeColor="accent1" w:themeTint="33"/>
        <w:right w:val="single" w:sz="4" w:space="14" w:color="F1F8F8" w:themeColor="accent1" w:themeTint="33"/>
      </w:pBdr>
      <w:shd w:val="clear" w:color="auto" w:fill="F1F8F8" w:themeFill="accent1" w:themeFillTint="33"/>
      <w:ind w:left="284" w:right="284"/>
    </w:pPr>
  </w:style>
  <w:style w:type="paragraph" w:customStyle="1" w:styleId="Boxed1Heading">
    <w:name w:val="Boxed 1 Heading"/>
    <w:basedOn w:val="Boxed1Text"/>
    <w:qFormat/>
    <w:rsid w:val="00486804"/>
    <w:rPr>
      <w:b/>
      <w:sz w:val="24"/>
    </w:rPr>
  </w:style>
  <w:style w:type="paragraph" w:customStyle="1" w:styleId="Boxed2Text">
    <w:name w:val="Boxed 2 Text"/>
    <w:basedOn w:val="Boxed1Text"/>
    <w:link w:val="Boxed2TextChar"/>
    <w:qFormat/>
    <w:rsid w:val="000C2A48"/>
    <w:pPr>
      <w:pBdr>
        <w:top w:val="single" w:sz="4" w:space="14" w:color="BDDCDF" w:themeColor="accent1"/>
        <w:left w:val="single" w:sz="4" w:space="14" w:color="BDDCDF" w:themeColor="accent1"/>
        <w:bottom w:val="single" w:sz="4" w:space="14" w:color="BDDCDF" w:themeColor="accent1"/>
        <w:right w:val="single" w:sz="4" w:space="14" w:color="BDDCDF" w:themeColor="accent1"/>
      </w:pBdr>
      <w:shd w:val="clear" w:color="auto" w:fill="BDDCDF" w:themeFill="accent1"/>
    </w:pPr>
  </w:style>
  <w:style w:type="paragraph" w:customStyle="1" w:styleId="Boxed2Heading">
    <w:name w:val="Boxed 2 Heading"/>
    <w:basedOn w:val="Boxed2Text"/>
    <w:qFormat/>
    <w:rsid w:val="000C2A48"/>
    <w:rPr>
      <w:b/>
      <w:sz w:val="24"/>
    </w:rPr>
  </w:style>
  <w:style w:type="character" w:styleId="PageNumber">
    <w:name w:val="page number"/>
    <w:basedOn w:val="DefaultParagraphFont"/>
    <w:uiPriority w:val="99"/>
    <w:unhideWhenUsed/>
    <w:qFormat/>
    <w:rsid w:val="00DB6D69"/>
  </w:style>
  <w:style w:type="table" w:styleId="TableGridLight">
    <w:name w:val="Grid Table Light"/>
    <w:basedOn w:val="TableNormal"/>
    <w:uiPriority w:val="40"/>
    <w:rsid w:val="000D60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inance1">
    <w:name w:val="Finance 1"/>
    <w:basedOn w:val="TableNormal"/>
    <w:uiPriority w:val="99"/>
    <w:rsid w:val="005C37F0"/>
    <w:pPr>
      <w:spacing w:before="60" w:after="60" w:line="200" w:lineRule="atLeast"/>
    </w:pPr>
    <w:rPr>
      <w:sz w:val="16"/>
    </w:rPr>
    <w:tblPr>
      <w:tblStyleRowBandSize w:val="1"/>
      <w:tblStyleColBandSize w:val="1"/>
      <w:tblBorders>
        <w:top w:val="single" w:sz="4" w:space="0" w:color="1C1C1C" w:themeColor="text2"/>
        <w:bottom w:val="single" w:sz="4" w:space="0" w:color="1C1C1C" w:themeColor="text2"/>
        <w:insideH w:val="single" w:sz="4" w:space="0" w:color="1C1C1C" w:themeColor="text2"/>
      </w:tblBorders>
      <w:tblCellMar>
        <w:left w:w="85" w:type="dxa"/>
        <w:right w:w="85" w:type="dxa"/>
      </w:tblCellMar>
    </w:tblPr>
    <w:trPr>
      <w:cantSplit/>
    </w:trPr>
    <w:tblStylePr w:type="firstRow">
      <w:rPr>
        <w:b/>
      </w:rPr>
      <w:tblPr/>
      <w:trPr>
        <w:tblHeader/>
      </w:trPr>
      <w:tcPr>
        <w:shd w:val="clear" w:color="auto" w:fill="1C1C1C" w:themeFill="text2"/>
      </w:tcPr>
    </w:tblStylePr>
    <w:tblStylePr w:type="lastRow">
      <w:tblPr/>
      <w:tcPr>
        <w:shd w:val="clear" w:color="auto" w:fill="1C1C1C" w:themeFill="text2"/>
      </w:tcPr>
    </w:tblStylePr>
    <w:tblStylePr w:type="firstCol">
      <w:tblPr/>
      <w:tcPr>
        <w:tcBorders>
          <w:insideH w:val="single" w:sz="4" w:space="0" w:color="FFFFFF" w:themeColor="background1"/>
        </w:tcBorders>
        <w:shd w:val="clear" w:color="auto" w:fill="1C1C1C" w:themeFill="text2"/>
      </w:tcPr>
    </w:tblStylePr>
    <w:tblStylePr w:type="lastCol">
      <w:tblPr/>
      <w:tcPr>
        <w:shd w:val="clear" w:color="auto" w:fill="BFBFBF" w:themeFill="background1" w:themeFillShade="BF"/>
      </w:tcPr>
    </w:tblStylePr>
    <w:tblStylePr w:type="band1Vert">
      <w:tblPr/>
      <w:tcPr>
        <w:shd w:val="clear" w:color="auto" w:fill="E2E3E2" w:themeFill="background2"/>
      </w:tcPr>
    </w:tblStylePr>
    <w:tblStylePr w:type="band2Vert">
      <w:tblPr/>
      <w:tcPr>
        <w:shd w:val="clear" w:color="auto" w:fill="FFFFFF" w:themeFill="background1"/>
      </w:tcPr>
    </w:tblStylePr>
    <w:tblStylePr w:type="band1Horz">
      <w:tblPr/>
      <w:tcPr>
        <w:shd w:val="clear" w:color="auto" w:fill="E2E3E2" w:themeFill="background2"/>
      </w:tcPr>
    </w:tblStylePr>
    <w:tblStylePr w:type="band2Horz">
      <w:rPr>
        <w:color w:val="auto"/>
      </w:rPr>
      <w:tblPr/>
      <w:tcPr>
        <w:shd w:val="clear" w:color="auto" w:fill="FFFFFF" w:themeFill="background1"/>
      </w:tcPr>
    </w:tblStylePr>
  </w:style>
  <w:style w:type="paragraph" w:customStyle="1" w:styleId="TableText">
    <w:name w:val="Table Text"/>
    <w:basedOn w:val="Normal"/>
    <w:qFormat/>
    <w:rsid w:val="00FB44AA"/>
    <w:pPr>
      <w:spacing w:before="60"/>
    </w:pPr>
    <w:rPr>
      <w:sz w:val="18"/>
    </w:rPr>
  </w:style>
  <w:style w:type="paragraph" w:customStyle="1" w:styleId="TableSourceNotes">
    <w:name w:val="Table Source Notes"/>
    <w:basedOn w:val="TableText"/>
    <w:qFormat/>
    <w:rsid w:val="00FB44AA"/>
    <w:pPr>
      <w:spacing w:before="120" w:line="240" w:lineRule="atLeast"/>
      <w:ind w:left="284" w:hanging="284"/>
      <w:contextualSpacing/>
    </w:pPr>
  </w:style>
  <w:style w:type="paragraph" w:styleId="FootnoteText">
    <w:name w:val="footnote text"/>
    <w:basedOn w:val="Normal"/>
    <w:link w:val="FootnoteTextChar"/>
    <w:uiPriority w:val="99"/>
    <w:semiHidden/>
    <w:unhideWhenUsed/>
    <w:qFormat/>
    <w:rsid w:val="00AB19CF"/>
    <w:pPr>
      <w:spacing w:before="0" w:after="0" w:line="200" w:lineRule="atLeast"/>
      <w:ind w:left="284" w:hanging="284"/>
    </w:pPr>
    <w:rPr>
      <w:sz w:val="16"/>
      <w:szCs w:val="20"/>
    </w:rPr>
  </w:style>
  <w:style w:type="character" w:customStyle="1" w:styleId="FootnoteTextChar">
    <w:name w:val="Footnote Text Char"/>
    <w:basedOn w:val="DefaultParagraphFont"/>
    <w:link w:val="FootnoteText"/>
    <w:uiPriority w:val="99"/>
    <w:semiHidden/>
    <w:rsid w:val="00AB19CF"/>
    <w:rPr>
      <w:sz w:val="16"/>
      <w:szCs w:val="20"/>
    </w:rPr>
  </w:style>
  <w:style w:type="character" w:styleId="FootnoteReference">
    <w:name w:val="footnote reference"/>
    <w:basedOn w:val="DefaultParagraphFont"/>
    <w:uiPriority w:val="99"/>
    <w:semiHidden/>
    <w:unhideWhenUsed/>
    <w:rsid w:val="0020122A"/>
    <w:rPr>
      <w:vertAlign w:val="superscript"/>
    </w:rPr>
  </w:style>
  <w:style w:type="paragraph" w:customStyle="1" w:styleId="FootnoteSeparator">
    <w:name w:val="Footnote Separator"/>
    <w:basedOn w:val="Normal"/>
    <w:qFormat/>
    <w:rsid w:val="0020122A"/>
    <w:pPr>
      <w:pBdr>
        <w:top w:val="single" w:sz="2" w:space="1" w:color="auto"/>
      </w:pBdr>
      <w:spacing w:before="0" w:after="0" w:line="240" w:lineRule="auto"/>
    </w:pPr>
  </w:style>
  <w:style w:type="character" w:styleId="PlaceholderText">
    <w:name w:val="Placeholder Text"/>
    <w:basedOn w:val="DefaultParagraphFont"/>
    <w:uiPriority w:val="99"/>
    <w:semiHidden/>
    <w:rsid w:val="000A6A8B"/>
    <w:rPr>
      <w:color w:val="808080"/>
    </w:rPr>
  </w:style>
  <w:style w:type="character" w:customStyle="1" w:styleId="Classification">
    <w:name w:val="Classification"/>
    <w:basedOn w:val="DefaultParagraphFont"/>
    <w:uiPriority w:val="1"/>
    <w:qFormat/>
    <w:rsid w:val="006C4DD1"/>
    <w:rPr>
      <w:b/>
      <w:caps/>
      <w:smallCaps w:val="0"/>
      <w:sz w:val="24"/>
    </w:rPr>
  </w:style>
  <w:style w:type="paragraph" w:customStyle="1" w:styleId="Afterbox">
    <w:name w:val="After box"/>
    <w:next w:val="BodyText1"/>
    <w:semiHidden/>
    <w:qFormat/>
    <w:rsid w:val="00396E11"/>
    <w:pPr>
      <w:spacing w:after="57" w:line="113" w:lineRule="exact"/>
    </w:pPr>
    <w:rPr>
      <w:rFonts w:ascii="Cambria" w:eastAsia="Times New Roman" w:hAnsi="Cambria" w:cs="Times New Roman"/>
      <w:sz w:val="2"/>
      <w:szCs w:val="24"/>
    </w:rPr>
  </w:style>
  <w:style w:type="paragraph" w:customStyle="1" w:styleId="Bodytextbeforebullets">
    <w:name w:val="Body text (before bullets)"/>
    <w:basedOn w:val="BodyText1"/>
    <w:semiHidden/>
    <w:rsid w:val="00396E11"/>
    <w:pPr>
      <w:spacing w:after="57"/>
    </w:pPr>
  </w:style>
  <w:style w:type="paragraph" w:customStyle="1" w:styleId="BodyText1">
    <w:name w:val="Body Text1"/>
    <w:link w:val="BodyText1Char"/>
    <w:semiHidden/>
    <w:rsid w:val="00396E11"/>
    <w:pPr>
      <w:spacing w:after="113" w:line="260" w:lineRule="atLeast"/>
    </w:pPr>
    <w:rPr>
      <w:rFonts w:ascii="Cambria" w:eastAsia="Times New Roman" w:hAnsi="Cambria" w:cs="Times New Roman"/>
      <w:szCs w:val="24"/>
    </w:rPr>
  </w:style>
  <w:style w:type="paragraph" w:customStyle="1" w:styleId="Bullets1stindent">
    <w:name w:val="Bullets (1st indent)"/>
    <w:basedOn w:val="BodyText1"/>
    <w:link w:val="Bullets1stindentChar"/>
    <w:semiHidden/>
    <w:rsid w:val="002676C9"/>
    <w:pPr>
      <w:numPr>
        <w:numId w:val="9"/>
      </w:numPr>
      <w:spacing w:after="120" w:line="240" w:lineRule="auto"/>
    </w:pPr>
    <w:rPr>
      <w:rFonts w:asciiTheme="minorHAnsi" w:eastAsiaTheme="minorHAnsi" w:hAnsiTheme="minorHAnsi" w:cstheme="minorBidi"/>
      <w:szCs w:val="22"/>
    </w:rPr>
  </w:style>
  <w:style w:type="paragraph" w:customStyle="1" w:styleId="Bullets2ndindent">
    <w:name w:val="Bullets (2nd indent)"/>
    <w:basedOn w:val="Bullets1stindent"/>
    <w:semiHidden/>
    <w:rsid w:val="00396E11"/>
    <w:pPr>
      <w:numPr>
        <w:numId w:val="10"/>
      </w:numPr>
      <w:tabs>
        <w:tab w:val="right" w:pos="794"/>
      </w:tabs>
      <w:spacing w:after="60"/>
    </w:pPr>
    <w:rPr>
      <w:rFonts w:asciiTheme="majorHAnsi" w:hAnsiTheme="majorHAnsi"/>
    </w:rPr>
  </w:style>
  <w:style w:type="numbering" w:customStyle="1" w:styleId="Bullets">
    <w:name w:val="Bullets"/>
    <w:basedOn w:val="NoList"/>
    <w:uiPriority w:val="99"/>
    <w:rsid w:val="00396E11"/>
    <w:pPr>
      <w:numPr>
        <w:numId w:val="7"/>
      </w:numPr>
    </w:pPr>
  </w:style>
  <w:style w:type="paragraph" w:customStyle="1" w:styleId="Figuretitle">
    <w:name w:val="Figure title"/>
    <w:next w:val="BodyText1"/>
    <w:qFormat/>
    <w:rsid w:val="00396E11"/>
    <w:pPr>
      <w:keepNext/>
      <w:keepLines/>
      <w:numPr>
        <w:ilvl w:val="6"/>
        <w:numId w:val="6"/>
      </w:numPr>
      <w:spacing w:before="340" w:after="170" w:line="240" w:lineRule="auto"/>
    </w:pPr>
    <w:rPr>
      <w:rFonts w:ascii="Arial" w:eastAsia="Times New Roman" w:hAnsi="Arial" w:cs="Times New Roman"/>
      <w:b/>
      <w:color w:val="005A77"/>
      <w:spacing w:val="-6"/>
      <w:sz w:val="24"/>
      <w:szCs w:val="24"/>
      <w:lang w:val="en-US"/>
    </w:rPr>
  </w:style>
  <w:style w:type="paragraph" w:customStyle="1" w:styleId="Footertext">
    <w:name w:val="Footer text"/>
    <w:semiHidden/>
    <w:rsid w:val="00396E11"/>
    <w:pPr>
      <w:framePr w:hSpace="181" w:wrap="around" w:vAnchor="text" w:hAnchor="page" w:x="11228" w:y="1"/>
      <w:spacing w:after="0" w:line="200" w:lineRule="atLeast"/>
      <w:ind w:right="113"/>
      <w:suppressOverlap/>
    </w:pPr>
    <w:rPr>
      <w:rFonts w:ascii="Arial" w:eastAsia="Times New Roman" w:hAnsi="Arial" w:cs="Arial"/>
      <w:sz w:val="16"/>
      <w:szCs w:val="24"/>
    </w:rPr>
  </w:style>
  <w:style w:type="paragraph" w:customStyle="1" w:styleId="Sourcenotetext">
    <w:name w:val="Source/note text"/>
    <w:qFormat/>
    <w:rsid w:val="00396E11"/>
    <w:pPr>
      <w:spacing w:before="85" w:after="85" w:line="240" w:lineRule="auto"/>
    </w:pPr>
    <w:rPr>
      <w:rFonts w:ascii="Arial" w:eastAsia="Times New Roman" w:hAnsi="Arial" w:cs="Arial"/>
      <w:i/>
      <w:sz w:val="12"/>
      <w:szCs w:val="12"/>
    </w:rPr>
  </w:style>
  <w:style w:type="paragraph" w:customStyle="1" w:styleId="Bulletslast1stindent">
    <w:name w:val="Bullets last (1st indent)"/>
    <w:basedOn w:val="BodyText1"/>
    <w:semiHidden/>
    <w:rsid w:val="00396E11"/>
    <w:pPr>
      <w:numPr>
        <w:ilvl w:val="2"/>
        <w:numId w:val="7"/>
      </w:numPr>
      <w:tabs>
        <w:tab w:val="clear" w:pos="284"/>
      </w:tabs>
      <w:ind w:left="852"/>
    </w:pPr>
  </w:style>
  <w:style w:type="numbering" w:customStyle="1" w:styleId="Numbers">
    <w:name w:val="Numbers"/>
    <w:basedOn w:val="NoList"/>
    <w:rsid w:val="00396E11"/>
    <w:pPr>
      <w:numPr>
        <w:numId w:val="132"/>
      </w:numPr>
    </w:pPr>
  </w:style>
  <w:style w:type="paragraph" w:customStyle="1" w:styleId="Bulletslast2ndindent">
    <w:name w:val="Bullets last (2nd indent)"/>
    <w:basedOn w:val="BodyText1"/>
    <w:semiHidden/>
    <w:rsid w:val="00396E11"/>
    <w:pPr>
      <w:numPr>
        <w:ilvl w:val="3"/>
        <w:numId w:val="7"/>
      </w:numPr>
      <w:tabs>
        <w:tab w:val="clear" w:pos="567"/>
      </w:tabs>
      <w:ind w:left="568" w:hanging="284"/>
    </w:pPr>
  </w:style>
  <w:style w:type="paragraph" w:customStyle="1" w:styleId="Tablebodytext">
    <w:name w:val="Table body text"/>
    <w:qFormat/>
    <w:rsid w:val="00396E11"/>
    <w:pPr>
      <w:spacing w:before="57" w:after="57" w:line="240" w:lineRule="auto"/>
      <w:ind w:left="96" w:right="96"/>
    </w:pPr>
    <w:rPr>
      <w:rFonts w:ascii="Arial" w:eastAsia="Times New Roman" w:hAnsi="Arial" w:cs="Times New Roman"/>
      <w:sz w:val="18"/>
      <w:szCs w:val="24"/>
    </w:rPr>
  </w:style>
  <w:style w:type="paragraph" w:customStyle="1" w:styleId="Tablebullets2ndindent">
    <w:name w:val="Table bullets (2nd indent)"/>
    <w:basedOn w:val="Tablebodytext"/>
    <w:qFormat/>
    <w:rsid w:val="00396E11"/>
    <w:pPr>
      <w:numPr>
        <w:ilvl w:val="6"/>
        <w:numId w:val="7"/>
      </w:numPr>
    </w:pPr>
  </w:style>
  <w:style w:type="paragraph" w:customStyle="1" w:styleId="Tablebullets1stindent">
    <w:name w:val="Table bullets (1st indent)"/>
    <w:basedOn w:val="Tablebodytext"/>
    <w:qFormat/>
    <w:rsid w:val="00396E11"/>
    <w:pPr>
      <w:numPr>
        <w:ilvl w:val="5"/>
        <w:numId w:val="7"/>
      </w:numPr>
    </w:pPr>
  </w:style>
  <w:style w:type="paragraph" w:customStyle="1" w:styleId="Tablecolumnheading">
    <w:name w:val="Table column heading"/>
    <w:basedOn w:val="Tablebodytext"/>
    <w:qFormat/>
    <w:rsid w:val="00364E74"/>
    <w:pPr>
      <w:keepNext/>
    </w:pPr>
    <w:rPr>
      <w:b/>
      <w:color w:val="000000" w:themeColor="text1"/>
      <w:szCs w:val="18"/>
    </w:rPr>
  </w:style>
  <w:style w:type="paragraph" w:customStyle="1" w:styleId="Title2">
    <w:name w:val="Title 2"/>
    <w:basedOn w:val="Title"/>
    <w:uiPriority w:val="2"/>
    <w:semiHidden/>
    <w:rsid w:val="00396E11"/>
    <w:pPr>
      <w:keepLines w:val="0"/>
      <w:pBdr>
        <w:bottom w:val="single" w:sz="8" w:space="4" w:color="C2B000"/>
      </w:pBdr>
      <w:suppressAutoHyphens w:val="0"/>
      <w:spacing w:before="200" w:after="300" w:line="260" w:lineRule="atLeast"/>
      <w:jc w:val="left"/>
      <w:outlineLvl w:val="9"/>
    </w:pPr>
    <w:rPr>
      <w:rFonts w:ascii="Arial" w:eastAsia="MS Gothic" w:hAnsi="Arial" w:cs="Times New Roman"/>
      <w:bCs w:val="0"/>
      <w:color w:val="615800"/>
      <w:spacing w:val="5"/>
      <w:sz w:val="52"/>
    </w:rPr>
  </w:style>
  <w:style w:type="paragraph" w:customStyle="1" w:styleId="Tabletitle">
    <w:name w:val="Table title"/>
    <w:next w:val="BodyText1"/>
    <w:qFormat/>
    <w:rsid w:val="00396E11"/>
    <w:pPr>
      <w:keepNext/>
      <w:numPr>
        <w:ilvl w:val="8"/>
        <w:numId w:val="6"/>
      </w:numPr>
      <w:spacing w:before="340" w:after="170" w:line="240" w:lineRule="auto"/>
    </w:pPr>
    <w:rPr>
      <w:rFonts w:ascii="Arial" w:eastAsia="Times New Roman" w:hAnsi="Arial" w:cs="Times New Roman"/>
      <w:b/>
      <w:color w:val="005A77"/>
      <w:spacing w:val="-6"/>
      <w:sz w:val="24"/>
      <w:szCs w:val="24"/>
      <w:lang w:val="en-US"/>
    </w:rPr>
  </w:style>
  <w:style w:type="paragraph" w:customStyle="1" w:styleId="Simpletableheading">
    <w:name w:val="Simple table heading"/>
    <w:next w:val="BodyText1"/>
    <w:uiPriority w:val="1"/>
    <w:rsid w:val="00396E11"/>
    <w:pPr>
      <w:spacing w:after="0" w:line="240" w:lineRule="atLeast"/>
    </w:pPr>
    <w:rPr>
      <w:rFonts w:ascii="Arial" w:eastAsia="Times New Roman" w:hAnsi="Arial" w:cs="Times New Roman"/>
      <w:b/>
      <w:color w:val="37424A"/>
      <w:szCs w:val="24"/>
    </w:rPr>
  </w:style>
  <w:style w:type="paragraph" w:styleId="BalloonText">
    <w:name w:val="Balloon Text"/>
    <w:basedOn w:val="Normal"/>
    <w:link w:val="BalloonTextChar"/>
    <w:uiPriority w:val="99"/>
    <w:semiHidden/>
    <w:rsid w:val="00396E11"/>
    <w:pPr>
      <w:suppressAutoHyphens w:val="0"/>
      <w:spacing w:before="200" w:after="0" w:line="260" w:lineRule="atLeast"/>
    </w:pPr>
    <w:rPr>
      <w:rFonts w:ascii="Tahoma" w:eastAsia="Cambria" w:hAnsi="Tahoma" w:cs="Tahoma"/>
      <w:sz w:val="16"/>
      <w:szCs w:val="16"/>
    </w:rPr>
  </w:style>
  <w:style w:type="character" w:customStyle="1" w:styleId="BalloonTextChar">
    <w:name w:val="Balloon Text Char"/>
    <w:basedOn w:val="DefaultParagraphFont"/>
    <w:link w:val="BalloonText"/>
    <w:uiPriority w:val="99"/>
    <w:semiHidden/>
    <w:rsid w:val="00396E11"/>
    <w:rPr>
      <w:rFonts w:ascii="Tahoma" w:eastAsia="Cambria" w:hAnsi="Tahoma" w:cs="Tahoma"/>
      <w:sz w:val="16"/>
      <w:szCs w:val="16"/>
    </w:rPr>
  </w:style>
  <w:style w:type="paragraph" w:customStyle="1" w:styleId="Subtitle2">
    <w:name w:val="Subtitle 2"/>
    <w:uiPriority w:val="2"/>
    <w:semiHidden/>
    <w:rsid w:val="00396E11"/>
    <w:pPr>
      <w:spacing w:before="200" w:after="0" w:line="240" w:lineRule="auto"/>
      <w:contextualSpacing/>
    </w:pPr>
    <w:rPr>
      <w:rFonts w:ascii="Arial" w:eastAsia="Times New Roman" w:hAnsi="Arial" w:cs="Times New Roman"/>
      <w:caps/>
      <w:color w:val="1C2735"/>
      <w:kern w:val="28"/>
      <w:szCs w:val="32"/>
    </w:rPr>
  </w:style>
  <w:style w:type="character" w:customStyle="1" w:styleId="Blue">
    <w:name w:val="Blue"/>
    <w:basedOn w:val="DefaultParagraphFont"/>
    <w:semiHidden/>
    <w:qFormat/>
    <w:rsid w:val="00396E11"/>
    <w:rPr>
      <w:color w:val="C2B000"/>
    </w:rPr>
  </w:style>
  <w:style w:type="paragraph" w:customStyle="1" w:styleId="Boxtext">
    <w:name w:val="Box text"/>
    <w:basedOn w:val="Tablebodytext"/>
    <w:uiPriority w:val="1"/>
    <w:unhideWhenUsed/>
    <w:rsid w:val="00396E11"/>
    <w:pPr>
      <w:spacing w:before="113" w:after="113" w:line="240" w:lineRule="atLeast"/>
      <w:ind w:left="0" w:right="0"/>
    </w:pPr>
    <w:rPr>
      <w:color w:val="37424A"/>
    </w:rPr>
  </w:style>
  <w:style w:type="paragraph" w:styleId="Quote">
    <w:name w:val="Quote"/>
    <w:link w:val="QuoteChar"/>
    <w:qFormat/>
    <w:rsid w:val="00396E11"/>
    <w:pPr>
      <w:spacing w:before="170" w:after="170" w:line="240" w:lineRule="auto"/>
      <w:ind w:left="284" w:right="284"/>
    </w:pPr>
    <w:rPr>
      <w:rFonts w:ascii="Cambria" w:eastAsia="Times New Roman" w:hAnsi="Cambria" w:cs="Times New Roman"/>
      <w:i/>
      <w:iCs/>
      <w:color w:val="000000"/>
      <w:spacing w:val="-2"/>
      <w:szCs w:val="24"/>
    </w:rPr>
  </w:style>
  <w:style w:type="character" w:customStyle="1" w:styleId="QuoteChar">
    <w:name w:val="Quote Char"/>
    <w:basedOn w:val="DefaultParagraphFont"/>
    <w:link w:val="Quote"/>
    <w:rsid w:val="00396E11"/>
    <w:rPr>
      <w:rFonts w:ascii="Cambria" w:eastAsia="Times New Roman" w:hAnsi="Cambria" w:cs="Times New Roman"/>
      <w:i/>
      <w:iCs/>
      <w:color w:val="000000"/>
      <w:spacing w:val="-2"/>
      <w:szCs w:val="24"/>
    </w:rPr>
  </w:style>
  <w:style w:type="table" w:customStyle="1" w:styleId="DOFDwithheader">
    <w:name w:val="DOFD with header"/>
    <w:basedOn w:val="TableNormal"/>
    <w:uiPriority w:val="99"/>
    <w:qFormat/>
    <w:rsid w:val="00396E11"/>
    <w:pPr>
      <w:spacing w:before="57" w:after="0" w:line="220" w:lineRule="atLeast"/>
      <w:ind w:left="96" w:right="96"/>
    </w:pPr>
    <w:rPr>
      <w:rFonts w:ascii="Arial" w:eastAsia="Times New Roman" w:hAnsi="Arial" w:cs="Times New Roman"/>
      <w:sz w:val="20"/>
      <w:szCs w:val="20"/>
      <w:lang w:eastAsia="en-AU"/>
    </w:rPr>
    <w:tblPr>
      <w:tblBorders>
        <w:top w:val="single" w:sz="2" w:space="0" w:color="A7B4BE"/>
        <w:bottom w:val="single" w:sz="2" w:space="0" w:color="A7B4BE"/>
        <w:insideH w:val="single" w:sz="2" w:space="0" w:color="A7B4BE"/>
        <w:insideV w:val="single" w:sz="2" w:space="0" w:color="A7B4BE"/>
      </w:tblBorders>
      <w:tblCellMar>
        <w:left w:w="0" w:type="dxa"/>
        <w:right w:w="0" w:type="dxa"/>
      </w:tblCellMar>
    </w:tblPr>
    <w:tblStylePr w:type="firstRow">
      <w:pPr>
        <w:keepNext/>
        <w:wordWrap/>
      </w:pPr>
      <w:rPr>
        <w:b w:val="0"/>
      </w:rPr>
      <w:tblPr/>
      <w:tcPr>
        <w:shd w:val="clear" w:color="auto" w:fill="DDF3FA"/>
      </w:tcPr>
    </w:tblStylePr>
  </w:style>
  <w:style w:type="character" w:customStyle="1" w:styleId="ArialBlackBlue">
    <w:name w:val="Arial Black Blue"/>
    <w:basedOn w:val="DefaultParagraphFont"/>
    <w:uiPriority w:val="1"/>
    <w:semiHidden/>
    <w:qFormat/>
    <w:rsid w:val="00396E11"/>
    <w:rPr>
      <w:rFonts w:ascii="Arial Black" w:hAnsi="Arial Black"/>
      <w:color w:val="005A77"/>
      <w:sz w:val="18"/>
      <w:szCs w:val="18"/>
    </w:rPr>
  </w:style>
  <w:style w:type="paragraph" w:customStyle="1" w:styleId="Chapternumber">
    <w:name w:val="Chapter number"/>
    <w:rsid w:val="00396E11"/>
    <w:pPr>
      <w:spacing w:after="0" w:line="940" w:lineRule="exact"/>
      <w:jc w:val="center"/>
    </w:pPr>
    <w:rPr>
      <w:rFonts w:ascii="Arial" w:eastAsia="Times New Roman" w:hAnsi="Arial" w:cs="Arial"/>
      <w:b/>
      <w:color w:val="A7B4BE"/>
      <w:sz w:val="94"/>
      <w:szCs w:val="94"/>
    </w:rPr>
  </w:style>
  <w:style w:type="paragraph" w:customStyle="1" w:styleId="Boxheading">
    <w:name w:val="Box heading"/>
    <w:basedOn w:val="Simpletableheading"/>
    <w:uiPriority w:val="1"/>
    <w:unhideWhenUsed/>
    <w:rsid w:val="00396E11"/>
    <w:pPr>
      <w:spacing w:before="113" w:after="113"/>
    </w:pPr>
    <w:rPr>
      <w:color w:val="005A77"/>
    </w:rPr>
  </w:style>
  <w:style w:type="paragraph" w:customStyle="1" w:styleId="Notetitle">
    <w:name w:val="Note title"/>
    <w:qFormat/>
    <w:rsid w:val="00396E11"/>
    <w:pPr>
      <w:keepNext/>
      <w:numPr>
        <w:ilvl w:val="7"/>
        <w:numId w:val="6"/>
      </w:numPr>
      <w:spacing w:before="340" w:after="170" w:line="240" w:lineRule="auto"/>
    </w:pPr>
    <w:rPr>
      <w:rFonts w:ascii="Arial" w:eastAsia="MS Gothic" w:hAnsi="Arial" w:cs="Times New Roman"/>
      <w:b/>
      <w:bCs/>
      <w:iCs/>
      <w:color w:val="005A77"/>
      <w:spacing w:val="-6"/>
      <w:sz w:val="24"/>
      <w:szCs w:val="28"/>
      <w:lang w:val="en-US"/>
    </w:rPr>
  </w:style>
  <w:style w:type="character" w:customStyle="1" w:styleId="Black">
    <w:name w:val="Black"/>
    <w:basedOn w:val="DefaultParagraphFont"/>
    <w:uiPriority w:val="1"/>
    <w:semiHidden/>
    <w:qFormat/>
    <w:rsid w:val="00396E11"/>
    <w:rPr>
      <w:color w:val="1C2735"/>
      <w:lang w:val="en-AU"/>
    </w:rPr>
  </w:style>
  <w:style w:type="paragraph" w:customStyle="1" w:styleId="Numberedpara1stindent">
    <w:name w:val="Numbered para (1st indent)"/>
    <w:basedOn w:val="ListParagraph"/>
    <w:rsid w:val="00396E11"/>
    <w:pPr>
      <w:numPr>
        <w:ilvl w:val="1"/>
      </w:numPr>
      <w:spacing w:before="120"/>
      <w:ind w:left="924" w:hanging="357"/>
    </w:pPr>
  </w:style>
  <w:style w:type="paragraph" w:customStyle="1" w:styleId="Numberedpara2ndindent">
    <w:name w:val="Numbered para (2nd indent)"/>
    <w:basedOn w:val="BodyText1"/>
    <w:rsid w:val="00396E11"/>
    <w:pPr>
      <w:numPr>
        <w:ilvl w:val="4"/>
        <w:numId w:val="6"/>
      </w:numPr>
      <w:tabs>
        <w:tab w:val="clear" w:pos="851"/>
      </w:tabs>
      <w:spacing w:after="0" w:line="240" w:lineRule="auto"/>
      <w:ind w:left="1420"/>
    </w:pPr>
  </w:style>
  <w:style w:type="paragraph" w:customStyle="1" w:styleId="Numberedpara3rdindent">
    <w:name w:val="Numbered para (3rd indent)"/>
    <w:basedOn w:val="BodyText1"/>
    <w:rsid w:val="00396E11"/>
    <w:pPr>
      <w:spacing w:before="120" w:after="0" w:line="240" w:lineRule="auto"/>
      <w:ind w:left="1644" w:hanging="720"/>
    </w:pPr>
  </w:style>
  <w:style w:type="paragraph" w:customStyle="1" w:styleId="Heading2nonumbers">
    <w:name w:val="Heading 2 (no numbers)"/>
    <w:basedOn w:val="Normal"/>
    <w:next w:val="BodyText1"/>
    <w:qFormat/>
    <w:rsid w:val="00396E11"/>
    <w:pPr>
      <w:keepNext/>
      <w:pBdr>
        <w:top w:val="single" w:sz="4" w:space="1" w:color="293137"/>
        <w:left w:val="single" w:sz="4" w:space="4" w:color="293137"/>
        <w:bottom w:val="single" w:sz="4" w:space="1" w:color="293137"/>
        <w:right w:val="single" w:sz="4" w:space="4" w:color="293137"/>
      </w:pBdr>
      <w:shd w:val="clear" w:color="auto" w:fill="293137"/>
      <w:suppressAutoHyphens w:val="0"/>
      <w:spacing w:before="360" w:after="120" w:line="260" w:lineRule="exact"/>
      <w:outlineLvl w:val="1"/>
    </w:pPr>
    <w:rPr>
      <w:rFonts w:ascii="Arial" w:eastAsia="Times New Roman" w:hAnsi="Arial" w:cs="Times New Roman"/>
      <w:b/>
      <w:spacing w:val="-6"/>
      <w:sz w:val="26"/>
      <w:szCs w:val="26"/>
    </w:rPr>
  </w:style>
  <w:style w:type="paragraph" w:customStyle="1" w:styleId="Heading3nonumbers">
    <w:name w:val="Heading 3 (no numbers)"/>
    <w:basedOn w:val="Heading3"/>
    <w:next w:val="BodyText1"/>
    <w:qFormat/>
    <w:rsid w:val="00396E11"/>
    <w:pPr>
      <w:suppressAutoHyphens w:val="0"/>
      <w:spacing w:before="240" w:line="260" w:lineRule="atLeast"/>
      <w:contextualSpacing w:val="0"/>
    </w:pPr>
    <w:rPr>
      <w:rFonts w:ascii="Arial" w:eastAsia="Times New Roman" w:hAnsi="Arial" w:cs="Times New Roman"/>
      <w:b/>
      <w:bCs w:val="0"/>
      <w:color w:val="005A77"/>
      <w:spacing w:val="-6"/>
      <w:sz w:val="22"/>
    </w:rPr>
  </w:style>
  <w:style w:type="paragraph" w:customStyle="1" w:styleId="Heading4nonumbers">
    <w:name w:val="Heading 4 (no numbers)"/>
    <w:basedOn w:val="Heading4"/>
    <w:next w:val="BodyText1"/>
    <w:link w:val="Heading4nonumbersChar"/>
    <w:qFormat/>
    <w:rsid w:val="00396E11"/>
    <w:pPr>
      <w:keepLines w:val="0"/>
      <w:suppressAutoHyphens w:val="0"/>
      <w:spacing w:before="360" w:line="260" w:lineRule="exact"/>
      <w:contextualSpacing w:val="0"/>
    </w:pPr>
    <w:rPr>
      <w:rFonts w:ascii="Arial" w:eastAsia="Times New Roman" w:hAnsi="Arial" w:cs="Times New Roman"/>
      <w:b/>
      <w:bCs w:val="0"/>
      <w:iCs w:val="0"/>
      <w:spacing w:val="-6"/>
    </w:rPr>
  </w:style>
  <w:style w:type="character" w:customStyle="1" w:styleId="Heading4nonumbersChar">
    <w:name w:val="Heading 4 (no numbers) Char"/>
    <w:basedOn w:val="Heading4Char"/>
    <w:link w:val="Heading4nonumbers"/>
    <w:rsid w:val="00396E11"/>
    <w:rPr>
      <w:rFonts w:ascii="Arial" w:eastAsia="Times New Roman" w:hAnsi="Arial" w:cs="Times New Roman"/>
      <w:b/>
      <w:bCs w:val="0"/>
      <w:iCs w:val="0"/>
      <w:color w:val="1C1C1C" w:themeColor="text2"/>
      <w:spacing w:val="-6"/>
      <w:sz w:val="26"/>
      <w:szCs w:val="26"/>
    </w:rPr>
  </w:style>
  <w:style w:type="paragraph" w:customStyle="1" w:styleId="Boxtitle">
    <w:name w:val="Box title"/>
    <w:basedOn w:val="Boxheading"/>
    <w:uiPriority w:val="1"/>
    <w:unhideWhenUsed/>
    <w:rsid w:val="00396E11"/>
  </w:style>
  <w:style w:type="table" w:customStyle="1" w:styleId="DOFDplain">
    <w:name w:val="DOFD plain"/>
    <w:basedOn w:val="TableNormal"/>
    <w:uiPriority w:val="99"/>
    <w:qFormat/>
    <w:rsid w:val="00396E11"/>
    <w:pPr>
      <w:spacing w:before="57" w:after="0" w:line="220" w:lineRule="atLeast"/>
      <w:ind w:left="96" w:right="96"/>
    </w:pPr>
    <w:rPr>
      <w:rFonts w:ascii="Arial" w:eastAsia="Times New Roman" w:hAnsi="Arial" w:cs="Times New Roman"/>
      <w:sz w:val="17"/>
      <w:szCs w:val="20"/>
      <w:lang w:eastAsia="en-AU"/>
    </w:rPr>
    <w:tblPr>
      <w:tblBorders>
        <w:top w:val="single" w:sz="2" w:space="0" w:color="A7B4BE"/>
        <w:bottom w:val="single" w:sz="2" w:space="0" w:color="A7B4BE"/>
        <w:insideH w:val="single" w:sz="2" w:space="0" w:color="A7B4BE"/>
        <w:insideV w:val="single" w:sz="2" w:space="0" w:color="A7B4BE"/>
      </w:tblBorders>
      <w:tblCellMar>
        <w:left w:w="0" w:type="dxa"/>
        <w:right w:w="0" w:type="dxa"/>
      </w:tblCellMar>
    </w:tblPr>
    <w:tblStylePr w:type="firstRow">
      <w:pPr>
        <w:keepNext/>
        <w:wordWrap/>
      </w:pPr>
      <w:rPr>
        <w:rFonts w:ascii="Arial" w:hAnsi="Arial"/>
        <w:b w:val="0"/>
      </w:rPr>
      <w:tblPr/>
      <w:trPr>
        <w:tblHeader/>
      </w:trPr>
    </w:tblStylePr>
  </w:style>
  <w:style w:type="table" w:customStyle="1" w:styleId="DOFDbanded">
    <w:name w:val="DOFD banded"/>
    <w:basedOn w:val="TableNormal"/>
    <w:uiPriority w:val="99"/>
    <w:qFormat/>
    <w:rsid w:val="00396E11"/>
    <w:pPr>
      <w:spacing w:before="57" w:after="0" w:line="220" w:lineRule="atLeast"/>
      <w:ind w:left="96" w:right="96"/>
    </w:pPr>
    <w:rPr>
      <w:rFonts w:ascii="Arial" w:eastAsia="Times New Roman" w:hAnsi="Arial" w:cs="Times New Roman"/>
      <w:sz w:val="17"/>
      <w:szCs w:val="20"/>
      <w:lang w:eastAsia="en-AU"/>
    </w:rPr>
    <w:tblPr>
      <w:tblStyleRowBandSize w:val="1"/>
      <w:tblBorders>
        <w:top w:val="single" w:sz="2" w:space="0" w:color="A7B4BE"/>
        <w:bottom w:val="single" w:sz="2" w:space="0" w:color="A7B4BE"/>
        <w:insideH w:val="single" w:sz="2" w:space="0" w:color="A7B4BE"/>
        <w:insideV w:val="single" w:sz="2" w:space="0" w:color="A7B4BE"/>
      </w:tblBorders>
      <w:tblCellMar>
        <w:left w:w="0" w:type="dxa"/>
        <w:right w:w="0" w:type="dxa"/>
      </w:tblCellMar>
    </w:tblPr>
    <w:tblStylePr w:type="firstRow">
      <w:pPr>
        <w:keepNext/>
        <w:keepLines w:val="0"/>
        <w:wordWrap/>
      </w:pPr>
      <w:rPr>
        <w:b w:val="0"/>
      </w:rPr>
      <w:tblPr/>
      <w:trPr>
        <w:tblHeader/>
      </w:trPr>
    </w:tblStylePr>
    <w:tblStylePr w:type="band1Horz">
      <w:tblPr/>
      <w:tcPr>
        <w:shd w:val="clear" w:color="auto" w:fill="DDF3FA"/>
      </w:tcPr>
    </w:tblStylePr>
  </w:style>
  <w:style w:type="paragraph" w:styleId="BodyText">
    <w:name w:val="Body Text"/>
    <w:basedOn w:val="Normal"/>
    <w:link w:val="BodyTextChar"/>
    <w:qFormat/>
    <w:rsid w:val="00396E11"/>
    <w:pPr>
      <w:suppressAutoHyphens w:val="0"/>
      <w:spacing w:before="200" w:after="120" w:line="260" w:lineRule="atLeast"/>
    </w:pPr>
    <w:rPr>
      <w:rFonts w:ascii="Cambria" w:eastAsia="Cambria" w:hAnsi="Cambria" w:cs="Times New Roman"/>
    </w:rPr>
  </w:style>
  <w:style w:type="character" w:customStyle="1" w:styleId="BodyTextChar">
    <w:name w:val="Body Text Char"/>
    <w:basedOn w:val="DefaultParagraphFont"/>
    <w:link w:val="BodyText"/>
    <w:rsid w:val="00396E11"/>
    <w:rPr>
      <w:rFonts w:ascii="Cambria" w:eastAsia="Cambria" w:hAnsi="Cambria" w:cs="Times New Roman"/>
    </w:rPr>
  </w:style>
  <w:style w:type="paragraph" w:customStyle="1" w:styleId="Bulletsnumbers">
    <w:name w:val="Bullets (numbers)"/>
    <w:basedOn w:val="Bullets1stindent"/>
    <w:link w:val="BulletsnumbersChar"/>
    <w:semiHidden/>
    <w:rsid w:val="00396E11"/>
    <w:pPr>
      <w:numPr>
        <w:numId w:val="8"/>
      </w:numPr>
    </w:pPr>
    <w:rPr>
      <w:lang w:val="en-US"/>
    </w:rPr>
  </w:style>
  <w:style w:type="character" w:customStyle="1" w:styleId="BodyText1Char">
    <w:name w:val="Body Text1 Char"/>
    <w:basedOn w:val="DefaultParagraphFont"/>
    <w:link w:val="BodyText1"/>
    <w:semiHidden/>
    <w:rsid w:val="00396E11"/>
    <w:rPr>
      <w:rFonts w:ascii="Cambria" w:eastAsia="Times New Roman" w:hAnsi="Cambria" w:cs="Times New Roman"/>
      <w:szCs w:val="24"/>
    </w:rPr>
  </w:style>
  <w:style w:type="character" w:customStyle="1" w:styleId="Bullets1stindentChar">
    <w:name w:val="Bullets (1st indent) Char"/>
    <w:basedOn w:val="BodyText1Char"/>
    <w:link w:val="Bullets1stindent"/>
    <w:semiHidden/>
    <w:rsid w:val="002676C9"/>
    <w:rPr>
      <w:rFonts w:ascii="Cambria" w:eastAsia="Times New Roman" w:hAnsi="Cambria" w:cs="Times New Roman"/>
      <w:szCs w:val="24"/>
    </w:rPr>
  </w:style>
  <w:style w:type="character" w:customStyle="1" w:styleId="BulletsnumbersChar">
    <w:name w:val="Bullets (numbers) Char"/>
    <w:basedOn w:val="Bullets1stindentChar"/>
    <w:link w:val="Bulletsnumbers"/>
    <w:semiHidden/>
    <w:rsid w:val="00396E11"/>
    <w:rPr>
      <w:rFonts w:ascii="Cambria" w:eastAsia="Times New Roman" w:hAnsi="Cambria" w:cs="Times New Roman"/>
      <w:szCs w:val="24"/>
      <w:lang w:val="en-US"/>
    </w:rPr>
  </w:style>
  <w:style w:type="character" w:styleId="CommentReference">
    <w:name w:val="annotation reference"/>
    <w:basedOn w:val="DefaultParagraphFont"/>
    <w:uiPriority w:val="99"/>
    <w:semiHidden/>
    <w:rsid w:val="00396E11"/>
    <w:rPr>
      <w:sz w:val="16"/>
      <w:szCs w:val="16"/>
    </w:rPr>
  </w:style>
  <w:style w:type="paragraph" w:styleId="CommentText">
    <w:name w:val="annotation text"/>
    <w:basedOn w:val="Normal"/>
    <w:link w:val="CommentTextChar"/>
    <w:uiPriority w:val="99"/>
    <w:semiHidden/>
    <w:rsid w:val="00396E11"/>
    <w:pPr>
      <w:suppressAutoHyphens w:val="0"/>
      <w:spacing w:before="200" w:after="0" w:line="260" w:lineRule="atLeast"/>
    </w:pPr>
    <w:rPr>
      <w:rFonts w:ascii="Cambria" w:eastAsia="Cambria" w:hAnsi="Cambria" w:cs="Times New Roman"/>
      <w:szCs w:val="20"/>
    </w:rPr>
  </w:style>
  <w:style w:type="character" w:customStyle="1" w:styleId="CommentTextChar">
    <w:name w:val="Comment Text Char"/>
    <w:basedOn w:val="DefaultParagraphFont"/>
    <w:link w:val="CommentText"/>
    <w:uiPriority w:val="99"/>
    <w:semiHidden/>
    <w:rsid w:val="00396E11"/>
    <w:rPr>
      <w:rFonts w:ascii="Cambria" w:eastAsia="Cambria" w:hAnsi="Cambria" w:cs="Times New Roman"/>
      <w:szCs w:val="20"/>
    </w:rPr>
  </w:style>
  <w:style w:type="paragraph" w:styleId="ListNumber">
    <w:name w:val="List Number"/>
    <w:basedOn w:val="Normal"/>
    <w:qFormat/>
    <w:rsid w:val="00396E11"/>
    <w:pPr>
      <w:tabs>
        <w:tab w:val="num" w:pos="360"/>
      </w:tabs>
      <w:suppressAutoHyphens w:val="0"/>
      <w:spacing w:before="200" w:after="240" w:line="260" w:lineRule="atLeast"/>
      <w:ind w:left="357" w:hanging="357"/>
      <w:contextualSpacing/>
    </w:pPr>
    <w:rPr>
      <w:rFonts w:ascii="Cambria" w:eastAsia="Cambria" w:hAnsi="Cambria" w:cs="Times New Roman"/>
    </w:rPr>
  </w:style>
  <w:style w:type="paragraph" w:styleId="ListNumber2">
    <w:name w:val="List Number 2"/>
    <w:basedOn w:val="Normal"/>
    <w:rsid w:val="00396E11"/>
    <w:pPr>
      <w:tabs>
        <w:tab w:val="num" w:pos="643"/>
      </w:tabs>
      <w:suppressAutoHyphens w:val="0"/>
      <w:spacing w:before="200" w:after="0" w:line="260" w:lineRule="atLeast"/>
      <w:ind w:left="643" w:hanging="360"/>
      <w:contextualSpacing/>
    </w:pPr>
    <w:rPr>
      <w:rFonts w:ascii="Cambria" w:eastAsia="Cambria" w:hAnsi="Cambria" w:cs="Times New Roman"/>
    </w:rPr>
  </w:style>
  <w:style w:type="paragraph" w:styleId="ListBullet">
    <w:name w:val="List Bullet"/>
    <w:basedOn w:val="Normal"/>
    <w:qFormat/>
    <w:rsid w:val="00396E11"/>
    <w:pPr>
      <w:suppressAutoHyphens w:val="0"/>
      <w:spacing w:before="200" w:after="240" w:line="260" w:lineRule="atLeast"/>
      <w:ind w:left="360" w:hanging="360"/>
      <w:contextualSpacing/>
    </w:pPr>
    <w:rPr>
      <w:rFonts w:ascii="Cambria" w:eastAsia="Cambria" w:hAnsi="Cambria" w:cs="Times New Roman"/>
    </w:rPr>
  </w:style>
  <w:style w:type="table" w:customStyle="1" w:styleId="DOFDtexttable">
    <w:name w:val="DOFD_text table"/>
    <w:basedOn w:val="TableNormal"/>
    <w:uiPriority w:val="99"/>
    <w:qFormat/>
    <w:rsid w:val="00396E11"/>
    <w:pPr>
      <w:spacing w:before="57" w:after="0" w:line="240" w:lineRule="auto"/>
    </w:pPr>
    <w:rPr>
      <w:rFonts w:ascii="Cambria" w:eastAsia="Times New Roman" w:hAnsi="Cambria" w:cs="Times New Roman"/>
      <w:sz w:val="20"/>
      <w:szCs w:val="20"/>
      <w:lang w:eastAsia="en-AU"/>
    </w:rPr>
    <w:tblPr>
      <w:tblBorders>
        <w:top w:val="single" w:sz="2" w:space="0" w:color="37424A"/>
        <w:left w:val="single" w:sz="2" w:space="0" w:color="37424A"/>
        <w:bottom w:val="single" w:sz="2" w:space="0" w:color="37424A"/>
        <w:right w:val="single" w:sz="2" w:space="0" w:color="37424A"/>
        <w:insideH w:val="single" w:sz="2" w:space="0" w:color="37424A"/>
        <w:insideV w:val="single" w:sz="2" w:space="0" w:color="37424A"/>
      </w:tblBorders>
      <w:tblCellMar>
        <w:top w:w="170" w:type="dxa"/>
        <w:left w:w="227" w:type="dxa"/>
        <w:bottom w:w="113" w:type="dxa"/>
        <w:right w:w="227" w:type="dxa"/>
      </w:tblCellMar>
    </w:tblPr>
    <w:trPr>
      <w:cantSplit/>
    </w:trPr>
    <w:tblStylePr w:type="firstRow">
      <w:rPr>
        <w:rFonts w:ascii="Arial" w:hAnsi="Arial"/>
        <w:b w:val="0"/>
        <w:color w:val="37424A"/>
        <w:sz w:val="22"/>
      </w:rPr>
      <w:tblPr/>
      <w:trPr>
        <w:tblHeader/>
      </w:trPr>
      <w:tcPr>
        <w:tcBorders>
          <w:top w:val="nil"/>
          <w:left w:val="nil"/>
          <w:bottom w:val="nil"/>
          <w:right w:val="nil"/>
          <w:insideH w:val="nil"/>
          <w:insideV w:val="nil"/>
          <w:tl2br w:val="nil"/>
          <w:tr2bl w:val="nil"/>
        </w:tcBorders>
        <w:shd w:val="clear" w:color="auto" w:fill="887B1B"/>
        <w:tcMar>
          <w:top w:w="113" w:type="dxa"/>
          <w:left w:w="0" w:type="nil"/>
          <w:bottom w:w="113" w:type="dxa"/>
          <w:right w:w="0" w:type="nil"/>
        </w:tcMar>
      </w:tcPr>
    </w:tblStylePr>
  </w:style>
  <w:style w:type="paragraph" w:styleId="EndnoteText">
    <w:name w:val="endnote text"/>
    <w:basedOn w:val="Normal"/>
    <w:link w:val="EndnoteTextChar"/>
    <w:uiPriority w:val="99"/>
    <w:semiHidden/>
    <w:rsid w:val="00396E11"/>
    <w:pPr>
      <w:suppressAutoHyphens w:val="0"/>
      <w:spacing w:before="200" w:after="0" w:line="260" w:lineRule="atLeast"/>
    </w:pPr>
    <w:rPr>
      <w:rFonts w:ascii="Cambria" w:eastAsia="Cambria" w:hAnsi="Cambria" w:cs="Times New Roman"/>
      <w:szCs w:val="20"/>
    </w:rPr>
  </w:style>
  <w:style w:type="character" w:customStyle="1" w:styleId="EndnoteTextChar">
    <w:name w:val="Endnote Text Char"/>
    <w:basedOn w:val="DefaultParagraphFont"/>
    <w:link w:val="EndnoteText"/>
    <w:uiPriority w:val="99"/>
    <w:semiHidden/>
    <w:rsid w:val="00396E11"/>
    <w:rPr>
      <w:rFonts w:ascii="Cambria" w:eastAsia="Cambria" w:hAnsi="Cambria" w:cs="Times New Roman"/>
      <w:szCs w:val="20"/>
    </w:rPr>
  </w:style>
  <w:style w:type="character" w:styleId="EndnoteReference">
    <w:name w:val="endnote reference"/>
    <w:basedOn w:val="DefaultParagraphFont"/>
    <w:uiPriority w:val="99"/>
    <w:semiHidden/>
    <w:rsid w:val="00396E11"/>
    <w:rPr>
      <w:vertAlign w:val="superscript"/>
    </w:rPr>
  </w:style>
  <w:style w:type="paragraph" w:styleId="List">
    <w:name w:val="List"/>
    <w:basedOn w:val="Numberedpara1stindent"/>
    <w:qFormat/>
    <w:rsid w:val="00396E11"/>
    <w:pPr>
      <w:spacing w:after="240"/>
    </w:pPr>
  </w:style>
  <w:style w:type="paragraph" w:styleId="List2">
    <w:name w:val="List 2"/>
    <w:basedOn w:val="Numberedpara2ndindent"/>
    <w:qFormat/>
    <w:rsid w:val="00396E11"/>
  </w:style>
  <w:style w:type="paragraph" w:styleId="List3">
    <w:name w:val="List 3"/>
    <w:basedOn w:val="Numberedpara3rdindent"/>
    <w:qFormat/>
    <w:rsid w:val="00396E11"/>
  </w:style>
  <w:style w:type="numbering" w:customStyle="1" w:styleId="Numbers1">
    <w:name w:val="Numbers1"/>
    <w:basedOn w:val="NoList"/>
    <w:rsid w:val="00396E11"/>
  </w:style>
  <w:style w:type="paragraph" w:customStyle="1" w:styleId="NumberedParagraph">
    <w:name w:val="Numbered Paragraph"/>
    <w:basedOn w:val="Numberedpara1stindent"/>
    <w:qFormat/>
    <w:rsid w:val="00396E11"/>
    <w:pPr>
      <w:numPr>
        <w:numId w:val="0"/>
      </w:numPr>
      <w:tabs>
        <w:tab w:val="num" w:pos="360"/>
      </w:tabs>
      <w:spacing w:after="120"/>
      <w:ind w:left="360" w:hanging="360"/>
    </w:pPr>
    <w:rPr>
      <w:bCs/>
      <w:color w:val="000000"/>
    </w:rPr>
  </w:style>
  <w:style w:type="paragraph" w:styleId="ListParagraph">
    <w:name w:val="List Paragraph"/>
    <w:aliases w:val="NFP GP Bulleted List,List Paragraph1,Recommendation"/>
    <w:basedOn w:val="Normal"/>
    <w:link w:val="ListParagraphChar"/>
    <w:uiPriority w:val="34"/>
    <w:qFormat/>
    <w:rsid w:val="00396E11"/>
    <w:pPr>
      <w:numPr>
        <w:numId w:val="11"/>
      </w:numPr>
      <w:suppressAutoHyphens w:val="0"/>
      <w:spacing w:before="200" w:after="0" w:line="260" w:lineRule="exact"/>
    </w:pPr>
    <w:rPr>
      <w:rFonts w:ascii="Cambria" w:eastAsia="Cambria" w:hAnsi="Cambria" w:cs="Times New Roman"/>
    </w:rPr>
  </w:style>
  <w:style w:type="character" w:styleId="FollowedHyperlink">
    <w:name w:val="FollowedHyperlink"/>
    <w:basedOn w:val="DefaultParagraphFont"/>
    <w:uiPriority w:val="99"/>
    <w:semiHidden/>
    <w:rsid w:val="00396E11"/>
    <w:rPr>
      <w:color w:val="954F72" w:themeColor="followedHyperlink"/>
      <w:u w:val="single"/>
    </w:rPr>
  </w:style>
  <w:style w:type="paragraph" w:styleId="NormalIndent">
    <w:name w:val="Normal Indent"/>
    <w:basedOn w:val="Normal"/>
    <w:uiPriority w:val="99"/>
    <w:semiHidden/>
    <w:rsid w:val="00396E11"/>
    <w:pPr>
      <w:suppressAutoHyphens w:val="0"/>
      <w:spacing w:before="200" w:after="0" w:line="260" w:lineRule="atLeast"/>
      <w:ind w:left="720"/>
    </w:pPr>
    <w:rPr>
      <w:rFonts w:ascii="Cambria" w:eastAsia="Cambria" w:hAnsi="Cambria" w:cs="Times New Roman"/>
    </w:rPr>
  </w:style>
  <w:style w:type="paragraph" w:customStyle="1" w:styleId="Boxnumberedparaindent1">
    <w:name w:val="Box numbered para indent 1"/>
    <w:basedOn w:val="NormalIndent"/>
    <w:rsid w:val="00396E11"/>
    <w:pPr>
      <w:tabs>
        <w:tab w:val="left" w:pos="284"/>
        <w:tab w:val="left" w:pos="1281"/>
        <w:tab w:val="left" w:pos="1418"/>
      </w:tabs>
    </w:pPr>
    <w:rPr>
      <w:lang w:eastAsia="en-AU"/>
    </w:rPr>
  </w:style>
  <w:style w:type="paragraph" w:styleId="NoSpacing">
    <w:name w:val="No Spacing"/>
    <w:uiPriority w:val="1"/>
    <w:qFormat/>
    <w:rsid w:val="00396E11"/>
    <w:pPr>
      <w:spacing w:after="0" w:line="240" w:lineRule="auto"/>
    </w:pPr>
    <w:rPr>
      <w:rFonts w:ascii="Cambria" w:eastAsia="Cambria" w:hAnsi="Cambria" w:cs="Times New Roman"/>
    </w:rPr>
  </w:style>
  <w:style w:type="paragraph" w:customStyle="1" w:styleId="Bullets3rdindent">
    <w:name w:val="Bullets (3rd indent)"/>
    <w:basedOn w:val="Bullets2ndindent"/>
    <w:rsid w:val="00396E11"/>
    <w:pPr>
      <w:numPr>
        <w:numId w:val="12"/>
      </w:numPr>
      <w:tabs>
        <w:tab w:val="right" w:pos="1191"/>
      </w:tabs>
      <w:ind w:left="1701" w:hanging="425"/>
    </w:pPr>
    <w:rPr>
      <w:rFonts w:ascii="Cambria" w:hAnsi="Cambria"/>
    </w:rPr>
  </w:style>
  <w:style w:type="paragraph" w:customStyle="1" w:styleId="Bullets1stindentlast">
    <w:name w:val="Bullets (1st indent) last"/>
    <w:basedOn w:val="Bullets1stindent"/>
    <w:rsid w:val="00396E11"/>
    <w:pPr>
      <w:spacing w:before="120" w:after="0" w:line="260" w:lineRule="atLeast"/>
    </w:pPr>
  </w:style>
  <w:style w:type="paragraph" w:customStyle="1" w:styleId="Bulletintro">
    <w:name w:val="Bullet intro"/>
    <w:basedOn w:val="Normal"/>
    <w:rsid w:val="00396E11"/>
    <w:pPr>
      <w:suppressAutoHyphens w:val="0"/>
      <w:spacing w:before="200" w:after="120" w:line="260" w:lineRule="atLeast"/>
    </w:pPr>
    <w:rPr>
      <w:rFonts w:ascii="Cambria" w:eastAsia="Cambria" w:hAnsi="Cambria" w:cs="Times New Roman"/>
    </w:rPr>
  </w:style>
  <w:style w:type="paragraph" w:styleId="Index1">
    <w:name w:val="index 1"/>
    <w:basedOn w:val="Normal"/>
    <w:next w:val="Normal"/>
    <w:autoRedefine/>
    <w:uiPriority w:val="99"/>
    <w:semiHidden/>
    <w:rsid w:val="00396E11"/>
    <w:pPr>
      <w:suppressAutoHyphens w:val="0"/>
      <w:spacing w:before="200" w:after="0" w:line="260" w:lineRule="atLeast"/>
      <w:ind w:left="220" w:hanging="220"/>
    </w:pPr>
    <w:rPr>
      <w:rFonts w:ascii="Cambria" w:eastAsia="Cambria" w:hAnsi="Cambria" w:cs="Times New Roman"/>
    </w:rPr>
  </w:style>
  <w:style w:type="paragraph" w:customStyle="1" w:styleId="BodyText2">
    <w:name w:val="Body Text2"/>
    <w:basedOn w:val="Normal"/>
    <w:qFormat/>
    <w:rsid w:val="00396E11"/>
    <w:pPr>
      <w:suppressAutoHyphens w:val="0"/>
      <w:spacing w:before="120" w:after="0" w:line="260" w:lineRule="atLeast"/>
    </w:pPr>
  </w:style>
  <w:style w:type="paragraph" w:styleId="CommentSubject">
    <w:name w:val="annotation subject"/>
    <w:basedOn w:val="CommentText"/>
    <w:next w:val="CommentText"/>
    <w:link w:val="CommentSubjectChar"/>
    <w:uiPriority w:val="99"/>
    <w:semiHidden/>
    <w:unhideWhenUsed/>
    <w:rsid w:val="00396E11"/>
    <w:pPr>
      <w:spacing w:line="240" w:lineRule="auto"/>
    </w:pPr>
    <w:rPr>
      <w:b/>
      <w:bCs/>
      <w:sz w:val="20"/>
    </w:rPr>
  </w:style>
  <w:style w:type="character" w:customStyle="1" w:styleId="CommentSubjectChar">
    <w:name w:val="Comment Subject Char"/>
    <w:basedOn w:val="CommentTextChar"/>
    <w:link w:val="CommentSubject"/>
    <w:uiPriority w:val="99"/>
    <w:semiHidden/>
    <w:rsid w:val="00396E11"/>
    <w:rPr>
      <w:rFonts w:ascii="Cambria" w:eastAsia="Cambria" w:hAnsi="Cambria" w:cs="Times New Roman"/>
      <w:b/>
      <w:bCs/>
      <w:sz w:val="20"/>
      <w:szCs w:val="20"/>
    </w:rPr>
  </w:style>
  <w:style w:type="paragraph" w:customStyle="1" w:styleId="FCList">
    <w:name w:val="FC_List"/>
    <w:basedOn w:val="Header"/>
    <w:uiPriority w:val="99"/>
    <w:rsid w:val="00396E11"/>
    <w:pPr>
      <w:numPr>
        <w:numId w:val="7"/>
      </w:numPr>
      <w:tabs>
        <w:tab w:val="clear" w:pos="4513"/>
        <w:tab w:val="clear" w:pos="9026"/>
      </w:tabs>
      <w:suppressAutoHyphens w:val="0"/>
      <w:spacing w:before="60" w:after="60" w:line="240" w:lineRule="auto"/>
      <w:jc w:val="left"/>
    </w:pPr>
    <w:rPr>
      <w:rFonts w:ascii="Times New Roman" w:eastAsia="Times New Roman" w:hAnsi="Times New Roman" w:cs="Times New Roman"/>
      <w:sz w:val="24"/>
      <w:szCs w:val="24"/>
    </w:rPr>
  </w:style>
  <w:style w:type="paragraph" w:customStyle="1" w:styleId="DefaultText1">
    <w:name w:val="Default_Text_1"/>
    <w:basedOn w:val="Normal"/>
    <w:link w:val="DefaultText1Char"/>
    <w:qFormat/>
    <w:rsid w:val="00396E11"/>
    <w:pPr>
      <w:suppressAutoHyphens w:val="0"/>
      <w:autoSpaceDE w:val="0"/>
      <w:autoSpaceDN w:val="0"/>
      <w:adjustRightInd w:val="0"/>
      <w:spacing w:before="60" w:after="180" w:line="240" w:lineRule="auto"/>
    </w:pPr>
    <w:rPr>
      <w:rFonts w:ascii="Arial" w:eastAsia="Times New Roman" w:hAnsi="Arial" w:cs="Times-Roman"/>
      <w:color w:val="FFFFFF" w:themeColor="background1"/>
      <w:kern w:val="32"/>
      <w:sz w:val="48"/>
      <w:szCs w:val="32"/>
      <w:lang w:val="en-US"/>
    </w:rPr>
  </w:style>
  <w:style w:type="character" w:customStyle="1" w:styleId="DefaultText1Char">
    <w:name w:val="Default_Text_1 Char"/>
    <w:basedOn w:val="Heading1Char"/>
    <w:link w:val="DefaultText1"/>
    <w:rsid w:val="00396E11"/>
    <w:rPr>
      <w:rFonts w:ascii="Arial" w:eastAsia="Times New Roman" w:hAnsi="Arial" w:cs="Times-Roman"/>
      <w:bCs w:val="0"/>
      <w:color w:val="FFFFFF" w:themeColor="background1"/>
      <w:kern w:val="32"/>
      <w:sz w:val="48"/>
      <w:szCs w:val="32"/>
      <w:lang w:val="en-US"/>
    </w:rPr>
  </w:style>
  <w:style w:type="paragraph" w:styleId="Revision">
    <w:name w:val="Revision"/>
    <w:hidden/>
    <w:uiPriority w:val="99"/>
    <w:semiHidden/>
    <w:rsid w:val="00396E11"/>
    <w:pPr>
      <w:spacing w:after="0" w:line="240" w:lineRule="auto"/>
    </w:pPr>
    <w:rPr>
      <w:rFonts w:ascii="Cambria" w:eastAsia="Cambria" w:hAnsi="Cambria" w:cs="Times New Roman"/>
    </w:rPr>
  </w:style>
  <w:style w:type="paragraph" w:styleId="BodyText3">
    <w:name w:val="Body Text 3"/>
    <w:basedOn w:val="Normal"/>
    <w:link w:val="BodyText3Char"/>
    <w:uiPriority w:val="99"/>
    <w:semiHidden/>
    <w:unhideWhenUsed/>
    <w:rsid w:val="00A868E8"/>
    <w:pPr>
      <w:spacing w:after="120"/>
    </w:pPr>
    <w:rPr>
      <w:sz w:val="16"/>
      <w:szCs w:val="16"/>
    </w:rPr>
  </w:style>
  <w:style w:type="character" w:customStyle="1" w:styleId="BodyText3Char">
    <w:name w:val="Body Text 3 Char"/>
    <w:basedOn w:val="DefaultParagraphFont"/>
    <w:link w:val="BodyText3"/>
    <w:uiPriority w:val="99"/>
    <w:semiHidden/>
    <w:rsid w:val="00A868E8"/>
    <w:rPr>
      <w:sz w:val="16"/>
      <w:szCs w:val="16"/>
    </w:rPr>
  </w:style>
  <w:style w:type="paragraph" w:customStyle="1" w:styleId="Single">
    <w:name w:val="Single"/>
    <w:basedOn w:val="Normal"/>
    <w:rsid w:val="00A868E8"/>
    <w:pPr>
      <w:suppressAutoHyphens w:val="0"/>
      <w:spacing w:before="0" w:after="0" w:line="240" w:lineRule="auto"/>
    </w:pPr>
    <w:rPr>
      <w:rFonts w:ascii="Times New Roman" w:eastAsia="Times New Roman" w:hAnsi="Times New Roman" w:cs="Times New Roman"/>
      <w:sz w:val="24"/>
      <w:szCs w:val="20"/>
    </w:rPr>
  </w:style>
  <w:style w:type="paragraph" w:customStyle="1" w:styleId="Boxed-casestudy">
    <w:name w:val="Boxed - case study"/>
    <w:basedOn w:val="Boxed2Text"/>
    <w:next w:val="Boxed-casestudybullet"/>
    <w:link w:val="Boxed-casestudyChar"/>
    <w:rsid w:val="00903AF5"/>
    <w:pPr>
      <w:shd w:val="clear" w:color="auto" w:fill="65DDF5"/>
    </w:pPr>
  </w:style>
  <w:style w:type="paragraph" w:customStyle="1" w:styleId="Boxed-casestudybullet">
    <w:name w:val="Boxed - case study bullet"/>
    <w:basedOn w:val="Normal"/>
    <w:link w:val="Boxed-casestudybulletChar"/>
    <w:rsid w:val="006F4732"/>
    <w:pPr>
      <w:shd w:val="clear" w:color="auto" w:fill="65DDF5"/>
      <w:contextualSpacing/>
    </w:pPr>
  </w:style>
  <w:style w:type="character" w:customStyle="1" w:styleId="Boxed1TextChar">
    <w:name w:val="Boxed 1 Text Char"/>
    <w:basedOn w:val="DefaultParagraphFont"/>
    <w:link w:val="Boxed1Text"/>
    <w:rsid w:val="00903AF5"/>
    <w:rPr>
      <w:shd w:val="clear" w:color="auto" w:fill="F1F8F8" w:themeFill="accent1" w:themeFillTint="33"/>
    </w:rPr>
  </w:style>
  <w:style w:type="character" w:customStyle="1" w:styleId="Boxed2TextChar">
    <w:name w:val="Boxed 2 Text Char"/>
    <w:basedOn w:val="Boxed1TextChar"/>
    <w:link w:val="Boxed2Text"/>
    <w:rsid w:val="00903AF5"/>
    <w:rPr>
      <w:shd w:val="clear" w:color="auto" w:fill="BDDCDF" w:themeFill="accent1"/>
    </w:rPr>
  </w:style>
  <w:style w:type="character" w:customStyle="1" w:styleId="Boxed-casestudyChar">
    <w:name w:val="Boxed - case study Char"/>
    <w:basedOn w:val="Boxed2TextChar"/>
    <w:link w:val="Boxed-casestudy"/>
    <w:rsid w:val="00903AF5"/>
    <w:rPr>
      <w:shd w:val="clear" w:color="auto" w:fill="65DDF5"/>
    </w:rPr>
  </w:style>
  <w:style w:type="character" w:customStyle="1" w:styleId="Boxed-casestudybulletChar">
    <w:name w:val="Boxed - case study bullet Char"/>
    <w:basedOn w:val="Boxed-casestudyChar"/>
    <w:link w:val="Boxed-casestudybullet"/>
    <w:rsid w:val="006F4732"/>
    <w:rPr>
      <w:shd w:val="clear" w:color="auto" w:fill="65DDF5"/>
    </w:rPr>
  </w:style>
  <w:style w:type="paragraph" w:customStyle="1" w:styleId="Tabletext0">
    <w:name w:val="Tabletext"/>
    <w:aliases w:val="tt"/>
    <w:basedOn w:val="Normal"/>
    <w:rsid w:val="004E2098"/>
    <w:pPr>
      <w:suppressAutoHyphens w:val="0"/>
      <w:spacing w:before="60" w:after="0" w:line="240" w:lineRule="atLeast"/>
    </w:pPr>
    <w:rPr>
      <w:rFonts w:ascii="Times New Roman" w:eastAsia="Times New Roman" w:hAnsi="Times New Roman" w:cs="Times New Roman"/>
      <w:sz w:val="20"/>
      <w:szCs w:val="20"/>
      <w:lang w:eastAsia="en-AU"/>
    </w:rPr>
  </w:style>
  <w:style w:type="paragraph" w:customStyle="1" w:styleId="TableHeading">
    <w:name w:val="TableHeading"/>
    <w:aliases w:val="th"/>
    <w:basedOn w:val="Normal"/>
    <w:next w:val="Tabletext0"/>
    <w:rsid w:val="004E2098"/>
    <w:pPr>
      <w:keepNext/>
      <w:suppressAutoHyphens w:val="0"/>
      <w:spacing w:before="60" w:after="0" w:line="240" w:lineRule="atLeast"/>
    </w:pPr>
    <w:rPr>
      <w:rFonts w:ascii="Times New Roman" w:eastAsia="Times New Roman" w:hAnsi="Times New Roman" w:cs="Times New Roman"/>
      <w:b/>
      <w:sz w:val="20"/>
      <w:szCs w:val="20"/>
      <w:lang w:eastAsia="en-AU"/>
    </w:rPr>
  </w:style>
  <w:style w:type="numbering" w:customStyle="1" w:styleId="Numberedlist10">
    <w:name w:val="Numbered list1"/>
    <w:uiPriority w:val="99"/>
    <w:rsid w:val="00057B8B"/>
  </w:style>
  <w:style w:type="character" w:customStyle="1" w:styleId="ListParagraphChar">
    <w:name w:val="List Paragraph Char"/>
    <w:aliases w:val="NFP GP Bulleted List Char,List Paragraph1 Char,Recommendation Char"/>
    <w:basedOn w:val="DefaultParagraphFont"/>
    <w:link w:val="ListParagraph"/>
    <w:uiPriority w:val="34"/>
    <w:locked/>
    <w:rsid w:val="003A0F2C"/>
    <w:rPr>
      <w:rFonts w:ascii="Cambria" w:eastAsia="Cambria" w:hAnsi="Cambria" w:cs="Times New Roman"/>
    </w:rPr>
  </w:style>
  <w:style w:type="character" w:customStyle="1" w:styleId="NumberedList1Char">
    <w:name w:val="Numbered List 1 Char"/>
    <w:basedOn w:val="DefaultParagraphFont"/>
    <w:link w:val="NumberedList1"/>
    <w:rsid w:val="001566A5"/>
  </w:style>
  <w:style w:type="paragraph" w:customStyle="1" w:styleId="SOText">
    <w:name w:val="SO Text"/>
    <w:aliases w:val="sot"/>
    <w:link w:val="SOTextChar"/>
    <w:rsid w:val="00AC63A8"/>
    <w:pPr>
      <w:pBdr>
        <w:top w:val="single" w:sz="6" w:space="5" w:color="auto"/>
        <w:left w:val="single" w:sz="6" w:space="5" w:color="auto"/>
        <w:bottom w:val="single" w:sz="6" w:space="5" w:color="auto"/>
        <w:right w:val="single" w:sz="6" w:space="5" w:color="auto"/>
      </w:pBdr>
      <w:spacing w:before="240" w:after="0" w:line="240" w:lineRule="auto"/>
      <w:ind w:left="1134"/>
    </w:pPr>
    <w:rPr>
      <w:rFonts w:ascii="Times New Roman" w:hAnsi="Times New Roman"/>
      <w:szCs w:val="20"/>
    </w:rPr>
  </w:style>
  <w:style w:type="character" w:customStyle="1" w:styleId="SOTextChar">
    <w:name w:val="SO Text Char"/>
    <w:aliases w:val="sot Char"/>
    <w:basedOn w:val="DefaultParagraphFont"/>
    <w:link w:val="SOText"/>
    <w:rsid w:val="00AC63A8"/>
    <w:rPr>
      <w:rFonts w:ascii="Times New Roman" w:hAnsi="Times New Roman"/>
      <w:szCs w:val="20"/>
    </w:rPr>
  </w:style>
  <w:style w:type="character" w:customStyle="1" w:styleId="CharSubdText">
    <w:name w:val="CharSubdText"/>
    <w:basedOn w:val="DefaultParagraphFont"/>
    <w:uiPriority w:val="1"/>
    <w:qFormat/>
    <w:rsid w:val="00A71530"/>
  </w:style>
  <w:style w:type="character" w:customStyle="1" w:styleId="CharDivText">
    <w:name w:val="CharDivText"/>
    <w:basedOn w:val="DefaultParagraphFont"/>
    <w:qFormat/>
    <w:rsid w:val="00905736"/>
  </w:style>
  <w:style w:type="paragraph" w:customStyle="1" w:styleId="Default">
    <w:name w:val="Default"/>
    <w:rsid w:val="00F3216A"/>
    <w:pPr>
      <w:autoSpaceDE w:val="0"/>
      <w:autoSpaceDN w:val="0"/>
      <w:adjustRightInd w:val="0"/>
      <w:spacing w:after="0" w:line="240" w:lineRule="auto"/>
    </w:pPr>
    <w:rPr>
      <w:rFonts w:ascii="Times New Roman" w:hAnsi="Times New Roman" w:cs="Times New Roman"/>
      <w:color w:val="000000"/>
      <w:sz w:val="24"/>
      <w:szCs w:val="24"/>
    </w:rPr>
  </w:style>
  <w:style w:type="table" w:styleId="GridTable5Dark-Accent2">
    <w:name w:val="Grid Table 5 Dark Accent 2"/>
    <w:basedOn w:val="TableNormal"/>
    <w:uiPriority w:val="50"/>
    <w:rsid w:val="00F259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3F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C5C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C5C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C5C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C5C5" w:themeFill="accent2"/>
      </w:tcPr>
    </w:tblStylePr>
    <w:tblStylePr w:type="band1Vert">
      <w:tblPr/>
      <w:tcPr>
        <w:shd w:val="clear" w:color="auto" w:fill="D3E7E7" w:themeFill="accent2" w:themeFillTint="66"/>
      </w:tcPr>
    </w:tblStylePr>
    <w:tblStylePr w:type="band1Horz">
      <w:tblPr/>
      <w:tcPr>
        <w:shd w:val="clear" w:color="auto" w:fill="D3E7E7" w:themeFill="accent2" w:themeFillTint="66"/>
      </w:tcPr>
    </w:tblStylePr>
  </w:style>
  <w:style w:type="table" w:styleId="ListTable4-Accent2">
    <w:name w:val="List Table 4 Accent 2"/>
    <w:basedOn w:val="TableNormal"/>
    <w:uiPriority w:val="49"/>
    <w:rsid w:val="004716C0"/>
    <w:pPr>
      <w:spacing w:after="0" w:line="240" w:lineRule="auto"/>
    </w:pPr>
    <w:tblPr>
      <w:tblStyleRowBandSize w:val="1"/>
      <w:tblStyleColBandSize w:val="1"/>
      <w:tblBorders>
        <w:top w:val="single" w:sz="4" w:space="0" w:color="BDDCDC" w:themeColor="accent2" w:themeTint="99"/>
        <w:left w:val="single" w:sz="4" w:space="0" w:color="BDDCDC" w:themeColor="accent2" w:themeTint="99"/>
        <w:bottom w:val="single" w:sz="4" w:space="0" w:color="BDDCDC" w:themeColor="accent2" w:themeTint="99"/>
        <w:right w:val="single" w:sz="4" w:space="0" w:color="BDDCDC" w:themeColor="accent2" w:themeTint="99"/>
        <w:insideH w:val="single" w:sz="4" w:space="0" w:color="BDDCDC" w:themeColor="accent2" w:themeTint="99"/>
      </w:tblBorders>
    </w:tblPr>
    <w:tblStylePr w:type="firstRow">
      <w:rPr>
        <w:b/>
        <w:bCs/>
        <w:color w:val="FFFFFF" w:themeColor="background1"/>
      </w:rPr>
      <w:tblPr/>
      <w:tcPr>
        <w:tcBorders>
          <w:top w:val="single" w:sz="4" w:space="0" w:color="92C5C5" w:themeColor="accent2"/>
          <w:left w:val="single" w:sz="4" w:space="0" w:color="92C5C5" w:themeColor="accent2"/>
          <w:bottom w:val="single" w:sz="4" w:space="0" w:color="92C5C5" w:themeColor="accent2"/>
          <w:right w:val="single" w:sz="4" w:space="0" w:color="92C5C5" w:themeColor="accent2"/>
          <w:insideH w:val="nil"/>
        </w:tcBorders>
        <w:shd w:val="clear" w:color="auto" w:fill="92C5C5" w:themeFill="accent2"/>
      </w:tcPr>
    </w:tblStylePr>
    <w:tblStylePr w:type="lastRow">
      <w:rPr>
        <w:b/>
        <w:bCs/>
      </w:rPr>
      <w:tblPr/>
      <w:tcPr>
        <w:tcBorders>
          <w:top w:val="double" w:sz="4" w:space="0" w:color="BDDCDC" w:themeColor="accent2" w:themeTint="99"/>
        </w:tcBorders>
      </w:tcPr>
    </w:tblStylePr>
    <w:tblStylePr w:type="firstCol">
      <w:rPr>
        <w:b/>
        <w:bCs/>
      </w:rPr>
    </w:tblStylePr>
    <w:tblStylePr w:type="lastCol">
      <w:rPr>
        <w:b/>
        <w:bCs/>
      </w:rPr>
    </w:tblStylePr>
    <w:tblStylePr w:type="band1Vert">
      <w:tblPr/>
      <w:tcPr>
        <w:shd w:val="clear" w:color="auto" w:fill="E9F3F3" w:themeFill="accent2" w:themeFillTint="33"/>
      </w:tcPr>
    </w:tblStylePr>
    <w:tblStylePr w:type="band1Horz">
      <w:tblPr/>
      <w:tcPr>
        <w:shd w:val="clear" w:color="auto" w:fill="E9F3F3" w:themeFill="accent2" w:themeFillTint="33"/>
      </w:tcPr>
    </w:tblStylePr>
  </w:style>
  <w:style w:type="table" w:styleId="ListTable3-Accent1">
    <w:name w:val="List Table 3 Accent 1"/>
    <w:basedOn w:val="TableNormal"/>
    <w:uiPriority w:val="48"/>
    <w:rsid w:val="00B4793C"/>
    <w:pPr>
      <w:spacing w:after="0" w:line="240" w:lineRule="auto"/>
    </w:pPr>
    <w:tblPr>
      <w:tblStyleRowBandSize w:val="1"/>
      <w:tblStyleColBandSize w:val="1"/>
      <w:tblBorders>
        <w:top w:val="single" w:sz="4" w:space="0" w:color="BDDCDF" w:themeColor="accent1"/>
        <w:left w:val="single" w:sz="4" w:space="0" w:color="BDDCDF" w:themeColor="accent1"/>
        <w:bottom w:val="single" w:sz="4" w:space="0" w:color="BDDCDF" w:themeColor="accent1"/>
        <w:right w:val="single" w:sz="4" w:space="0" w:color="BDDCDF" w:themeColor="accent1"/>
      </w:tblBorders>
    </w:tblPr>
    <w:tblStylePr w:type="firstRow">
      <w:rPr>
        <w:b/>
        <w:bCs/>
        <w:color w:val="FFFFFF" w:themeColor="background1"/>
      </w:rPr>
      <w:tblPr/>
      <w:tcPr>
        <w:shd w:val="clear" w:color="auto" w:fill="BDDCDF" w:themeFill="accent1"/>
      </w:tcPr>
    </w:tblStylePr>
    <w:tblStylePr w:type="lastRow">
      <w:rPr>
        <w:b/>
        <w:bCs/>
      </w:rPr>
      <w:tblPr/>
      <w:tcPr>
        <w:tcBorders>
          <w:top w:val="double" w:sz="4" w:space="0" w:color="BDDCD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DDCDF" w:themeColor="accent1"/>
          <w:right w:val="single" w:sz="4" w:space="0" w:color="BDDCDF" w:themeColor="accent1"/>
        </w:tcBorders>
      </w:tcPr>
    </w:tblStylePr>
    <w:tblStylePr w:type="band1Horz">
      <w:tblPr/>
      <w:tcPr>
        <w:tcBorders>
          <w:top w:val="single" w:sz="4" w:space="0" w:color="BDDCDF" w:themeColor="accent1"/>
          <w:bottom w:val="single" w:sz="4" w:space="0" w:color="BDDCD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DDCDF" w:themeColor="accent1"/>
          <w:left w:val="nil"/>
        </w:tcBorders>
      </w:tcPr>
    </w:tblStylePr>
    <w:tblStylePr w:type="swCell">
      <w:tblPr/>
      <w:tcPr>
        <w:tcBorders>
          <w:top w:val="double" w:sz="4" w:space="0" w:color="BDDCDF" w:themeColor="accent1"/>
          <w:right w:val="nil"/>
        </w:tcBorders>
      </w:tcPr>
    </w:tblStylePr>
  </w:style>
  <w:style w:type="table" w:styleId="GridTable1Light-Accent2">
    <w:name w:val="Grid Table 1 Light Accent 2"/>
    <w:basedOn w:val="TableNormal"/>
    <w:uiPriority w:val="46"/>
    <w:rsid w:val="00B4793C"/>
    <w:pPr>
      <w:spacing w:after="0" w:line="240" w:lineRule="auto"/>
    </w:pPr>
    <w:tblPr>
      <w:tblStyleRowBandSize w:val="1"/>
      <w:tblStyleColBandSize w:val="1"/>
      <w:tblBorders>
        <w:top w:val="single" w:sz="4" w:space="0" w:color="D3E7E7" w:themeColor="accent2" w:themeTint="66"/>
        <w:left w:val="single" w:sz="4" w:space="0" w:color="D3E7E7" w:themeColor="accent2" w:themeTint="66"/>
        <w:bottom w:val="single" w:sz="4" w:space="0" w:color="D3E7E7" w:themeColor="accent2" w:themeTint="66"/>
        <w:right w:val="single" w:sz="4" w:space="0" w:color="D3E7E7" w:themeColor="accent2" w:themeTint="66"/>
        <w:insideH w:val="single" w:sz="4" w:space="0" w:color="D3E7E7" w:themeColor="accent2" w:themeTint="66"/>
        <w:insideV w:val="single" w:sz="4" w:space="0" w:color="D3E7E7" w:themeColor="accent2" w:themeTint="66"/>
      </w:tblBorders>
    </w:tblPr>
    <w:tblStylePr w:type="firstRow">
      <w:rPr>
        <w:b/>
        <w:bCs/>
      </w:rPr>
      <w:tblPr/>
      <w:tcPr>
        <w:tcBorders>
          <w:bottom w:val="single" w:sz="12" w:space="0" w:color="BDDCDC" w:themeColor="accent2" w:themeTint="99"/>
        </w:tcBorders>
      </w:tcPr>
    </w:tblStylePr>
    <w:tblStylePr w:type="lastRow">
      <w:rPr>
        <w:b/>
        <w:bCs/>
      </w:rPr>
      <w:tblPr/>
      <w:tcPr>
        <w:tcBorders>
          <w:top w:val="double" w:sz="2" w:space="0" w:color="BDDCDC" w:themeColor="accent2"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B4793C"/>
    <w:pPr>
      <w:spacing w:after="0" w:line="240" w:lineRule="auto"/>
    </w:pPr>
    <w:tblPr>
      <w:tblStyleRowBandSize w:val="1"/>
      <w:tblStyleColBandSize w:val="1"/>
      <w:tblBorders>
        <w:top w:val="single" w:sz="4" w:space="0" w:color="D7E9EB" w:themeColor="accent1" w:themeTint="99"/>
        <w:left w:val="single" w:sz="4" w:space="0" w:color="D7E9EB" w:themeColor="accent1" w:themeTint="99"/>
        <w:bottom w:val="single" w:sz="4" w:space="0" w:color="D7E9EB" w:themeColor="accent1" w:themeTint="99"/>
        <w:right w:val="single" w:sz="4" w:space="0" w:color="D7E9EB" w:themeColor="accent1" w:themeTint="99"/>
        <w:insideH w:val="single" w:sz="4" w:space="0" w:color="D7E9EB" w:themeColor="accent1" w:themeTint="99"/>
        <w:insideV w:val="single" w:sz="4" w:space="0" w:color="D7E9EB" w:themeColor="accent1" w:themeTint="99"/>
      </w:tblBorders>
    </w:tblPr>
    <w:tblStylePr w:type="firstRow">
      <w:rPr>
        <w:b/>
        <w:bCs/>
        <w:color w:val="FFFFFF" w:themeColor="background1"/>
      </w:rPr>
      <w:tblPr/>
      <w:tcPr>
        <w:tcBorders>
          <w:top w:val="single" w:sz="4" w:space="0" w:color="BDDCDF" w:themeColor="accent1"/>
          <w:left w:val="single" w:sz="4" w:space="0" w:color="BDDCDF" w:themeColor="accent1"/>
          <w:bottom w:val="single" w:sz="4" w:space="0" w:color="BDDCDF" w:themeColor="accent1"/>
          <w:right w:val="single" w:sz="4" w:space="0" w:color="BDDCDF" w:themeColor="accent1"/>
          <w:insideH w:val="nil"/>
          <w:insideV w:val="nil"/>
        </w:tcBorders>
        <w:shd w:val="clear" w:color="auto" w:fill="BDDCDF" w:themeFill="accent1"/>
      </w:tcPr>
    </w:tblStylePr>
    <w:tblStylePr w:type="lastRow">
      <w:rPr>
        <w:b/>
        <w:bCs/>
      </w:rPr>
      <w:tblPr/>
      <w:tcPr>
        <w:tcBorders>
          <w:top w:val="double" w:sz="4" w:space="0" w:color="BDDCDF" w:themeColor="accent1"/>
        </w:tcBorders>
      </w:tcPr>
    </w:tblStylePr>
    <w:tblStylePr w:type="firstCol">
      <w:rPr>
        <w:b/>
        <w:bCs/>
      </w:rPr>
    </w:tblStylePr>
    <w:tblStylePr w:type="lastCol">
      <w:rPr>
        <w:b/>
        <w:bCs/>
      </w:rPr>
    </w:tblStylePr>
    <w:tblStylePr w:type="band1Vert">
      <w:tblPr/>
      <w:tcPr>
        <w:shd w:val="clear" w:color="auto" w:fill="F1F8F8" w:themeFill="accent1" w:themeFillTint="33"/>
      </w:tcPr>
    </w:tblStylePr>
    <w:tblStylePr w:type="band1Horz">
      <w:tblPr/>
      <w:tcPr>
        <w:shd w:val="clear" w:color="auto" w:fill="F1F8F8" w:themeFill="accent1" w:themeFillTint="33"/>
      </w:tcPr>
    </w:tblStylePr>
  </w:style>
  <w:style w:type="paragraph" w:styleId="NormalWeb">
    <w:name w:val="Normal (Web)"/>
    <w:basedOn w:val="Normal"/>
    <w:uiPriority w:val="99"/>
    <w:semiHidden/>
    <w:unhideWhenUsed/>
    <w:rsid w:val="00AC4409"/>
    <w:pPr>
      <w:suppressAutoHyphens w:val="0"/>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ampletext">
    <w:name w:val="Example text"/>
    <w:basedOn w:val="Normal"/>
    <w:link w:val="ExampletextChar"/>
    <w:qFormat/>
    <w:rsid w:val="002D780B"/>
    <w:pPr>
      <w:shd w:val="clear" w:color="auto" w:fill="B4B5E9"/>
      <w:suppressAutoHyphens w:val="0"/>
      <w:spacing w:before="0" w:after="0" w:line="240" w:lineRule="auto"/>
      <w:ind w:left="567" w:hanging="567"/>
    </w:pPr>
    <w:rPr>
      <w:rFonts w:eastAsia="SimSun"/>
      <w:szCs w:val="24"/>
    </w:rPr>
  </w:style>
  <w:style w:type="character" w:customStyle="1" w:styleId="ExampletextChar">
    <w:name w:val="Example text Char"/>
    <w:basedOn w:val="DefaultParagraphFont"/>
    <w:link w:val="Exampletext"/>
    <w:rsid w:val="002D780B"/>
    <w:rPr>
      <w:rFonts w:eastAsia="SimSun"/>
      <w:szCs w:val="24"/>
      <w:shd w:val="clear" w:color="auto" w:fill="B4B5E9"/>
    </w:rPr>
  </w:style>
  <w:style w:type="table" w:customStyle="1" w:styleId="TableGrid1">
    <w:name w:val="Table Grid1"/>
    <w:basedOn w:val="TableNormal"/>
    <w:next w:val="TableGrid"/>
    <w:uiPriority w:val="39"/>
    <w:rsid w:val="00364E74"/>
    <w:pPr>
      <w:spacing w:before="240" w:after="0" w:line="240" w:lineRule="auto"/>
      <w:ind w:left="567" w:hanging="567"/>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824079">
      <w:bodyDiv w:val="1"/>
      <w:marLeft w:val="0"/>
      <w:marRight w:val="0"/>
      <w:marTop w:val="0"/>
      <w:marBottom w:val="0"/>
      <w:divBdr>
        <w:top w:val="none" w:sz="0" w:space="0" w:color="auto"/>
        <w:left w:val="none" w:sz="0" w:space="0" w:color="auto"/>
        <w:bottom w:val="none" w:sz="0" w:space="0" w:color="auto"/>
        <w:right w:val="none" w:sz="0" w:space="0" w:color="auto"/>
      </w:divBdr>
    </w:div>
    <w:div w:id="71972867">
      <w:bodyDiv w:val="1"/>
      <w:marLeft w:val="0"/>
      <w:marRight w:val="0"/>
      <w:marTop w:val="0"/>
      <w:marBottom w:val="0"/>
      <w:divBdr>
        <w:top w:val="none" w:sz="0" w:space="0" w:color="auto"/>
        <w:left w:val="none" w:sz="0" w:space="0" w:color="auto"/>
        <w:bottom w:val="none" w:sz="0" w:space="0" w:color="auto"/>
        <w:right w:val="none" w:sz="0" w:space="0" w:color="auto"/>
      </w:divBdr>
    </w:div>
    <w:div w:id="713702550">
      <w:bodyDiv w:val="1"/>
      <w:marLeft w:val="0"/>
      <w:marRight w:val="0"/>
      <w:marTop w:val="0"/>
      <w:marBottom w:val="0"/>
      <w:divBdr>
        <w:top w:val="none" w:sz="0" w:space="0" w:color="auto"/>
        <w:left w:val="none" w:sz="0" w:space="0" w:color="auto"/>
        <w:bottom w:val="none" w:sz="0" w:space="0" w:color="auto"/>
        <w:right w:val="none" w:sz="0" w:space="0" w:color="auto"/>
      </w:divBdr>
    </w:div>
    <w:div w:id="781726930">
      <w:bodyDiv w:val="1"/>
      <w:marLeft w:val="0"/>
      <w:marRight w:val="0"/>
      <w:marTop w:val="0"/>
      <w:marBottom w:val="0"/>
      <w:divBdr>
        <w:top w:val="none" w:sz="0" w:space="0" w:color="auto"/>
        <w:left w:val="none" w:sz="0" w:space="0" w:color="auto"/>
        <w:bottom w:val="none" w:sz="0" w:space="0" w:color="auto"/>
        <w:right w:val="none" w:sz="0" w:space="0" w:color="auto"/>
      </w:divBdr>
    </w:div>
    <w:div w:id="824933466">
      <w:bodyDiv w:val="1"/>
      <w:marLeft w:val="0"/>
      <w:marRight w:val="0"/>
      <w:marTop w:val="0"/>
      <w:marBottom w:val="0"/>
      <w:divBdr>
        <w:top w:val="none" w:sz="0" w:space="0" w:color="auto"/>
        <w:left w:val="none" w:sz="0" w:space="0" w:color="auto"/>
        <w:bottom w:val="none" w:sz="0" w:space="0" w:color="auto"/>
        <w:right w:val="none" w:sz="0" w:space="0" w:color="auto"/>
      </w:divBdr>
    </w:div>
    <w:div w:id="831213306">
      <w:bodyDiv w:val="1"/>
      <w:marLeft w:val="0"/>
      <w:marRight w:val="0"/>
      <w:marTop w:val="0"/>
      <w:marBottom w:val="0"/>
      <w:divBdr>
        <w:top w:val="none" w:sz="0" w:space="0" w:color="auto"/>
        <w:left w:val="none" w:sz="0" w:space="0" w:color="auto"/>
        <w:bottom w:val="none" w:sz="0" w:space="0" w:color="auto"/>
        <w:right w:val="none" w:sz="0" w:space="0" w:color="auto"/>
      </w:divBdr>
    </w:div>
    <w:div w:id="850874133">
      <w:bodyDiv w:val="1"/>
      <w:marLeft w:val="0"/>
      <w:marRight w:val="0"/>
      <w:marTop w:val="0"/>
      <w:marBottom w:val="0"/>
      <w:divBdr>
        <w:top w:val="none" w:sz="0" w:space="0" w:color="auto"/>
        <w:left w:val="none" w:sz="0" w:space="0" w:color="auto"/>
        <w:bottom w:val="none" w:sz="0" w:space="0" w:color="auto"/>
        <w:right w:val="none" w:sz="0" w:space="0" w:color="auto"/>
      </w:divBdr>
    </w:div>
    <w:div w:id="863320819">
      <w:bodyDiv w:val="1"/>
      <w:marLeft w:val="0"/>
      <w:marRight w:val="0"/>
      <w:marTop w:val="0"/>
      <w:marBottom w:val="0"/>
      <w:divBdr>
        <w:top w:val="none" w:sz="0" w:space="0" w:color="auto"/>
        <w:left w:val="none" w:sz="0" w:space="0" w:color="auto"/>
        <w:bottom w:val="none" w:sz="0" w:space="0" w:color="auto"/>
        <w:right w:val="none" w:sz="0" w:space="0" w:color="auto"/>
      </w:divBdr>
    </w:div>
    <w:div w:id="987513687">
      <w:bodyDiv w:val="1"/>
      <w:marLeft w:val="0"/>
      <w:marRight w:val="0"/>
      <w:marTop w:val="0"/>
      <w:marBottom w:val="0"/>
      <w:divBdr>
        <w:top w:val="none" w:sz="0" w:space="0" w:color="auto"/>
        <w:left w:val="none" w:sz="0" w:space="0" w:color="auto"/>
        <w:bottom w:val="none" w:sz="0" w:space="0" w:color="auto"/>
        <w:right w:val="none" w:sz="0" w:space="0" w:color="auto"/>
      </w:divBdr>
    </w:div>
    <w:div w:id="1009451056">
      <w:bodyDiv w:val="1"/>
      <w:marLeft w:val="0"/>
      <w:marRight w:val="0"/>
      <w:marTop w:val="0"/>
      <w:marBottom w:val="0"/>
      <w:divBdr>
        <w:top w:val="none" w:sz="0" w:space="0" w:color="auto"/>
        <w:left w:val="none" w:sz="0" w:space="0" w:color="auto"/>
        <w:bottom w:val="none" w:sz="0" w:space="0" w:color="auto"/>
        <w:right w:val="none" w:sz="0" w:space="0" w:color="auto"/>
      </w:divBdr>
    </w:div>
    <w:div w:id="1139107784">
      <w:bodyDiv w:val="1"/>
      <w:marLeft w:val="0"/>
      <w:marRight w:val="0"/>
      <w:marTop w:val="0"/>
      <w:marBottom w:val="0"/>
      <w:divBdr>
        <w:top w:val="none" w:sz="0" w:space="0" w:color="auto"/>
        <w:left w:val="none" w:sz="0" w:space="0" w:color="auto"/>
        <w:bottom w:val="none" w:sz="0" w:space="0" w:color="auto"/>
        <w:right w:val="none" w:sz="0" w:space="0" w:color="auto"/>
      </w:divBdr>
    </w:div>
    <w:div w:id="1147817157">
      <w:bodyDiv w:val="1"/>
      <w:marLeft w:val="0"/>
      <w:marRight w:val="0"/>
      <w:marTop w:val="0"/>
      <w:marBottom w:val="0"/>
      <w:divBdr>
        <w:top w:val="none" w:sz="0" w:space="0" w:color="auto"/>
        <w:left w:val="none" w:sz="0" w:space="0" w:color="auto"/>
        <w:bottom w:val="none" w:sz="0" w:space="0" w:color="auto"/>
        <w:right w:val="none" w:sz="0" w:space="0" w:color="auto"/>
      </w:divBdr>
    </w:div>
    <w:div w:id="1258975893">
      <w:bodyDiv w:val="1"/>
      <w:marLeft w:val="0"/>
      <w:marRight w:val="0"/>
      <w:marTop w:val="0"/>
      <w:marBottom w:val="0"/>
      <w:divBdr>
        <w:top w:val="none" w:sz="0" w:space="0" w:color="auto"/>
        <w:left w:val="none" w:sz="0" w:space="0" w:color="auto"/>
        <w:bottom w:val="none" w:sz="0" w:space="0" w:color="auto"/>
        <w:right w:val="none" w:sz="0" w:space="0" w:color="auto"/>
      </w:divBdr>
    </w:div>
    <w:div w:id="2018382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au/Series/F2014L00911" TargetMode="External"/><Relationship Id="rId18" Type="http://schemas.openxmlformats.org/officeDocument/2006/relationships/hyperlink" Target="https://www.finance.gov.au/government/managing-commonwealth-resources/annual-report-non-corporate-commonwealth-entities-rmg-135" TargetMode="External"/><Relationship Id="rId26" Type="http://schemas.openxmlformats.org/officeDocument/2006/relationships/hyperlink" Target="https://www.legislation.gov.au/Series/C2013A00123" TargetMode="External"/><Relationship Id="rId39" Type="http://schemas.openxmlformats.org/officeDocument/2006/relationships/hyperlink" Target="https://www.legislation.gov.au/Series/F2014L00911" TargetMode="External"/><Relationship Id="rId21" Type="http://schemas.openxmlformats.org/officeDocument/2006/relationships/hyperlink" Target="https://www.finance.gov.au/government/managing-commonwealth-resources/commonwealth-entities-executive-remuneration-reporting-guide-annual-reports-rmg-138" TargetMode="External"/><Relationship Id="rId34" Type="http://schemas.openxmlformats.org/officeDocument/2006/relationships/hyperlink" Target="https://www.legislation.gov.au/Series/F2014L00911" TargetMode="External"/><Relationship Id="rId42" Type="http://schemas.openxmlformats.org/officeDocument/2006/relationships/hyperlink" Target="https://www.homeaffairs.gov.au/reports-and-pubs/Annualreports/2017-18/01-annual-report-2017-18.pdf" TargetMode="External"/><Relationship Id="rId47" Type="http://schemas.openxmlformats.org/officeDocument/2006/relationships/hyperlink" Target="https://www.legislation.gov.au/Series/F2014L00911" TargetMode="External"/><Relationship Id="rId50" Type="http://schemas.openxmlformats.org/officeDocument/2006/relationships/hyperlink" Target="https://www.aasb.gov.au/Pronouncements/Current-standards.aspx" TargetMode="External"/><Relationship Id="rId55" Type="http://schemas.openxmlformats.org/officeDocument/2006/relationships/hyperlink" Target="https://www.legislation.gov.au/Series/C2013A00123" TargetMode="External"/><Relationship Id="rId63" Type="http://schemas.openxmlformats.org/officeDocument/2006/relationships/hyperlink" Target="https://www.homeaffairs.gov.au/reports-and-pubs/Annualreports/2017-18/01-annual-report-2017-18.pdf" TargetMode="External"/><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inance.gov.au/government/managing-commonwealth-resources/corporate-plans-commonwealth-entities-rmg-132" TargetMode="External"/><Relationship Id="rId29" Type="http://schemas.openxmlformats.org/officeDocument/2006/relationships/hyperlink" Target="mailto:PGPA%20%3cPGPA@finance.gov.au%3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gpa@finance.gov.au" TargetMode="External"/><Relationship Id="rId24" Type="http://schemas.openxmlformats.org/officeDocument/2006/relationships/hyperlink" Target="https://www.aasb.gov.au/Pronouncements/Current-standards.aspx" TargetMode="External"/><Relationship Id="rId32" Type="http://schemas.openxmlformats.org/officeDocument/2006/relationships/hyperlink" Target="https://www.legislation.gov.au/Series/F2014L00911" TargetMode="External"/><Relationship Id="rId37" Type="http://schemas.openxmlformats.org/officeDocument/2006/relationships/hyperlink" Target="https://www.legislation.gov.au/Series/F2014L00911" TargetMode="External"/><Relationship Id="rId40" Type="http://schemas.openxmlformats.org/officeDocument/2006/relationships/hyperlink" Target="https://www.legislation.gov.au/Series/C2013A00123" TargetMode="External"/><Relationship Id="rId45" Type="http://schemas.openxmlformats.org/officeDocument/2006/relationships/hyperlink" Target="https://www.anao.gov.au/" TargetMode="External"/><Relationship Id="rId53" Type="http://schemas.openxmlformats.org/officeDocument/2006/relationships/hyperlink" Target="https://www.finance.gov.au/government/managing-commonwealth-resources/commonwealth-entities-executive-remuneration-reporting-guide-annual-reports-rmg-138" TargetMode="External"/><Relationship Id="rId58" Type="http://schemas.openxmlformats.org/officeDocument/2006/relationships/image" Target="media/image7.jpeg"/><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inance.gov.au/publications/resource-management-guides/commonwealth-entities-financial-statements-guide-rmg-125" TargetMode="External"/><Relationship Id="rId23" Type="http://schemas.openxmlformats.org/officeDocument/2006/relationships/hyperlink" Target="https://www.apsc.gov.au/machinery-government-mog-changes-guide" TargetMode="External"/><Relationship Id="rId28" Type="http://schemas.openxmlformats.org/officeDocument/2006/relationships/hyperlink" Target="https://www.legislation.gov.au/Browse/ByRegDate/AdministrativeArrangementsOrders/InForce" TargetMode="External"/><Relationship Id="rId36" Type="http://schemas.openxmlformats.org/officeDocument/2006/relationships/hyperlink" Target="https://www.directory.gov.au/portfolios/health/australian-national-preventive-health-agency" TargetMode="External"/><Relationship Id="rId49" Type="http://schemas.openxmlformats.org/officeDocument/2006/relationships/hyperlink" Target="https://www.legislation.gov.au/Browse/ByRegDate/AdministrativeArrangementsOrders/InForce" TargetMode="External"/><Relationship Id="rId57" Type="http://schemas.openxmlformats.org/officeDocument/2006/relationships/image" Target="media/image6.jpeg"/><Relationship Id="rId61" Type="http://schemas.openxmlformats.org/officeDocument/2006/relationships/hyperlink" Target="https://www.directory.gov.au/portfolios/health/australian-national-preventive-health-agency" TargetMode="External"/><Relationship Id="rId10" Type="http://schemas.openxmlformats.org/officeDocument/2006/relationships/hyperlink" Target="http://www.dpmc.gov.au/government/its-honour" TargetMode="External"/><Relationship Id="rId19" Type="http://schemas.openxmlformats.org/officeDocument/2006/relationships/hyperlink" Target="https://www.finance.gov.au/government/managing-commonwealth-resources/annual-report-corporate-commonwealth-entities-rmg-136" TargetMode="External"/><Relationship Id="rId31" Type="http://schemas.openxmlformats.org/officeDocument/2006/relationships/hyperlink" Target="https://www.legislation.gov.au/Series/F2014L00911" TargetMode="External"/><Relationship Id="rId44" Type="http://schemas.openxmlformats.org/officeDocument/2006/relationships/image" Target="media/image3.png"/><Relationship Id="rId52" Type="http://schemas.openxmlformats.org/officeDocument/2006/relationships/hyperlink" Target="https://www.finance.gov.au/government/managing-commonwealth-resources/commonwealth-companies-executive-remuneration-reporting-guide-annual-reports-rmg-139" TargetMode="External"/><Relationship Id="rId60" Type="http://schemas.openxmlformats.org/officeDocument/2006/relationships/hyperlink" Target="https://www.legislation.gov.au/Browse/ByRegDate/AdministrativeArrangementsOrders/InForce" TargetMode="External"/><Relationship Id="rId65" Type="http://schemas.openxmlformats.org/officeDocument/2006/relationships/hyperlink" Target="https://www.legislation.gov.au/Series/F2014L00911"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finance.gov.au" TargetMode="External"/><Relationship Id="rId22" Type="http://schemas.openxmlformats.org/officeDocument/2006/relationships/hyperlink" Target="https://www.finance.gov.au/government/managing-commonwealth-resources/commonwealth-companies-executive-remuneration-reporting-guide-annual-reports-rmg-139" TargetMode="External"/><Relationship Id="rId27" Type="http://schemas.openxmlformats.org/officeDocument/2006/relationships/hyperlink" Target="https://www.legislation.gov.au/Browse/ByRegDate/AdministrativeArrangementsOrders/InForce" TargetMode="External"/><Relationship Id="rId30" Type="http://schemas.openxmlformats.org/officeDocument/2006/relationships/hyperlink" Target="mailto:PGPA%20%3cPGPA@finance.gov.au%3e" TargetMode="External"/><Relationship Id="rId35" Type="http://schemas.openxmlformats.org/officeDocument/2006/relationships/hyperlink" Target="https://www.legislation.gov.au/Series/F2014L00911" TargetMode="External"/><Relationship Id="rId43" Type="http://schemas.openxmlformats.org/officeDocument/2006/relationships/image" Target="media/image2.png"/><Relationship Id="rId48" Type="http://schemas.openxmlformats.org/officeDocument/2006/relationships/hyperlink" Target="https://www.legislation.gov.au/Browse/ByRegDate/AdministrativeArrangementsOrders/InForce" TargetMode="External"/><Relationship Id="rId56" Type="http://schemas.openxmlformats.org/officeDocument/2006/relationships/image" Target="media/image5.jpeg"/><Relationship Id="rId64" Type="http://schemas.openxmlformats.org/officeDocument/2006/relationships/hyperlink" Target="https://www.legislation.gov.au/Series/C2013A00123" TargetMode="External"/><Relationship Id="rId69" Type="http://schemas.openxmlformats.org/officeDocument/2006/relationships/footer" Target="footer2.xml"/><Relationship Id="rId8" Type="http://schemas.openxmlformats.org/officeDocument/2006/relationships/hyperlink" Target="http://creativecommons.org/licenses/by/3.0/au/" TargetMode="External"/><Relationship Id="rId51" Type="http://schemas.openxmlformats.org/officeDocument/2006/relationships/hyperlink" Target="https://www.finance.gov.au/government/managing-commonwealth-resources/commonwealth-entities-executive-remuneration-reporting-guide-annual-reports-rmg-138" TargetMode="External"/><Relationship Id="rId3" Type="http://schemas.openxmlformats.org/officeDocument/2006/relationships/styles" Target="styles.xml"/><Relationship Id="rId12" Type="http://schemas.openxmlformats.org/officeDocument/2006/relationships/hyperlink" Target="https://www.legislation.gov.au/Series/C2013A00123" TargetMode="External"/><Relationship Id="rId17" Type="http://schemas.openxmlformats.org/officeDocument/2006/relationships/hyperlink" Target="https://www.finance.gov.au/government/managing-commonwealth-resources/annual-performance-statements-commonwealth-entities-rmg-134" TargetMode="External"/><Relationship Id="rId25" Type="http://schemas.openxmlformats.org/officeDocument/2006/relationships/hyperlink" Target="https://www.legislation.gov.au/Series/F2014L00911" TargetMode="External"/><Relationship Id="rId33" Type="http://schemas.openxmlformats.org/officeDocument/2006/relationships/hyperlink" Target="https://www.legislation.gov.au/Series/F2014L00911" TargetMode="External"/><Relationship Id="rId38" Type="http://schemas.openxmlformats.org/officeDocument/2006/relationships/hyperlink" Target="https://www.legislation.gov.au/Series/F2014L00911" TargetMode="External"/><Relationship Id="rId46" Type="http://schemas.openxmlformats.org/officeDocument/2006/relationships/image" Target="media/image4.png"/><Relationship Id="rId59" Type="http://schemas.openxmlformats.org/officeDocument/2006/relationships/image" Target="media/image8.jpeg"/><Relationship Id="rId67" Type="http://schemas.openxmlformats.org/officeDocument/2006/relationships/footer" Target="footer1.xml"/><Relationship Id="rId20" Type="http://schemas.openxmlformats.org/officeDocument/2006/relationships/hyperlink" Target="https://www.finance.gov.au/government/managing-commonwealth-resources/annual-reports-commonwealth-companies-rmg-137" TargetMode="External"/><Relationship Id="rId41" Type="http://schemas.openxmlformats.org/officeDocument/2006/relationships/hyperlink" Target="https://www.finance.gov.au/government/managing-commonwealth-resources/planning-reporting/commonwealth-performance-framework" TargetMode="External"/><Relationship Id="rId54" Type="http://schemas.openxmlformats.org/officeDocument/2006/relationships/hyperlink" Target="https://www.finance.gov.au/government/managing-commonwealth-resources/commonwealth-companies-executive-remuneration-reporting-guide-annual-reports-rmg-139" TargetMode="External"/><Relationship Id="rId62" Type="http://schemas.openxmlformats.org/officeDocument/2006/relationships/hyperlink" Target="https://www.finance.gov.au" TargetMode="External"/><Relationship Id="rId7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Finance 1 Blue">
  <a:themeElements>
    <a:clrScheme name="Finance - Blue">
      <a:dk1>
        <a:sysClr val="windowText" lastClr="000000"/>
      </a:dk1>
      <a:lt1>
        <a:sysClr val="window" lastClr="FFFFFF"/>
      </a:lt1>
      <a:dk2>
        <a:srgbClr val="1C1C1C"/>
      </a:dk2>
      <a:lt2>
        <a:srgbClr val="E2E3E2"/>
      </a:lt2>
      <a:accent1>
        <a:srgbClr val="BDDCDF"/>
      </a:accent1>
      <a:accent2>
        <a:srgbClr val="92C5C5"/>
      </a:accent2>
      <a:accent3>
        <a:srgbClr val="19806D"/>
      </a:accent3>
      <a:accent4>
        <a:srgbClr val="C94A2C"/>
      </a:accent4>
      <a:accent5>
        <a:srgbClr val="645493"/>
      </a:accent5>
      <a:accent6>
        <a:srgbClr val="E8B600"/>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inance 1 Blue" id="{F0E8012F-52C4-4285-8588-15EF98A0938A}" vid="{1F551BCA-87CD-4010-B1B7-2E689DDB7D1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A85F5-D79C-4068-BDDE-C4704D6BE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F4A589F0</Template>
  <TotalTime>0</TotalTime>
  <Pages>28</Pages>
  <Words>8470</Words>
  <Characters>46760</Characters>
  <Application>Microsoft Office Word</Application>
  <DocSecurity>0</DocSecurity>
  <Lines>1039</Lines>
  <Paragraphs>581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dc:creator>
  <cp:keywords/>
  <dc:description/>
  <cp:lastModifiedBy>Lin, Mary</cp:lastModifiedBy>
  <cp:revision>2</cp:revision>
  <cp:lastPrinted>2016-09-29T04:48:00Z</cp:lastPrinted>
  <dcterms:created xsi:type="dcterms:W3CDTF">2020-06-09T04:59:00Z</dcterms:created>
  <dcterms:modified xsi:type="dcterms:W3CDTF">2020-06-09T04:59:00Z</dcterms:modified>
  <cp:contentStatus/>
</cp:coreProperties>
</file>