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3C9F2" w14:textId="77777777" w:rsidR="000C2A48" w:rsidRDefault="000C2A48" w:rsidP="000C2A48">
      <w:bookmarkStart w:id="0" w:name="_GoBack"/>
      <w:bookmarkEnd w:id="0"/>
    </w:p>
    <w:p w14:paraId="41172F0B" w14:textId="75FB89BA" w:rsidR="00745307" w:rsidRDefault="009E1A9A" w:rsidP="00576566">
      <w:pPr>
        <w:pStyle w:val="Title"/>
      </w:pPr>
      <w:r>
        <w:t>2019</w:t>
      </w:r>
      <w:r w:rsidR="00745307">
        <w:t xml:space="preserve"> Australian Government</w:t>
      </w:r>
    </w:p>
    <w:p w14:paraId="31748294" w14:textId="77777777" w:rsidR="004E058F" w:rsidRDefault="006D57E9" w:rsidP="00576566">
      <w:pPr>
        <w:pStyle w:val="Title"/>
      </w:pPr>
      <w:r>
        <w:t>Office Occupancy Report</w:t>
      </w:r>
    </w:p>
    <w:p w14:paraId="5DC2297A" w14:textId="77777777" w:rsidR="006C4DD1" w:rsidRDefault="006C4DD1" w:rsidP="006C4DD1"/>
    <w:p w14:paraId="7CBE129F" w14:textId="77777777" w:rsidR="005D3E0C" w:rsidRDefault="005D3E0C" w:rsidP="006C4DD1">
      <w:pPr>
        <w:sectPr w:rsidR="005D3E0C" w:rsidSect="005D3E0C">
          <w:headerReference w:type="default" r:id="rId8"/>
          <w:footerReference w:type="default" r:id="rId9"/>
          <w:headerReference w:type="first" r:id="rId10"/>
          <w:footerReference w:type="first" r:id="rId11"/>
          <w:type w:val="continuous"/>
          <w:pgSz w:w="11906" w:h="16838" w:code="9"/>
          <w:pgMar w:top="2268" w:right="1418" w:bottom="1418" w:left="1418" w:header="567" w:footer="624" w:gutter="0"/>
          <w:cols w:space="708"/>
          <w:docGrid w:linePitch="360"/>
        </w:sectPr>
      </w:pPr>
    </w:p>
    <w:p w14:paraId="59EBC219" w14:textId="77777777" w:rsidR="008F51BA" w:rsidRDefault="008F51BA" w:rsidP="008F51BA">
      <w:pPr>
        <w:rPr>
          <w:rFonts w:ascii="Arial" w:hAnsi="Arial" w:cs="Arial"/>
        </w:rPr>
      </w:pPr>
    </w:p>
    <w:p w14:paraId="55209D7A" w14:textId="77777777" w:rsidR="008F51BA" w:rsidRDefault="008F51BA" w:rsidP="008F51BA">
      <w:pPr>
        <w:rPr>
          <w:rFonts w:ascii="Arial" w:hAnsi="Arial" w:cs="Arial"/>
        </w:rPr>
      </w:pPr>
    </w:p>
    <w:p w14:paraId="0677EAA2" w14:textId="77777777" w:rsidR="008F51BA" w:rsidRDefault="008F51BA" w:rsidP="008F51BA">
      <w:pPr>
        <w:rPr>
          <w:rFonts w:ascii="Arial" w:hAnsi="Arial" w:cs="Arial"/>
        </w:rPr>
      </w:pPr>
    </w:p>
    <w:p w14:paraId="347A7FCD" w14:textId="77777777" w:rsidR="008F51BA" w:rsidRDefault="008F51BA" w:rsidP="008F51BA">
      <w:pPr>
        <w:rPr>
          <w:rFonts w:ascii="Arial" w:hAnsi="Arial" w:cs="Arial"/>
        </w:rPr>
      </w:pPr>
    </w:p>
    <w:p w14:paraId="7C294F38" w14:textId="77777777" w:rsidR="008F51BA" w:rsidRDefault="008F51BA" w:rsidP="008F51BA">
      <w:pPr>
        <w:rPr>
          <w:rFonts w:ascii="Arial" w:hAnsi="Arial" w:cs="Arial"/>
        </w:rPr>
      </w:pPr>
    </w:p>
    <w:p w14:paraId="3D754810" w14:textId="77777777" w:rsidR="008F51BA" w:rsidRDefault="008F51BA" w:rsidP="008F51BA">
      <w:pPr>
        <w:rPr>
          <w:rFonts w:ascii="Arial" w:hAnsi="Arial" w:cs="Arial"/>
        </w:rPr>
      </w:pPr>
    </w:p>
    <w:p w14:paraId="63742015" w14:textId="77777777" w:rsidR="008F51BA" w:rsidRDefault="008F51BA" w:rsidP="008F51BA">
      <w:pPr>
        <w:rPr>
          <w:rFonts w:ascii="Arial" w:hAnsi="Arial" w:cs="Arial"/>
        </w:rPr>
      </w:pPr>
    </w:p>
    <w:p w14:paraId="2B5347E4" w14:textId="77777777" w:rsidR="008F51BA" w:rsidRDefault="008F51BA" w:rsidP="008F51BA">
      <w:pPr>
        <w:rPr>
          <w:rFonts w:ascii="Arial" w:hAnsi="Arial" w:cs="Arial"/>
        </w:rPr>
      </w:pPr>
    </w:p>
    <w:p w14:paraId="08646F7D" w14:textId="77777777" w:rsidR="008F51BA" w:rsidRDefault="008F51BA" w:rsidP="008F51BA">
      <w:pPr>
        <w:rPr>
          <w:rFonts w:ascii="Arial" w:hAnsi="Arial" w:cs="Arial"/>
        </w:rPr>
      </w:pPr>
    </w:p>
    <w:p w14:paraId="75598FD5" w14:textId="6A50CBD4" w:rsidR="008F51BA" w:rsidRDefault="008F51BA" w:rsidP="008F51BA">
      <w:pPr>
        <w:rPr>
          <w:rFonts w:ascii="Arial" w:hAnsi="Arial" w:cs="Arial"/>
        </w:rPr>
      </w:pPr>
    </w:p>
    <w:p w14:paraId="38A865DF" w14:textId="3ABC9F60" w:rsidR="008F51BA" w:rsidRDefault="008F51BA" w:rsidP="008F51BA">
      <w:pPr>
        <w:rPr>
          <w:rFonts w:ascii="Arial" w:hAnsi="Arial" w:cs="Arial"/>
        </w:rPr>
      </w:pPr>
    </w:p>
    <w:p w14:paraId="713B0914" w14:textId="77777777" w:rsidR="008F51BA" w:rsidRDefault="008F51BA" w:rsidP="008F51BA">
      <w:pPr>
        <w:rPr>
          <w:rFonts w:ascii="Arial" w:hAnsi="Arial" w:cs="Arial"/>
        </w:rPr>
      </w:pPr>
    </w:p>
    <w:p w14:paraId="61D19398" w14:textId="77777777" w:rsidR="008F51BA" w:rsidRPr="001221B6" w:rsidRDefault="008F51BA" w:rsidP="008F51BA">
      <w:pPr>
        <w:rPr>
          <w:rFonts w:ascii="Arial" w:hAnsi="Arial" w:cs="Arial"/>
        </w:rPr>
      </w:pPr>
      <w:r w:rsidRPr="001221B6">
        <w:rPr>
          <w:rFonts w:ascii="Arial" w:hAnsi="Arial" w:cs="Arial"/>
        </w:rPr>
        <w:t>© Department of Finance</w:t>
      </w:r>
      <w:r w:rsidRPr="001221B6">
        <w:rPr>
          <w:rFonts w:ascii="Arial" w:hAnsi="Arial" w:cs="Arial"/>
        </w:rPr>
        <w:br/>
        <w:t xml:space="preserve">Commercial and Government Services </w:t>
      </w:r>
    </w:p>
    <w:p w14:paraId="40182A00" w14:textId="3DBEA46F" w:rsidR="008F51BA" w:rsidRPr="001221B6" w:rsidRDefault="000E0F18" w:rsidP="008F51BA">
      <w:pPr>
        <w:rPr>
          <w:rFonts w:ascii="Arial" w:hAnsi="Arial" w:cs="Arial"/>
        </w:rPr>
      </w:pPr>
      <w:r w:rsidRPr="000E0F18">
        <w:rPr>
          <w:rFonts w:ascii="Arial" w:hAnsi="Arial" w:cs="Arial"/>
        </w:rPr>
        <w:t>978-1-925537-57-4 (online)</w:t>
      </w:r>
      <w:r w:rsidR="008F51BA" w:rsidRPr="001221B6">
        <w:rPr>
          <w:rFonts w:ascii="Arial" w:hAnsi="Arial" w:cs="Arial"/>
        </w:rPr>
        <w:t xml:space="preserve"> </w:t>
      </w:r>
    </w:p>
    <w:p w14:paraId="7A101E89" w14:textId="77777777" w:rsidR="008F51BA" w:rsidRPr="001221B6" w:rsidRDefault="008F51BA" w:rsidP="008F51BA">
      <w:pPr>
        <w:rPr>
          <w:rFonts w:ascii="Arial" w:hAnsi="Arial" w:cs="Arial"/>
        </w:rPr>
      </w:pPr>
      <w:r w:rsidRPr="001221B6">
        <w:rPr>
          <w:rFonts w:ascii="Arial" w:hAnsi="Arial" w:cs="Arial"/>
          <w:noProof/>
          <w:lang w:eastAsia="en-AU"/>
        </w:rPr>
        <w:drawing>
          <wp:inline distT="0" distB="0" distL="0" distR="0" wp14:anchorId="37213E2B" wp14:editId="115AC1CE">
            <wp:extent cx="965200" cy="336550"/>
            <wp:effectExtent l="0" t="0" r="6350" b="6350"/>
            <wp:docPr id="9" name="Picture 9" descr="G:\COOG\CSD\Corporate Engagement Branch\Design resources\Stock imagery\Stock vectors\Creative commons mark\Creative Commons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OG\CSD\Corporate Engagement Branch\Design resources\Stock imagery\Stock vectors\Creative commons mark\Creative Commons ma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336550"/>
                    </a:xfrm>
                    <a:prstGeom prst="rect">
                      <a:avLst/>
                    </a:prstGeom>
                    <a:noFill/>
                    <a:ln>
                      <a:noFill/>
                    </a:ln>
                  </pic:spPr>
                </pic:pic>
              </a:graphicData>
            </a:graphic>
          </wp:inline>
        </w:drawing>
      </w:r>
    </w:p>
    <w:p w14:paraId="5770541F" w14:textId="77777777" w:rsidR="008F51BA" w:rsidRPr="001221B6" w:rsidRDefault="008F51BA" w:rsidP="008F51BA">
      <w:pPr>
        <w:rPr>
          <w:rFonts w:ascii="Arial" w:hAnsi="Arial" w:cs="Arial"/>
          <w:b/>
        </w:rPr>
      </w:pPr>
      <w:r w:rsidRPr="001221B6">
        <w:rPr>
          <w:rFonts w:ascii="Arial" w:hAnsi="Arial" w:cs="Arial"/>
          <w:b/>
        </w:rPr>
        <w:t xml:space="preserve">Copyright Notice </w:t>
      </w:r>
    </w:p>
    <w:p w14:paraId="0B5807E6" w14:textId="77777777" w:rsidR="008F51BA" w:rsidRPr="001221B6" w:rsidRDefault="008F51BA" w:rsidP="008F51BA">
      <w:pPr>
        <w:rPr>
          <w:rFonts w:ascii="Arial" w:hAnsi="Arial" w:cs="Arial"/>
          <w:b/>
        </w:rPr>
      </w:pPr>
      <w:r w:rsidRPr="001221B6">
        <w:rPr>
          <w:rFonts w:ascii="Arial" w:hAnsi="Arial" w:cs="Arial"/>
          <w:b/>
        </w:rPr>
        <w:t xml:space="preserve">Content </w:t>
      </w:r>
    </w:p>
    <w:p w14:paraId="4B33C5D7" w14:textId="77777777" w:rsidR="008F51BA" w:rsidRPr="001221B6" w:rsidRDefault="008F51BA" w:rsidP="008F51BA">
      <w:pPr>
        <w:rPr>
          <w:rFonts w:ascii="Arial" w:hAnsi="Arial" w:cs="Arial"/>
        </w:rPr>
      </w:pPr>
      <w:r w:rsidRPr="001221B6">
        <w:rPr>
          <w:rFonts w:ascii="Arial" w:hAnsi="Arial" w:cs="Arial"/>
        </w:rPr>
        <w:t xml:space="preserve">This work is copyright and owned by the Commonwealth of Australia. </w:t>
      </w:r>
    </w:p>
    <w:p w14:paraId="1C39A74B" w14:textId="77777777" w:rsidR="008F51BA" w:rsidRPr="001221B6" w:rsidRDefault="008F51BA" w:rsidP="008F51BA">
      <w:pPr>
        <w:rPr>
          <w:rFonts w:ascii="Arial" w:hAnsi="Arial" w:cs="Arial"/>
        </w:rPr>
      </w:pPr>
      <w:r w:rsidRPr="001221B6">
        <w:rPr>
          <w:rFonts w:ascii="Arial" w:hAnsi="Arial" w:cs="Arial"/>
        </w:rPr>
        <w:t xml:space="preserve">With the exception of the Commonwealth Coat of Arms, this work is licensed under a Creative Commons Attribution 3.0 Australia licence (CC BY 3.0) (http://creativecommons.org/licenses/by/3.0/au/deed.en)  </w:t>
      </w:r>
    </w:p>
    <w:p w14:paraId="6AD3A815" w14:textId="23B35B92" w:rsidR="008F51BA" w:rsidRPr="001221B6" w:rsidRDefault="008F51BA" w:rsidP="008F51BA">
      <w:pPr>
        <w:rPr>
          <w:rFonts w:ascii="Arial" w:hAnsi="Arial" w:cs="Arial"/>
        </w:rPr>
      </w:pPr>
      <w:r w:rsidRPr="001221B6">
        <w:rPr>
          <w:rFonts w:ascii="Arial" w:hAnsi="Arial" w:cs="Arial"/>
        </w:rPr>
        <w:t xml:space="preserve">This work must be attributed as: “Commonwealth of Australia, Department of Finance, Commercial and Government Services, </w:t>
      </w:r>
      <w:r w:rsidR="00A3734A">
        <w:rPr>
          <w:rFonts w:ascii="Arial" w:hAnsi="Arial" w:cs="Arial"/>
        </w:rPr>
        <w:t xml:space="preserve">2019 </w:t>
      </w:r>
      <w:r w:rsidRPr="001221B6">
        <w:rPr>
          <w:rFonts w:ascii="Arial" w:hAnsi="Arial" w:cs="Arial"/>
        </w:rPr>
        <w:t xml:space="preserve">Australian Government Office Occupancy Report”. </w:t>
      </w:r>
    </w:p>
    <w:p w14:paraId="54E4248A" w14:textId="77777777" w:rsidR="008F51BA" w:rsidRPr="001221B6" w:rsidRDefault="008F51BA" w:rsidP="008F51BA">
      <w:pPr>
        <w:rPr>
          <w:rFonts w:ascii="Arial" w:hAnsi="Arial" w:cs="Arial"/>
          <w:b/>
        </w:rPr>
      </w:pPr>
      <w:r w:rsidRPr="001221B6">
        <w:rPr>
          <w:rFonts w:ascii="Arial" w:hAnsi="Arial" w:cs="Arial"/>
          <w:b/>
        </w:rPr>
        <w:t xml:space="preserve">Use of the Coat of Arms </w:t>
      </w:r>
    </w:p>
    <w:p w14:paraId="4F5AA629" w14:textId="77777777" w:rsidR="008F51BA" w:rsidRPr="001221B6" w:rsidRDefault="008F51BA" w:rsidP="008F51BA">
      <w:pPr>
        <w:rPr>
          <w:rFonts w:ascii="Arial" w:hAnsi="Arial" w:cs="Arial"/>
        </w:rPr>
      </w:pPr>
      <w:r w:rsidRPr="001221B6">
        <w:rPr>
          <w:rFonts w:ascii="Arial" w:hAnsi="Arial" w:cs="Arial"/>
        </w:rPr>
        <w:t>The terms under which the Coat of Arms can be used are set out on the Department of Prime Minister and Cabinet website (pmc.gov.au/government/commonwealth-coat-arms).</w:t>
      </w:r>
    </w:p>
    <w:p w14:paraId="63A55F8A" w14:textId="77777777" w:rsidR="008F51BA" w:rsidRPr="001221B6" w:rsidRDefault="008F51BA" w:rsidP="008F51BA">
      <w:pPr>
        <w:rPr>
          <w:rFonts w:ascii="Arial" w:hAnsi="Arial" w:cs="Arial"/>
          <w:b/>
        </w:rPr>
      </w:pPr>
      <w:r w:rsidRPr="001221B6">
        <w:rPr>
          <w:rFonts w:ascii="Arial" w:hAnsi="Arial" w:cs="Arial"/>
          <w:b/>
        </w:rPr>
        <w:t xml:space="preserve">Contact us </w:t>
      </w:r>
    </w:p>
    <w:p w14:paraId="5A4F1982" w14:textId="77777777" w:rsidR="008F51BA" w:rsidRPr="001221B6" w:rsidRDefault="008F51BA" w:rsidP="008F51BA">
      <w:pPr>
        <w:rPr>
          <w:rFonts w:ascii="Arial" w:hAnsi="Arial" w:cs="Arial"/>
        </w:rPr>
      </w:pPr>
      <w:r w:rsidRPr="001221B6">
        <w:rPr>
          <w:rFonts w:ascii="Arial" w:hAnsi="Arial" w:cs="Arial"/>
        </w:rPr>
        <w:t xml:space="preserve">Inquiries regarding the licence and any use of this work are welcome at: </w:t>
      </w:r>
    </w:p>
    <w:p w14:paraId="0C17E364" w14:textId="12F111AE" w:rsidR="008F51BA" w:rsidRPr="00F54444" w:rsidRDefault="008F51BA" w:rsidP="00F54444">
      <w:pPr>
        <w:rPr>
          <w:rFonts w:ascii="Arial" w:hAnsi="Arial" w:cs="Arial"/>
        </w:rPr>
      </w:pPr>
      <w:r w:rsidRPr="001221B6">
        <w:rPr>
          <w:rFonts w:ascii="Arial" w:hAnsi="Arial" w:cs="Arial"/>
        </w:rPr>
        <w:t>Commercial and Government Services Department of Finance, One Canberra Avenue FORREST ACT 2603 Email: Property</w:t>
      </w:r>
      <w:r>
        <w:rPr>
          <w:rFonts w:ascii="Arial" w:hAnsi="Arial" w:cs="Arial"/>
        </w:rPr>
        <w:t>Data</w:t>
      </w:r>
      <w:r w:rsidRPr="001221B6">
        <w:rPr>
          <w:rFonts w:ascii="Arial" w:hAnsi="Arial" w:cs="Arial"/>
        </w:rPr>
        <w:t>@finance.gov.au</w:t>
      </w:r>
      <w:r>
        <w:br w:type="page"/>
      </w:r>
    </w:p>
    <w:p w14:paraId="22DD4DC8" w14:textId="086E574D" w:rsidR="0020122A" w:rsidRDefault="0020122A" w:rsidP="005D3E0C">
      <w:pPr>
        <w:pStyle w:val="TOCHeading"/>
        <w:tabs>
          <w:tab w:val="left" w:pos="2977"/>
        </w:tabs>
      </w:pPr>
      <w:r>
        <w:t>Contents</w:t>
      </w:r>
    </w:p>
    <w:p w14:paraId="3C8A2479" w14:textId="5E945FF4" w:rsidR="00F83636" w:rsidRDefault="0020122A">
      <w:pPr>
        <w:pStyle w:val="TOC1"/>
        <w:rPr>
          <w:rFonts w:eastAsiaTheme="minorEastAsia"/>
          <w:b w:val="0"/>
          <w:noProof/>
          <w:sz w:val="22"/>
          <w:lang w:eastAsia="en-AU"/>
        </w:rPr>
      </w:pPr>
      <w:r>
        <w:rPr>
          <w:sz w:val="19"/>
        </w:rPr>
        <w:fldChar w:fldCharType="begin"/>
      </w:r>
      <w:r>
        <w:instrText xml:space="preserve"> TOC \o "2-3" \h \z \t "Heading 1,1,Heading 1 Numbered,1" </w:instrText>
      </w:r>
      <w:r>
        <w:rPr>
          <w:sz w:val="19"/>
        </w:rPr>
        <w:fldChar w:fldCharType="separate"/>
      </w:r>
      <w:hyperlink w:anchor="_Toc40455093" w:history="1">
        <w:r w:rsidR="00F83636" w:rsidRPr="00176854">
          <w:rPr>
            <w:rStyle w:val="Hyperlink"/>
            <w:noProof/>
          </w:rPr>
          <w:t>1.</w:t>
        </w:r>
        <w:r w:rsidR="00F83636">
          <w:rPr>
            <w:rFonts w:eastAsiaTheme="minorEastAsia"/>
            <w:b w:val="0"/>
            <w:noProof/>
            <w:sz w:val="22"/>
            <w:lang w:eastAsia="en-AU"/>
          </w:rPr>
          <w:tab/>
        </w:r>
        <w:r w:rsidR="00F83636" w:rsidRPr="00176854">
          <w:rPr>
            <w:rStyle w:val="Hyperlink"/>
            <w:noProof/>
          </w:rPr>
          <w:t>Executive Summary</w:t>
        </w:r>
        <w:r w:rsidR="00F83636">
          <w:rPr>
            <w:noProof/>
            <w:webHidden/>
          </w:rPr>
          <w:tab/>
        </w:r>
        <w:r w:rsidR="00F83636">
          <w:rPr>
            <w:noProof/>
            <w:webHidden/>
          </w:rPr>
          <w:fldChar w:fldCharType="begin"/>
        </w:r>
        <w:r w:rsidR="00F83636">
          <w:rPr>
            <w:noProof/>
            <w:webHidden/>
          </w:rPr>
          <w:instrText xml:space="preserve"> PAGEREF _Toc40455093 \h </w:instrText>
        </w:r>
        <w:r w:rsidR="00F83636">
          <w:rPr>
            <w:noProof/>
            <w:webHidden/>
          </w:rPr>
        </w:r>
        <w:r w:rsidR="00F83636">
          <w:rPr>
            <w:noProof/>
            <w:webHidden/>
          </w:rPr>
          <w:fldChar w:fldCharType="separate"/>
        </w:r>
        <w:r w:rsidR="00F83636">
          <w:rPr>
            <w:noProof/>
            <w:webHidden/>
          </w:rPr>
          <w:t>4</w:t>
        </w:r>
        <w:r w:rsidR="00F83636">
          <w:rPr>
            <w:noProof/>
            <w:webHidden/>
          </w:rPr>
          <w:fldChar w:fldCharType="end"/>
        </w:r>
      </w:hyperlink>
    </w:p>
    <w:p w14:paraId="1AA60456" w14:textId="356AC5A1" w:rsidR="00F83636" w:rsidRDefault="00176886">
      <w:pPr>
        <w:pStyle w:val="TOC2"/>
        <w:rPr>
          <w:rFonts w:eastAsiaTheme="minorEastAsia"/>
          <w:noProof/>
          <w:lang w:eastAsia="en-AU"/>
        </w:rPr>
      </w:pPr>
      <w:hyperlink w:anchor="_Toc40455094" w:history="1">
        <w:r w:rsidR="00F83636" w:rsidRPr="00176854">
          <w:rPr>
            <w:rStyle w:val="Hyperlink"/>
            <w:noProof/>
          </w:rPr>
          <w:t>1.1</w:t>
        </w:r>
        <w:r w:rsidR="00F83636">
          <w:rPr>
            <w:rFonts w:eastAsiaTheme="minorEastAsia"/>
            <w:noProof/>
            <w:lang w:eastAsia="en-AU"/>
          </w:rPr>
          <w:tab/>
        </w:r>
        <w:r w:rsidR="00F83636" w:rsidRPr="00176854">
          <w:rPr>
            <w:rStyle w:val="Hyperlink"/>
            <w:noProof/>
          </w:rPr>
          <w:t>Overview</w:t>
        </w:r>
        <w:r w:rsidR="00F83636">
          <w:rPr>
            <w:noProof/>
            <w:webHidden/>
          </w:rPr>
          <w:tab/>
        </w:r>
        <w:r w:rsidR="00F83636">
          <w:rPr>
            <w:noProof/>
            <w:webHidden/>
          </w:rPr>
          <w:fldChar w:fldCharType="begin"/>
        </w:r>
        <w:r w:rsidR="00F83636">
          <w:rPr>
            <w:noProof/>
            <w:webHidden/>
          </w:rPr>
          <w:instrText xml:space="preserve"> PAGEREF _Toc40455094 \h </w:instrText>
        </w:r>
        <w:r w:rsidR="00F83636">
          <w:rPr>
            <w:noProof/>
            <w:webHidden/>
          </w:rPr>
        </w:r>
        <w:r w:rsidR="00F83636">
          <w:rPr>
            <w:noProof/>
            <w:webHidden/>
          </w:rPr>
          <w:fldChar w:fldCharType="separate"/>
        </w:r>
        <w:r w:rsidR="00F83636">
          <w:rPr>
            <w:noProof/>
            <w:webHidden/>
          </w:rPr>
          <w:t>4</w:t>
        </w:r>
        <w:r w:rsidR="00F83636">
          <w:rPr>
            <w:noProof/>
            <w:webHidden/>
          </w:rPr>
          <w:fldChar w:fldCharType="end"/>
        </w:r>
      </w:hyperlink>
    </w:p>
    <w:p w14:paraId="6E010A91" w14:textId="47001AD7" w:rsidR="00F83636" w:rsidRDefault="00176886">
      <w:pPr>
        <w:pStyle w:val="TOC2"/>
        <w:rPr>
          <w:rFonts w:eastAsiaTheme="minorEastAsia"/>
          <w:noProof/>
          <w:lang w:eastAsia="en-AU"/>
        </w:rPr>
      </w:pPr>
      <w:hyperlink w:anchor="_Toc40455095" w:history="1">
        <w:r w:rsidR="00F83636" w:rsidRPr="00176854">
          <w:rPr>
            <w:rStyle w:val="Hyperlink"/>
            <w:noProof/>
          </w:rPr>
          <w:t>1.2</w:t>
        </w:r>
        <w:r w:rsidR="00F83636">
          <w:rPr>
            <w:rFonts w:eastAsiaTheme="minorEastAsia"/>
            <w:noProof/>
            <w:lang w:eastAsia="en-AU"/>
          </w:rPr>
          <w:tab/>
        </w:r>
        <w:r w:rsidR="00F83636" w:rsidRPr="00176854">
          <w:rPr>
            <w:rStyle w:val="Hyperlink"/>
            <w:noProof/>
          </w:rPr>
          <w:t>Policy Context</w:t>
        </w:r>
        <w:r w:rsidR="00F83636">
          <w:rPr>
            <w:noProof/>
            <w:webHidden/>
          </w:rPr>
          <w:tab/>
        </w:r>
        <w:r w:rsidR="00F83636">
          <w:rPr>
            <w:noProof/>
            <w:webHidden/>
          </w:rPr>
          <w:fldChar w:fldCharType="begin"/>
        </w:r>
        <w:r w:rsidR="00F83636">
          <w:rPr>
            <w:noProof/>
            <w:webHidden/>
          </w:rPr>
          <w:instrText xml:space="preserve"> PAGEREF _Toc40455095 \h </w:instrText>
        </w:r>
        <w:r w:rsidR="00F83636">
          <w:rPr>
            <w:noProof/>
            <w:webHidden/>
          </w:rPr>
        </w:r>
        <w:r w:rsidR="00F83636">
          <w:rPr>
            <w:noProof/>
            <w:webHidden/>
          </w:rPr>
          <w:fldChar w:fldCharType="separate"/>
        </w:r>
        <w:r w:rsidR="00F83636">
          <w:rPr>
            <w:noProof/>
            <w:webHidden/>
          </w:rPr>
          <w:t>5</w:t>
        </w:r>
        <w:r w:rsidR="00F83636">
          <w:rPr>
            <w:noProof/>
            <w:webHidden/>
          </w:rPr>
          <w:fldChar w:fldCharType="end"/>
        </w:r>
      </w:hyperlink>
    </w:p>
    <w:p w14:paraId="38FF46C6" w14:textId="36776205" w:rsidR="00F83636" w:rsidRDefault="00176886">
      <w:pPr>
        <w:pStyle w:val="TOC2"/>
        <w:rPr>
          <w:rFonts w:eastAsiaTheme="minorEastAsia"/>
          <w:noProof/>
          <w:lang w:eastAsia="en-AU"/>
        </w:rPr>
      </w:pPr>
      <w:hyperlink w:anchor="_Toc40455096" w:history="1">
        <w:r w:rsidR="00F83636" w:rsidRPr="00176854">
          <w:rPr>
            <w:rStyle w:val="Hyperlink"/>
            <w:noProof/>
          </w:rPr>
          <w:t>1.3</w:t>
        </w:r>
        <w:r w:rsidR="00F83636">
          <w:rPr>
            <w:rFonts w:eastAsiaTheme="minorEastAsia"/>
            <w:noProof/>
            <w:lang w:eastAsia="en-AU"/>
          </w:rPr>
          <w:tab/>
        </w:r>
        <w:r w:rsidR="00F83636" w:rsidRPr="00176854">
          <w:rPr>
            <w:rStyle w:val="Hyperlink"/>
            <w:noProof/>
          </w:rPr>
          <w:t>Key Terminology</w:t>
        </w:r>
        <w:r w:rsidR="00F83636">
          <w:rPr>
            <w:noProof/>
            <w:webHidden/>
          </w:rPr>
          <w:tab/>
        </w:r>
        <w:r w:rsidR="00F83636">
          <w:rPr>
            <w:noProof/>
            <w:webHidden/>
          </w:rPr>
          <w:fldChar w:fldCharType="begin"/>
        </w:r>
        <w:r w:rsidR="00F83636">
          <w:rPr>
            <w:noProof/>
            <w:webHidden/>
          </w:rPr>
          <w:instrText xml:space="preserve"> PAGEREF _Toc40455096 \h </w:instrText>
        </w:r>
        <w:r w:rsidR="00F83636">
          <w:rPr>
            <w:noProof/>
            <w:webHidden/>
          </w:rPr>
        </w:r>
        <w:r w:rsidR="00F83636">
          <w:rPr>
            <w:noProof/>
            <w:webHidden/>
          </w:rPr>
          <w:fldChar w:fldCharType="separate"/>
        </w:r>
        <w:r w:rsidR="00F83636">
          <w:rPr>
            <w:noProof/>
            <w:webHidden/>
          </w:rPr>
          <w:t>5</w:t>
        </w:r>
        <w:r w:rsidR="00F83636">
          <w:rPr>
            <w:noProof/>
            <w:webHidden/>
          </w:rPr>
          <w:fldChar w:fldCharType="end"/>
        </w:r>
      </w:hyperlink>
    </w:p>
    <w:p w14:paraId="344AFB90" w14:textId="1CFC94CD" w:rsidR="00F83636" w:rsidRDefault="00176886">
      <w:pPr>
        <w:pStyle w:val="TOC2"/>
        <w:rPr>
          <w:rFonts w:eastAsiaTheme="minorEastAsia"/>
          <w:noProof/>
          <w:lang w:eastAsia="en-AU"/>
        </w:rPr>
      </w:pPr>
      <w:hyperlink w:anchor="_Toc40455097" w:history="1">
        <w:r w:rsidR="00F83636" w:rsidRPr="00176854">
          <w:rPr>
            <w:rStyle w:val="Hyperlink"/>
            <w:noProof/>
          </w:rPr>
          <w:t>1.4</w:t>
        </w:r>
        <w:r w:rsidR="00F83636">
          <w:rPr>
            <w:rFonts w:eastAsiaTheme="minorEastAsia"/>
            <w:noProof/>
            <w:lang w:eastAsia="en-AU"/>
          </w:rPr>
          <w:tab/>
        </w:r>
        <w:r w:rsidR="00F83636" w:rsidRPr="00176854">
          <w:rPr>
            <w:rStyle w:val="Hyperlink"/>
            <w:noProof/>
          </w:rPr>
          <w:t>Key Findings</w:t>
        </w:r>
        <w:r w:rsidR="00F83636">
          <w:rPr>
            <w:noProof/>
            <w:webHidden/>
          </w:rPr>
          <w:tab/>
        </w:r>
        <w:r w:rsidR="00F83636">
          <w:rPr>
            <w:noProof/>
            <w:webHidden/>
          </w:rPr>
          <w:fldChar w:fldCharType="begin"/>
        </w:r>
        <w:r w:rsidR="00F83636">
          <w:rPr>
            <w:noProof/>
            <w:webHidden/>
          </w:rPr>
          <w:instrText xml:space="preserve"> PAGEREF _Toc40455097 \h </w:instrText>
        </w:r>
        <w:r w:rsidR="00F83636">
          <w:rPr>
            <w:noProof/>
            <w:webHidden/>
          </w:rPr>
        </w:r>
        <w:r w:rsidR="00F83636">
          <w:rPr>
            <w:noProof/>
            <w:webHidden/>
          </w:rPr>
          <w:fldChar w:fldCharType="separate"/>
        </w:r>
        <w:r w:rsidR="00F83636">
          <w:rPr>
            <w:noProof/>
            <w:webHidden/>
          </w:rPr>
          <w:t>6</w:t>
        </w:r>
        <w:r w:rsidR="00F83636">
          <w:rPr>
            <w:noProof/>
            <w:webHidden/>
          </w:rPr>
          <w:fldChar w:fldCharType="end"/>
        </w:r>
      </w:hyperlink>
    </w:p>
    <w:p w14:paraId="3BA190CA" w14:textId="1A65D120" w:rsidR="00F83636" w:rsidRDefault="00176886">
      <w:pPr>
        <w:pStyle w:val="TOC1"/>
        <w:rPr>
          <w:rFonts w:eastAsiaTheme="minorEastAsia"/>
          <w:b w:val="0"/>
          <w:noProof/>
          <w:sz w:val="22"/>
          <w:lang w:eastAsia="en-AU"/>
        </w:rPr>
      </w:pPr>
      <w:hyperlink w:anchor="_Toc40455098" w:history="1">
        <w:r w:rsidR="00F83636" w:rsidRPr="00176854">
          <w:rPr>
            <w:rStyle w:val="Hyperlink"/>
            <w:noProof/>
          </w:rPr>
          <w:t>2.</w:t>
        </w:r>
        <w:r w:rsidR="00F83636">
          <w:rPr>
            <w:rFonts w:eastAsiaTheme="minorEastAsia"/>
            <w:b w:val="0"/>
            <w:noProof/>
            <w:sz w:val="22"/>
            <w:lang w:eastAsia="en-AU"/>
          </w:rPr>
          <w:tab/>
        </w:r>
        <w:r w:rsidR="00F83636" w:rsidRPr="00176854">
          <w:rPr>
            <w:rStyle w:val="Hyperlink"/>
            <w:noProof/>
          </w:rPr>
          <w:t>Geography</w:t>
        </w:r>
        <w:r w:rsidR="00F83636">
          <w:rPr>
            <w:noProof/>
            <w:webHidden/>
          </w:rPr>
          <w:tab/>
        </w:r>
        <w:r w:rsidR="00F83636">
          <w:rPr>
            <w:noProof/>
            <w:webHidden/>
          </w:rPr>
          <w:fldChar w:fldCharType="begin"/>
        </w:r>
        <w:r w:rsidR="00F83636">
          <w:rPr>
            <w:noProof/>
            <w:webHidden/>
          </w:rPr>
          <w:instrText xml:space="preserve"> PAGEREF _Toc40455098 \h </w:instrText>
        </w:r>
        <w:r w:rsidR="00F83636">
          <w:rPr>
            <w:noProof/>
            <w:webHidden/>
          </w:rPr>
        </w:r>
        <w:r w:rsidR="00F83636">
          <w:rPr>
            <w:noProof/>
            <w:webHidden/>
          </w:rPr>
          <w:fldChar w:fldCharType="separate"/>
        </w:r>
        <w:r w:rsidR="00F83636">
          <w:rPr>
            <w:noProof/>
            <w:webHidden/>
          </w:rPr>
          <w:t>11</w:t>
        </w:r>
        <w:r w:rsidR="00F83636">
          <w:rPr>
            <w:noProof/>
            <w:webHidden/>
          </w:rPr>
          <w:fldChar w:fldCharType="end"/>
        </w:r>
      </w:hyperlink>
    </w:p>
    <w:p w14:paraId="403C682E" w14:textId="5F7EF5F7" w:rsidR="00F83636" w:rsidRDefault="00176886">
      <w:pPr>
        <w:pStyle w:val="TOC2"/>
        <w:rPr>
          <w:rFonts w:eastAsiaTheme="minorEastAsia"/>
          <w:noProof/>
          <w:lang w:eastAsia="en-AU"/>
        </w:rPr>
      </w:pPr>
      <w:hyperlink w:anchor="_Toc40455099" w:history="1">
        <w:r w:rsidR="00F83636" w:rsidRPr="00176854">
          <w:rPr>
            <w:rStyle w:val="Hyperlink"/>
            <w:noProof/>
          </w:rPr>
          <w:t>2.1</w:t>
        </w:r>
        <w:r w:rsidR="00F83636">
          <w:rPr>
            <w:rFonts w:eastAsiaTheme="minorEastAsia"/>
            <w:noProof/>
            <w:lang w:eastAsia="en-AU"/>
          </w:rPr>
          <w:tab/>
        </w:r>
        <w:r w:rsidR="00F83636" w:rsidRPr="00176854">
          <w:rPr>
            <w:rStyle w:val="Hyperlink"/>
            <w:noProof/>
          </w:rPr>
          <w:t>Remoteness Classification</w:t>
        </w:r>
        <w:r w:rsidR="00F83636">
          <w:rPr>
            <w:noProof/>
            <w:webHidden/>
          </w:rPr>
          <w:tab/>
        </w:r>
        <w:r w:rsidR="00F83636">
          <w:rPr>
            <w:noProof/>
            <w:webHidden/>
          </w:rPr>
          <w:fldChar w:fldCharType="begin"/>
        </w:r>
        <w:r w:rsidR="00F83636">
          <w:rPr>
            <w:noProof/>
            <w:webHidden/>
          </w:rPr>
          <w:instrText xml:space="preserve"> PAGEREF _Toc40455099 \h </w:instrText>
        </w:r>
        <w:r w:rsidR="00F83636">
          <w:rPr>
            <w:noProof/>
            <w:webHidden/>
          </w:rPr>
        </w:r>
        <w:r w:rsidR="00F83636">
          <w:rPr>
            <w:noProof/>
            <w:webHidden/>
          </w:rPr>
          <w:fldChar w:fldCharType="separate"/>
        </w:r>
        <w:r w:rsidR="00F83636">
          <w:rPr>
            <w:noProof/>
            <w:webHidden/>
          </w:rPr>
          <w:t>11</w:t>
        </w:r>
        <w:r w:rsidR="00F83636">
          <w:rPr>
            <w:noProof/>
            <w:webHidden/>
          </w:rPr>
          <w:fldChar w:fldCharType="end"/>
        </w:r>
      </w:hyperlink>
    </w:p>
    <w:p w14:paraId="68757B89" w14:textId="13254181" w:rsidR="00F83636" w:rsidRDefault="00176886">
      <w:pPr>
        <w:pStyle w:val="TOC2"/>
        <w:rPr>
          <w:rFonts w:eastAsiaTheme="minorEastAsia"/>
          <w:noProof/>
          <w:lang w:eastAsia="en-AU"/>
        </w:rPr>
      </w:pPr>
      <w:hyperlink w:anchor="_Toc40455100" w:history="1">
        <w:r w:rsidR="00F83636" w:rsidRPr="00176854">
          <w:rPr>
            <w:rStyle w:val="Hyperlink"/>
            <w:noProof/>
          </w:rPr>
          <w:t>2.2</w:t>
        </w:r>
        <w:r w:rsidR="00F83636">
          <w:rPr>
            <w:rFonts w:eastAsiaTheme="minorEastAsia"/>
            <w:noProof/>
            <w:lang w:eastAsia="en-AU"/>
          </w:rPr>
          <w:tab/>
        </w:r>
        <w:r w:rsidR="00F83636" w:rsidRPr="00176854">
          <w:rPr>
            <w:rStyle w:val="Hyperlink"/>
            <w:noProof/>
          </w:rPr>
          <w:t>Entities with Regional or Remote Tenancies</w:t>
        </w:r>
        <w:r w:rsidR="00F83636">
          <w:rPr>
            <w:noProof/>
            <w:webHidden/>
          </w:rPr>
          <w:tab/>
        </w:r>
        <w:r w:rsidR="00F83636">
          <w:rPr>
            <w:noProof/>
            <w:webHidden/>
          </w:rPr>
          <w:fldChar w:fldCharType="begin"/>
        </w:r>
        <w:r w:rsidR="00F83636">
          <w:rPr>
            <w:noProof/>
            <w:webHidden/>
          </w:rPr>
          <w:instrText xml:space="preserve"> PAGEREF _Toc40455100 \h </w:instrText>
        </w:r>
        <w:r w:rsidR="00F83636">
          <w:rPr>
            <w:noProof/>
            <w:webHidden/>
          </w:rPr>
        </w:r>
        <w:r w:rsidR="00F83636">
          <w:rPr>
            <w:noProof/>
            <w:webHidden/>
          </w:rPr>
          <w:fldChar w:fldCharType="separate"/>
        </w:r>
        <w:r w:rsidR="00F83636">
          <w:rPr>
            <w:noProof/>
            <w:webHidden/>
          </w:rPr>
          <w:t>12</w:t>
        </w:r>
        <w:r w:rsidR="00F83636">
          <w:rPr>
            <w:noProof/>
            <w:webHidden/>
          </w:rPr>
          <w:fldChar w:fldCharType="end"/>
        </w:r>
      </w:hyperlink>
    </w:p>
    <w:p w14:paraId="7E1113E7" w14:textId="1C2D5D2A" w:rsidR="00F83636" w:rsidRDefault="00176886">
      <w:pPr>
        <w:pStyle w:val="TOC2"/>
        <w:rPr>
          <w:rFonts w:eastAsiaTheme="minorEastAsia"/>
          <w:noProof/>
          <w:lang w:eastAsia="en-AU"/>
        </w:rPr>
      </w:pPr>
      <w:hyperlink w:anchor="_Toc40455101" w:history="1">
        <w:r w:rsidR="00F83636" w:rsidRPr="00176854">
          <w:rPr>
            <w:rStyle w:val="Hyperlink"/>
            <w:noProof/>
          </w:rPr>
          <w:t>2.3</w:t>
        </w:r>
        <w:r w:rsidR="00F83636">
          <w:rPr>
            <w:rFonts w:eastAsiaTheme="minorEastAsia"/>
            <w:noProof/>
            <w:lang w:eastAsia="en-AU"/>
          </w:rPr>
          <w:tab/>
        </w:r>
        <w:r w:rsidR="00F83636" w:rsidRPr="00176854">
          <w:rPr>
            <w:rStyle w:val="Hyperlink"/>
            <w:noProof/>
          </w:rPr>
          <w:t>States and Territories</w:t>
        </w:r>
        <w:r w:rsidR="00F83636">
          <w:rPr>
            <w:noProof/>
            <w:webHidden/>
          </w:rPr>
          <w:tab/>
        </w:r>
        <w:r w:rsidR="00F83636">
          <w:rPr>
            <w:noProof/>
            <w:webHidden/>
          </w:rPr>
          <w:fldChar w:fldCharType="begin"/>
        </w:r>
        <w:r w:rsidR="00F83636">
          <w:rPr>
            <w:noProof/>
            <w:webHidden/>
          </w:rPr>
          <w:instrText xml:space="preserve"> PAGEREF _Toc40455101 \h </w:instrText>
        </w:r>
        <w:r w:rsidR="00F83636">
          <w:rPr>
            <w:noProof/>
            <w:webHidden/>
          </w:rPr>
        </w:r>
        <w:r w:rsidR="00F83636">
          <w:rPr>
            <w:noProof/>
            <w:webHidden/>
          </w:rPr>
          <w:fldChar w:fldCharType="separate"/>
        </w:r>
        <w:r w:rsidR="00F83636">
          <w:rPr>
            <w:noProof/>
            <w:webHidden/>
          </w:rPr>
          <w:t>13</w:t>
        </w:r>
        <w:r w:rsidR="00F83636">
          <w:rPr>
            <w:noProof/>
            <w:webHidden/>
          </w:rPr>
          <w:fldChar w:fldCharType="end"/>
        </w:r>
      </w:hyperlink>
    </w:p>
    <w:p w14:paraId="70357CA7" w14:textId="1099C71A" w:rsidR="00F83636" w:rsidRDefault="00176886">
      <w:pPr>
        <w:pStyle w:val="TOC1"/>
        <w:rPr>
          <w:rFonts w:eastAsiaTheme="minorEastAsia"/>
          <w:b w:val="0"/>
          <w:noProof/>
          <w:sz w:val="22"/>
          <w:lang w:eastAsia="en-AU"/>
        </w:rPr>
      </w:pPr>
      <w:hyperlink w:anchor="_Toc40455102" w:history="1">
        <w:r w:rsidR="00F83636" w:rsidRPr="00176854">
          <w:rPr>
            <w:rStyle w:val="Hyperlink"/>
            <w:noProof/>
          </w:rPr>
          <w:t>3.</w:t>
        </w:r>
        <w:r w:rsidR="00F83636">
          <w:rPr>
            <w:rFonts w:eastAsiaTheme="minorEastAsia"/>
            <w:b w:val="0"/>
            <w:noProof/>
            <w:sz w:val="22"/>
            <w:lang w:eastAsia="en-AU"/>
          </w:rPr>
          <w:tab/>
        </w:r>
        <w:r w:rsidR="00F83636" w:rsidRPr="00176854">
          <w:rPr>
            <w:rStyle w:val="Hyperlink"/>
            <w:noProof/>
          </w:rPr>
          <w:t>Lease Expiry, Office Type and Tenancy Size</w:t>
        </w:r>
        <w:r w:rsidR="00F83636">
          <w:rPr>
            <w:noProof/>
            <w:webHidden/>
          </w:rPr>
          <w:tab/>
        </w:r>
        <w:r w:rsidR="00F83636">
          <w:rPr>
            <w:noProof/>
            <w:webHidden/>
          </w:rPr>
          <w:fldChar w:fldCharType="begin"/>
        </w:r>
        <w:r w:rsidR="00F83636">
          <w:rPr>
            <w:noProof/>
            <w:webHidden/>
          </w:rPr>
          <w:instrText xml:space="preserve"> PAGEREF _Toc40455102 \h </w:instrText>
        </w:r>
        <w:r w:rsidR="00F83636">
          <w:rPr>
            <w:noProof/>
            <w:webHidden/>
          </w:rPr>
        </w:r>
        <w:r w:rsidR="00F83636">
          <w:rPr>
            <w:noProof/>
            <w:webHidden/>
          </w:rPr>
          <w:fldChar w:fldCharType="separate"/>
        </w:r>
        <w:r w:rsidR="00F83636">
          <w:rPr>
            <w:noProof/>
            <w:webHidden/>
          </w:rPr>
          <w:t>16</w:t>
        </w:r>
        <w:r w:rsidR="00F83636">
          <w:rPr>
            <w:noProof/>
            <w:webHidden/>
          </w:rPr>
          <w:fldChar w:fldCharType="end"/>
        </w:r>
      </w:hyperlink>
    </w:p>
    <w:p w14:paraId="4EFBF6B2" w14:textId="657F16C6" w:rsidR="00F83636" w:rsidRDefault="00176886">
      <w:pPr>
        <w:pStyle w:val="TOC2"/>
        <w:rPr>
          <w:rFonts w:eastAsiaTheme="minorEastAsia"/>
          <w:noProof/>
          <w:lang w:eastAsia="en-AU"/>
        </w:rPr>
      </w:pPr>
      <w:hyperlink w:anchor="_Toc40455103" w:history="1">
        <w:r w:rsidR="00F83636" w:rsidRPr="00176854">
          <w:rPr>
            <w:rStyle w:val="Hyperlink"/>
            <w:noProof/>
          </w:rPr>
          <w:t>3.1</w:t>
        </w:r>
        <w:r w:rsidR="00F83636">
          <w:rPr>
            <w:rFonts w:eastAsiaTheme="minorEastAsia"/>
            <w:noProof/>
            <w:lang w:eastAsia="en-AU"/>
          </w:rPr>
          <w:tab/>
        </w:r>
        <w:r w:rsidR="00F83636" w:rsidRPr="00176854">
          <w:rPr>
            <w:rStyle w:val="Hyperlink"/>
            <w:noProof/>
          </w:rPr>
          <w:t>Lease Expiry</w:t>
        </w:r>
        <w:r w:rsidR="00F83636">
          <w:rPr>
            <w:noProof/>
            <w:webHidden/>
          </w:rPr>
          <w:tab/>
        </w:r>
        <w:r w:rsidR="00F83636">
          <w:rPr>
            <w:noProof/>
            <w:webHidden/>
          </w:rPr>
          <w:fldChar w:fldCharType="begin"/>
        </w:r>
        <w:r w:rsidR="00F83636">
          <w:rPr>
            <w:noProof/>
            <w:webHidden/>
          </w:rPr>
          <w:instrText xml:space="preserve"> PAGEREF _Toc40455103 \h </w:instrText>
        </w:r>
        <w:r w:rsidR="00F83636">
          <w:rPr>
            <w:noProof/>
            <w:webHidden/>
          </w:rPr>
        </w:r>
        <w:r w:rsidR="00F83636">
          <w:rPr>
            <w:noProof/>
            <w:webHidden/>
          </w:rPr>
          <w:fldChar w:fldCharType="separate"/>
        </w:r>
        <w:r w:rsidR="00F83636">
          <w:rPr>
            <w:noProof/>
            <w:webHidden/>
          </w:rPr>
          <w:t>16</w:t>
        </w:r>
        <w:r w:rsidR="00F83636">
          <w:rPr>
            <w:noProof/>
            <w:webHidden/>
          </w:rPr>
          <w:fldChar w:fldCharType="end"/>
        </w:r>
      </w:hyperlink>
    </w:p>
    <w:p w14:paraId="3333F763" w14:textId="7B47E972" w:rsidR="00F83636" w:rsidRDefault="00176886">
      <w:pPr>
        <w:pStyle w:val="TOC2"/>
        <w:rPr>
          <w:rFonts w:eastAsiaTheme="minorEastAsia"/>
          <w:noProof/>
          <w:lang w:eastAsia="en-AU"/>
        </w:rPr>
      </w:pPr>
      <w:hyperlink w:anchor="_Toc40455104" w:history="1">
        <w:r w:rsidR="00F83636" w:rsidRPr="00176854">
          <w:rPr>
            <w:rStyle w:val="Hyperlink"/>
            <w:noProof/>
          </w:rPr>
          <w:t>3.2</w:t>
        </w:r>
        <w:r w:rsidR="00F83636">
          <w:rPr>
            <w:rFonts w:eastAsiaTheme="minorEastAsia"/>
            <w:noProof/>
            <w:lang w:eastAsia="en-AU"/>
          </w:rPr>
          <w:tab/>
        </w:r>
        <w:r w:rsidR="00F83636" w:rsidRPr="00176854">
          <w:rPr>
            <w:rStyle w:val="Hyperlink"/>
            <w:noProof/>
          </w:rPr>
          <w:t>Office Type</w:t>
        </w:r>
        <w:r w:rsidR="00F83636">
          <w:rPr>
            <w:noProof/>
            <w:webHidden/>
          </w:rPr>
          <w:tab/>
        </w:r>
        <w:r w:rsidR="00F83636">
          <w:rPr>
            <w:noProof/>
            <w:webHidden/>
          </w:rPr>
          <w:fldChar w:fldCharType="begin"/>
        </w:r>
        <w:r w:rsidR="00F83636">
          <w:rPr>
            <w:noProof/>
            <w:webHidden/>
          </w:rPr>
          <w:instrText xml:space="preserve"> PAGEREF _Toc40455104 \h </w:instrText>
        </w:r>
        <w:r w:rsidR="00F83636">
          <w:rPr>
            <w:noProof/>
            <w:webHidden/>
          </w:rPr>
        </w:r>
        <w:r w:rsidR="00F83636">
          <w:rPr>
            <w:noProof/>
            <w:webHidden/>
          </w:rPr>
          <w:fldChar w:fldCharType="separate"/>
        </w:r>
        <w:r w:rsidR="00F83636">
          <w:rPr>
            <w:noProof/>
            <w:webHidden/>
          </w:rPr>
          <w:t>17</w:t>
        </w:r>
        <w:r w:rsidR="00F83636">
          <w:rPr>
            <w:noProof/>
            <w:webHidden/>
          </w:rPr>
          <w:fldChar w:fldCharType="end"/>
        </w:r>
      </w:hyperlink>
    </w:p>
    <w:p w14:paraId="6BA659F1" w14:textId="0D22F57D" w:rsidR="00F83636" w:rsidRDefault="00176886">
      <w:pPr>
        <w:pStyle w:val="TOC1"/>
        <w:rPr>
          <w:rFonts w:eastAsiaTheme="minorEastAsia"/>
          <w:b w:val="0"/>
          <w:noProof/>
          <w:sz w:val="22"/>
          <w:lang w:eastAsia="en-AU"/>
        </w:rPr>
      </w:pPr>
      <w:hyperlink w:anchor="_Toc40455105" w:history="1">
        <w:r w:rsidR="00F83636" w:rsidRPr="00176854">
          <w:rPr>
            <w:rStyle w:val="Hyperlink"/>
            <w:noProof/>
          </w:rPr>
          <w:t>4.</w:t>
        </w:r>
        <w:r w:rsidR="00F83636">
          <w:rPr>
            <w:rFonts w:eastAsiaTheme="minorEastAsia"/>
            <w:b w:val="0"/>
            <w:noProof/>
            <w:sz w:val="22"/>
            <w:lang w:eastAsia="en-AU"/>
          </w:rPr>
          <w:tab/>
        </w:r>
        <w:r w:rsidR="00F83636" w:rsidRPr="00176854">
          <w:rPr>
            <w:rStyle w:val="Hyperlink"/>
            <w:noProof/>
          </w:rPr>
          <w:t>Largest Entities</w:t>
        </w:r>
        <w:r w:rsidR="00F83636">
          <w:rPr>
            <w:noProof/>
            <w:webHidden/>
          </w:rPr>
          <w:tab/>
        </w:r>
        <w:r w:rsidR="00F83636">
          <w:rPr>
            <w:noProof/>
            <w:webHidden/>
          </w:rPr>
          <w:fldChar w:fldCharType="begin"/>
        </w:r>
        <w:r w:rsidR="00F83636">
          <w:rPr>
            <w:noProof/>
            <w:webHidden/>
          </w:rPr>
          <w:instrText xml:space="preserve"> PAGEREF _Toc40455105 \h </w:instrText>
        </w:r>
        <w:r w:rsidR="00F83636">
          <w:rPr>
            <w:noProof/>
            <w:webHidden/>
          </w:rPr>
        </w:r>
        <w:r w:rsidR="00F83636">
          <w:rPr>
            <w:noProof/>
            <w:webHidden/>
          </w:rPr>
          <w:fldChar w:fldCharType="separate"/>
        </w:r>
        <w:r w:rsidR="00F83636">
          <w:rPr>
            <w:noProof/>
            <w:webHidden/>
          </w:rPr>
          <w:t>19</w:t>
        </w:r>
        <w:r w:rsidR="00F83636">
          <w:rPr>
            <w:noProof/>
            <w:webHidden/>
          </w:rPr>
          <w:fldChar w:fldCharType="end"/>
        </w:r>
      </w:hyperlink>
    </w:p>
    <w:p w14:paraId="67D56F9B" w14:textId="0D6850C8" w:rsidR="00F83636" w:rsidRDefault="00176886">
      <w:pPr>
        <w:pStyle w:val="TOC1"/>
        <w:rPr>
          <w:rFonts w:eastAsiaTheme="minorEastAsia"/>
          <w:b w:val="0"/>
          <w:noProof/>
          <w:sz w:val="22"/>
          <w:lang w:eastAsia="en-AU"/>
        </w:rPr>
      </w:pPr>
      <w:hyperlink w:anchor="_Toc40455106" w:history="1">
        <w:r w:rsidR="00F83636" w:rsidRPr="00176854">
          <w:rPr>
            <w:rStyle w:val="Hyperlink"/>
            <w:noProof/>
          </w:rPr>
          <w:t>Appendix A: Glossary of Terms and Concepts</w:t>
        </w:r>
        <w:r w:rsidR="00F83636">
          <w:rPr>
            <w:noProof/>
            <w:webHidden/>
          </w:rPr>
          <w:tab/>
        </w:r>
        <w:r w:rsidR="00F83636">
          <w:rPr>
            <w:noProof/>
            <w:webHidden/>
          </w:rPr>
          <w:fldChar w:fldCharType="begin"/>
        </w:r>
        <w:r w:rsidR="00F83636">
          <w:rPr>
            <w:noProof/>
            <w:webHidden/>
          </w:rPr>
          <w:instrText xml:space="preserve"> PAGEREF _Toc40455106 \h </w:instrText>
        </w:r>
        <w:r w:rsidR="00F83636">
          <w:rPr>
            <w:noProof/>
            <w:webHidden/>
          </w:rPr>
        </w:r>
        <w:r w:rsidR="00F83636">
          <w:rPr>
            <w:noProof/>
            <w:webHidden/>
          </w:rPr>
          <w:fldChar w:fldCharType="separate"/>
        </w:r>
        <w:r w:rsidR="00F83636">
          <w:rPr>
            <w:noProof/>
            <w:webHidden/>
          </w:rPr>
          <w:t>20</w:t>
        </w:r>
        <w:r w:rsidR="00F83636">
          <w:rPr>
            <w:noProof/>
            <w:webHidden/>
          </w:rPr>
          <w:fldChar w:fldCharType="end"/>
        </w:r>
      </w:hyperlink>
    </w:p>
    <w:p w14:paraId="02276D4C" w14:textId="5E8B2869" w:rsidR="00F83636" w:rsidRDefault="00176886">
      <w:pPr>
        <w:pStyle w:val="TOC1"/>
        <w:rPr>
          <w:rFonts w:eastAsiaTheme="minorEastAsia"/>
          <w:b w:val="0"/>
          <w:noProof/>
          <w:sz w:val="22"/>
          <w:lang w:eastAsia="en-AU"/>
        </w:rPr>
      </w:pPr>
      <w:hyperlink w:anchor="_Toc40455107" w:history="1">
        <w:r w:rsidR="00F83636" w:rsidRPr="00176854">
          <w:rPr>
            <w:rStyle w:val="Hyperlink"/>
            <w:noProof/>
          </w:rPr>
          <w:t>Appendix B: Technical Notes</w:t>
        </w:r>
        <w:r w:rsidR="00F83636">
          <w:rPr>
            <w:noProof/>
            <w:webHidden/>
          </w:rPr>
          <w:tab/>
        </w:r>
        <w:r w:rsidR="00F83636">
          <w:rPr>
            <w:noProof/>
            <w:webHidden/>
          </w:rPr>
          <w:fldChar w:fldCharType="begin"/>
        </w:r>
        <w:r w:rsidR="00F83636">
          <w:rPr>
            <w:noProof/>
            <w:webHidden/>
          </w:rPr>
          <w:instrText xml:space="preserve"> PAGEREF _Toc40455107 \h </w:instrText>
        </w:r>
        <w:r w:rsidR="00F83636">
          <w:rPr>
            <w:noProof/>
            <w:webHidden/>
          </w:rPr>
        </w:r>
        <w:r w:rsidR="00F83636">
          <w:rPr>
            <w:noProof/>
            <w:webHidden/>
          </w:rPr>
          <w:fldChar w:fldCharType="separate"/>
        </w:r>
        <w:r w:rsidR="00F83636">
          <w:rPr>
            <w:noProof/>
            <w:webHidden/>
          </w:rPr>
          <w:t>24</w:t>
        </w:r>
        <w:r w:rsidR="00F83636">
          <w:rPr>
            <w:noProof/>
            <w:webHidden/>
          </w:rPr>
          <w:fldChar w:fldCharType="end"/>
        </w:r>
      </w:hyperlink>
    </w:p>
    <w:p w14:paraId="3D98A3DF" w14:textId="00957AAD" w:rsidR="00F83636" w:rsidRDefault="00176886">
      <w:pPr>
        <w:pStyle w:val="TOC1"/>
        <w:rPr>
          <w:rFonts w:eastAsiaTheme="minorEastAsia"/>
          <w:b w:val="0"/>
          <w:noProof/>
          <w:sz w:val="22"/>
          <w:lang w:eastAsia="en-AU"/>
        </w:rPr>
      </w:pPr>
      <w:hyperlink w:anchor="_Toc40455108" w:history="1">
        <w:r w:rsidR="00F83636" w:rsidRPr="00176854">
          <w:rPr>
            <w:rStyle w:val="Hyperlink"/>
            <w:noProof/>
          </w:rPr>
          <w:t>Appendix C: Collection and Verification of Data</w:t>
        </w:r>
        <w:r w:rsidR="00F83636">
          <w:rPr>
            <w:noProof/>
            <w:webHidden/>
          </w:rPr>
          <w:tab/>
        </w:r>
        <w:r w:rsidR="00F83636">
          <w:rPr>
            <w:noProof/>
            <w:webHidden/>
          </w:rPr>
          <w:fldChar w:fldCharType="begin"/>
        </w:r>
        <w:r w:rsidR="00F83636">
          <w:rPr>
            <w:noProof/>
            <w:webHidden/>
          </w:rPr>
          <w:instrText xml:space="preserve"> PAGEREF _Toc40455108 \h </w:instrText>
        </w:r>
        <w:r w:rsidR="00F83636">
          <w:rPr>
            <w:noProof/>
            <w:webHidden/>
          </w:rPr>
        </w:r>
        <w:r w:rsidR="00F83636">
          <w:rPr>
            <w:noProof/>
            <w:webHidden/>
          </w:rPr>
          <w:fldChar w:fldCharType="separate"/>
        </w:r>
        <w:r w:rsidR="00F83636">
          <w:rPr>
            <w:noProof/>
            <w:webHidden/>
          </w:rPr>
          <w:t>24</w:t>
        </w:r>
        <w:r w:rsidR="00F83636">
          <w:rPr>
            <w:noProof/>
            <w:webHidden/>
          </w:rPr>
          <w:fldChar w:fldCharType="end"/>
        </w:r>
      </w:hyperlink>
    </w:p>
    <w:p w14:paraId="23D382C0" w14:textId="41017970" w:rsidR="00F83636" w:rsidRDefault="00176886">
      <w:pPr>
        <w:pStyle w:val="TOC1"/>
        <w:rPr>
          <w:rFonts w:eastAsiaTheme="minorEastAsia"/>
          <w:b w:val="0"/>
          <w:noProof/>
          <w:sz w:val="22"/>
          <w:lang w:eastAsia="en-AU"/>
        </w:rPr>
      </w:pPr>
      <w:hyperlink w:anchor="_Toc40455109" w:history="1">
        <w:r w:rsidR="00F83636" w:rsidRPr="00176854">
          <w:rPr>
            <w:rStyle w:val="Hyperlink"/>
            <w:noProof/>
          </w:rPr>
          <w:t>Appendix D: Sources</w:t>
        </w:r>
        <w:r w:rsidR="00F83636">
          <w:rPr>
            <w:noProof/>
            <w:webHidden/>
          </w:rPr>
          <w:tab/>
        </w:r>
        <w:r w:rsidR="00F83636">
          <w:rPr>
            <w:noProof/>
            <w:webHidden/>
          </w:rPr>
          <w:fldChar w:fldCharType="begin"/>
        </w:r>
        <w:r w:rsidR="00F83636">
          <w:rPr>
            <w:noProof/>
            <w:webHidden/>
          </w:rPr>
          <w:instrText xml:space="preserve"> PAGEREF _Toc40455109 \h </w:instrText>
        </w:r>
        <w:r w:rsidR="00F83636">
          <w:rPr>
            <w:noProof/>
            <w:webHidden/>
          </w:rPr>
        </w:r>
        <w:r w:rsidR="00F83636">
          <w:rPr>
            <w:noProof/>
            <w:webHidden/>
          </w:rPr>
          <w:fldChar w:fldCharType="separate"/>
        </w:r>
        <w:r w:rsidR="00F83636">
          <w:rPr>
            <w:noProof/>
            <w:webHidden/>
          </w:rPr>
          <w:t>24</w:t>
        </w:r>
        <w:r w:rsidR="00F83636">
          <w:rPr>
            <w:noProof/>
            <w:webHidden/>
          </w:rPr>
          <w:fldChar w:fldCharType="end"/>
        </w:r>
      </w:hyperlink>
    </w:p>
    <w:p w14:paraId="31F15CE9" w14:textId="4982DDF7" w:rsidR="0020122A" w:rsidRDefault="0020122A" w:rsidP="001D7EB4">
      <w:r>
        <w:fldChar w:fldCharType="end"/>
      </w:r>
      <w:r>
        <w:br w:type="page"/>
      </w:r>
    </w:p>
    <w:p w14:paraId="13861823" w14:textId="3EE4E4D2" w:rsidR="004E058F" w:rsidRDefault="006D57E9" w:rsidP="006D57E9">
      <w:pPr>
        <w:pStyle w:val="Heading1Numbered"/>
      </w:pPr>
      <w:bookmarkStart w:id="1" w:name="_Toc40455093"/>
      <w:r>
        <w:t>Executive Summary</w:t>
      </w:r>
      <w:bookmarkEnd w:id="1"/>
    </w:p>
    <w:p w14:paraId="7B159C4A" w14:textId="044DB198" w:rsidR="007B0BBF" w:rsidRDefault="007B0BBF" w:rsidP="007B0BBF">
      <w:r>
        <w:t xml:space="preserve">The 2019 Australian Government </w:t>
      </w:r>
      <w:r w:rsidR="002E1A5F">
        <w:t xml:space="preserve">Office </w:t>
      </w:r>
      <w:r>
        <w:t xml:space="preserve">Occupancy Report (Occupancy Report) shows </w:t>
      </w:r>
      <w:r w:rsidR="004C2224">
        <w:t xml:space="preserve">that key indicators measuring </w:t>
      </w:r>
      <w:r>
        <w:t xml:space="preserve">the Commonwealth’s leased office footprint </w:t>
      </w:r>
      <w:r w:rsidR="004C2224">
        <w:t>have remained relatively stable</w:t>
      </w:r>
      <w:r>
        <w:t>.</w:t>
      </w:r>
    </w:p>
    <w:p w14:paraId="1FA7C1B8" w14:textId="4033F711" w:rsidR="00DE0657" w:rsidRPr="00B960B2" w:rsidRDefault="007B0BBF" w:rsidP="00FB3455">
      <w:r>
        <w:t>The 2019 results show</w:t>
      </w:r>
      <w:r w:rsidR="00670A4E">
        <w:t xml:space="preserve"> small</w:t>
      </w:r>
      <w:r>
        <w:t xml:space="preserve"> </w:t>
      </w:r>
      <w:r w:rsidRPr="00424133">
        <w:t xml:space="preserve">increases in the </w:t>
      </w:r>
      <w:r w:rsidR="001E0850" w:rsidRPr="00424133">
        <w:t xml:space="preserve">overall </w:t>
      </w:r>
      <w:r w:rsidRPr="00424133">
        <w:t xml:space="preserve">number of tenancies and the amount of </w:t>
      </w:r>
      <w:r w:rsidR="00D9192D">
        <w:t>controlled</w:t>
      </w:r>
      <w:r w:rsidRPr="00424133">
        <w:t xml:space="preserve"> area when compared to 2018</w:t>
      </w:r>
      <w:r w:rsidR="000236D1" w:rsidRPr="00424133">
        <w:t>.</w:t>
      </w:r>
      <w:r w:rsidRPr="00424133">
        <w:t xml:space="preserve"> </w:t>
      </w:r>
      <w:r w:rsidR="00E22709">
        <w:t>These increases are due to the</w:t>
      </w:r>
      <w:r w:rsidR="004A588E">
        <w:t xml:space="preserve"> addition </w:t>
      </w:r>
      <w:r w:rsidR="00E22709">
        <w:t>of</w:t>
      </w:r>
      <w:r w:rsidR="004A588E">
        <w:t xml:space="preserve"> new tenancies </w:t>
      </w:r>
      <w:r w:rsidR="00E22709">
        <w:t>and</w:t>
      </w:r>
      <w:r w:rsidR="004A588E">
        <w:t xml:space="preserve"> a greater number of existing tenancies now meeting the threshold for reporting</w:t>
      </w:r>
      <w:r w:rsidR="00E22709" w:rsidDel="00E22709">
        <w:t xml:space="preserve"> </w:t>
      </w:r>
      <w:r w:rsidR="004A588E">
        <w:t>(500 square metres (m</w:t>
      </w:r>
      <w:r w:rsidR="004A588E" w:rsidRPr="00556F8F">
        <w:rPr>
          <w:vertAlign w:val="superscript"/>
        </w:rPr>
        <w:t>2</w:t>
      </w:r>
      <w:r w:rsidR="004A588E">
        <w:t>) of usable office area)</w:t>
      </w:r>
      <w:r w:rsidR="00E22709">
        <w:t xml:space="preserve"> by increasing their usable office area</w:t>
      </w:r>
      <w:r w:rsidR="0010314B">
        <w:t xml:space="preserve"> (refer to section 1.4 for more detail)</w:t>
      </w:r>
      <w:r w:rsidR="004A588E">
        <w:t>.</w:t>
      </w:r>
      <w:r w:rsidR="00FB3455" w:rsidRPr="00B960B2">
        <w:t xml:space="preserve"> </w:t>
      </w:r>
      <w:r w:rsidR="00DE0657" w:rsidRPr="00B960B2">
        <w:t>Overall, when factoring in all</w:t>
      </w:r>
      <w:r w:rsidR="00D40455" w:rsidRPr="00B960B2">
        <w:t xml:space="preserve"> </w:t>
      </w:r>
      <w:r w:rsidR="00DB1094" w:rsidRPr="00B960B2">
        <w:t xml:space="preserve">non-corporate Commonwealth entity </w:t>
      </w:r>
      <w:r w:rsidR="00DE0657" w:rsidRPr="00B960B2">
        <w:t>tenancies regardless of size</w:t>
      </w:r>
      <w:r w:rsidR="00202C26">
        <w:t>,</w:t>
      </w:r>
      <w:r w:rsidR="00DE0657" w:rsidRPr="00B960B2">
        <w:t xml:space="preserve"> the Commonwealth's office space footprint has grown by </w:t>
      </w:r>
      <w:r w:rsidR="00202C26" w:rsidRPr="00B960B2">
        <w:t xml:space="preserve">only </w:t>
      </w:r>
      <w:r w:rsidR="00DE0657" w:rsidRPr="00B960B2">
        <w:t>0.4</w:t>
      </w:r>
      <w:r w:rsidR="00FB3455" w:rsidRPr="00B960B2">
        <w:t> </w:t>
      </w:r>
      <w:r w:rsidR="00DE0657" w:rsidRPr="00B960B2">
        <w:t>per</w:t>
      </w:r>
      <w:r w:rsidR="00FB3455" w:rsidRPr="00B960B2">
        <w:t> </w:t>
      </w:r>
      <w:r w:rsidR="00DE0657" w:rsidRPr="00B960B2">
        <w:t>cent.</w:t>
      </w:r>
    </w:p>
    <w:p w14:paraId="0719B7B3" w14:textId="2F2E7EE9" w:rsidR="007B0BBF" w:rsidRDefault="000236D1" w:rsidP="007B0BBF">
      <w:r w:rsidRPr="00B960B2">
        <w:t>Key indicators including fit-out density and occupational density have remained</w:t>
      </w:r>
      <w:r>
        <w:t xml:space="preserve"> relatively stable. T</w:t>
      </w:r>
      <w:r w:rsidR="00B447E6">
        <w:t>he average cost per square metre and average cost per work</w:t>
      </w:r>
      <w:r w:rsidR="00B447E6">
        <w:noBreakHyphen/>
        <w:t xml:space="preserve">point have decreased. </w:t>
      </w:r>
    </w:p>
    <w:p w14:paraId="66300619" w14:textId="50DD573B" w:rsidR="007B0BBF" w:rsidRDefault="00A95D8D" w:rsidP="007B0BBF">
      <w:r>
        <w:t xml:space="preserve">While the work-point vacancy rate increased slightly </w:t>
      </w:r>
      <w:r w:rsidR="009E4D24">
        <w:t>in 2019</w:t>
      </w:r>
      <w:r>
        <w:t xml:space="preserve"> due to a modest increase in </w:t>
      </w:r>
      <w:r w:rsidR="00666061">
        <w:t xml:space="preserve">total </w:t>
      </w:r>
      <w:r>
        <w:t xml:space="preserve">work-points not matched </w:t>
      </w:r>
      <w:r w:rsidR="00784DCD">
        <w:t>by</w:t>
      </w:r>
      <w:r>
        <w:t xml:space="preserve"> the increase in </w:t>
      </w:r>
      <w:r w:rsidR="00666061">
        <w:t xml:space="preserve">total </w:t>
      </w:r>
      <w:r>
        <w:t>staff</w:t>
      </w:r>
      <w:r w:rsidR="004B61BC">
        <w:t>, t</w:t>
      </w:r>
      <w:r w:rsidR="007B0BBF">
        <w:t xml:space="preserve">he number of vacant work-points is expected </w:t>
      </w:r>
      <w:r w:rsidR="007B0BBF" w:rsidRPr="00567A8E">
        <w:t xml:space="preserve">to </w:t>
      </w:r>
      <w:r w:rsidR="004B61BC">
        <w:t xml:space="preserve">return to trend and </w:t>
      </w:r>
      <w:r w:rsidR="007B0BBF" w:rsidRPr="00567A8E">
        <w:t>fall as entities continue to fill vacant space or move into more efficient tenancies. Both fit</w:t>
      </w:r>
      <w:r w:rsidR="00B676EF">
        <w:noBreakHyphen/>
      </w:r>
      <w:r w:rsidR="007B0BBF" w:rsidRPr="00567A8E">
        <w:t>out density and occupational density are expected to improve as leases for older tenancies expire and are replaced by tenancies with more efficient work space.</w:t>
      </w:r>
    </w:p>
    <w:p w14:paraId="713635AA" w14:textId="77777777" w:rsidR="00B50F85" w:rsidRDefault="00F618F4" w:rsidP="007B0BBF">
      <w:pPr>
        <w:rPr>
          <w:noProof/>
        </w:rPr>
      </w:pPr>
      <w:r>
        <w:t xml:space="preserve">The 2019 Occupancy Report includes cost indicators and private-sector benchmarking for the first time. These new indicators help to provide a more complete picture of </w:t>
      </w:r>
      <w:r w:rsidRPr="00031A19">
        <w:rPr>
          <w:noProof/>
        </w:rPr>
        <w:t xml:space="preserve">Commonwealth property performance and increase transparency </w:t>
      </w:r>
      <w:r>
        <w:rPr>
          <w:noProof/>
        </w:rPr>
        <w:t>around</w:t>
      </w:r>
      <w:r w:rsidRPr="00031A19">
        <w:rPr>
          <w:noProof/>
        </w:rPr>
        <w:t xml:space="preserve"> government expenditure on office accommodation.</w:t>
      </w:r>
      <w:r>
        <w:rPr>
          <w:noProof/>
        </w:rPr>
        <w:t xml:space="preserve"> </w:t>
      </w:r>
    </w:p>
    <w:p w14:paraId="1C87DD63" w14:textId="7250321A" w:rsidR="00F618F4" w:rsidRDefault="00F618F4" w:rsidP="007B0BBF">
      <w:r>
        <w:rPr>
          <w:noProof/>
        </w:rPr>
        <w:t>This information, together with other d</w:t>
      </w:r>
      <w:r>
        <w:t xml:space="preserve">ata collected through the </w:t>
      </w:r>
      <w:r w:rsidR="00B676EF">
        <w:t>Australian Government Property Register (AGPR)</w:t>
      </w:r>
      <w:r>
        <w:t>, provides an evidence base t</w:t>
      </w:r>
      <w:r w:rsidRPr="001812FF">
        <w:t xml:space="preserve">o </w:t>
      </w:r>
      <w:r>
        <w:t>assist</w:t>
      </w:r>
      <w:r w:rsidRPr="001812FF">
        <w:t xml:space="preserve"> entities</w:t>
      </w:r>
      <w:r>
        <w:t xml:space="preserve"> to</w:t>
      </w:r>
      <w:r w:rsidRPr="001812FF">
        <w:t xml:space="preserve"> identify and progressively </w:t>
      </w:r>
      <w:r>
        <w:t>implement</w:t>
      </w:r>
      <w:r w:rsidRPr="001812FF">
        <w:t xml:space="preserve"> better property management practices, whil</w:t>
      </w:r>
      <w:r>
        <w:t>e</w:t>
      </w:r>
      <w:r w:rsidRPr="001812FF">
        <w:t xml:space="preserve"> also informing </w:t>
      </w:r>
      <w:r>
        <w:t xml:space="preserve">decisions in relation to whole-of-government </w:t>
      </w:r>
      <w:r w:rsidRPr="001812FF">
        <w:t>leasing</w:t>
      </w:r>
      <w:r>
        <w:t xml:space="preserve"> and property</w:t>
      </w:r>
      <w:r w:rsidRPr="001812FF">
        <w:t xml:space="preserve"> policy</w:t>
      </w:r>
      <w:r>
        <w:t>.</w:t>
      </w:r>
    </w:p>
    <w:p w14:paraId="1A58A0C1" w14:textId="77777777" w:rsidR="006D57E9" w:rsidRPr="00D23804" w:rsidRDefault="00B67257" w:rsidP="00FD1681">
      <w:pPr>
        <w:pStyle w:val="Heading2Numbered"/>
        <w:numPr>
          <w:ilvl w:val="1"/>
          <w:numId w:val="4"/>
        </w:numPr>
      </w:pPr>
      <w:bookmarkStart w:id="2" w:name="_Toc40455094"/>
      <w:r w:rsidRPr="00D23804">
        <w:t>Overview</w:t>
      </w:r>
      <w:bookmarkEnd w:id="2"/>
    </w:p>
    <w:p w14:paraId="551BBBC4" w14:textId="5591332C" w:rsidR="004658AF" w:rsidRPr="00F77C5E" w:rsidRDefault="004658AF" w:rsidP="004658AF">
      <w:r>
        <w:t xml:space="preserve">The </w:t>
      </w:r>
      <w:r w:rsidR="00F77C5E">
        <w:t>Occupancy Report</w:t>
      </w:r>
      <w:r>
        <w:t xml:space="preserve"> </w:t>
      </w:r>
      <w:r w:rsidR="00935D37">
        <w:t>includes</w:t>
      </w:r>
      <w:r w:rsidR="00F77C5E">
        <w:t xml:space="preserve"> office accommodation that is leased or owned by </w:t>
      </w:r>
      <w:r w:rsidR="00981664">
        <w:t>n</w:t>
      </w:r>
      <w:r>
        <w:t>on</w:t>
      </w:r>
      <w:r w:rsidR="00D90320">
        <w:noBreakHyphen/>
      </w:r>
      <w:r w:rsidR="00981664">
        <w:t>c</w:t>
      </w:r>
      <w:r>
        <w:t xml:space="preserve">orporate Commonwealth </w:t>
      </w:r>
      <w:r w:rsidR="00981664">
        <w:t>e</w:t>
      </w:r>
      <w:r>
        <w:t>ntities</w:t>
      </w:r>
      <w:r w:rsidR="00F77C5E">
        <w:t xml:space="preserve"> (entities) </w:t>
      </w:r>
      <w:r w:rsidR="00E512B8">
        <w:t>with</w:t>
      </w:r>
      <w:r w:rsidR="00BB39B8">
        <w:t xml:space="preserve"> </w:t>
      </w:r>
      <w:r w:rsidR="00F77C5E">
        <w:t>at</w:t>
      </w:r>
      <w:r w:rsidR="0015585B">
        <w:t xml:space="preserve"> least 500</w:t>
      </w:r>
      <w:r w:rsidR="00DA12A4" w:rsidDel="00DA12A4">
        <w:t xml:space="preserve"> </w:t>
      </w:r>
      <w:r>
        <w:t>m</w:t>
      </w:r>
      <w:r w:rsidR="0015585B" w:rsidRPr="0015585B">
        <w:rPr>
          <w:vertAlign w:val="superscript"/>
        </w:rPr>
        <w:t>2</w:t>
      </w:r>
      <w:r>
        <w:t xml:space="preserve"> of </w:t>
      </w:r>
      <w:r w:rsidR="00474747">
        <w:t>u</w:t>
      </w:r>
      <w:r>
        <w:t xml:space="preserve">sable </w:t>
      </w:r>
      <w:r w:rsidR="00474747">
        <w:t xml:space="preserve">office area </w:t>
      </w:r>
      <w:r w:rsidR="00F77C5E">
        <w:t xml:space="preserve">as at </w:t>
      </w:r>
      <w:r w:rsidR="00F77C5E" w:rsidRPr="00B05E1C">
        <w:t xml:space="preserve">30 June </w:t>
      </w:r>
      <w:r w:rsidR="00980F71" w:rsidRPr="00B05E1C">
        <w:t>2019</w:t>
      </w:r>
      <w:r w:rsidR="00F77C5E" w:rsidRPr="00B05E1C">
        <w:t>.</w:t>
      </w:r>
      <w:r w:rsidR="008C76C3" w:rsidDel="008C76C3">
        <w:t xml:space="preserve"> </w:t>
      </w:r>
    </w:p>
    <w:p w14:paraId="23FF3C20" w14:textId="6250D58B" w:rsidR="00F77C5E" w:rsidRDefault="00F77C5E" w:rsidP="004658AF">
      <w:r>
        <w:t>Data is collected through the AGPR</w:t>
      </w:r>
      <w:r w:rsidR="00F30C56">
        <w:t>,</w:t>
      </w:r>
      <w:r>
        <w:t xml:space="preserve"> which entities </w:t>
      </w:r>
      <w:r w:rsidR="004B61BC">
        <w:t xml:space="preserve">(through their Property Service Providers) </w:t>
      </w:r>
      <w:r>
        <w:t>are required to update</w:t>
      </w:r>
      <w:r w:rsidR="007452A0">
        <w:t xml:space="preserve"> </w:t>
      </w:r>
      <w:r w:rsidR="003A4695">
        <w:t>annually</w:t>
      </w:r>
      <w:r w:rsidR="005B1264">
        <w:t xml:space="preserve"> in August</w:t>
      </w:r>
      <w:r>
        <w:t>.</w:t>
      </w:r>
    </w:p>
    <w:p w14:paraId="11B25D03" w14:textId="49DD1C4B" w:rsidR="00947A4A" w:rsidRDefault="00947A4A" w:rsidP="004658AF">
      <w:r>
        <w:t>T</w:t>
      </w:r>
      <w:r w:rsidRPr="00BA0E13">
        <w:t>he point</w:t>
      </w:r>
      <w:r>
        <w:t>-</w:t>
      </w:r>
      <w:r w:rsidRPr="00BA0E13">
        <w:t>in</w:t>
      </w:r>
      <w:r>
        <w:t>-</w:t>
      </w:r>
      <w:r w:rsidRPr="00BA0E13">
        <w:t xml:space="preserve">time nature of collecting </w:t>
      </w:r>
      <w:r w:rsidR="009E4D24">
        <w:t>this</w:t>
      </w:r>
      <w:r w:rsidR="009E4D24" w:rsidRPr="00BA0E13">
        <w:t xml:space="preserve"> </w:t>
      </w:r>
      <w:r w:rsidRPr="00BA0E13">
        <w:t>information</w:t>
      </w:r>
      <w:r>
        <w:t xml:space="preserve"> adds</w:t>
      </w:r>
      <w:r w:rsidRPr="00BA0E13">
        <w:t xml:space="preserve"> a degree of volatility </w:t>
      </w:r>
      <w:r>
        <w:t>to</w:t>
      </w:r>
      <w:r w:rsidRPr="00BA0E13">
        <w:t xml:space="preserve"> annual results. However, the information </w:t>
      </w:r>
      <w:r w:rsidR="006A56CE">
        <w:t>provides an</w:t>
      </w:r>
      <w:r w:rsidRPr="00BA0E13">
        <w:t xml:space="preserve"> understand</w:t>
      </w:r>
      <w:r w:rsidR="006A56CE">
        <w:t>ing of</w:t>
      </w:r>
      <w:r w:rsidRPr="00BA0E13">
        <w:t xml:space="preserve"> the medium and long-term trends, especially </w:t>
      </w:r>
      <w:r w:rsidR="00AB3441">
        <w:t>given</w:t>
      </w:r>
      <w:r w:rsidR="00AB3441" w:rsidRPr="00BA0E13">
        <w:t xml:space="preserve"> </w:t>
      </w:r>
      <w:r w:rsidR="009E4D24">
        <w:t xml:space="preserve">the impact of </w:t>
      </w:r>
      <w:r w:rsidRPr="00BA0E13">
        <w:t>leasing decision</w:t>
      </w:r>
      <w:r w:rsidR="009E4D24">
        <w:t>s</w:t>
      </w:r>
      <w:r w:rsidR="00E20867">
        <w:t xml:space="preserve"> </w:t>
      </w:r>
      <w:r w:rsidR="009E4D24">
        <w:t>are evident over</w:t>
      </w:r>
      <w:r w:rsidRPr="00BA0E13">
        <w:t xml:space="preserve"> many years.</w:t>
      </w:r>
      <w:r w:rsidR="003A4695">
        <w:t xml:space="preserve"> Likewise, the length of leases </w:t>
      </w:r>
      <w:r w:rsidR="00C41F45">
        <w:t xml:space="preserve">can </w:t>
      </w:r>
      <w:r w:rsidR="009E4D24">
        <w:t xml:space="preserve">mean changes in </w:t>
      </w:r>
      <w:r w:rsidR="003A4695">
        <w:t xml:space="preserve">outcomes </w:t>
      </w:r>
      <w:r w:rsidR="00394E95">
        <w:t xml:space="preserve">may </w:t>
      </w:r>
      <w:r w:rsidR="003A4695">
        <w:t>take</w:t>
      </w:r>
      <w:r w:rsidR="00394E95">
        <w:t xml:space="preserve"> some</w:t>
      </w:r>
      <w:r w:rsidR="003A4695">
        <w:t xml:space="preserve"> time to be </w:t>
      </w:r>
      <w:r w:rsidR="009E4D24">
        <w:t>reflected in the data</w:t>
      </w:r>
      <w:r w:rsidR="003A4695">
        <w:t>.</w:t>
      </w:r>
    </w:p>
    <w:p w14:paraId="5A669228" w14:textId="77777777" w:rsidR="0081788A" w:rsidRDefault="001812FF" w:rsidP="0081788A">
      <w:pPr>
        <w:pStyle w:val="Heading2Numbered"/>
      </w:pPr>
      <w:bookmarkStart w:id="3" w:name="_Toc39753288"/>
      <w:bookmarkStart w:id="4" w:name="_Toc40455095"/>
      <w:bookmarkEnd w:id="3"/>
      <w:r>
        <w:t>P</w:t>
      </w:r>
      <w:r w:rsidR="007747BD">
        <w:t>olicy</w:t>
      </w:r>
      <w:r>
        <w:t xml:space="preserve"> Context</w:t>
      </w:r>
      <w:bookmarkEnd w:id="4"/>
    </w:p>
    <w:p w14:paraId="2C01E393" w14:textId="69EF0053" w:rsidR="001812FF" w:rsidRDefault="005D0BBA" w:rsidP="001812FF">
      <w:r>
        <w:t xml:space="preserve">The </w:t>
      </w:r>
      <w:r w:rsidR="005A5682" w:rsidRPr="005A5682">
        <w:rPr>
          <w:i/>
        </w:rPr>
        <w:t>Commonwealth Property Management Framework</w:t>
      </w:r>
      <w:r w:rsidR="005A5682">
        <w:t xml:space="preserve"> (Resource Management Guide 500) provides the foundation for achieving value for money and promoting the efficient, effective, economical and ethical management of owned and leased Commonwealth property in Australia, including external territories.</w:t>
      </w:r>
      <w:r w:rsidR="005A019C">
        <w:t xml:space="preserve"> </w:t>
      </w:r>
      <w:r>
        <w:t>The</w:t>
      </w:r>
      <w:r w:rsidR="00B1110C">
        <w:t xml:space="preserve"> </w:t>
      </w:r>
      <w:r w:rsidR="005A5682">
        <w:t xml:space="preserve">Framework outlines the requirement for entities to seek </w:t>
      </w:r>
      <w:r w:rsidR="00F618F4">
        <w:t>to</w:t>
      </w:r>
      <w:r w:rsidR="006932B3">
        <w:t xml:space="preserve"> </w:t>
      </w:r>
      <w:r w:rsidR="005A5682">
        <w:t xml:space="preserve">minimise surplus office space, and </w:t>
      </w:r>
      <w:r>
        <w:t>includes</w:t>
      </w:r>
      <w:r w:rsidR="001A6D7F">
        <w:t xml:space="preserve"> the</w:t>
      </w:r>
      <w:r>
        <w:t>:</w:t>
      </w:r>
    </w:p>
    <w:p w14:paraId="359C4D40" w14:textId="579138B1" w:rsidR="00B6123B" w:rsidRDefault="005A5682" w:rsidP="00FD1681">
      <w:pPr>
        <w:pStyle w:val="ListParagraph"/>
        <w:numPr>
          <w:ilvl w:val="0"/>
          <w:numId w:val="9"/>
        </w:numPr>
        <w:ind w:left="714" w:hanging="357"/>
        <w:contextualSpacing w:val="0"/>
      </w:pPr>
      <w:r w:rsidRPr="00DF1805">
        <w:rPr>
          <w:u w:val="single"/>
        </w:rPr>
        <w:t>P</w:t>
      </w:r>
      <w:r w:rsidR="005D0BBA" w:rsidRPr="00DF1805">
        <w:rPr>
          <w:u w:val="single"/>
        </w:rPr>
        <w:t xml:space="preserve">roperty </w:t>
      </w:r>
      <w:r w:rsidRPr="00DF1805">
        <w:rPr>
          <w:u w:val="single"/>
        </w:rPr>
        <w:t>S</w:t>
      </w:r>
      <w:r w:rsidR="005D0BBA" w:rsidRPr="00DF1805">
        <w:rPr>
          <w:u w:val="single"/>
        </w:rPr>
        <w:t xml:space="preserve">ervices </w:t>
      </w:r>
      <w:r w:rsidRPr="00DF1805">
        <w:rPr>
          <w:u w:val="single"/>
        </w:rPr>
        <w:t xml:space="preserve">Coordinated Procurement </w:t>
      </w:r>
      <w:r w:rsidR="00B6123B" w:rsidRPr="00DF1805">
        <w:rPr>
          <w:u w:val="single"/>
        </w:rPr>
        <w:t>arrangements</w:t>
      </w:r>
      <w:r w:rsidR="00B6123B">
        <w:t xml:space="preserve"> that</w:t>
      </w:r>
      <w:r w:rsidR="00B6123B" w:rsidRPr="00DF1805">
        <w:t xml:space="preserve"> </w:t>
      </w:r>
      <w:r w:rsidR="0003724F">
        <w:t>are improving the efficiency of property services across the Commonwealth and maximising the value for money that can be achieved by consolidating the Commonwealth’s purchasing power</w:t>
      </w:r>
      <w:r w:rsidR="00B6123B" w:rsidRPr="00DF1805">
        <w:t xml:space="preserve">. The </w:t>
      </w:r>
      <w:r w:rsidR="00B6123B" w:rsidRPr="009F6A29">
        <w:t>a</w:t>
      </w:r>
      <w:r w:rsidR="00B6123B" w:rsidRPr="00DF1805">
        <w:t>rrangements cover leasing</w:t>
      </w:r>
      <w:r w:rsidR="0003724F">
        <w:t xml:space="preserve"> and</w:t>
      </w:r>
      <w:r w:rsidR="00B6123B" w:rsidRPr="00DF1805">
        <w:t xml:space="preserve"> facilities management services</w:t>
      </w:r>
      <w:r w:rsidR="0003724F">
        <w:t xml:space="preserve"> for Commonwealth domestic office accommodation and shopfronts for </w:t>
      </w:r>
      <w:r w:rsidR="003050AF">
        <w:t>entities</w:t>
      </w:r>
      <w:r w:rsidR="0003724F">
        <w:t>;</w:t>
      </w:r>
      <w:r w:rsidR="00163DB0">
        <w:t xml:space="preserve"> </w:t>
      </w:r>
    </w:p>
    <w:p w14:paraId="7B02A5BD" w14:textId="2888F36D" w:rsidR="00BE7026" w:rsidRDefault="00B6123B" w:rsidP="009F6A29">
      <w:pPr>
        <w:pStyle w:val="ListParagraph"/>
        <w:numPr>
          <w:ilvl w:val="0"/>
          <w:numId w:val="9"/>
        </w:numPr>
        <w:ind w:left="714" w:hanging="357"/>
        <w:contextualSpacing w:val="0"/>
      </w:pPr>
      <w:r w:rsidRPr="00404F12">
        <w:rPr>
          <w:u w:val="single"/>
        </w:rPr>
        <w:t>Commonwealth Leasing Strategy</w:t>
      </w:r>
      <w:r w:rsidR="00BE7026">
        <w:rPr>
          <w:u w:val="single"/>
        </w:rPr>
        <w:t xml:space="preserve"> (CLS)</w:t>
      </w:r>
      <w:r w:rsidR="00BE7026">
        <w:t xml:space="preserve"> that provides a </w:t>
      </w:r>
      <w:r w:rsidR="000C06FB">
        <w:t>w</w:t>
      </w:r>
      <w:r w:rsidR="00BE7026">
        <w:t>hole-of-</w:t>
      </w:r>
      <w:r w:rsidR="000C06FB">
        <w:t>g</w:t>
      </w:r>
      <w:r w:rsidR="00BE7026">
        <w:t xml:space="preserve">overnment strategic plan for office and shopfront leases held by </w:t>
      </w:r>
      <w:r w:rsidR="003050AF">
        <w:t xml:space="preserve">entities </w:t>
      </w:r>
      <w:r w:rsidR="00BE7026">
        <w:t>over a ten year period. The CLS considers leases from a strategic, value for money perspective and provides leasing recommendation</w:t>
      </w:r>
      <w:r w:rsidR="009E4D24">
        <w:t>s</w:t>
      </w:r>
      <w:r w:rsidR="00BE7026">
        <w:t xml:space="preserve"> for all in-scope leases, based on commercial market advice. The CLS promotes efficiencies in occupied space and reduced leasing costs, while continuing to prioritise the operational requirements of the leasing entities; and</w:t>
      </w:r>
    </w:p>
    <w:p w14:paraId="016991AB" w14:textId="036FD8DF" w:rsidR="007660D9" w:rsidRDefault="000716D9" w:rsidP="00DF1805">
      <w:pPr>
        <w:pStyle w:val="ListParagraph"/>
        <w:numPr>
          <w:ilvl w:val="0"/>
          <w:numId w:val="9"/>
        </w:numPr>
        <w:ind w:left="714" w:hanging="357"/>
        <w:contextualSpacing w:val="0"/>
      </w:pPr>
      <w:r>
        <w:t xml:space="preserve">Government’s </w:t>
      </w:r>
      <w:r w:rsidRPr="00DF1805">
        <w:rPr>
          <w:u w:val="single"/>
        </w:rPr>
        <w:t>occupational density target</w:t>
      </w:r>
      <w:r>
        <w:t xml:space="preserve"> </w:t>
      </w:r>
      <w:r w:rsidR="006550CD">
        <w:t>of</w:t>
      </w:r>
      <w:r>
        <w:t xml:space="preserve"> 14 m</w:t>
      </w:r>
      <w:r w:rsidRPr="00DF1805">
        <w:rPr>
          <w:vertAlign w:val="superscript"/>
        </w:rPr>
        <w:t>2</w:t>
      </w:r>
      <w:r>
        <w:t xml:space="preserve"> of usable office area per occupied work-point</w:t>
      </w:r>
      <w:r w:rsidR="00163DB0">
        <w:t>,</w:t>
      </w:r>
      <w:r>
        <w:t xml:space="preserve"> </w:t>
      </w:r>
      <w:r w:rsidR="00D2182B">
        <w:t xml:space="preserve">which </w:t>
      </w:r>
      <w:r w:rsidR="006C0B36">
        <w:t xml:space="preserve">was introduced </w:t>
      </w:r>
      <w:r w:rsidR="00D2182B">
        <w:t xml:space="preserve">in </w:t>
      </w:r>
      <w:r w:rsidR="006C0B36">
        <w:t xml:space="preserve">May </w:t>
      </w:r>
      <w:r w:rsidR="00D2182B">
        <w:t>2013</w:t>
      </w:r>
      <w:r w:rsidR="00E9273B">
        <w:t>.</w:t>
      </w:r>
    </w:p>
    <w:p w14:paraId="3797301B" w14:textId="590D790E" w:rsidR="00A7091A" w:rsidRPr="000D3AF8" w:rsidRDefault="000716D9" w:rsidP="000D3AF8">
      <w:r>
        <w:t>All new leases are expecte</w:t>
      </w:r>
      <w:r w:rsidR="006550CD">
        <w:t>d</w:t>
      </w:r>
      <w:r>
        <w:t xml:space="preserve"> to meet the occupational density target. </w:t>
      </w:r>
      <w:r w:rsidR="007660D9">
        <w:t>Entities consider the occupational density target when</w:t>
      </w:r>
      <w:r>
        <w:t xml:space="preserve"> undertaking planning and throughout the property management lifecycle, including when</w:t>
      </w:r>
      <w:r w:rsidR="007660D9">
        <w:t xml:space="preserve"> negotiating new leases</w:t>
      </w:r>
      <w:r w:rsidR="00EA4DE3">
        <w:t>,</w:t>
      </w:r>
      <w:r w:rsidR="007660D9">
        <w:t xml:space="preserve"> considering a major fit-out</w:t>
      </w:r>
      <w:r w:rsidR="00664373">
        <w:t>,</w:t>
      </w:r>
      <w:r w:rsidR="007660D9">
        <w:t xml:space="preserve"> refurbishment of existing office space</w:t>
      </w:r>
      <w:r w:rsidR="00EA4DE3">
        <w:t>, or to determine if</w:t>
      </w:r>
      <w:r w:rsidR="007660D9">
        <w:t xml:space="preserve"> surplus office space</w:t>
      </w:r>
      <w:r w:rsidR="00EA4DE3">
        <w:t xml:space="preserve"> or work-points could be sub-leased</w:t>
      </w:r>
      <w:r w:rsidR="007660D9">
        <w:t>.</w:t>
      </w:r>
      <w:r w:rsidR="007660D9" w:rsidRPr="000D3AF8" w:rsidDel="007660D9">
        <w:t xml:space="preserve"> </w:t>
      </w:r>
    </w:p>
    <w:p w14:paraId="11E3FB7D" w14:textId="0B29F223" w:rsidR="005D0BBA" w:rsidRDefault="005D0BBA" w:rsidP="007660D9">
      <w:pPr>
        <w:pStyle w:val="Heading2Numbered"/>
      </w:pPr>
      <w:bookmarkStart w:id="5" w:name="_Toc40455096"/>
      <w:r>
        <w:t xml:space="preserve">Key </w:t>
      </w:r>
      <w:r w:rsidR="003A4695">
        <w:t>Terminology</w:t>
      </w:r>
      <w:bookmarkEnd w:id="5"/>
    </w:p>
    <w:p w14:paraId="67F40064" w14:textId="336EFBD0" w:rsidR="0005722A" w:rsidRDefault="009013BB" w:rsidP="007660D9">
      <w:r>
        <w:t xml:space="preserve">A complete glossary of terms and concepts is provided at </w:t>
      </w:r>
      <w:r w:rsidRPr="00127EBB">
        <w:rPr>
          <w:u w:val="single"/>
        </w:rPr>
        <w:t xml:space="preserve">Appendix </w:t>
      </w:r>
      <w:r w:rsidR="004E5E3D">
        <w:rPr>
          <w:u w:val="single"/>
        </w:rPr>
        <w:t>A</w:t>
      </w:r>
      <w:r>
        <w:t xml:space="preserve">. </w:t>
      </w:r>
    </w:p>
    <w:p w14:paraId="3A8D9DC5" w14:textId="143B9DDE" w:rsidR="002E1A5F" w:rsidRPr="00127EBB" w:rsidRDefault="002E1A5F" w:rsidP="002E1A5F">
      <w:pPr>
        <w:rPr>
          <w:rFonts w:cstheme="minorHAnsi"/>
        </w:rPr>
      </w:pPr>
      <w:r w:rsidRPr="002E1A5F">
        <w:rPr>
          <w:rFonts w:cstheme="minorHAnsi"/>
        </w:rPr>
        <w:t>Previous editions of the Occupancy Report use net lettable area as the standard measure of space within a tenancy. This year’s Occupancy Report uses controlled area as the standard measure. This provides a more accurate measurement of space at a whole</w:t>
      </w:r>
      <w:r w:rsidRPr="002E1A5F">
        <w:rPr>
          <w:rFonts w:cstheme="minorHAnsi"/>
        </w:rPr>
        <w:noBreakHyphen/>
        <w:t>of</w:t>
      </w:r>
      <w:r w:rsidRPr="002E1A5F">
        <w:rPr>
          <w:rFonts w:cstheme="minorHAnsi"/>
        </w:rPr>
        <w:noBreakHyphen/>
        <w:t>government level</w:t>
      </w:r>
      <w:r w:rsidRPr="002E1A5F">
        <w:t xml:space="preserve"> </w:t>
      </w:r>
      <w:r w:rsidRPr="002E1A5F">
        <w:rPr>
          <w:rFonts w:cstheme="minorHAnsi"/>
        </w:rPr>
        <w:t xml:space="preserve">and a more accurate picture of the Commonwealth’s overall footprint because it separately accounts for sub-leased space and avoids any double counting of sub-leased space. Figures from prior years have been adjusted in this Occupancy Report to reflect controlled area to ensure consistency, however this does not result in any material changes to results between years. </w:t>
      </w:r>
      <w:r w:rsidRPr="002E1A5F">
        <w:t xml:space="preserve">Refer to </w:t>
      </w:r>
      <w:r w:rsidRPr="002E1A5F">
        <w:rPr>
          <w:u w:val="single"/>
        </w:rPr>
        <w:t>Appendix B</w:t>
      </w:r>
      <w:r w:rsidRPr="002E1A5F">
        <w:t xml:space="preserve"> for more details.</w:t>
      </w:r>
    </w:p>
    <w:p w14:paraId="72339F9B" w14:textId="43514DEB" w:rsidR="005D0BBA" w:rsidRDefault="00E139BF" w:rsidP="007660D9">
      <w:r>
        <w:t>Frequently used t</w:t>
      </w:r>
      <w:r w:rsidR="003A4695">
        <w:t xml:space="preserve">erminology </w:t>
      </w:r>
      <w:r w:rsidR="004D7F2F">
        <w:t>include</w:t>
      </w:r>
      <w:r w:rsidR="009013BB">
        <w:t>s</w:t>
      </w:r>
      <w:r w:rsidR="004D7F2F">
        <w:t>:</w:t>
      </w:r>
    </w:p>
    <w:p w14:paraId="417EFC2A" w14:textId="6B930A09" w:rsidR="005D0BBA" w:rsidRDefault="005D0BBA" w:rsidP="007660D9">
      <w:r w:rsidRPr="001812FF">
        <w:rPr>
          <w:u w:val="single"/>
        </w:rPr>
        <w:t xml:space="preserve">Net </w:t>
      </w:r>
      <w:r w:rsidR="00774530" w:rsidRPr="001812FF">
        <w:rPr>
          <w:u w:val="single"/>
        </w:rPr>
        <w:t>lettable area</w:t>
      </w:r>
      <w:r w:rsidR="00774530">
        <w:t xml:space="preserve"> </w:t>
      </w:r>
      <w:r w:rsidR="00BB39B8">
        <w:t xml:space="preserve">which </w:t>
      </w:r>
      <w:r>
        <w:t xml:space="preserve">represents the total office space of </w:t>
      </w:r>
      <w:r w:rsidR="009E4D24">
        <w:t xml:space="preserve">a </w:t>
      </w:r>
      <w:r>
        <w:t>tenancy</w:t>
      </w:r>
      <w:r w:rsidR="00AB3441">
        <w:t>;</w:t>
      </w:r>
      <w:r>
        <w:t xml:space="preserve"> this is measured in square metres (</w:t>
      </w:r>
      <w:r w:rsidR="006A0D28">
        <w:t>m</w:t>
      </w:r>
      <w:r w:rsidR="006A0D28" w:rsidRPr="0015585B">
        <w:rPr>
          <w:vertAlign w:val="superscript"/>
        </w:rPr>
        <w:t>2</w:t>
      </w:r>
      <w:r>
        <w:t xml:space="preserve">) and is the area between internal </w:t>
      </w:r>
      <w:r w:rsidR="00935D37">
        <w:t>walls</w:t>
      </w:r>
      <w:r>
        <w:t xml:space="preserve"> of a building that is being leased.</w:t>
      </w:r>
    </w:p>
    <w:p w14:paraId="6978324C" w14:textId="4980246C" w:rsidR="005A5E0E" w:rsidRPr="005A5E0E" w:rsidRDefault="005A5E0E" w:rsidP="007660D9">
      <w:r>
        <w:rPr>
          <w:u w:val="single"/>
        </w:rPr>
        <w:t xml:space="preserve">Controlled </w:t>
      </w:r>
      <w:r w:rsidR="00774530">
        <w:rPr>
          <w:u w:val="single"/>
        </w:rPr>
        <w:t>area</w:t>
      </w:r>
      <w:r w:rsidR="00774530">
        <w:t xml:space="preserve"> </w:t>
      </w:r>
      <w:r w:rsidR="00F23ECA">
        <w:t xml:space="preserve">is the </w:t>
      </w:r>
      <w:r w:rsidR="00774530" w:rsidRPr="00394C60">
        <w:rPr>
          <w:i/>
        </w:rPr>
        <w:t>net lettable area</w:t>
      </w:r>
      <w:r w:rsidR="00774530">
        <w:t xml:space="preserve"> </w:t>
      </w:r>
      <w:r w:rsidR="00F23ECA">
        <w:t>of a tenancy, minus any area that has been sub</w:t>
      </w:r>
      <w:r w:rsidR="0005722A">
        <w:t>-</w:t>
      </w:r>
      <w:r w:rsidR="00F23ECA">
        <w:t>le</w:t>
      </w:r>
      <w:r w:rsidR="007947B4">
        <w:t>t</w:t>
      </w:r>
      <w:r w:rsidR="00F23ECA">
        <w:t xml:space="preserve"> to a third party. </w:t>
      </w:r>
      <w:r w:rsidR="0005722A" w:rsidRPr="005A5E0E">
        <w:t xml:space="preserve"> </w:t>
      </w:r>
    </w:p>
    <w:p w14:paraId="3F9C9EAA" w14:textId="3614BA11" w:rsidR="005D0BBA" w:rsidRDefault="005D0BBA" w:rsidP="007660D9">
      <w:r w:rsidRPr="001812FF">
        <w:rPr>
          <w:u w:val="single"/>
        </w:rPr>
        <w:t xml:space="preserve">Usable </w:t>
      </w:r>
      <w:r w:rsidR="00774530" w:rsidRPr="001812FF">
        <w:rPr>
          <w:u w:val="single"/>
        </w:rPr>
        <w:t>office area</w:t>
      </w:r>
      <w:r w:rsidR="00774530">
        <w:t xml:space="preserve"> </w:t>
      </w:r>
      <w:r>
        <w:t xml:space="preserve">is the </w:t>
      </w:r>
      <w:r w:rsidR="00774530" w:rsidRPr="00394C60">
        <w:rPr>
          <w:i/>
        </w:rPr>
        <w:t>controlled area</w:t>
      </w:r>
      <w:r w:rsidR="00774530">
        <w:t xml:space="preserve"> </w:t>
      </w:r>
      <w:r>
        <w:t>of a tenancy, minus any area that is deemed unsuitable for office</w:t>
      </w:r>
      <w:r w:rsidR="00AB3441">
        <w:t xml:space="preserve"> </w:t>
      </w:r>
      <w:r>
        <w:t>work.</w:t>
      </w:r>
      <w:r w:rsidR="00935D37">
        <w:t xml:space="preserve"> The definition of what makes an area unsuitable for office</w:t>
      </w:r>
      <w:r w:rsidR="00AB3441">
        <w:t xml:space="preserve"> </w:t>
      </w:r>
      <w:r w:rsidR="00935D37">
        <w:t xml:space="preserve">work is explained at </w:t>
      </w:r>
      <w:r w:rsidR="00935D37" w:rsidRPr="00127EBB">
        <w:rPr>
          <w:u w:val="single"/>
        </w:rPr>
        <w:t xml:space="preserve">Appendix </w:t>
      </w:r>
      <w:r w:rsidR="0041669A">
        <w:rPr>
          <w:u w:val="single"/>
        </w:rPr>
        <w:t>A</w:t>
      </w:r>
      <w:r w:rsidR="00935D37">
        <w:t>.</w:t>
      </w:r>
    </w:p>
    <w:p w14:paraId="767FBD91" w14:textId="78364299" w:rsidR="005D0BBA" w:rsidRPr="001812FF" w:rsidRDefault="005D0BBA" w:rsidP="005D0BBA">
      <w:r>
        <w:rPr>
          <w:u w:val="single"/>
        </w:rPr>
        <w:t xml:space="preserve">Work-point </w:t>
      </w:r>
      <w:r w:rsidR="00774530">
        <w:rPr>
          <w:u w:val="single"/>
        </w:rPr>
        <w:t>vacancy rate</w:t>
      </w:r>
      <w:r w:rsidR="00774530">
        <w:t xml:space="preserve"> </w:t>
      </w:r>
      <w:r>
        <w:t xml:space="preserve">is the number of vacant work-points expressed as a percentage of total work-points. </w:t>
      </w:r>
    </w:p>
    <w:p w14:paraId="1D984D67" w14:textId="74E9E24D" w:rsidR="005D0BBA" w:rsidRDefault="005D0BBA" w:rsidP="005D0BBA">
      <w:r w:rsidRPr="00BA0E13">
        <w:rPr>
          <w:u w:val="single"/>
        </w:rPr>
        <w:t xml:space="preserve">Fit-out </w:t>
      </w:r>
      <w:r w:rsidR="00774530" w:rsidRPr="00BA0E13">
        <w:rPr>
          <w:u w:val="single"/>
        </w:rPr>
        <w:t>density</w:t>
      </w:r>
      <w:r w:rsidR="00774530" w:rsidRPr="00BA0E13">
        <w:t xml:space="preserve"> </w:t>
      </w:r>
      <w:r w:rsidRPr="00BA0E13">
        <w:t xml:space="preserve">is the square metres of </w:t>
      </w:r>
      <w:r w:rsidRPr="00394C60">
        <w:rPr>
          <w:i/>
        </w:rPr>
        <w:t xml:space="preserve">usable office </w:t>
      </w:r>
      <w:r w:rsidR="00394C60" w:rsidRPr="00394C60">
        <w:rPr>
          <w:i/>
        </w:rPr>
        <w:t>area</w:t>
      </w:r>
      <w:r w:rsidR="00394C60" w:rsidRPr="00BA0E13">
        <w:t xml:space="preserve"> </w:t>
      </w:r>
      <w:r>
        <w:t>divided by the total</w:t>
      </w:r>
      <w:r w:rsidRPr="00BA0E13">
        <w:t xml:space="preserve"> number of work</w:t>
      </w:r>
      <w:r>
        <w:noBreakHyphen/>
      </w:r>
      <w:r w:rsidRPr="00BA0E13">
        <w:t xml:space="preserve">points (both vacant and occupied).  </w:t>
      </w:r>
    </w:p>
    <w:p w14:paraId="76DE2748" w14:textId="2DE7993C" w:rsidR="005D0BBA" w:rsidRDefault="005D0BBA" w:rsidP="005D0BBA">
      <w:r w:rsidRPr="00BA0E13">
        <w:rPr>
          <w:u w:val="single"/>
        </w:rPr>
        <w:t xml:space="preserve">Occupational </w:t>
      </w:r>
      <w:r w:rsidR="00774530" w:rsidRPr="00BA0E13">
        <w:rPr>
          <w:u w:val="single"/>
        </w:rPr>
        <w:t>density</w:t>
      </w:r>
      <w:r w:rsidR="00774530" w:rsidRPr="00BA0E13">
        <w:t xml:space="preserve"> </w:t>
      </w:r>
      <w:r w:rsidRPr="00BA0E13">
        <w:t>is the square metres of</w:t>
      </w:r>
      <w:r>
        <w:t xml:space="preserve"> </w:t>
      </w:r>
      <w:r w:rsidRPr="00394C60">
        <w:rPr>
          <w:i/>
        </w:rPr>
        <w:t xml:space="preserve">usable office </w:t>
      </w:r>
      <w:r w:rsidR="00394C60" w:rsidRPr="00394C60">
        <w:rPr>
          <w:i/>
        </w:rPr>
        <w:t>area</w:t>
      </w:r>
      <w:r w:rsidR="00394C60">
        <w:t xml:space="preserve"> </w:t>
      </w:r>
      <w:r>
        <w:t>divided</w:t>
      </w:r>
      <w:r w:rsidRPr="00BA0E13">
        <w:t xml:space="preserve"> by the number of </w:t>
      </w:r>
      <w:r w:rsidRPr="00394C60">
        <w:rPr>
          <w:i/>
        </w:rPr>
        <w:t>work-points</w:t>
      </w:r>
      <w:r w:rsidRPr="00BA0E13">
        <w:t xml:space="preserve"> that are occupie</w:t>
      </w:r>
      <w:r>
        <w:t>d.</w:t>
      </w:r>
      <w:r w:rsidRPr="00BA0E13">
        <w:t xml:space="preserve"> </w:t>
      </w:r>
    </w:p>
    <w:p w14:paraId="09EB5527" w14:textId="7FA039C8" w:rsidR="000716D9" w:rsidRDefault="000716D9" w:rsidP="000716D9">
      <w:r>
        <w:rPr>
          <w:u w:val="single"/>
        </w:rPr>
        <w:t>Net tenancy expenditure</w:t>
      </w:r>
      <w:r>
        <w:t xml:space="preserve"> is the total annual rent (GST inclusive) expense of each lease for all areas within the tenancy.</w:t>
      </w:r>
    </w:p>
    <w:p w14:paraId="242E6E4B" w14:textId="77777777" w:rsidR="000716D9" w:rsidRDefault="000716D9" w:rsidP="000716D9">
      <w:r w:rsidRPr="00127EBB">
        <w:rPr>
          <w:u w:val="single"/>
        </w:rPr>
        <w:t>Cost per square metre</w:t>
      </w:r>
      <w:r>
        <w:t xml:space="preserve"> is the </w:t>
      </w:r>
      <w:r w:rsidRPr="00394C60">
        <w:rPr>
          <w:i/>
        </w:rPr>
        <w:t>net tenancy expenditure</w:t>
      </w:r>
      <w:r>
        <w:t xml:space="preserve"> divided by the </w:t>
      </w:r>
      <w:r w:rsidRPr="00394C60">
        <w:rPr>
          <w:i/>
        </w:rPr>
        <w:t>controlled area</w:t>
      </w:r>
      <w:r>
        <w:t>.</w:t>
      </w:r>
    </w:p>
    <w:p w14:paraId="244A04C5" w14:textId="77777777" w:rsidR="000716D9" w:rsidRDefault="000716D9" w:rsidP="000716D9">
      <w:r w:rsidRPr="00127EBB">
        <w:rPr>
          <w:u w:val="single"/>
        </w:rPr>
        <w:t>Cost per staff</w:t>
      </w:r>
      <w:r>
        <w:t xml:space="preserve"> is the </w:t>
      </w:r>
      <w:r w:rsidRPr="00394C60">
        <w:rPr>
          <w:i/>
        </w:rPr>
        <w:t>net tenancy expenditure</w:t>
      </w:r>
      <w:r>
        <w:t xml:space="preserve"> divided by the number of </w:t>
      </w:r>
      <w:r w:rsidRPr="00394C60">
        <w:rPr>
          <w:i/>
        </w:rPr>
        <w:t>staff</w:t>
      </w:r>
      <w:r>
        <w:t>.</w:t>
      </w:r>
    </w:p>
    <w:p w14:paraId="415AF8BF" w14:textId="58043C7A" w:rsidR="000716D9" w:rsidRPr="00DF1805" w:rsidRDefault="000716D9" w:rsidP="002D2E27">
      <w:r w:rsidRPr="00127EBB">
        <w:rPr>
          <w:u w:val="single"/>
        </w:rPr>
        <w:t>Cost per work-point</w:t>
      </w:r>
      <w:r>
        <w:t xml:space="preserve"> is the </w:t>
      </w:r>
      <w:r w:rsidRPr="00394C60">
        <w:rPr>
          <w:i/>
        </w:rPr>
        <w:t>net tenancy expenditure</w:t>
      </w:r>
      <w:r>
        <w:t xml:space="preserve"> divided by the number of </w:t>
      </w:r>
      <w:r w:rsidRPr="00394C60">
        <w:rPr>
          <w:i/>
        </w:rPr>
        <w:t>work-points</w:t>
      </w:r>
      <w:r>
        <w:t>.</w:t>
      </w:r>
    </w:p>
    <w:p w14:paraId="04644045" w14:textId="6B78BB30" w:rsidR="006D57E9" w:rsidRDefault="006D57E9" w:rsidP="00FD1681">
      <w:pPr>
        <w:pStyle w:val="Heading2Numbered"/>
        <w:numPr>
          <w:ilvl w:val="1"/>
          <w:numId w:val="4"/>
        </w:numPr>
      </w:pPr>
      <w:bookmarkStart w:id="6" w:name="_Toc40455097"/>
      <w:r>
        <w:t>Key Findings</w:t>
      </w:r>
      <w:bookmarkEnd w:id="6"/>
    </w:p>
    <w:p w14:paraId="1F5C0E08" w14:textId="568D2C38" w:rsidR="007311B9" w:rsidRPr="00A85262" w:rsidRDefault="007311B9" w:rsidP="007311B9">
      <w:pPr>
        <w:pStyle w:val="Caption"/>
        <w:keepNext/>
      </w:pPr>
      <w:r w:rsidRPr="00A85262">
        <w:t>Table 1</w:t>
      </w:r>
      <w:r>
        <w:t>a</w:t>
      </w:r>
      <w:r w:rsidRPr="00A85262">
        <w:t xml:space="preserve">: Size of Commonwealth footprint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6"/>
        <w:gridCol w:w="1320"/>
        <w:gridCol w:w="1320"/>
        <w:gridCol w:w="1320"/>
      </w:tblGrid>
      <w:tr w:rsidR="007A408A" w:rsidRPr="0043442B" w14:paraId="2AF49916" w14:textId="77777777" w:rsidTr="00DF1805">
        <w:trPr>
          <w:trHeight w:val="300"/>
          <w:jc w:val="center"/>
        </w:trPr>
        <w:tc>
          <w:tcPr>
            <w:tcW w:w="2804" w:type="pct"/>
            <w:shd w:val="clear" w:color="auto" w:fill="E7E7E7" w:themeFill="text2" w:themeFillTint="1A"/>
            <w:vAlign w:val="center"/>
          </w:tcPr>
          <w:p w14:paraId="29931230" w14:textId="77777777" w:rsidR="007A408A" w:rsidRPr="0043442B" w:rsidRDefault="007A408A" w:rsidP="00DF1805">
            <w:pPr>
              <w:suppressAutoHyphens w:val="0"/>
              <w:spacing w:before="0" w:after="0" w:line="240" w:lineRule="auto"/>
              <w:rPr>
                <w:rFonts w:ascii="Calibri" w:hAnsi="Calibri" w:cs="Calibri"/>
                <w:sz w:val="20"/>
              </w:rPr>
            </w:pPr>
            <w:r w:rsidRPr="0043442B">
              <w:rPr>
                <w:rFonts w:ascii="Calibri" w:hAnsi="Calibri" w:cs="Calibri"/>
                <w:sz w:val="20"/>
              </w:rPr>
              <w:t>Measure</w:t>
            </w:r>
          </w:p>
        </w:tc>
        <w:tc>
          <w:tcPr>
            <w:tcW w:w="732" w:type="pct"/>
            <w:shd w:val="clear" w:color="auto" w:fill="E7E7E7" w:themeFill="text2" w:themeFillTint="1A"/>
            <w:vAlign w:val="center"/>
          </w:tcPr>
          <w:p w14:paraId="49341D9A" w14:textId="4DACB410" w:rsidR="007A408A" w:rsidRPr="00B05E1C" w:rsidRDefault="007A408A" w:rsidP="00DF1805">
            <w:pPr>
              <w:suppressAutoHyphens w:val="0"/>
              <w:spacing w:before="0" w:after="0" w:line="240" w:lineRule="auto"/>
              <w:jc w:val="right"/>
              <w:rPr>
                <w:rFonts w:ascii="Calibri" w:hAnsi="Calibri" w:cs="Calibri"/>
                <w:b/>
                <w:sz w:val="20"/>
              </w:rPr>
            </w:pPr>
            <w:r w:rsidRPr="00B05E1C">
              <w:rPr>
                <w:rFonts w:ascii="Calibri" w:hAnsi="Calibri" w:cs="Calibri"/>
                <w:b/>
                <w:sz w:val="20"/>
              </w:rPr>
              <w:t>2019</w:t>
            </w:r>
          </w:p>
        </w:tc>
        <w:tc>
          <w:tcPr>
            <w:tcW w:w="732" w:type="pct"/>
            <w:shd w:val="clear" w:color="auto" w:fill="E7E7E7" w:themeFill="text2" w:themeFillTint="1A"/>
            <w:vAlign w:val="center"/>
          </w:tcPr>
          <w:p w14:paraId="0C5DCE2D" w14:textId="7F826A47" w:rsidR="007A408A" w:rsidRPr="0043442B" w:rsidRDefault="007A408A" w:rsidP="00DF1805">
            <w:pPr>
              <w:suppressAutoHyphens w:val="0"/>
              <w:spacing w:before="0" w:after="0" w:line="240" w:lineRule="auto"/>
              <w:jc w:val="right"/>
              <w:rPr>
                <w:rFonts w:ascii="Calibri" w:hAnsi="Calibri" w:cs="Calibri"/>
                <w:sz w:val="20"/>
              </w:rPr>
            </w:pPr>
            <w:r w:rsidRPr="0043442B">
              <w:rPr>
                <w:rFonts w:ascii="Calibri" w:hAnsi="Calibri" w:cs="Calibri"/>
                <w:sz w:val="20"/>
              </w:rPr>
              <w:t>2018</w:t>
            </w:r>
          </w:p>
        </w:tc>
        <w:tc>
          <w:tcPr>
            <w:tcW w:w="732" w:type="pct"/>
            <w:shd w:val="clear" w:color="auto" w:fill="E7E7E7" w:themeFill="text2" w:themeFillTint="1A"/>
            <w:vAlign w:val="center"/>
          </w:tcPr>
          <w:p w14:paraId="59E9BA02" w14:textId="7E5F9C69" w:rsidR="007A408A" w:rsidRPr="0043442B" w:rsidRDefault="007A408A" w:rsidP="00DF1805">
            <w:pPr>
              <w:suppressAutoHyphens w:val="0"/>
              <w:spacing w:before="0" w:after="0" w:line="240" w:lineRule="auto"/>
              <w:jc w:val="right"/>
              <w:rPr>
                <w:rFonts w:ascii="Calibri" w:hAnsi="Calibri" w:cs="Calibri"/>
                <w:sz w:val="20"/>
              </w:rPr>
            </w:pPr>
            <w:r w:rsidRPr="0043442B">
              <w:rPr>
                <w:rFonts w:ascii="Calibri" w:hAnsi="Calibri" w:cs="Calibri"/>
                <w:sz w:val="20"/>
              </w:rPr>
              <w:t>2017</w:t>
            </w:r>
          </w:p>
        </w:tc>
      </w:tr>
      <w:tr w:rsidR="007A408A" w:rsidRPr="0043442B" w14:paraId="774D2EDE" w14:textId="77777777" w:rsidTr="00BD6A02">
        <w:trPr>
          <w:trHeight w:val="300"/>
          <w:jc w:val="center"/>
        </w:trPr>
        <w:tc>
          <w:tcPr>
            <w:tcW w:w="2804" w:type="pct"/>
            <w:shd w:val="clear" w:color="auto" w:fill="auto"/>
            <w:vAlign w:val="center"/>
            <w:hideMark/>
          </w:tcPr>
          <w:p w14:paraId="04A1A182" w14:textId="77777777" w:rsidR="007A408A" w:rsidRPr="0043442B" w:rsidRDefault="007A408A" w:rsidP="00BD6A02">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Tenancies (n)</w:t>
            </w:r>
          </w:p>
        </w:tc>
        <w:tc>
          <w:tcPr>
            <w:tcW w:w="732" w:type="pct"/>
            <w:vAlign w:val="center"/>
          </w:tcPr>
          <w:p w14:paraId="65493134" w14:textId="07824645" w:rsidR="007A408A" w:rsidRPr="00B05E1C" w:rsidRDefault="007A408A" w:rsidP="00BD6A02">
            <w:pPr>
              <w:suppressAutoHyphens w:val="0"/>
              <w:spacing w:before="0" w:after="0" w:line="240" w:lineRule="auto"/>
              <w:jc w:val="right"/>
              <w:rPr>
                <w:rFonts w:ascii="Calibri" w:hAnsi="Calibri" w:cs="Calibri"/>
                <w:b/>
                <w:sz w:val="20"/>
                <w:szCs w:val="20"/>
              </w:rPr>
            </w:pPr>
            <w:r w:rsidRPr="00B05E1C">
              <w:rPr>
                <w:rFonts w:ascii="Calibri" w:hAnsi="Calibri" w:cs="Calibri"/>
                <w:b/>
                <w:sz w:val="20"/>
                <w:szCs w:val="20"/>
              </w:rPr>
              <w:t>568</w:t>
            </w:r>
          </w:p>
        </w:tc>
        <w:tc>
          <w:tcPr>
            <w:tcW w:w="732" w:type="pct"/>
            <w:vAlign w:val="center"/>
          </w:tcPr>
          <w:p w14:paraId="7BF8E43F" w14:textId="6F6087DE" w:rsidR="007A408A" w:rsidRPr="0043442B" w:rsidRDefault="007A408A" w:rsidP="00BD6A02">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541</w:t>
            </w:r>
          </w:p>
        </w:tc>
        <w:tc>
          <w:tcPr>
            <w:tcW w:w="732" w:type="pct"/>
            <w:vAlign w:val="center"/>
          </w:tcPr>
          <w:p w14:paraId="4E7C6EB1" w14:textId="350062E1" w:rsidR="007A408A" w:rsidRPr="0043442B" w:rsidRDefault="007A408A" w:rsidP="00BD6A02">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596</w:t>
            </w:r>
          </w:p>
        </w:tc>
      </w:tr>
      <w:tr w:rsidR="00F23ECA" w:rsidRPr="007A7245" w14:paraId="075C6696" w14:textId="77777777" w:rsidTr="00BD6A02">
        <w:trPr>
          <w:trHeight w:val="300"/>
          <w:jc w:val="center"/>
        </w:trPr>
        <w:tc>
          <w:tcPr>
            <w:tcW w:w="2804" w:type="pct"/>
            <w:shd w:val="clear" w:color="auto" w:fill="auto"/>
            <w:vAlign w:val="center"/>
          </w:tcPr>
          <w:p w14:paraId="6CDD0522" w14:textId="28B2D4A7" w:rsidR="00F23ECA" w:rsidRPr="0043442B" w:rsidRDefault="00F23ECA" w:rsidP="00BD6A02">
            <w:pPr>
              <w:suppressAutoHyphens w:val="0"/>
              <w:spacing w:before="0" w:after="0" w:line="240" w:lineRule="auto"/>
              <w:rPr>
                <w:rFonts w:ascii="Calibri" w:hAnsi="Calibri" w:cs="Calibri"/>
                <w:sz w:val="20"/>
              </w:rPr>
            </w:pPr>
            <w:r>
              <w:rPr>
                <w:rFonts w:ascii="Calibri" w:hAnsi="Calibri" w:cs="Calibri"/>
                <w:sz w:val="20"/>
              </w:rPr>
              <w:t>Controlled Area</w:t>
            </w:r>
            <w:r w:rsidR="00A71503">
              <w:rPr>
                <w:rFonts w:ascii="Calibri" w:hAnsi="Calibri" w:cs="Calibri"/>
                <w:sz w:val="20"/>
              </w:rPr>
              <w:t xml:space="preserve"> (m</w:t>
            </w:r>
            <w:r w:rsidR="00A71503" w:rsidRPr="00127EBB">
              <w:rPr>
                <w:rFonts w:ascii="Calibri" w:hAnsi="Calibri" w:cs="Calibri"/>
                <w:sz w:val="20"/>
                <w:vertAlign w:val="superscript"/>
              </w:rPr>
              <w:t>2</w:t>
            </w:r>
            <w:r w:rsidR="00A71503">
              <w:rPr>
                <w:rFonts w:ascii="Calibri" w:hAnsi="Calibri" w:cs="Calibri"/>
                <w:sz w:val="20"/>
              </w:rPr>
              <w:t>)</w:t>
            </w:r>
          </w:p>
        </w:tc>
        <w:tc>
          <w:tcPr>
            <w:tcW w:w="732" w:type="pct"/>
            <w:vAlign w:val="center"/>
          </w:tcPr>
          <w:p w14:paraId="761AE7D4" w14:textId="1BF67214" w:rsidR="00F23ECA" w:rsidRPr="00844AB6" w:rsidRDefault="00F23ECA" w:rsidP="00BD6A02">
            <w:pPr>
              <w:suppressAutoHyphens w:val="0"/>
              <w:spacing w:before="0" w:after="0" w:line="240" w:lineRule="auto"/>
              <w:jc w:val="right"/>
              <w:rPr>
                <w:rFonts w:ascii="Calibri" w:hAnsi="Calibri" w:cs="Calibri"/>
                <w:b/>
                <w:sz w:val="20"/>
              </w:rPr>
            </w:pPr>
            <w:r w:rsidRPr="00127EBB">
              <w:rPr>
                <w:rFonts w:ascii="Calibri" w:hAnsi="Calibri" w:cs="Calibri"/>
                <w:b/>
                <w:sz w:val="20"/>
              </w:rPr>
              <w:t>2,838,345</w:t>
            </w:r>
          </w:p>
        </w:tc>
        <w:tc>
          <w:tcPr>
            <w:tcW w:w="732" w:type="pct"/>
            <w:vAlign w:val="center"/>
          </w:tcPr>
          <w:p w14:paraId="013CA13D" w14:textId="4D153EB0" w:rsidR="00F23ECA" w:rsidRPr="00844AB6" w:rsidRDefault="00F23ECA" w:rsidP="00BD6A02">
            <w:pPr>
              <w:suppressAutoHyphens w:val="0"/>
              <w:spacing w:before="0" w:after="0" w:line="240" w:lineRule="auto"/>
              <w:jc w:val="right"/>
              <w:rPr>
                <w:rFonts w:ascii="Calibri" w:hAnsi="Calibri" w:cs="Calibri"/>
                <w:sz w:val="20"/>
                <w:szCs w:val="20"/>
              </w:rPr>
            </w:pPr>
            <w:r w:rsidRPr="00127EBB">
              <w:rPr>
                <w:rFonts w:ascii="Calibri" w:hAnsi="Calibri" w:cs="Calibri"/>
                <w:sz w:val="20"/>
                <w:szCs w:val="20"/>
              </w:rPr>
              <w:t>2,744,222</w:t>
            </w:r>
          </w:p>
        </w:tc>
        <w:tc>
          <w:tcPr>
            <w:tcW w:w="732" w:type="pct"/>
            <w:vAlign w:val="center"/>
          </w:tcPr>
          <w:p w14:paraId="0E023FF6" w14:textId="37434618" w:rsidR="00F23ECA" w:rsidRPr="00844AB6" w:rsidRDefault="00F23ECA" w:rsidP="00BD6A02">
            <w:pPr>
              <w:suppressAutoHyphens w:val="0"/>
              <w:spacing w:before="0" w:after="0" w:line="240" w:lineRule="auto"/>
              <w:jc w:val="right"/>
              <w:rPr>
                <w:rFonts w:ascii="Calibri" w:hAnsi="Calibri" w:cs="Calibri"/>
                <w:sz w:val="20"/>
                <w:szCs w:val="20"/>
              </w:rPr>
            </w:pPr>
            <w:r w:rsidRPr="00127EBB">
              <w:rPr>
                <w:rFonts w:ascii="Calibri" w:hAnsi="Calibri" w:cs="Calibri"/>
                <w:sz w:val="20"/>
                <w:szCs w:val="20"/>
              </w:rPr>
              <w:t>2,765,630</w:t>
            </w:r>
          </w:p>
        </w:tc>
      </w:tr>
      <w:tr w:rsidR="007A408A" w:rsidRPr="0043442B" w14:paraId="17A08956" w14:textId="77777777" w:rsidTr="00BD6A02">
        <w:trPr>
          <w:trHeight w:val="300"/>
          <w:jc w:val="center"/>
        </w:trPr>
        <w:tc>
          <w:tcPr>
            <w:tcW w:w="2804" w:type="pct"/>
            <w:shd w:val="clear" w:color="auto" w:fill="auto"/>
            <w:vAlign w:val="center"/>
            <w:hideMark/>
          </w:tcPr>
          <w:p w14:paraId="36FD9720" w14:textId="77777777" w:rsidR="007A408A" w:rsidRPr="0043442B" w:rsidRDefault="007A408A" w:rsidP="00BD6A02">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Usable Office Area (m²)</w:t>
            </w:r>
          </w:p>
        </w:tc>
        <w:tc>
          <w:tcPr>
            <w:tcW w:w="732" w:type="pct"/>
            <w:vAlign w:val="center"/>
          </w:tcPr>
          <w:p w14:paraId="182FC02A" w14:textId="2C07B51E" w:rsidR="007A408A" w:rsidRPr="00B05E1C" w:rsidRDefault="007A408A" w:rsidP="00BD6A02">
            <w:pPr>
              <w:suppressAutoHyphens w:val="0"/>
              <w:spacing w:before="0" w:after="0" w:line="240" w:lineRule="auto"/>
              <w:jc w:val="right"/>
              <w:rPr>
                <w:rFonts w:ascii="Calibri" w:hAnsi="Calibri" w:cs="Calibri"/>
                <w:b/>
                <w:sz w:val="20"/>
                <w:szCs w:val="20"/>
              </w:rPr>
            </w:pPr>
            <w:r w:rsidRPr="00B05E1C">
              <w:rPr>
                <w:rFonts w:ascii="Calibri" w:hAnsi="Calibri" w:cs="Calibri"/>
                <w:b/>
                <w:sz w:val="20"/>
                <w:szCs w:val="20"/>
              </w:rPr>
              <w:t>2,253,361</w:t>
            </w:r>
          </w:p>
        </w:tc>
        <w:tc>
          <w:tcPr>
            <w:tcW w:w="732" w:type="pct"/>
            <w:vAlign w:val="center"/>
          </w:tcPr>
          <w:p w14:paraId="15565EF4" w14:textId="374CCBB5" w:rsidR="007A408A" w:rsidRPr="0043442B" w:rsidRDefault="007A408A" w:rsidP="00BD6A02">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2,177,308</w:t>
            </w:r>
          </w:p>
        </w:tc>
        <w:tc>
          <w:tcPr>
            <w:tcW w:w="732" w:type="pct"/>
            <w:vAlign w:val="center"/>
          </w:tcPr>
          <w:p w14:paraId="50000722" w14:textId="6588BD79" w:rsidR="007A408A" w:rsidRPr="0043442B" w:rsidRDefault="007A408A" w:rsidP="00BD6A02">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2,279,729</w:t>
            </w:r>
          </w:p>
        </w:tc>
      </w:tr>
    </w:tbl>
    <w:p w14:paraId="41E8A5DC" w14:textId="77777777" w:rsidR="007B0BBF" w:rsidRPr="00B05E1C" w:rsidRDefault="007B0BBF" w:rsidP="007B0BBF">
      <w:r w:rsidRPr="00B05E1C">
        <w:t xml:space="preserve">The </w:t>
      </w:r>
      <w:r>
        <w:t xml:space="preserve">number of reported </w:t>
      </w:r>
      <w:r w:rsidRPr="00B05E1C">
        <w:t>Commonwealth</w:t>
      </w:r>
      <w:r>
        <w:t xml:space="preserve"> tenancies</w:t>
      </w:r>
      <w:r w:rsidRPr="00B05E1C">
        <w:t xml:space="preserve"> has</w:t>
      </w:r>
      <w:r>
        <w:t xml:space="preserve"> increased by</w:t>
      </w:r>
      <w:r w:rsidRPr="00B05E1C">
        <w:t xml:space="preserve"> 27 in 2019 compared to 2018, </w:t>
      </w:r>
      <w:r>
        <w:t xml:space="preserve">but there are </w:t>
      </w:r>
      <w:r w:rsidRPr="00B05E1C">
        <w:t xml:space="preserve">28 </w:t>
      </w:r>
      <w:r>
        <w:t xml:space="preserve">fewer </w:t>
      </w:r>
      <w:r w:rsidRPr="00B05E1C">
        <w:t xml:space="preserve">tenancies </w:t>
      </w:r>
      <w:r>
        <w:t>in 2019 compared to</w:t>
      </w:r>
      <w:r w:rsidRPr="00B05E1C">
        <w:t xml:space="preserve"> 2017. </w:t>
      </w:r>
    </w:p>
    <w:p w14:paraId="0886B146" w14:textId="249A1C99" w:rsidR="00E90FC6" w:rsidRPr="00B960B2" w:rsidRDefault="00E90FC6" w:rsidP="00E90FC6">
      <w:pPr>
        <w:pStyle w:val="NormalWeb"/>
        <w:spacing w:before="180" w:beforeAutospacing="0" w:after="60" w:afterAutospacing="0" w:line="280" w:lineRule="atLeast"/>
        <w:rPr>
          <w:rFonts w:ascii="Arial" w:hAnsi="Arial" w:cs="Arial"/>
          <w:sz w:val="22"/>
          <w:szCs w:val="22"/>
        </w:rPr>
      </w:pPr>
      <w:r w:rsidRPr="00B960B2">
        <w:rPr>
          <w:rFonts w:ascii="Arial" w:hAnsi="Arial" w:cs="Arial"/>
          <w:sz w:val="22"/>
          <w:szCs w:val="22"/>
        </w:rPr>
        <w:t>The increase</w:t>
      </w:r>
      <w:r>
        <w:rPr>
          <w:rFonts w:ascii="Arial" w:hAnsi="Arial" w:cs="Arial"/>
          <w:sz w:val="22"/>
          <w:szCs w:val="22"/>
        </w:rPr>
        <w:t>s</w:t>
      </w:r>
      <w:r w:rsidRPr="00B960B2">
        <w:rPr>
          <w:rFonts w:ascii="Arial" w:hAnsi="Arial" w:cs="Arial"/>
          <w:sz w:val="22"/>
          <w:szCs w:val="22"/>
        </w:rPr>
        <w:t xml:space="preserve"> seen in </w:t>
      </w:r>
      <w:r>
        <w:rPr>
          <w:rFonts w:ascii="Arial" w:hAnsi="Arial" w:cs="Arial"/>
          <w:sz w:val="22"/>
          <w:szCs w:val="22"/>
        </w:rPr>
        <w:t>Table 1a</w:t>
      </w:r>
      <w:r w:rsidRPr="00E43733">
        <w:rPr>
          <w:rFonts w:ascii="Arial" w:hAnsi="Arial" w:cs="Arial"/>
          <w:sz w:val="22"/>
          <w:szCs w:val="22"/>
        </w:rPr>
        <w:t xml:space="preserve"> </w:t>
      </w:r>
      <w:r w:rsidR="00202C26">
        <w:rPr>
          <w:rFonts w:ascii="Arial" w:hAnsi="Arial" w:cs="Arial"/>
          <w:sz w:val="22"/>
          <w:szCs w:val="22"/>
        </w:rPr>
        <w:t>are</w:t>
      </w:r>
      <w:r w:rsidR="00202C26" w:rsidRPr="00E43733">
        <w:rPr>
          <w:rFonts w:ascii="Arial" w:hAnsi="Arial" w:cs="Arial"/>
          <w:sz w:val="22"/>
          <w:szCs w:val="22"/>
        </w:rPr>
        <w:t xml:space="preserve"> </w:t>
      </w:r>
      <w:r w:rsidRPr="00E43733">
        <w:rPr>
          <w:rFonts w:ascii="Arial" w:hAnsi="Arial" w:cs="Arial"/>
          <w:sz w:val="22"/>
          <w:szCs w:val="22"/>
        </w:rPr>
        <w:t xml:space="preserve">due to </w:t>
      </w:r>
      <w:r>
        <w:rPr>
          <w:rFonts w:ascii="Arial" w:hAnsi="Arial" w:cs="Arial"/>
          <w:sz w:val="22"/>
          <w:szCs w:val="22"/>
        </w:rPr>
        <w:t xml:space="preserve">a number of </w:t>
      </w:r>
      <w:r w:rsidRPr="00E43733">
        <w:rPr>
          <w:rFonts w:ascii="Arial" w:hAnsi="Arial" w:cs="Arial"/>
          <w:sz w:val="22"/>
          <w:szCs w:val="22"/>
        </w:rPr>
        <w:t>new tenancies</w:t>
      </w:r>
      <w:r>
        <w:rPr>
          <w:rFonts w:ascii="Arial" w:hAnsi="Arial" w:cs="Arial"/>
          <w:sz w:val="22"/>
          <w:szCs w:val="22"/>
        </w:rPr>
        <w:t xml:space="preserve"> being reported,</w:t>
      </w:r>
      <w:r w:rsidRPr="00E43733">
        <w:rPr>
          <w:rFonts w:ascii="Arial" w:hAnsi="Arial" w:cs="Arial"/>
          <w:sz w:val="22"/>
          <w:szCs w:val="22"/>
        </w:rPr>
        <w:t xml:space="preserve"> and </w:t>
      </w:r>
      <w:r>
        <w:rPr>
          <w:rFonts w:ascii="Arial" w:hAnsi="Arial" w:cs="Arial"/>
          <w:sz w:val="22"/>
          <w:szCs w:val="22"/>
        </w:rPr>
        <w:t xml:space="preserve">also </w:t>
      </w:r>
      <w:r w:rsidRPr="00E43733">
        <w:rPr>
          <w:rFonts w:ascii="Arial" w:hAnsi="Arial" w:cs="Arial"/>
          <w:sz w:val="22"/>
          <w:szCs w:val="22"/>
        </w:rPr>
        <w:t xml:space="preserve">a number of </w:t>
      </w:r>
      <w:r>
        <w:rPr>
          <w:rFonts w:ascii="Arial" w:hAnsi="Arial" w:cs="Arial"/>
          <w:sz w:val="22"/>
          <w:szCs w:val="22"/>
        </w:rPr>
        <w:t xml:space="preserve">existing </w:t>
      </w:r>
      <w:r w:rsidRPr="00E43733">
        <w:rPr>
          <w:rFonts w:ascii="Arial" w:hAnsi="Arial" w:cs="Arial"/>
          <w:sz w:val="22"/>
          <w:szCs w:val="22"/>
        </w:rPr>
        <w:t xml:space="preserve">tenancies </w:t>
      </w:r>
      <w:r>
        <w:rPr>
          <w:rFonts w:ascii="Arial" w:hAnsi="Arial" w:cs="Arial"/>
          <w:sz w:val="22"/>
          <w:szCs w:val="22"/>
        </w:rPr>
        <w:t xml:space="preserve">being reported for the first time. Existing tenancies may increase their usable office area above the </w:t>
      </w:r>
      <w:r w:rsidR="00486A6F">
        <w:rPr>
          <w:rFonts w:ascii="Arial" w:hAnsi="Arial" w:cs="Arial"/>
          <w:sz w:val="22"/>
          <w:szCs w:val="22"/>
        </w:rPr>
        <w:t xml:space="preserve">reporting </w:t>
      </w:r>
      <w:r>
        <w:rPr>
          <w:rFonts w:ascii="Arial" w:hAnsi="Arial" w:cs="Arial"/>
          <w:sz w:val="22"/>
          <w:szCs w:val="22"/>
        </w:rPr>
        <w:t xml:space="preserve">threshold at any time, and are therefore included in the </w:t>
      </w:r>
      <w:r w:rsidR="004F44D6">
        <w:rPr>
          <w:rFonts w:ascii="Arial" w:hAnsi="Arial" w:cs="Arial"/>
          <w:sz w:val="22"/>
          <w:szCs w:val="22"/>
        </w:rPr>
        <w:t>O</w:t>
      </w:r>
      <w:r>
        <w:rPr>
          <w:rFonts w:ascii="Arial" w:hAnsi="Arial" w:cs="Arial"/>
          <w:sz w:val="22"/>
          <w:szCs w:val="22"/>
        </w:rPr>
        <w:t xml:space="preserve">ccupancy </w:t>
      </w:r>
      <w:r w:rsidR="004F44D6">
        <w:rPr>
          <w:rFonts w:ascii="Arial" w:hAnsi="Arial" w:cs="Arial"/>
          <w:sz w:val="22"/>
          <w:szCs w:val="22"/>
        </w:rPr>
        <w:t>R</w:t>
      </w:r>
      <w:r>
        <w:rPr>
          <w:rFonts w:ascii="Arial" w:hAnsi="Arial" w:cs="Arial"/>
          <w:sz w:val="22"/>
          <w:szCs w:val="22"/>
        </w:rPr>
        <w:t>eport at the next reporting period.</w:t>
      </w:r>
      <w:r w:rsidRPr="00B960B2">
        <w:rPr>
          <w:rFonts w:ascii="Arial" w:hAnsi="Arial" w:cs="Arial"/>
          <w:sz w:val="22"/>
          <w:szCs w:val="22"/>
        </w:rPr>
        <w:t xml:space="preserve"> The usable office area associated with a tenancy can increase for a number of reasons, such as when sub</w:t>
      </w:r>
      <w:r>
        <w:rPr>
          <w:rFonts w:ascii="Arial" w:hAnsi="Arial" w:cs="Arial"/>
          <w:sz w:val="22"/>
          <w:szCs w:val="22"/>
        </w:rPr>
        <w:t>-</w:t>
      </w:r>
      <w:r w:rsidRPr="00B960B2">
        <w:rPr>
          <w:rFonts w:ascii="Arial" w:hAnsi="Arial" w:cs="Arial"/>
          <w:sz w:val="22"/>
          <w:szCs w:val="22"/>
        </w:rPr>
        <w:t>leases are absorbed back into head leases or when non-office area is reduced (such is the case when office space is reclaimed through changes to fit</w:t>
      </w:r>
      <w:r w:rsidRPr="00B960B2">
        <w:rPr>
          <w:rFonts w:ascii="Arial" w:hAnsi="Arial" w:cs="Arial"/>
          <w:sz w:val="22"/>
          <w:szCs w:val="22"/>
        </w:rPr>
        <w:noBreakHyphen/>
        <w:t>outs).</w:t>
      </w:r>
    </w:p>
    <w:p w14:paraId="152FD160" w14:textId="402FDA50" w:rsidR="007B0BBF" w:rsidRPr="00B960B2" w:rsidRDefault="007B0BBF" w:rsidP="0052456E">
      <w:r w:rsidRPr="00B960B2">
        <w:t xml:space="preserve">The </w:t>
      </w:r>
      <w:r w:rsidR="003B7A1A">
        <w:t xml:space="preserve">total </w:t>
      </w:r>
      <w:r w:rsidRPr="00B960B2">
        <w:t xml:space="preserve">reported </w:t>
      </w:r>
      <w:r w:rsidR="00F23ECA" w:rsidRPr="00B960B2">
        <w:t>controlled area</w:t>
      </w:r>
      <w:r w:rsidRPr="00B960B2">
        <w:t xml:space="preserve"> has increased by </w:t>
      </w:r>
      <w:r w:rsidR="00F23ECA" w:rsidRPr="00B960B2">
        <w:t>94,123</w:t>
      </w:r>
      <w:r w:rsidRPr="00B960B2">
        <w:t xml:space="preserve"> m</w:t>
      </w:r>
      <w:r w:rsidRPr="00B960B2">
        <w:rPr>
          <w:vertAlign w:val="superscript"/>
        </w:rPr>
        <w:t>2</w:t>
      </w:r>
      <w:r w:rsidRPr="00B960B2">
        <w:t xml:space="preserve"> </w:t>
      </w:r>
      <w:r w:rsidR="00D057A2">
        <w:t xml:space="preserve">(3.4 per cent) </w:t>
      </w:r>
      <w:r w:rsidRPr="00B960B2">
        <w:t xml:space="preserve">since 2018 or by </w:t>
      </w:r>
      <w:r w:rsidR="00B26EB6" w:rsidRPr="00B960B2">
        <w:t>72,715</w:t>
      </w:r>
      <w:r w:rsidRPr="00B960B2">
        <w:t xml:space="preserve"> m</w:t>
      </w:r>
      <w:r w:rsidRPr="00B960B2">
        <w:rPr>
          <w:vertAlign w:val="superscript"/>
        </w:rPr>
        <w:t>2</w:t>
      </w:r>
      <w:r w:rsidRPr="00B960B2">
        <w:t xml:space="preserve"> </w:t>
      </w:r>
      <w:r w:rsidR="00D057A2">
        <w:t xml:space="preserve">(2.6 per cent) </w:t>
      </w:r>
      <w:r w:rsidRPr="00B960B2">
        <w:t>since 2017.</w:t>
      </w:r>
      <w:r w:rsidR="0052456E" w:rsidRPr="00B960B2">
        <w:t xml:space="preserve"> However</w:t>
      </w:r>
      <w:r w:rsidR="006C6982">
        <w:t>,</w:t>
      </w:r>
      <w:r w:rsidR="0052456E" w:rsidRPr="00B960B2">
        <w:t xml:space="preserve"> when factoring in all tenancies regardless of size (including those below the 500 m</w:t>
      </w:r>
      <w:r w:rsidR="0052456E" w:rsidRPr="00B960B2">
        <w:rPr>
          <w:vertAlign w:val="superscript"/>
        </w:rPr>
        <w:t>2</w:t>
      </w:r>
      <w:r w:rsidR="0052456E" w:rsidRPr="00B960B2">
        <w:t xml:space="preserve"> threshold</w:t>
      </w:r>
      <w:r w:rsidR="004E0A00">
        <w:t xml:space="preserve"> that are excluded from this report</w:t>
      </w:r>
      <w:r w:rsidR="0052456E" w:rsidRPr="00B960B2">
        <w:t xml:space="preserve">) the </w:t>
      </w:r>
      <w:r w:rsidR="003B7A1A">
        <w:t xml:space="preserve">change in </w:t>
      </w:r>
      <w:r w:rsidR="0052456E" w:rsidRPr="00B960B2">
        <w:t>total controlled area increased by</w:t>
      </w:r>
      <w:r w:rsidR="003B7A1A">
        <w:t xml:space="preserve"> only</w:t>
      </w:r>
      <w:r w:rsidR="0052456E" w:rsidRPr="00B960B2">
        <w:t xml:space="preserve"> 18,951</w:t>
      </w:r>
      <w:r w:rsidR="003B7A1A">
        <w:t xml:space="preserve"> m</w:t>
      </w:r>
      <w:r w:rsidR="003B7A1A" w:rsidRPr="00782C1D">
        <w:rPr>
          <w:vertAlign w:val="superscript"/>
        </w:rPr>
        <w:t>2</w:t>
      </w:r>
      <w:r w:rsidR="0052456E" w:rsidRPr="00B960B2">
        <w:t xml:space="preserve"> </w:t>
      </w:r>
      <w:r w:rsidR="004E0A00">
        <w:t xml:space="preserve">overall </w:t>
      </w:r>
      <w:r w:rsidR="0052456E" w:rsidRPr="00B960B2">
        <w:t>(</w:t>
      </w:r>
      <w:r w:rsidR="004E0A00">
        <w:t xml:space="preserve">or </w:t>
      </w:r>
      <w:r w:rsidR="0052456E" w:rsidRPr="00B960B2">
        <w:t>0.4</w:t>
      </w:r>
      <w:r w:rsidR="00704190">
        <w:t> </w:t>
      </w:r>
      <w:r w:rsidR="0052456E" w:rsidRPr="00B960B2">
        <w:t>per</w:t>
      </w:r>
      <w:r w:rsidR="00704190">
        <w:t> </w:t>
      </w:r>
      <w:r w:rsidR="0052456E" w:rsidRPr="00B960B2">
        <w:t>cent) from 4,719,416</w:t>
      </w:r>
      <w:r w:rsidR="006C6982">
        <w:t> </w:t>
      </w:r>
      <w:r w:rsidR="006C6982" w:rsidRPr="00B960B2">
        <w:t>m</w:t>
      </w:r>
      <w:r w:rsidR="006C6982" w:rsidRPr="00B960B2">
        <w:rPr>
          <w:vertAlign w:val="superscript"/>
        </w:rPr>
        <w:t>2</w:t>
      </w:r>
      <w:r w:rsidR="0052456E" w:rsidRPr="00B960B2">
        <w:t xml:space="preserve"> to 4,738,367</w:t>
      </w:r>
      <w:r w:rsidR="006C6982">
        <w:t> </w:t>
      </w:r>
      <w:r w:rsidR="006C6982" w:rsidRPr="00B960B2">
        <w:t>m</w:t>
      </w:r>
      <w:r w:rsidR="006C6982" w:rsidRPr="00B960B2">
        <w:rPr>
          <w:vertAlign w:val="superscript"/>
        </w:rPr>
        <w:t>2</w:t>
      </w:r>
      <w:r w:rsidR="0052456E" w:rsidRPr="00B960B2">
        <w:t xml:space="preserve"> since 2018.</w:t>
      </w:r>
    </w:p>
    <w:p w14:paraId="08325137" w14:textId="58E25367" w:rsidR="009358DC" w:rsidRDefault="00C11375" w:rsidP="007B0BBF">
      <w:r w:rsidRPr="00B960B2">
        <w:t xml:space="preserve">The increase seen in </w:t>
      </w:r>
      <w:r w:rsidR="004E0A00">
        <w:t>Table 1a</w:t>
      </w:r>
      <w:r w:rsidRPr="00B960B2">
        <w:t xml:space="preserve"> </w:t>
      </w:r>
      <w:r w:rsidR="00ED55E8" w:rsidRPr="00B960B2">
        <w:t>(and subsequent increase in the number of vacant work</w:t>
      </w:r>
      <w:r w:rsidR="006C6982">
        <w:noBreakHyphen/>
      </w:r>
      <w:r w:rsidR="00ED55E8" w:rsidRPr="00B960B2">
        <w:t>points</w:t>
      </w:r>
      <w:r w:rsidR="004E0A00">
        <w:t xml:space="preserve"> seen in Table 1b</w:t>
      </w:r>
      <w:r w:rsidR="00ED55E8" w:rsidRPr="00B960B2">
        <w:t xml:space="preserve">) </w:t>
      </w:r>
      <w:r w:rsidRPr="00B960B2">
        <w:t>is</w:t>
      </w:r>
      <w:r w:rsidR="00DE0657" w:rsidRPr="00B960B2">
        <w:t xml:space="preserve"> also</w:t>
      </w:r>
      <w:r w:rsidRPr="00B960B2">
        <w:t xml:space="preserve"> partially due to</w:t>
      </w:r>
      <w:r w:rsidR="009358DC">
        <w:t xml:space="preserve"> the point-in-time nature of the data underlying </w:t>
      </w:r>
      <w:r w:rsidR="006C6982">
        <w:t>the Occupancy Report</w:t>
      </w:r>
      <w:r w:rsidR="009358DC">
        <w:t>.</w:t>
      </w:r>
      <w:r w:rsidR="003050AF">
        <w:t xml:space="preserve"> </w:t>
      </w:r>
      <w:r w:rsidR="009358DC">
        <w:t xml:space="preserve">Due to this </w:t>
      </w:r>
      <w:r w:rsidR="00A536D6">
        <w:t>point-in-time data</w:t>
      </w:r>
      <w:r w:rsidR="009358DC">
        <w:t xml:space="preserve">, </w:t>
      </w:r>
      <w:r w:rsidR="00A536D6">
        <w:t xml:space="preserve">the figures in Table 1a can include situations </w:t>
      </w:r>
      <w:r w:rsidR="009358DC">
        <w:t>where there is an overlap of expiring leases and new leases, or where there is a short-term lease used to support internal fit-out works in an ongoing tenancy.</w:t>
      </w:r>
    </w:p>
    <w:p w14:paraId="7CB4CFCD" w14:textId="7DA66DA2" w:rsidR="00A536D6" w:rsidRDefault="00A536D6" w:rsidP="00A536D6">
      <w:r w:rsidRPr="00A536D6">
        <w:t xml:space="preserve">Similarly, the incremental and expected improvement in occupational density is not immediately reflected in </w:t>
      </w:r>
      <w:r w:rsidR="006C6982">
        <w:t>the Occupancy Report</w:t>
      </w:r>
      <w:r w:rsidRPr="00A536D6">
        <w:t xml:space="preserve"> in cases where entities enter into newer, larger leases and are yet to sub-lease underutilised areas and before additional staff move into the buildings. </w:t>
      </w:r>
    </w:p>
    <w:p w14:paraId="125F3006" w14:textId="5ADB2628" w:rsidR="00403C92" w:rsidRPr="00904CDA" w:rsidRDefault="007311B9" w:rsidP="00904CDA">
      <w:pPr>
        <w:pStyle w:val="Caption"/>
        <w:keepNext/>
      </w:pPr>
      <w:r w:rsidRPr="00347687">
        <w:t>Table 1b</w:t>
      </w:r>
      <w:r w:rsidR="009A1E73" w:rsidRPr="00904CDA">
        <w:t xml:space="preserve">: </w:t>
      </w:r>
      <w:r w:rsidR="00403C92" w:rsidRPr="00904CDA">
        <w:t>Work-points and staff</w:t>
      </w:r>
      <w:r>
        <w:t xml:space="preserve"> </w:t>
      </w:r>
      <w:r w:rsidRPr="00904CDA">
        <w:rPr>
          <w:vertAlign w:val="superscript"/>
        </w:rPr>
        <w:t>(a)</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336"/>
        <w:gridCol w:w="1334"/>
        <w:gridCol w:w="1334"/>
      </w:tblGrid>
      <w:tr w:rsidR="007A408A" w:rsidRPr="0043442B" w14:paraId="75248CFB" w14:textId="77777777" w:rsidTr="00DF1805">
        <w:trPr>
          <w:trHeight w:val="300"/>
          <w:jc w:val="center"/>
        </w:trPr>
        <w:tc>
          <w:tcPr>
            <w:tcW w:w="2767" w:type="pct"/>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hideMark/>
          </w:tcPr>
          <w:p w14:paraId="24FF7D47" w14:textId="77777777" w:rsidR="007A408A" w:rsidRPr="0043442B" w:rsidRDefault="007A408A" w:rsidP="00DF1805">
            <w:pPr>
              <w:suppressAutoHyphens w:val="0"/>
              <w:spacing w:before="0" w:after="0" w:line="240" w:lineRule="auto"/>
              <w:rPr>
                <w:rFonts w:ascii="Calibri" w:hAnsi="Calibri" w:cs="Calibri"/>
                <w:sz w:val="20"/>
              </w:rPr>
            </w:pPr>
            <w:r w:rsidRPr="0043442B">
              <w:rPr>
                <w:rFonts w:ascii="Calibri" w:hAnsi="Calibri" w:cs="Calibri"/>
                <w:sz w:val="20"/>
              </w:rPr>
              <w:t>Measure</w:t>
            </w:r>
          </w:p>
        </w:tc>
        <w:tc>
          <w:tcPr>
            <w:tcW w:w="745" w:type="pct"/>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tcPr>
          <w:p w14:paraId="35FF29E6" w14:textId="4A9920AB" w:rsidR="007A408A" w:rsidRPr="00B05E1C" w:rsidRDefault="007A408A" w:rsidP="00DF1805">
            <w:pPr>
              <w:suppressAutoHyphens w:val="0"/>
              <w:spacing w:before="0" w:after="0" w:line="240" w:lineRule="auto"/>
              <w:jc w:val="right"/>
              <w:rPr>
                <w:rFonts w:ascii="Calibri" w:hAnsi="Calibri" w:cs="Calibri"/>
                <w:b/>
                <w:sz w:val="20"/>
                <w:szCs w:val="20"/>
              </w:rPr>
            </w:pPr>
            <w:r w:rsidRPr="00B05E1C">
              <w:rPr>
                <w:rFonts w:ascii="Calibri" w:hAnsi="Calibri" w:cs="Calibri"/>
                <w:b/>
                <w:sz w:val="20"/>
                <w:szCs w:val="20"/>
              </w:rPr>
              <w:t>2019</w:t>
            </w:r>
          </w:p>
        </w:tc>
        <w:tc>
          <w:tcPr>
            <w:tcW w:w="744" w:type="pct"/>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tcPr>
          <w:p w14:paraId="10F9A359" w14:textId="562DCC30" w:rsidR="007A408A" w:rsidRPr="00B05E1C" w:rsidRDefault="007A408A" w:rsidP="00DF1805">
            <w:pPr>
              <w:suppressAutoHyphens w:val="0"/>
              <w:spacing w:before="0" w:after="0" w:line="240" w:lineRule="auto"/>
              <w:jc w:val="right"/>
              <w:rPr>
                <w:rFonts w:ascii="Calibri" w:hAnsi="Calibri" w:cs="Calibri"/>
                <w:sz w:val="20"/>
                <w:szCs w:val="20"/>
              </w:rPr>
            </w:pPr>
            <w:r w:rsidRPr="00B05E1C">
              <w:rPr>
                <w:rFonts w:ascii="Calibri" w:hAnsi="Calibri" w:cs="Calibri"/>
                <w:sz w:val="20"/>
                <w:szCs w:val="20"/>
              </w:rPr>
              <w:t>2018</w:t>
            </w:r>
          </w:p>
        </w:tc>
        <w:tc>
          <w:tcPr>
            <w:tcW w:w="744" w:type="pct"/>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tcPr>
          <w:p w14:paraId="4785BCAB" w14:textId="27FE50E7" w:rsidR="007A408A" w:rsidRPr="00B05E1C" w:rsidRDefault="007A408A" w:rsidP="00DF1805">
            <w:pPr>
              <w:suppressAutoHyphens w:val="0"/>
              <w:spacing w:before="0" w:after="0" w:line="240" w:lineRule="auto"/>
              <w:jc w:val="right"/>
              <w:rPr>
                <w:rFonts w:ascii="Calibri" w:hAnsi="Calibri" w:cs="Calibri"/>
                <w:sz w:val="20"/>
                <w:szCs w:val="20"/>
              </w:rPr>
            </w:pPr>
            <w:r w:rsidRPr="00B05E1C">
              <w:rPr>
                <w:rFonts w:ascii="Calibri" w:hAnsi="Calibri" w:cs="Calibri"/>
                <w:sz w:val="20"/>
                <w:szCs w:val="20"/>
              </w:rPr>
              <w:t>2017</w:t>
            </w:r>
          </w:p>
        </w:tc>
      </w:tr>
      <w:tr w:rsidR="007A408A" w:rsidRPr="0043442B" w14:paraId="25774CEA" w14:textId="77777777" w:rsidTr="00BD6A02">
        <w:trPr>
          <w:trHeight w:val="300"/>
          <w:jc w:val="center"/>
        </w:trPr>
        <w:tc>
          <w:tcPr>
            <w:tcW w:w="2767" w:type="pct"/>
            <w:shd w:val="clear" w:color="auto" w:fill="auto"/>
            <w:vAlign w:val="center"/>
            <w:hideMark/>
          </w:tcPr>
          <w:p w14:paraId="16417D49" w14:textId="77777777" w:rsidR="007A408A" w:rsidRPr="0043442B" w:rsidRDefault="007A408A" w:rsidP="00BD6A02">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Work-points (n)</w:t>
            </w:r>
          </w:p>
        </w:tc>
        <w:tc>
          <w:tcPr>
            <w:tcW w:w="745" w:type="pct"/>
            <w:vAlign w:val="center"/>
          </w:tcPr>
          <w:p w14:paraId="5FC348CB" w14:textId="223E81DC" w:rsidR="007A408A" w:rsidRPr="00B05E1C" w:rsidRDefault="007A408A" w:rsidP="00BD6A02">
            <w:pPr>
              <w:suppressAutoHyphens w:val="0"/>
              <w:spacing w:before="0" w:after="0" w:line="240" w:lineRule="auto"/>
              <w:jc w:val="right"/>
              <w:rPr>
                <w:rFonts w:ascii="Calibri" w:hAnsi="Calibri" w:cs="Calibri"/>
                <w:b/>
                <w:color w:val="000000"/>
                <w:sz w:val="20"/>
              </w:rPr>
            </w:pPr>
            <w:r w:rsidRPr="00B05E1C">
              <w:rPr>
                <w:rFonts w:ascii="Calibri" w:hAnsi="Calibri" w:cs="Calibri"/>
                <w:b/>
                <w:color w:val="000000"/>
                <w:sz w:val="20"/>
              </w:rPr>
              <w:t>164,632</w:t>
            </w:r>
          </w:p>
        </w:tc>
        <w:tc>
          <w:tcPr>
            <w:tcW w:w="744" w:type="pct"/>
            <w:vAlign w:val="center"/>
          </w:tcPr>
          <w:p w14:paraId="11575F77" w14:textId="18F73BF1"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158,357</w:t>
            </w:r>
          </w:p>
        </w:tc>
        <w:tc>
          <w:tcPr>
            <w:tcW w:w="744" w:type="pct"/>
            <w:vAlign w:val="center"/>
          </w:tcPr>
          <w:p w14:paraId="54EB8BAD" w14:textId="62726357"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158,806</w:t>
            </w:r>
          </w:p>
        </w:tc>
      </w:tr>
      <w:tr w:rsidR="007A408A" w:rsidRPr="0043442B" w14:paraId="7639A450" w14:textId="77777777" w:rsidTr="00BD6A02">
        <w:trPr>
          <w:trHeight w:val="300"/>
          <w:jc w:val="center"/>
        </w:trPr>
        <w:tc>
          <w:tcPr>
            <w:tcW w:w="2767" w:type="pct"/>
            <w:shd w:val="clear" w:color="auto" w:fill="auto"/>
            <w:vAlign w:val="center"/>
            <w:hideMark/>
          </w:tcPr>
          <w:p w14:paraId="6CCE7829" w14:textId="5F67379A" w:rsidR="007A408A" w:rsidRPr="0043442B" w:rsidRDefault="007A408A" w:rsidP="00BD6A02">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Staff (n)</w:t>
            </w:r>
          </w:p>
        </w:tc>
        <w:tc>
          <w:tcPr>
            <w:tcW w:w="745" w:type="pct"/>
            <w:vAlign w:val="center"/>
          </w:tcPr>
          <w:p w14:paraId="7ACE6293" w14:textId="52F21A2D" w:rsidR="007A408A" w:rsidRPr="00B05E1C" w:rsidRDefault="007A408A" w:rsidP="00BD6A02">
            <w:pPr>
              <w:suppressAutoHyphens w:val="0"/>
              <w:spacing w:before="0" w:after="0" w:line="240" w:lineRule="auto"/>
              <w:jc w:val="right"/>
              <w:rPr>
                <w:rFonts w:ascii="Calibri" w:hAnsi="Calibri" w:cs="Calibri"/>
                <w:b/>
                <w:color w:val="000000"/>
                <w:sz w:val="20"/>
              </w:rPr>
            </w:pPr>
            <w:r w:rsidRPr="00B05E1C">
              <w:rPr>
                <w:rFonts w:ascii="Calibri" w:hAnsi="Calibri" w:cs="Calibri"/>
                <w:b/>
                <w:color w:val="000000"/>
                <w:sz w:val="20"/>
              </w:rPr>
              <w:t>139,583</w:t>
            </w:r>
          </w:p>
        </w:tc>
        <w:tc>
          <w:tcPr>
            <w:tcW w:w="744" w:type="pct"/>
            <w:vAlign w:val="center"/>
          </w:tcPr>
          <w:p w14:paraId="004DEC59" w14:textId="61CC6F15"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136,008</w:t>
            </w:r>
          </w:p>
        </w:tc>
        <w:tc>
          <w:tcPr>
            <w:tcW w:w="744" w:type="pct"/>
            <w:vAlign w:val="center"/>
          </w:tcPr>
          <w:p w14:paraId="04F61729" w14:textId="5959EE00"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133,117</w:t>
            </w:r>
          </w:p>
        </w:tc>
      </w:tr>
      <w:tr w:rsidR="007A408A" w:rsidRPr="0043442B" w14:paraId="4FF0D14C" w14:textId="77777777" w:rsidTr="00BD6A02">
        <w:trPr>
          <w:trHeight w:val="300"/>
          <w:jc w:val="center"/>
        </w:trPr>
        <w:tc>
          <w:tcPr>
            <w:tcW w:w="2767" w:type="pct"/>
            <w:shd w:val="clear" w:color="auto" w:fill="auto"/>
            <w:vAlign w:val="center"/>
            <w:hideMark/>
          </w:tcPr>
          <w:p w14:paraId="1C618EA5" w14:textId="77777777" w:rsidR="007A408A" w:rsidRPr="0043442B" w:rsidRDefault="007A408A" w:rsidP="00BD6A02">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Vacant Work-points (n)</w:t>
            </w:r>
          </w:p>
        </w:tc>
        <w:tc>
          <w:tcPr>
            <w:tcW w:w="745" w:type="pct"/>
            <w:vAlign w:val="center"/>
          </w:tcPr>
          <w:p w14:paraId="1160D3AA" w14:textId="29EFCBAC" w:rsidR="007A408A" w:rsidRPr="00B05E1C" w:rsidRDefault="007A408A" w:rsidP="00BD6A02">
            <w:pPr>
              <w:suppressAutoHyphens w:val="0"/>
              <w:spacing w:before="0" w:after="0" w:line="240" w:lineRule="auto"/>
              <w:jc w:val="right"/>
              <w:rPr>
                <w:rFonts w:ascii="Calibri" w:hAnsi="Calibri" w:cs="Calibri"/>
                <w:b/>
                <w:color w:val="000000"/>
                <w:sz w:val="20"/>
              </w:rPr>
            </w:pPr>
            <w:r w:rsidRPr="00B05E1C">
              <w:rPr>
                <w:rFonts w:ascii="Calibri" w:hAnsi="Calibri" w:cs="Calibri"/>
                <w:b/>
                <w:color w:val="000000"/>
                <w:sz w:val="20"/>
              </w:rPr>
              <w:t>25,049</w:t>
            </w:r>
          </w:p>
        </w:tc>
        <w:tc>
          <w:tcPr>
            <w:tcW w:w="744" w:type="pct"/>
            <w:vAlign w:val="center"/>
          </w:tcPr>
          <w:p w14:paraId="297B46B6" w14:textId="5AA89B76"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22,349</w:t>
            </w:r>
          </w:p>
        </w:tc>
        <w:tc>
          <w:tcPr>
            <w:tcW w:w="744" w:type="pct"/>
            <w:vAlign w:val="center"/>
          </w:tcPr>
          <w:p w14:paraId="79A11BE8" w14:textId="6A0C5754"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25,689</w:t>
            </w:r>
          </w:p>
        </w:tc>
      </w:tr>
      <w:tr w:rsidR="007A408A" w:rsidRPr="0043442B" w14:paraId="65E1AE3D" w14:textId="77777777" w:rsidTr="00BD6A02">
        <w:trPr>
          <w:trHeight w:val="300"/>
          <w:jc w:val="center"/>
        </w:trPr>
        <w:tc>
          <w:tcPr>
            <w:tcW w:w="2767" w:type="pct"/>
            <w:shd w:val="clear" w:color="auto" w:fill="auto"/>
            <w:vAlign w:val="center"/>
            <w:hideMark/>
          </w:tcPr>
          <w:p w14:paraId="649A3B3B" w14:textId="77777777" w:rsidR="007A408A" w:rsidRPr="0043442B" w:rsidRDefault="007A408A" w:rsidP="00BD6A02">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Work-point Vacancy Rate (%)</w:t>
            </w:r>
          </w:p>
        </w:tc>
        <w:tc>
          <w:tcPr>
            <w:tcW w:w="745" w:type="pct"/>
            <w:vAlign w:val="center"/>
          </w:tcPr>
          <w:p w14:paraId="304F34E5" w14:textId="744189AD" w:rsidR="007A408A" w:rsidRPr="00B05E1C" w:rsidRDefault="007A408A" w:rsidP="00BD6A02">
            <w:pPr>
              <w:suppressAutoHyphens w:val="0"/>
              <w:spacing w:before="0" w:after="0" w:line="240" w:lineRule="auto"/>
              <w:jc w:val="right"/>
              <w:rPr>
                <w:rFonts w:ascii="Calibri" w:hAnsi="Calibri" w:cs="Calibri"/>
                <w:b/>
                <w:color w:val="000000"/>
                <w:sz w:val="20"/>
              </w:rPr>
            </w:pPr>
            <w:r w:rsidRPr="00B05E1C">
              <w:rPr>
                <w:rFonts w:ascii="Calibri" w:hAnsi="Calibri" w:cs="Calibri"/>
                <w:b/>
                <w:color w:val="000000"/>
                <w:sz w:val="20"/>
              </w:rPr>
              <w:t>15.2%</w:t>
            </w:r>
          </w:p>
        </w:tc>
        <w:tc>
          <w:tcPr>
            <w:tcW w:w="744" w:type="pct"/>
            <w:vAlign w:val="center"/>
          </w:tcPr>
          <w:p w14:paraId="385E89A3" w14:textId="4AA4D369"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14.1%</w:t>
            </w:r>
          </w:p>
        </w:tc>
        <w:tc>
          <w:tcPr>
            <w:tcW w:w="744" w:type="pct"/>
            <w:vAlign w:val="center"/>
          </w:tcPr>
          <w:p w14:paraId="2591E9BB" w14:textId="767F2FD7" w:rsidR="007A408A" w:rsidRPr="00B05E1C" w:rsidRDefault="007A408A" w:rsidP="00BD6A02">
            <w:pPr>
              <w:suppressAutoHyphens w:val="0"/>
              <w:spacing w:before="0" w:after="0" w:line="240" w:lineRule="auto"/>
              <w:jc w:val="right"/>
              <w:rPr>
                <w:rFonts w:ascii="Calibri" w:hAnsi="Calibri" w:cs="Calibri"/>
                <w:color w:val="000000"/>
                <w:sz w:val="20"/>
              </w:rPr>
            </w:pPr>
            <w:r w:rsidRPr="00B05E1C">
              <w:rPr>
                <w:rFonts w:ascii="Calibri" w:hAnsi="Calibri" w:cs="Calibri"/>
                <w:color w:val="000000"/>
                <w:sz w:val="20"/>
              </w:rPr>
              <w:t>16.2%</w:t>
            </w:r>
          </w:p>
        </w:tc>
      </w:tr>
    </w:tbl>
    <w:p w14:paraId="6FA62F38" w14:textId="2F9EB0B3" w:rsidR="007311B9" w:rsidRPr="0043442B" w:rsidRDefault="007311B9" w:rsidP="007311B9">
      <w:pPr>
        <w:pStyle w:val="TableSourceNotes"/>
        <w:spacing w:before="0" w:line="240" w:lineRule="auto"/>
        <w:rPr>
          <w:sz w:val="14"/>
        </w:rPr>
      </w:pPr>
      <w:r w:rsidRPr="0043442B" w:rsidDel="00A7091A">
        <w:rPr>
          <w:sz w:val="14"/>
        </w:rPr>
        <w:t xml:space="preserve"> </w:t>
      </w:r>
      <w:r w:rsidRPr="0043442B">
        <w:rPr>
          <w:sz w:val="14"/>
        </w:rPr>
        <w:t>(a)</w:t>
      </w:r>
      <w:r w:rsidRPr="0043442B">
        <w:rPr>
          <w:sz w:val="14"/>
        </w:rPr>
        <w:tab/>
      </w:r>
      <w:r w:rsidR="00267FC8">
        <w:rPr>
          <w:sz w:val="14"/>
        </w:rPr>
        <w:t xml:space="preserve">A work-point is defined as a desk, enclosed office or counter where it would be reasonable to expect a person to carry out office work on an ongoing basis. This applies to traditional, flexible or activity-based working fit-out arrangements. </w:t>
      </w:r>
      <w:r w:rsidRPr="0043442B">
        <w:rPr>
          <w:sz w:val="14"/>
        </w:rPr>
        <w:t>Staff includes contractors and is taken on a headcount basis for leases that meet the criteria for inclusion (</w:t>
      </w:r>
      <w:r w:rsidR="008B6D96">
        <w:rPr>
          <w:sz w:val="14"/>
        </w:rPr>
        <w:t>office accommodation</w:t>
      </w:r>
      <w:r w:rsidR="008B6D96" w:rsidRPr="0043442B">
        <w:rPr>
          <w:sz w:val="14"/>
        </w:rPr>
        <w:t xml:space="preserve"> </w:t>
      </w:r>
      <w:r w:rsidRPr="0043442B">
        <w:rPr>
          <w:sz w:val="14"/>
        </w:rPr>
        <w:t xml:space="preserve">with </w:t>
      </w:r>
      <w:r w:rsidR="002D57C8">
        <w:rPr>
          <w:sz w:val="14"/>
        </w:rPr>
        <w:t>at least</w:t>
      </w:r>
      <w:r w:rsidR="002D57C8" w:rsidRPr="0043442B">
        <w:rPr>
          <w:sz w:val="14"/>
        </w:rPr>
        <w:t xml:space="preserve"> </w:t>
      </w:r>
      <w:r w:rsidRPr="0043442B">
        <w:rPr>
          <w:sz w:val="14"/>
        </w:rPr>
        <w:t>500 m</w:t>
      </w:r>
      <w:r w:rsidRPr="0043442B">
        <w:rPr>
          <w:sz w:val="14"/>
          <w:vertAlign w:val="superscript"/>
        </w:rPr>
        <w:t>2</w:t>
      </w:r>
      <w:r w:rsidRPr="0043442B">
        <w:rPr>
          <w:sz w:val="14"/>
        </w:rPr>
        <w:t xml:space="preserve"> of usable office area) in the Occupancy Report. For these reasons, the number of staff will not align with the Australian Public Service Commission’s </w:t>
      </w:r>
      <w:r w:rsidRPr="0043442B">
        <w:rPr>
          <w:i/>
          <w:sz w:val="14"/>
        </w:rPr>
        <w:t>State of the Service</w:t>
      </w:r>
      <w:r w:rsidRPr="0043442B">
        <w:rPr>
          <w:sz w:val="14"/>
        </w:rPr>
        <w:t xml:space="preserve"> report, which excludes contractors and has no such criteria for inclusion; nor will it align with staffing estimates contained in </w:t>
      </w:r>
      <w:r w:rsidRPr="0043442B">
        <w:rPr>
          <w:i/>
          <w:sz w:val="14"/>
        </w:rPr>
        <w:t>Budget Paper No.4</w:t>
      </w:r>
      <w:r w:rsidRPr="0043442B">
        <w:rPr>
          <w:sz w:val="14"/>
        </w:rPr>
        <w:t>, which do not include contractors and are reported on an Average Staffing Level basis.</w:t>
      </w:r>
    </w:p>
    <w:p w14:paraId="74F30134" w14:textId="36E72AFC" w:rsidR="007B0BBF" w:rsidRPr="00E43733" w:rsidRDefault="007B0BBF" w:rsidP="007B0BBF">
      <w:r w:rsidRPr="00B05E1C">
        <w:t xml:space="preserve">Entities </w:t>
      </w:r>
      <w:r>
        <w:t>reported</w:t>
      </w:r>
      <w:r w:rsidRPr="00B05E1C">
        <w:t xml:space="preserve"> 6,275 more work-points</w:t>
      </w:r>
      <w:r w:rsidR="000868FE">
        <w:t xml:space="preserve"> and</w:t>
      </w:r>
      <w:r>
        <w:t xml:space="preserve"> </w:t>
      </w:r>
      <w:r w:rsidRPr="00B05E1C">
        <w:t xml:space="preserve">3,575 more staff allocated to leases </w:t>
      </w:r>
      <w:r w:rsidR="000868FE">
        <w:t xml:space="preserve">in 2019 compared to 2018, or 5,826 more work-points and 6,466 more staff compared to 2017. </w:t>
      </w:r>
      <w:r w:rsidR="00C11375" w:rsidRPr="00E43733">
        <w:t>Accordingly, e</w:t>
      </w:r>
      <w:r w:rsidR="000868FE" w:rsidRPr="00E43733">
        <w:t xml:space="preserve">ntities also reported a </w:t>
      </w:r>
      <w:r w:rsidRPr="00E43733">
        <w:t>work-point vacancy rate of 15.2 per cent in 2019 compared to 14.1</w:t>
      </w:r>
      <w:r w:rsidR="008E0CCD" w:rsidRPr="00E43733">
        <w:t> </w:t>
      </w:r>
      <w:r w:rsidRPr="00E43733">
        <w:t>per cent in 2018</w:t>
      </w:r>
      <w:r w:rsidR="000868FE" w:rsidRPr="00E43733">
        <w:t xml:space="preserve"> or 16.2 per cent in 2017</w:t>
      </w:r>
      <w:r w:rsidRPr="00E43733">
        <w:t>.</w:t>
      </w:r>
    </w:p>
    <w:p w14:paraId="588D9B65" w14:textId="77777777" w:rsidR="0068006A" w:rsidRDefault="00E2020C" w:rsidP="00702A33">
      <w:r w:rsidRPr="00E43733">
        <w:t xml:space="preserve">In addition to the explanation provided above at Table 1a with respect to coordination of lease expiration and consolidation, leasing </w:t>
      </w:r>
      <w:r w:rsidR="009F581D" w:rsidRPr="00E43733">
        <w:t xml:space="preserve">decisions are </w:t>
      </w:r>
      <w:r w:rsidR="001A6A2B" w:rsidRPr="00E43733">
        <w:t>guided</w:t>
      </w:r>
      <w:r w:rsidR="009F581D" w:rsidRPr="00E43733">
        <w:t xml:space="preserve"> by a </w:t>
      </w:r>
      <w:r w:rsidR="001A6A2B" w:rsidRPr="00E43733">
        <w:t>requirement for a degree of flexib</w:t>
      </w:r>
      <w:r w:rsidR="00CE01C3" w:rsidRPr="00E43733">
        <w:t>ilit</w:t>
      </w:r>
      <w:r w:rsidR="001A6A2B" w:rsidRPr="00E43733">
        <w:t>y to accommodate for both expected and unplanned growth.</w:t>
      </w:r>
      <w:r w:rsidR="009358DC">
        <w:t xml:space="preserve"> </w:t>
      </w:r>
    </w:p>
    <w:p w14:paraId="432B89D7" w14:textId="427DB907" w:rsidR="007449A0" w:rsidRDefault="001A6A2B" w:rsidP="00702A33">
      <w:r w:rsidRPr="00E43733">
        <w:t>As a result, many entities choose</w:t>
      </w:r>
      <w:r w:rsidR="009F581D" w:rsidRPr="00E43733">
        <w:t xml:space="preserve"> to</w:t>
      </w:r>
      <w:r w:rsidR="007449A0" w:rsidRPr="00E43733">
        <w:t xml:space="preserve"> enter into </w:t>
      </w:r>
      <w:r w:rsidR="00E2020C" w:rsidRPr="00E43733">
        <w:t xml:space="preserve">larger leases for </w:t>
      </w:r>
      <w:r w:rsidR="007449A0" w:rsidRPr="00E43733">
        <w:t>longer term</w:t>
      </w:r>
      <w:r w:rsidR="00E2020C" w:rsidRPr="00E43733">
        <w:t>s</w:t>
      </w:r>
      <w:r w:rsidR="007449A0" w:rsidRPr="00E43733">
        <w:t xml:space="preserve"> </w:t>
      </w:r>
      <w:r w:rsidR="00E2020C" w:rsidRPr="00E43733">
        <w:t xml:space="preserve">at more favourable rates </w:t>
      </w:r>
      <w:r w:rsidR="007449A0" w:rsidRPr="00E43733">
        <w:t>to reduce leasing costs</w:t>
      </w:r>
      <w:r w:rsidR="00404E7D" w:rsidRPr="00E43733">
        <w:t>,</w:t>
      </w:r>
      <w:r w:rsidR="007449A0" w:rsidRPr="00E43733">
        <w:t xml:space="preserve"> achieve better value for money</w:t>
      </w:r>
      <w:r w:rsidR="00404E7D" w:rsidRPr="00E43733">
        <w:t xml:space="preserve"> and</w:t>
      </w:r>
      <w:r w:rsidRPr="00E43733">
        <w:t xml:space="preserve"> </w:t>
      </w:r>
      <w:r w:rsidR="00D859B8" w:rsidRPr="00E43733">
        <w:t>provide the ability</w:t>
      </w:r>
      <w:r w:rsidRPr="00E43733">
        <w:t xml:space="preserve"> to </w:t>
      </w:r>
      <w:r w:rsidR="00D859B8" w:rsidRPr="00E43733">
        <w:t xml:space="preserve">accommodate fluctuations in staffing numbers and </w:t>
      </w:r>
      <w:r w:rsidRPr="00E43733">
        <w:t>scale appropriately.</w:t>
      </w:r>
      <w:r w:rsidR="00702A33">
        <w:t xml:space="preserve"> Where this occurs, Finance works with entities, Property Service Providers and the </w:t>
      </w:r>
      <w:r w:rsidR="00581B0F">
        <w:t xml:space="preserve">Australian </w:t>
      </w:r>
      <w:r w:rsidR="00702A33">
        <w:t>Government’s Strategic Property Adviser to sub</w:t>
      </w:r>
      <w:r w:rsidR="00581B0F">
        <w:t>-</w:t>
      </w:r>
      <w:r w:rsidR="00702A33">
        <w:t>lease</w:t>
      </w:r>
      <w:r w:rsidR="00DF1A7A">
        <w:t>, co-locate, or otherwise dispose of</w:t>
      </w:r>
      <w:r w:rsidR="00702A33">
        <w:t xml:space="preserve"> </w:t>
      </w:r>
      <w:r w:rsidR="00AF566D">
        <w:t>space</w:t>
      </w:r>
      <w:r w:rsidR="00702A33">
        <w:t xml:space="preserve"> to ensure an efficient lease. </w:t>
      </w:r>
    </w:p>
    <w:p w14:paraId="059A9EDB" w14:textId="716CFAEC" w:rsidR="00EA08DF" w:rsidRPr="003770CB" w:rsidRDefault="00A7091A" w:rsidP="00702A33">
      <w:pPr>
        <w:pStyle w:val="Caption"/>
        <w:keepNext/>
      </w:pPr>
      <w:r w:rsidRPr="00EE59E6">
        <w:t>Table 1</w:t>
      </w:r>
      <w:r w:rsidR="007311B9" w:rsidRPr="00D113EE">
        <w:t>c</w:t>
      </w:r>
      <w:r w:rsidRPr="00D113EE">
        <w:t xml:space="preserve">: </w:t>
      </w:r>
      <w:r w:rsidRPr="00B2210F">
        <w:t>Average d</w:t>
      </w:r>
      <w:r w:rsidR="00EA08DF" w:rsidRPr="00B2210F">
        <w:t>ensity rates</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336"/>
        <w:gridCol w:w="1334"/>
        <w:gridCol w:w="1334"/>
      </w:tblGrid>
      <w:tr w:rsidR="007A408A" w:rsidRPr="00EE59E6" w14:paraId="264C9847" w14:textId="77777777" w:rsidTr="00DF1805">
        <w:trPr>
          <w:trHeight w:val="300"/>
          <w:jc w:val="center"/>
        </w:trPr>
        <w:tc>
          <w:tcPr>
            <w:tcW w:w="2767" w:type="pct"/>
            <w:shd w:val="clear" w:color="auto" w:fill="E7E7E7" w:themeFill="text2" w:themeFillTint="1A"/>
            <w:vAlign w:val="center"/>
          </w:tcPr>
          <w:p w14:paraId="4797F426" w14:textId="77777777" w:rsidR="007A408A" w:rsidRPr="00EE59E6" w:rsidRDefault="007A408A" w:rsidP="00DF1805">
            <w:pPr>
              <w:suppressAutoHyphens w:val="0"/>
              <w:spacing w:before="0" w:after="0" w:line="240" w:lineRule="auto"/>
              <w:rPr>
                <w:rFonts w:ascii="Calibri" w:hAnsi="Calibri" w:cs="Calibri"/>
                <w:sz w:val="20"/>
              </w:rPr>
            </w:pPr>
            <w:r w:rsidRPr="00EE59E6">
              <w:rPr>
                <w:rFonts w:ascii="Calibri" w:hAnsi="Calibri" w:cs="Calibri"/>
                <w:sz w:val="20"/>
              </w:rPr>
              <w:t>Measure</w:t>
            </w:r>
          </w:p>
        </w:tc>
        <w:tc>
          <w:tcPr>
            <w:tcW w:w="745" w:type="pct"/>
            <w:shd w:val="clear" w:color="auto" w:fill="E7E7E7" w:themeFill="text2" w:themeFillTint="1A"/>
            <w:vAlign w:val="center"/>
          </w:tcPr>
          <w:p w14:paraId="6AC0A5CC" w14:textId="01F02049" w:rsidR="007A408A" w:rsidRPr="00B05E1C" w:rsidRDefault="007A408A" w:rsidP="00DF1805">
            <w:pPr>
              <w:suppressAutoHyphens w:val="0"/>
              <w:spacing w:before="0" w:after="0" w:line="240" w:lineRule="auto"/>
              <w:jc w:val="right"/>
              <w:rPr>
                <w:rFonts w:ascii="Calibri" w:hAnsi="Calibri" w:cs="Calibri"/>
                <w:b/>
                <w:sz w:val="20"/>
              </w:rPr>
            </w:pPr>
            <w:r w:rsidRPr="00B05E1C">
              <w:rPr>
                <w:rFonts w:ascii="Calibri" w:hAnsi="Calibri" w:cs="Calibri"/>
                <w:b/>
                <w:sz w:val="20"/>
              </w:rPr>
              <w:t>2019</w:t>
            </w:r>
          </w:p>
        </w:tc>
        <w:tc>
          <w:tcPr>
            <w:tcW w:w="744" w:type="pct"/>
            <w:shd w:val="clear" w:color="auto" w:fill="E7E7E7" w:themeFill="text2" w:themeFillTint="1A"/>
            <w:vAlign w:val="center"/>
          </w:tcPr>
          <w:p w14:paraId="0F4750CA" w14:textId="55424793" w:rsidR="007A408A" w:rsidRPr="007A408A" w:rsidRDefault="007A408A" w:rsidP="00DF1805">
            <w:pPr>
              <w:suppressAutoHyphens w:val="0"/>
              <w:spacing w:before="0" w:after="0" w:line="240" w:lineRule="auto"/>
              <w:jc w:val="right"/>
              <w:rPr>
                <w:rFonts w:ascii="Calibri" w:hAnsi="Calibri" w:cs="Calibri"/>
                <w:sz w:val="20"/>
              </w:rPr>
            </w:pPr>
            <w:r w:rsidRPr="007A408A">
              <w:rPr>
                <w:rFonts w:ascii="Calibri" w:hAnsi="Calibri" w:cs="Calibri"/>
                <w:sz w:val="20"/>
              </w:rPr>
              <w:t>2018</w:t>
            </w:r>
          </w:p>
        </w:tc>
        <w:tc>
          <w:tcPr>
            <w:tcW w:w="744" w:type="pct"/>
            <w:shd w:val="clear" w:color="auto" w:fill="E7E7E7" w:themeFill="text2" w:themeFillTint="1A"/>
            <w:vAlign w:val="center"/>
          </w:tcPr>
          <w:p w14:paraId="4B6ACE92" w14:textId="4A1AB3AC" w:rsidR="007A408A" w:rsidRPr="00B05E1C" w:rsidRDefault="007A408A" w:rsidP="00DF1805">
            <w:pPr>
              <w:suppressAutoHyphens w:val="0"/>
              <w:spacing w:before="0" w:after="0" w:line="240" w:lineRule="auto"/>
              <w:jc w:val="right"/>
              <w:rPr>
                <w:rFonts w:ascii="Calibri" w:hAnsi="Calibri" w:cs="Calibri"/>
                <w:sz w:val="20"/>
              </w:rPr>
            </w:pPr>
            <w:r w:rsidRPr="00B05E1C">
              <w:rPr>
                <w:rFonts w:ascii="Calibri" w:hAnsi="Calibri" w:cs="Calibri"/>
                <w:sz w:val="20"/>
              </w:rPr>
              <w:t>2017</w:t>
            </w:r>
          </w:p>
        </w:tc>
      </w:tr>
      <w:tr w:rsidR="007A408A" w:rsidRPr="00EE59E6" w14:paraId="2E73C8D1" w14:textId="77777777" w:rsidTr="00BD6A02">
        <w:trPr>
          <w:trHeight w:val="300"/>
          <w:jc w:val="center"/>
        </w:trPr>
        <w:tc>
          <w:tcPr>
            <w:tcW w:w="2767" w:type="pct"/>
            <w:tcBorders>
              <w:top w:val="single" w:sz="4" w:space="0" w:color="auto"/>
              <w:left w:val="single" w:sz="4" w:space="0" w:color="auto"/>
              <w:bottom w:val="single" w:sz="4" w:space="0" w:color="auto"/>
              <w:right w:val="single" w:sz="4" w:space="0" w:color="auto"/>
            </w:tcBorders>
            <w:shd w:val="clear" w:color="auto" w:fill="auto"/>
            <w:vAlign w:val="center"/>
          </w:tcPr>
          <w:p w14:paraId="41475F66" w14:textId="77777777" w:rsidR="007A408A" w:rsidRPr="00EE59E6" w:rsidRDefault="007A408A" w:rsidP="00BD6A02">
            <w:pPr>
              <w:suppressAutoHyphens w:val="0"/>
              <w:spacing w:before="0" w:after="0" w:line="240" w:lineRule="auto"/>
              <w:rPr>
                <w:rFonts w:ascii="Calibri" w:hAnsi="Calibri" w:cs="Calibri"/>
                <w:sz w:val="20"/>
              </w:rPr>
            </w:pPr>
            <w:r w:rsidRPr="00EE59E6">
              <w:rPr>
                <w:rFonts w:ascii="Calibri" w:hAnsi="Calibri" w:cs="Calibri"/>
                <w:sz w:val="20"/>
              </w:rPr>
              <w:t>Average Fit-out Density (m²)</w:t>
            </w:r>
          </w:p>
        </w:tc>
        <w:tc>
          <w:tcPr>
            <w:tcW w:w="745" w:type="pct"/>
            <w:tcBorders>
              <w:top w:val="single" w:sz="4" w:space="0" w:color="auto"/>
              <w:left w:val="single" w:sz="4" w:space="0" w:color="auto"/>
              <w:bottom w:val="single" w:sz="4" w:space="0" w:color="auto"/>
              <w:right w:val="single" w:sz="4" w:space="0" w:color="auto"/>
            </w:tcBorders>
            <w:vAlign w:val="center"/>
          </w:tcPr>
          <w:p w14:paraId="12DFFCF6" w14:textId="53169F8B" w:rsidR="007A408A" w:rsidRPr="00127EBB" w:rsidRDefault="007A408A" w:rsidP="00BD6A02">
            <w:pPr>
              <w:suppressAutoHyphens w:val="0"/>
              <w:spacing w:before="0" w:after="0" w:line="240" w:lineRule="auto"/>
              <w:jc w:val="right"/>
              <w:rPr>
                <w:rFonts w:ascii="Calibri" w:hAnsi="Calibri" w:cs="Calibri"/>
                <w:b/>
                <w:sz w:val="20"/>
              </w:rPr>
            </w:pPr>
            <w:r w:rsidRPr="00127EBB">
              <w:rPr>
                <w:rFonts w:ascii="Calibri" w:hAnsi="Calibri" w:cs="Calibri"/>
                <w:b/>
                <w:sz w:val="20"/>
              </w:rPr>
              <w:t>13.7</w:t>
            </w:r>
          </w:p>
        </w:tc>
        <w:tc>
          <w:tcPr>
            <w:tcW w:w="744" w:type="pct"/>
            <w:tcBorders>
              <w:top w:val="single" w:sz="4" w:space="0" w:color="auto"/>
              <w:left w:val="single" w:sz="4" w:space="0" w:color="auto"/>
              <w:bottom w:val="single" w:sz="4" w:space="0" w:color="auto"/>
              <w:right w:val="single" w:sz="4" w:space="0" w:color="auto"/>
            </w:tcBorders>
            <w:vAlign w:val="center"/>
          </w:tcPr>
          <w:p w14:paraId="31767CC6" w14:textId="7BA56350" w:rsidR="007A408A" w:rsidRPr="00127EBB" w:rsidRDefault="007A408A" w:rsidP="00BD6A02">
            <w:pPr>
              <w:suppressAutoHyphens w:val="0"/>
              <w:spacing w:before="0" w:after="0" w:line="240" w:lineRule="auto"/>
              <w:jc w:val="right"/>
              <w:rPr>
                <w:rFonts w:ascii="Calibri" w:hAnsi="Calibri" w:cs="Calibri"/>
                <w:sz w:val="20"/>
              </w:rPr>
            </w:pPr>
            <w:r w:rsidRPr="00127EBB">
              <w:rPr>
                <w:rFonts w:ascii="Calibri" w:hAnsi="Calibri" w:cs="Calibri"/>
                <w:sz w:val="20"/>
              </w:rPr>
              <w:t>13.7</w:t>
            </w:r>
          </w:p>
        </w:tc>
        <w:tc>
          <w:tcPr>
            <w:tcW w:w="744" w:type="pct"/>
            <w:tcBorders>
              <w:top w:val="single" w:sz="4" w:space="0" w:color="auto"/>
              <w:left w:val="single" w:sz="4" w:space="0" w:color="auto"/>
              <w:bottom w:val="single" w:sz="4" w:space="0" w:color="auto"/>
              <w:right w:val="single" w:sz="4" w:space="0" w:color="auto"/>
            </w:tcBorders>
            <w:vAlign w:val="center"/>
          </w:tcPr>
          <w:p w14:paraId="617977FC" w14:textId="7D6BB901" w:rsidR="007A408A" w:rsidRPr="00127EBB" w:rsidRDefault="007A408A" w:rsidP="00BD6A02">
            <w:pPr>
              <w:suppressAutoHyphens w:val="0"/>
              <w:spacing w:before="0" w:after="0" w:line="240" w:lineRule="auto"/>
              <w:jc w:val="right"/>
              <w:rPr>
                <w:rFonts w:ascii="Calibri" w:hAnsi="Calibri" w:cs="Calibri"/>
                <w:sz w:val="20"/>
              </w:rPr>
            </w:pPr>
            <w:r w:rsidRPr="00127EBB">
              <w:rPr>
                <w:rFonts w:ascii="Calibri" w:hAnsi="Calibri" w:cs="Calibri"/>
                <w:sz w:val="20"/>
              </w:rPr>
              <w:t>14.4</w:t>
            </w:r>
          </w:p>
        </w:tc>
      </w:tr>
      <w:tr w:rsidR="007A408A" w:rsidRPr="00EE59E6" w14:paraId="06E6DCB1" w14:textId="77777777" w:rsidTr="00BD6A02">
        <w:trPr>
          <w:trHeight w:val="300"/>
          <w:jc w:val="center"/>
        </w:trPr>
        <w:tc>
          <w:tcPr>
            <w:tcW w:w="2767" w:type="pct"/>
            <w:tcBorders>
              <w:top w:val="single" w:sz="4" w:space="0" w:color="auto"/>
              <w:left w:val="single" w:sz="4" w:space="0" w:color="auto"/>
              <w:bottom w:val="single" w:sz="4" w:space="0" w:color="auto"/>
              <w:right w:val="single" w:sz="4" w:space="0" w:color="auto"/>
            </w:tcBorders>
            <w:shd w:val="clear" w:color="auto" w:fill="auto"/>
            <w:vAlign w:val="center"/>
          </w:tcPr>
          <w:p w14:paraId="2AEBCD3F" w14:textId="77777777" w:rsidR="007A408A" w:rsidRPr="00EE59E6" w:rsidRDefault="007A408A" w:rsidP="00BD6A02">
            <w:pPr>
              <w:suppressAutoHyphens w:val="0"/>
              <w:spacing w:before="0" w:after="0" w:line="240" w:lineRule="auto"/>
              <w:rPr>
                <w:rFonts w:ascii="Calibri" w:hAnsi="Calibri" w:cs="Calibri"/>
                <w:sz w:val="20"/>
              </w:rPr>
            </w:pPr>
            <w:r w:rsidRPr="00EE59E6">
              <w:rPr>
                <w:rFonts w:ascii="Calibri" w:hAnsi="Calibri" w:cs="Calibri"/>
                <w:sz w:val="20"/>
              </w:rPr>
              <w:t>Average Occupational Density (m²)</w:t>
            </w:r>
          </w:p>
        </w:tc>
        <w:tc>
          <w:tcPr>
            <w:tcW w:w="745" w:type="pct"/>
            <w:tcBorders>
              <w:top w:val="single" w:sz="4" w:space="0" w:color="auto"/>
              <w:left w:val="single" w:sz="4" w:space="0" w:color="auto"/>
              <w:bottom w:val="single" w:sz="4" w:space="0" w:color="auto"/>
              <w:right w:val="single" w:sz="4" w:space="0" w:color="auto"/>
            </w:tcBorders>
            <w:vAlign w:val="center"/>
          </w:tcPr>
          <w:p w14:paraId="09A86575" w14:textId="5756EFF0" w:rsidR="007A408A" w:rsidRPr="00127EBB" w:rsidRDefault="007A408A" w:rsidP="00BD6A02">
            <w:pPr>
              <w:suppressAutoHyphens w:val="0"/>
              <w:spacing w:before="0" w:after="0" w:line="240" w:lineRule="auto"/>
              <w:jc w:val="right"/>
              <w:rPr>
                <w:rFonts w:ascii="Calibri" w:hAnsi="Calibri" w:cs="Calibri"/>
                <w:b/>
                <w:sz w:val="20"/>
              </w:rPr>
            </w:pPr>
            <w:r w:rsidRPr="00127EBB">
              <w:rPr>
                <w:rFonts w:ascii="Calibri" w:hAnsi="Calibri" w:cs="Calibri"/>
                <w:b/>
                <w:sz w:val="20"/>
              </w:rPr>
              <w:t>16.1</w:t>
            </w:r>
          </w:p>
        </w:tc>
        <w:tc>
          <w:tcPr>
            <w:tcW w:w="744" w:type="pct"/>
            <w:tcBorders>
              <w:top w:val="single" w:sz="4" w:space="0" w:color="auto"/>
              <w:left w:val="single" w:sz="4" w:space="0" w:color="auto"/>
              <w:bottom w:val="single" w:sz="4" w:space="0" w:color="auto"/>
              <w:right w:val="single" w:sz="4" w:space="0" w:color="auto"/>
            </w:tcBorders>
            <w:vAlign w:val="center"/>
          </w:tcPr>
          <w:p w14:paraId="1B2AB88C" w14:textId="35F81773" w:rsidR="007A408A" w:rsidRPr="00127EBB" w:rsidRDefault="007A408A" w:rsidP="00BD6A02">
            <w:pPr>
              <w:suppressAutoHyphens w:val="0"/>
              <w:spacing w:before="0" w:after="0" w:line="240" w:lineRule="auto"/>
              <w:jc w:val="right"/>
              <w:rPr>
                <w:rFonts w:ascii="Calibri" w:hAnsi="Calibri" w:cs="Calibri"/>
                <w:sz w:val="20"/>
              </w:rPr>
            </w:pPr>
            <w:r w:rsidRPr="00127EBB">
              <w:rPr>
                <w:rFonts w:ascii="Calibri" w:hAnsi="Calibri" w:cs="Calibri"/>
                <w:sz w:val="20"/>
              </w:rPr>
              <w:t>16.0</w:t>
            </w:r>
          </w:p>
        </w:tc>
        <w:tc>
          <w:tcPr>
            <w:tcW w:w="744" w:type="pct"/>
            <w:tcBorders>
              <w:top w:val="single" w:sz="4" w:space="0" w:color="auto"/>
              <w:left w:val="single" w:sz="4" w:space="0" w:color="auto"/>
              <w:bottom w:val="single" w:sz="4" w:space="0" w:color="auto"/>
              <w:right w:val="single" w:sz="4" w:space="0" w:color="auto"/>
            </w:tcBorders>
            <w:vAlign w:val="center"/>
          </w:tcPr>
          <w:p w14:paraId="02A94A3B" w14:textId="28A54E4E" w:rsidR="007A408A" w:rsidRPr="00127EBB" w:rsidRDefault="007A408A" w:rsidP="00BD6A02">
            <w:pPr>
              <w:suppressAutoHyphens w:val="0"/>
              <w:spacing w:before="0" w:after="0" w:line="240" w:lineRule="auto"/>
              <w:jc w:val="right"/>
              <w:rPr>
                <w:rFonts w:ascii="Calibri" w:hAnsi="Calibri" w:cs="Calibri"/>
                <w:sz w:val="20"/>
              </w:rPr>
            </w:pPr>
            <w:r w:rsidRPr="00127EBB">
              <w:rPr>
                <w:rFonts w:ascii="Calibri" w:hAnsi="Calibri" w:cs="Calibri"/>
                <w:sz w:val="20"/>
              </w:rPr>
              <w:t>17.1</w:t>
            </w:r>
          </w:p>
        </w:tc>
      </w:tr>
      <w:tr w:rsidR="007A408A" w:rsidRPr="00EE59E6" w14:paraId="5220E100" w14:textId="77777777" w:rsidTr="00BD6A02">
        <w:trPr>
          <w:trHeight w:val="300"/>
          <w:jc w:val="center"/>
        </w:trPr>
        <w:tc>
          <w:tcPr>
            <w:tcW w:w="2767" w:type="pct"/>
            <w:tcBorders>
              <w:top w:val="single" w:sz="4" w:space="0" w:color="auto"/>
              <w:left w:val="single" w:sz="4" w:space="0" w:color="auto"/>
              <w:bottom w:val="single" w:sz="4" w:space="0" w:color="auto"/>
              <w:right w:val="single" w:sz="4" w:space="0" w:color="auto"/>
            </w:tcBorders>
            <w:shd w:val="clear" w:color="auto" w:fill="auto"/>
            <w:vAlign w:val="center"/>
          </w:tcPr>
          <w:p w14:paraId="61AD1477" w14:textId="77777777" w:rsidR="007A408A" w:rsidRPr="00EE59E6" w:rsidRDefault="007A408A" w:rsidP="00BD6A02">
            <w:pPr>
              <w:suppressAutoHyphens w:val="0"/>
              <w:spacing w:before="0" w:after="0" w:line="240" w:lineRule="auto"/>
              <w:rPr>
                <w:rFonts w:ascii="Calibri" w:hAnsi="Calibri" w:cs="Calibri"/>
                <w:sz w:val="20"/>
              </w:rPr>
            </w:pPr>
            <w:r w:rsidRPr="00EE59E6">
              <w:rPr>
                <w:rFonts w:ascii="Calibri" w:hAnsi="Calibri" w:cs="Calibri"/>
                <w:sz w:val="20"/>
              </w:rPr>
              <w:t>Meeting the Occupational Density Target (%)</w:t>
            </w:r>
          </w:p>
        </w:tc>
        <w:tc>
          <w:tcPr>
            <w:tcW w:w="745" w:type="pct"/>
            <w:tcBorders>
              <w:top w:val="single" w:sz="4" w:space="0" w:color="auto"/>
              <w:left w:val="single" w:sz="4" w:space="0" w:color="auto"/>
              <w:bottom w:val="single" w:sz="4" w:space="0" w:color="auto"/>
              <w:right w:val="single" w:sz="4" w:space="0" w:color="auto"/>
            </w:tcBorders>
            <w:vAlign w:val="center"/>
          </w:tcPr>
          <w:p w14:paraId="331FFD39" w14:textId="002C42D6" w:rsidR="007A408A" w:rsidRPr="00127EBB" w:rsidRDefault="007A408A" w:rsidP="00BD6A02">
            <w:pPr>
              <w:suppressAutoHyphens w:val="0"/>
              <w:spacing w:before="0" w:after="0" w:line="240" w:lineRule="auto"/>
              <w:jc w:val="right"/>
              <w:rPr>
                <w:rFonts w:ascii="Calibri" w:hAnsi="Calibri" w:cs="Calibri"/>
                <w:b/>
                <w:sz w:val="20"/>
              </w:rPr>
            </w:pPr>
            <w:r w:rsidRPr="00127EBB">
              <w:rPr>
                <w:rFonts w:ascii="Calibri" w:hAnsi="Calibri" w:cs="Calibri"/>
                <w:b/>
                <w:sz w:val="20"/>
              </w:rPr>
              <w:t>29.6%</w:t>
            </w:r>
          </w:p>
        </w:tc>
        <w:tc>
          <w:tcPr>
            <w:tcW w:w="744" w:type="pct"/>
            <w:tcBorders>
              <w:top w:val="single" w:sz="4" w:space="0" w:color="auto"/>
              <w:left w:val="single" w:sz="4" w:space="0" w:color="auto"/>
              <w:bottom w:val="single" w:sz="4" w:space="0" w:color="auto"/>
              <w:right w:val="single" w:sz="4" w:space="0" w:color="auto"/>
            </w:tcBorders>
            <w:vAlign w:val="center"/>
          </w:tcPr>
          <w:p w14:paraId="1BB4CC9E" w14:textId="1C48E258" w:rsidR="007A408A" w:rsidRPr="00127EBB" w:rsidRDefault="007A408A" w:rsidP="00BD6A02">
            <w:pPr>
              <w:suppressAutoHyphens w:val="0"/>
              <w:spacing w:before="0" w:after="0" w:line="240" w:lineRule="auto"/>
              <w:jc w:val="right"/>
              <w:rPr>
                <w:rFonts w:ascii="Calibri" w:hAnsi="Calibri" w:cs="Calibri"/>
                <w:sz w:val="20"/>
              </w:rPr>
            </w:pPr>
            <w:r w:rsidRPr="00127EBB">
              <w:rPr>
                <w:rFonts w:ascii="Calibri" w:hAnsi="Calibri" w:cs="Calibri"/>
                <w:sz w:val="20"/>
              </w:rPr>
              <w:t>31.6%</w:t>
            </w:r>
          </w:p>
        </w:tc>
        <w:tc>
          <w:tcPr>
            <w:tcW w:w="744" w:type="pct"/>
            <w:tcBorders>
              <w:top w:val="single" w:sz="4" w:space="0" w:color="auto"/>
              <w:left w:val="single" w:sz="4" w:space="0" w:color="auto"/>
              <w:bottom w:val="single" w:sz="4" w:space="0" w:color="auto"/>
              <w:right w:val="single" w:sz="4" w:space="0" w:color="auto"/>
            </w:tcBorders>
            <w:vAlign w:val="center"/>
          </w:tcPr>
          <w:p w14:paraId="6AE13147" w14:textId="68B9D263" w:rsidR="007A408A" w:rsidRPr="00127EBB" w:rsidRDefault="007A408A" w:rsidP="00BD6A02">
            <w:pPr>
              <w:suppressAutoHyphens w:val="0"/>
              <w:spacing w:before="0" w:after="0" w:line="240" w:lineRule="auto"/>
              <w:jc w:val="right"/>
              <w:rPr>
                <w:rFonts w:ascii="Calibri" w:hAnsi="Calibri" w:cs="Calibri"/>
                <w:sz w:val="20"/>
              </w:rPr>
            </w:pPr>
            <w:r w:rsidRPr="00127EBB">
              <w:rPr>
                <w:rFonts w:ascii="Calibri" w:hAnsi="Calibri" w:cs="Calibri"/>
                <w:sz w:val="20"/>
              </w:rPr>
              <w:t>25.0%</w:t>
            </w:r>
          </w:p>
        </w:tc>
      </w:tr>
    </w:tbl>
    <w:p w14:paraId="25695C63" w14:textId="74C8CA2C" w:rsidR="007B0BBF" w:rsidRPr="00E43733" w:rsidRDefault="007B0BBF" w:rsidP="007B0BBF">
      <w:r w:rsidRPr="00B05E1C">
        <w:t xml:space="preserve">The average fit-out density for entities has </w:t>
      </w:r>
      <w:r>
        <w:t>remained</w:t>
      </w:r>
      <w:r w:rsidRPr="00B05E1C">
        <w:t xml:space="preserve"> consistent at 13.7</w:t>
      </w:r>
      <w:r w:rsidR="00132924">
        <w:t xml:space="preserve"> </w:t>
      </w:r>
      <w:r w:rsidRPr="00B05E1C">
        <w:t>m</w:t>
      </w:r>
      <w:r w:rsidRPr="00B05E1C">
        <w:rPr>
          <w:vertAlign w:val="superscript"/>
        </w:rPr>
        <w:t>2</w:t>
      </w:r>
      <w:r w:rsidRPr="00B05E1C">
        <w:t xml:space="preserve"> </w:t>
      </w:r>
      <w:r>
        <w:t>across</w:t>
      </w:r>
      <w:r w:rsidRPr="00B05E1C">
        <w:t xml:space="preserve"> 201</w:t>
      </w:r>
      <w:r>
        <w:t>9</w:t>
      </w:r>
      <w:r w:rsidRPr="00B05E1C">
        <w:t xml:space="preserve"> and 201</w:t>
      </w:r>
      <w:r>
        <w:t>8</w:t>
      </w:r>
      <w:r w:rsidRPr="00B05E1C">
        <w:t xml:space="preserve">. This </w:t>
      </w:r>
      <w:r>
        <w:t>remains</w:t>
      </w:r>
      <w:r w:rsidRPr="00B05E1C">
        <w:t xml:space="preserve"> an improvement from </w:t>
      </w:r>
      <w:r>
        <w:t>14.4</w:t>
      </w:r>
      <w:r w:rsidRPr="00B05E1C">
        <w:t> m</w:t>
      </w:r>
      <w:r w:rsidRPr="00B05E1C">
        <w:rPr>
          <w:vertAlign w:val="superscript"/>
        </w:rPr>
        <w:t>2</w:t>
      </w:r>
      <w:r w:rsidRPr="00B05E1C">
        <w:t xml:space="preserve"> of usable office space per work-point in 201</w:t>
      </w:r>
      <w:r>
        <w:t>7</w:t>
      </w:r>
      <w:r w:rsidRPr="00B05E1C">
        <w:t>. Moving to a lease with a fit-out</w:t>
      </w:r>
      <w:r>
        <w:t xml:space="preserve"> that is </w:t>
      </w:r>
      <w:r w:rsidR="0012717A">
        <w:t>more dense</w:t>
      </w:r>
      <w:r w:rsidRPr="00B05E1C">
        <w:t>, or adding more work-points to an existing tenancy</w:t>
      </w:r>
      <w:r w:rsidR="006B4505">
        <w:t>,</w:t>
      </w:r>
      <w:r w:rsidRPr="00B05E1C">
        <w:t xml:space="preserve"> enables entities </w:t>
      </w:r>
      <w:r w:rsidR="006B4505">
        <w:t xml:space="preserve">to </w:t>
      </w:r>
      <w:r>
        <w:t xml:space="preserve">increase fit-out density </w:t>
      </w:r>
      <w:r w:rsidRPr="00B05E1C">
        <w:t xml:space="preserve">to accommodate more staff in </w:t>
      </w:r>
      <w:r w:rsidRPr="00E43733">
        <w:t>their usable office area.</w:t>
      </w:r>
    </w:p>
    <w:p w14:paraId="4FE8DA70" w14:textId="72207F02" w:rsidR="008C2D8A" w:rsidRPr="00E43733" w:rsidRDefault="008C2D8A" w:rsidP="007B0BBF">
      <w:r w:rsidRPr="00E43733">
        <w:t xml:space="preserve">Where reconfiguration occurs in an existing tenancy, an entity may require a staging area to accommodate staff. This short term space is included in the </w:t>
      </w:r>
      <w:r w:rsidR="00AA3C1B" w:rsidRPr="00E43733">
        <w:t>O</w:t>
      </w:r>
      <w:r w:rsidRPr="00E43733">
        <w:t xml:space="preserve">ccupancy </w:t>
      </w:r>
      <w:r w:rsidR="00AA3C1B" w:rsidRPr="00E43733">
        <w:t>R</w:t>
      </w:r>
      <w:r w:rsidRPr="00E43733">
        <w:t>eport when it is held by the Commonwealth as at 30 June 2019, regardless of a future intent to relinquish or sub</w:t>
      </w:r>
      <w:r w:rsidR="0005722A">
        <w:t>-</w:t>
      </w:r>
      <w:r w:rsidRPr="00E43733">
        <w:t>let the space.</w:t>
      </w:r>
    </w:p>
    <w:p w14:paraId="560A1A87" w14:textId="4039699F" w:rsidR="007B0BBF" w:rsidRDefault="007B0BBF" w:rsidP="007B0BBF">
      <w:r w:rsidRPr="00E43733">
        <w:t>The average occupational density has remained consistent</w:t>
      </w:r>
      <w:r w:rsidR="00C56F0F" w:rsidRPr="00E43733">
        <w:t>,</w:t>
      </w:r>
      <w:r w:rsidRPr="00E43733">
        <w:t xml:space="preserve"> </w:t>
      </w:r>
      <w:r w:rsidR="004327C2" w:rsidRPr="00E43733">
        <w:t xml:space="preserve">deteriorating </w:t>
      </w:r>
      <w:r w:rsidRPr="00E43733">
        <w:t>slightly from 16.0</w:t>
      </w:r>
      <w:r w:rsidR="00C21B57" w:rsidRPr="00E43733">
        <w:t> </w:t>
      </w:r>
      <w:r w:rsidRPr="00E43733">
        <w:t>m</w:t>
      </w:r>
      <w:r w:rsidRPr="00E43733">
        <w:rPr>
          <w:vertAlign w:val="superscript"/>
        </w:rPr>
        <w:t>2</w:t>
      </w:r>
      <w:r w:rsidRPr="00E43733">
        <w:t xml:space="preserve"> in</w:t>
      </w:r>
      <w:r w:rsidRPr="00B05E1C">
        <w:t xml:space="preserve"> 2018 to 16.1</w:t>
      </w:r>
      <w:r w:rsidR="00C21B57">
        <w:t> </w:t>
      </w:r>
      <w:r w:rsidRPr="00B05E1C">
        <w:t>m</w:t>
      </w:r>
      <w:r w:rsidRPr="00B05E1C">
        <w:rPr>
          <w:vertAlign w:val="superscript"/>
        </w:rPr>
        <w:t>2</w:t>
      </w:r>
      <w:r w:rsidRPr="00B05E1C">
        <w:t xml:space="preserve"> in 2019. </w:t>
      </w:r>
      <w:r>
        <w:t xml:space="preserve">Occupational density </w:t>
      </w:r>
      <w:r w:rsidRPr="00B05E1C">
        <w:t>has improved overall from 17.1</w:t>
      </w:r>
      <w:r w:rsidR="00C21B57">
        <w:t> </w:t>
      </w:r>
      <w:r w:rsidRPr="00B05E1C">
        <w:t>m</w:t>
      </w:r>
      <w:r w:rsidRPr="00B05E1C">
        <w:rPr>
          <w:vertAlign w:val="superscript"/>
        </w:rPr>
        <w:t>2</w:t>
      </w:r>
      <w:r w:rsidRPr="00B05E1C">
        <w:t xml:space="preserve"> in 2017.</w:t>
      </w:r>
    </w:p>
    <w:p w14:paraId="5CA8A1B4" w14:textId="0694E945" w:rsidR="007B0BBF" w:rsidRDefault="007B0BBF" w:rsidP="007B0BBF">
      <w:r w:rsidRPr="00B05E1C">
        <w:t>The percentage of Commonwealth tenancies meeting the Government’s occupational density target of 14 m</w:t>
      </w:r>
      <w:r w:rsidRPr="00B05E1C">
        <w:rPr>
          <w:vertAlign w:val="superscript"/>
        </w:rPr>
        <w:t>2</w:t>
      </w:r>
      <w:r w:rsidRPr="00B05E1C">
        <w:t xml:space="preserve"> usable office space per occupied work-point </w:t>
      </w:r>
      <w:r>
        <w:t>has reduced slightly with</w:t>
      </w:r>
      <w:r w:rsidRPr="00B05E1C">
        <w:t xml:space="preserve"> 29.6 per cent of tenancies me</w:t>
      </w:r>
      <w:r>
        <w:t>e</w:t>
      </w:r>
      <w:r w:rsidRPr="00B05E1C">
        <w:t>t</w:t>
      </w:r>
      <w:r>
        <w:t>ing</w:t>
      </w:r>
      <w:r w:rsidRPr="00B05E1C">
        <w:t xml:space="preserve"> the target in 2019</w:t>
      </w:r>
      <w:r>
        <w:t xml:space="preserve"> compared to</w:t>
      </w:r>
      <w:r w:rsidRPr="00B05E1C">
        <w:t xml:space="preserve"> 31.6 per cent of tenancies me</w:t>
      </w:r>
      <w:r>
        <w:t>e</w:t>
      </w:r>
      <w:r w:rsidRPr="00B05E1C">
        <w:t>t</w:t>
      </w:r>
      <w:r>
        <w:t>ing</w:t>
      </w:r>
      <w:r w:rsidRPr="00B05E1C">
        <w:t xml:space="preserve"> the target in 2018</w:t>
      </w:r>
      <w:r>
        <w:t xml:space="preserve">, however this remains an </w:t>
      </w:r>
      <w:r w:rsidR="006B4505">
        <w:t xml:space="preserve">improvement </w:t>
      </w:r>
      <w:r>
        <w:t xml:space="preserve">from </w:t>
      </w:r>
      <w:r w:rsidRPr="00B05E1C">
        <w:t xml:space="preserve">25 per cent </w:t>
      </w:r>
      <w:r>
        <w:t xml:space="preserve">meeting the target </w:t>
      </w:r>
      <w:r w:rsidRPr="00B05E1C">
        <w:t>in 2017.</w:t>
      </w:r>
      <w:r w:rsidR="00451D4F">
        <w:t xml:space="preserve"> </w:t>
      </w:r>
    </w:p>
    <w:p w14:paraId="6B188D94" w14:textId="662CFFAF" w:rsidR="003350AC" w:rsidRPr="003350AC" w:rsidRDefault="003350AC" w:rsidP="003350AC">
      <w:r w:rsidRPr="003350AC">
        <w:t xml:space="preserve">There are 168 </w:t>
      </w:r>
      <w:r w:rsidRPr="00F65B21">
        <w:t>tenancies that achieve the Government’s target of 14 m</w:t>
      </w:r>
      <w:r w:rsidRPr="00F65B21">
        <w:rPr>
          <w:vertAlign w:val="superscript"/>
        </w:rPr>
        <w:t xml:space="preserve">2 </w:t>
      </w:r>
      <w:r w:rsidRPr="00F65B21">
        <w:t>of usable office space per occupied work-point.</w:t>
      </w:r>
      <w:r w:rsidR="003050AF">
        <w:t xml:space="preserve"> </w:t>
      </w:r>
      <w:r w:rsidRPr="00F65B21">
        <w:t>These 168 tenancies ha</w:t>
      </w:r>
      <w:r w:rsidR="006F28DE">
        <w:t>ve</w:t>
      </w:r>
      <w:r w:rsidRPr="00F65B21">
        <w:t xml:space="preserve"> an average fit-out density of 11</w:t>
      </w:r>
      <w:r w:rsidR="00902513">
        <w:t>.7</w:t>
      </w:r>
      <w:r w:rsidR="003050AF">
        <w:t> </w:t>
      </w:r>
      <w:r w:rsidRPr="00F65B21">
        <w:t>m</w:t>
      </w:r>
      <w:r w:rsidRPr="00F65B21">
        <w:rPr>
          <w:vertAlign w:val="superscript"/>
        </w:rPr>
        <w:t>2</w:t>
      </w:r>
      <w:r w:rsidRPr="00F65B21">
        <w:t xml:space="preserve"> of usable office area per work-point and a</w:t>
      </w:r>
      <w:r w:rsidR="006F28DE">
        <w:t>n average</w:t>
      </w:r>
      <w:r w:rsidRPr="00F65B21">
        <w:t xml:space="preserve"> work-point vacancy rate of </w:t>
      </w:r>
      <w:r w:rsidR="00497387">
        <w:t>6.8</w:t>
      </w:r>
      <w:r w:rsidRPr="00F65B21">
        <w:t> per cent – both of which are better than the Commonwealth average.</w:t>
      </w:r>
    </w:p>
    <w:p w14:paraId="27FC4BB2" w14:textId="5600F098" w:rsidR="003350AC" w:rsidRDefault="003350AC" w:rsidP="003350AC">
      <w:r>
        <w:t xml:space="preserve">The chart below is snapshot of the majority of tenancies and shows a cluster around the occupational density target. There are </w:t>
      </w:r>
      <w:r w:rsidRPr="00B05E1C">
        <w:t xml:space="preserve">113 tenancies </w:t>
      </w:r>
      <w:r>
        <w:t>with</w:t>
      </w:r>
      <w:r w:rsidRPr="00B05E1C">
        <w:t xml:space="preserve"> an occupational density between 14</w:t>
      </w:r>
      <w:r w:rsidRPr="00B05E1C">
        <w:noBreakHyphen/>
        <w:t>16 m</w:t>
      </w:r>
      <w:r w:rsidRPr="00B05E1C">
        <w:rPr>
          <w:vertAlign w:val="superscript"/>
        </w:rPr>
        <w:t>2</w:t>
      </w:r>
      <w:r w:rsidRPr="00B05E1C">
        <w:t>. A modest improvement in these tenancies would see a far higher proportion of Commonwealth tenancies meet</w:t>
      </w:r>
      <w:r w:rsidR="00A046BC">
        <w:t>ing</w:t>
      </w:r>
      <w:r w:rsidRPr="00B05E1C">
        <w:t xml:space="preserve"> the Government’s target. </w:t>
      </w:r>
      <w:r w:rsidR="000E0F18">
        <w:t>Of the 188 tenancies with an occupational density between 14-18 m</w:t>
      </w:r>
      <w:r w:rsidR="000E0F18" w:rsidRPr="002A146E">
        <w:rPr>
          <w:vertAlign w:val="superscript"/>
        </w:rPr>
        <w:t>2</w:t>
      </w:r>
      <w:r w:rsidR="000E0F18">
        <w:t xml:space="preserve">, 26 per cent of these leases have a lease end date within the next two years and </w:t>
      </w:r>
      <w:r>
        <w:t>provide an opportunity to reconsider leases and consolidate space in line with the Government’s target.</w:t>
      </w:r>
    </w:p>
    <w:p w14:paraId="65AB55A8" w14:textId="058F9447" w:rsidR="004E5E3D" w:rsidRPr="008748F0" w:rsidRDefault="004E5E3D" w:rsidP="003350AC">
      <w:pPr>
        <w:rPr>
          <w:b/>
        </w:rPr>
      </w:pPr>
      <w:r>
        <w:rPr>
          <w:b/>
        </w:rPr>
        <w:t xml:space="preserve">Chart 1: </w:t>
      </w:r>
      <w:r w:rsidRPr="008748F0">
        <w:rPr>
          <w:b/>
        </w:rPr>
        <w:t>Distribution of Occupational Density Rates for Tenancies</w:t>
      </w:r>
      <w:r w:rsidR="00D96565">
        <w:rPr>
          <w:b/>
        </w:rPr>
        <w:t xml:space="preserve"> between 10-18 m</w:t>
      </w:r>
      <w:r w:rsidR="00D96565" w:rsidRPr="00D96565">
        <w:rPr>
          <w:b/>
          <w:vertAlign w:val="superscript"/>
        </w:rPr>
        <w:t>2</w:t>
      </w:r>
    </w:p>
    <w:p w14:paraId="5326EEE1" w14:textId="0EFEEDC3" w:rsidR="00B960B2" w:rsidRDefault="00734E5B" w:rsidP="00734E5B">
      <w:pPr>
        <w:suppressAutoHyphens w:val="0"/>
        <w:spacing w:before="0" w:after="120" w:line="440" w:lineRule="atLeast"/>
        <w:jc w:val="center"/>
        <w:rPr>
          <w:b/>
          <w:iCs/>
          <w:color w:val="000000" w:themeColor="text1"/>
          <w:szCs w:val="18"/>
        </w:rPr>
      </w:pPr>
      <w:r w:rsidRPr="00734E5B">
        <w:rPr>
          <w:noProof/>
          <w:lang w:eastAsia="en-AU"/>
        </w:rPr>
        <w:drawing>
          <wp:inline distT="0" distB="0" distL="0" distR="0" wp14:anchorId="1499F24E" wp14:editId="3F84F6BE">
            <wp:extent cx="6336097" cy="3307743"/>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7135" cy="3313505"/>
                    </a:xfrm>
                    <a:prstGeom prst="rect">
                      <a:avLst/>
                    </a:prstGeom>
                  </pic:spPr>
                </pic:pic>
              </a:graphicData>
            </a:graphic>
          </wp:inline>
        </w:drawing>
      </w:r>
      <w:r w:rsidR="00B960B2">
        <w:rPr>
          <w:b/>
          <w:iCs/>
          <w:color w:val="000000" w:themeColor="text1"/>
          <w:szCs w:val="18"/>
        </w:rPr>
        <w:br w:type="page"/>
      </w:r>
    </w:p>
    <w:p w14:paraId="69958713" w14:textId="221678D9" w:rsidR="00CD0172" w:rsidRDefault="00CD0172" w:rsidP="00150DD9">
      <w:pPr>
        <w:rPr>
          <w:b/>
          <w:iCs/>
          <w:color w:val="000000" w:themeColor="text1"/>
          <w:szCs w:val="18"/>
        </w:rPr>
      </w:pPr>
      <w:r w:rsidRPr="00B2390F">
        <w:rPr>
          <w:b/>
          <w:iCs/>
          <w:color w:val="000000" w:themeColor="text1"/>
          <w:szCs w:val="18"/>
        </w:rPr>
        <w:t>Ta</w:t>
      </w:r>
      <w:r w:rsidR="00B2390F">
        <w:rPr>
          <w:b/>
          <w:iCs/>
          <w:color w:val="000000" w:themeColor="text1"/>
          <w:szCs w:val="18"/>
        </w:rPr>
        <w:t>ble 1d: Cost Indicators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417"/>
        <w:gridCol w:w="1276"/>
        <w:gridCol w:w="1276"/>
      </w:tblGrid>
      <w:tr w:rsidR="007A408A" w:rsidRPr="00FD1681" w14:paraId="0973D6C7" w14:textId="77777777" w:rsidTr="00DF1805">
        <w:trPr>
          <w:trHeight w:val="300"/>
        </w:trPr>
        <w:tc>
          <w:tcPr>
            <w:tcW w:w="4957" w:type="dxa"/>
            <w:shd w:val="clear" w:color="auto" w:fill="E7E7E7" w:themeFill="text2" w:themeFillTint="1A"/>
            <w:vAlign w:val="center"/>
            <w:hideMark/>
          </w:tcPr>
          <w:p w14:paraId="588401F1" w14:textId="559237B1" w:rsidR="007A408A" w:rsidRPr="00FD1681" w:rsidRDefault="00FD1681" w:rsidP="00DF1805">
            <w:pPr>
              <w:suppressAutoHyphens w:val="0"/>
              <w:spacing w:before="0" w:after="0" w:line="240" w:lineRule="auto"/>
              <w:rPr>
                <w:rFonts w:ascii="Calibri" w:hAnsi="Calibri" w:cs="Calibri"/>
                <w:sz w:val="20"/>
              </w:rPr>
            </w:pPr>
            <w:r w:rsidRPr="00EE59E6">
              <w:rPr>
                <w:rFonts w:ascii="Calibri" w:hAnsi="Calibri" w:cs="Calibri"/>
                <w:sz w:val="20"/>
              </w:rPr>
              <w:t>Measure</w:t>
            </w:r>
          </w:p>
        </w:tc>
        <w:tc>
          <w:tcPr>
            <w:tcW w:w="1417" w:type="dxa"/>
            <w:shd w:val="clear" w:color="auto" w:fill="E7E7E7" w:themeFill="text2" w:themeFillTint="1A"/>
            <w:vAlign w:val="center"/>
          </w:tcPr>
          <w:p w14:paraId="38413E88" w14:textId="0CB17939" w:rsidR="007A408A" w:rsidRPr="00835A87" w:rsidRDefault="007A408A" w:rsidP="00DF1805">
            <w:pPr>
              <w:suppressAutoHyphens w:val="0"/>
              <w:spacing w:before="0" w:after="0" w:line="240" w:lineRule="auto"/>
              <w:jc w:val="right"/>
              <w:rPr>
                <w:rFonts w:ascii="Calibri" w:hAnsi="Calibri" w:cs="Calibri"/>
                <w:b/>
                <w:sz w:val="20"/>
              </w:rPr>
            </w:pPr>
            <w:r w:rsidRPr="00835A87">
              <w:rPr>
                <w:rFonts w:ascii="Calibri" w:hAnsi="Calibri" w:cs="Calibri"/>
                <w:b/>
                <w:sz w:val="20"/>
              </w:rPr>
              <w:t>2019</w:t>
            </w:r>
          </w:p>
        </w:tc>
        <w:tc>
          <w:tcPr>
            <w:tcW w:w="1276" w:type="dxa"/>
            <w:shd w:val="clear" w:color="auto" w:fill="E7E7E7" w:themeFill="text2" w:themeFillTint="1A"/>
            <w:vAlign w:val="center"/>
          </w:tcPr>
          <w:p w14:paraId="58194ED8" w14:textId="54860B2A" w:rsidR="007A408A" w:rsidRPr="00FD1681" w:rsidRDefault="007A408A" w:rsidP="00DF1805">
            <w:pPr>
              <w:suppressAutoHyphens w:val="0"/>
              <w:spacing w:before="0" w:after="0" w:line="240" w:lineRule="auto"/>
              <w:jc w:val="right"/>
              <w:rPr>
                <w:rFonts w:ascii="Calibri" w:hAnsi="Calibri" w:cs="Calibri"/>
                <w:sz w:val="20"/>
              </w:rPr>
            </w:pPr>
            <w:r w:rsidRPr="00FD1681">
              <w:rPr>
                <w:rFonts w:ascii="Calibri" w:hAnsi="Calibri" w:cs="Calibri"/>
                <w:sz w:val="20"/>
              </w:rPr>
              <w:t>2018</w:t>
            </w:r>
          </w:p>
        </w:tc>
        <w:tc>
          <w:tcPr>
            <w:tcW w:w="1276" w:type="dxa"/>
            <w:shd w:val="clear" w:color="auto" w:fill="E7E7E7" w:themeFill="text2" w:themeFillTint="1A"/>
            <w:noWrap/>
            <w:vAlign w:val="center"/>
            <w:hideMark/>
          </w:tcPr>
          <w:p w14:paraId="5B4B5643" w14:textId="12E2FE7C" w:rsidR="007A408A" w:rsidRPr="00FD1681" w:rsidRDefault="007A408A" w:rsidP="00DF1805">
            <w:pPr>
              <w:suppressAutoHyphens w:val="0"/>
              <w:spacing w:before="0" w:after="0" w:line="240" w:lineRule="auto"/>
              <w:jc w:val="right"/>
              <w:rPr>
                <w:rFonts w:ascii="Calibri" w:hAnsi="Calibri" w:cs="Calibri"/>
                <w:sz w:val="20"/>
              </w:rPr>
            </w:pPr>
            <w:r w:rsidRPr="00FD1681">
              <w:rPr>
                <w:rFonts w:ascii="Calibri" w:hAnsi="Calibri" w:cs="Calibri"/>
                <w:sz w:val="20"/>
              </w:rPr>
              <w:t>2017</w:t>
            </w:r>
          </w:p>
        </w:tc>
      </w:tr>
      <w:tr w:rsidR="007A7245" w:rsidRPr="00FD1681" w14:paraId="5D4B9C9D" w14:textId="77777777" w:rsidTr="00BD6A02">
        <w:trPr>
          <w:trHeight w:val="300"/>
        </w:trPr>
        <w:tc>
          <w:tcPr>
            <w:tcW w:w="4957" w:type="dxa"/>
            <w:shd w:val="clear" w:color="auto" w:fill="auto"/>
            <w:vAlign w:val="center"/>
          </w:tcPr>
          <w:p w14:paraId="5A11EC4D" w14:textId="5C57D537" w:rsidR="007A7245" w:rsidRPr="00FD1681" w:rsidRDefault="007A7245" w:rsidP="00BD6A02">
            <w:pPr>
              <w:suppressAutoHyphens w:val="0"/>
              <w:spacing w:before="0" w:after="0" w:line="240" w:lineRule="auto"/>
              <w:rPr>
                <w:rFonts w:ascii="Calibri" w:hAnsi="Calibri" w:cs="Calibri"/>
                <w:sz w:val="20"/>
              </w:rPr>
            </w:pPr>
            <w:r>
              <w:rPr>
                <w:rFonts w:ascii="Calibri" w:hAnsi="Calibri" w:cs="Calibri"/>
                <w:sz w:val="20"/>
              </w:rPr>
              <w:t>Net Tenancy Expenditure ($m)</w:t>
            </w:r>
          </w:p>
        </w:tc>
        <w:tc>
          <w:tcPr>
            <w:tcW w:w="1417" w:type="dxa"/>
            <w:vAlign w:val="center"/>
          </w:tcPr>
          <w:p w14:paraId="7CA33251" w14:textId="56F26D25" w:rsidR="007A7245" w:rsidRPr="00835A87" w:rsidRDefault="007A7245" w:rsidP="00A01F23">
            <w:pPr>
              <w:suppressAutoHyphens w:val="0"/>
              <w:spacing w:before="0" w:after="0" w:line="240" w:lineRule="auto"/>
              <w:jc w:val="right"/>
              <w:rPr>
                <w:rFonts w:ascii="Calibri" w:hAnsi="Calibri" w:cs="Calibri"/>
                <w:b/>
                <w:sz w:val="20"/>
              </w:rPr>
            </w:pPr>
            <w:r>
              <w:rPr>
                <w:rFonts w:ascii="Calibri" w:hAnsi="Calibri" w:cs="Calibri"/>
                <w:b/>
                <w:sz w:val="20"/>
              </w:rPr>
              <w:t>$1,336.5</w:t>
            </w:r>
          </w:p>
        </w:tc>
        <w:tc>
          <w:tcPr>
            <w:tcW w:w="1276" w:type="dxa"/>
            <w:vAlign w:val="center"/>
          </w:tcPr>
          <w:p w14:paraId="1BCE404B" w14:textId="2D52162F" w:rsidR="007A7245" w:rsidRPr="00FD1681" w:rsidRDefault="007A7245" w:rsidP="00A01F23">
            <w:pPr>
              <w:suppressAutoHyphens w:val="0"/>
              <w:spacing w:before="0" w:after="0" w:line="240" w:lineRule="auto"/>
              <w:jc w:val="right"/>
              <w:rPr>
                <w:rFonts w:ascii="Calibri" w:hAnsi="Calibri" w:cs="Calibri"/>
                <w:sz w:val="20"/>
              </w:rPr>
            </w:pPr>
            <w:r>
              <w:rPr>
                <w:rFonts w:ascii="Calibri" w:hAnsi="Calibri" w:cs="Calibri"/>
                <w:sz w:val="20"/>
              </w:rPr>
              <w:t>$1,299.</w:t>
            </w:r>
            <w:r w:rsidR="00A01F23">
              <w:rPr>
                <w:rFonts w:ascii="Calibri" w:hAnsi="Calibri" w:cs="Calibri"/>
                <w:sz w:val="20"/>
              </w:rPr>
              <w:t>3</w:t>
            </w:r>
          </w:p>
        </w:tc>
        <w:tc>
          <w:tcPr>
            <w:tcW w:w="1276" w:type="dxa"/>
            <w:shd w:val="clear" w:color="auto" w:fill="auto"/>
            <w:noWrap/>
            <w:vAlign w:val="center"/>
          </w:tcPr>
          <w:p w14:paraId="52854241" w14:textId="4129D893" w:rsidR="007A7245" w:rsidRPr="00FD1681" w:rsidRDefault="007A7245" w:rsidP="00A01F23">
            <w:pPr>
              <w:suppressAutoHyphens w:val="0"/>
              <w:spacing w:before="0" w:after="0" w:line="240" w:lineRule="auto"/>
              <w:jc w:val="right"/>
              <w:rPr>
                <w:rFonts w:ascii="Calibri" w:hAnsi="Calibri" w:cs="Calibri"/>
                <w:sz w:val="20"/>
              </w:rPr>
            </w:pPr>
            <w:r>
              <w:rPr>
                <w:rFonts w:ascii="Calibri" w:hAnsi="Calibri" w:cs="Calibri"/>
                <w:sz w:val="20"/>
              </w:rPr>
              <w:t>$1,258.</w:t>
            </w:r>
            <w:r w:rsidR="00A01F23">
              <w:rPr>
                <w:rFonts w:ascii="Calibri" w:hAnsi="Calibri" w:cs="Calibri"/>
                <w:sz w:val="20"/>
              </w:rPr>
              <w:t>3</w:t>
            </w:r>
          </w:p>
        </w:tc>
      </w:tr>
      <w:tr w:rsidR="007A408A" w:rsidRPr="00FD1681" w14:paraId="4C422E13" w14:textId="77777777" w:rsidTr="00BD6A02">
        <w:trPr>
          <w:trHeight w:val="300"/>
        </w:trPr>
        <w:tc>
          <w:tcPr>
            <w:tcW w:w="4957" w:type="dxa"/>
            <w:shd w:val="clear" w:color="auto" w:fill="auto"/>
            <w:vAlign w:val="center"/>
            <w:hideMark/>
          </w:tcPr>
          <w:p w14:paraId="3C03384E" w14:textId="12208C83" w:rsidR="007A408A" w:rsidRPr="00FD1681" w:rsidRDefault="00975A05" w:rsidP="00BD6A02">
            <w:pPr>
              <w:suppressAutoHyphens w:val="0"/>
              <w:spacing w:before="0" w:after="0" w:line="240" w:lineRule="auto"/>
              <w:rPr>
                <w:rFonts w:ascii="Calibri" w:hAnsi="Calibri" w:cs="Calibri"/>
                <w:sz w:val="20"/>
              </w:rPr>
            </w:pPr>
            <w:r>
              <w:rPr>
                <w:rFonts w:ascii="Calibri" w:hAnsi="Calibri" w:cs="Calibri"/>
                <w:sz w:val="20"/>
              </w:rPr>
              <w:t xml:space="preserve">Average </w:t>
            </w:r>
            <w:r w:rsidR="007A408A" w:rsidRPr="00FD1681">
              <w:rPr>
                <w:rFonts w:ascii="Calibri" w:hAnsi="Calibri" w:cs="Calibri"/>
                <w:sz w:val="20"/>
              </w:rPr>
              <w:t>Cost per m</w:t>
            </w:r>
            <w:r w:rsidR="007A408A" w:rsidRPr="00B1226A">
              <w:rPr>
                <w:rFonts w:ascii="Calibri" w:hAnsi="Calibri" w:cs="Calibri"/>
                <w:sz w:val="20"/>
                <w:vertAlign w:val="superscript"/>
              </w:rPr>
              <w:t>2</w:t>
            </w:r>
            <w:r w:rsidR="00D012C3" w:rsidRPr="00FD1681">
              <w:rPr>
                <w:rFonts w:ascii="Calibri" w:hAnsi="Calibri" w:cs="Calibri"/>
                <w:sz w:val="20"/>
              </w:rPr>
              <w:t xml:space="preserve"> ($)</w:t>
            </w:r>
            <w:r w:rsidR="00D012C3">
              <w:rPr>
                <w:rFonts w:ascii="Calibri" w:hAnsi="Calibri" w:cs="Calibri"/>
                <w:sz w:val="20"/>
              </w:rPr>
              <w:t xml:space="preserve"> </w:t>
            </w:r>
          </w:p>
        </w:tc>
        <w:tc>
          <w:tcPr>
            <w:tcW w:w="1417" w:type="dxa"/>
            <w:vAlign w:val="center"/>
          </w:tcPr>
          <w:p w14:paraId="7C382793" w14:textId="7D664E86" w:rsidR="007A408A" w:rsidRPr="00835A87" w:rsidRDefault="007A408A" w:rsidP="00BD6A02">
            <w:pPr>
              <w:suppressAutoHyphens w:val="0"/>
              <w:spacing w:before="0" w:after="0" w:line="240" w:lineRule="auto"/>
              <w:jc w:val="right"/>
              <w:rPr>
                <w:rFonts w:ascii="Calibri" w:hAnsi="Calibri" w:cs="Calibri"/>
                <w:b/>
                <w:sz w:val="20"/>
              </w:rPr>
            </w:pPr>
            <w:r w:rsidRPr="00835A87">
              <w:rPr>
                <w:rFonts w:ascii="Calibri" w:hAnsi="Calibri" w:cs="Calibri"/>
                <w:b/>
                <w:sz w:val="20"/>
              </w:rPr>
              <w:t xml:space="preserve"> $ 47</w:t>
            </w:r>
            <w:r w:rsidR="004E0519">
              <w:rPr>
                <w:rFonts w:ascii="Calibri" w:hAnsi="Calibri" w:cs="Calibri"/>
                <w:b/>
                <w:sz w:val="20"/>
              </w:rPr>
              <w:t>1</w:t>
            </w:r>
            <w:r w:rsidRPr="00835A87">
              <w:rPr>
                <w:rFonts w:ascii="Calibri" w:hAnsi="Calibri" w:cs="Calibri"/>
                <w:b/>
                <w:sz w:val="20"/>
              </w:rPr>
              <w:t xml:space="preserve"> </w:t>
            </w:r>
          </w:p>
        </w:tc>
        <w:tc>
          <w:tcPr>
            <w:tcW w:w="1276" w:type="dxa"/>
            <w:vAlign w:val="center"/>
          </w:tcPr>
          <w:p w14:paraId="405AFB11" w14:textId="5D617CAF" w:rsidR="007A408A" w:rsidRPr="00FD1681" w:rsidRDefault="007A408A" w:rsidP="00165A67">
            <w:pPr>
              <w:suppressAutoHyphens w:val="0"/>
              <w:spacing w:before="0" w:after="0" w:line="240" w:lineRule="auto"/>
              <w:jc w:val="right"/>
              <w:rPr>
                <w:rFonts w:ascii="Calibri" w:hAnsi="Calibri" w:cs="Calibri"/>
                <w:sz w:val="20"/>
              </w:rPr>
            </w:pPr>
            <w:r w:rsidRPr="00FD1681">
              <w:rPr>
                <w:rFonts w:ascii="Calibri" w:hAnsi="Calibri" w:cs="Calibri"/>
                <w:sz w:val="20"/>
              </w:rPr>
              <w:t xml:space="preserve"> $ 47</w:t>
            </w:r>
            <w:r w:rsidR="00165A67">
              <w:rPr>
                <w:rFonts w:ascii="Calibri" w:hAnsi="Calibri" w:cs="Calibri"/>
                <w:sz w:val="20"/>
              </w:rPr>
              <w:t>3</w:t>
            </w:r>
            <w:r w:rsidRPr="00FD1681">
              <w:rPr>
                <w:rFonts w:ascii="Calibri" w:hAnsi="Calibri" w:cs="Calibri"/>
                <w:sz w:val="20"/>
              </w:rPr>
              <w:t xml:space="preserve"> </w:t>
            </w:r>
          </w:p>
        </w:tc>
        <w:tc>
          <w:tcPr>
            <w:tcW w:w="1276" w:type="dxa"/>
            <w:shd w:val="clear" w:color="auto" w:fill="auto"/>
            <w:noWrap/>
            <w:vAlign w:val="center"/>
            <w:hideMark/>
          </w:tcPr>
          <w:p w14:paraId="6293E206" w14:textId="7FF93870" w:rsidR="007A408A" w:rsidRPr="00FD1681" w:rsidRDefault="007A408A" w:rsidP="00BD6A02">
            <w:pPr>
              <w:suppressAutoHyphens w:val="0"/>
              <w:spacing w:before="0" w:after="0" w:line="240" w:lineRule="auto"/>
              <w:jc w:val="right"/>
              <w:rPr>
                <w:rFonts w:ascii="Calibri" w:hAnsi="Calibri" w:cs="Calibri"/>
                <w:sz w:val="20"/>
              </w:rPr>
            </w:pPr>
            <w:r w:rsidRPr="00FD1681">
              <w:rPr>
                <w:rFonts w:ascii="Calibri" w:hAnsi="Calibri" w:cs="Calibri"/>
                <w:sz w:val="20"/>
              </w:rPr>
              <w:t xml:space="preserve"> $ 45</w:t>
            </w:r>
            <w:r w:rsidR="004E0519">
              <w:rPr>
                <w:rFonts w:ascii="Calibri" w:hAnsi="Calibri" w:cs="Calibri"/>
                <w:sz w:val="20"/>
              </w:rPr>
              <w:t>5</w:t>
            </w:r>
          </w:p>
        </w:tc>
      </w:tr>
      <w:tr w:rsidR="007A408A" w:rsidRPr="00FD1681" w14:paraId="17CD2F22" w14:textId="77777777" w:rsidTr="00BD6A02">
        <w:trPr>
          <w:trHeight w:val="300"/>
        </w:trPr>
        <w:tc>
          <w:tcPr>
            <w:tcW w:w="4957" w:type="dxa"/>
            <w:shd w:val="clear" w:color="auto" w:fill="auto"/>
            <w:vAlign w:val="center"/>
            <w:hideMark/>
          </w:tcPr>
          <w:p w14:paraId="21EE61B3" w14:textId="48760276" w:rsidR="007A408A" w:rsidRPr="00FD1681" w:rsidRDefault="00975A05" w:rsidP="00BD6A02">
            <w:pPr>
              <w:suppressAutoHyphens w:val="0"/>
              <w:spacing w:before="0" w:after="0" w:line="240" w:lineRule="auto"/>
              <w:rPr>
                <w:rFonts w:ascii="Calibri" w:hAnsi="Calibri" w:cs="Calibri"/>
                <w:sz w:val="20"/>
              </w:rPr>
            </w:pPr>
            <w:r>
              <w:rPr>
                <w:rFonts w:ascii="Calibri" w:hAnsi="Calibri" w:cs="Calibri"/>
                <w:sz w:val="20"/>
              </w:rPr>
              <w:t xml:space="preserve">Average </w:t>
            </w:r>
            <w:r w:rsidR="007A408A" w:rsidRPr="00FD1681">
              <w:rPr>
                <w:rFonts w:ascii="Calibri" w:hAnsi="Calibri" w:cs="Calibri"/>
                <w:sz w:val="20"/>
              </w:rPr>
              <w:t>Cost per Staff</w:t>
            </w:r>
            <w:r w:rsidR="00D012C3">
              <w:rPr>
                <w:rFonts w:ascii="Calibri" w:hAnsi="Calibri" w:cs="Calibri"/>
                <w:sz w:val="20"/>
              </w:rPr>
              <w:t xml:space="preserve"> </w:t>
            </w:r>
            <w:r w:rsidR="00D012C3" w:rsidRPr="00FD1681">
              <w:rPr>
                <w:rFonts w:ascii="Calibri" w:hAnsi="Calibri" w:cs="Calibri"/>
                <w:sz w:val="20"/>
              </w:rPr>
              <w:t>($)</w:t>
            </w:r>
            <w:r w:rsidR="007A408A" w:rsidRPr="00FD1681">
              <w:rPr>
                <w:rFonts w:ascii="Calibri" w:hAnsi="Calibri" w:cs="Calibri"/>
                <w:sz w:val="20"/>
              </w:rPr>
              <w:t xml:space="preserve"> </w:t>
            </w:r>
          </w:p>
        </w:tc>
        <w:tc>
          <w:tcPr>
            <w:tcW w:w="1417" w:type="dxa"/>
            <w:vAlign w:val="center"/>
          </w:tcPr>
          <w:p w14:paraId="3DC3CD56" w14:textId="16F70BFD" w:rsidR="007A408A" w:rsidRPr="00835A87" w:rsidRDefault="007A408A" w:rsidP="00BD6A02">
            <w:pPr>
              <w:suppressAutoHyphens w:val="0"/>
              <w:spacing w:before="0" w:after="0" w:line="240" w:lineRule="auto"/>
              <w:jc w:val="right"/>
              <w:rPr>
                <w:rFonts w:ascii="Calibri" w:hAnsi="Calibri" w:cs="Calibri"/>
                <w:b/>
                <w:sz w:val="20"/>
              </w:rPr>
            </w:pPr>
            <w:r w:rsidRPr="00835A87">
              <w:rPr>
                <w:rFonts w:ascii="Calibri" w:hAnsi="Calibri" w:cs="Calibri"/>
                <w:b/>
                <w:sz w:val="20"/>
              </w:rPr>
              <w:t xml:space="preserve"> $ 9,57</w:t>
            </w:r>
            <w:r w:rsidR="004E0519">
              <w:rPr>
                <w:rFonts w:ascii="Calibri" w:hAnsi="Calibri" w:cs="Calibri"/>
                <w:b/>
                <w:sz w:val="20"/>
              </w:rPr>
              <w:t>5</w:t>
            </w:r>
            <w:r w:rsidRPr="00835A87">
              <w:rPr>
                <w:rFonts w:ascii="Calibri" w:hAnsi="Calibri" w:cs="Calibri"/>
                <w:b/>
                <w:sz w:val="20"/>
              </w:rPr>
              <w:t xml:space="preserve"> </w:t>
            </w:r>
          </w:p>
        </w:tc>
        <w:tc>
          <w:tcPr>
            <w:tcW w:w="1276" w:type="dxa"/>
            <w:vAlign w:val="center"/>
          </w:tcPr>
          <w:p w14:paraId="2E964280" w14:textId="1E93A096" w:rsidR="007A408A" w:rsidRPr="00FD1681" w:rsidRDefault="007A408A" w:rsidP="00BD6A02">
            <w:pPr>
              <w:suppressAutoHyphens w:val="0"/>
              <w:spacing w:before="0" w:after="0" w:line="240" w:lineRule="auto"/>
              <w:jc w:val="right"/>
              <w:rPr>
                <w:rFonts w:ascii="Calibri" w:hAnsi="Calibri" w:cs="Calibri"/>
                <w:sz w:val="20"/>
              </w:rPr>
            </w:pPr>
            <w:r w:rsidRPr="00FD1681">
              <w:rPr>
                <w:rFonts w:ascii="Calibri" w:hAnsi="Calibri" w:cs="Calibri"/>
                <w:sz w:val="20"/>
              </w:rPr>
              <w:t xml:space="preserve"> $ 9,55</w:t>
            </w:r>
            <w:r w:rsidR="004E0519">
              <w:rPr>
                <w:rFonts w:ascii="Calibri" w:hAnsi="Calibri" w:cs="Calibri"/>
                <w:sz w:val="20"/>
              </w:rPr>
              <w:t>3</w:t>
            </w:r>
            <w:r w:rsidRPr="00FD1681">
              <w:rPr>
                <w:rFonts w:ascii="Calibri" w:hAnsi="Calibri" w:cs="Calibri"/>
                <w:sz w:val="20"/>
              </w:rPr>
              <w:t xml:space="preserve"> </w:t>
            </w:r>
          </w:p>
        </w:tc>
        <w:tc>
          <w:tcPr>
            <w:tcW w:w="1276" w:type="dxa"/>
            <w:shd w:val="clear" w:color="auto" w:fill="auto"/>
            <w:noWrap/>
            <w:vAlign w:val="center"/>
            <w:hideMark/>
          </w:tcPr>
          <w:p w14:paraId="5126DEDA" w14:textId="03872CE5" w:rsidR="007A408A" w:rsidRPr="00FD1681" w:rsidRDefault="007A408A" w:rsidP="00165A67">
            <w:pPr>
              <w:suppressAutoHyphens w:val="0"/>
              <w:spacing w:before="0" w:after="0" w:line="240" w:lineRule="auto"/>
              <w:jc w:val="right"/>
              <w:rPr>
                <w:rFonts w:ascii="Calibri" w:hAnsi="Calibri" w:cs="Calibri"/>
                <w:sz w:val="20"/>
              </w:rPr>
            </w:pPr>
            <w:r w:rsidRPr="00FD1681">
              <w:rPr>
                <w:rFonts w:ascii="Calibri" w:hAnsi="Calibri" w:cs="Calibri"/>
                <w:sz w:val="20"/>
              </w:rPr>
              <w:t xml:space="preserve"> $ 9,45</w:t>
            </w:r>
            <w:r w:rsidR="00165A67">
              <w:rPr>
                <w:rFonts w:ascii="Calibri" w:hAnsi="Calibri" w:cs="Calibri"/>
                <w:sz w:val="20"/>
              </w:rPr>
              <w:t>2</w:t>
            </w:r>
            <w:r w:rsidRPr="00FD1681">
              <w:rPr>
                <w:rFonts w:ascii="Calibri" w:hAnsi="Calibri" w:cs="Calibri"/>
                <w:sz w:val="20"/>
              </w:rPr>
              <w:t xml:space="preserve">        </w:t>
            </w:r>
          </w:p>
        </w:tc>
      </w:tr>
      <w:tr w:rsidR="007A408A" w:rsidRPr="00FD1681" w14:paraId="7FAD34D5" w14:textId="77777777" w:rsidTr="00BD6A02">
        <w:trPr>
          <w:trHeight w:val="300"/>
        </w:trPr>
        <w:tc>
          <w:tcPr>
            <w:tcW w:w="4957" w:type="dxa"/>
            <w:shd w:val="clear" w:color="auto" w:fill="auto"/>
            <w:vAlign w:val="center"/>
            <w:hideMark/>
          </w:tcPr>
          <w:p w14:paraId="3595E3B3" w14:textId="7CFA2618" w:rsidR="007A408A" w:rsidRPr="00FD1681" w:rsidRDefault="00975A05" w:rsidP="00BD6A02">
            <w:pPr>
              <w:suppressAutoHyphens w:val="0"/>
              <w:spacing w:before="0" w:after="0" w:line="240" w:lineRule="auto"/>
              <w:rPr>
                <w:rFonts w:ascii="Calibri" w:hAnsi="Calibri" w:cs="Calibri"/>
                <w:sz w:val="20"/>
              </w:rPr>
            </w:pPr>
            <w:r>
              <w:rPr>
                <w:rFonts w:ascii="Calibri" w:hAnsi="Calibri" w:cs="Calibri"/>
                <w:sz w:val="20"/>
              </w:rPr>
              <w:t xml:space="preserve">Average </w:t>
            </w:r>
            <w:r w:rsidR="007A408A" w:rsidRPr="00FD1681">
              <w:rPr>
                <w:rFonts w:ascii="Calibri" w:hAnsi="Calibri" w:cs="Calibri"/>
                <w:sz w:val="20"/>
              </w:rPr>
              <w:t>Cost per Work-point ($)</w:t>
            </w:r>
          </w:p>
        </w:tc>
        <w:tc>
          <w:tcPr>
            <w:tcW w:w="1417" w:type="dxa"/>
            <w:vAlign w:val="center"/>
          </w:tcPr>
          <w:p w14:paraId="42B55605" w14:textId="73D1ED2F" w:rsidR="007A408A" w:rsidRPr="00835A87" w:rsidRDefault="007A408A" w:rsidP="00BD6A02">
            <w:pPr>
              <w:suppressAutoHyphens w:val="0"/>
              <w:spacing w:before="0" w:after="0" w:line="240" w:lineRule="auto"/>
              <w:jc w:val="right"/>
              <w:rPr>
                <w:rFonts w:ascii="Calibri" w:hAnsi="Calibri" w:cs="Calibri"/>
                <w:b/>
                <w:sz w:val="20"/>
              </w:rPr>
            </w:pPr>
            <w:r w:rsidRPr="00835A87">
              <w:rPr>
                <w:rFonts w:ascii="Calibri" w:hAnsi="Calibri" w:cs="Calibri"/>
                <w:b/>
                <w:sz w:val="20"/>
              </w:rPr>
              <w:t xml:space="preserve"> $ 8,118 </w:t>
            </w:r>
          </w:p>
        </w:tc>
        <w:tc>
          <w:tcPr>
            <w:tcW w:w="1276" w:type="dxa"/>
            <w:vAlign w:val="center"/>
          </w:tcPr>
          <w:p w14:paraId="752DF178" w14:textId="5785136B" w:rsidR="007A408A" w:rsidRPr="00FD1681" w:rsidRDefault="007A408A" w:rsidP="00BD6A02">
            <w:pPr>
              <w:suppressAutoHyphens w:val="0"/>
              <w:spacing w:before="0" w:after="0" w:line="240" w:lineRule="auto"/>
              <w:jc w:val="right"/>
              <w:rPr>
                <w:rFonts w:ascii="Calibri" w:hAnsi="Calibri" w:cs="Calibri"/>
                <w:sz w:val="20"/>
              </w:rPr>
            </w:pPr>
            <w:r w:rsidRPr="00FD1681">
              <w:rPr>
                <w:rFonts w:ascii="Calibri" w:hAnsi="Calibri" w:cs="Calibri"/>
                <w:sz w:val="20"/>
              </w:rPr>
              <w:t xml:space="preserve"> $ 8,20</w:t>
            </w:r>
            <w:r w:rsidR="004E0519">
              <w:rPr>
                <w:rFonts w:ascii="Calibri" w:hAnsi="Calibri" w:cs="Calibri"/>
                <w:sz w:val="20"/>
              </w:rPr>
              <w:t>5</w:t>
            </w:r>
            <w:r w:rsidRPr="00FD1681">
              <w:rPr>
                <w:rFonts w:ascii="Calibri" w:hAnsi="Calibri" w:cs="Calibri"/>
                <w:sz w:val="20"/>
              </w:rPr>
              <w:t xml:space="preserve"> </w:t>
            </w:r>
          </w:p>
        </w:tc>
        <w:tc>
          <w:tcPr>
            <w:tcW w:w="1276" w:type="dxa"/>
            <w:shd w:val="clear" w:color="auto" w:fill="auto"/>
            <w:noWrap/>
            <w:vAlign w:val="center"/>
            <w:hideMark/>
          </w:tcPr>
          <w:p w14:paraId="524D1448" w14:textId="2746C6B7" w:rsidR="007A408A" w:rsidRPr="00FD1681" w:rsidRDefault="007A408A" w:rsidP="00BD6A02">
            <w:pPr>
              <w:suppressAutoHyphens w:val="0"/>
              <w:spacing w:before="0" w:after="0" w:line="240" w:lineRule="auto"/>
              <w:jc w:val="right"/>
              <w:rPr>
                <w:rFonts w:ascii="Calibri" w:hAnsi="Calibri" w:cs="Calibri"/>
                <w:sz w:val="20"/>
              </w:rPr>
            </w:pPr>
            <w:r w:rsidRPr="00FD1681">
              <w:rPr>
                <w:rFonts w:ascii="Calibri" w:hAnsi="Calibri" w:cs="Calibri"/>
                <w:sz w:val="20"/>
              </w:rPr>
              <w:t xml:space="preserve"> $ 7,923</w:t>
            </w:r>
          </w:p>
        </w:tc>
      </w:tr>
    </w:tbl>
    <w:p w14:paraId="1A151251" w14:textId="55954E6F" w:rsidR="008D3FBA" w:rsidRDefault="00D057A2" w:rsidP="00D057A2">
      <w:r>
        <w:t xml:space="preserve">Net tenancy expenditure increased by </w:t>
      </w:r>
      <w:r w:rsidRPr="00FC1A7E">
        <w:t>2.9</w:t>
      </w:r>
      <w:r>
        <w:t> </w:t>
      </w:r>
      <w:r w:rsidRPr="00FC1A7E">
        <w:t>per</w:t>
      </w:r>
      <w:r>
        <w:t> </w:t>
      </w:r>
      <w:r w:rsidRPr="00FC1A7E">
        <w:t>cent</w:t>
      </w:r>
      <w:r>
        <w:t xml:space="preserve"> over the 12 month period. This is less than the </w:t>
      </w:r>
      <w:r w:rsidR="005B1861">
        <w:t xml:space="preserve">3.4 per cent </w:t>
      </w:r>
      <w:r>
        <w:t>increase in the amount of controlled area over the same period</w:t>
      </w:r>
      <w:r w:rsidR="005B1861">
        <w:t>, resulting in a</w:t>
      </w:r>
      <w:r w:rsidR="006F28DE">
        <w:t xml:space="preserve"> marginal</w:t>
      </w:r>
      <w:r w:rsidR="005B1861">
        <w:t xml:space="preserve"> decrease in the </w:t>
      </w:r>
      <w:r w:rsidR="005B1861" w:rsidRPr="00581B0F">
        <w:t>average cost per square metre (down 0.5 per cent).</w:t>
      </w:r>
      <w:r w:rsidR="007815D9" w:rsidRPr="00581B0F">
        <w:t xml:space="preserve"> Th</w:t>
      </w:r>
      <w:r w:rsidR="00702A33" w:rsidRPr="008748F0">
        <w:t>e increase in net tenancy expenditure is expected given the</w:t>
      </w:r>
      <w:r w:rsidR="007815D9" w:rsidRPr="00581B0F">
        <w:t xml:space="preserve"> </w:t>
      </w:r>
      <w:r w:rsidR="00702A33" w:rsidRPr="00581B0F">
        <w:t>increase in</w:t>
      </w:r>
      <w:r w:rsidR="007815D9" w:rsidRPr="00581B0F">
        <w:t xml:space="preserve"> </w:t>
      </w:r>
      <w:r w:rsidR="00702A33" w:rsidRPr="00581B0F">
        <w:t xml:space="preserve">controlled area and factoring in </w:t>
      </w:r>
      <w:r w:rsidR="00DF1A7A">
        <w:t xml:space="preserve">annual </w:t>
      </w:r>
      <w:r w:rsidR="006F28DE">
        <w:t>price escalation built into existing leases and market shifts</w:t>
      </w:r>
      <w:r w:rsidR="00A418D3" w:rsidRPr="009D1DF7">
        <w:t xml:space="preserve"> for new leases</w:t>
      </w:r>
      <w:r w:rsidR="008D3FBA" w:rsidRPr="009D1DF7">
        <w:t>.</w:t>
      </w:r>
      <w:r w:rsidR="008D3FBA">
        <w:t xml:space="preserve"> </w:t>
      </w:r>
    </w:p>
    <w:p w14:paraId="0FFDD8BE" w14:textId="4EAB9FD4" w:rsidR="00702A33" w:rsidRDefault="008D3FBA" w:rsidP="00D057A2">
      <w:r>
        <w:t>To determine how the average square metre costs above compare to the broader Australian market, the Australian Government’s Strategic Property Adviser undertook an analysis of A</w:t>
      </w:r>
      <w:r>
        <w:noBreakHyphen/>
        <w:t>grade office space across major Australian cities</w:t>
      </w:r>
      <w:r w:rsidR="00CF48E3">
        <w:t xml:space="preserve"> and</w:t>
      </w:r>
      <w:r w:rsidR="007966A9">
        <w:t xml:space="preserve"> </w:t>
      </w:r>
      <w:r w:rsidR="000F640A">
        <w:t xml:space="preserve">identified an average </w:t>
      </w:r>
      <w:r w:rsidR="00211EDE">
        <w:t xml:space="preserve">cost </w:t>
      </w:r>
      <w:r w:rsidR="00DF1A7A">
        <w:t xml:space="preserve">(net effective rent which excludes outgoings but includes the amortised benefits of incentives) </w:t>
      </w:r>
      <w:r w:rsidR="000F640A">
        <w:t>of $</w:t>
      </w:r>
      <w:r w:rsidR="007966A9">
        <w:t>539</w:t>
      </w:r>
      <w:r w:rsidR="00C10EF8">
        <w:t> </w:t>
      </w:r>
      <w:r w:rsidR="00AF69EC">
        <w:t>per m</w:t>
      </w:r>
      <w:r w:rsidR="00AF69EC" w:rsidRPr="00FC1A7E">
        <w:rPr>
          <w:vertAlign w:val="superscript"/>
        </w:rPr>
        <w:t>2</w:t>
      </w:r>
      <w:r w:rsidR="000F640A">
        <w:t>, which exceeds the Commonwealth’s figure of $</w:t>
      </w:r>
      <w:r w:rsidR="00211EDE">
        <w:t>471</w:t>
      </w:r>
      <w:r w:rsidR="00211EDE" w:rsidRPr="00211EDE">
        <w:t xml:space="preserve"> </w:t>
      </w:r>
      <w:r w:rsidR="00211EDE">
        <w:t>per m</w:t>
      </w:r>
      <w:r w:rsidR="00211EDE" w:rsidRPr="00FC1A7E">
        <w:rPr>
          <w:vertAlign w:val="superscript"/>
        </w:rPr>
        <w:t>2</w:t>
      </w:r>
      <w:r w:rsidR="000F640A">
        <w:t>.</w:t>
      </w:r>
      <w:r w:rsidR="00211EDE">
        <w:t xml:space="preserve"> The </w:t>
      </w:r>
      <w:r>
        <w:t>Commonwealth</w:t>
      </w:r>
      <w:r w:rsidR="00211EDE">
        <w:t xml:space="preserve"> does have</w:t>
      </w:r>
      <w:r w:rsidR="00AF69EC">
        <w:t xml:space="preserve"> </w:t>
      </w:r>
      <w:r>
        <w:t>a more diverse portfolio by location and grade,</w:t>
      </w:r>
      <w:r w:rsidR="00211EDE">
        <w:t xml:space="preserve"> which contributes to the lower figure, however it also</w:t>
      </w:r>
      <w:r w:rsidR="00AF69EC">
        <w:t xml:space="preserve"> </w:t>
      </w:r>
      <w:r>
        <w:t>demonstrates that the Commonwealth is utilising office space that is fit for purpose</w:t>
      </w:r>
      <w:r w:rsidR="00211EDE">
        <w:t xml:space="preserve"> and meets business needs</w:t>
      </w:r>
      <w:r>
        <w:t xml:space="preserve"> to enable entities to deliver their functions</w:t>
      </w:r>
      <w:r w:rsidR="00814A36">
        <w:t xml:space="preserve"> and provide</w:t>
      </w:r>
      <w:r>
        <w:t xml:space="preserve"> important services to the public.</w:t>
      </w:r>
      <w:r w:rsidR="00211EDE">
        <w:t xml:space="preserve"> </w:t>
      </w:r>
    </w:p>
    <w:p w14:paraId="2E4CFE99" w14:textId="213577DD" w:rsidR="00D057A2" w:rsidRDefault="00211EDE" w:rsidP="00D057A2">
      <w:r>
        <w:t xml:space="preserve">The Commonwealth’s result for major cities of Australia at </w:t>
      </w:r>
      <w:r w:rsidR="008B25A6">
        <w:t>T</w:t>
      </w:r>
      <w:r>
        <w:t>able 2 is $476</w:t>
      </w:r>
      <w:r w:rsidRPr="00211EDE">
        <w:t xml:space="preserve"> </w:t>
      </w:r>
      <w:r>
        <w:t>per m</w:t>
      </w:r>
      <w:r w:rsidRPr="00FC1A7E">
        <w:rPr>
          <w:vertAlign w:val="superscript"/>
        </w:rPr>
        <w:t>2</w:t>
      </w:r>
      <w:r>
        <w:t>, which is a closer comparator to the Strategic Property Adviser’s finding, however still includes</w:t>
      </w:r>
      <w:r w:rsidR="000E0F18">
        <w:t xml:space="preserve"> more</w:t>
      </w:r>
      <w:r>
        <w:t xml:space="preserve"> diverse property grades consistent with the Commonwealth’s approach </w:t>
      </w:r>
      <w:r w:rsidR="008B25A6">
        <w:t xml:space="preserve">to </w:t>
      </w:r>
      <w:r>
        <w:t xml:space="preserve">source </w:t>
      </w:r>
      <w:r w:rsidR="005D1DB1">
        <w:t xml:space="preserve">office accommodation </w:t>
      </w:r>
      <w:r>
        <w:t>to achieve value for money and meet business needs.</w:t>
      </w:r>
      <w:r w:rsidR="008D3FBA">
        <w:t xml:space="preserve"> </w:t>
      </w:r>
    </w:p>
    <w:p w14:paraId="679D84CF" w14:textId="50F43F4A" w:rsidR="000868FE" w:rsidRDefault="002D2E27" w:rsidP="00DE4FB3">
      <w:r>
        <w:t>F</w:t>
      </w:r>
      <w:r w:rsidR="007B0BBF" w:rsidRPr="00D96F6B">
        <w:t xml:space="preserve">igures for </w:t>
      </w:r>
      <w:r>
        <w:t xml:space="preserve">the average </w:t>
      </w:r>
      <w:r w:rsidR="007B0BBF">
        <w:t>cost per square metre</w:t>
      </w:r>
      <w:r>
        <w:t xml:space="preserve"> for Commonwealth tenancies</w:t>
      </w:r>
      <w:r w:rsidR="007B0BBF">
        <w:t xml:space="preserve"> show a slight decrease between 2019 ($47</w:t>
      </w:r>
      <w:r w:rsidR="00464C5C">
        <w:t>1</w:t>
      </w:r>
      <w:r w:rsidR="00803B21">
        <w:t xml:space="preserve"> per </w:t>
      </w:r>
      <w:r w:rsidR="007B0BBF">
        <w:t>m</w:t>
      </w:r>
      <w:r w:rsidR="007B0BBF" w:rsidRPr="00FC1A7E">
        <w:rPr>
          <w:vertAlign w:val="superscript"/>
        </w:rPr>
        <w:t>2</w:t>
      </w:r>
      <w:r w:rsidR="007B0BBF">
        <w:t>) and 2018 ($47</w:t>
      </w:r>
      <w:r w:rsidR="00165A67">
        <w:t>3</w:t>
      </w:r>
      <w:r w:rsidR="007B0BBF">
        <w:t xml:space="preserve"> </w:t>
      </w:r>
      <w:r w:rsidR="00803B21">
        <w:t xml:space="preserve">per </w:t>
      </w:r>
      <w:r w:rsidR="007B0BBF">
        <w:t>m</w:t>
      </w:r>
      <w:r w:rsidR="007B0BBF" w:rsidRPr="00FC1A7E">
        <w:rPr>
          <w:vertAlign w:val="superscript"/>
        </w:rPr>
        <w:t>2</w:t>
      </w:r>
      <w:r w:rsidR="007B0BBF">
        <w:t>), and an increase from 2017 ($45</w:t>
      </w:r>
      <w:r w:rsidR="00464C5C">
        <w:t>5</w:t>
      </w:r>
      <w:r w:rsidR="007B0BBF">
        <w:t xml:space="preserve"> </w:t>
      </w:r>
      <w:r w:rsidR="00803B21">
        <w:t xml:space="preserve">per </w:t>
      </w:r>
      <w:r w:rsidR="007B0BBF">
        <w:t>m</w:t>
      </w:r>
      <w:r w:rsidR="007B0BBF" w:rsidRPr="00FC1A7E">
        <w:rPr>
          <w:vertAlign w:val="superscript"/>
        </w:rPr>
        <w:t>2</w:t>
      </w:r>
      <w:r w:rsidR="007B0BBF">
        <w:t>).</w:t>
      </w:r>
    </w:p>
    <w:p w14:paraId="594BFAED" w14:textId="426CEF87" w:rsidR="007B0BBF" w:rsidRDefault="007B0BBF" w:rsidP="00DE4FB3">
      <w:r>
        <w:t>Cost per staff shows a minor but steady increase year-on-year between 2017 and 2019</w:t>
      </w:r>
      <w:r w:rsidR="003F75B1">
        <w:t xml:space="preserve"> with $9,45</w:t>
      </w:r>
      <w:r w:rsidR="00165A67">
        <w:t>2</w:t>
      </w:r>
      <w:r w:rsidR="003F75B1">
        <w:t xml:space="preserve"> in 2017, $9,55</w:t>
      </w:r>
      <w:r w:rsidR="00464C5C">
        <w:t>3</w:t>
      </w:r>
      <w:r w:rsidR="003F75B1">
        <w:t xml:space="preserve"> in 2018 and $9,57</w:t>
      </w:r>
      <w:r w:rsidR="00464C5C">
        <w:t>5</w:t>
      </w:r>
      <w:r w:rsidR="003F75B1">
        <w:t xml:space="preserve"> in 2019</w:t>
      </w:r>
      <w:r>
        <w:t>.</w:t>
      </w:r>
    </w:p>
    <w:p w14:paraId="63BD696B" w14:textId="01A1467A" w:rsidR="00CD0172" w:rsidRDefault="007B0BBF" w:rsidP="00DE4FB3">
      <w:r>
        <w:t>Figures for cost per work-point show a slight decrease between 2019 ($8,118 per work</w:t>
      </w:r>
      <w:r w:rsidR="00643745">
        <w:noBreakHyphen/>
      </w:r>
      <w:r>
        <w:t>point) and 2018 ($8,20</w:t>
      </w:r>
      <w:r w:rsidR="00464C5C">
        <w:t>5</w:t>
      </w:r>
      <w:r>
        <w:t xml:space="preserve"> per work-point), and an increase from 2017 ($7,923 per work</w:t>
      </w:r>
      <w:r w:rsidR="00643745">
        <w:noBreakHyphen/>
      </w:r>
      <w:r>
        <w:t>point).</w:t>
      </w:r>
    </w:p>
    <w:p w14:paraId="06174629" w14:textId="6B68953A" w:rsidR="00DE4FB3" w:rsidRDefault="00DE4FB3" w:rsidP="00DE4FB3">
      <w:r>
        <w:t>The</w:t>
      </w:r>
      <w:r w:rsidRPr="00686910">
        <w:t xml:space="preserve"> </w:t>
      </w:r>
      <w:r w:rsidR="00975A05">
        <w:t xml:space="preserve">average </w:t>
      </w:r>
      <w:r w:rsidRPr="00686910">
        <w:t>figures</w:t>
      </w:r>
      <w:r>
        <w:t xml:space="preserve"> in Table 1d</w:t>
      </w:r>
      <w:r w:rsidRPr="00686910">
        <w:t xml:space="preserve"> </w:t>
      </w:r>
      <w:r>
        <w:t>are</w:t>
      </w:r>
      <w:r w:rsidRPr="00686910">
        <w:t xml:space="preserve"> subject to changes in rental costs across multiple different markets. </w:t>
      </w:r>
      <w:r>
        <w:t>The figures are also subject to fluctuations in the reported amount of controlled area and the reported number of staff and work-points each year.</w:t>
      </w:r>
    </w:p>
    <w:p w14:paraId="3C47A69F" w14:textId="021C18D9" w:rsidR="008938E7" w:rsidRDefault="008938E7" w:rsidP="00DE4FB3"/>
    <w:p w14:paraId="42329AF9" w14:textId="4F8BDD1F" w:rsidR="008938E7" w:rsidRDefault="008938E7" w:rsidP="00DE4FB3"/>
    <w:p w14:paraId="43AEDC1B" w14:textId="77777777" w:rsidR="008938E7" w:rsidRPr="009B68FF" w:rsidRDefault="008938E7" w:rsidP="00DE4FB3">
      <w:pPr>
        <w:sectPr w:rsidR="008938E7" w:rsidRPr="009B68FF" w:rsidSect="00B05E1C">
          <w:headerReference w:type="default" r:id="rId14"/>
          <w:footerReference w:type="default" r:id="rId15"/>
          <w:pgSz w:w="11906" w:h="16838" w:code="9"/>
          <w:pgMar w:top="1440" w:right="1440" w:bottom="1440" w:left="1440" w:header="510" w:footer="624" w:gutter="0"/>
          <w:cols w:space="708"/>
          <w:docGrid w:linePitch="360"/>
        </w:sectPr>
      </w:pPr>
    </w:p>
    <w:p w14:paraId="5F35D342" w14:textId="476CEF8C" w:rsidR="00092516" w:rsidRPr="00092516" w:rsidRDefault="00092516" w:rsidP="00092516">
      <w:pPr>
        <w:rPr>
          <w:b/>
        </w:rPr>
      </w:pPr>
      <w:r w:rsidRPr="00092516">
        <w:rPr>
          <w:b/>
        </w:rPr>
        <w:t>Chart 2: Key figures</w:t>
      </w:r>
    </w:p>
    <w:p w14:paraId="445ED29E" w14:textId="476CEF8C" w:rsidR="00BD05FC" w:rsidRDefault="00601FEB" w:rsidP="00092516">
      <w:pPr>
        <w:suppressAutoHyphens w:val="0"/>
        <w:spacing w:before="0" w:after="120" w:line="440" w:lineRule="atLeast"/>
        <w:jc w:val="center"/>
      </w:pPr>
      <w:r>
        <w:rPr>
          <w:noProof/>
          <w:lang w:eastAsia="en-AU"/>
        </w:rPr>
        <w:drawing>
          <wp:inline distT="0" distB="0" distL="0" distR="0" wp14:anchorId="36B92609" wp14:editId="7592085E">
            <wp:extent cx="8194964" cy="5284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98091" cy="5286428"/>
                    </a:xfrm>
                    <a:prstGeom prst="rect">
                      <a:avLst/>
                    </a:prstGeom>
                  </pic:spPr>
                </pic:pic>
              </a:graphicData>
            </a:graphic>
          </wp:inline>
        </w:drawing>
      </w:r>
    </w:p>
    <w:p w14:paraId="3BC3A10D" w14:textId="2F716852" w:rsidR="00C639B4" w:rsidRDefault="00C639B4" w:rsidP="001E48D4">
      <w:pPr>
        <w:pStyle w:val="Heading1Numbered"/>
        <w:numPr>
          <w:ilvl w:val="0"/>
          <w:numId w:val="0"/>
        </w:numPr>
        <w:ind w:left="567" w:hanging="567"/>
        <w:sectPr w:rsidR="00C639B4" w:rsidSect="00B05E1C">
          <w:pgSz w:w="16838" w:h="11906" w:orient="landscape" w:code="9"/>
          <w:pgMar w:top="1418" w:right="1418" w:bottom="1418" w:left="1418" w:header="510" w:footer="624" w:gutter="0"/>
          <w:cols w:space="708"/>
          <w:docGrid w:linePitch="360"/>
        </w:sectPr>
      </w:pPr>
    </w:p>
    <w:p w14:paraId="0EE7238A" w14:textId="640030BC" w:rsidR="00FF6840" w:rsidRPr="006D57E9" w:rsidRDefault="00ED5F53" w:rsidP="00DE1E06">
      <w:pPr>
        <w:pStyle w:val="Heading1Numbered"/>
      </w:pPr>
      <w:bookmarkStart w:id="7" w:name="_Toc2156062"/>
      <w:bookmarkStart w:id="8" w:name="_Toc2156147"/>
      <w:bookmarkStart w:id="9" w:name="_Toc2156063"/>
      <w:bookmarkStart w:id="10" w:name="_Toc2156148"/>
      <w:bookmarkStart w:id="11" w:name="_Toc40455098"/>
      <w:bookmarkEnd w:id="7"/>
      <w:bookmarkEnd w:id="8"/>
      <w:bookmarkEnd w:id="9"/>
      <w:bookmarkEnd w:id="10"/>
      <w:r>
        <w:t>Geography</w:t>
      </w:r>
      <w:bookmarkEnd w:id="11"/>
    </w:p>
    <w:p w14:paraId="544B1922" w14:textId="77777777" w:rsidR="00DE1E06" w:rsidRDefault="00ED5F53" w:rsidP="00FD1681">
      <w:pPr>
        <w:pStyle w:val="Heading2Numbered"/>
        <w:numPr>
          <w:ilvl w:val="1"/>
          <w:numId w:val="4"/>
        </w:numPr>
      </w:pPr>
      <w:bookmarkStart w:id="12" w:name="_Toc40455099"/>
      <w:r>
        <w:t>Remoteness Classification</w:t>
      </w:r>
      <w:bookmarkEnd w:id="12"/>
    </w:p>
    <w:p w14:paraId="60100970" w14:textId="4661ED51" w:rsidR="00ED5F53" w:rsidRDefault="00ED5F53" w:rsidP="00ED5F53">
      <w:pPr>
        <w:pStyle w:val="Caption"/>
        <w:keepNext/>
        <w:rPr>
          <w:vertAlign w:val="superscript"/>
        </w:rPr>
      </w:pPr>
      <w:r>
        <w:t xml:space="preserve">Table </w:t>
      </w:r>
      <w:r w:rsidR="00065B82">
        <w:t>2</w:t>
      </w:r>
      <w:r>
        <w:t>: Summary of Tenancies by Remoteness Classification</w:t>
      </w:r>
      <w:r w:rsidR="00F438C3">
        <w:t xml:space="preserve"> </w:t>
      </w:r>
      <w:r w:rsidR="00F438C3" w:rsidRPr="00F438C3">
        <w:rPr>
          <w:vertAlign w:val="superscript"/>
        </w:rPr>
        <w:t>(a)</w:t>
      </w:r>
    </w:p>
    <w:p w14:paraId="6A18367C" w14:textId="77777777" w:rsidR="001D3810" w:rsidRDefault="004267CD" w:rsidP="00C41F45">
      <w:pPr>
        <w:pStyle w:val="TableSourceNotes"/>
        <w:spacing w:before="60" w:line="240" w:lineRule="auto"/>
        <w:ind w:firstLine="0"/>
        <w:rPr>
          <w:sz w:val="14"/>
        </w:rPr>
      </w:pPr>
      <w:r>
        <w:rPr>
          <w:sz w:val="14"/>
        </w:rPr>
        <w:t xml:space="preserve"> </w:t>
      </w:r>
    </w:p>
    <w:tbl>
      <w:tblPr>
        <w:tblW w:w="9644" w:type="dxa"/>
        <w:tblLayout w:type="fixed"/>
        <w:tblLook w:val="04A0" w:firstRow="1" w:lastRow="0" w:firstColumn="1" w:lastColumn="0" w:noHBand="0" w:noVBand="1"/>
      </w:tblPr>
      <w:tblGrid>
        <w:gridCol w:w="3964"/>
        <w:gridCol w:w="1136"/>
        <w:gridCol w:w="1136"/>
        <w:gridCol w:w="1136"/>
        <w:gridCol w:w="1136"/>
        <w:gridCol w:w="1136"/>
      </w:tblGrid>
      <w:tr w:rsidR="001D3810" w14:paraId="1EC8AB79" w14:textId="77777777" w:rsidTr="00DF1805">
        <w:trPr>
          <w:trHeight w:val="900"/>
        </w:trPr>
        <w:tc>
          <w:tcPr>
            <w:tcW w:w="3964"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1EE74B71" w14:textId="196A2F12" w:rsidR="001D3810" w:rsidRPr="00D3027C" w:rsidRDefault="00A1784D" w:rsidP="00DF1805">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Measure</w:t>
            </w:r>
          </w:p>
        </w:tc>
        <w:tc>
          <w:tcPr>
            <w:tcW w:w="1136" w:type="dxa"/>
            <w:tcBorders>
              <w:top w:val="single" w:sz="4" w:space="0" w:color="auto"/>
              <w:left w:val="nil"/>
              <w:bottom w:val="single" w:sz="4" w:space="0" w:color="auto"/>
              <w:right w:val="single" w:sz="4" w:space="0" w:color="auto"/>
            </w:tcBorders>
            <w:shd w:val="clear" w:color="auto" w:fill="E7E7E7" w:themeFill="text2" w:themeFillTint="1A"/>
            <w:vAlign w:val="center"/>
            <w:hideMark/>
          </w:tcPr>
          <w:p w14:paraId="2A45E859" w14:textId="2FF9614E" w:rsidR="001D3810" w:rsidRPr="00D3027C" w:rsidRDefault="001D3810" w:rsidP="00DF1805">
            <w:pPr>
              <w:jc w:val="right"/>
              <w:rPr>
                <w:rFonts w:ascii="Calibri" w:eastAsia="Times New Roman" w:hAnsi="Calibri" w:cs="Calibri"/>
                <w:sz w:val="20"/>
                <w:szCs w:val="20"/>
                <w:lang w:eastAsia="en-AU"/>
              </w:rPr>
            </w:pPr>
            <w:r w:rsidRPr="00D3027C">
              <w:rPr>
                <w:rFonts w:ascii="Calibri" w:eastAsia="Times New Roman" w:hAnsi="Calibri" w:cs="Calibri"/>
                <w:sz w:val="20"/>
                <w:szCs w:val="20"/>
                <w:lang w:eastAsia="en-AU"/>
              </w:rPr>
              <w:t xml:space="preserve">Major Cities of Australia </w:t>
            </w:r>
          </w:p>
        </w:tc>
        <w:tc>
          <w:tcPr>
            <w:tcW w:w="1136" w:type="dxa"/>
            <w:tcBorders>
              <w:top w:val="single" w:sz="4" w:space="0" w:color="auto"/>
              <w:left w:val="nil"/>
              <w:bottom w:val="single" w:sz="4" w:space="0" w:color="auto"/>
              <w:right w:val="single" w:sz="4" w:space="0" w:color="auto"/>
            </w:tcBorders>
            <w:shd w:val="clear" w:color="auto" w:fill="E7E7E7" w:themeFill="text2" w:themeFillTint="1A"/>
            <w:vAlign w:val="center"/>
            <w:hideMark/>
          </w:tcPr>
          <w:p w14:paraId="56EF5DF2" w14:textId="27429CEF" w:rsidR="001D3810" w:rsidRPr="00D3027C" w:rsidRDefault="001D3810" w:rsidP="00DF1805">
            <w:pPr>
              <w:jc w:val="right"/>
              <w:rPr>
                <w:rFonts w:ascii="Calibri" w:eastAsia="Times New Roman" w:hAnsi="Calibri" w:cs="Calibri"/>
                <w:sz w:val="20"/>
                <w:szCs w:val="20"/>
                <w:lang w:eastAsia="en-AU"/>
              </w:rPr>
            </w:pPr>
            <w:r w:rsidRPr="00D3027C">
              <w:rPr>
                <w:rFonts w:ascii="Calibri" w:eastAsia="Times New Roman" w:hAnsi="Calibri" w:cs="Calibri"/>
                <w:sz w:val="20"/>
                <w:szCs w:val="20"/>
                <w:lang w:eastAsia="en-AU"/>
              </w:rPr>
              <w:t xml:space="preserve">Inner Regional Australia </w:t>
            </w:r>
          </w:p>
        </w:tc>
        <w:tc>
          <w:tcPr>
            <w:tcW w:w="1136" w:type="dxa"/>
            <w:tcBorders>
              <w:top w:val="single" w:sz="4" w:space="0" w:color="auto"/>
              <w:left w:val="nil"/>
              <w:bottom w:val="single" w:sz="4" w:space="0" w:color="auto"/>
              <w:right w:val="single" w:sz="4" w:space="0" w:color="auto"/>
            </w:tcBorders>
            <w:shd w:val="clear" w:color="auto" w:fill="E7E7E7" w:themeFill="text2" w:themeFillTint="1A"/>
            <w:vAlign w:val="center"/>
            <w:hideMark/>
          </w:tcPr>
          <w:p w14:paraId="37F3EEEC" w14:textId="1FFDE147" w:rsidR="001D3810" w:rsidRPr="00D3027C" w:rsidRDefault="001D3810" w:rsidP="00DF1805">
            <w:pPr>
              <w:jc w:val="right"/>
              <w:rPr>
                <w:rFonts w:ascii="Calibri" w:eastAsia="Times New Roman" w:hAnsi="Calibri" w:cs="Calibri"/>
                <w:sz w:val="20"/>
                <w:szCs w:val="20"/>
                <w:lang w:eastAsia="en-AU"/>
              </w:rPr>
            </w:pPr>
            <w:r w:rsidRPr="00D3027C">
              <w:rPr>
                <w:rFonts w:ascii="Calibri" w:eastAsia="Times New Roman" w:hAnsi="Calibri" w:cs="Calibri"/>
                <w:sz w:val="20"/>
                <w:szCs w:val="20"/>
                <w:lang w:eastAsia="en-AU"/>
              </w:rPr>
              <w:t xml:space="preserve">Outer Regional Australia </w:t>
            </w:r>
          </w:p>
        </w:tc>
        <w:tc>
          <w:tcPr>
            <w:tcW w:w="1136" w:type="dxa"/>
            <w:tcBorders>
              <w:top w:val="single" w:sz="4" w:space="0" w:color="auto"/>
              <w:left w:val="nil"/>
              <w:bottom w:val="single" w:sz="4" w:space="0" w:color="auto"/>
              <w:right w:val="single" w:sz="4" w:space="0" w:color="auto"/>
            </w:tcBorders>
            <w:shd w:val="clear" w:color="auto" w:fill="E7E7E7" w:themeFill="text2" w:themeFillTint="1A"/>
            <w:vAlign w:val="center"/>
            <w:hideMark/>
          </w:tcPr>
          <w:p w14:paraId="24219DB1" w14:textId="345D43A4" w:rsidR="001D3810" w:rsidRPr="00D3027C" w:rsidRDefault="001D3810" w:rsidP="00DF1805">
            <w:pPr>
              <w:jc w:val="right"/>
              <w:rPr>
                <w:rFonts w:ascii="Calibri" w:eastAsia="Times New Roman" w:hAnsi="Calibri" w:cs="Calibri"/>
                <w:sz w:val="20"/>
                <w:szCs w:val="20"/>
                <w:lang w:eastAsia="en-AU"/>
              </w:rPr>
            </w:pPr>
            <w:r w:rsidRPr="00D3027C">
              <w:rPr>
                <w:rFonts w:ascii="Calibri" w:eastAsia="Times New Roman" w:hAnsi="Calibri" w:cs="Calibri"/>
                <w:sz w:val="20"/>
                <w:szCs w:val="20"/>
                <w:lang w:eastAsia="en-AU"/>
              </w:rPr>
              <w:t xml:space="preserve">Remote Australia </w:t>
            </w:r>
            <w:r w:rsidR="00F438C3" w:rsidRPr="00F438C3">
              <w:rPr>
                <w:rFonts w:ascii="Calibri" w:eastAsia="Times New Roman" w:hAnsi="Calibri" w:cs="Calibri"/>
                <w:sz w:val="20"/>
                <w:szCs w:val="20"/>
                <w:vertAlign w:val="superscript"/>
                <w:lang w:eastAsia="en-AU"/>
              </w:rPr>
              <w:t>(b)</w:t>
            </w:r>
          </w:p>
        </w:tc>
        <w:tc>
          <w:tcPr>
            <w:tcW w:w="1136" w:type="dxa"/>
            <w:tcBorders>
              <w:top w:val="single" w:sz="4" w:space="0" w:color="auto"/>
              <w:left w:val="nil"/>
              <w:bottom w:val="single" w:sz="4" w:space="0" w:color="auto"/>
              <w:right w:val="single" w:sz="4" w:space="0" w:color="auto"/>
            </w:tcBorders>
            <w:shd w:val="clear" w:color="auto" w:fill="E7E7E7" w:themeFill="text2" w:themeFillTint="1A"/>
            <w:vAlign w:val="center"/>
            <w:hideMark/>
          </w:tcPr>
          <w:p w14:paraId="38AB4D7E" w14:textId="7A3C8586" w:rsidR="001D3810" w:rsidRPr="00D3027C" w:rsidRDefault="001D3810" w:rsidP="00DF1805">
            <w:pPr>
              <w:jc w:val="right"/>
              <w:rPr>
                <w:rFonts w:ascii="Calibri" w:eastAsia="Times New Roman" w:hAnsi="Calibri" w:cs="Calibri"/>
                <w:sz w:val="20"/>
                <w:szCs w:val="20"/>
                <w:lang w:eastAsia="en-AU"/>
              </w:rPr>
            </w:pPr>
            <w:r w:rsidRPr="00D3027C">
              <w:rPr>
                <w:rFonts w:ascii="Calibri" w:eastAsia="Times New Roman" w:hAnsi="Calibri" w:cs="Calibri"/>
                <w:sz w:val="20"/>
                <w:szCs w:val="20"/>
                <w:lang w:eastAsia="en-AU"/>
              </w:rPr>
              <w:t xml:space="preserve">Total </w:t>
            </w:r>
            <w:r w:rsidR="00F438C3">
              <w:rPr>
                <w:rFonts w:ascii="Calibri" w:eastAsia="Times New Roman" w:hAnsi="Calibri" w:cs="Calibri"/>
                <w:sz w:val="20"/>
                <w:szCs w:val="20"/>
                <w:lang w:eastAsia="en-AU"/>
              </w:rPr>
              <w:t>(all tenancies)</w:t>
            </w:r>
          </w:p>
        </w:tc>
      </w:tr>
      <w:tr w:rsidR="001D3810" w:rsidRPr="00BD6A02" w14:paraId="04C968D1"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3670C7D" w14:textId="4E419B13" w:rsidR="001D3810" w:rsidRPr="00BD6A02" w:rsidRDefault="001D3810" w:rsidP="00D3027C">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 xml:space="preserve">Number of Tenancies (n) </w:t>
            </w:r>
          </w:p>
        </w:tc>
        <w:tc>
          <w:tcPr>
            <w:tcW w:w="1136" w:type="dxa"/>
            <w:tcBorders>
              <w:top w:val="nil"/>
              <w:left w:val="nil"/>
              <w:bottom w:val="single" w:sz="4" w:space="0" w:color="auto"/>
              <w:right w:val="single" w:sz="4" w:space="0" w:color="auto"/>
            </w:tcBorders>
            <w:shd w:val="clear" w:color="auto" w:fill="auto"/>
            <w:noWrap/>
            <w:vAlign w:val="center"/>
            <w:hideMark/>
          </w:tcPr>
          <w:p w14:paraId="7356CE7B" w14:textId="22AAB143" w:rsidR="001D3810" w:rsidRPr="00BD6A02" w:rsidRDefault="007F7B82"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47</w:t>
            </w:r>
            <w:r w:rsidR="00C10EF8">
              <w:rPr>
                <w:rFonts w:ascii="Calibri" w:eastAsia="Times New Roman" w:hAnsi="Calibri" w:cs="Calibri"/>
                <w:sz w:val="20"/>
                <w:szCs w:val="20"/>
                <w:lang w:eastAsia="en-AU"/>
              </w:rPr>
              <w:t>3</w:t>
            </w:r>
            <w:r w:rsidR="00D3027C">
              <w:rPr>
                <w:rFonts w:ascii="Calibri" w:eastAsia="Times New Roman" w:hAnsi="Calibri" w:cs="Calibri"/>
                <w:sz w:val="20"/>
                <w:szCs w:val="20"/>
                <w:lang w:eastAsia="en-AU"/>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14:paraId="643C31ED" w14:textId="2E426129" w:rsidR="001D3810" w:rsidRPr="00BD6A02" w:rsidRDefault="00DA4FFA"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49</w:t>
            </w:r>
          </w:p>
        </w:tc>
        <w:tc>
          <w:tcPr>
            <w:tcW w:w="1136" w:type="dxa"/>
            <w:tcBorders>
              <w:top w:val="nil"/>
              <w:left w:val="nil"/>
              <w:bottom w:val="single" w:sz="4" w:space="0" w:color="auto"/>
              <w:right w:val="single" w:sz="4" w:space="0" w:color="auto"/>
            </w:tcBorders>
            <w:shd w:val="clear" w:color="auto" w:fill="auto"/>
            <w:noWrap/>
            <w:vAlign w:val="center"/>
            <w:hideMark/>
          </w:tcPr>
          <w:p w14:paraId="74544B01" w14:textId="095F1370" w:rsidR="001D3810"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3</w:t>
            </w:r>
            <w:r>
              <w:rPr>
                <w:rFonts w:ascii="Calibri" w:eastAsia="Times New Roman" w:hAnsi="Calibri" w:cs="Calibri"/>
                <w:sz w:val="20"/>
                <w:szCs w:val="20"/>
                <w:lang w:eastAsia="en-AU"/>
              </w:rPr>
              <w:t>5</w:t>
            </w:r>
          </w:p>
        </w:tc>
        <w:tc>
          <w:tcPr>
            <w:tcW w:w="1136" w:type="dxa"/>
            <w:tcBorders>
              <w:top w:val="nil"/>
              <w:left w:val="nil"/>
              <w:bottom w:val="single" w:sz="4" w:space="0" w:color="auto"/>
              <w:right w:val="single" w:sz="4" w:space="0" w:color="auto"/>
            </w:tcBorders>
            <w:shd w:val="clear" w:color="auto" w:fill="auto"/>
            <w:noWrap/>
            <w:vAlign w:val="center"/>
            <w:hideMark/>
          </w:tcPr>
          <w:p w14:paraId="60CE5382" w14:textId="351B59A4" w:rsidR="001D3810" w:rsidRPr="00BD6A02" w:rsidRDefault="001D3810"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w:t>
            </w:r>
            <w:r w:rsidR="001B516A">
              <w:rPr>
                <w:rFonts w:ascii="Calibri" w:eastAsia="Times New Roman" w:hAnsi="Calibri" w:cs="Calibri"/>
                <w:sz w:val="20"/>
                <w:szCs w:val="20"/>
                <w:lang w:eastAsia="en-AU"/>
              </w:rPr>
              <w:t>1</w:t>
            </w:r>
          </w:p>
        </w:tc>
        <w:tc>
          <w:tcPr>
            <w:tcW w:w="1136" w:type="dxa"/>
            <w:tcBorders>
              <w:top w:val="nil"/>
              <w:left w:val="nil"/>
              <w:bottom w:val="single" w:sz="4" w:space="0" w:color="auto"/>
              <w:right w:val="single" w:sz="4" w:space="0" w:color="auto"/>
            </w:tcBorders>
            <w:shd w:val="clear" w:color="auto" w:fill="auto"/>
            <w:noWrap/>
            <w:vAlign w:val="center"/>
            <w:hideMark/>
          </w:tcPr>
          <w:p w14:paraId="66667CAA" w14:textId="0795A901" w:rsidR="001D3810" w:rsidRPr="00BD6A02" w:rsidRDefault="001D3810"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568</w:t>
            </w:r>
          </w:p>
        </w:tc>
      </w:tr>
      <w:tr w:rsidR="00C10EF8" w:rsidRPr="00BD6A02" w14:paraId="3CDF0BC3"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12C64DB" w14:textId="6CE84B26"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Controlled area (m</w:t>
            </w:r>
            <w:r w:rsidRPr="00B1226A">
              <w:rPr>
                <w:rFonts w:ascii="Calibri" w:eastAsia="Times New Roman" w:hAnsi="Calibri" w:cs="Calibri"/>
                <w:sz w:val="20"/>
                <w:szCs w:val="20"/>
                <w:vertAlign w:val="superscript"/>
                <w:lang w:eastAsia="en-AU"/>
              </w:rPr>
              <w:t>2</w:t>
            </w:r>
            <w:r w:rsidRPr="00BD6A02">
              <w:rPr>
                <w:rFonts w:ascii="Calibri" w:eastAsia="Times New Roman" w:hAnsi="Calibri" w:cs="Calibri"/>
                <w:sz w:val="20"/>
                <w:szCs w:val="20"/>
                <w:lang w:eastAsia="en-AU"/>
              </w:rPr>
              <w:t>)</w:t>
            </w:r>
          </w:p>
        </w:tc>
        <w:tc>
          <w:tcPr>
            <w:tcW w:w="1136" w:type="dxa"/>
            <w:tcBorders>
              <w:top w:val="nil"/>
              <w:left w:val="nil"/>
              <w:bottom w:val="single" w:sz="4" w:space="0" w:color="auto"/>
              <w:right w:val="single" w:sz="4" w:space="0" w:color="auto"/>
            </w:tcBorders>
            <w:shd w:val="clear" w:color="auto" w:fill="auto"/>
            <w:noWrap/>
            <w:vAlign w:val="center"/>
            <w:hideMark/>
          </w:tcPr>
          <w:p w14:paraId="2F25F8BB" w14:textId="1F7956BA"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2,654,623</w:t>
            </w:r>
          </w:p>
        </w:tc>
        <w:tc>
          <w:tcPr>
            <w:tcW w:w="1136" w:type="dxa"/>
            <w:tcBorders>
              <w:top w:val="nil"/>
              <w:left w:val="nil"/>
              <w:bottom w:val="single" w:sz="4" w:space="0" w:color="auto"/>
              <w:right w:val="single" w:sz="4" w:space="0" w:color="auto"/>
            </w:tcBorders>
            <w:shd w:val="clear" w:color="auto" w:fill="auto"/>
            <w:noWrap/>
            <w:vAlign w:val="center"/>
            <w:hideMark/>
          </w:tcPr>
          <w:p w14:paraId="5EC3E93C" w14:textId="615006C1"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117,906</w:t>
            </w:r>
          </w:p>
        </w:tc>
        <w:tc>
          <w:tcPr>
            <w:tcW w:w="1136" w:type="dxa"/>
            <w:tcBorders>
              <w:top w:val="nil"/>
              <w:left w:val="nil"/>
              <w:bottom w:val="single" w:sz="4" w:space="0" w:color="auto"/>
              <w:right w:val="single" w:sz="4" w:space="0" w:color="auto"/>
            </w:tcBorders>
            <w:shd w:val="clear" w:color="auto" w:fill="auto"/>
            <w:noWrap/>
            <w:vAlign w:val="center"/>
            <w:hideMark/>
          </w:tcPr>
          <w:p w14:paraId="1CD791B1" w14:textId="0D00E967"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56,970</w:t>
            </w:r>
          </w:p>
        </w:tc>
        <w:tc>
          <w:tcPr>
            <w:tcW w:w="1136" w:type="dxa"/>
            <w:tcBorders>
              <w:top w:val="nil"/>
              <w:left w:val="nil"/>
              <w:bottom w:val="single" w:sz="4" w:space="0" w:color="auto"/>
              <w:right w:val="single" w:sz="4" w:space="0" w:color="auto"/>
            </w:tcBorders>
            <w:shd w:val="clear" w:color="auto" w:fill="auto"/>
            <w:noWrap/>
            <w:vAlign w:val="center"/>
            <w:hideMark/>
          </w:tcPr>
          <w:p w14:paraId="14FD068D" w14:textId="556811FD"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8</w:t>
            </w:r>
            <w:r w:rsidRPr="00BD6A02">
              <w:rPr>
                <w:rFonts w:ascii="Calibri" w:eastAsia="Times New Roman" w:hAnsi="Calibri" w:cs="Calibri"/>
                <w:sz w:val="20"/>
                <w:szCs w:val="20"/>
                <w:lang w:eastAsia="en-AU"/>
              </w:rPr>
              <w:t>,</w:t>
            </w:r>
            <w:r>
              <w:rPr>
                <w:rFonts w:ascii="Calibri" w:eastAsia="Times New Roman" w:hAnsi="Calibri" w:cs="Calibri"/>
                <w:sz w:val="20"/>
                <w:szCs w:val="20"/>
                <w:lang w:eastAsia="en-AU"/>
              </w:rPr>
              <w:t>847</w:t>
            </w:r>
          </w:p>
        </w:tc>
        <w:tc>
          <w:tcPr>
            <w:tcW w:w="1136" w:type="dxa"/>
            <w:tcBorders>
              <w:top w:val="nil"/>
              <w:left w:val="nil"/>
              <w:bottom w:val="single" w:sz="4" w:space="0" w:color="auto"/>
              <w:right w:val="single" w:sz="4" w:space="0" w:color="auto"/>
            </w:tcBorders>
            <w:shd w:val="clear" w:color="auto" w:fill="auto"/>
            <w:noWrap/>
            <w:vAlign w:val="center"/>
            <w:hideMark/>
          </w:tcPr>
          <w:p w14:paraId="49F0FB21" w14:textId="24E4B608"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2,838,345</w:t>
            </w:r>
          </w:p>
        </w:tc>
      </w:tr>
      <w:tr w:rsidR="00C10EF8" w:rsidRPr="00BD6A02" w14:paraId="4978D56B"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3D30B75" w14:textId="6C7199B6"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Usable Office Area (m²)</w:t>
            </w:r>
          </w:p>
        </w:tc>
        <w:tc>
          <w:tcPr>
            <w:tcW w:w="1136" w:type="dxa"/>
            <w:tcBorders>
              <w:top w:val="nil"/>
              <w:left w:val="nil"/>
              <w:bottom w:val="single" w:sz="4" w:space="0" w:color="auto"/>
              <w:right w:val="single" w:sz="4" w:space="0" w:color="auto"/>
            </w:tcBorders>
            <w:shd w:val="clear" w:color="auto" w:fill="auto"/>
            <w:noWrap/>
            <w:vAlign w:val="center"/>
            <w:hideMark/>
          </w:tcPr>
          <w:p w14:paraId="626B7C9D" w14:textId="7706C0FF"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2,098,939</w:t>
            </w:r>
          </w:p>
        </w:tc>
        <w:tc>
          <w:tcPr>
            <w:tcW w:w="1136" w:type="dxa"/>
            <w:tcBorders>
              <w:top w:val="nil"/>
              <w:left w:val="nil"/>
              <w:bottom w:val="single" w:sz="4" w:space="0" w:color="auto"/>
              <w:right w:val="single" w:sz="4" w:space="0" w:color="auto"/>
            </w:tcBorders>
            <w:shd w:val="clear" w:color="auto" w:fill="auto"/>
            <w:noWrap/>
            <w:vAlign w:val="center"/>
            <w:hideMark/>
          </w:tcPr>
          <w:p w14:paraId="50988F91" w14:textId="227FCD95"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101,415</w:t>
            </w:r>
          </w:p>
        </w:tc>
        <w:tc>
          <w:tcPr>
            <w:tcW w:w="1136" w:type="dxa"/>
            <w:tcBorders>
              <w:top w:val="nil"/>
              <w:left w:val="nil"/>
              <w:bottom w:val="single" w:sz="4" w:space="0" w:color="auto"/>
              <w:right w:val="single" w:sz="4" w:space="0" w:color="auto"/>
            </w:tcBorders>
            <w:shd w:val="clear" w:color="auto" w:fill="auto"/>
            <w:noWrap/>
            <w:vAlign w:val="center"/>
            <w:hideMark/>
          </w:tcPr>
          <w:p w14:paraId="07C8832C" w14:textId="5926F9C3"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45,691</w:t>
            </w:r>
          </w:p>
        </w:tc>
        <w:tc>
          <w:tcPr>
            <w:tcW w:w="1136" w:type="dxa"/>
            <w:tcBorders>
              <w:top w:val="nil"/>
              <w:left w:val="nil"/>
              <w:bottom w:val="single" w:sz="4" w:space="0" w:color="auto"/>
              <w:right w:val="single" w:sz="4" w:space="0" w:color="auto"/>
            </w:tcBorders>
            <w:shd w:val="clear" w:color="auto" w:fill="auto"/>
            <w:noWrap/>
            <w:vAlign w:val="center"/>
            <w:hideMark/>
          </w:tcPr>
          <w:p w14:paraId="325CEC21" w14:textId="4893BBE8"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7,316</w:t>
            </w:r>
          </w:p>
        </w:tc>
        <w:tc>
          <w:tcPr>
            <w:tcW w:w="1136" w:type="dxa"/>
            <w:tcBorders>
              <w:top w:val="nil"/>
              <w:left w:val="nil"/>
              <w:bottom w:val="single" w:sz="4" w:space="0" w:color="auto"/>
              <w:right w:val="single" w:sz="4" w:space="0" w:color="auto"/>
            </w:tcBorders>
            <w:shd w:val="clear" w:color="auto" w:fill="auto"/>
            <w:noWrap/>
            <w:vAlign w:val="center"/>
            <w:hideMark/>
          </w:tcPr>
          <w:p w14:paraId="31DB69DB" w14:textId="436108C5"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2,253,361</w:t>
            </w:r>
          </w:p>
        </w:tc>
      </w:tr>
      <w:tr w:rsidR="00C10EF8" w:rsidRPr="00BD6A02" w14:paraId="5743019F"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BA04210" w14:textId="2C019D18"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 xml:space="preserve">Work-points (n) </w:t>
            </w:r>
          </w:p>
        </w:tc>
        <w:tc>
          <w:tcPr>
            <w:tcW w:w="1136" w:type="dxa"/>
            <w:tcBorders>
              <w:top w:val="nil"/>
              <w:left w:val="nil"/>
              <w:bottom w:val="single" w:sz="4" w:space="0" w:color="auto"/>
              <w:right w:val="single" w:sz="4" w:space="0" w:color="auto"/>
            </w:tcBorders>
            <w:shd w:val="clear" w:color="auto" w:fill="auto"/>
            <w:noWrap/>
            <w:vAlign w:val="center"/>
            <w:hideMark/>
          </w:tcPr>
          <w:p w14:paraId="0E1331A3" w14:textId="474882E2"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153,246</w:t>
            </w:r>
          </w:p>
        </w:tc>
        <w:tc>
          <w:tcPr>
            <w:tcW w:w="1136" w:type="dxa"/>
            <w:tcBorders>
              <w:top w:val="nil"/>
              <w:left w:val="nil"/>
              <w:bottom w:val="single" w:sz="4" w:space="0" w:color="auto"/>
              <w:right w:val="single" w:sz="4" w:space="0" w:color="auto"/>
            </w:tcBorders>
            <w:shd w:val="clear" w:color="auto" w:fill="auto"/>
            <w:noWrap/>
            <w:vAlign w:val="center"/>
            <w:hideMark/>
          </w:tcPr>
          <w:p w14:paraId="1163FB2E" w14:textId="10A948AD"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8,001</w:t>
            </w:r>
          </w:p>
        </w:tc>
        <w:tc>
          <w:tcPr>
            <w:tcW w:w="1136" w:type="dxa"/>
            <w:tcBorders>
              <w:top w:val="nil"/>
              <w:left w:val="nil"/>
              <w:bottom w:val="single" w:sz="4" w:space="0" w:color="auto"/>
              <w:right w:val="single" w:sz="4" w:space="0" w:color="auto"/>
            </w:tcBorders>
            <w:shd w:val="clear" w:color="auto" w:fill="auto"/>
            <w:noWrap/>
            <w:vAlign w:val="center"/>
            <w:hideMark/>
          </w:tcPr>
          <w:p w14:paraId="43A7D9B2" w14:textId="43D1F829"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3,115</w:t>
            </w:r>
          </w:p>
        </w:tc>
        <w:tc>
          <w:tcPr>
            <w:tcW w:w="1136" w:type="dxa"/>
            <w:tcBorders>
              <w:top w:val="nil"/>
              <w:left w:val="nil"/>
              <w:bottom w:val="single" w:sz="4" w:space="0" w:color="auto"/>
              <w:right w:val="single" w:sz="4" w:space="0" w:color="auto"/>
            </w:tcBorders>
            <w:shd w:val="clear" w:color="auto" w:fill="auto"/>
            <w:noWrap/>
            <w:vAlign w:val="center"/>
            <w:hideMark/>
          </w:tcPr>
          <w:p w14:paraId="19574E2B" w14:textId="470EDE8B"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270</w:t>
            </w:r>
          </w:p>
        </w:tc>
        <w:tc>
          <w:tcPr>
            <w:tcW w:w="1136" w:type="dxa"/>
            <w:tcBorders>
              <w:top w:val="nil"/>
              <w:left w:val="nil"/>
              <w:bottom w:val="single" w:sz="4" w:space="0" w:color="auto"/>
              <w:right w:val="single" w:sz="4" w:space="0" w:color="auto"/>
            </w:tcBorders>
            <w:shd w:val="clear" w:color="auto" w:fill="auto"/>
            <w:noWrap/>
            <w:vAlign w:val="center"/>
            <w:hideMark/>
          </w:tcPr>
          <w:p w14:paraId="455E8C8E" w14:textId="13D9F566"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164,632</w:t>
            </w:r>
          </w:p>
        </w:tc>
      </w:tr>
      <w:tr w:rsidR="00C10EF8" w:rsidRPr="00BD6A02" w14:paraId="45916E0A"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A20907" w14:textId="1BF38411"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 xml:space="preserve">Staff (n) </w:t>
            </w:r>
          </w:p>
        </w:tc>
        <w:tc>
          <w:tcPr>
            <w:tcW w:w="1136" w:type="dxa"/>
            <w:tcBorders>
              <w:top w:val="nil"/>
              <w:left w:val="nil"/>
              <w:bottom w:val="single" w:sz="4" w:space="0" w:color="auto"/>
              <w:right w:val="single" w:sz="4" w:space="0" w:color="auto"/>
            </w:tcBorders>
            <w:shd w:val="clear" w:color="auto" w:fill="auto"/>
            <w:noWrap/>
            <w:vAlign w:val="center"/>
            <w:hideMark/>
          </w:tcPr>
          <w:p w14:paraId="23412A56" w14:textId="692A117D"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130,250</w:t>
            </w:r>
          </w:p>
        </w:tc>
        <w:tc>
          <w:tcPr>
            <w:tcW w:w="1136" w:type="dxa"/>
            <w:tcBorders>
              <w:top w:val="nil"/>
              <w:left w:val="nil"/>
              <w:bottom w:val="single" w:sz="4" w:space="0" w:color="auto"/>
              <w:right w:val="single" w:sz="4" w:space="0" w:color="auto"/>
            </w:tcBorders>
            <w:shd w:val="clear" w:color="auto" w:fill="auto"/>
            <w:noWrap/>
            <w:vAlign w:val="center"/>
            <w:hideMark/>
          </w:tcPr>
          <w:p w14:paraId="1601E216" w14:textId="7EC15DFB"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6,809</w:t>
            </w:r>
          </w:p>
        </w:tc>
        <w:tc>
          <w:tcPr>
            <w:tcW w:w="1136" w:type="dxa"/>
            <w:tcBorders>
              <w:top w:val="nil"/>
              <w:left w:val="nil"/>
              <w:bottom w:val="single" w:sz="4" w:space="0" w:color="auto"/>
              <w:right w:val="single" w:sz="4" w:space="0" w:color="auto"/>
            </w:tcBorders>
            <w:shd w:val="clear" w:color="auto" w:fill="auto"/>
            <w:noWrap/>
            <w:vAlign w:val="center"/>
            <w:hideMark/>
          </w:tcPr>
          <w:p w14:paraId="614B2C59" w14:textId="0DEDC506"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2,369</w:t>
            </w:r>
          </w:p>
        </w:tc>
        <w:tc>
          <w:tcPr>
            <w:tcW w:w="1136" w:type="dxa"/>
            <w:tcBorders>
              <w:top w:val="nil"/>
              <w:left w:val="nil"/>
              <w:bottom w:val="single" w:sz="4" w:space="0" w:color="auto"/>
              <w:right w:val="single" w:sz="4" w:space="0" w:color="auto"/>
            </w:tcBorders>
            <w:shd w:val="clear" w:color="auto" w:fill="auto"/>
            <w:noWrap/>
            <w:vAlign w:val="center"/>
            <w:hideMark/>
          </w:tcPr>
          <w:p w14:paraId="1BF141AE" w14:textId="0E736933"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155</w:t>
            </w:r>
          </w:p>
        </w:tc>
        <w:tc>
          <w:tcPr>
            <w:tcW w:w="1136" w:type="dxa"/>
            <w:tcBorders>
              <w:top w:val="nil"/>
              <w:left w:val="nil"/>
              <w:bottom w:val="single" w:sz="4" w:space="0" w:color="auto"/>
              <w:right w:val="single" w:sz="4" w:space="0" w:color="auto"/>
            </w:tcBorders>
            <w:shd w:val="clear" w:color="auto" w:fill="auto"/>
            <w:noWrap/>
            <w:vAlign w:val="center"/>
            <w:hideMark/>
          </w:tcPr>
          <w:p w14:paraId="1171608B" w14:textId="64939505"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139,583</w:t>
            </w:r>
          </w:p>
        </w:tc>
      </w:tr>
      <w:tr w:rsidR="00C10EF8" w:rsidRPr="00BD6A02" w14:paraId="18AAF158"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73762A7" w14:textId="54EA6CC6"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 xml:space="preserve">Vacant Work-points (n) </w:t>
            </w:r>
          </w:p>
        </w:tc>
        <w:tc>
          <w:tcPr>
            <w:tcW w:w="1136" w:type="dxa"/>
            <w:tcBorders>
              <w:top w:val="nil"/>
              <w:left w:val="nil"/>
              <w:bottom w:val="single" w:sz="4" w:space="0" w:color="auto"/>
              <w:right w:val="single" w:sz="4" w:space="0" w:color="auto"/>
            </w:tcBorders>
            <w:shd w:val="clear" w:color="auto" w:fill="auto"/>
            <w:noWrap/>
            <w:vAlign w:val="center"/>
            <w:hideMark/>
          </w:tcPr>
          <w:p w14:paraId="22D08586" w14:textId="75AC3E22"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22,996</w:t>
            </w:r>
          </w:p>
        </w:tc>
        <w:tc>
          <w:tcPr>
            <w:tcW w:w="1136" w:type="dxa"/>
            <w:tcBorders>
              <w:top w:val="nil"/>
              <w:left w:val="nil"/>
              <w:bottom w:val="single" w:sz="4" w:space="0" w:color="auto"/>
              <w:right w:val="single" w:sz="4" w:space="0" w:color="auto"/>
            </w:tcBorders>
            <w:shd w:val="clear" w:color="auto" w:fill="auto"/>
            <w:noWrap/>
            <w:vAlign w:val="center"/>
            <w:hideMark/>
          </w:tcPr>
          <w:p w14:paraId="349F2C0A" w14:textId="27D231F6"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1,192</w:t>
            </w:r>
          </w:p>
        </w:tc>
        <w:tc>
          <w:tcPr>
            <w:tcW w:w="1136" w:type="dxa"/>
            <w:tcBorders>
              <w:top w:val="nil"/>
              <w:left w:val="nil"/>
              <w:bottom w:val="single" w:sz="4" w:space="0" w:color="auto"/>
              <w:right w:val="single" w:sz="4" w:space="0" w:color="auto"/>
            </w:tcBorders>
            <w:shd w:val="clear" w:color="auto" w:fill="auto"/>
            <w:noWrap/>
            <w:vAlign w:val="center"/>
            <w:hideMark/>
          </w:tcPr>
          <w:p w14:paraId="5969449D" w14:textId="6BD89F13"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746</w:t>
            </w:r>
          </w:p>
        </w:tc>
        <w:tc>
          <w:tcPr>
            <w:tcW w:w="1136" w:type="dxa"/>
            <w:tcBorders>
              <w:top w:val="nil"/>
              <w:left w:val="nil"/>
              <w:bottom w:val="single" w:sz="4" w:space="0" w:color="auto"/>
              <w:right w:val="single" w:sz="4" w:space="0" w:color="auto"/>
            </w:tcBorders>
            <w:shd w:val="clear" w:color="auto" w:fill="auto"/>
            <w:noWrap/>
            <w:vAlign w:val="center"/>
            <w:hideMark/>
          </w:tcPr>
          <w:p w14:paraId="367A11BA" w14:textId="1D827DDA"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w:t>
            </w:r>
            <w:r>
              <w:rPr>
                <w:rFonts w:ascii="Calibri" w:eastAsia="Times New Roman" w:hAnsi="Calibri" w:cs="Calibri"/>
                <w:sz w:val="20"/>
                <w:szCs w:val="20"/>
                <w:lang w:eastAsia="en-AU"/>
              </w:rPr>
              <w:t>15</w:t>
            </w:r>
          </w:p>
        </w:tc>
        <w:tc>
          <w:tcPr>
            <w:tcW w:w="1136" w:type="dxa"/>
            <w:tcBorders>
              <w:top w:val="nil"/>
              <w:left w:val="nil"/>
              <w:bottom w:val="single" w:sz="4" w:space="0" w:color="auto"/>
              <w:right w:val="single" w:sz="4" w:space="0" w:color="auto"/>
            </w:tcBorders>
            <w:shd w:val="clear" w:color="auto" w:fill="auto"/>
            <w:noWrap/>
            <w:vAlign w:val="center"/>
            <w:hideMark/>
          </w:tcPr>
          <w:p w14:paraId="0406EC7C" w14:textId="1BA7011F"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25,049</w:t>
            </w:r>
          </w:p>
        </w:tc>
      </w:tr>
      <w:tr w:rsidR="00C10EF8" w:rsidRPr="00BD6A02" w14:paraId="5650D19A"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0F97B75" w14:textId="0183F592"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 xml:space="preserve">Work-point Vacancy Rate (%) </w:t>
            </w:r>
          </w:p>
        </w:tc>
        <w:tc>
          <w:tcPr>
            <w:tcW w:w="1136" w:type="dxa"/>
            <w:tcBorders>
              <w:top w:val="nil"/>
              <w:left w:val="nil"/>
              <w:bottom w:val="single" w:sz="4" w:space="0" w:color="auto"/>
              <w:right w:val="single" w:sz="4" w:space="0" w:color="auto"/>
            </w:tcBorders>
            <w:shd w:val="clear" w:color="auto" w:fill="auto"/>
            <w:noWrap/>
            <w:vAlign w:val="center"/>
            <w:hideMark/>
          </w:tcPr>
          <w:p w14:paraId="2E022414" w14:textId="705B9E80"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15.0%</w:t>
            </w:r>
          </w:p>
        </w:tc>
        <w:tc>
          <w:tcPr>
            <w:tcW w:w="1136" w:type="dxa"/>
            <w:tcBorders>
              <w:top w:val="nil"/>
              <w:left w:val="nil"/>
              <w:bottom w:val="single" w:sz="4" w:space="0" w:color="auto"/>
              <w:right w:val="single" w:sz="4" w:space="0" w:color="auto"/>
            </w:tcBorders>
            <w:shd w:val="clear" w:color="auto" w:fill="auto"/>
            <w:noWrap/>
            <w:vAlign w:val="center"/>
            <w:hideMark/>
          </w:tcPr>
          <w:p w14:paraId="232ECE63" w14:textId="5BB7F720"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14.9%</w:t>
            </w:r>
          </w:p>
        </w:tc>
        <w:tc>
          <w:tcPr>
            <w:tcW w:w="1136" w:type="dxa"/>
            <w:tcBorders>
              <w:top w:val="nil"/>
              <w:left w:val="nil"/>
              <w:bottom w:val="single" w:sz="4" w:space="0" w:color="auto"/>
              <w:right w:val="single" w:sz="4" w:space="0" w:color="auto"/>
            </w:tcBorders>
            <w:shd w:val="clear" w:color="auto" w:fill="auto"/>
            <w:noWrap/>
            <w:vAlign w:val="center"/>
            <w:hideMark/>
          </w:tcPr>
          <w:p w14:paraId="55B06B81" w14:textId="05DC856C"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23.9%</w:t>
            </w:r>
          </w:p>
        </w:tc>
        <w:tc>
          <w:tcPr>
            <w:tcW w:w="1136" w:type="dxa"/>
            <w:tcBorders>
              <w:top w:val="nil"/>
              <w:left w:val="nil"/>
              <w:bottom w:val="single" w:sz="4" w:space="0" w:color="auto"/>
              <w:right w:val="single" w:sz="4" w:space="0" w:color="auto"/>
            </w:tcBorders>
            <w:shd w:val="clear" w:color="auto" w:fill="auto"/>
            <w:noWrap/>
            <w:vAlign w:val="center"/>
            <w:hideMark/>
          </w:tcPr>
          <w:p w14:paraId="6C190EE6" w14:textId="74009502"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42</w:t>
            </w:r>
            <w:r w:rsidRPr="00BD6A02">
              <w:rPr>
                <w:rFonts w:ascii="Calibri" w:eastAsia="Times New Roman" w:hAnsi="Calibri" w:cs="Calibri"/>
                <w:sz w:val="20"/>
                <w:szCs w:val="20"/>
                <w:lang w:eastAsia="en-AU"/>
              </w:rPr>
              <w:t>.</w:t>
            </w:r>
            <w:r>
              <w:rPr>
                <w:rFonts w:ascii="Calibri" w:eastAsia="Times New Roman" w:hAnsi="Calibri" w:cs="Calibri"/>
                <w:sz w:val="20"/>
                <w:szCs w:val="20"/>
                <w:lang w:eastAsia="en-AU"/>
              </w:rPr>
              <w:t>6</w:t>
            </w:r>
            <w:r w:rsidRPr="00BD6A02">
              <w:rPr>
                <w:rFonts w:ascii="Calibri" w:eastAsia="Times New Roman" w:hAnsi="Calibri" w:cs="Calibri"/>
                <w:sz w:val="20"/>
                <w:szCs w:val="20"/>
                <w:lang w:eastAsia="en-AU"/>
              </w:rPr>
              <w:t>%</w:t>
            </w:r>
          </w:p>
        </w:tc>
        <w:tc>
          <w:tcPr>
            <w:tcW w:w="1136" w:type="dxa"/>
            <w:tcBorders>
              <w:top w:val="nil"/>
              <w:left w:val="nil"/>
              <w:bottom w:val="single" w:sz="4" w:space="0" w:color="auto"/>
              <w:right w:val="single" w:sz="4" w:space="0" w:color="auto"/>
            </w:tcBorders>
            <w:shd w:val="clear" w:color="auto" w:fill="auto"/>
            <w:noWrap/>
            <w:vAlign w:val="center"/>
            <w:hideMark/>
          </w:tcPr>
          <w:p w14:paraId="185D81FF" w14:textId="77777777"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15.2%</w:t>
            </w:r>
          </w:p>
        </w:tc>
      </w:tr>
      <w:tr w:rsidR="00C10EF8" w:rsidRPr="00BD6A02" w14:paraId="22B5DE64"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585E319" w14:textId="585CB7C0"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Average Fit-out Density (m²)</w:t>
            </w:r>
          </w:p>
        </w:tc>
        <w:tc>
          <w:tcPr>
            <w:tcW w:w="1136" w:type="dxa"/>
            <w:tcBorders>
              <w:top w:val="nil"/>
              <w:left w:val="nil"/>
              <w:bottom w:val="single" w:sz="4" w:space="0" w:color="auto"/>
              <w:right w:val="single" w:sz="4" w:space="0" w:color="auto"/>
            </w:tcBorders>
            <w:shd w:val="clear" w:color="auto" w:fill="auto"/>
            <w:noWrap/>
            <w:vAlign w:val="center"/>
            <w:hideMark/>
          </w:tcPr>
          <w:p w14:paraId="2C663456" w14:textId="77F72984"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13.7</w:t>
            </w:r>
          </w:p>
        </w:tc>
        <w:tc>
          <w:tcPr>
            <w:tcW w:w="1136" w:type="dxa"/>
            <w:tcBorders>
              <w:top w:val="nil"/>
              <w:left w:val="nil"/>
              <w:bottom w:val="single" w:sz="4" w:space="0" w:color="auto"/>
              <w:right w:val="single" w:sz="4" w:space="0" w:color="auto"/>
            </w:tcBorders>
            <w:shd w:val="clear" w:color="auto" w:fill="auto"/>
            <w:noWrap/>
            <w:vAlign w:val="center"/>
            <w:hideMark/>
          </w:tcPr>
          <w:p w14:paraId="67F2A3A0" w14:textId="310D3626"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12.7</w:t>
            </w:r>
          </w:p>
        </w:tc>
        <w:tc>
          <w:tcPr>
            <w:tcW w:w="1136" w:type="dxa"/>
            <w:tcBorders>
              <w:top w:val="nil"/>
              <w:left w:val="nil"/>
              <w:bottom w:val="single" w:sz="4" w:space="0" w:color="auto"/>
              <w:right w:val="single" w:sz="4" w:space="0" w:color="auto"/>
            </w:tcBorders>
            <w:shd w:val="clear" w:color="auto" w:fill="auto"/>
            <w:noWrap/>
            <w:vAlign w:val="center"/>
            <w:hideMark/>
          </w:tcPr>
          <w:p w14:paraId="627C2FE7" w14:textId="6000B060"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14.7</w:t>
            </w:r>
          </w:p>
        </w:tc>
        <w:tc>
          <w:tcPr>
            <w:tcW w:w="1136" w:type="dxa"/>
            <w:tcBorders>
              <w:top w:val="nil"/>
              <w:left w:val="nil"/>
              <w:bottom w:val="single" w:sz="4" w:space="0" w:color="auto"/>
              <w:right w:val="single" w:sz="4" w:space="0" w:color="auto"/>
            </w:tcBorders>
            <w:shd w:val="clear" w:color="auto" w:fill="auto"/>
            <w:noWrap/>
            <w:vAlign w:val="center"/>
            <w:hideMark/>
          </w:tcPr>
          <w:p w14:paraId="514697A5" w14:textId="7F1B2ABB"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27.1</w:t>
            </w:r>
          </w:p>
        </w:tc>
        <w:tc>
          <w:tcPr>
            <w:tcW w:w="1136" w:type="dxa"/>
            <w:tcBorders>
              <w:top w:val="nil"/>
              <w:left w:val="nil"/>
              <w:bottom w:val="single" w:sz="4" w:space="0" w:color="auto"/>
              <w:right w:val="single" w:sz="4" w:space="0" w:color="auto"/>
            </w:tcBorders>
            <w:shd w:val="clear" w:color="auto" w:fill="auto"/>
            <w:noWrap/>
            <w:vAlign w:val="center"/>
            <w:hideMark/>
          </w:tcPr>
          <w:p w14:paraId="1C346FE8" w14:textId="137E94B5"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13.7</w:t>
            </w:r>
          </w:p>
        </w:tc>
      </w:tr>
      <w:tr w:rsidR="00C10EF8" w:rsidRPr="00BD6A02" w14:paraId="1176A72D" w14:textId="77777777" w:rsidTr="00497387">
        <w:trPr>
          <w:trHeight w:val="301"/>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6216444" w14:textId="0588C1B7"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Average Occupational Density (m²)</w:t>
            </w:r>
          </w:p>
        </w:tc>
        <w:tc>
          <w:tcPr>
            <w:tcW w:w="1136" w:type="dxa"/>
            <w:tcBorders>
              <w:top w:val="nil"/>
              <w:left w:val="nil"/>
              <w:bottom w:val="single" w:sz="4" w:space="0" w:color="auto"/>
              <w:right w:val="single" w:sz="4" w:space="0" w:color="auto"/>
            </w:tcBorders>
            <w:shd w:val="clear" w:color="auto" w:fill="auto"/>
            <w:noWrap/>
            <w:vAlign w:val="center"/>
            <w:hideMark/>
          </w:tcPr>
          <w:p w14:paraId="3A10588C" w14:textId="157B43CB"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16.1</w:t>
            </w:r>
          </w:p>
        </w:tc>
        <w:tc>
          <w:tcPr>
            <w:tcW w:w="1136" w:type="dxa"/>
            <w:tcBorders>
              <w:top w:val="nil"/>
              <w:left w:val="nil"/>
              <w:bottom w:val="single" w:sz="4" w:space="0" w:color="auto"/>
              <w:right w:val="single" w:sz="4" w:space="0" w:color="auto"/>
            </w:tcBorders>
            <w:shd w:val="clear" w:color="auto" w:fill="auto"/>
            <w:noWrap/>
            <w:vAlign w:val="center"/>
            <w:hideMark/>
          </w:tcPr>
          <w:p w14:paraId="2021D684" w14:textId="3CD3325E"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14.9</w:t>
            </w:r>
          </w:p>
        </w:tc>
        <w:tc>
          <w:tcPr>
            <w:tcW w:w="1136" w:type="dxa"/>
            <w:tcBorders>
              <w:top w:val="nil"/>
              <w:left w:val="nil"/>
              <w:bottom w:val="single" w:sz="4" w:space="0" w:color="auto"/>
              <w:right w:val="single" w:sz="4" w:space="0" w:color="auto"/>
            </w:tcBorders>
            <w:shd w:val="clear" w:color="auto" w:fill="auto"/>
            <w:noWrap/>
            <w:vAlign w:val="center"/>
            <w:hideMark/>
          </w:tcPr>
          <w:p w14:paraId="4D2F4FC2" w14:textId="34E49252"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19.3</w:t>
            </w:r>
          </w:p>
        </w:tc>
        <w:tc>
          <w:tcPr>
            <w:tcW w:w="1136" w:type="dxa"/>
            <w:tcBorders>
              <w:top w:val="nil"/>
              <w:left w:val="nil"/>
              <w:bottom w:val="single" w:sz="4" w:space="0" w:color="auto"/>
              <w:right w:val="single" w:sz="4" w:space="0" w:color="auto"/>
            </w:tcBorders>
            <w:shd w:val="clear" w:color="auto" w:fill="auto"/>
            <w:noWrap/>
            <w:vAlign w:val="center"/>
            <w:hideMark/>
          </w:tcPr>
          <w:p w14:paraId="2B139C18" w14:textId="19E76D04"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47.2</w:t>
            </w:r>
          </w:p>
        </w:tc>
        <w:tc>
          <w:tcPr>
            <w:tcW w:w="1136" w:type="dxa"/>
            <w:tcBorders>
              <w:top w:val="nil"/>
              <w:left w:val="nil"/>
              <w:bottom w:val="single" w:sz="4" w:space="0" w:color="auto"/>
              <w:right w:val="single" w:sz="4" w:space="0" w:color="auto"/>
            </w:tcBorders>
            <w:shd w:val="clear" w:color="auto" w:fill="auto"/>
            <w:noWrap/>
            <w:vAlign w:val="center"/>
            <w:hideMark/>
          </w:tcPr>
          <w:p w14:paraId="2A581DA9" w14:textId="2D4AB0CA"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16.1</w:t>
            </w:r>
          </w:p>
        </w:tc>
      </w:tr>
      <w:tr w:rsidR="00C10EF8" w:rsidRPr="00BD6A02" w14:paraId="359DBEBB" w14:textId="77777777" w:rsidTr="00497387">
        <w:trPr>
          <w:trHeight w:val="301"/>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FF82777" w14:textId="28DB4DD5"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M</w:t>
            </w:r>
            <w:r>
              <w:rPr>
                <w:rFonts w:ascii="Calibri" w:eastAsia="Times New Roman" w:hAnsi="Calibri" w:cs="Calibri"/>
                <w:sz w:val="20"/>
                <w:szCs w:val="20"/>
                <w:lang w:eastAsia="en-AU"/>
              </w:rPr>
              <w:t xml:space="preserve">eeting the Occupational Density </w:t>
            </w:r>
            <w:r w:rsidRPr="00BD6A02">
              <w:rPr>
                <w:rFonts w:ascii="Calibri" w:eastAsia="Times New Roman" w:hAnsi="Calibri" w:cs="Calibri"/>
                <w:sz w:val="20"/>
                <w:szCs w:val="20"/>
                <w:lang w:eastAsia="en-AU"/>
              </w:rPr>
              <w:t xml:space="preserve">Target (%) </w:t>
            </w:r>
          </w:p>
        </w:tc>
        <w:tc>
          <w:tcPr>
            <w:tcW w:w="1136" w:type="dxa"/>
            <w:tcBorders>
              <w:top w:val="nil"/>
              <w:left w:val="nil"/>
              <w:bottom w:val="single" w:sz="4" w:space="0" w:color="auto"/>
              <w:right w:val="single" w:sz="4" w:space="0" w:color="auto"/>
            </w:tcBorders>
            <w:shd w:val="clear" w:color="auto" w:fill="auto"/>
            <w:noWrap/>
            <w:vAlign w:val="center"/>
            <w:hideMark/>
          </w:tcPr>
          <w:p w14:paraId="3E0EC9F6" w14:textId="3FCE29E2"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30.7%</w:t>
            </w:r>
          </w:p>
        </w:tc>
        <w:tc>
          <w:tcPr>
            <w:tcW w:w="1136" w:type="dxa"/>
            <w:tcBorders>
              <w:top w:val="nil"/>
              <w:left w:val="nil"/>
              <w:bottom w:val="single" w:sz="4" w:space="0" w:color="auto"/>
              <w:right w:val="single" w:sz="4" w:space="0" w:color="auto"/>
            </w:tcBorders>
            <w:shd w:val="clear" w:color="auto" w:fill="auto"/>
            <w:noWrap/>
            <w:vAlign w:val="center"/>
            <w:hideMark/>
          </w:tcPr>
          <w:p w14:paraId="5866B204" w14:textId="6F572EE6" w:rsidR="00C10EF8" w:rsidRPr="00DA4FFA" w:rsidRDefault="00C10EF8" w:rsidP="00497387">
            <w:pPr>
              <w:suppressAutoHyphens w:val="0"/>
              <w:spacing w:before="0" w:after="0" w:line="240" w:lineRule="auto"/>
              <w:jc w:val="right"/>
              <w:rPr>
                <w:rFonts w:ascii="Calibri" w:eastAsia="Times New Roman" w:hAnsi="Calibri" w:cs="Calibri"/>
                <w:sz w:val="20"/>
                <w:szCs w:val="20"/>
                <w:lang w:eastAsia="en-AU"/>
              </w:rPr>
            </w:pPr>
            <w:r w:rsidRPr="00DA4FFA">
              <w:rPr>
                <w:rFonts w:ascii="Calibri" w:hAnsi="Calibri" w:cs="Calibri"/>
                <w:color w:val="000000"/>
                <w:sz w:val="20"/>
              </w:rPr>
              <w:t>30.6%</w:t>
            </w:r>
          </w:p>
        </w:tc>
        <w:tc>
          <w:tcPr>
            <w:tcW w:w="1136" w:type="dxa"/>
            <w:tcBorders>
              <w:top w:val="nil"/>
              <w:left w:val="nil"/>
              <w:bottom w:val="single" w:sz="4" w:space="0" w:color="auto"/>
              <w:right w:val="single" w:sz="4" w:space="0" w:color="auto"/>
            </w:tcBorders>
            <w:shd w:val="clear" w:color="auto" w:fill="auto"/>
            <w:noWrap/>
            <w:vAlign w:val="center"/>
            <w:hideMark/>
          </w:tcPr>
          <w:p w14:paraId="76C82083" w14:textId="632991A0"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22.9%</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7694325B" w14:textId="4068A37D"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0.0%</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2E5CB523" w14:textId="37B5CF11"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851BF0">
              <w:rPr>
                <w:rFonts w:ascii="Calibri" w:eastAsia="Times New Roman" w:hAnsi="Calibri" w:cs="Calibri"/>
                <w:sz w:val="20"/>
                <w:szCs w:val="20"/>
                <w:lang w:eastAsia="en-AU"/>
              </w:rPr>
              <w:t>29.6%</w:t>
            </w:r>
          </w:p>
        </w:tc>
      </w:tr>
      <w:tr w:rsidR="00C10EF8" w:rsidRPr="00BD6A02" w14:paraId="09BDBCD4"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FAADC8E" w14:textId="78397836"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N</w:t>
            </w:r>
            <w:r w:rsidRPr="00BD6A02">
              <w:rPr>
                <w:rFonts w:ascii="Calibri" w:eastAsia="Times New Roman" w:hAnsi="Calibri" w:cs="Calibri"/>
                <w:sz w:val="20"/>
                <w:szCs w:val="20"/>
                <w:lang w:eastAsia="en-AU"/>
              </w:rPr>
              <w:t xml:space="preserve">et Tenancy Expenditure ($m) </w:t>
            </w:r>
          </w:p>
        </w:tc>
        <w:tc>
          <w:tcPr>
            <w:tcW w:w="1136" w:type="dxa"/>
            <w:tcBorders>
              <w:top w:val="nil"/>
              <w:left w:val="nil"/>
              <w:bottom w:val="single" w:sz="4" w:space="0" w:color="auto"/>
              <w:right w:val="single" w:sz="4" w:space="0" w:color="auto"/>
            </w:tcBorders>
            <w:shd w:val="clear" w:color="auto" w:fill="auto"/>
            <w:noWrap/>
            <w:vAlign w:val="center"/>
            <w:hideMark/>
          </w:tcPr>
          <w:p w14:paraId="58DC1E82" w14:textId="0555EEA1"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 xml:space="preserve"> </w:t>
            </w:r>
            <w:r w:rsidR="00C4691D">
              <w:rPr>
                <w:rFonts w:ascii="Calibri" w:hAnsi="Calibri" w:cs="Calibri"/>
                <w:sz w:val="20"/>
                <w:szCs w:val="20"/>
              </w:rPr>
              <w:t>$</w:t>
            </w:r>
            <w:r w:rsidRPr="00C10EF8">
              <w:rPr>
                <w:rFonts w:ascii="Calibri" w:hAnsi="Calibri" w:cs="Calibri"/>
                <w:sz w:val="20"/>
                <w:szCs w:val="20"/>
              </w:rPr>
              <w:t>1,263.</w:t>
            </w:r>
            <w:r w:rsidR="005D0B64">
              <w:rPr>
                <w:rFonts w:ascii="Calibri" w:hAnsi="Calibri" w:cs="Calibri"/>
                <w:sz w:val="20"/>
                <w:szCs w:val="20"/>
              </w:rPr>
              <w:t>5</w:t>
            </w:r>
            <w:r w:rsidR="005D0B64" w:rsidRPr="00C10EF8">
              <w:rPr>
                <w:rFonts w:ascii="Calibri" w:hAnsi="Calibri" w:cs="Calibri"/>
                <w:sz w:val="20"/>
                <w:szCs w:val="20"/>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14:paraId="0F8B42DD" w14:textId="2B02FC47" w:rsidR="00C10EF8" w:rsidRPr="006D2C3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color w:val="000000"/>
                <w:sz w:val="20"/>
              </w:rPr>
              <w:t>$</w:t>
            </w:r>
            <w:r w:rsidRPr="006D2C38">
              <w:rPr>
                <w:rFonts w:ascii="Calibri" w:hAnsi="Calibri" w:cs="Calibri"/>
                <w:color w:val="000000"/>
                <w:sz w:val="20"/>
              </w:rPr>
              <w:t>44.1</w:t>
            </w:r>
          </w:p>
        </w:tc>
        <w:tc>
          <w:tcPr>
            <w:tcW w:w="1136" w:type="dxa"/>
            <w:tcBorders>
              <w:top w:val="nil"/>
              <w:left w:val="nil"/>
              <w:bottom w:val="single" w:sz="4" w:space="0" w:color="auto"/>
              <w:right w:val="single" w:sz="4" w:space="0" w:color="auto"/>
            </w:tcBorders>
            <w:shd w:val="clear" w:color="auto" w:fill="auto"/>
            <w:noWrap/>
            <w:vAlign w:val="center"/>
            <w:hideMark/>
          </w:tcPr>
          <w:p w14:paraId="6C90BF65" w14:textId="43F4F7A2" w:rsidR="00C10EF8" w:rsidRPr="00C10EF8" w:rsidRDefault="00C4691D"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sz w:val="20"/>
                <w:szCs w:val="20"/>
              </w:rPr>
              <w:t>$</w:t>
            </w:r>
            <w:r w:rsidR="00C10EF8" w:rsidRPr="00C10EF8">
              <w:rPr>
                <w:rFonts w:ascii="Calibri" w:hAnsi="Calibri" w:cs="Calibri"/>
                <w:sz w:val="20"/>
                <w:szCs w:val="20"/>
              </w:rPr>
              <w:t>25.5</w:t>
            </w:r>
          </w:p>
        </w:tc>
        <w:tc>
          <w:tcPr>
            <w:tcW w:w="1136" w:type="dxa"/>
            <w:tcBorders>
              <w:top w:val="nil"/>
              <w:left w:val="nil"/>
              <w:bottom w:val="single" w:sz="4" w:space="0" w:color="auto"/>
              <w:right w:val="single" w:sz="4" w:space="0" w:color="auto"/>
            </w:tcBorders>
            <w:shd w:val="clear" w:color="auto" w:fill="auto"/>
            <w:noWrap/>
            <w:vAlign w:val="center"/>
            <w:hideMark/>
          </w:tcPr>
          <w:p w14:paraId="080B7EDB" w14:textId="6A3C8901"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w:t>
            </w:r>
            <w:r>
              <w:rPr>
                <w:rFonts w:ascii="Calibri" w:eastAsia="Times New Roman" w:hAnsi="Calibri" w:cs="Calibri"/>
                <w:sz w:val="20"/>
                <w:szCs w:val="20"/>
                <w:lang w:eastAsia="en-AU"/>
              </w:rPr>
              <w:t>3.5</w:t>
            </w:r>
          </w:p>
        </w:tc>
        <w:tc>
          <w:tcPr>
            <w:tcW w:w="1136" w:type="dxa"/>
            <w:tcBorders>
              <w:top w:val="nil"/>
              <w:left w:val="nil"/>
              <w:bottom w:val="single" w:sz="4" w:space="0" w:color="auto"/>
              <w:right w:val="single" w:sz="4" w:space="0" w:color="auto"/>
            </w:tcBorders>
            <w:shd w:val="clear" w:color="auto" w:fill="auto"/>
            <w:noWrap/>
            <w:vAlign w:val="center"/>
            <w:hideMark/>
          </w:tcPr>
          <w:p w14:paraId="3C0E4018" w14:textId="2F60D14E"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$1,336.5</w:t>
            </w:r>
          </w:p>
        </w:tc>
      </w:tr>
      <w:tr w:rsidR="00C10EF8" w:rsidRPr="00BD6A02" w14:paraId="0A805E7A"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F01B7E7" w14:textId="5179AA0F"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Average </w:t>
            </w:r>
            <w:r w:rsidRPr="00BD6A02">
              <w:rPr>
                <w:rFonts w:ascii="Calibri" w:eastAsia="Times New Roman" w:hAnsi="Calibri" w:cs="Calibri"/>
                <w:sz w:val="20"/>
                <w:szCs w:val="20"/>
                <w:lang w:eastAsia="en-AU"/>
              </w:rPr>
              <w:t>Cost per m²</w:t>
            </w:r>
          </w:p>
        </w:tc>
        <w:tc>
          <w:tcPr>
            <w:tcW w:w="1136" w:type="dxa"/>
            <w:tcBorders>
              <w:top w:val="nil"/>
              <w:left w:val="nil"/>
              <w:bottom w:val="single" w:sz="4" w:space="0" w:color="auto"/>
              <w:right w:val="single" w:sz="4" w:space="0" w:color="auto"/>
            </w:tcBorders>
            <w:shd w:val="clear" w:color="auto" w:fill="auto"/>
            <w:noWrap/>
            <w:vAlign w:val="center"/>
            <w:hideMark/>
          </w:tcPr>
          <w:p w14:paraId="0FF8FD2D" w14:textId="7D3945B0"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 xml:space="preserve"> </w:t>
            </w:r>
            <w:r>
              <w:rPr>
                <w:rFonts w:ascii="Calibri" w:hAnsi="Calibri" w:cs="Calibri"/>
                <w:sz w:val="20"/>
                <w:szCs w:val="20"/>
              </w:rPr>
              <w:t>$</w:t>
            </w:r>
            <w:r w:rsidRPr="00C10EF8">
              <w:rPr>
                <w:rFonts w:ascii="Calibri" w:hAnsi="Calibri" w:cs="Calibri"/>
                <w:sz w:val="20"/>
                <w:szCs w:val="20"/>
              </w:rPr>
              <w:t>47</w:t>
            </w:r>
            <w:r>
              <w:rPr>
                <w:rFonts w:ascii="Calibri" w:hAnsi="Calibri" w:cs="Calibri"/>
                <w:sz w:val="20"/>
                <w:szCs w:val="20"/>
              </w:rPr>
              <w:t>6</w:t>
            </w:r>
            <w:r w:rsidRPr="00C10EF8">
              <w:rPr>
                <w:rFonts w:ascii="Calibri" w:hAnsi="Calibri" w:cs="Calibri"/>
                <w:sz w:val="20"/>
                <w:szCs w:val="20"/>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14:paraId="5E155C2C" w14:textId="31A003FB" w:rsidR="00C10EF8" w:rsidRPr="006D2C3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color w:val="000000"/>
                <w:sz w:val="20"/>
              </w:rPr>
              <w:t>$</w:t>
            </w:r>
            <w:r w:rsidRPr="006D2C38">
              <w:rPr>
                <w:rFonts w:ascii="Calibri" w:hAnsi="Calibri" w:cs="Calibri"/>
                <w:color w:val="000000"/>
                <w:sz w:val="20"/>
              </w:rPr>
              <w:t>374</w:t>
            </w:r>
          </w:p>
        </w:tc>
        <w:tc>
          <w:tcPr>
            <w:tcW w:w="1136" w:type="dxa"/>
            <w:tcBorders>
              <w:top w:val="nil"/>
              <w:left w:val="nil"/>
              <w:bottom w:val="single" w:sz="4" w:space="0" w:color="auto"/>
              <w:right w:val="single" w:sz="4" w:space="0" w:color="auto"/>
            </w:tcBorders>
            <w:shd w:val="clear" w:color="auto" w:fill="auto"/>
            <w:noWrap/>
            <w:vAlign w:val="center"/>
            <w:hideMark/>
          </w:tcPr>
          <w:p w14:paraId="747DDFFE" w14:textId="19335DBC"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sz w:val="20"/>
                <w:szCs w:val="20"/>
              </w:rPr>
              <w:t>$</w:t>
            </w:r>
            <w:r w:rsidRPr="00C10EF8">
              <w:rPr>
                <w:rFonts w:ascii="Calibri" w:hAnsi="Calibri" w:cs="Calibri"/>
                <w:sz w:val="20"/>
                <w:szCs w:val="20"/>
              </w:rPr>
              <w:t>44</w:t>
            </w:r>
            <w:r>
              <w:rPr>
                <w:rFonts w:ascii="Calibri" w:hAnsi="Calibri" w:cs="Calibri"/>
                <w:sz w:val="20"/>
                <w:szCs w:val="20"/>
              </w:rPr>
              <w:t>7</w:t>
            </w:r>
          </w:p>
        </w:tc>
        <w:tc>
          <w:tcPr>
            <w:tcW w:w="1136" w:type="dxa"/>
            <w:tcBorders>
              <w:top w:val="nil"/>
              <w:left w:val="nil"/>
              <w:bottom w:val="single" w:sz="4" w:space="0" w:color="auto"/>
              <w:right w:val="single" w:sz="4" w:space="0" w:color="auto"/>
            </w:tcBorders>
            <w:shd w:val="clear" w:color="auto" w:fill="auto"/>
            <w:noWrap/>
            <w:vAlign w:val="center"/>
            <w:hideMark/>
          </w:tcPr>
          <w:p w14:paraId="1C071594" w14:textId="37F05739"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$39</w:t>
            </w:r>
            <w:r>
              <w:rPr>
                <w:rFonts w:ascii="Calibri" w:eastAsia="Times New Roman" w:hAnsi="Calibri" w:cs="Calibri"/>
                <w:sz w:val="20"/>
                <w:szCs w:val="20"/>
                <w:lang w:eastAsia="en-AU"/>
              </w:rPr>
              <w:t>0</w:t>
            </w:r>
          </w:p>
        </w:tc>
        <w:tc>
          <w:tcPr>
            <w:tcW w:w="1136" w:type="dxa"/>
            <w:tcBorders>
              <w:top w:val="nil"/>
              <w:left w:val="nil"/>
              <w:bottom w:val="single" w:sz="4" w:space="0" w:color="auto"/>
              <w:right w:val="single" w:sz="4" w:space="0" w:color="auto"/>
            </w:tcBorders>
            <w:shd w:val="clear" w:color="auto" w:fill="auto"/>
            <w:noWrap/>
            <w:vAlign w:val="center"/>
            <w:hideMark/>
          </w:tcPr>
          <w:p w14:paraId="56D37D72" w14:textId="1A4EE4B9"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$47</w:t>
            </w:r>
            <w:r>
              <w:rPr>
                <w:rFonts w:ascii="Calibri" w:eastAsia="Times New Roman" w:hAnsi="Calibri" w:cs="Calibri"/>
                <w:sz w:val="20"/>
                <w:szCs w:val="20"/>
                <w:lang w:eastAsia="en-AU"/>
              </w:rPr>
              <w:t>1</w:t>
            </w:r>
          </w:p>
        </w:tc>
      </w:tr>
      <w:tr w:rsidR="00C10EF8" w:rsidRPr="00BD6A02" w14:paraId="31488A5B"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79B51C8C" w14:textId="6FC713AE"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Average </w:t>
            </w:r>
            <w:r w:rsidRPr="00BD6A02">
              <w:rPr>
                <w:rFonts w:ascii="Calibri" w:eastAsia="Times New Roman" w:hAnsi="Calibri" w:cs="Calibri"/>
                <w:sz w:val="20"/>
                <w:szCs w:val="20"/>
                <w:lang w:eastAsia="en-AU"/>
              </w:rPr>
              <w:t xml:space="preserve">Cost per Staff </w:t>
            </w:r>
          </w:p>
        </w:tc>
        <w:tc>
          <w:tcPr>
            <w:tcW w:w="1136" w:type="dxa"/>
            <w:tcBorders>
              <w:top w:val="nil"/>
              <w:left w:val="nil"/>
              <w:bottom w:val="single" w:sz="4" w:space="0" w:color="auto"/>
              <w:right w:val="single" w:sz="4" w:space="0" w:color="auto"/>
            </w:tcBorders>
            <w:shd w:val="clear" w:color="auto" w:fill="auto"/>
            <w:noWrap/>
            <w:vAlign w:val="center"/>
            <w:hideMark/>
          </w:tcPr>
          <w:p w14:paraId="341529D6" w14:textId="629FC53E"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sidRPr="00C10EF8">
              <w:rPr>
                <w:rFonts w:ascii="Calibri" w:hAnsi="Calibri" w:cs="Calibri"/>
                <w:sz w:val="20"/>
                <w:szCs w:val="20"/>
              </w:rPr>
              <w:t xml:space="preserve"> </w:t>
            </w:r>
            <w:r>
              <w:rPr>
                <w:rFonts w:ascii="Calibri" w:hAnsi="Calibri" w:cs="Calibri"/>
                <w:sz w:val="20"/>
                <w:szCs w:val="20"/>
              </w:rPr>
              <w:t>$</w:t>
            </w:r>
            <w:r w:rsidRPr="00C10EF8">
              <w:rPr>
                <w:rFonts w:ascii="Calibri" w:hAnsi="Calibri" w:cs="Calibri"/>
                <w:sz w:val="20"/>
                <w:szCs w:val="20"/>
              </w:rPr>
              <w:t xml:space="preserve">9,700 </w:t>
            </w:r>
          </w:p>
        </w:tc>
        <w:tc>
          <w:tcPr>
            <w:tcW w:w="1136" w:type="dxa"/>
            <w:tcBorders>
              <w:top w:val="nil"/>
              <w:left w:val="nil"/>
              <w:bottom w:val="single" w:sz="4" w:space="0" w:color="auto"/>
              <w:right w:val="single" w:sz="4" w:space="0" w:color="auto"/>
            </w:tcBorders>
            <w:shd w:val="clear" w:color="auto" w:fill="auto"/>
            <w:noWrap/>
            <w:vAlign w:val="center"/>
            <w:hideMark/>
          </w:tcPr>
          <w:p w14:paraId="2AF2BDB3" w14:textId="7F8178EF" w:rsidR="00C10EF8" w:rsidRPr="006D2C3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color w:val="000000"/>
                <w:sz w:val="20"/>
              </w:rPr>
              <w:t>$</w:t>
            </w:r>
            <w:r w:rsidRPr="006D2C38">
              <w:rPr>
                <w:rFonts w:ascii="Calibri" w:hAnsi="Calibri" w:cs="Calibri"/>
                <w:color w:val="000000"/>
                <w:sz w:val="20"/>
              </w:rPr>
              <w:t>6,478</w:t>
            </w:r>
          </w:p>
        </w:tc>
        <w:tc>
          <w:tcPr>
            <w:tcW w:w="1136" w:type="dxa"/>
            <w:tcBorders>
              <w:top w:val="nil"/>
              <w:left w:val="nil"/>
              <w:bottom w:val="single" w:sz="4" w:space="0" w:color="auto"/>
              <w:right w:val="single" w:sz="4" w:space="0" w:color="auto"/>
            </w:tcBorders>
            <w:shd w:val="clear" w:color="auto" w:fill="auto"/>
            <w:noWrap/>
            <w:vAlign w:val="center"/>
            <w:hideMark/>
          </w:tcPr>
          <w:p w14:paraId="3D645664" w14:textId="265ED476"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sz w:val="20"/>
                <w:szCs w:val="20"/>
              </w:rPr>
              <w:t>$</w:t>
            </w:r>
            <w:r w:rsidRPr="00C10EF8">
              <w:rPr>
                <w:rFonts w:ascii="Calibri" w:hAnsi="Calibri" w:cs="Calibri"/>
                <w:sz w:val="20"/>
                <w:szCs w:val="20"/>
              </w:rPr>
              <w:t>10,74</w:t>
            </w:r>
            <w:r>
              <w:rPr>
                <w:rFonts w:ascii="Calibri" w:hAnsi="Calibri" w:cs="Calibri"/>
                <w:sz w:val="20"/>
                <w:szCs w:val="20"/>
              </w:rPr>
              <w:t>9</w:t>
            </w:r>
          </w:p>
        </w:tc>
        <w:tc>
          <w:tcPr>
            <w:tcW w:w="1136" w:type="dxa"/>
            <w:tcBorders>
              <w:top w:val="nil"/>
              <w:left w:val="nil"/>
              <w:bottom w:val="single" w:sz="4" w:space="0" w:color="auto"/>
              <w:right w:val="single" w:sz="4" w:space="0" w:color="auto"/>
            </w:tcBorders>
            <w:shd w:val="clear" w:color="auto" w:fill="auto"/>
            <w:noWrap/>
            <w:vAlign w:val="center"/>
            <w:hideMark/>
          </w:tcPr>
          <w:p w14:paraId="4D53166A" w14:textId="7637160B"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w:t>
            </w:r>
            <w:r>
              <w:rPr>
                <w:rFonts w:ascii="Calibri" w:eastAsia="Times New Roman" w:hAnsi="Calibri" w:cs="Calibri"/>
                <w:sz w:val="20"/>
                <w:szCs w:val="20"/>
                <w:lang w:eastAsia="en-AU"/>
              </w:rPr>
              <w:t>22</w:t>
            </w:r>
            <w:r w:rsidRPr="00BD6A02">
              <w:rPr>
                <w:rFonts w:ascii="Calibri" w:eastAsia="Times New Roman" w:hAnsi="Calibri" w:cs="Calibri"/>
                <w:sz w:val="20"/>
                <w:szCs w:val="20"/>
                <w:lang w:eastAsia="en-AU"/>
              </w:rPr>
              <w:t>,</w:t>
            </w:r>
            <w:r>
              <w:rPr>
                <w:rFonts w:ascii="Calibri" w:eastAsia="Times New Roman" w:hAnsi="Calibri" w:cs="Calibri"/>
                <w:sz w:val="20"/>
                <w:szCs w:val="20"/>
                <w:lang w:eastAsia="en-AU"/>
              </w:rPr>
              <w:t>275</w:t>
            </w:r>
          </w:p>
        </w:tc>
        <w:tc>
          <w:tcPr>
            <w:tcW w:w="1136" w:type="dxa"/>
            <w:tcBorders>
              <w:top w:val="nil"/>
              <w:left w:val="nil"/>
              <w:bottom w:val="single" w:sz="4" w:space="0" w:color="auto"/>
              <w:right w:val="single" w:sz="4" w:space="0" w:color="auto"/>
            </w:tcBorders>
            <w:shd w:val="clear" w:color="auto" w:fill="auto"/>
            <w:noWrap/>
            <w:vAlign w:val="center"/>
            <w:hideMark/>
          </w:tcPr>
          <w:p w14:paraId="078FC36B" w14:textId="3A5588DA"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$9,57</w:t>
            </w:r>
            <w:r>
              <w:rPr>
                <w:rFonts w:ascii="Calibri" w:eastAsia="Times New Roman" w:hAnsi="Calibri" w:cs="Calibri"/>
                <w:sz w:val="20"/>
                <w:szCs w:val="20"/>
                <w:lang w:eastAsia="en-AU"/>
              </w:rPr>
              <w:t>5</w:t>
            </w:r>
          </w:p>
        </w:tc>
      </w:tr>
      <w:tr w:rsidR="00C10EF8" w:rsidRPr="00BD6A02" w14:paraId="0883ABF0" w14:textId="77777777" w:rsidTr="00497387">
        <w:trPr>
          <w:trHeight w:val="30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6F09E86" w14:textId="0F7AD801" w:rsidR="00C10EF8" w:rsidRPr="00BD6A02" w:rsidRDefault="00C10EF8" w:rsidP="00C10EF8">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Average </w:t>
            </w:r>
            <w:r w:rsidRPr="00BD6A02">
              <w:rPr>
                <w:rFonts w:ascii="Calibri" w:eastAsia="Times New Roman" w:hAnsi="Calibri" w:cs="Calibri"/>
                <w:sz w:val="20"/>
                <w:szCs w:val="20"/>
                <w:lang w:eastAsia="en-AU"/>
              </w:rPr>
              <w:t xml:space="preserve">Cost per Work-point ($) </w:t>
            </w:r>
          </w:p>
        </w:tc>
        <w:tc>
          <w:tcPr>
            <w:tcW w:w="1136" w:type="dxa"/>
            <w:tcBorders>
              <w:top w:val="nil"/>
              <w:left w:val="nil"/>
              <w:bottom w:val="single" w:sz="4" w:space="0" w:color="auto"/>
              <w:right w:val="single" w:sz="4" w:space="0" w:color="auto"/>
            </w:tcBorders>
            <w:shd w:val="clear" w:color="auto" w:fill="auto"/>
            <w:noWrap/>
            <w:vAlign w:val="center"/>
            <w:hideMark/>
          </w:tcPr>
          <w:p w14:paraId="17FE4FE0" w14:textId="1F096CCA"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sz w:val="20"/>
                <w:szCs w:val="20"/>
              </w:rPr>
              <w:t>$</w:t>
            </w:r>
            <w:r w:rsidRPr="00C10EF8">
              <w:rPr>
                <w:rFonts w:ascii="Calibri" w:hAnsi="Calibri" w:cs="Calibri"/>
                <w:sz w:val="20"/>
                <w:szCs w:val="20"/>
              </w:rPr>
              <w:t>8,24</w:t>
            </w:r>
            <w:r>
              <w:rPr>
                <w:rFonts w:ascii="Calibri" w:hAnsi="Calibri" w:cs="Calibri"/>
                <w:sz w:val="20"/>
                <w:szCs w:val="20"/>
              </w:rPr>
              <w:t>5</w:t>
            </w:r>
            <w:r w:rsidRPr="00C10EF8">
              <w:rPr>
                <w:rFonts w:ascii="Calibri" w:hAnsi="Calibri" w:cs="Calibri"/>
                <w:sz w:val="20"/>
                <w:szCs w:val="20"/>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14:paraId="124B0C02" w14:textId="00E589E4" w:rsidR="00C10EF8" w:rsidRPr="006D2C3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color w:val="000000"/>
                <w:sz w:val="20"/>
              </w:rPr>
              <w:t>$</w:t>
            </w:r>
            <w:r w:rsidRPr="006D2C38">
              <w:rPr>
                <w:rFonts w:ascii="Calibri" w:hAnsi="Calibri" w:cs="Calibri"/>
                <w:color w:val="000000"/>
                <w:sz w:val="20"/>
              </w:rPr>
              <w:t>5,5</w:t>
            </w:r>
            <w:r>
              <w:rPr>
                <w:rFonts w:ascii="Calibri" w:hAnsi="Calibri" w:cs="Calibri"/>
                <w:color w:val="000000"/>
                <w:sz w:val="20"/>
              </w:rPr>
              <w:t>13</w:t>
            </w:r>
          </w:p>
        </w:tc>
        <w:tc>
          <w:tcPr>
            <w:tcW w:w="1136" w:type="dxa"/>
            <w:tcBorders>
              <w:top w:val="nil"/>
              <w:left w:val="nil"/>
              <w:bottom w:val="single" w:sz="4" w:space="0" w:color="auto"/>
              <w:right w:val="single" w:sz="4" w:space="0" w:color="auto"/>
            </w:tcBorders>
            <w:shd w:val="clear" w:color="auto" w:fill="auto"/>
            <w:noWrap/>
            <w:vAlign w:val="center"/>
            <w:hideMark/>
          </w:tcPr>
          <w:p w14:paraId="64187514" w14:textId="479F4485" w:rsidR="00C10EF8" w:rsidRPr="00C10EF8" w:rsidRDefault="00C10EF8" w:rsidP="00497387">
            <w:pPr>
              <w:suppressAutoHyphens w:val="0"/>
              <w:spacing w:before="0" w:after="0" w:line="240" w:lineRule="auto"/>
              <w:jc w:val="right"/>
              <w:rPr>
                <w:rFonts w:ascii="Calibri" w:eastAsia="Times New Roman" w:hAnsi="Calibri" w:cs="Calibri"/>
                <w:sz w:val="20"/>
                <w:szCs w:val="20"/>
                <w:lang w:eastAsia="en-AU"/>
              </w:rPr>
            </w:pPr>
            <w:r>
              <w:rPr>
                <w:rFonts w:ascii="Calibri" w:hAnsi="Calibri" w:cs="Calibri"/>
                <w:sz w:val="20"/>
                <w:szCs w:val="20"/>
              </w:rPr>
              <w:t>$</w:t>
            </w:r>
            <w:r w:rsidRPr="00C10EF8">
              <w:rPr>
                <w:rFonts w:ascii="Calibri" w:hAnsi="Calibri" w:cs="Calibri"/>
                <w:sz w:val="20"/>
                <w:szCs w:val="20"/>
              </w:rPr>
              <w:t>8,17</w:t>
            </w:r>
            <w:r>
              <w:rPr>
                <w:rFonts w:ascii="Calibri" w:hAnsi="Calibri" w:cs="Calibri"/>
                <w:sz w:val="20"/>
                <w:szCs w:val="20"/>
              </w:rPr>
              <w:t>5</w:t>
            </w:r>
          </w:p>
        </w:tc>
        <w:tc>
          <w:tcPr>
            <w:tcW w:w="1136" w:type="dxa"/>
            <w:tcBorders>
              <w:top w:val="nil"/>
              <w:left w:val="nil"/>
              <w:bottom w:val="single" w:sz="4" w:space="0" w:color="auto"/>
              <w:right w:val="single" w:sz="4" w:space="0" w:color="auto"/>
            </w:tcBorders>
            <w:shd w:val="clear" w:color="auto" w:fill="auto"/>
            <w:noWrap/>
            <w:vAlign w:val="center"/>
            <w:hideMark/>
          </w:tcPr>
          <w:p w14:paraId="19505DA1" w14:textId="1B18B125"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$1</w:t>
            </w:r>
            <w:r>
              <w:rPr>
                <w:rFonts w:ascii="Calibri" w:eastAsia="Times New Roman" w:hAnsi="Calibri" w:cs="Calibri"/>
                <w:sz w:val="20"/>
                <w:szCs w:val="20"/>
                <w:lang w:eastAsia="en-AU"/>
              </w:rPr>
              <w:t>2</w:t>
            </w:r>
            <w:r w:rsidRPr="00BD6A02">
              <w:rPr>
                <w:rFonts w:ascii="Calibri" w:eastAsia="Times New Roman" w:hAnsi="Calibri" w:cs="Calibri"/>
                <w:sz w:val="20"/>
                <w:szCs w:val="20"/>
                <w:lang w:eastAsia="en-AU"/>
              </w:rPr>
              <w:t>,</w:t>
            </w:r>
            <w:r>
              <w:rPr>
                <w:rFonts w:ascii="Calibri" w:eastAsia="Times New Roman" w:hAnsi="Calibri" w:cs="Calibri"/>
                <w:sz w:val="20"/>
                <w:szCs w:val="20"/>
                <w:lang w:eastAsia="en-AU"/>
              </w:rPr>
              <w:t>788</w:t>
            </w:r>
          </w:p>
        </w:tc>
        <w:tc>
          <w:tcPr>
            <w:tcW w:w="1136" w:type="dxa"/>
            <w:tcBorders>
              <w:top w:val="nil"/>
              <w:left w:val="nil"/>
              <w:bottom w:val="single" w:sz="4" w:space="0" w:color="auto"/>
              <w:right w:val="single" w:sz="4" w:space="0" w:color="auto"/>
            </w:tcBorders>
            <w:shd w:val="clear" w:color="auto" w:fill="auto"/>
            <w:noWrap/>
            <w:vAlign w:val="center"/>
            <w:hideMark/>
          </w:tcPr>
          <w:p w14:paraId="3B24A967" w14:textId="1D508E2B" w:rsidR="00C10EF8" w:rsidRPr="00BD6A02" w:rsidRDefault="00C10EF8" w:rsidP="00497387">
            <w:pPr>
              <w:suppressAutoHyphens w:val="0"/>
              <w:spacing w:before="0" w:after="0" w:line="240" w:lineRule="auto"/>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$8,118</w:t>
            </w:r>
          </w:p>
        </w:tc>
      </w:tr>
    </w:tbl>
    <w:p w14:paraId="1715930B" w14:textId="47F2D363" w:rsidR="00C00986" w:rsidRDefault="00C00986" w:rsidP="00C41F45">
      <w:pPr>
        <w:pStyle w:val="TableSourceNotes"/>
        <w:spacing w:before="60" w:line="240" w:lineRule="auto"/>
        <w:ind w:firstLine="0"/>
        <w:rPr>
          <w:sz w:val="14"/>
        </w:rPr>
      </w:pPr>
      <w:r>
        <w:rPr>
          <w:sz w:val="14"/>
        </w:rPr>
        <w:t xml:space="preserve">(a) </w:t>
      </w:r>
      <w:r w:rsidRPr="00C41F45">
        <w:rPr>
          <w:sz w:val="14"/>
        </w:rPr>
        <w:t>The Occupancy Report uses the Australian Bureau of Statistics’ classification of remoteness, which considers Hobart to be ‘inner regional’ and Darwin as ‘outer regional’.</w:t>
      </w:r>
    </w:p>
    <w:p w14:paraId="70CDF3F9" w14:textId="7B112927" w:rsidR="001D3810" w:rsidRPr="00C41F45" w:rsidRDefault="00D3027C" w:rsidP="00C41F45">
      <w:pPr>
        <w:pStyle w:val="TableSourceNotes"/>
        <w:spacing w:before="60" w:line="240" w:lineRule="auto"/>
        <w:ind w:firstLine="0"/>
        <w:rPr>
          <w:sz w:val="14"/>
        </w:rPr>
      </w:pPr>
      <w:r>
        <w:rPr>
          <w:sz w:val="14"/>
        </w:rPr>
        <w:t>(b) ‘Remote Australia’ includes</w:t>
      </w:r>
      <w:r w:rsidR="001D3810">
        <w:rPr>
          <w:sz w:val="14"/>
        </w:rPr>
        <w:t xml:space="preserve"> </w:t>
      </w:r>
      <w:r>
        <w:rPr>
          <w:sz w:val="14"/>
        </w:rPr>
        <w:t>figures for tenancies classed as</w:t>
      </w:r>
      <w:r w:rsidR="001D3810">
        <w:rPr>
          <w:sz w:val="14"/>
        </w:rPr>
        <w:t xml:space="preserve"> ‘Very Remote Australia’. </w:t>
      </w:r>
    </w:p>
    <w:p w14:paraId="7ACC0B50" w14:textId="7693E733" w:rsidR="009F6A29" w:rsidRDefault="009F6A29" w:rsidP="009F6A29">
      <w:r w:rsidRPr="00383561">
        <w:t>Table 2 provides a summary of tenancies by remoteness classification and allows for a comparison of key measures between tenancies in major cities, inner and outer re</w:t>
      </w:r>
      <w:r w:rsidR="00814A36">
        <w:t>gional areas, and remote areas.</w:t>
      </w:r>
    </w:p>
    <w:p w14:paraId="6DB31B83" w14:textId="361DFE46" w:rsidR="009F6A29" w:rsidRDefault="009F6A29" w:rsidP="009F6A29">
      <w:r w:rsidRPr="00383561">
        <w:t>The results from 2019 show that the majority of tenancies (83 per cent of tenancies) are located in major cities and that this accounts for 9</w:t>
      </w:r>
      <w:r w:rsidR="004E72FD">
        <w:t>4</w:t>
      </w:r>
      <w:r w:rsidRPr="00383561">
        <w:t xml:space="preserve"> per cent of controlled area.</w:t>
      </w:r>
      <w:r>
        <w:t xml:space="preserve"> </w:t>
      </w:r>
    </w:p>
    <w:p w14:paraId="23D85DA7" w14:textId="06982D02" w:rsidR="000E0F18" w:rsidRPr="001D69D7" w:rsidRDefault="000E0F18" w:rsidP="00F20FF2">
      <w:r w:rsidRPr="001D69D7">
        <w:t>The average cost per square metre, per staff and per work-point is lowest in inner regional Australia. While average cost per square metre is next lowest in remote Australia, this region has the highest average costs per staff and per work-point.</w:t>
      </w:r>
    </w:p>
    <w:p w14:paraId="17034D11" w14:textId="1DB78876" w:rsidR="00B846F8" w:rsidRPr="001D69D7" w:rsidRDefault="00B846F8" w:rsidP="00F20FF2">
      <w:r w:rsidRPr="001D69D7">
        <w:t>Spatial measures perform better (and are comparable) in major cities and inner regional locations, while outer regional and remote locations are less dense on average.</w:t>
      </w:r>
    </w:p>
    <w:p w14:paraId="223B460C" w14:textId="3728233F" w:rsidR="007C6972" w:rsidRDefault="00B846F8" w:rsidP="001D69D7">
      <w:r w:rsidRPr="00581B0F">
        <w:t xml:space="preserve">There are limited accommodation options in outer regional and remote Australia, which impacts the ability to find as spatially efficient office accommodation as what can be achieved in major cities. However </w:t>
      </w:r>
      <w:r>
        <w:t>given their location,</w:t>
      </w:r>
      <w:r w:rsidRPr="00581B0F">
        <w:t xml:space="preserve"> </w:t>
      </w:r>
      <w:r>
        <w:t xml:space="preserve">the square metre costs for outer </w:t>
      </w:r>
      <w:r w:rsidRPr="00581B0F">
        <w:t xml:space="preserve">regional and remote locations </w:t>
      </w:r>
      <w:r>
        <w:t>are</w:t>
      </w:r>
      <w:r w:rsidRPr="00581B0F">
        <w:t xml:space="preserve"> </w:t>
      </w:r>
      <w:r>
        <w:t>lower than those in major cities</w:t>
      </w:r>
      <w:r w:rsidRPr="00581B0F">
        <w:t>, as illustrated in the Table 2.</w:t>
      </w:r>
    </w:p>
    <w:p w14:paraId="3EC23F73" w14:textId="77777777" w:rsidR="00C1120D" w:rsidRDefault="00C1120D">
      <w:pPr>
        <w:suppressAutoHyphens w:val="0"/>
        <w:spacing w:before="0" w:after="120" w:line="440" w:lineRule="atLeast"/>
        <w:rPr>
          <w:rFonts w:asciiTheme="majorHAnsi" w:eastAsiaTheme="majorEastAsia" w:hAnsiTheme="majorHAnsi" w:cstheme="majorBidi"/>
          <w:bCs/>
          <w:color w:val="1C1C1C" w:themeColor="text2"/>
          <w:sz w:val="34"/>
          <w:szCs w:val="26"/>
        </w:rPr>
      </w:pPr>
    </w:p>
    <w:p w14:paraId="6F5DE34A" w14:textId="77777777" w:rsidR="00264ABE" w:rsidRDefault="00264ABE">
      <w:pPr>
        <w:suppressAutoHyphens w:val="0"/>
        <w:spacing w:before="0" w:after="120" w:line="440" w:lineRule="atLeast"/>
        <w:rPr>
          <w:rFonts w:asciiTheme="majorHAnsi" w:eastAsiaTheme="majorEastAsia" w:hAnsiTheme="majorHAnsi" w:cstheme="majorBidi"/>
          <w:bCs/>
          <w:color w:val="1C1C1C" w:themeColor="text2"/>
          <w:sz w:val="34"/>
          <w:szCs w:val="26"/>
        </w:rPr>
      </w:pPr>
      <w:bookmarkStart w:id="13" w:name="_Toc2005950"/>
      <w:bookmarkStart w:id="14" w:name="_Toc2156067"/>
      <w:bookmarkStart w:id="15" w:name="_Toc2156152"/>
      <w:bookmarkEnd w:id="13"/>
      <w:bookmarkEnd w:id="14"/>
      <w:bookmarkEnd w:id="15"/>
      <w:r>
        <w:br w:type="page"/>
      </w:r>
    </w:p>
    <w:p w14:paraId="20CDA5FD" w14:textId="6BB3E4D0" w:rsidR="005C54FE" w:rsidRDefault="004E35A7" w:rsidP="00FD1681">
      <w:pPr>
        <w:pStyle w:val="Heading2Numbered"/>
        <w:numPr>
          <w:ilvl w:val="1"/>
          <w:numId w:val="4"/>
        </w:numPr>
        <w:spacing w:before="0" w:after="0"/>
      </w:pPr>
      <w:bookmarkStart w:id="16" w:name="_Toc40455100"/>
      <w:r>
        <w:t>Entities with Regional or Remote Tenancies</w:t>
      </w:r>
      <w:bookmarkEnd w:id="16"/>
    </w:p>
    <w:p w14:paraId="33175EAB" w14:textId="210D3274" w:rsidR="00DB1B63" w:rsidRPr="00B2210F" w:rsidRDefault="00DE553E" w:rsidP="00127EBB">
      <w:pPr>
        <w:pStyle w:val="Caption"/>
      </w:pPr>
      <w:r>
        <w:t xml:space="preserve">Table </w:t>
      </w:r>
      <w:r w:rsidR="00065B82">
        <w:t>3</w:t>
      </w:r>
      <w:r w:rsidR="00A9746F">
        <w:t>a</w:t>
      </w:r>
      <w:r>
        <w:t>: Entities with Regional Tenancies</w:t>
      </w:r>
    </w:p>
    <w:tbl>
      <w:tblPr>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1405"/>
        <w:gridCol w:w="1196"/>
        <w:gridCol w:w="1331"/>
        <w:gridCol w:w="1844"/>
      </w:tblGrid>
      <w:tr w:rsidR="0048426D" w:rsidRPr="0048426D" w14:paraId="5D4CBD69" w14:textId="77777777" w:rsidTr="00DF1805">
        <w:trPr>
          <w:trHeight w:val="240"/>
        </w:trPr>
        <w:tc>
          <w:tcPr>
            <w:tcW w:w="3516" w:type="dxa"/>
            <w:shd w:val="clear" w:color="auto" w:fill="E7E7E7" w:themeFill="text2" w:themeFillTint="1A"/>
            <w:noWrap/>
            <w:vAlign w:val="bottom"/>
          </w:tcPr>
          <w:p w14:paraId="5A3A3DEE" w14:textId="77777777" w:rsidR="0048426D" w:rsidRPr="00B96D66" w:rsidRDefault="0048426D" w:rsidP="0048426D">
            <w:pPr>
              <w:suppressAutoHyphens w:val="0"/>
              <w:spacing w:before="0" w:after="0" w:line="240" w:lineRule="auto"/>
              <w:rPr>
                <w:rFonts w:ascii="Calibri" w:eastAsia="Times New Roman" w:hAnsi="Calibri" w:cs="Calibri"/>
                <w:color w:val="000000"/>
                <w:sz w:val="20"/>
                <w:szCs w:val="20"/>
                <w:lang w:eastAsia="en-AU"/>
              </w:rPr>
            </w:pPr>
          </w:p>
        </w:tc>
        <w:tc>
          <w:tcPr>
            <w:tcW w:w="5776" w:type="dxa"/>
            <w:gridSpan w:val="4"/>
            <w:shd w:val="clear" w:color="auto" w:fill="E7E7E7" w:themeFill="text2" w:themeFillTint="1A"/>
            <w:noWrap/>
            <w:vAlign w:val="bottom"/>
          </w:tcPr>
          <w:p w14:paraId="5295F109" w14:textId="6B7CE3BB" w:rsidR="0048426D" w:rsidRPr="00B96D66" w:rsidRDefault="0048426D" w:rsidP="00127EBB">
            <w:pPr>
              <w:suppressAutoHyphens w:val="0"/>
              <w:spacing w:before="0" w:after="0" w:line="240" w:lineRule="auto"/>
              <w:jc w:val="center"/>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Regional Tenancies</w:t>
            </w:r>
          </w:p>
        </w:tc>
      </w:tr>
      <w:tr w:rsidR="0048426D" w:rsidRPr="0048426D" w14:paraId="46D80693" w14:textId="77777777" w:rsidTr="00DF1805">
        <w:trPr>
          <w:trHeight w:val="240"/>
        </w:trPr>
        <w:tc>
          <w:tcPr>
            <w:tcW w:w="3516" w:type="dxa"/>
            <w:shd w:val="clear" w:color="auto" w:fill="E7E7E7" w:themeFill="text2" w:themeFillTint="1A"/>
            <w:noWrap/>
            <w:vAlign w:val="center"/>
            <w:hideMark/>
          </w:tcPr>
          <w:p w14:paraId="3FA30E54"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Entity</w:t>
            </w:r>
          </w:p>
        </w:tc>
        <w:tc>
          <w:tcPr>
            <w:tcW w:w="1405" w:type="dxa"/>
            <w:shd w:val="clear" w:color="auto" w:fill="E7E7E7" w:themeFill="text2" w:themeFillTint="1A"/>
            <w:noWrap/>
            <w:vAlign w:val="center"/>
            <w:hideMark/>
          </w:tcPr>
          <w:p w14:paraId="6D698F0B" w14:textId="77777777" w:rsidR="0048426D" w:rsidRPr="00B96D66" w:rsidRDefault="0048426D" w:rsidP="00DF1805">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Number of Tenancies (n)</w:t>
            </w:r>
          </w:p>
        </w:tc>
        <w:tc>
          <w:tcPr>
            <w:tcW w:w="1196" w:type="dxa"/>
            <w:shd w:val="clear" w:color="auto" w:fill="E7E7E7" w:themeFill="text2" w:themeFillTint="1A"/>
            <w:noWrap/>
            <w:vAlign w:val="center"/>
            <w:hideMark/>
          </w:tcPr>
          <w:p w14:paraId="05A193BC" w14:textId="4F6D055D" w:rsidR="0048426D" w:rsidRPr="00B96D66" w:rsidRDefault="0048426D" w:rsidP="00DF1805">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Controlled Area (m²)</w:t>
            </w:r>
          </w:p>
        </w:tc>
        <w:tc>
          <w:tcPr>
            <w:tcW w:w="1331" w:type="dxa"/>
            <w:shd w:val="clear" w:color="auto" w:fill="E7E7E7" w:themeFill="text2" w:themeFillTint="1A"/>
            <w:noWrap/>
            <w:vAlign w:val="center"/>
            <w:hideMark/>
          </w:tcPr>
          <w:p w14:paraId="22AD34CB" w14:textId="05107A7F" w:rsidR="0048426D" w:rsidRPr="00B96D66" w:rsidRDefault="0048426D" w:rsidP="00DF1805">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Usable Office Area (m²)</w:t>
            </w:r>
          </w:p>
        </w:tc>
        <w:tc>
          <w:tcPr>
            <w:tcW w:w="1844" w:type="dxa"/>
            <w:shd w:val="clear" w:color="auto" w:fill="E7E7E7" w:themeFill="text2" w:themeFillTint="1A"/>
            <w:noWrap/>
            <w:vAlign w:val="center"/>
            <w:hideMark/>
          </w:tcPr>
          <w:p w14:paraId="69CF0AA3" w14:textId="77777777" w:rsidR="0048426D" w:rsidRPr="00B96D66" w:rsidRDefault="0048426D" w:rsidP="00DF1805">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Average Occupational Density (m²)</w:t>
            </w:r>
          </w:p>
        </w:tc>
      </w:tr>
      <w:tr w:rsidR="0048426D" w:rsidRPr="0048426D" w14:paraId="2E79E779" w14:textId="77777777" w:rsidTr="00497387">
        <w:trPr>
          <w:trHeight w:val="301"/>
        </w:trPr>
        <w:tc>
          <w:tcPr>
            <w:tcW w:w="3516" w:type="dxa"/>
            <w:shd w:val="clear" w:color="auto" w:fill="auto"/>
            <w:noWrap/>
            <w:vAlign w:val="center"/>
            <w:hideMark/>
          </w:tcPr>
          <w:p w14:paraId="68811CCD"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Services Australia</w:t>
            </w:r>
          </w:p>
        </w:tc>
        <w:tc>
          <w:tcPr>
            <w:tcW w:w="1405" w:type="dxa"/>
            <w:shd w:val="clear" w:color="auto" w:fill="auto"/>
            <w:noWrap/>
            <w:vAlign w:val="center"/>
            <w:hideMark/>
          </w:tcPr>
          <w:p w14:paraId="3C3AD7CA" w14:textId="76A6968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45</w:t>
            </w:r>
          </w:p>
        </w:tc>
        <w:tc>
          <w:tcPr>
            <w:tcW w:w="1196" w:type="dxa"/>
            <w:shd w:val="clear" w:color="auto" w:fill="auto"/>
            <w:noWrap/>
            <w:vAlign w:val="center"/>
            <w:hideMark/>
          </w:tcPr>
          <w:p w14:paraId="387528C4" w14:textId="05CD8FC1"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91,497</w:t>
            </w:r>
          </w:p>
        </w:tc>
        <w:tc>
          <w:tcPr>
            <w:tcW w:w="1331" w:type="dxa"/>
            <w:shd w:val="clear" w:color="auto" w:fill="auto"/>
            <w:noWrap/>
            <w:vAlign w:val="center"/>
            <w:hideMark/>
          </w:tcPr>
          <w:p w14:paraId="01A9AC84" w14:textId="28F6FAF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74,930</w:t>
            </w:r>
          </w:p>
        </w:tc>
        <w:tc>
          <w:tcPr>
            <w:tcW w:w="1844" w:type="dxa"/>
            <w:shd w:val="clear" w:color="auto" w:fill="auto"/>
            <w:noWrap/>
            <w:vAlign w:val="center"/>
            <w:hideMark/>
          </w:tcPr>
          <w:p w14:paraId="654BF81A"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14.1</w:t>
            </w:r>
          </w:p>
        </w:tc>
      </w:tr>
      <w:tr w:rsidR="0048426D" w:rsidRPr="0048426D" w14:paraId="58317C6C" w14:textId="77777777" w:rsidTr="00497387">
        <w:trPr>
          <w:trHeight w:val="301"/>
        </w:trPr>
        <w:tc>
          <w:tcPr>
            <w:tcW w:w="3516" w:type="dxa"/>
            <w:shd w:val="clear" w:color="auto" w:fill="auto"/>
            <w:noWrap/>
            <w:vAlign w:val="center"/>
            <w:hideMark/>
          </w:tcPr>
          <w:p w14:paraId="15B1CCB9"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Home Affairs</w:t>
            </w:r>
          </w:p>
        </w:tc>
        <w:tc>
          <w:tcPr>
            <w:tcW w:w="1405" w:type="dxa"/>
            <w:shd w:val="clear" w:color="auto" w:fill="auto"/>
            <w:noWrap/>
            <w:vAlign w:val="center"/>
            <w:hideMark/>
          </w:tcPr>
          <w:p w14:paraId="61079EC9" w14:textId="790ED2FB"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8</w:t>
            </w:r>
          </w:p>
        </w:tc>
        <w:tc>
          <w:tcPr>
            <w:tcW w:w="1196" w:type="dxa"/>
            <w:shd w:val="clear" w:color="auto" w:fill="auto"/>
            <w:noWrap/>
            <w:vAlign w:val="center"/>
            <w:hideMark/>
          </w:tcPr>
          <w:p w14:paraId="7C636D17" w14:textId="28C7B1C0"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13,402</w:t>
            </w:r>
          </w:p>
        </w:tc>
        <w:tc>
          <w:tcPr>
            <w:tcW w:w="1331" w:type="dxa"/>
            <w:shd w:val="clear" w:color="auto" w:fill="auto"/>
            <w:noWrap/>
            <w:vAlign w:val="center"/>
            <w:hideMark/>
          </w:tcPr>
          <w:p w14:paraId="0D5D1706" w14:textId="280B51C3"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11,114</w:t>
            </w:r>
          </w:p>
        </w:tc>
        <w:tc>
          <w:tcPr>
            <w:tcW w:w="1844" w:type="dxa"/>
            <w:shd w:val="clear" w:color="auto" w:fill="auto"/>
            <w:noWrap/>
            <w:vAlign w:val="center"/>
            <w:hideMark/>
          </w:tcPr>
          <w:p w14:paraId="47490AD6"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37.9</w:t>
            </w:r>
          </w:p>
        </w:tc>
      </w:tr>
      <w:tr w:rsidR="0048426D" w:rsidRPr="0048426D" w14:paraId="3C8C16CB" w14:textId="77777777" w:rsidTr="00497387">
        <w:trPr>
          <w:trHeight w:val="301"/>
        </w:trPr>
        <w:tc>
          <w:tcPr>
            <w:tcW w:w="3516" w:type="dxa"/>
            <w:shd w:val="clear" w:color="auto" w:fill="auto"/>
            <w:noWrap/>
            <w:vAlign w:val="center"/>
            <w:hideMark/>
          </w:tcPr>
          <w:p w14:paraId="7D7F1C6A"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the Prime Minister and Cabinet</w:t>
            </w:r>
          </w:p>
        </w:tc>
        <w:tc>
          <w:tcPr>
            <w:tcW w:w="1405" w:type="dxa"/>
            <w:shd w:val="clear" w:color="auto" w:fill="auto"/>
            <w:noWrap/>
            <w:vAlign w:val="center"/>
            <w:hideMark/>
          </w:tcPr>
          <w:p w14:paraId="1071FEE7" w14:textId="70EAFD7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5</w:t>
            </w:r>
          </w:p>
        </w:tc>
        <w:tc>
          <w:tcPr>
            <w:tcW w:w="1196" w:type="dxa"/>
            <w:shd w:val="clear" w:color="auto" w:fill="auto"/>
            <w:noWrap/>
            <w:vAlign w:val="center"/>
            <w:hideMark/>
          </w:tcPr>
          <w:p w14:paraId="004CA915" w14:textId="020D584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4,893</w:t>
            </w:r>
          </w:p>
        </w:tc>
        <w:tc>
          <w:tcPr>
            <w:tcW w:w="1331" w:type="dxa"/>
            <w:shd w:val="clear" w:color="auto" w:fill="auto"/>
            <w:noWrap/>
            <w:vAlign w:val="center"/>
            <w:hideMark/>
          </w:tcPr>
          <w:p w14:paraId="17FF30D8" w14:textId="1B0D367F"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4,619</w:t>
            </w:r>
          </w:p>
        </w:tc>
        <w:tc>
          <w:tcPr>
            <w:tcW w:w="1844" w:type="dxa"/>
            <w:shd w:val="clear" w:color="auto" w:fill="auto"/>
            <w:noWrap/>
            <w:vAlign w:val="center"/>
            <w:hideMark/>
          </w:tcPr>
          <w:p w14:paraId="34019A60"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33.7</w:t>
            </w:r>
          </w:p>
        </w:tc>
      </w:tr>
      <w:tr w:rsidR="0048426D" w:rsidRPr="0048426D" w14:paraId="6907177A" w14:textId="77777777" w:rsidTr="00497387">
        <w:trPr>
          <w:trHeight w:val="301"/>
        </w:trPr>
        <w:tc>
          <w:tcPr>
            <w:tcW w:w="3516" w:type="dxa"/>
            <w:shd w:val="clear" w:color="auto" w:fill="auto"/>
            <w:noWrap/>
            <w:vAlign w:val="center"/>
            <w:hideMark/>
          </w:tcPr>
          <w:p w14:paraId="65534575"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Australian Taxation Office</w:t>
            </w:r>
          </w:p>
        </w:tc>
        <w:tc>
          <w:tcPr>
            <w:tcW w:w="1405" w:type="dxa"/>
            <w:shd w:val="clear" w:color="auto" w:fill="auto"/>
            <w:noWrap/>
            <w:vAlign w:val="center"/>
            <w:hideMark/>
          </w:tcPr>
          <w:p w14:paraId="469C7FEE" w14:textId="77314518"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4</w:t>
            </w:r>
          </w:p>
        </w:tc>
        <w:tc>
          <w:tcPr>
            <w:tcW w:w="1196" w:type="dxa"/>
            <w:shd w:val="clear" w:color="auto" w:fill="auto"/>
            <w:noWrap/>
            <w:vAlign w:val="center"/>
            <w:hideMark/>
          </w:tcPr>
          <w:p w14:paraId="7CE4B2E9" w14:textId="58E30369"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25,659</w:t>
            </w:r>
          </w:p>
        </w:tc>
        <w:tc>
          <w:tcPr>
            <w:tcW w:w="1331" w:type="dxa"/>
            <w:shd w:val="clear" w:color="auto" w:fill="auto"/>
            <w:noWrap/>
            <w:vAlign w:val="center"/>
            <w:hideMark/>
          </w:tcPr>
          <w:p w14:paraId="6CB09299" w14:textId="5318B1DD"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22,876</w:t>
            </w:r>
          </w:p>
        </w:tc>
        <w:tc>
          <w:tcPr>
            <w:tcW w:w="1844" w:type="dxa"/>
            <w:shd w:val="clear" w:color="auto" w:fill="auto"/>
            <w:noWrap/>
            <w:vAlign w:val="center"/>
            <w:hideMark/>
          </w:tcPr>
          <w:p w14:paraId="4CF4DE75"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13.0</w:t>
            </w:r>
          </w:p>
        </w:tc>
      </w:tr>
      <w:tr w:rsidR="0048426D" w:rsidRPr="0048426D" w14:paraId="14F1ABB2" w14:textId="77777777" w:rsidTr="00497387">
        <w:trPr>
          <w:trHeight w:val="301"/>
        </w:trPr>
        <w:tc>
          <w:tcPr>
            <w:tcW w:w="3516" w:type="dxa"/>
            <w:shd w:val="clear" w:color="auto" w:fill="auto"/>
            <w:noWrap/>
            <w:vAlign w:val="center"/>
            <w:hideMark/>
          </w:tcPr>
          <w:p w14:paraId="501C8F84"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Defence</w:t>
            </w:r>
          </w:p>
        </w:tc>
        <w:tc>
          <w:tcPr>
            <w:tcW w:w="1405" w:type="dxa"/>
            <w:shd w:val="clear" w:color="auto" w:fill="auto"/>
            <w:noWrap/>
            <w:vAlign w:val="center"/>
            <w:hideMark/>
          </w:tcPr>
          <w:p w14:paraId="72BA9FE1" w14:textId="58A9EB82"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4</w:t>
            </w:r>
          </w:p>
        </w:tc>
        <w:tc>
          <w:tcPr>
            <w:tcW w:w="1196" w:type="dxa"/>
            <w:shd w:val="clear" w:color="auto" w:fill="auto"/>
            <w:noWrap/>
            <w:vAlign w:val="center"/>
            <w:hideMark/>
          </w:tcPr>
          <w:p w14:paraId="7C946E46" w14:textId="27DEBBA4"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3,638</w:t>
            </w:r>
          </w:p>
        </w:tc>
        <w:tc>
          <w:tcPr>
            <w:tcW w:w="1331" w:type="dxa"/>
            <w:shd w:val="clear" w:color="auto" w:fill="auto"/>
            <w:noWrap/>
            <w:vAlign w:val="center"/>
            <w:hideMark/>
          </w:tcPr>
          <w:p w14:paraId="6557773A" w14:textId="47DC11A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3,632</w:t>
            </w:r>
          </w:p>
        </w:tc>
        <w:tc>
          <w:tcPr>
            <w:tcW w:w="1844" w:type="dxa"/>
            <w:shd w:val="clear" w:color="auto" w:fill="auto"/>
            <w:noWrap/>
            <w:vAlign w:val="center"/>
            <w:hideMark/>
          </w:tcPr>
          <w:p w14:paraId="6785D963"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19.4</w:t>
            </w:r>
          </w:p>
        </w:tc>
      </w:tr>
      <w:tr w:rsidR="0048426D" w:rsidRPr="0048426D" w14:paraId="2167F087" w14:textId="77777777" w:rsidTr="00497387">
        <w:trPr>
          <w:trHeight w:val="301"/>
        </w:trPr>
        <w:tc>
          <w:tcPr>
            <w:tcW w:w="3516" w:type="dxa"/>
            <w:shd w:val="clear" w:color="auto" w:fill="auto"/>
            <w:noWrap/>
            <w:vAlign w:val="center"/>
            <w:hideMark/>
          </w:tcPr>
          <w:p w14:paraId="16548164"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Australian Securities and Investments Commission</w:t>
            </w:r>
          </w:p>
        </w:tc>
        <w:tc>
          <w:tcPr>
            <w:tcW w:w="1405" w:type="dxa"/>
            <w:shd w:val="clear" w:color="auto" w:fill="auto"/>
            <w:noWrap/>
            <w:vAlign w:val="center"/>
            <w:hideMark/>
          </w:tcPr>
          <w:p w14:paraId="42F495DF" w14:textId="3D05B041"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w:t>
            </w:r>
          </w:p>
        </w:tc>
        <w:tc>
          <w:tcPr>
            <w:tcW w:w="1196" w:type="dxa"/>
            <w:shd w:val="clear" w:color="auto" w:fill="auto"/>
            <w:noWrap/>
            <w:vAlign w:val="center"/>
            <w:hideMark/>
          </w:tcPr>
          <w:p w14:paraId="3C265CDC" w14:textId="366C9E1C"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9,081</w:t>
            </w:r>
          </w:p>
        </w:tc>
        <w:tc>
          <w:tcPr>
            <w:tcW w:w="1331" w:type="dxa"/>
            <w:shd w:val="clear" w:color="auto" w:fill="auto"/>
            <w:noWrap/>
            <w:vAlign w:val="center"/>
            <w:hideMark/>
          </w:tcPr>
          <w:p w14:paraId="26C53D63" w14:textId="45DDAFCC"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7,471</w:t>
            </w:r>
          </w:p>
        </w:tc>
        <w:tc>
          <w:tcPr>
            <w:tcW w:w="1844" w:type="dxa"/>
            <w:shd w:val="clear" w:color="auto" w:fill="auto"/>
            <w:noWrap/>
            <w:vAlign w:val="center"/>
            <w:hideMark/>
          </w:tcPr>
          <w:p w14:paraId="77D0D428"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24.9</w:t>
            </w:r>
          </w:p>
        </w:tc>
      </w:tr>
      <w:tr w:rsidR="0048426D" w:rsidRPr="0048426D" w14:paraId="582DA712" w14:textId="77777777" w:rsidTr="00497387">
        <w:trPr>
          <w:trHeight w:val="301"/>
        </w:trPr>
        <w:tc>
          <w:tcPr>
            <w:tcW w:w="3516" w:type="dxa"/>
            <w:shd w:val="clear" w:color="auto" w:fill="auto"/>
            <w:noWrap/>
            <w:vAlign w:val="center"/>
            <w:hideMark/>
          </w:tcPr>
          <w:p w14:paraId="2B833765"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Bureau of Meteorology</w:t>
            </w:r>
          </w:p>
        </w:tc>
        <w:tc>
          <w:tcPr>
            <w:tcW w:w="1405" w:type="dxa"/>
            <w:shd w:val="clear" w:color="auto" w:fill="auto"/>
            <w:noWrap/>
            <w:vAlign w:val="center"/>
            <w:hideMark/>
          </w:tcPr>
          <w:p w14:paraId="63F0FB0D" w14:textId="01400BC8"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w:t>
            </w:r>
          </w:p>
        </w:tc>
        <w:tc>
          <w:tcPr>
            <w:tcW w:w="1196" w:type="dxa"/>
            <w:shd w:val="clear" w:color="auto" w:fill="auto"/>
            <w:noWrap/>
            <w:vAlign w:val="center"/>
            <w:hideMark/>
          </w:tcPr>
          <w:p w14:paraId="2EDC0800" w14:textId="48623EF0"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2,330</w:t>
            </w:r>
          </w:p>
        </w:tc>
        <w:tc>
          <w:tcPr>
            <w:tcW w:w="1331" w:type="dxa"/>
            <w:shd w:val="clear" w:color="auto" w:fill="auto"/>
            <w:noWrap/>
            <w:vAlign w:val="center"/>
            <w:hideMark/>
          </w:tcPr>
          <w:p w14:paraId="4A2BBF84" w14:textId="5932CF44"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2,066</w:t>
            </w:r>
          </w:p>
        </w:tc>
        <w:tc>
          <w:tcPr>
            <w:tcW w:w="1844" w:type="dxa"/>
            <w:shd w:val="clear" w:color="auto" w:fill="auto"/>
            <w:noWrap/>
            <w:vAlign w:val="center"/>
            <w:hideMark/>
          </w:tcPr>
          <w:p w14:paraId="0B5F0ACA"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33.9</w:t>
            </w:r>
          </w:p>
        </w:tc>
      </w:tr>
      <w:tr w:rsidR="0048426D" w:rsidRPr="0048426D" w14:paraId="789C40E7" w14:textId="77777777" w:rsidTr="00497387">
        <w:trPr>
          <w:trHeight w:val="301"/>
        </w:trPr>
        <w:tc>
          <w:tcPr>
            <w:tcW w:w="3516" w:type="dxa"/>
            <w:shd w:val="clear" w:color="auto" w:fill="auto"/>
            <w:noWrap/>
            <w:vAlign w:val="center"/>
            <w:hideMark/>
          </w:tcPr>
          <w:p w14:paraId="6A6F4683"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Agriculture</w:t>
            </w:r>
          </w:p>
        </w:tc>
        <w:tc>
          <w:tcPr>
            <w:tcW w:w="1405" w:type="dxa"/>
            <w:shd w:val="clear" w:color="auto" w:fill="auto"/>
            <w:noWrap/>
            <w:vAlign w:val="center"/>
            <w:hideMark/>
          </w:tcPr>
          <w:p w14:paraId="49F0FBC9" w14:textId="5B26C9FE"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w:t>
            </w:r>
          </w:p>
        </w:tc>
        <w:tc>
          <w:tcPr>
            <w:tcW w:w="1196" w:type="dxa"/>
            <w:shd w:val="clear" w:color="auto" w:fill="auto"/>
            <w:noWrap/>
            <w:vAlign w:val="center"/>
            <w:hideMark/>
          </w:tcPr>
          <w:p w14:paraId="3CF832F3" w14:textId="3A1E8F6D"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3,785</w:t>
            </w:r>
          </w:p>
        </w:tc>
        <w:tc>
          <w:tcPr>
            <w:tcW w:w="1331" w:type="dxa"/>
            <w:shd w:val="clear" w:color="auto" w:fill="auto"/>
            <w:noWrap/>
            <w:vAlign w:val="center"/>
            <w:hideMark/>
          </w:tcPr>
          <w:p w14:paraId="18C76175" w14:textId="2C0976F3"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2,141</w:t>
            </w:r>
          </w:p>
        </w:tc>
        <w:tc>
          <w:tcPr>
            <w:tcW w:w="1844" w:type="dxa"/>
            <w:shd w:val="clear" w:color="auto" w:fill="auto"/>
            <w:noWrap/>
            <w:vAlign w:val="center"/>
            <w:hideMark/>
          </w:tcPr>
          <w:p w14:paraId="33F27C6D"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21.6</w:t>
            </w:r>
          </w:p>
        </w:tc>
      </w:tr>
      <w:tr w:rsidR="0048426D" w:rsidRPr="0048426D" w14:paraId="241E58C6" w14:textId="77777777" w:rsidTr="00497387">
        <w:trPr>
          <w:trHeight w:val="301"/>
        </w:trPr>
        <w:tc>
          <w:tcPr>
            <w:tcW w:w="3516" w:type="dxa"/>
            <w:shd w:val="clear" w:color="auto" w:fill="auto"/>
            <w:noWrap/>
            <w:vAlign w:val="center"/>
            <w:hideMark/>
          </w:tcPr>
          <w:p w14:paraId="1D72DFEC"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Social Services</w:t>
            </w:r>
          </w:p>
        </w:tc>
        <w:tc>
          <w:tcPr>
            <w:tcW w:w="1405" w:type="dxa"/>
            <w:shd w:val="clear" w:color="auto" w:fill="auto"/>
            <w:noWrap/>
            <w:vAlign w:val="center"/>
            <w:hideMark/>
          </w:tcPr>
          <w:p w14:paraId="5B0519E7" w14:textId="60A423BB"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w:t>
            </w:r>
          </w:p>
        </w:tc>
        <w:tc>
          <w:tcPr>
            <w:tcW w:w="1196" w:type="dxa"/>
            <w:shd w:val="clear" w:color="auto" w:fill="auto"/>
            <w:noWrap/>
            <w:vAlign w:val="center"/>
            <w:hideMark/>
          </w:tcPr>
          <w:p w14:paraId="6DBFA375" w14:textId="3885F391"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1,855</w:t>
            </w:r>
          </w:p>
        </w:tc>
        <w:tc>
          <w:tcPr>
            <w:tcW w:w="1331" w:type="dxa"/>
            <w:shd w:val="clear" w:color="auto" w:fill="auto"/>
            <w:noWrap/>
            <w:vAlign w:val="center"/>
            <w:hideMark/>
          </w:tcPr>
          <w:p w14:paraId="6BEEB8F6" w14:textId="2B100A91"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1,855</w:t>
            </w:r>
          </w:p>
        </w:tc>
        <w:tc>
          <w:tcPr>
            <w:tcW w:w="1844" w:type="dxa"/>
            <w:shd w:val="clear" w:color="auto" w:fill="auto"/>
            <w:noWrap/>
            <w:vAlign w:val="center"/>
            <w:hideMark/>
          </w:tcPr>
          <w:p w14:paraId="403AA024"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31.4</w:t>
            </w:r>
          </w:p>
        </w:tc>
      </w:tr>
      <w:tr w:rsidR="0048426D" w:rsidRPr="0048426D" w14:paraId="075D9067" w14:textId="77777777" w:rsidTr="00497387">
        <w:trPr>
          <w:trHeight w:val="301"/>
        </w:trPr>
        <w:tc>
          <w:tcPr>
            <w:tcW w:w="3516" w:type="dxa"/>
            <w:shd w:val="clear" w:color="auto" w:fill="auto"/>
            <w:noWrap/>
            <w:vAlign w:val="center"/>
            <w:hideMark/>
          </w:tcPr>
          <w:p w14:paraId="3B4079A6"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the Environment and Energy</w:t>
            </w:r>
          </w:p>
        </w:tc>
        <w:tc>
          <w:tcPr>
            <w:tcW w:w="1405" w:type="dxa"/>
            <w:shd w:val="clear" w:color="auto" w:fill="auto"/>
            <w:noWrap/>
            <w:vAlign w:val="center"/>
            <w:hideMark/>
          </w:tcPr>
          <w:p w14:paraId="3387A75A" w14:textId="3354F223"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w:t>
            </w:r>
          </w:p>
        </w:tc>
        <w:tc>
          <w:tcPr>
            <w:tcW w:w="1196" w:type="dxa"/>
            <w:shd w:val="clear" w:color="auto" w:fill="auto"/>
            <w:noWrap/>
            <w:vAlign w:val="center"/>
            <w:hideMark/>
          </w:tcPr>
          <w:p w14:paraId="762BFD8F" w14:textId="32AF329D"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7,779</w:t>
            </w:r>
          </w:p>
        </w:tc>
        <w:tc>
          <w:tcPr>
            <w:tcW w:w="1331" w:type="dxa"/>
            <w:shd w:val="clear" w:color="auto" w:fill="auto"/>
            <w:noWrap/>
            <w:vAlign w:val="center"/>
            <w:hideMark/>
          </w:tcPr>
          <w:p w14:paraId="10AB5D4D" w14:textId="4BF5C963"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6,865</w:t>
            </w:r>
          </w:p>
        </w:tc>
        <w:tc>
          <w:tcPr>
            <w:tcW w:w="1844" w:type="dxa"/>
            <w:shd w:val="clear" w:color="auto" w:fill="auto"/>
            <w:noWrap/>
            <w:vAlign w:val="center"/>
            <w:hideMark/>
          </w:tcPr>
          <w:p w14:paraId="1926FA50"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17.2</w:t>
            </w:r>
          </w:p>
        </w:tc>
      </w:tr>
      <w:tr w:rsidR="0048426D" w:rsidRPr="0048426D" w14:paraId="07FF0E10" w14:textId="77777777" w:rsidTr="00497387">
        <w:trPr>
          <w:trHeight w:val="301"/>
        </w:trPr>
        <w:tc>
          <w:tcPr>
            <w:tcW w:w="3516" w:type="dxa"/>
            <w:shd w:val="clear" w:color="auto" w:fill="auto"/>
            <w:noWrap/>
            <w:vAlign w:val="center"/>
            <w:hideMark/>
          </w:tcPr>
          <w:p w14:paraId="2B7981E2"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Great Barrier Reef Marine Park Authority</w:t>
            </w:r>
          </w:p>
        </w:tc>
        <w:tc>
          <w:tcPr>
            <w:tcW w:w="1405" w:type="dxa"/>
            <w:shd w:val="clear" w:color="auto" w:fill="auto"/>
            <w:noWrap/>
            <w:vAlign w:val="center"/>
            <w:hideMark/>
          </w:tcPr>
          <w:p w14:paraId="6F7872FF" w14:textId="2193E900"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w:t>
            </w:r>
          </w:p>
        </w:tc>
        <w:tc>
          <w:tcPr>
            <w:tcW w:w="1196" w:type="dxa"/>
            <w:shd w:val="clear" w:color="auto" w:fill="auto"/>
            <w:noWrap/>
            <w:vAlign w:val="center"/>
            <w:hideMark/>
          </w:tcPr>
          <w:p w14:paraId="7AE08DCE" w14:textId="3AEA95AC"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4,327</w:t>
            </w:r>
          </w:p>
        </w:tc>
        <w:tc>
          <w:tcPr>
            <w:tcW w:w="1331" w:type="dxa"/>
            <w:shd w:val="clear" w:color="auto" w:fill="auto"/>
            <w:noWrap/>
            <w:vAlign w:val="center"/>
            <w:hideMark/>
          </w:tcPr>
          <w:p w14:paraId="13AD0AB4" w14:textId="4DFAE263"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3,407</w:t>
            </w:r>
          </w:p>
        </w:tc>
        <w:tc>
          <w:tcPr>
            <w:tcW w:w="1844" w:type="dxa"/>
            <w:shd w:val="clear" w:color="auto" w:fill="auto"/>
            <w:noWrap/>
            <w:vAlign w:val="center"/>
            <w:hideMark/>
          </w:tcPr>
          <w:p w14:paraId="70806066"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14.8</w:t>
            </w:r>
          </w:p>
        </w:tc>
      </w:tr>
      <w:tr w:rsidR="0048426D" w:rsidRPr="0048426D" w14:paraId="4621379F" w14:textId="77777777" w:rsidTr="00497387">
        <w:trPr>
          <w:trHeight w:val="301"/>
        </w:trPr>
        <w:tc>
          <w:tcPr>
            <w:tcW w:w="3516" w:type="dxa"/>
            <w:shd w:val="clear" w:color="auto" w:fill="auto"/>
            <w:noWrap/>
            <w:vAlign w:val="center"/>
            <w:hideMark/>
          </w:tcPr>
          <w:p w14:paraId="5ECB2998"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Australian Bureau of Statistics</w:t>
            </w:r>
          </w:p>
        </w:tc>
        <w:tc>
          <w:tcPr>
            <w:tcW w:w="1405" w:type="dxa"/>
            <w:shd w:val="clear" w:color="auto" w:fill="auto"/>
            <w:noWrap/>
            <w:vAlign w:val="center"/>
            <w:hideMark/>
          </w:tcPr>
          <w:p w14:paraId="33078562" w14:textId="2414B276"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w:t>
            </w:r>
          </w:p>
        </w:tc>
        <w:tc>
          <w:tcPr>
            <w:tcW w:w="1196" w:type="dxa"/>
            <w:shd w:val="clear" w:color="auto" w:fill="auto"/>
            <w:noWrap/>
            <w:vAlign w:val="center"/>
            <w:hideMark/>
          </w:tcPr>
          <w:p w14:paraId="4294E049" w14:textId="66640392"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1,663</w:t>
            </w:r>
          </w:p>
        </w:tc>
        <w:tc>
          <w:tcPr>
            <w:tcW w:w="1331" w:type="dxa"/>
            <w:shd w:val="clear" w:color="auto" w:fill="auto"/>
            <w:noWrap/>
            <w:vAlign w:val="center"/>
            <w:hideMark/>
          </w:tcPr>
          <w:p w14:paraId="646D28A2" w14:textId="1A7DE45D"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1,663</w:t>
            </w:r>
          </w:p>
        </w:tc>
        <w:tc>
          <w:tcPr>
            <w:tcW w:w="1844" w:type="dxa"/>
            <w:shd w:val="clear" w:color="auto" w:fill="auto"/>
            <w:noWrap/>
            <w:vAlign w:val="center"/>
            <w:hideMark/>
          </w:tcPr>
          <w:p w14:paraId="4ABCC011"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15.4</w:t>
            </w:r>
          </w:p>
        </w:tc>
      </w:tr>
      <w:tr w:rsidR="0048426D" w:rsidRPr="0048426D" w14:paraId="60136302" w14:textId="77777777" w:rsidTr="00497387">
        <w:trPr>
          <w:trHeight w:val="301"/>
        </w:trPr>
        <w:tc>
          <w:tcPr>
            <w:tcW w:w="3516" w:type="dxa"/>
            <w:shd w:val="clear" w:color="auto" w:fill="auto"/>
            <w:noWrap/>
            <w:vAlign w:val="center"/>
            <w:hideMark/>
          </w:tcPr>
          <w:p w14:paraId="035FBABD"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Australian Electoral Commission</w:t>
            </w:r>
          </w:p>
        </w:tc>
        <w:tc>
          <w:tcPr>
            <w:tcW w:w="1405" w:type="dxa"/>
            <w:shd w:val="clear" w:color="auto" w:fill="auto"/>
            <w:noWrap/>
            <w:vAlign w:val="center"/>
            <w:hideMark/>
          </w:tcPr>
          <w:p w14:paraId="0A8B8E53" w14:textId="44865B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w:t>
            </w:r>
          </w:p>
        </w:tc>
        <w:tc>
          <w:tcPr>
            <w:tcW w:w="1196" w:type="dxa"/>
            <w:shd w:val="clear" w:color="auto" w:fill="auto"/>
            <w:noWrap/>
            <w:vAlign w:val="center"/>
            <w:hideMark/>
          </w:tcPr>
          <w:p w14:paraId="26DFB955" w14:textId="6779A319"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732</w:t>
            </w:r>
          </w:p>
        </w:tc>
        <w:tc>
          <w:tcPr>
            <w:tcW w:w="1331" w:type="dxa"/>
            <w:shd w:val="clear" w:color="auto" w:fill="auto"/>
            <w:noWrap/>
            <w:vAlign w:val="center"/>
            <w:hideMark/>
          </w:tcPr>
          <w:p w14:paraId="6FD5A7AD" w14:textId="10181CF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700</w:t>
            </w:r>
          </w:p>
        </w:tc>
        <w:tc>
          <w:tcPr>
            <w:tcW w:w="1844" w:type="dxa"/>
            <w:shd w:val="clear" w:color="auto" w:fill="auto"/>
            <w:noWrap/>
            <w:vAlign w:val="center"/>
            <w:hideMark/>
          </w:tcPr>
          <w:p w14:paraId="728E81B8"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20.6</w:t>
            </w:r>
          </w:p>
        </w:tc>
      </w:tr>
      <w:tr w:rsidR="0048426D" w:rsidRPr="0048426D" w14:paraId="54CCEBFE" w14:textId="77777777" w:rsidTr="00497387">
        <w:trPr>
          <w:trHeight w:val="301"/>
        </w:trPr>
        <w:tc>
          <w:tcPr>
            <w:tcW w:w="3516" w:type="dxa"/>
            <w:shd w:val="clear" w:color="auto" w:fill="auto"/>
            <w:noWrap/>
            <w:vAlign w:val="center"/>
            <w:hideMark/>
          </w:tcPr>
          <w:p w14:paraId="28FD2553"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Australian Fisheries Management Authority</w:t>
            </w:r>
          </w:p>
        </w:tc>
        <w:tc>
          <w:tcPr>
            <w:tcW w:w="1405" w:type="dxa"/>
            <w:shd w:val="clear" w:color="auto" w:fill="auto"/>
            <w:noWrap/>
            <w:vAlign w:val="center"/>
            <w:hideMark/>
          </w:tcPr>
          <w:p w14:paraId="128DA933" w14:textId="0E1BF0C5"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w:t>
            </w:r>
          </w:p>
        </w:tc>
        <w:tc>
          <w:tcPr>
            <w:tcW w:w="1196" w:type="dxa"/>
            <w:shd w:val="clear" w:color="auto" w:fill="auto"/>
            <w:noWrap/>
            <w:vAlign w:val="center"/>
            <w:hideMark/>
          </w:tcPr>
          <w:p w14:paraId="5FA0C2A9" w14:textId="05955329"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650</w:t>
            </w:r>
          </w:p>
        </w:tc>
        <w:tc>
          <w:tcPr>
            <w:tcW w:w="1331" w:type="dxa"/>
            <w:shd w:val="clear" w:color="auto" w:fill="auto"/>
            <w:noWrap/>
            <w:vAlign w:val="center"/>
            <w:hideMark/>
          </w:tcPr>
          <w:p w14:paraId="3558A746" w14:textId="47B171E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650</w:t>
            </w:r>
          </w:p>
        </w:tc>
        <w:tc>
          <w:tcPr>
            <w:tcW w:w="1844" w:type="dxa"/>
            <w:shd w:val="clear" w:color="auto" w:fill="auto"/>
            <w:noWrap/>
            <w:vAlign w:val="center"/>
            <w:hideMark/>
          </w:tcPr>
          <w:p w14:paraId="2515EA5E"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28.3</w:t>
            </w:r>
          </w:p>
        </w:tc>
      </w:tr>
      <w:tr w:rsidR="0048426D" w:rsidRPr="0048426D" w14:paraId="56692D98" w14:textId="77777777" w:rsidTr="00497387">
        <w:trPr>
          <w:trHeight w:val="301"/>
        </w:trPr>
        <w:tc>
          <w:tcPr>
            <w:tcW w:w="3516" w:type="dxa"/>
            <w:shd w:val="clear" w:color="auto" w:fill="auto"/>
            <w:noWrap/>
            <w:vAlign w:val="center"/>
            <w:hideMark/>
          </w:tcPr>
          <w:p w14:paraId="548652ED"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Health</w:t>
            </w:r>
          </w:p>
        </w:tc>
        <w:tc>
          <w:tcPr>
            <w:tcW w:w="1405" w:type="dxa"/>
            <w:shd w:val="clear" w:color="auto" w:fill="auto"/>
            <w:noWrap/>
            <w:vAlign w:val="center"/>
            <w:hideMark/>
          </w:tcPr>
          <w:p w14:paraId="40283E44" w14:textId="21C52D28"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w:t>
            </w:r>
          </w:p>
        </w:tc>
        <w:tc>
          <w:tcPr>
            <w:tcW w:w="1196" w:type="dxa"/>
            <w:shd w:val="clear" w:color="auto" w:fill="auto"/>
            <w:noWrap/>
            <w:vAlign w:val="center"/>
            <w:hideMark/>
          </w:tcPr>
          <w:p w14:paraId="62E98D52" w14:textId="653DE47E"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1,053</w:t>
            </w:r>
          </w:p>
        </w:tc>
        <w:tc>
          <w:tcPr>
            <w:tcW w:w="1331" w:type="dxa"/>
            <w:shd w:val="clear" w:color="auto" w:fill="auto"/>
            <w:noWrap/>
            <w:vAlign w:val="center"/>
            <w:hideMark/>
          </w:tcPr>
          <w:p w14:paraId="34DF5BBB" w14:textId="7A80DBD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1,036</w:t>
            </w:r>
          </w:p>
        </w:tc>
        <w:tc>
          <w:tcPr>
            <w:tcW w:w="1844" w:type="dxa"/>
            <w:shd w:val="clear" w:color="auto" w:fill="auto"/>
            <w:noWrap/>
            <w:vAlign w:val="center"/>
            <w:hideMark/>
          </w:tcPr>
          <w:p w14:paraId="77CEDFB5"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14.6</w:t>
            </w:r>
          </w:p>
        </w:tc>
      </w:tr>
      <w:tr w:rsidR="0048426D" w:rsidRPr="0048426D" w14:paraId="7BB05B15" w14:textId="77777777" w:rsidTr="00497387">
        <w:trPr>
          <w:trHeight w:val="301"/>
        </w:trPr>
        <w:tc>
          <w:tcPr>
            <w:tcW w:w="3516" w:type="dxa"/>
            <w:shd w:val="clear" w:color="auto" w:fill="auto"/>
            <w:noWrap/>
            <w:vAlign w:val="center"/>
            <w:hideMark/>
          </w:tcPr>
          <w:p w14:paraId="1C071064"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Department of Veterans' Affairs</w:t>
            </w:r>
          </w:p>
        </w:tc>
        <w:tc>
          <w:tcPr>
            <w:tcW w:w="1405" w:type="dxa"/>
            <w:shd w:val="clear" w:color="auto" w:fill="auto"/>
            <w:noWrap/>
            <w:vAlign w:val="center"/>
            <w:hideMark/>
          </w:tcPr>
          <w:p w14:paraId="560C7C95" w14:textId="79549CC3"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w:t>
            </w:r>
          </w:p>
        </w:tc>
        <w:tc>
          <w:tcPr>
            <w:tcW w:w="1196" w:type="dxa"/>
            <w:shd w:val="clear" w:color="auto" w:fill="auto"/>
            <w:noWrap/>
            <w:vAlign w:val="center"/>
            <w:hideMark/>
          </w:tcPr>
          <w:p w14:paraId="38143912" w14:textId="5B9852C6"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1,850</w:t>
            </w:r>
          </w:p>
        </w:tc>
        <w:tc>
          <w:tcPr>
            <w:tcW w:w="1331" w:type="dxa"/>
            <w:shd w:val="clear" w:color="auto" w:fill="auto"/>
            <w:noWrap/>
            <w:vAlign w:val="center"/>
            <w:hideMark/>
          </w:tcPr>
          <w:p w14:paraId="7ADE3250" w14:textId="5A1200FB"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1,480</w:t>
            </w:r>
          </w:p>
        </w:tc>
        <w:tc>
          <w:tcPr>
            <w:tcW w:w="1844" w:type="dxa"/>
            <w:shd w:val="clear" w:color="auto" w:fill="auto"/>
            <w:noWrap/>
            <w:vAlign w:val="center"/>
            <w:hideMark/>
          </w:tcPr>
          <w:p w14:paraId="393D31E8"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21.8</w:t>
            </w:r>
          </w:p>
        </w:tc>
      </w:tr>
      <w:tr w:rsidR="0048426D" w:rsidRPr="0048426D" w14:paraId="0ED90D39" w14:textId="77777777" w:rsidTr="00497387">
        <w:trPr>
          <w:trHeight w:val="301"/>
        </w:trPr>
        <w:tc>
          <w:tcPr>
            <w:tcW w:w="3516" w:type="dxa"/>
            <w:shd w:val="clear" w:color="auto" w:fill="auto"/>
            <w:noWrap/>
            <w:vAlign w:val="center"/>
            <w:hideMark/>
          </w:tcPr>
          <w:p w14:paraId="37A3319C" w14:textId="77777777" w:rsidR="0048426D" w:rsidRPr="00B96D66" w:rsidRDefault="0048426D">
            <w:pPr>
              <w:suppressAutoHyphens w:val="0"/>
              <w:spacing w:before="0" w:after="0" w:line="240" w:lineRule="auto"/>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Fair Work Ombudsman and Registered Organisations Commission Entity</w:t>
            </w:r>
          </w:p>
        </w:tc>
        <w:tc>
          <w:tcPr>
            <w:tcW w:w="1405" w:type="dxa"/>
            <w:shd w:val="clear" w:color="auto" w:fill="auto"/>
            <w:noWrap/>
            <w:vAlign w:val="center"/>
            <w:hideMark/>
          </w:tcPr>
          <w:p w14:paraId="0AB3069E" w14:textId="00568301"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1</w:t>
            </w:r>
          </w:p>
        </w:tc>
        <w:tc>
          <w:tcPr>
            <w:tcW w:w="1196" w:type="dxa"/>
            <w:shd w:val="clear" w:color="auto" w:fill="auto"/>
            <w:noWrap/>
            <w:vAlign w:val="center"/>
            <w:hideMark/>
          </w:tcPr>
          <w:p w14:paraId="11117FD1" w14:textId="381629BE"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682</w:t>
            </w:r>
          </w:p>
        </w:tc>
        <w:tc>
          <w:tcPr>
            <w:tcW w:w="1331" w:type="dxa"/>
            <w:shd w:val="clear" w:color="auto" w:fill="auto"/>
            <w:noWrap/>
            <w:vAlign w:val="center"/>
            <w:hideMark/>
          </w:tcPr>
          <w:p w14:paraId="6761330A" w14:textId="1846702A"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601</w:t>
            </w:r>
          </w:p>
        </w:tc>
        <w:tc>
          <w:tcPr>
            <w:tcW w:w="1844" w:type="dxa"/>
            <w:shd w:val="clear" w:color="auto" w:fill="auto"/>
            <w:noWrap/>
            <w:vAlign w:val="center"/>
            <w:hideMark/>
          </w:tcPr>
          <w:p w14:paraId="16EFF6BA" w14:textId="77777777" w:rsidR="0048426D" w:rsidRPr="00B96D66" w:rsidRDefault="0048426D" w:rsidP="00497387">
            <w:pPr>
              <w:suppressAutoHyphens w:val="0"/>
              <w:spacing w:before="0" w:after="0" w:line="240" w:lineRule="auto"/>
              <w:jc w:val="right"/>
              <w:rPr>
                <w:rFonts w:ascii="Calibri" w:eastAsia="Times New Roman" w:hAnsi="Calibri" w:cs="Calibri"/>
                <w:color w:val="000000"/>
                <w:sz w:val="20"/>
                <w:szCs w:val="20"/>
                <w:lang w:eastAsia="en-AU"/>
              </w:rPr>
            </w:pPr>
            <w:r w:rsidRPr="00B96D66">
              <w:rPr>
                <w:rFonts w:ascii="Calibri" w:eastAsia="Times New Roman" w:hAnsi="Calibri" w:cs="Calibri"/>
                <w:color w:val="000000"/>
                <w:sz w:val="20"/>
                <w:szCs w:val="20"/>
                <w:lang w:eastAsia="en-AU"/>
              </w:rPr>
              <w:t>20.7</w:t>
            </w:r>
          </w:p>
        </w:tc>
      </w:tr>
    </w:tbl>
    <w:p w14:paraId="4C40583A" w14:textId="35B7866A" w:rsidR="00116EE7" w:rsidRDefault="00A9746F" w:rsidP="00CD28F8">
      <w:pPr>
        <w:pStyle w:val="Caption"/>
      </w:pPr>
      <w:r>
        <w:t xml:space="preserve">Table </w:t>
      </w:r>
      <w:r w:rsidR="00065B82">
        <w:t>3</w:t>
      </w:r>
      <w:r>
        <w:t>b: Entities with Remote Tenancies</w:t>
      </w:r>
      <w:r w:rsidR="00A4598A">
        <w:rPr>
          <w:rStyle w:val="FootnoteReference"/>
        </w:rPr>
        <w:footnoteReference w:id="1"/>
      </w:r>
    </w:p>
    <w:tbl>
      <w:tblPr>
        <w:tblW w:w="9351" w:type="dxa"/>
        <w:tblLook w:val="04A0" w:firstRow="1" w:lastRow="0" w:firstColumn="1" w:lastColumn="0" w:noHBand="0" w:noVBand="1"/>
      </w:tblPr>
      <w:tblGrid>
        <w:gridCol w:w="3539"/>
        <w:gridCol w:w="1389"/>
        <w:gridCol w:w="1163"/>
        <w:gridCol w:w="1417"/>
        <w:gridCol w:w="1843"/>
      </w:tblGrid>
      <w:tr w:rsidR="00A867AE" w:rsidRPr="00A867AE" w14:paraId="3573C61E" w14:textId="77777777" w:rsidTr="00DF1805">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bottom"/>
            <w:hideMark/>
          </w:tcPr>
          <w:p w14:paraId="227DA7F2" w14:textId="77777777" w:rsidR="00A867AE" w:rsidRPr="00A867AE" w:rsidRDefault="00A867AE" w:rsidP="00A867AE">
            <w:pPr>
              <w:suppressAutoHyphens w:val="0"/>
              <w:spacing w:before="0" w:after="0" w:line="240" w:lineRule="auto"/>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 </w:t>
            </w:r>
          </w:p>
        </w:tc>
        <w:tc>
          <w:tcPr>
            <w:tcW w:w="5812" w:type="dxa"/>
            <w:gridSpan w:val="4"/>
            <w:tcBorders>
              <w:top w:val="single" w:sz="4" w:space="0" w:color="auto"/>
              <w:left w:val="nil"/>
              <w:bottom w:val="single" w:sz="4" w:space="0" w:color="auto"/>
              <w:right w:val="single" w:sz="4" w:space="0" w:color="auto"/>
            </w:tcBorders>
            <w:shd w:val="clear" w:color="auto" w:fill="E7E7E7" w:themeFill="text2" w:themeFillTint="1A"/>
            <w:noWrap/>
            <w:vAlign w:val="bottom"/>
            <w:hideMark/>
          </w:tcPr>
          <w:p w14:paraId="49A0B605" w14:textId="77777777" w:rsidR="00A867AE" w:rsidRPr="00A867AE" w:rsidRDefault="00A867AE" w:rsidP="00A867AE">
            <w:pPr>
              <w:suppressAutoHyphens w:val="0"/>
              <w:spacing w:before="0" w:after="0" w:line="240" w:lineRule="auto"/>
              <w:jc w:val="center"/>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Remote Tenancies</w:t>
            </w:r>
          </w:p>
        </w:tc>
      </w:tr>
      <w:tr w:rsidR="00A867AE" w:rsidRPr="00A867AE" w14:paraId="7E455575" w14:textId="77777777" w:rsidTr="00DF1805">
        <w:trPr>
          <w:trHeight w:val="765"/>
        </w:trPr>
        <w:tc>
          <w:tcPr>
            <w:tcW w:w="3539" w:type="dxa"/>
            <w:tcBorders>
              <w:top w:val="nil"/>
              <w:left w:val="single" w:sz="4" w:space="0" w:color="auto"/>
              <w:bottom w:val="single" w:sz="4" w:space="0" w:color="auto"/>
              <w:right w:val="single" w:sz="4" w:space="0" w:color="auto"/>
            </w:tcBorders>
            <w:shd w:val="clear" w:color="auto" w:fill="E7E7E7" w:themeFill="text2" w:themeFillTint="1A"/>
            <w:noWrap/>
            <w:vAlign w:val="center"/>
            <w:hideMark/>
          </w:tcPr>
          <w:p w14:paraId="358440BF" w14:textId="77777777" w:rsidR="00A867AE" w:rsidRPr="00A867AE" w:rsidRDefault="00A867AE">
            <w:pPr>
              <w:suppressAutoHyphens w:val="0"/>
              <w:spacing w:before="0" w:after="0" w:line="240" w:lineRule="auto"/>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Entity</w:t>
            </w:r>
          </w:p>
        </w:tc>
        <w:tc>
          <w:tcPr>
            <w:tcW w:w="1389" w:type="dxa"/>
            <w:tcBorders>
              <w:top w:val="nil"/>
              <w:left w:val="nil"/>
              <w:bottom w:val="single" w:sz="4" w:space="0" w:color="auto"/>
              <w:right w:val="single" w:sz="4" w:space="0" w:color="auto"/>
            </w:tcBorders>
            <w:shd w:val="clear" w:color="auto" w:fill="E7E7E7" w:themeFill="text2" w:themeFillTint="1A"/>
            <w:vAlign w:val="center"/>
            <w:hideMark/>
          </w:tcPr>
          <w:p w14:paraId="2DB49CAE" w14:textId="77777777" w:rsidR="00A867AE" w:rsidRPr="00A867AE" w:rsidRDefault="00A867AE" w:rsidP="00DF1805">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 xml:space="preserve">Number of Tenancies (n) </w:t>
            </w:r>
          </w:p>
        </w:tc>
        <w:tc>
          <w:tcPr>
            <w:tcW w:w="1163" w:type="dxa"/>
            <w:tcBorders>
              <w:top w:val="nil"/>
              <w:left w:val="nil"/>
              <w:bottom w:val="single" w:sz="4" w:space="0" w:color="auto"/>
              <w:right w:val="single" w:sz="4" w:space="0" w:color="auto"/>
            </w:tcBorders>
            <w:shd w:val="clear" w:color="auto" w:fill="E7E7E7" w:themeFill="text2" w:themeFillTint="1A"/>
            <w:vAlign w:val="center"/>
            <w:hideMark/>
          </w:tcPr>
          <w:p w14:paraId="04EB8905" w14:textId="6559FA09" w:rsidR="00A867AE" w:rsidRPr="00A867AE" w:rsidRDefault="00A867AE" w:rsidP="00DF1805">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Controlled Area (</w:t>
            </w:r>
            <w:r w:rsidRPr="00B96D66">
              <w:rPr>
                <w:rFonts w:ascii="Calibri" w:eastAsia="Times New Roman" w:hAnsi="Calibri" w:cs="Calibri"/>
                <w:color w:val="000000"/>
                <w:sz w:val="20"/>
                <w:szCs w:val="20"/>
                <w:lang w:eastAsia="en-AU"/>
              </w:rPr>
              <w:t>m²)</w:t>
            </w:r>
          </w:p>
        </w:tc>
        <w:tc>
          <w:tcPr>
            <w:tcW w:w="1417" w:type="dxa"/>
            <w:tcBorders>
              <w:top w:val="nil"/>
              <w:left w:val="nil"/>
              <w:bottom w:val="single" w:sz="4" w:space="0" w:color="auto"/>
              <w:right w:val="single" w:sz="4" w:space="0" w:color="auto"/>
            </w:tcBorders>
            <w:shd w:val="clear" w:color="auto" w:fill="E7E7E7" w:themeFill="text2" w:themeFillTint="1A"/>
            <w:vAlign w:val="center"/>
            <w:hideMark/>
          </w:tcPr>
          <w:p w14:paraId="5AF43512" w14:textId="36157C02" w:rsidR="00A867AE" w:rsidRPr="00A867AE" w:rsidRDefault="00A867AE" w:rsidP="00DF1805">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Useable Office Area (</w:t>
            </w:r>
            <w:r w:rsidRPr="00B96D66">
              <w:rPr>
                <w:rFonts w:ascii="Calibri" w:eastAsia="Times New Roman" w:hAnsi="Calibri" w:cs="Calibri"/>
                <w:color w:val="000000"/>
                <w:sz w:val="20"/>
                <w:szCs w:val="20"/>
                <w:lang w:eastAsia="en-AU"/>
              </w:rPr>
              <w:t>m²)</w:t>
            </w:r>
          </w:p>
        </w:tc>
        <w:tc>
          <w:tcPr>
            <w:tcW w:w="1843" w:type="dxa"/>
            <w:tcBorders>
              <w:top w:val="nil"/>
              <w:left w:val="nil"/>
              <w:bottom w:val="single" w:sz="4" w:space="0" w:color="auto"/>
              <w:right w:val="single" w:sz="4" w:space="0" w:color="auto"/>
            </w:tcBorders>
            <w:shd w:val="clear" w:color="auto" w:fill="E7E7E7" w:themeFill="text2" w:themeFillTint="1A"/>
            <w:vAlign w:val="center"/>
            <w:hideMark/>
          </w:tcPr>
          <w:p w14:paraId="65A4CC7A" w14:textId="33A5B17E" w:rsidR="00A867AE" w:rsidRPr="00A867AE" w:rsidRDefault="00A867AE" w:rsidP="00DF1805">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Average Occupational Density (</w:t>
            </w:r>
            <w:r w:rsidRPr="00B96D66">
              <w:rPr>
                <w:rFonts w:ascii="Calibri" w:eastAsia="Times New Roman" w:hAnsi="Calibri" w:cs="Calibri"/>
                <w:color w:val="000000"/>
                <w:sz w:val="20"/>
                <w:szCs w:val="20"/>
                <w:lang w:eastAsia="en-AU"/>
              </w:rPr>
              <w:t>m²)</w:t>
            </w:r>
          </w:p>
        </w:tc>
      </w:tr>
      <w:tr w:rsidR="00A867AE" w:rsidRPr="00A867AE" w14:paraId="473AB1A8" w14:textId="77777777" w:rsidTr="0049738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4EC7459" w14:textId="77777777" w:rsidR="00A867AE" w:rsidRPr="00A867AE" w:rsidRDefault="00A867AE">
            <w:pPr>
              <w:suppressAutoHyphens w:val="0"/>
              <w:spacing w:before="0" w:after="0" w:line="240" w:lineRule="auto"/>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Department of the Prime Minister and Cabinet</w:t>
            </w:r>
          </w:p>
        </w:tc>
        <w:tc>
          <w:tcPr>
            <w:tcW w:w="1389" w:type="dxa"/>
            <w:tcBorders>
              <w:top w:val="nil"/>
              <w:left w:val="nil"/>
              <w:bottom w:val="single" w:sz="4" w:space="0" w:color="auto"/>
              <w:right w:val="single" w:sz="4" w:space="0" w:color="auto"/>
            </w:tcBorders>
            <w:shd w:val="clear" w:color="auto" w:fill="auto"/>
            <w:noWrap/>
            <w:vAlign w:val="center"/>
            <w:hideMark/>
          </w:tcPr>
          <w:p w14:paraId="3E384423"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6</w:t>
            </w:r>
          </w:p>
        </w:tc>
        <w:tc>
          <w:tcPr>
            <w:tcW w:w="1163" w:type="dxa"/>
            <w:tcBorders>
              <w:top w:val="nil"/>
              <w:left w:val="nil"/>
              <w:bottom w:val="single" w:sz="4" w:space="0" w:color="auto"/>
              <w:right w:val="single" w:sz="4" w:space="0" w:color="auto"/>
            </w:tcBorders>
            <w:shd w:val="clear" w:color="auto" w:fill="auto"/>
            <w:noWrap/>
            <w:vAlign w:val="center"/>
            <w:hideMark/>
          </w:tcPr>
          <w:p w14:paraId="0F9AC956"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3,847</w:t>
            </w:r>
          </w:p>
        </w:tc>
        <w:tc>
          <w:tcPr>
            <w:tcW w:w="1417" w:type="dxa"/>
            <w:tcBorders>
              <w:top w:val="nil"/>
              <w:left w:val="nil"/>
              <w:bottom w:val="single" w:sz="4" w:space="0" w:color="auto"/>
              <w:right w:val="single" w:sz="4" w:space="0" w:color="auto"/>
            </w:tcBorders>
            <w:shd w:val="clear" w:color="auto" w:fill="auto"/>
            <w:noWrap/>
            <w:vAlign w:val="center"/>
            <w:hideMark/>
          </w:tcPr>
          <w:p w14:paraId="402A9AD2"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3,599</w:t>
            </w:r>
          </w:p>
        </w:tc>
        <w:tc>
          <w:tcPr>
            <w:tcW w:w="1843" w:type="dxa"/>
            <w:tcBorders>
              <w:top w:val="nil"/>
              <w:left w:val="nil"/>
              <w:bottom w:val="single" w:sz="4" w:space="0" w:color="auto"/>
              <w:right w:val="single" w:sz="4" w:space="0" w:color="auto"/>
            </w:tcBorders>
            <w:shd w:val="clear" w:color="auto" w:fill="auto"/>
            <w:noWrap/>
            <w:vAlign w:val="center"/>
            <w:hideMark/>
          </w:tcPr>
          <w:p w14:paraId="3D823511" w14:textId="77777777" w:rsidR="00A867AE" w:rsidRPr="002A146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2A146E">
              <w:rPr>
                <w:rFonts w:ascii="Calibri" w:eastAsia="Times New Roman" w:hAnsi="Calibri" w:cs="Calibri"/>
                <w:color w:val="000000"/>
                <w:sz w:val="20"/>
                <w:szCs w:val="20"/>
                <w:lang w:eastAsia="en-AU"/>
              </w:rPr>
              <w:t>44.4</w:t>
            </w:r>
          </w:p>
        </w:tc>
      </w:tr>
      <w:tr w:rsidR="00A867AE" w:rsidRPr="00A867AE" w14:paraId="5F640159" w14:textId="77777777" w:rsidTr="0049738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1BE43C3" w14:textId="77777777" w:rsidR="00A867AE" w:rsidRPr="00A867AE" w:rsidRDefault="00A867AE">
            <w:pPr>
              <w:suppressAutoHyphens w:val="0"/>
              <w:spacing w:before="0" w:after="0" w:line="240" w:lineRule="auto"/>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Department of Home Affairs</w:t>
            </w:r>
          </w:p>
        </w:tc>
        <w:tc>
          <w:tcPr>
            <w:tcW w:w="1389" w:type="dxa"/>
            <w:tcBorders>
              <w:top w:val="nil"/>
              <w:left w:val="nil"/>
              <w:bottom w:val="single" w:sz="4" w:space="0" w:color="auto"/>
              <w:right w:val="single" w:sz="4" w:space="0" w:color="auto"/>
            </w:tcBorders>
            <w:shd w:val="clear" w:color="auto" w:fill="auto"/>
            <w:noWrap/>
            <w:vAlign w:val="center"/>
            <w:hideMark/>
          </w:tcPr>
          <w:p w14:paraId="6B3A5F7C"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4</w:t>
            </w:r>
          </w:p>
        </w:tc>
        <w:tc>
          <w:tcPr>
            <w:tcW w:w="1163" w:type="dxa"/>
            <w:tcBorders>
              <w:top w:val="nil"/>
              <w:left w:val="nil"/>
              <w:bottom w:val="single" w:sz="4" w:space="0" w:color="auto"/>
              <w:right w:val="single" w:sz="4" w:space="0" w:color="auto"/>
            </w:tcBorders>
            <w:shd w:val="clear" w:color="auto" w:fill="auto"/>
            <w:noWrap/>
            <w:vAlign w:val="center"/>
            <w:hideMark/>
          </w:tcPr>
          <w:p w14:paraId="396E1B79"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3,770</w:t>
            </w:r>
          </w:p>
        </w:tc>
        <w:tc>
          <w:tcPr>
            <w:tcW w:w="1417" w:type="dxa"/>
            <w:tcBorders>
              <w:top w:val="nil"/>
              <w:left w:val="nil"/>
              <w:bottom w:val="single" w:sz="4" w:space="0" w:color="auto"/>
              <w:right w:val="single" w:sz="4" w:space="0" w:color="auto"/>
            </w:tcBorders>
            <w:shd w:val="clear" w:color="auto" w:fill="auto"/>
            <w:noWrap/>
            <w:vAlign w:val="center"/>
            <w:hideMark/>
          </w:tcPr>
          <w:p w14:paraId="5020BB83"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2,849</w:t>
            </w:r>
          </w:p>
        </w:tc>
        <w:tc>
          <w:tcPr>
            <w:tcW w:w="1843" w:type="dxa"/>
            <w:tcBorders>
              <w:top w:val="nil"/>
              <w:left w:val="nil"/>
              <w:bottom w:val="single" w:sz="4" w:space="0" w:color="auto"/>
              <w:right w:val="single" w:sz="4" w:space="0" w:color="auto"/>
            </w:tcBorders>
            <w:shd w:val="clear" w:color="auto" w:fill="auto"/>
            <w:noWrap/>
            <w:vAlign w:val="center"/>
            <w:hideMark/>
          </w:tcPr>
          <w:p w14:paraId="12C6602B" w14:textId="77777777" w:rsidR="00A867AE" w:rsidRPr="002A146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2A146E">
              <w:rPr>
                <w:rFonts w:ascii="Calibri" w:eastAsia="Times New Roman" w:hAnsi="Calibri" w:cs="Calibri"/>
                <w:color w:val="000000"/>
                <w:sz w:val="20"/>
                <w:szCs w:val="20"/>
                <w:lang w:eastAsia="en-AU"/>
              </w:rPr>
              <w:t>118.7</w:t>
            </w:r>
          </w:p>
        </w:tc>
      </w:tr>
      <w:tr w:rsidR="00A867AE" w:rsidRPr="00A867AE" w14:paraId="48AB4FF7" w14:textId="77777777" w:rsidTr="00497387">
        <w:trPr>
          <w:trHeight w:val="300"/>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A94A839" w14:textId="77777777" w:rsidR="00A867AE" w:rsidRPr="00A867AE" w:rsidRDefault="00A867AE">
            <w:pPr>
              <w:suppressAutoHyphens w:val="0"/>
              <w:spacing w:before="0" w:after="0" w:line="240" w:lineRule="auto"/>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Services Australia</w:t>
            </w:r>
          </w:p>
        </w:tc>
        <w:tc>
          <w:tcPr>
            <w:tcW w:w="1389" w:type="dxa"/>
            <w:tcBorders>
              <w:top w:val="nil"/>
              <w:left w:val="nil"/>
              <w:bottom w:val="single" w:sz="4" w:space="0" w:color="auto"/>
              <w:right w:val="single" w:sz="4" w:space="0" w:color="auto"/>
            </w:tcBorders>
            <w:shd w:val="clear" w:color="auto" w:fill="auto"/>
            <w:noWrap/>
            <w:vAlign w:val="center"/>
            <w:hideMark/>
          </w:tcPr>
          <w:p w14:paraId="540653F8"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1</w:t>
            </w:r>
          </w:p>
        </w:tc>
        <w:tc>
          <w:tcPr>
            <w:tcW w:w="1163" w:type="dxa"/>
            <w:tcBorders>
              <w:top w:val="nil"/>
              <w:left w:val="nil"/>
              <w:bottom w:val="single" w:sz="4" w:space="0" w:color="auto"/>
              <w:right w:val="single" w:sz="4" w:space="0" w:color="auto"/>
            </w:tcBorders>
            <w:shd w:val="clear" w:color="auto" w:fill="auto"/>
            <w:noWrap/>
            <w:vAlign w:val="center"/>
            <w:hideMark/>
          </w:tcPr>
          <w:p w14:paraId="11D032F4"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1,230</w:t>
            </w:r>
          </w:p>
        </w:tc>
        <w:tc>
          <w:tcPr>
            <w:tcW w:w="1417" w:type="dxa"/>
            <w:tcBorders>
              <w:top w:val="nil"/>
              <w:left w:val="nil"/>
              <w:bottom w:val="single" w:sz="4" w:space="0" w:color="auto"/>
              <w:right w:val="single" w:sz="4" w:space="0" w:color="auto"/>
            </w:tcBorders>
            <w:shd w:val="clear" w:color="auto" w:fill="auto"/>
            <w:noWrap/>
            <w:vAlign w:val="center"/>
            <w:hideMark/>
          </w:tcPr>
          <w:p w14:paraId="7B3F76A8"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868</w:t>
            </w:r>
          </w:p>
        </w:tc>
        <w:tc>
          <w:tcPr>
            <w:tcW w:w="1843" w:type="dxa"/>
            <w:tcBorders>
              <w:top w:val="nil"/>
              <w:left w:val="nil"/>
              <w:bottom w:val="single" w:sz="4" w:space="0" w:color="auto"/>
              <w:right w:val="single" w:sz="4" w:space="0" w:color="auto"/>
            </w:tcBorders>
            <w:shd w:val="clear" w:color="auto" w:fill="auto"/>
            <w:noWrap/>
            <w:vAlign w:val="center"/>
            <w:hideMark/>
          </w:tcPr>
          <w:p w14:paraId="4CB7F7D4" w14:textId="77777777" w:rsidR="00A867AE" w:rsidRPr="00A867AE" w:rsidRDefault="00A867AE" w:rsidP="00497387">
            <w:pPr>
              <w:suppressAutoHyphens w:val="0"/>
              <w:spacing w:before="0" w:after="0" w:line="240" w:lineRule="auto"/>
              <w:jc w:val="right"/>
              <w:rPr>
                <w:rFonts w:ascii="Calibri" w:eastAsia="Times New Roman" w:hAnsi="Calibri" w:cs="Calibri"/>
                <w:color w:val="000000"/>
                <w:sz w:val="20"/>
                <w:szCs w:val="20"/>
                <w:lang w:eastAsia="en-AU"/>
              </w:rPr>
            </w:pPr>
            <w:r w:rsidRPr="00A867AE">
              <w:rPr>
                <w:rFonts w:ascii="Calibri" w:eastAsia="Times New Roman" w:hAnsi="Calibri" w:cs="Calibri"/>
                <w:color w:val="000000"/>
                <w:sz w:val="20"/>
                <w:szCs w:val="20"/>
                <w:lang w:eastAsia="en-AU"/>
              </w:rPr>
              <w:t>17.4</w:t>
            </w:r>
          </w:p>
        </w:tc>
      </w:tr>
    </w:tbl>
    <w:p w14:paraId="1459DA07" w14:textId="44C79147" w:rsidR="00A867AE" w:rsidRDefault="00DF7985" w:rsidP="001E48D4">
      <w:pPr>
        <w:sectPr w:rsidR="00A867AE" w:rsidSect="00116EE7">
          <w:footerReference w:type="default" r:id="rId17"/>
          <w:pgSz w:w="11906" w:h="16838" w:code="9"/>
          <w:pgMar w:top="1418" w:right="1418" w:bottom="1418" w:left="1418" w:header="510" w:footer="624" w:gutter="0"/>
          <w:cols w:space="708"/>
          <w:docGrid w:linePitch="360"/>
        </w:sectPr>
      </w:pPr>
      <w:r>
        <w:t>Note: entities reflect their composition as at July 2019 at the time of the data collection, and do not incorporate Machinery of Government changes that took effect on 1 February 2020.</w:t>
      </w:r>
    </w:p>
    <w:p w14:paraId="05BAEAA0" w14:textId="6901A1D1" w:rsidR="00DE1E06" w:rsidRDefault="00DE553E" w:rsidP="00FD1681">
      <w:pPr>
        <w:pStyle w:val="Heading2Numbered"/>
        <w:numPr>
          <w:ilvl w:val="1"/>
          <w:numId w:val="4"/>
        </w:numPr>
      </w:pPr>
      <w:bookmarkStart w:id="17" w:name="_Toc40455101"/>
      <w:r>
        <w:t>States and Territories</w:t>
      </w:r>
      <w:bookmarkEnd w:id="17"/>
    </w:p>
    <w:p w14:paraId="7EA9B2CD" w14:textId="2405278A" w:rsidR="004A3495" w:rsidRDefault="004A3495" w:rsidP="00CF44C6">
      <w:pPr>
        <w:rPr>
          <w:b/>
          <w:iCs/>
          <w:color w:val="000000" w:themeColor="text1"/>
          <w:szCs w:val="18"/>
        </w:rPr>
      </w:pPr>
      <w:r w:rsidRPr="00CF44C6">
        <w:rPr>
          <w:b/>
          <w:iCs/>
          <w:color w:val="000000" w:themeColor="text1"/>
          <w:szCs w:val="18"/>
        </w:rPr>
        <w:t xml:space="preserve">Table </w:t>
      </w:r>
      <w:r w:rsidR="00065B82">
        <w:rPr>
          <w:b/>
          <w:iCs/>
          <w:color w:val="000000" w:themeColor="text1"/>
          <w:szCs w:val="18"/>
        </w:rPr>
        <w:t>4</w:t>
      </w:r>
      <w:r w:rsidRPr="00CF44C6">
        <w:rPr>
          <w:b/>
          <w:iCs/>
          <w:color w:val="000000" w:themeColor="text1"/>
          <w:szCs w:val="18"/>
        </w:rPr>
        <w:t>: State and Territories</w:t>
      </w:r>
    </w:p>
    <w:tbl>
      <w:tblPr>
        <w:tblW w:w="514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2"/>
        <w:gridCol w:w="1274"/>
        <w:gridCol w:w="1274"/>
        <w:gridCol w:w="1133"/>
        <w:gridCol w:w="1133"/>
        <w:gridCol w:w="1133"/>
        <w:gridCol w:w="1133"/>
        <w:gridCol w:w="1037"/>
        <w:gridCol w:w="1135"/>
        <w:gridCol w:w="1225"/>
      </w:tblGrid>
      <w:tr w:rsidR="00260701" w:rsidRPr="00260701" w14:paraId="1FDE0DFF" w14:textId="77777777" w:rsidTr="00DF1805">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68165C1" w14:textId="375F098C" w:rsidR="00260701" w:rsidRPr="00260701" w:rsidRDefault="00CA110C">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Measure</w:t>
            </w:r>
          </w:p>
        </w:tc>
        <w:tc>
          <w:tcPr>
            <w:tcW w:w="442"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3D2979A6"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ACT</w:t>
            </w:r>
          </w:p>
        </w:tc>
        <w:tc>
          <w:tcPr>
            <w:tcW w:w="442"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7B2CBBA7"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NSW</w:t>
            </w:r>
          </w:p>
        </w:tc>
        <w:tc>
          <w:tcPr>
            <w:tcW w:w="393"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7E27FA83"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VIC</w:t>
            </w:r>
          </w:p>
        </w:tc>
        <w:tc>
          <w:tcPr>
            <w:tcW w:w="393"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EC275BD"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QLD</w:t>
            </w:r>
          </w:p>
        </w:tc>
        <w:tc>
          <w:tcPr>
            <w:tcW w:w="393"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652BC121"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SA</w:t>
            </w:r>
          </w:p>
        </w:tc>
        <w:tc>
          <w:tcPr>
            <w:tcW w:w="393"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A9CF74A"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WA</w:t>
            </w:r>
          </w:p>
        </w:tc>
        <w:tc>
          <w:tcPr>
            <w:tcW w:w="360"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2C7A5BA"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TAS</w:t>
            </w:r>
          </w:p>
        </w:tc>
        <w:tc>
          <w:tcPr>
            <w:tcW w:w="394"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02DB439"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NT</w:t>
            </w:r>
          </w:p>
        </w:tc>
        <w:tc>
          <w:tcPr>
            <w:tcW w:w="425"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0467DEE1" w14:textId="77777777" w:rsidR="00260701" w:rsidRPr="00260701" w:rsidRDefault="00260701" w:rsidP="00DF1805">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Australia</w:t>
            </w:r>
          </w:p>
        </w:tc>
      </w:tr>
      <w:tr w:rsidR="00260701" w:rsidRPr="00260701" w14:paraId="0B0F3B66"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BA237" w14:textId="77777777" w:rsidR="00260701" w:rsidRPr="00260701" w:rsidRDefault="00260701">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Tenancies (n)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AE2C3"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155</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A10F5"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117</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50BC"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97</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B0BF1"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76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61FF9"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58460"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41</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42672"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3DFDE"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19</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03C8A" w14:textId="77777777" w:rsidR="00260701" w:rsidRPr="00260701" w:rsidRDefault="00260701"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568</w:t>
            </w:r>
          </w:p>
        </w:tc>
      </w:tr>
      <w:tr w:rsidR="004D21E4" w:rsidRPr="004D21E4" w14:paraId="717F9990"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028C80" w14:textId="4A474220" w:rsidR="004D21E4" w:rsidRPr="004D21E4"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Controll</w:t>
            </w:r>
            <w:r>
              <w:rPr>
                <w:rFonts w:ascii="Calibri" w:eastAsia="Times New Roman" w:hAnsi="Calibri" w:cs="Calibri"/>
                <w:sz w:val="20"/>
                <w:szCs w:val="20"/>
                <w:lang w:eastAsia="en-AU"/>
              </w:rPr>
              <w:t>ed</w:t>
            </w:r>
            <w:r w:rsidRPr="00260701">
              <w:rPr>
                <w:rFonts w:ascii="Calibri" w:eastAsia="Times New Roman" w:hAnsi="Calibri" w:cs="Calibri"/>
                <w:sz w:val="20"/>
                <w:szCs w:val="20"/>
                <w:lang w:eastAsia="en-AU"/>
              </w:rPr>
              <w:t xml:space="preserve"> Area  (m²)</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4F400" w14:textId="27BDB658"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1,318,890</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1743F" w14:textId="5A832D53"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489,863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58356" w14:textId="30E87684"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424,195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BC23D3" w14:textId="5A8C0313"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268,983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74E97" w14:textId="7BE65C38"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132,452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EB0ED" w14:textId="1DE24D17"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125,040</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6452C" w14:textId="53AAB08E"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54,531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870FD" w14:textId="0FF80AC2"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24,392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3891A" w14:textId="4EA64BD1" w:rsidR="004D21E4" w:rsidRPr="004D21E4"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2,838,345</w:t>
            </w:r>
          </w:p>
        </w:tc>
      </w:tr>
      <w:tr w:rsidR="004D21E4" w:rsidRPr="00260701" w14:paraId="1FF1AE0D"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386BD" w14:textId="7F3C1B3F"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Usable Office Area (m²)</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4C3CB" w14:textId="3FEE41AA"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1,114,323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395B" w14:textId="3259E150"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356,954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4694" w14:textId="3D2589A3"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327,707</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97289" w14:textId="641E084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197,308</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B249" w14:textId="6F318D39"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98,974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35D0F" w14:textId="5B03AB55"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89,178</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5C751" w14:textId="36D0BDD0"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48,623</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C311C" w14:textId="010E978D"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20,293</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F256" w14:textId="27D8BE89"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2,253,361</w:t>
            </w:r>
          </w:p>
        </w:tc>
      </w:tr>
      <w:tr w:rsidR="004D21E4" w:rsidRPr="00260701" w14:paraId="0484AFD2"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647" w14:textId="78B09944"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Work-points (n)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AB531" w14:textId="29F4C66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80,403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609DF" w14:textId="2E6D4633"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26,705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5673C" w14:textId="312ADD02"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23,980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63D9E" w14:textId="546D5E55"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14,846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A18D" w14:textId="02C8BD19"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7,464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07F2E" w14:textId="6A0B0FD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6,455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E332" w14:textId="456CA2CC"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3,709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7ED0D" w14:textId="73AE5335"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1,070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DD72D" w14:textId="01BB1610"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164,632</w:t>
            </w:r>
          </w:p>
        </w:tc>
      </w:tr>
      <w:tr w:rsidR="004D21E4" w:rsidRPr="00260701" w14:paraId="0F593E53"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9AFED" w14:textId="014A1665"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Staff (n)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F107C" w14:textId="1249C51D"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68,122</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82269" w14:textId="331B9849"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22,066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D0D49" w14:textId="44ADFC6C"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21,355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55CD" w14:textId="61B9875C"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12,882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F80BA" w14:textId="258AC33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6,745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A1E96" w14:textId="5770EDCD"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4,551</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4311E" w14:textId="225FA7D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3,150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D1075" w14:textId="4AB7B3AF"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712</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3A10" w14:textId="047517B8"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139,583</w:t>
            </w:r>
          </w:p>
        </w:tc>
      </w:tr>
      <w:tr w:rsidR="004D21E4" w:rsidRPr="00260701" w14:paraId="1487076F"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8A6B4" w14:textId="1B1BAAD7"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Vacant Work-points (n)</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03C34" w14:textId="0F75A80A"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12,281</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277A0" w14:textId="2FBC485F"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4,639</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3FBB6" w14:textId="65313BF3"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2,625</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C2CA5" w14:textId="2CD5D882"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1,964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959E8" w14:textId="22DFB70A"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719</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AFA51" w14:textId="7B7DBCD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1,904</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1B185" w14:textId="21C3805E"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559</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408B7" w14:textId="64206964"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358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F46AD" w14:textId="4A7819F6" w:rsidR="004D21E4" w:rsidRPr="00260701"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260701">
              <w:rPr>
                <w:rFonts w:ascii="Calibri" w:eastAsia="Times New Roman" w:hAnsi="Calibri" w:cs="Calibri"/>
                <w:bCs/>
                <w:sz w:val="20"/>
                <w:szCs w:val="20"/>
                <w:lang w:eastAsia="en-AU"/>
              </w:rPr>
              <w:t>25,049</w:t>
            </w:r>
          </w:p>
        </w:tc>
      </w:tr>
      <w:tr w:rsidR="004D21E4" w:rsidRPr="00260701" w14:paraId="3440A529"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4E3BA" w14:textId="7C88DD23"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Work-point Vacancy Rate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1051A" w14:textId="299881B3"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15.3%</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D8891" w14:textId="5AB47EC7"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17.4%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FF84" w14:textId="59706E76"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10.9%</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32073" w14:textId="494A7A5C"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0D024" w14:textId="4944FEED"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9.6%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DD24A" w14:textId="76F4AC53"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29.5%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9393A" w14:textId="2383F16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15.1%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1F77" w14:textId="17CFC838"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33.5%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4F751" w14:textId="1940C5BE"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15.2%</w:t>
            </w:r>
          </w:p>
        </w:tc>
      </w:tr>
      <w:tr w:rsidR="004D21E4" w:rsidRPr="00260701" w14:paraId="05956126"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CDB5B" w14:textId="64EEC2BE"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Average Fit-out Density (m²)</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F426" w14:textId="36B1E01F"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13.9</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E1139" w14:textId="60EFCAB8"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931F" w14:textId="6A40DD4B"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13.7</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3D6D1" w14:textId="55766807"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DF80" w14:textId="3A81AFF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F0797" w14:textId="1C48148F"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13.8</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20BE" w14:textId="14498187"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13.1</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C00A7" w14:textId="62FAC7C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19.0</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C23D" w14:textId="49CEC574"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13.7</w:t>
            </w:r>
          </w:p>
        </w:tc>
      </w:tr>
      <w:tr w:rsidR="004D21E4" w:rsidRPr="00260701" w14:paraId="24A288A4"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B11E" w14:textId="1C79DAC5"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Average Occupational Density (m²)</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39C39" w14:textId="09CA731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16.4</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D05C2" w14:textId="36ACE8D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16.2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AF27" w14:textId="226CF9D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15.3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6568B" w14:textId="49B87083"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15.3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2D136" w14:textId="43C12429"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14.7</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0DFBC" w14:textId="6395192D"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19.6</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3DDFB" w14:textId="69F3BCD8"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15.4</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9FE2" w14:textId="46A0A11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28.5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5AD6" w14:textId="1B506AB6"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16.1</w:t>
            </w:r>
          </w:p>
        </w:tc>
      </w:tr>
      <w:tr w:rsidR="004D21E4" w:rsidRPr="00260701" w14:paraId="6410E71D"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0C2F3" w14:textId="771A97EA"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Meeting the Occupational Density Target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3AB6C" w14:textId="5242D701"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24.5%</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426D7" w14:textId="693F29E3"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31.6%</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2C4BF" w14:textId="3736D237"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43.3%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2A789" w14:textId="4D2B5F4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28.9%</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E592" w14:textId="13F2CB5C"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33.3%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0F1B9" w14:textId="64705479" w:rsidR="004D21E4" w:rsidRPr="001D69D7"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19.5%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61E52" w14:textId="44658DCF" w:rsidR="004D21E4" w:rsidRPr="001D69D7"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19.0%</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2101" w14:textId="06FE0E9A" w:rsidR="004D21E4" w:rsidRPr="001D69D7"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15.8%</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D0EE3" w14:textId="5B82D999"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29.6%</w:t>
            </w:r>
          </w:p>
        </w:tc>
      </w:tr>
      <w:tr w:rsidR="004D21E4" w:rsidRPr="00260701" w14:paraId="6851B952"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F3CC4" w14:textId="45E2B080" w:rsidR="004D21E4" w:rsidRPr="00260701" w:rsidRDefault="004D21E4">
            <w:pPr>
              <w:suppressAutoHyphens w:val="0"/>
              <w:spacing w:before="0" w:after="0" w:line="240" w:lineRule="auto"/>
              <w:rPr>
                <w:rFonts w:ascii="Calibri" w:eastAsia="Times New Roman" w:hAnsi="Calibri" w:cs="Calibri"/>
                <w:sz w:val="20"/>
                <w:szCs w:val="20"/>
                <w:lang w:eastAsia="en-AU"/>
              </w:rPr>
            </w:pPr>
            <w:r w:rsidRPr="00260701">
              <w:rPr>
                <w:rFonts w:ascii="Calibri" w:eastAsia="Times New Roman" w:hAnsi="Calibri" w:cs="Calibri"/>
                <w:sz w:val="20"/>
                <w:szCs w:val="20"/>
                <w:lang w:eastAsia="en-AU"/>
              </w:rPr>
              <w:t>Net Tenancy Expenditure ($m)</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B275B" w14:textId="579C8EFE"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$609.</w:t>
            </w:r>
            <w:r w:rsidR="0063503D" w:rsidRPr="00BD6183">
              <w:rPr>
                <w:rFonts w:ascii="Calibri" w:eastAsia="Times New Roman" w:hAnsi="Calibri" w:cs="Calibri"/>
                <w:bCs/>
                <w:sz w:val="20"/>
                <w:szCs w:val="20"/>
                <w:lang w:eastAsia="en-AU"/>
              </w:rPr>
              <w:t>2</w:t>
            </w:r>
            <w:r w:rsidRPr="00BD6183">
              <w:rPr>
                <w:rFonts w:ascii="Calibri" w:eastAsia="Times New Roman" w:hAnsi="Calibri" w:cs="Calibri"/>
                <w:bCs/>
                <w:sz w:val="20"/>
                <w:szCs w:val="20"/>
                <w:lang w:eastAsia="en-A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CD83" w14:textId="2C268A3B"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$269.7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5F34F" w14:textId="5D91B8BF"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$185.</w:t>
            </w:r>
            <w:r w:rsidR="0063503D" w:rsidRPr="00BD6183">
              <w:rPr>
                <w:rFonts w:ascii="Calibri" w:eastAsia="Times New Roman" w:hAnsi="Calibri" w:cs="Calibri"/>
                <w:bCs/>
                <w:sz w:val="20"/>
                <w:szCs w:val="20"/>
                <w:lang w:eastAsia="en-AU"/>
              </w:rPr>
              <w:t>7</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3D392" w14:textId="3A6963E2"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$129.3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878E2" w14:textId="7240242F"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w:t>
            </w:r>
            <w:r w:rsidR="003B4643" w:rsidRPr="00BD6183">
              <w:rPr>
                <w:rFonts w:ascii="Calibri" w:eastAsia="Times New Roman" w:hAnsi="Calibri" w:cs="Calibri"/>
                <w:bCs/>
                <w:sz w:val="20"/>
                <w:szCs w:val="20"/>
                <w:lang w:eastAsia="en-AU"/>
              </w:rPr>
              <w:t>5</w:t>
            </w:r>
            <w:r w:rsidR="0063503D" w:rsidRPr="00BD6183">
              <w:rPr>
                <w:rFonts w:ascii="Calibri" w:eastAsia="Times New Roman" w:hAnsi="Calibri" w:cs="Calibri"/>
                <w:bCs/>
                <w:sz w:val="20"/>
                <w:szCs w:val="20"/>
                <w:lang w:eastAsia="en-AU"/>
              </w:rPr>
              <w:t>7</w:t>
            </w:r>
            <w:r w:rsidR="003B4643" w:rsidRPr="00BD6183">
              <w:rPr>
                <w:rFonts w:ascii="Calibri" w:eastAsia="Times New Roman" w:hAnsi="Calibri" w:cs="Calibri"/>
                <w:bCs/>
                <w:sz w:val="20"/>
                <w:szCs w:val="20"/>
                <w:lang w:eastAsia="en-AU"/>
              </w:rPr>
              <w:t>.</w:t>
            </w:r>
            <w:r w:rsidR="0063503D" w:rsidRPr="00BD6183">
              <w:rPr>
                <w:rFonts w:ascii="Calibri" w:eastAsia="Times New Roman" w:hAnsi="Calibri" w:cs="Calibri"/>
                <w:bCs/>
                <w:sz w:val="20"/>
                <w:szCs w:val="20"/>
                <w:lang w:eastAsia="en-AU"/>
              </w:rPr>
              <w:t>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23EDB" w14:textId="21B9246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$53.4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23FB6" w14:textId="56B52FBF"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$19.</w:t>
            </w:r>
            <w:r w:rsidR="0063503D" w:rsidRPr="00BD6183">
              <w:rPr>
                <w:rFonts w:ascii="Calibri" w:eastAsia="Times New Roman" w:hAnsi="Calibri" w:cs="Calibri"/>
                <w:bCs/>
                <w:sz w:val="20"/>
                <w:szCs w:val="20"/>
                <w:lang w:eastAsia="en-AU"/>
              </w:rPr>
              <w:t>2</w:t>
            </w:r>
            <w:r w:rsidRPr="00BD6183">
              <w:rPr>
                <w:rFonts w:ascii="Calibri" w:eastAsia="Times New Roman" w:hAnsi="Calibri" w:cs="Calibri"/>
                <w:bCs/>
                <w:sz w:val="20"/>
                <w:szCs w:val="20"/>
                <w:lang w:eastAsia="en-AU"/>
              </w:rPr>
              <w:t xml:space="preserve"> </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EF06" w14:textId="7FF5870D"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$13.</w:t>
            </w:r>
            <w:r w:rsidR="0063503D" w:rsidRPr="00BD6183">
              <w:rPr>
                <w:rFonts w:ascii="Calibri" w:eastAsia="Times New Roman" w:hAnsi="Calibri" w:cs="Calibri"/>
                <w:bCs/>
                <w:sz w:val="20"/>
                <w:szCs w:val="20"/>
                <w:lang w:eastAsia="en-AU"/>
              </w:rPr>
              <w:t>1</w:t>
            </w:r>
            <w:r w:rsidRPr="00BD6183">
              <w:rPr>
                <w:rFonts w:ascii="Calibri" w:eastAsia="Times New Roman" w:hAnsi="Calibri" w:cs="Calibri"/>
                <w:bCs/>
                <w:sz w:val="20"/>
                <w:szCs w:val="20"/>
                <w:lang w:eastAsia="en-AU"/>
              </w:rPr>
              <w:t xml:space="preserve">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8A514" w14:textId="094B07AB"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$1,336.5 </w:t>
            </w:r>
          </w:p>
        </w:tc>
      </w:tr>
      <w:tr w:rsidR="004D21E4" w:rsidRPr="00260701" w14:paraId="0F923330"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F5C74" w14:textId="78ABD4D6" w:rsidR="004D21E4" w:rsidRPr="00260701" w:rsidRDefault="004A60F2">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Average </w:t>
            </w:r>
            <w:r w:rsidR="004D21E4" w:rsidRPr="00260701">
              <w:rPr>
                <w:rFonts w:ascii="Calibri" w:eastAsia="Times New Roman" w:hAnsi="Calibri" w:cs="Calibri"/>
                <w:sz w:val="20"/>
                <w:szCs w:val="20"/>
                <w:lang w:eastAsia="en-AU"/>
              </w:rPr>
              <w:t>Cost per (m²)</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A8390" w14:textId="1E71EE09"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$46</w:t>
            </w:r>
            <w:r w:rsidR="00464C5C" w:rsidRPr="00BD6183">
              <w:rPr>
                <w:rFonts w:ascii="Calibri" w:eastAsia="Times New Roman" w:hAnsi="Calibri" w:cs="Calibri"/>
                <w:bCs/>
                <w:sz w:val="20"/>
                <w:szCs w:val="20"/>
                <w:lang w:eastAsia="en-AU"/>
              </w:rPr>
              <w:t>2</w:t>
            </w:r>
            <w:r w:rsidRPr="00BD6183">
              <w:rPr>
                <w:rFonts w:ascii="Calibri" w:eastAsia="Times New Roman" w:hAnsi="Calibri" w:cs="Calibri"/>
                <w:bCs/>
                <w:sz w:val="20"/>
                <w:szCs w:val="20"/>
                <w:lang w:eastAsia="en-A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618B5" w14:textId="13C58A9E"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$55</w:t>
            </w:r>
            <w:r w:rsidR="00464C5C" w:rsidRPr="00BD6183">
              <w:rPr>
                <w:rFonts w:ascii="Calibri" w:eastAsia="Times New Roman" w:hAnsi="Calibri" w:cs="Calibri"/>
                <w:bCs/>
                <w:sz w:val="20"/>
                <w:szCs w:val="20"/>
                <w:lang w:eastAsia="en-AU"/>
              </w:rPr>
              <w:t>1</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EB916" w14:textId="1C637D7B"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$43</w:t>
            </w:r>
            <w:r w:rsidR="00464C5C" w:rsidRPr="00BD6183">
              <w:rPr>
                <w:rFonts w:ascii="Calibri" w:eastAsia="Times New Roman" w:hAnsi="Calibri" w:cs="Calibri"/>
                <w:bCs/>
                <w:sz w:val="20"/>
                <w:szCs w:val="20"/>
                <w:lang w:eastAsia="en-AU"/>
              </w:rPr>
              <w:t>8</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F58F5" w14:textId="2FD1A65C"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$48</w:t>
            </w:r>
            <w:r w:rsidR="00464C5C" w:rsidRPr="00BD6183">
              <w:rPr>
                <w:rFonts w:ascii="Calibri" w:eastAsia="Times New Roman" w:hAnsi="Calibri" w:cs="Calibri"/>
                <w:bCs/>
                <w:sz w:val="20"/>
                <w:szCs w:val="20"/>
                <w:lang w:eastAsia="en-AU"/>
              </w:rPr>
              <w:t>1</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49249" w14:textId="18E7E6A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$430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CC7D8" w14:textId="13873B61"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$427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B94B1" w14:textId="45FDB501"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$35</w:t>
            </w:r>
            <w:r w:rsidR="00464C5C" w:rsidRPr="00BD6183">
              <w:rPr>
                <w:rFonts w:ascii="Calibri" w:eastAsia="Times New Roman" w:hAnsi="Calibri" w:cs="Calibri"/>
                <w:bCs/>
                <w:sz w:val="20"/>
                <w:szCs w:val="20"/>
                <w:lang w:eastAsia="en-AU"/>
              </w:rPr>
              <w:t>2</w:t>
            </w:r>
            <w:r w:rsidRPr="00BD6183">
              <w:rPr>
                <w:rFonts w:ascii="Calibri" w:eastAsia="Times New Roman" w:hAnsi="Calibri" w:cs="Calibri"/>
                <w:bCs/>
                <w:sz w:val="20"/>
                <w:szCs w:val="20"/>
                <w:lang w:eastAsia="en-AU"/>
              </w:rPr>
              <w:t xml:space="preserve"> </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4215F" w14:textId="3115CD1E"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$535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0EF89" w14:textId="2C6AC50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$47</w:t>
            </w:r>
            <w:r w:rsidR="00464C5C" w:rsidRPr="00BD6183">
              <w:rPr>
                <w:rFonts w:ascii="Calibri" w:eastAsia="Times New Roman" w:hAnsi="Calibri" w:cs="Calibri"/>
                <w:bCs/>
                <w:sz w:val="20"/>
                <w:szCs w:val="20"/>
                <w:lang w:eastAsia="en-AU"/>
              </w:rPr>
              <w:t>1</w:t>
            </w:r>
            <w:r w:rsidRPr="00BD6183">
              <w:rPr>
                <w:rFonts w:ascii="Calibri" w:eastAsia="Times New Roman" w:hAnsi="Calibri" w:cs="Calibri"/>
                <w:bCs/>
                <w:sz w:val="20"/>
                <w:szCs w:val="20"/>
                <w:lang w:eastAsia="en-AU"/>
              </w:rPr>
              <w:t xml:space="preserve"> </w:t>
            </w:r>
          </w:p>
        </w:tc>
      </w:tr>
      <w:tr w:rsidR="004D21E4" w:rsidRPr="00260701" w14:paraId="51079690"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278CC" w14:textId="33C8D911" w:rsidR="004D21E4" w:rsidRPr="00260701" w:rsidRDefault="004A60F2">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Average </w:t>
            </w:r>
            <w:r w:rsidR="004D21E4" w:rsidRPr="00260701">
              <w:rPr>
                <w:rFonts w:ascii="Calibri" w:eastAsia="Times New Roman" w:hAnsi="Calibri" w:cs="Calibri"/>
                <w:sz w:val="20"/>
                <w:szCs w:val="20"/>
                <w:lang w:eastAsia="en-AU"/>
              </w:rPr>
              <w:t>Cost per staff</w:t>
            </w:r>
            <w:r w:rsidR="004D21E4" w:rsidRPr="00FD1681">
              <w:rPr>
                <w:rFonts w:ascii="Calibri" w:hAnsi="Calibri" w:cs="Calibri"/>
                <w:sz w:val="20"/>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12B70" w14:textId="17146752"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$8,942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C2EF2" w14:textId="04CC71DC"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$12,22</w:t>
            </w:r>
            <w:r w:rsidR="00464C5C" w:rsidRPr="00BD6183">
              <w:rPr>
                <w:rFonts w:ascii="Calibri" w:eastAsia="Times New Roman" w:hAnsi="Calibri" w:cs="Calibri"/>
                <w:bCs/>
                <w:sz w:val="20"/>
                <w:szCs w:val="20"/>
                <w:lang w:eastAsia="en-AU"/>
              </w:rPr>
              <w:t>4</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C9CA" w14:textId="3238B9D3"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$8,69</w:t>
            </w:r>
            <w:r w:rsidR="00464C5C" w:rsidRPr="00BD6183">
              <w:rPr>
                <w:rFonts w:ascii="Calibri" w:eastAsia="Times New Roman" w:hAnsi="Calibri" w:cs="Calibri"/>
                <w:bCs/>
                <w:sz w:val="20"/>
                <w:szCs w:val="20"/>
                <w:lang w:eastAsia="en-AU"/>
              </w:rPr>
              <w:t>5</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715FD" w14:textId="453D904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$10,037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348F4" w14:textId="65D47EE1"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$8,44</w:t>
            </w:r>
            <w:r w:rsidR="00464C5C" w:rsidRPr="00BD6183">
              <w:rPr>
                <w:rFonts w:ascii="Calibri" w:eastAsia="Times New Roman" w:hAnsi="Calibri" w:cs="Calibri"/>
                <w:bCs/>
                <w:sz w:val="20"/>
                <w:szCs w:val="20"/>
                <w:lang w:eastAsia="en-AU"/>
              </w:rPr>
              <w:t>5</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27B68" w14:textId="18C35AE6"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w:t>
            </w:r>
            <w:r w:rsidR="00D36325" w:rsidRPr="00BD6183">
              <w:rPr>
                <w:rFonts w:ascii="Calibri" w:eastAsia="Times New Roman" w:hAnsi="Calibri" w:cs="Calibri"/>
                <w:bCs/>
                <w:sz w:val="20"/>
                <w:szCs w:val="20"/>
                <w:lang w:eastAsia="en-AU"/>
              </w:rPr>
              <w:t>$</w:t>
            </w:r>
            <w:r w:rsidRPr="00BD6183">
              <w:rPr>
                <w:rFonts w:ascii="Calibri" w:eastAsia="Times New Roman" w:hAnsi="Calibri" w:cs="Calibri"/>
                <w:bCs/>
                <w:sz w:val="20"/>
                <w:szCs w:val="20"/>
                <w:lang w:eastAsia="en-AU"/>
              </w:rPr>
              <w:t>11,73</w:t>
            </w:r>
            <w:r w:rsidR="00464C5C" w:rsidRPr="00BD6183">
              <w:rPr>
                <w:rFonts w:ascii="Calibri" w:eastAsia="Times New Roman" w:hAnsi="Calibri" w:cs="Calibri"/>
                <w:bCs/>
                <w:sz w:val="20"/>
                <w:szCs w:val="20"/>
                <w:lang w:eastAsia="en-AU"/>
              </w:rPr>
              <w:t>8</w:t>
            </w:r>
            <w:r w:rsidRPr="00BD6183">
              <w:rPr>
                <w:rFonts w:ascii="Calibri" w:eastAsia="Times New Roman" w:hAnsi="Calibri" w:cs="Calibri"/>
                <w:bCs/>
                <w:sz w:val="20"/>
                <w:szCs w:val="20"/>
                <w:lang w:eastAsia="en-AU"/>
              </w:rPr>
              <w:t xml:space="preserve"> </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4FDB0" w14:textId="4083DFFC"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$6,093 </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50647" w14:textId="1E348AA9"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$18,332</w:t>
            </w:r>
            <w:r w:rsidRPr="00BD6183">
              <w:rPr>
                <w:rFonts w:ascii="Calibri" w:eastAsia="Times New Roman" w:hAnsi="Calibri" w:cs="Calibri"/>
                <w:bCs/>
                <w:sz w:val="20"/>
                <w:szCs w:val="20"/>
                <w:lang w:eastAsia="en-AU"/>
              </w:rPr>
              <w:t xml:space="preserve">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EC927" w14:textId="60B82D24"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$9,57</w:t>
            </w:r>
            <w:r w:rsidR="00464C5C" w:rsidRPr="00BD6183">
              <w:rPr>
                <w:rFonts w:ascii="Calibri" w:eastAsia="Times New Roman" w:hAnsi="Calibri" w:cs="Calibri"/>
                <w:bCs/>
                <w:sz w:val="20"/>
                <w:szCs w:val="20"/>
                <w:lang w:eastAsia="en-AU"/>
              </w:rPr>
              <w:t>5</w:t>
            </w:r>
            <w:r w:rsidRPr="00BD6183">
              <w:rPr>
                <w:rFonts w:ascii="Calibri" w:eastAsia="Times New Roman" w:hAnsi="Calibri" w:cs="Calibri"/>
                <w:bCs/>
                <w:sz w:val="20"/>
                <w:szCs w:val="20"/>
                <w:lang w:eastAsia="en-AU"/>
              </w:rPr>
              <w:t xml:space="preserve"> </w:t>
            </w:r>
          </w:p>
        </w:tc>
      </w:tr>
      <w:tr w:rsidR="004D21E4" w:rsidRPr="00260701" w14:paraId="455E8243" w14:textId="77777777" w:rsidTr="00497387">
        <w:trPr>
          <w:trHeight w:val="300"/>
        </w:trPr>
        <w:tc>
          <w:tcPr>
            <w:tcW w:w="13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7F166" w14:textId="4B9F4CE7" w:rsidR="004D21E4" w:rsidRPr="00260701" w:rsidRDefault="004A60F2">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Average </w:t>
            </w:r>
            <w:r w:rsidR="004D21E4" w:rsidRPr="00260701">
              <w:rPr>
                <w:rFonts w:ascii="Calibri" w:eastAsia="Times New Roman" w:hAnsi="Calibri" w:cs="Calibri"/>
                <w:sz w:val="20"/>
                <w:szCs w:val="20"/>
                <w:lang w:eastAsia="en-AU"/>
              </w:rPr>
              <w:t>Cost per Work-point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9CCA" w14:textId="14A89D51"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$7,57</w:t>
            </w:r>
            <w:r w:rsidR="00464C5C" w:rsidRPr="00BD6183">
              <w:rPr>
                <w:rFonts w:ascii="Calibri" w:eastAsia="Times New Roman" w:hAnsi="Calibri" w:cs="Calibri"/>
                <w:bCs/>
                <w:sz w:val="20"/>
                <w:szCs w:val="20"/>
                <w:lang w:eastAsia="en-AU"/>
              </w:rPr>
              <w:t>7</w:t>
            </w:r>
            <w:r w:rsidRPr="00BD6183">
              <w:rPr>
                <w:rFonts w:ascii="Calibri" w:eastAsia="Times New Roman" w:hAnsi="Calibri" w:cs="Calibri"/>
                <w:bCs/>
                <w:sz w:val="20"/>
                <w:szCs w:val="20"/>
                <w:lang w:eastAsia="en-AU"/>
              </w:rPr>
              <w:t xml:space="preserve"> </w:t>
            </w:r>
          </w:p>
        </w:tc>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FB6D7" w14:textId="23A7DABC"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1D69D7">
              <w:rPr>
                <w:rFonts w:ascii="Calibri" w:eastAsia="Times New Roman" w:hAnsi="Calibri" w:cs="Calibri"/>
                <w:bCs/>
                <w:sz w:val="20"/>
                <w:szCs w:val="20"/>
                <w:lang w:eastAsia="en-AU"/>
              </w:rPr>
              <w:t>$10,100</w:t>
            </w:r>
            <w:r w:rsidRPr="00BD6183">
              <w:rPr>
                <w:rFonts w:ascii="Calibri" w:eastAsia="Times New Roman" w:hAnsi="Calibri" w:cs="Calibri"/>
                <w:bCs/>
                <w:sz w:val="20"/>
                <w:szCs w:val="20"/>
                <w:lang w:eastAsia="en-AU"/>
              </w:rPr>
              <w:t xml:space="preserve">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3E8E" w14:textId="797F1B83"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$7,743</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AAF5D" w14:textId="1C4F59CB"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$8,709</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848F" w14:textId="2B34751F"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$7,631 </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852DE" w14:textId="167DFED4"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 xml:space="preserve"> $8,275</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FDE3A" w14:textId="7AA5D950"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$5,17</w:t>
            </w:r>
            <w:r w:rsidR="00464C5C" w:rsidRPr="00BD6183">
              <w:rPr>
                <w:rFonts w:ascii="Calibri" w:eastAsia="Times New Roman" w:hAnsi="Calibri" w:cs="Calibri"/>
                <w:bCs/>
                <w:sz w:val="20"/>
                <w:szCs w:val="20"/>
                <w:lang w:eastAsia="en-AU"/>
              </w:rPr>
              <w:t>5</w:t>
            </w:r>
            <w:r w:rsidRPr="00BD6183">
              <w:rPr>
                <w:rFonts w:ascii="Calibri" w:eastAsia="Times New Roman" w:hAnsi="Calibri" w:cs="Calibri"/>
                <w:bCs/>
                <w:sz w:val="20"/>
                <w:szCs w:val="20"/>
                <w:lang w:eastAsia="en-AU"/>
              </w:rPr>
              <w:t xml:space="preserve"> </w:t>
            </w:r>
          </w:p>
        </w:tc>
        <w:tc>
          <w:tcPr>
            <w:tcW w:w="3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06CD" w14:textId="478ECB25"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$12,19</w:t>
            </w:r>
            <w:r w:rsidR="00464C5C" w:rsidRPr="00BD6183">
              <w:rPr>
                <w:rFonts w:ascii="Calibri" w:eastAsia="Times New Roman" w:hAnsi="Calibri" w:cs="Calibri"/>
                <w:bCs/>
                <w:sz w:val="20"/>
                <w:szCs w:val="20"/>
                <w:lang w:eastAsia="en-AU"/>
              </w:rPr>
              <w:t>9</w:t>
            </w:r>
            <w:r w:rsidRPr="00BD6183">
              <w:rPr>
                <w:rFonts w:ascii="Calibri" w:eastAsia="Times New Roman" w:hAnsi="Calibri" w:cs="Calibri"/>
                <w:bCs/>
                <w:sz w:val="20"/>
                <w:szCs w:val="20"/>
                <w:lang w:eastAsia="en-AU"/>
              </w:rPr>
              <w:t xml:space="preserve"> </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AB500" w14:textId="4C1438A9" w:rsidR="004D21E4" w:rsidRPr="00BD6183" w:rsidRDefault="004D21E4" w:rsidP="00497387">
            <w:pPr>
              <w:suppressAutoHyphens w:val="0"/>
              <w:spacing w:before="0" w:after="0" w:line="240" w:lineRule="auto"/>
              <w:jc w:val="right"/>
              <w:rPr>
                <w:rFonts w:ascii="Calibri" w:eastAsia="Times New Roman" w:hAnsi="Calibri" w:cs="Calibri"/>
                <w:bCs/>
                <w:sz w:val="20"/>
                <w:szCs w:val="20"/>
                <w:lang w:eastAsia="en-AU"/>
              </w:rPr>
            </w:pPr>
            <w:r w:rsidRPr="00BD6183">
              <w:rPr>
                <w:rFonts w:ascii="Calibri" w:eastAsia="Times New Roman" w:hAnsi="Calibri" w:cs="Calibri"/>
                <w:bCs/>
                <w:sz w:val="20"/>
                <w:szCs w:val="20"/>
                <w:lang w:eastAsia="en-AU"/>
              </w:rPr>
              <w:t>$8,118</w:t>
            </w:r>
          </w:p>
        </w:tc>
      </w:tr>
    </w:tbl>
    <w:p w14:paraId="15B99F55" w14:textId="3723D1A2" w:rsidR="0048008F" w:rsidRDefault="0048008F" w:rsidP="00DE1E06"/>
    <w:p w14:paraId="73AB722B" w14:textId="77777777" w:rsidR="00AA347E" w:rsidRDefault="00AA347E" w:rsidP="00DE1E06">
      <w:pPr>
        <w:sectPr w:rsidR="00AA347E" w:rsidSect="00F54444">
          <w:pgSz w:w="16838" w:h="11906" w:orient="landscape" w:code="9"/>
          <w:pgMar w:top="1418" w:right="1418" w:bottom="1418" w:left="1418" w:header="510" w:footer="624" w:gutter="0"/>
          <w:cols w:space="708"/>
          <w:docGrid w:linePitch="360"/>
        </w:sectPr>
      </w:pPr>
    </w:p>
    <w:p w14:paraId="19889184" w14:textId="16777787" w:rsidR="00D64471" w:rsidRPr="00B05E1C" w:rsidRDefault="009148D4" w:rsidP="00D64471">
      <w:r>
        <w:t xml:space="preserve">There are 568 tenancies across Australia. </w:t>
      </w:r>
      <w:r w:rsidR="00F354C6">
        <w:t xml:space="preserve">The </w:t>
      </w:r>
      <w:r w:rsidR="00C9543A">
        <w:t>Australian Capital Territory</w:t>
      </w:r>
      <w:r w:rsidR="00F354C6">
        <w:t xml:space="preserve"> has </w:t>
      </w:r>
      <w:r w:rsidR="00D64471" w:rsidRPr="00B05E1C">
        <w:t>27 per cent of Commonwealth tenancies, followed by New South Wales (21</w:t>
      </w:r>
      <w:r w:rsidR="00F354C6">
        <w:t> </w:t>
      </w:r>
      <w:r w:rsidR="00D64471" w:rsidRPr="00B05E1C">
        <w:t xml:space="preserve">per cent), Victoria (17 per cent) and Queensland (13 per cent). </w:t>
      </w:r>
      <w:r w:rsidR="00086E5B">
        <w:t>T</w:t>
      </w:r>
      <w:r w:rsidR="00C9543A">
        <w:t>he Australian Capital Territory</w:t>
      </w:r>
      <w:r w:rsidR="00C9543A" w:rsidRPr="00B05E1C">
        <w:t xml:space="preserve"> </w:t>
      </w:r>
      <w:r w:rsidR="00D64471" w:rsidRPr="00B05E1C">
        <w:t>h</w:t>
      </w:r>
      <w:r>
        <w:t>as</w:t>
      </w:r>
      <w:r w:rsidR="00D64471" w:rsidRPr="00B05E1C">
        <w:t xml:space="preserve"> </w:t>
      </w:r>
      <w:r w:rsidR="00086E5B">
        <w:t>47 per cent of total controlled area</w:t>
      </w:r>
      <w:r w:rsidR="00D64471" w:rsidRPr="00B05E1C">
        <w:t xml:space="preserve">, and </w:t>
      </w:r>
      <w:r w:rsidR="00086E5B">
        <w:t>49 per cent</w:t>
      </w:r>
      <w:r w:rsidR="00D64471" w:rsidRPr="00B05E1C">
        <w:t xml:space="preserve"> </w:t>
      </w:r>
      <w:r w:rsidR="00086E5B">
        <w:t>of</w:t>
      </w:r>
      <w:r w:rsidR="00086E5B" w:rsidRPr="00B05E1C">
        <w:t xml:space="preserve"> </w:t>
      </w:r>
      <w:r w:rsidR="00086E5B">
        <w:t xml:space="preserve">total </w:t>
      </w:r>
      <w:r w:rsidR="00D64471" w:rsidRPr="00B05E1C">
        <w:t>staff and work</w:t>
      </w:r>
      <w:r w:rsidR="00D64471" w:rsidRPr="00B05E1C">
        <w:noBreakHyphen/>
        <w:t>points.</w:t>
      </w:r>
    </w:p>
    <w:p w14:paraId="274333BF" w14:textId="544D5F97" w:rsidR="00D64471" w:rsidRPr="00B05E1C" w:rsidRDefault="00D64471" w:rsidP="00D64471">
      <w:r w:rsidRPr="00B05E1C">
        <w:t xml:space="preserve">The </w:t>
      </w:r>
      <w:r w:rsidR="00C9543A">
        <w:t>Australian Capital Territory</w:t>
      </w:r>
      <w:r w:rsidR="00C9543A" w:rsidRPr="00B05E1C" w:rsidDel="00C9543A">
        <w:t xml:space="preserve"> </w:t>
      </w:r>
      <w:r w:rsidRPr="00B05E1C">
        <w:t xml:space="preserve">also </w:t>
      </w:r>
      <w:r w:rsidRPr="008D64DE">
        <w:t>has an above average number of</w:t>
      </w:r>
      <w:r w:rsidRPr="00B05E1C">
        <w:t xml:space="preserve"> tenancies with longer leases (that are due to expire between 10</w:t>
      </w:r>
      <w:r w:rsidR="00CC67D6">
        <w:t xml:space="preserve"> and </w:t>
      </w:r>
      <w:r w:rsidRPr="00B05E1C">
        <w:t xml:space="preserve">20 years) </w:t>
      </w:r>
      <w:r>
        <w:t xml:space="preserve">with 20 </w:t>
      </w:r>
      <w:r w:rsidRPr="00B05E1C">
        <w:t>tenancies in this</w:t>
      </w:r>
      <w:r>
        <w:t xml:space="preserve"> category, compared to 14 </w:t>
      </w:r>
      <w:r w:rsidR="00D158D7">
        <w:t>tenancies in the same</w:t>
      </w:r>
      <w:r w:rsidRPr="00B05E1C">
        <w:t xml:space="preserve"> category across the rest of Australia. This year’s data shows that tenancies with longer leases are less likely to meet the occupational density target (refer to section 4.1 for further detail).</w:t>
      </w:r>
    </w:p>
    <w:p w14:paraId="5824E21A" w14:textId="6F6965C1" w:rsidR="00D64471" w:rsidRDefault="00F354C6" w:rsidP="00D64471">
      <w:r>
        <w:t xml:space="preserve">In the </w:t>
      </w:r>
      <w:r w:rsidR="00C9543A">
        <w:t>Australian Capital Territory</w:t>
      </w:r>
      <w:r>
        <w:t xml:space="preserve">, </w:t>
      </w:r>
      <w:r w:rsidR="00D64471" w:rsidRPr="00B05E1C">
        <w:t>24.5 per cent of tenancies meet the Government’s occupational density target</w:t>
      </w:r>
      <w:r w:rsidR="00CA0C72">
        <w:t xml:space="preserve"> (up slightly from 23.1</w:t>
      </w:r>
      <w:r w:rsidR="00A046BC">
        <w:t> per cent</w:t>
      </w:r>
      <w:r w:rsidR="00CA0C72">
        <w:t xml:space="preserve"> in 2018)</w:t>
      </w:r>
      <w:r w:rsidR="00D64471" w:rsidRPr="00B05E1C">
        <w:t>.</w:t>
      </w:r>
      <w:r w:rsidR="00D64471" w:rsidRPr="003770CB">
        <w:t xml:space="preserve"> The three states</w:t>
      </w:r>
      <w:r w:rsidR="00D64471">
        <w:t>/territories</w:t>
      </w:r>
      <w:r w:rsidR="00D64471" w:rsidRPr="003770CB">
        <w:t xml:space="preserve"> with</w:t>
      </w:r>
      <w:r w:rsidR="00D64471">
        <w:t xml:space="preserve"> a</w:t>
      </w:r>
      <w:r w:rsidR="00D64471" w:rsidRPr="003770CB">
        <w:t xml:space="preserve"> lower percentage of </w:t>
      </w:r>
      <w:r w:rsidR="00D64471">
        <w:t xml:space="preserve">tenancies </w:t>
      </w:r>
      <w:r w:rsidR="00D64471" w:rsidRPr="003770CB">
        <w:t>meeting the occupational density target</w:t>
      </w:r>
      <w:r w:rsidR="00D64471">
        <w:t xml:space="preserve"> are Northern Territory (15.8 per cent), Tasmania (19.0 per cent) and Western Australia (19.5 per cent). The four states with a higher percentage of tenancies meeting the occupation</w:t>
      </w:r>
      <w:r w:rsidR="001812DD">
        <w:t>al</w:t>
      </w:r>
      <w:r w:rsidR="00D64471">
        <w:t xml:space="preserve"> density target are Victoria (43.3 per cent), South Australia (33.3 per cent), New South Wales (31.6 percent) and Queensland (28.9 per cent).</w:t>
      </w:r>
    </w:p>
    <w:p w14:paraId="0283A70C" w14:textId="705F5850" w:rsidR="002459B9" w:rsidRDefault="00D64471" w:rsidP="00D64471">
      <w:r w:rsidRPr="00B05E1C">
        <w:t xml:space="preserve">The </w:t>
      </w:r>
      <w:r w:rsidR="00C9543A">
        <w:t>a</w:t>
      </w:r>
      <w:r w:rsidRPr="00B05E1C">
        <w:t xml:space="preserve">verage </w:t>
      </w:r>
      <w:r w:rsidR="00C9543A">
        <w:t>o</w:t>
      </w:r>
      <w:r w:rsidRPr="00B05E1C">
        <w:t xml:space="preserve">ccupational </w:t>
      </w:r>
      <w:r w:rsidR="00C9543A">
        <w:t>d</w:t>
      </w:r>
      <w:r w:rsidRPr="00B05E1C">
        <w:t xml:space="preserve">ensity of </w:t>
      </w:r>
      <w:r w:rsidR="00B846F8">
        <w:t xml:space="preserve">tenancies in </w:t>
      </w:r>
      <w:r w:rsidRPr="00B05E1C">
        <w:t xml:space="preserve">the </w:t>
      </w:r>
      <w:r w:rsidR="00C9543A">
        <w:t>Australian Capital Territory</w:t>
      </w:r>
      <w:r w:rsidRPr="00B05E1C">
        <w:t xml:space="preserve"> (16.4</w:t>
      </w:r>
      <w:r w:rsidR="00EE5D8E">
        <w:t> m</w:t>
      </w:r>
      <w:r w:rsidR="00EE5D8E" w:rsidRPr="00FC1A7E">
        <w:rPr>
          <w:vertAlign w:val="superscript"/>
        </w:rPr>
        <w:t>2</w:t>
      </w:r>
      <w:r w:rsidRPr="00B05E1C">
        <w:t>) is higher than New South Wales (16.2</w:t>
      </w:r>
      <w:r w:rsidR="00EE5D8E" w:rsidRPr="00EE5D8E">
        <w:rPr>
          <w:rFonts w:asciiTheme="majorHAnsi" w:eastAsia="Times New Roman" w:hAnsiTheme="majorHAnsi" w:cstheme="majorHAnsi"/>
          <w:lang w:eastAsia="en-AU"/>
        </w:rPr>
        <w:t xml:space="preserve"> </w:t>
      </w:r>
      <w:r w:rsidR="00EE5D8E">
        <w:t>m</w:t>
      </w:r>
      <w:r w:rsidR="00EE5D8E" w:rsidRPr="00FC1A7E">
        <w:rPr>
          <w:vertAlign w:val="superscript"/>
        </w:rPr>
        <w:t>2</w:t>
      </w:r>
      <w:r w:rsidRPr="00B05E1C">
        <w:t>), Victoria (15.3</w:t>
      </w:r>
      <w:r w:rsidR="00EE5D8E" w:rsidRPr="00EE5D8E">
        <w:rPr>
          <w:rFonts w:eastAsia="Times New Roman" w:cstheme="minorHAnsi"/>
          <w:lang w:eastAsia="en-AU"/>
        </w:rPr>
        <w:t xml:space="preserve"> </w:t>
      </w:r>
      <w:r w:rsidR="00EE5D8E">
        <w:t>m</w:t>
      </w:r>
      <w:r w:rsidR="00EE5D8E" w:rsidRPr="00FC1A7E">
        <w:rPr>
          <w:vertAlign w:val="superscript"/>
        </w:rPr>
        <w:t>2</w:t>
      </w:r>
      <w:r w:rsidRPr="00B05E1C">
        <w:t>), Queensland (15.3</w:t>
      </w:r>
      <w:r w:rsidR="00EE5D8E">
        <w:t> m</w:t>
      </w:r>
      <w:r w:rsidR="00EE5D8E" w:rsidRPr="00FC1A7E">
        <w:rPr>
          <w:vertAlign w:val="superscript"/>
        </w:rPr>
        <w:t>2</w:t>
      </w:r>
      <w:r w:rsidRPr="00B05E1C">
        <w:t>), South Australia (14.7</w:t>
      </w:r>
      <w:r w:rsidR="00EE5D8E">
        <w:t> m</w:t>
      </w:r>
      <w:r w:rsidR="00EE5D8E" w:rsidRPr="00FC1A7E">
        <w:rPr>
          <w:vertAlign w:val="superscript"/>
        </w:rPr>
        <w:t>2</w:t>
      </w:r>
      <w:r w:rsidRPr="00B05E1C">
        <w:t xml:space="preserve">) and </w:t>
      </w:r>
      <w:r>
        <w:t>Tasmania (15.4</w:t>
      </w:r>
      <w:r w:rsidR="00EE5D8E">
        <w:t> m</w:t>
      </w:r>
      <w:r w:rsidR="00EE5D8E" w:rsidRPr="00FC1A7E">
        <w:rPr>
          <w:vertAlign w:val="superscript"/>
        </w:rPr>
        <w:t>2</w:t>
      </w:r>
      <w:r>
        <w:t>).</w:t>
      </w:r>
      <w:r w:rsidR="00275C8B">
        <w:t xml:space="preserve">There are </w:t>
      </w:r>
      <w:r>
        <w:t xml:space="preserve">34 tenancies in the </w:t>
      </w:r>
      <w:r w:rsidR="00C9543A">
        <w:t>Australian Capital Territory</w:t>
      </w:r>
      <w:r>
        <w:t xml:space="preserve"> (22 </w:t>
      </w:r>
      <w:r w:rsidRPr="00B05E1C">
        <w:t xml:space="preserve">per cent of total tenancies in the </w:t>
      </w:r>
      <w:r w:rsidR="00C9543A">
        <w:t>Territory</w:t>
      </w:r>
      <w:r w:rsidRPr="00B05E1C">
        <w:t xml:space="preserve">) </w:t>
      </w:r>
      <w:r w:rsidR="00275C8B">
        <w:t xml:space="preserve">that </w:t>
      </w:r>
      <w:r w:rsidRPr="00B05E1C">
        <w:t>have an occupational density between 14</w:t>
      </w:r>
      <w:r w:rsidR="006D5C78">
        <w:t xml:space="preserve"> </w:t>
      </w:r>
      <w:r w:rsidR="001F16C4">
        <w:t>m</w:t>
      </w:r>
      <w:r w:rsidR="001F16C4" w:rsidRPr="00B1226A">
        <w:rPr>
          <w:vertAlign w:val="superscript"/>
        </w:rPr>
        <w:t>2</w:t>
      </w:r>
      <w:r w:rsidRPr="00B05E1C">
        <w:rPr>
          <w:vertAlign w:val="superscript"/>
        </w:rPr>
        <w:t xml:space="preserve"> </w:t>
      </w:r>
      <w:r w:rsidRPr="00B05E1C">
        <w:t>and 16</w:t>
      </w:r>
      <w:r w:rsidR="006D5C78">
        <w:t xml:space="preserve"> </w:t>
      </w:r>
      <w:r w:rsidR="00C21B57">
        <w:t>m</w:t>
      </w:r>
      <w:r w:rsidR="00C21B57" w:rsidRPr="00FC1A7E">
        <w:rPr>
          <w:vertAlign w:val="superscript"/>
        </w:rPr>
        <w:t>2</w:t>
      </w:r>
      <w:r w:rsidRPr="00B05E1C">
        <w:t xml:space="preserve">. This is likely to </w:t>
      </w:r>
      <w:r w:rsidR="005A1E43">
        <w:t>improve</w:t>
      </w:r>
      <w:r w:rsidR="005A1E43" w:rsidRPr="00B05E1C">
        <w:t xml:space="preserve"> </w:t>
      </w:r>
      <w:r w:rsidRPr="00B05E1C">
        <w:t>as longer leases expire and are replace</w:t>
      </w:r>
      <w:r>
        <w:t>d with more efficient tenancies</w:t>
      </w:r>
      <w:r w:rsidR="002459B9">
        <w:t>.</w:t>
      </w:r>
    </w:p>
    <w:p w14:paraId="161B30BB" w14:textId="30FF6486" w:rsidR="002459B9" w:rsidRDefault="002459B9" w:rsidP="002459B9">
      <w:r>
        <w:t xml:space="preserve">The cost per square </w:t>
      </w:r>
      <w:r w:rsidR="003A59E5">
        <w:t>metre</w:t>
      </w:r>
      <w:r w:rsidR="000A2A2A">
        <w:t xml:space="preserve"> is the lowest in Tasmania (</w:t>
      </w:r>
      <w:r>
        <w:t>$35</w:t>
      </w:r>
      <w:r w:rsidR="00464C5C">
        <w:t>2</w:t>
      </w:r>
      <w:r w:rsidR="00914301">
        <w:t xml:space="preserve"> per m</w:t>
      </w:r>
      <w:r w:rsidR="00914301" w:rsidRPr="00FC1A7E">
        <w:rPr>
          <w:vertAlign w:val="superscript"/>
        </w:rPr>
        <w:t>2</w:t>
      </w:r>
      <w:r w:rsidR="001D111D">
        <w:t>)</w:t>
      </w:r>
      <w:r>
        <w:t xml:space="preserve"> followed by Western Australia ($427</w:t>
      </w:r>
      <w:r w:rsidR="00914301">
        <w:t> per m</w:t>
      </w:r>
      <w:r w:rsidR="00914301" w:rsidRPr="00FC1A7E">
        <w:rPr>
          <w:vertAlign w:val="superscript"/>
        </w:rPr>
        <w:t>2</w:t>
      </w:r>
      <w:r>
        <w:t>), South Australia ($430</w:t>
      </w:r>
      <w:r w:rsidR="00914301">
        <w:t xml:space="preserve"> per m</w:t>
      </w:r>
      <w:r w:rsidR="00914301" w:rsidRPr="00FC1A7E">
        <w:rPr>
          <w:vertAlign w:val="superscript"/>
        </w:rPr>
        <w:t>2</w:t>
      </w:r>
      <w:r>
        <w:t>), Victoria ($43</w:t>
      </w:r>
      <w:r w:rsidR="00464C5C">
        <w:t>8</w:t>
      </w:r>
      <w:r w:rsidR="00914301">
        <w:t> per m</w:t>
      </w:r>
      <w:r w:rsidR="00914301" w:rsidRPr="00FC1A7E">
        <w:rPr>
          <w:vertAlign w:val="superscript"/>
        </w:rPr>
        <w:t>2</w:t>
      </w:r>
      <w:r>
        <w:t xml:space="preserve">), </w:t>
      </w:r>
      <w:r w:rsidR="00C9543A">
        <w:t>Australian Capital Territory</w:t>
      </w:r>
      <w:r>
        <w:t xml:space="preserve"> ($46</w:t>
      </w:r>
      <w:r w:rsidR="00464C5C">
        <w:t>2</w:t>
      </w:r>
      <w:r w:rsidR="00914301">
        <w:t> per m</w:t>
      </w:r>
      <w:r w:rsidR="00914301" w:rsidRPr="00FC1A7E">
        <w:rPr>
          <w:vertAlign w:val="superscript"/>
        </w:rPr>
        <w:t>2</w:t>
      </w:r>
      <w:r>
        <w:t>), Queensland ($48</w:t>
      </w:r>
      <w:r w:rsidR="00464C5C">
        <w:t>1</w:t>
      </w:r>
      <w:r w:rsidR="00914301">
        <w:t> per m</w:t>
      </w:r>
      <w:r w:rsidR="00914301" w:rsidRPr="00FC1A7E">
        <w:rPr>
          <w:vertAlign w:val="superscript"/>
        </w:rPr>
        <w:t>2</w:t>
      </w:r>
      <w:r>
        <w:t>), Northern Territory ($535</w:t>
      </w:r>
      <w:r w:rsidR="00914301">
        <w:t xml:space="preserve"> per m</w:t>
      </w:r>
      <w:r w:rsidR="00914301" w:rsidRPr="00FC1A7E">
        <w:rPr>
          <w:vertAlign w:val="superscript"/>
        </w:rPr>
        <w:t>2</w:t>
      </w:r>
      <w:r>
        <w:t>) and New South Wales ($55</w:t>
      </w:r>
      <w:r w:rsidR="00464C5C">
        <w:t>1</w:t>
      </w:r>
      <w:r w:rsidR="00914301">
        <w:t> per m</w:t>
      </w:r>
      <w:r w:rsidR="00914301" w:rsidRPr="00FC1A7E">
        <w:rPr>
          <w:vertAlign w:val="superscript"/>
        </w:rPr>
        <w:t>2</w:t>
      </w:r>
      <w:r>
        <w:t>).</w:t>
      </w:r>
    </w:p>
    <w:p w14:paraId="2C292E5B" w14:textId="4A26B941" w:rsidR="002459B9" w:rsidRDefault="002459B9" w:rsidP="002459B9">
      <w:r>
        <w:t>The cost per staff is</w:t>
      </w:r>
      <w:r w:rsidR="001D111D">
        <w:t xml:space="preserve"> also lowest in Tasmania (</w:t>
      </w:r>
      <w:r>
        <w:t>$6,093</w:t>
      </w:r>
      <w:r w:rsidR="001D111D">
        <w:t>)</w:t>
      </w:r>
      <w:r>
        <w:t xml:space="preserve"> followed by South Australia ($8,44</w:t>
      </w:r>
      <w:r w:rsidR="00464C5C">
        <w:t>5</w:t>
      </w:r>
      <w:r>
        <w:t>), Victoria ($8,69</w:t>
      </w:r>
      <w:r w:rsidR="00464C5C">
        <w:t>5</w:t>
      </w:r>
      <w:r>
        <w:t>),</w:t>
      </w:r>
      <w:r w:rsidR="009B0BDB">
        <w:t xml:space="preserve"> </w:t>
      </w:r>
      <w:r w:rsidRPr="009B0BDB">
        <w:t>Australian Capital Territory ($8,942), Queensland ($10,037), Western Australia ($11,73</w:t>
      </w:r>
      <w:r w:rsidR="00464C5C">
        <w:t>8</w:t>
      </w:r>
      <w:r w:rsidRPr="009B0BDB">
        <w:t>), New South Wales ($12,22</w:t>
      </w:r>
      <w:r w:rsidR="00464C5C">
        <w:t>4</w:t>
      </w:r>
      <w:r w:rsidRPr="009B0BDB">
        <w:t>) and Northern Territory ($18,332).</w:t>
      </w:r>
    </w:p>
    <w:p w14:paraId="42E42A48" w14:textId="14509AA9" w:rsidR="002459B9" w:rsidRDefault="002459B9" w:rsidP="002459B9">
      <w:r>
        <w:t xml:space="preserve">The </w:t>
      </w:r>
      <w:r w:rsidR="00C441CE">
        <w:t>c</w:t>
      </w:r>
      <w:r>
        <w:t xml:space="preserve">ost per work-point is </w:t>
      </w:r>
      <w:r w:rsidR="00F67814">
        <w:t>lowest</w:t>
      </w:r>
      <w:r>
        <w:t xml:space="preserve"> in Tasmania ($5,17</w:t>
      </w:r>
      <w:r w:rsidR="00464C5C">
        <w:t>5</w:t>
      </w:r>
      <w:r w:rsidR="00914301">
        <w:t> per work-point</w:t>
      </w:r>
      <w:r>
        <w:t>) when compared to the rest of Australia. The Australian Capital Territory, South Australia, Victoria, Western Australia and Queensland range between $7,57</w:t>
      </w:r>
      <w:r w:rsidR="00464C5C">
        <w:t>7</w:t>
      </w:r>
      <w:r>
        <w:t xml:space="preserve"> and $8,709</w:t>
      </w:r>
      <w:r w:rsidR="00914301">
        <w:t xml:space="preserve"> per work-point</w:t>
      </w:r>
      <w:r>
        <w:t xml:space="preserve">. </w:t>
      </w:r>
      <w:r w:rsidR="00F67814">
        <w:t xml:space="preserve">The cost per work-point in </w:t>
      </w:r>
      <w:r>
        <w:t>New South Wales and Northern Territory are $10,100 and $12,19</w:t>
      </w:r>
      <w:r w:rsidR="00464C5C">
        <w:t>9</w:t>
      </w:r>
      <w:r>
        <w:t xml:space="preserve"> respectively.</w:t>
      </w:r>
    </w:p>
    <w:p w14:paraId="58D9A8CC" w14:textId="64C1BC30" w:rsidR="00D36325" w:rsidRDefault="00D36325" w:rsidP="002459B9"/>
    <w:p w14:paraId="775D6F07" w14:textId="78A0ECBD" w:rsidR="00D36325" w:rsidRDefault="00D36325" w:rsidP="002459B9"/>
    <w:p w14:paraId="1234A6B3" w14:textId="77777777" w:rsidR="005F1BEA" w:rsidRDefault="005F1BEA">
      <w:pPr>
        <w:suppressAutoHyphens w:val="0"/>
        <w:spacing w:before="0" w:after="120" w:line="440" w:lineRule="atLeast"/>
        <w:rPr>
          <w:b/>
          <w:iCs/>
          <w:color w:val="000000" w:themeColor="text1"/>
          <w:szCs w:val="18"/>
        </w:rPr>
      </w:pPr>
      <w:r>
        <w:rPr>
          <w:b/>
          <w:iCs/>
          <w:color w:val="000000" w:themeColor="text1"/>
          <w:szCs w:val="18"/>
        </w:rPr>
        <w:br w:type="page"/>
      </w:r>
    </w:p>
    <w:p w14:paraId="01F68DC9" w14:textId="77777777" w:rsidR="00674807" w:rsidRDefault="00674807" w:rsidP="00D64471">
      <w:pPr>
        <w:sectPr w:rsidR="00674807" w:rsidSect="0048008F">
          <w:pgSz w:w="11906" w:h="16838" w:code="9"/>
          <w:pgMar w:top="1418" w:right="1418" w:bottom="1418" w:left="1418" w:header="510" w:footer="624" w:gutter="0"/>
          <w:cols w:space="708"/>
          <w:docGrid w:linePitch="360"/>
        </w:sectPr>
      </w:pPr>
    </w:p>
    <w:p w14:paraId="09DCDEBE" w14:textId="40F3CF51" w:rsidR="00B62DE0" w:rsidRPr="00B62DE0" w:rsidRDefault="00092516" w:rsidP="00B62DE0">
      <w:pPr>
        <w:rPr>
          <w:b/>
          <w:noProof/>
          <w:lang w:eastAsia="en-AU"/>
        </w:rPr>
      </w:pPr>
      <w:r>
        <w:rPr>
          <w:b/>
          <w:noProof/>
          <w:lang w:eastAsia="en-AU"/>
        </w:rPr>
        <w:t xml:space="preserve">Figure 1: </w:t>
      </w:r>
      <w:r w:rsidR="00B62DE0" w:rsidRPr="00B62DE0">
        <w:rPr>
          <w:b/>
          <w:noProof/>
          <w:lang w:eastAsia="en-AU"/>
        </w:rPr>
        <w:t>Location and number of tenancies</w:t>
      </w:r>
    </w:p>
    <w:p w14:paraId="0252FF12" w14:textId="76EBB3CF" w:rsidR="00AE7BA5" w:rsidRDefault="004841C2" w:rsidP="008176DD">
      <w:pPr>
        <w:jc w:val="center"/>
        <w:rPr>
          <w:highlight w:val="yellow"/>
        </w:rPr>
      </w:pPr>
      <w:r>
        <w:rPr>
          <w:noProof/>
          <w:lang w:eastAsia="en-AU"/>
        </w:rPr>
        <w:drawing>
          <wp:inline distT="0" distB="0" distL="0" distR="0" wp14:anchorId="3429E41E" wp14:editId="0566FAFE">
            <wp:extent cx="5758815" cy="5638800"/>
            <wp:effectExtent l="0" t="0" r="0" b="0"/>
            <wp:docPr id="3" name="Picture 3" descr="cid:image001.png@01D62AD7.74C0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62AD7.74C01950"/>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t="4593" b="5409"/>
                    <a:stretch/>
                  </pic:blipFill>
                  <pic:spPr bwMode="auto">
                    <a:xfrm>
                      <a:off x="0" y="0"/>
                      <a:ext cx="5759450" cy="5639422"/>
                    </a:xfrm>
                    <a:prstGeom prst="rect">
                      <a:avLst/>
                    </a:prstGeom>
                    <a:noFill/>
                    <a:ln>
                      <a:noFill/>
                    </a:ln>
                    <a:extLst>
                      <a:ext uri="{53640926-AAD7-44D8-BBD7-CCE9431645EC}">
                        <a14:shadowObscured xmlns:a14="http://schemas.microsoft.com/office/drawing/2010/main"/>
                      </a:ext>
                    </a:extLst>
                  </pic:spPr>
                </pic:pic>
              </a:graphicData>
            </a:graphic>
          </wp:inline>
        </w:drawing>
      </w:r>
    </w:p>
    <w:p w14:paraId="3ADBC4F3" w14:textId="2407F173" w:rsidR="00B62DE0" w:rsidRPr="00B62DE0" w:rsidRDefault="00B62DE0" w:rsidP="00B62DE0">
      <w:pPr>
        <w:sectPr w:rsidR="00B62DE0" w:rsidRPr="00B62DE0" w:rsidSect="00B62DE0">
          <w:pgSz w:w="11906" w:h="16838" w:code="9"/>
          <w:pgMar w:top="1418" w:right="1418" w:bottom="1418" w:left="1418" w:header="510" w:footer="624" w:gutter="0"/>
          <w:cols w:space="708"/>
          <w:docGrid w:linePitch="360"/>
        </w:sectPr>
      </w:pPr>
      <w:r w:rsidRPr="00B62DE0">
        <w:t>Note: Norfolk Island is not pictured</w:t>
      </w:r>
      <w:r>
        <w:t>.</w:t>
      </w:r>
    </w:p>
    <w:p w14:paraId="4A068A97" w14:textId="7281CB56" w:rsidR="007342BC" w:rsidRDefault="007342BC" w:rsidP="00DE1E06">
      <w:pPr>
        <w:pStyle w:val="Heading1Numbered"/>
      </w:pPr>
      <w:bookmarkStart w:id="18" w:name="_Toc40455102"/>
      <w:r>
        <w:t>Lease Expiry</w:t>
      </w:r>
      <w:r w:rsidR="0007501F">
        <w:t>,</w:t>
      </w:r>
      <w:r>
        <w:t xml:space="preserve"> Office Type</w:t>
      </w:r>
      <w:r w:rsidR="0007501F">
        <w:t xml:space="preserve"> and Tenancy Size</w:t>
      </w:r>
      <w:bookmarkEnd w:id="18"/>
    </w:p>
    <w:p w14:paraId="77FF8CA8" w14:textId="4B84B279" w:rsidR="00DE1E06" w:rsidRDefault="007342BC" w:rsidP="00FD1681">
      <w:pPr>
        <w:pStyle w:val="Heading2Numbered"/>
        <w:numPr>
          <w:ilvl w:val="1"/>
          <w:numId w:val="4"/>
        </w:numPr>
      </w:pPr>
      <w:bookmarkStart w:id="19" w:name="_Toc40455103"/>
      <w:r>
        <w:t>Lease Expiry</w:t>
      </w:r>
      <w:bookmarkEnd w:id="19"/>
      <w:r w:rsidR="004A3495">
        <w:t xml:space="preserve"> </w:t>
      </w:r>
    </w:p>
    <w:p w14:paraId="6AD82CD6" w14:textId="6CE37FAA" w:rsidR="00DC1CBA" w:rsidRDefault="00DC1CBA" w:rsidP="00DC1CBA">
      <w:pPr>
        <w:rPr>
          <w:b/>
        </w:rPr>
      </w:pPr>
      <w:r w:rsidRPr="00CF44C6">
        <w:rPr>
          <w:b/>
        </w:rPr>
        <w:t xml:space="preserve">Table </w:t>
      </w:r>
      <w:r w:rsidR="00065B82">
        <w:rPr>
          <w:b/>
        </w:rPr>
        <w:t>5</w:t>
      </w:r>
      <w:r w:rsidRPr="00CF44C6">
        <w:rPr>
          <w:b/>
        </w:rPr>
        <w:t>: Lease Expiry</w:t>
      </w:r>
    </w:p>
    <w:tbl>
      <w:tblPr>
        <w:tblW w:w="500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1131"/>
        <w:gridCol w:w="1132"/>
        <w:gridCol w:w="1132"/>
        <w:gridCol w:w="1132"/>
        <w:gridCol w:w="1132"/>
        <w:gridCol w:w="1132"/>
      </w:tblGrid>
      <w:tr w:rsidR="00E06D0A" w:rsidRPr="00260701" w14:paraId="0BBFEDCB" w14:textId="339D181C" w:rsidTr="00E43733">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hideMark/>
          </w:tcPr>
          <w:p w14:paraId="4467ABF8" w14:textId="3574CDFF" w:rsidR="00E06D0A" w:rsidRPr="00260701" w:rsidRDefault="00E06D0A">
            <w:pPr>
              <w:suppressAutoHyphens w:val="0"/>
              <w:spacing w:before="0" w:after="0" w:line="240" w:lineRule="auto"/>
              <w:rPr>
                <w:rFonts w:ascii="Calibri" w:hAnsi="Calibri" w:cs="Calibri"/>
                <w:color w:val="000000"/>
                <w:sz w:val="20"/>
              </w:rPr>
            </w:pPr>
            <w:r>
              <w:rPr>
                <w:rFonts w:ascii="Calibri" w:hAnsi="Calibri" w:cs="Calibri"/>
                <w:color w:val="000000"/>
                <w:sz w:val="20"/>
              </w:rPr>
              <w:t>Measure</w:t>
            </w:r>
          </w:p>
        </w:tc>
        <w:tc>
          <w:tcPr>
            <w:tcW w:w="1131"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83D28DA" w14:textId="77777777" w:rsidR="00E06D0A" w:rsidRPr="00260701" w:rsidRDefault="00E06D0A" w:rsidP="00DF1805">
            <w:pPr>
              <w:suppressAutoHyphens w:val="0"/>
              <w:spacing w:before="0" w:after="0" w:line="240" w:lineRule="auto"/>
              <w:jc w:val="right"/>
              <w:rPr>
                <w:rFonts w:ascii="Calibri" w:hAnsi="Calibri" w:cs="Calibri"/>
                <w:color w:val="000000"/>
                <w:sz w:val="20"/>
              </w:rPr>
            </w:pPr>
            <w:r w:rsidRPr="00260701">
              <w:rPr>
                <w:rFonts w:ascii="Calibri" w:hAnsi="Calibri" w:cs="Calibri"/>
                <w:color w:val="000000"/>
                <w:sz w:val="20"/>
              </w:rPr>
              <w:t>Holdover</w:t>
            </w:r>
          </w:p>
        </w:tc>
        <w:tc>
          <w:tcPr>
            <w:tcW w:w="1132"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3D551248" w14:textId="77777777" w:rsidR="00E06D0A" w:rsidRPr="00260701" w:rsidRDefault="00E06D0A" w:rsidP="00DF1805">
            <w:pPr>
              <w:suppressAutoHyphens w:val="0"/>
              <w:spacing w:before="0" w:after="0" w:line="240" w:lineRule="auto"/>
              <w:jc w:val="right"/>
              <w:rPr>
                <w:rFonts w:ascii="Calibri" w:hAnsi="Calibri" w:cs="Calibri"/>
                <w:color w:val="000000"/>
                <w:sz w:val="20"/>
              </w:rPr>
            </w:pPr>
            <w:r w:rsidRPr="00260701">
              <w:rPr>
                <w:rFonts w:ascii="Calibri" w:hAnsi="Calibri" w:cs="Calibri"/>
                <w:color w:val="000000"/>
                <w:sz w:val="20"/>
              </w:rPr>
              <w:t>0-2 Years</w:t>
            </w:r>
          </w:p>
        </w:tc>
        <w:tc>
          <w:tcPr>
            <w:tcW w:w="1132"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03AB1AE4" w14:textId="77777777" w:rsidR="00E06D0A" w:rsidRPr="00260701" w:rsidRDefault="00E06D0A" w:rsidP="00DF1805">
            <w:pPr>
              <w:suppressAutoHyphens w:val="0"/>
              <w:spacing w:before="0" w:after="0" w:line="240" w:lineRule="auto"/>
              <w:jc w:val="right"/>
              <w:rPr>
                <w:rFonts w:ascii="Calibri" w:hAnsi="Calibri" w:cs="Calibri"/>
                <w:color w:val="000000"/>
                <w:sz w:val="20"/>
              </w:rPr>
            </w:pPr>
            <w:r w:rsidRPr="00260701">
              <w:rPr>
                <w:rFonts w:ascii="Calibri" w:hAnsi="Calibri" w:cs="Calibri"/>
                <w:color w:val="000000"/>
                <w:sz w:val="20"/>
              </w:rPr>
              <w:t>2-5 Years</w:t>
            </w:r>
          </w:p>
        </w:tc>
        <w:tc>
          <w:tcPr>
            <w:tcW w:w="1132"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56336249" w14:textId="77777777" w:rsidR="00E06D0A" w:rsidRPr="00260701" w:rsidRDefault="00E06D0A" w:rsidP="00DF1805">
            <w:pPr>
              <w:suppressAutoHyphens w:val="0"/>
              <w:spacing w:before="0" w:after="0" w:line="240" w:lineRule="auto"/>
              <w:jc w:val="right"/>
              <w:rPr>
                <w:rFonts w:ascii="Calibri" w:hAnsi="Calibri" w:cs="Calibri"/>
                <w:color w:val="000000"/>
                <w:sz w:val="20"/>
              </w:rPr>
            </w:pPr>
            <w:r w:rsidRPr="00260701">
              <w:rPr>
                <w:rFonts w:ascii="Calibri" w:hAnsi="Calibri" w:cs="Calibri"/>
                <w:color w:val="000000"/>
                <w:sz w:val="20"/>
              </w:rPr>
              <w:t>5-10 Years</w:t>
            </w:r>
          </w:p>
        </w:tc>
        <w:tc>
          <w:tcPr>
            <w:tcW w:w="1132"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0C4E72F9" w14:textId="77777777" w:rsidR="00E06D0A" w:rsidRPr="00260701" w:rsidRDefault="00E06D0A" w:rsidP="00DF1805">
            <w:pPr>
              <w:suppressAutoHyphens w:val="0"/>
              <w:spacing w:before="0" w:after="0" w:line="240" w:lineRule="auto"/>
              <w:jc w:val="right"/>
              <w:rPr>
                <w:rFonts w:ascii="Calibri" w:hAnsi="Calibri" w:cs="Calibri"/>
                <w:color w:val="000000"/>
                <w:sz w:val="20"/>
              </w:rPr>
            </w:pPr>
            <w:r w:rsidRPr="00260701">
              <w:rPr>
                <w:rFonts w:ascii="Calibri" w:hAnsi="Calibri" w:cs="Calibri"/>
                <w:color w:val="000000"/>
                <w:sz w:val="20"/>
              </w:rPr>
              <w:t>10-20 Years</w:t>
            </w:r>
          </w:p>
        </w:tc>
        <w:tc>
          <w:tcPr>
            <w:tcW w:w="1132"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389D75E0" w14:textId="77777777" w:rsidR="00E06D0A" w:rsidRPr="00260701" w:rsidRDefault="00E06D0A" w:rsidP="00DF1805">
            <w:pPr>
              <w:suppressAutoHyphens w:val="0"/>
              <w:spacing w:before="0" w:after="0" w:line="240" w:lineRule="auto"/>
              <w:jc w:val="right"/>
              <w:rPr>
                <w:rFonts w:ascii="Calibri" w:hAnsi="Calibri" w:cs="Calibri"/>
                <w:color w:val="000000"/>
                <w:sz w:val="20"/>
              </w:rPr>
            </w:pPr>
            <w:r w:rsidRPr="00260701">
              <w:rPr>
                <w:rFonts w:ascii="Calibri" w:hAnsi="Calibri" w:cs="Calibri"/>
                <w:color w:val="000000"/>
                <w:sz w:val="20"/>
              </w:rPr>
              <w:t>20+ Years</w:t>
            </w:r>
          </w:p>
        </w:tc>
      </w:tr>
      <w:tr w:rsidR="0013691F" w:rsidRPr="00260701" w14:paraId="08CA94C6" w14:textId="624FCAAA"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28EF" w14:textId="77777777"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Number of Tenancies (n)</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94EC4" w14:textId="28AE4685" w:rsidR="0013691F" w:rsidRPr="004C11C8" w:rsidRDefault="0013691F" w:rsidP="00497387">
            <w:pPr>
              <w:suppressAutoHyphens w:val="0"/>
              <w:spacing w:before="0" w:after="0" w:line="240" w:lineRule="auto"/>
              <w:jc w:val="right"/>
              <w:rPr>
                <w:rFonts w:ascii="Calibri" w:hAnsi="Calibri" w:cs="Calibri"/>
                <w:color w:val="000000"/>
                <w:sz w:val="20"/>
                <w:szCs w:val="20"/>
              </w:rPr>
            </w:pPr>
            <w:r w:rsidRPr="00E43733">
              <w:rPr>
                <w:rFonts w:ascii="Calibri" w:hAnsi="Calibri" w:cs="Calibri"/>
                <w:sz w:val="20"/>
                <w:szCs w:val="20"/>
              </w:rPr>
              <w:t>12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F64F0" w14:textId="26120685" w:rsidR="0013691F" w:rsidRPr="004C11C8" w:rsidRDefault="0013691F" w:rsidP="00497387">
            <w:pPr>
              <w:suppressAutoHyphens w:val="0"/>
              <w:spacing w:before="0" w:after="0" w:line="240" w:lineRule="auto"/>
              <w:jc w:val="right"/>
              <w:rPr>
                <w:rFonts w:ascii="Calibri" w:hAnsi="Calibri" w:cs="Calibri"/>
                <w:color w:val="000000"/>
                <w:sz w:val="20"/>
                <w:szCs w:val="20"/>
              </w:rPr>
            </w:pPr>
            <w:r w:rsidRPr="00E43733">
              <w:rPr>
                <w:rFonts w:ascii="Calibri" w:hAnsi="Calibri" w:cs="Calibri"/>
                <w:sz w:val="20"/>
                <w:szCs w:val="20"/>
              </w:rPr>
              <w:t>159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FF359" w14:textId="7B8EA442" w:rsidR="0013691F" w:rsidRPr="004C11C8" w:rsidRDefault="0013691F" w:rsidP="00497387">
            <w:pPr>
              <w:suppressAutoHyphens w:val="0"/>
              <w:spacing w:before="0" w:after="0" w:line="240" w:lineRule="auto"/>
              <w:jc w:val="right"/>
              <w:rPr>
                <w:rFonts w:ascii="Calibri" w:hAnsi="Calibri" w:cs="Calibri"/>
                <w:color w:val="000000"/>
                <w:sz w:val="20"/>
                <w:szCs w:val="20"/>
              </w:rPr>
            </w:pPr>
            <w:r w:rsidRPr="00E43733">
              <w:rPr>
                <w:rFonts w:ascii="Calibri" w:hAnsi="Calibri" w:cs="Calibri"/>
                <w:sz w:val="20"/>
                <w:szCs w:val="20"/>
              </w:rPr>
              <w:t>198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784F6" w14:textId="05AE55B4" w:rsidR="0013691F" w:rsidRPr="004C11C8" w:rsidRDefault="0013691F" w:rsidP="00497387">
            <w:pPr>
              <w:suppressAutoHyphens w:val="0"/>
              <w:spacing w:before="0" w:after="0" w:line="240" w:lineRule="auto"/>
              <w:jc w:val="right"/>
              <w:rPr>
                <w:rFonts w:ascii="Calibri" w:hAnsi="Calibri" w:cs="Calibri"/>
                <w:color w:val="000000"/>
                <w:sz w:val="20"/>
                <w:szCs w:val="20"/>
              </w:rPr>
            </w:pPr>
            <w:r w:rsidRPr="00E43733">
              <w:rPr>
                <w:rFonts w:ascii="Calibri" w:hAnsi="Calibri" w:cs="Calibri"/>
                <w:sz w:val="20"/>
                <w:szCs w:val="20"/>
              </w:rPr>
              <w:t>153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48CDC" w14:textId="72D26308" w:rsidR="0013691F" w:rsidRPr="004C11C8" w:rsidRDefault="0013691F" w:rsidP="00497387">
            <w:pPr>
              <w:suppressAutoHyphens w:val="0"/>
              <w:spacing w:before="0" w:after="0" w:line="240" w:lineRule="auto"/>
              <w:jc w:val="right"/>
              <w:rPr>
                <w:rFonts w:ascii="Calibri" w:hAnsi="Calibri" w:cs="Calibri"/>
                <w:color w:val="000000"/>
                <w:sz w:val="20"/>
                <w:szCs w:val="20"/>
              </w:rPr>
            </w:pPr>
            <w:r w:rsidRPr="00E43733">
              <w:rPr>
                <w:rFonts w:ascii="Calibri" w:hAnsi="Calibri" w:cs="Calibri"/>
                <w:sz w:val="20"/>
                <w:szCs w:val="20"/>
              </w:rPr>
              <w:t>35</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CB64E" w14:textId="60D33432" w:rsidR="0013691F" w:rsidRPr="004C11C8" w:rsidRDefault="0013691F" w:rsidP="00497387">
            <w:pPr>
              <w:suppressAutoHyphens w:val="0"/>
              <w:spacing w:before="0" w:after="0" w:line="240" w:lineRule="auto"/>
              <w:jc w:val="right"/>
              <w:rPr>
                <w:rFonts w:ascii="Calibri" w:hAnsi="Calibri" w:cs="Calibri"/>
                <w:color w:val="000000"/>
                <w:sz w:val="20"/>
                <w:szCs w:val="20"/>
              </w:rPr>
            </w:pPr>
            <w:r w:rsidRPr="00E43733">
              <w:rPr>
                <w:rFonts w:ascii="Calibri" w:hAnsi="Calibri" w:cs="Calibri"/>
                <w:sz w:val="20"/>
                <w:szCs w:val="20"/>
              </w:rPr>
              <w:t>11</w:t>
            </w:r>
          </w:p>
        </w:tc>
      </w:tr>
      <w:tr w:rsidR="0013691F" w:rsidRPr="00C441CE" w14:paraId="157168CC" w14:textId="78C48DC2"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tcPr>
          <w:p w14:paraId="2BE3B8C6" w14:textId="7F57FFE8" w:rsidR="0013691F" w:rsidRPr="00C441CE"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Controlled Area (m²)</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459F2" w14:textId="3AF727A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34,818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B9256" w14:textId="61B67E4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477,784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C150" w14:textId="16EC4B3E"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749,274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9EC41" w14:textId="1D8FDB9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798,038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83C9" w14:textId="780B522E"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643,816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16765" w14:textId="2FE8962B"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134,616</w:t>
            </w:r>
          </w:p>
        </w:tc>
      </w:tr>
      <w:tr w:rsidR="0013691F" w:rsidRPr="00260701" w14:paraId="456A50D0" w14:textId="57621C95"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89BCB" w14:textId="52DA540E"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Usable Office Area (m²)</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DA6F1" w14:textId="0CBE241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32,311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A507B" w14:textId="4047CD23"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397,343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E4BDD" w14:textId="0BD5DF18"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635,929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11435" w14:textId="6A9DDC71"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686,870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1148F" w14:textId="4789CF6E"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420,154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EB3F3" w14:textId="285E3ED2"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80,754</w:t>
            </w:r>
          </w:p>
        </w:tc>
      </w:tr>
      <w:tr w:rsidR="0013691F" w:rsidRPr="00260701" w14:paraId="40478AED" w14:textId="2143CF46"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05BE" w14:textId="1FB2D21F"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Work-points (n)</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81D1F" w14:textId="13535BBC"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2,289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1F29A" w14:textId="295C89F6"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29,370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4A43C" w14:textId="5BA576C2"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46,325</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D64AB" w14:textId="59D0922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50,532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BC9EA" w14:textId="53445EE3"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30,119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DEF05" w14:textId="6CFBAC6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5,997</w:t>
            </w:r>
          </w:p>
        </w:tc>
      </w:tr>
      <w:tr w:rsidR="0013691F" w:rsidRPr="00260701" w14:paraId="68FC9737" w14:textId="03C0E1F7"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98689" w14:textId="14A0E379"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Staff (n)</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AE07A" w14:textId="0EC07BB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2,170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296B0" w14:textId="1043AD59"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22,991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BCD21" w14:textId="219BFC4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39,397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95A1C" w14:textId="2D3731E2"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43,910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2A608" w14:textId="390F60A3"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25,671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87425" w14:textId="462A605D"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5,444</w:t>
            </w:r>
          </w:p>
        </w:tc>
      </w:tr>
      <w:tr w:rsidR="0013691F" w:rsidRPr="00260701" w14:paraId="2E38D11A" w14:textId="140A105F"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08C6" w14:textId="25A891B9"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Vacant Work-points (n)</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76E12" w14:textId="6CB03E3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119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6FB9" w14:textId="784FF6B6"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6,379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8D51D" w14:textId="78D8B9B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6,928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48943" w14:textId="11440F0D"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6,622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28D02" w14:textId="1AA1AA4C"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4,448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84C03" w14:textId="2109A2E3"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553</w:t>
            </w:r>
          </w:p>
        </w:tc>
      </w:tr>
      <w:tr w:rsidR="0013691F" w:rsidRPr="00260701" w14:paraId="0DB69E66" w14:textId="0C3209D6"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AD42" w14:textId="1A282749"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Work-point Vacancy Rate (%)</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59C83" w14:textId="5A90E1C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5.2%</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217C5" w14:textId="3136F8F5"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21.7%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B3A9" w14:textId="199E45D6"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15.0%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4518" w14:textId="10E5D2DB"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2765F" w14:textId="5AF0FC8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14.8%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ED63" w14:textId="27D0C102"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9.2%</w:t>
            </w:r>
          </w:p>
        </w:tc>
      </w:tr>
      <w:tr w:rsidR="0013691F" w:rsidRPr="00260701" w14:paraId="2BA6E36A" w14:textId="5C7061E6"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761B5" w14:textId="0B8286A1"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Average Fit-out Density (m²)</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C2E81" w14:textId="40C71C4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14.1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0C4DC" w14:textId="5B9F5E4C"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13.5</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CF608" w14:textId="48838D4D"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13.7</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736AD" w14:textId="51BB192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92CF0" w14:textId="1B8B2298"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DE5D4" w14:textId="76300C46"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13.5</w:t>
            </w:r>
          </w:p>
        </w:tc>
      </w:tr>
      <w:tr w:rsidR="0013691F" w:rsidRPr="00260701" w14:paraId="40334E34" w14:textId="6FBDA13C"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F147A" w14:textId="51A0C4DF"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Average Occupational Density (m²)</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644A" w14:textId="284F67E9"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14.9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127CC" w14:textId="2DC13E9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17.3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0B0CD" w14:textId="011FBF3D"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16.1</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B6D54" w14:textId="01C07E79"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15.6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E2CF1" w14:textId="05999FB6"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16.4</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F1C73" w14:textId="5B20E80D"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14.8</w:t>
            </w:r>
          </w:p>
        </w:tc>
      </w:tr>
      <w:tr w:rsidR="0013691F" w:rsidRPr="00260701" w14:paraId="4E39AB1E" w14:textId="0F818C21"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C066C" w14:textId="6360B020"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Meeting the Occupational Density Target (%)</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F156D" w14:textId="121C67A9"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25.0%</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5FFA4" w14:textId="268AC610"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28.9%</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D18F5" w14:textId="241072A3"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30.3%</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5BCD" w14:textId="7DD375D5"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28.8%</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5976D" w14:textId="56293F9F"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28.6%</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EDCCE" w14:textId="03551DC5"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45.5%</w:t>
            </w:r>
          </w:p>
        </w:tc>
      </w:tr>
      <w:tr w:rsidR="0013691F" w:rsidRPr="00260701" w14:paraId="25977FD7" w14:textId="57AD7AA5"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68767" w14:textId="537A1A14" w:rsidR="0013691F" w:rsidRPr="00260701" w:rsidRDefault="0013691F" w:rsidP="0013691F">
            <w:pPr>
              <w:suppressAutoHyphens w:val="0"/>
              <w:spacing w:before="0" w:after="0" w:line="240" w:lineRule="auto"/>
              <w:rPr>
                <w:rFonts w:ascii="Calibri" w:hAnsi="Calibri" w:cs="Calibri"/>
                <w:color w:val="000000"/>
                <w:sz w:val="20"/>
              </w:rPr>
            </w:pPr>
            <w:r w:rsidRPr="00260701">
              <w:rPr>
                <w:rFonts w:ascii="Calibri" w:hAnsi="Calibri" w:cs="Calibri"/>
                <w:color w:val="000000"/>
                <w:sz w:val="20"/>
              </w:rPr>
              <w:t>Net Tenancy Expenditure ($m)</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5244E" w14:textId="14CBDDAA"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$17.8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E8C6A" w14:textId="6C038C1C"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$246.9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DB4AC" w14:textId="5F2307B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$377.0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8EF1E" w14:textId="5DEB7635"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$384.2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A3A6C" w14:textId="2D22A5B9"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$297.</w:t>
            </w:r>
            <w:r w:rsidR="00C4691D">
              <w:rPr>
                <w:rFonts w:ascii="Calibri" w:hAnsi="Calibri" w:cs="Calibri"/>
                <w:sz w:val="20"/>
                <w:szCs w:val="20"/>
              </w:rPr>
              <w:t>9</w:t>
            </w:r>
            <w:r w:rsidR="00C4691D" w:rsidRPr="00E43733">
              <w:rPr>
                <w:rFonts w:ascii="Calibri" w:hAnsi="Calibri" w:cs="Calibri"/>
                <w:sz w:val="20"/>
                <w:szCs w:val="20"/>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029FC" w14:textId="253C7536"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$12.7 </w:t>
            </w:r>
          </w:p>
        </w:tc>
      </w:tr>
      <w:tr w:rsidR="0013691F" w:rsidRPr="00260701" w14:paraId="7D6BC78E" w14:textId="00118B7B"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02609" w14:textId="00246568" w:rsidR="0013691F" w:rsidRPr="00260701" w:rsidRDefault="0013691F" w:rsidP="0013691F">
            <w:pPr>
              <w:suppressAutoHyphens w:val="0"/>
              <w:spacing w:before="0" w:after="0" w:line="240" w:lineRule="auto"/>
              <w:rPr>
                <w:rFonts w:ascii="Calibri" w:hAnsi="Calibri" w:cs="Calibri"/>
                <w:color w:val="000000"/>
                <w:sz w:val="20"/>
              </w:rPr>
            </w:pPr>
            <w:r>
              <w:rPr>
                <w:rFonts w:ascii="Calibri" w:hAnsi="Calibri" w:cs="Calibri"/>
                <w:color w:val="000000"/>
                <w:sz w:val="20"/>
              </w:rPr>
              <w:t xml:space="preserve">Average </w:t>
            </w:r>
            <w:r w:rsidRPr="00260701">
              <w:rPr>
                <w:rFonts w:ascii="Calibri" w:hAnsi="Calibri" w:cs="Calibri"/>
                <w:color w:val="000000"/>
                <w:sz w:val="20"/>
              </w:rPr>
              <w:t>Cost per m²</w:t>
            </w:r>
            <w:r w:rsidRPr="00FD1681">
              <w:rPr>
                <w:rFonts w:ascii="Calibri" w:hAnsi="Calibri" w:cs="Calibri"/>
                <w:sz w:val="20"/>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FF352" w14:textId="2FE7C03D"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$512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78A4" w14:textId="2962EF78"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$517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EFBFA" w14:textId="61A54C4A"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$503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7BD7" w14:textId="6B61C438"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$481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AEAA" w14:textId="539B79A1"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$463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57524" w14:textId="2A448D18"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$94 </w:t>
            </w:r>
          </w:p>
        </w:tc>
      </w:tr>
      <w:tr w:rsidR="0013691F" w:rsidRPr="00260701" w14:paraId="0D0608B1" w14:textId="4C37E388"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39EDA" w14:textId="00E9E9A2" w:rsidR="0013691F" w:rsidRPr="00260701" w:rsidRDefault="0013691F" w:rsidP="0013691F">
            <w:pPr>
              <w:suppressAutoHyphens w:val="0"/>
              <w:spacing w:before="0" w:after="0" w:line="240" w:lineRule="auto"/>
              <w:rPr>
                <w:rFonts w:ascii="Calibri" w:hAnsi="Calibri" w:cs="Calibri"/>
                <w:color w:val="000000"/>
                <w:sz w:val="20"/>
              </w:rPr>
            </w:pPr>
            <w:r>
              <w:rPr>
                <w:rFonts w:ascii="Calibri" w:hAnsi="Calibri" w:cs="Calibri"/>
                <w:color w:val="000000"/>
                <w:sz w:val="20"/>
              </w:rPr>
              <w:t xml:space="preserve">Average </w:t>
            </w:r>
            <w:r w:rsidRPr="00260701">
              <w:rPr>
                <w:rFonts w:ascii="Calibri" w:hAnsi="Calibri" w:cs="Calibri"/>
                <w:color w:val="000000"/>
                <w:sz w:val="20"/>
              </w:rPr>
              <w:t>Cost per Staff</w:t>
            </w:r>
            <w:r w:rsidRPr="00FD1681">
              <w:rPr>
                <w:rFonts w:ascii="Calibri" w:hAnsi="Calibri" w:cs="Calibri"/>
                <w:sz w:val="20"/>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1EC3C" w14:textId="5BCEAE57"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$8,210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087DE" w14:textId="4C8EB292"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$10,739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5A30" w14:textId="64C45BEA"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$9,569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5DE19" w14:textId="13A02084"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$8,750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625E4" w14:textId="47B34613"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$11,602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A09A" w14:textId="23BEE16A"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$2,336 </w:t>
            </w:r>
          </w:p>
        </w:tc>
      </w:tr>
      <w:tr w:rsidR="0013691F" w:rsidRPr="00260701" w14:paraId="63AEFD95" w14:textId="5C856B01" w:rsidTr="00497387">
        <w:trPr>
          <w:trHeight w:val="300"/>
        </w:trPr>
        <w:tc>
          <w:tcPr>
            <w:tcW w:w="2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8327C" w14:textId="273707F9" w:rsidR="0013691F" w:rsidRPr="00260701" w:rsidRDefault="0013691F" w:rsidP="0013691F">
            <w:pPr>
              <w:suppressAutoHyphens w:val="0"/>
              <w:spacing w:before="0" w:after="0" w:line="240" w:lineRule="auto"/>
              <w:rPr>
                <w:rFonts w:ascii="Calibri" w:hAnsi="Calibri" w:cs="Calibri"/>
                <w:color w:val="000000"/>
                <w:sz w:val="20"/>
              </w:rPr>
            </w:pPr>
            <w:r>
              <w:rPr>
                <w:rFonts w:ascii="Calibri" w:hAnsi="Calibri" w:cs="Calibri"/>
                <w:color w:val="000000"/>
                <w:sz w:val="20"/>
              </w:rPr>
              <w:t xml:space="preserve">Average </w:t>
            </w:r>
            <w:r w:rsidRPr="00260701">
              <w:rPr>
                <w:rFonts w:ascii="Calibri" w:hAnsi="Calibri" w:cs="Calibri"/>
                <w:color w:val="000000"/>
                <w:sz w:val="20"/>
              </w:rPr>
              <w:t>Cost per Work-point ($)</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5A41F" w14:textId="0F6656F2"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$7,783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63ABD" w14:textId="1013873E"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$8,407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839B4" w14:textId="7BDD32B7"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$8,138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8E74" w14:textId="562C810B"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$7,603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7A660" w14:textId="5B2E3BC1"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$9,889 </w:t>
            </w:r>
          </w:p>
        </w:tc>
        <w:tc>
          <w:tcPr>
            <w:tcW w:w="11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6671F" w14:textId="6E42DA99" w:rsidR="0013691F" w:rsidRPr="00E43733" w:rsidRDefault="0013691F" w:rsidP="00497387">
            <w:pPr>
              <w:suppressAutoHyphens w:val="0"/>
              <w:spacing w:before="0" w:after="0" w:line="240" w:lineRule="auto"/>
              <w:jc w:val="right"/>
              <w:rPr>
                <w:rFonts w:ascii="Calibri" w:hAnsi="Calibri" w:cs="Calibri"/>
                <w:sz w:val="20"/>
                <w:szCs w:val="20"/>
              </w:rPr>
            </w:pPr>
            <w:r w:rsidRPr="00E43733">
              <w:rPr>
                <w:rFonts w:ascii="Calibri" w:hAnsi="Calibri" w:cs="Calibri"/>
                <w:sz w:val="20"/>
                <w:szCs w:val="20"/>
              </w:rPr>
              <w:t xml:space="preserve"> $2,121 </w:t>
            </w:r>
          </w:p>
        </w:tc>
      </w:tr>
    </w:tbl>
    <w:p w14:paraId="7D39F9B5" w14:textId="7D3D1501" w:rsidR="009F6A29" w:rsidRPr="00383561" w:rsidRDefault="009F6A29" w:rsidP="009F6A29">
      <w:r w:rsidRPr="00383561">
        <w:t xml:space="preserve">Table </w:t>
      </w:r>
      <w:r w:rsidR="00DD1138">
        <w:t>5</w:t>
      </w:r>
      <w:r w:rsidRPr="00383561">
        <w:t xml:space="preserve"> provides a summary of tenancies split by the length of time until leases are due to expire. This allows for a comparison between key measures across different lease lengths.</w:t>
      </w:r>
    </w:p>
    <w:p w14:paraId="47AF8D02" w14:textId="79646A2C" w:rsidR="00DC1CBA" w:rsidRPr="00FA003F" w:rsidRDefault="003A59E5" w:rsidP="00DC1CBA">
      <w:r>
        <w:t xml:space="preserve">Approximately </w:t>
      </w:r>
      <w:r w:rsidR="00E40400">
        <w:t>2</w:t>
      </w:r>
      <w:r w:rsidR="00E40400" w:rsidRPr="00FA003F">
        <w:t xml:space="preserve"> </w:t>
      </w:r>
      <w:r w:rsidR="00DC1CBA" w:rsidRPr="00FA003F">
        <w:t xml:space="preserve">per cent of Commonwealth </w:t>
      </w:r>
      <w:r w:rsidR="00DC1CBA">
        <w:t xml:space="preserve">tenancies (representing </w:t>
      </w:r>
      <w:r w:rsidR="00E40400">
        <w:t>1</w:t>
      </w:r>
      <w:r w:rsidR="00E40400" w:rsidRPr="00FA003F">
        <w:t xml:space="preserve"> </w:t>
      </w:r>
      <w:r w:rsidR="00DC1CBA" w:rsidRPr="00FA003F">
        <w:t xml:space="preserve">per cent of </w:t>
      </w:r>
      <w:r w:rsidR="00706EAC">
        <w:t>controlled</w:t>
      </w:r>
      <w:r w:rsidR="00DC1CBA" w:rsidRPr="00FA003F">
        <w:t xml:space="preserve"> area) are continuing on a month-by-</w:t>
      </w:r>
      <w:r w:rsidR="00DC1CBA" w:rsidRPr="00AA49FE">
        <w:t xml:space="preserve">month basis (holdover). These tenancies have </w:t>
      </w:r>
      <w:r w:rsidR="00E40400" w:rsidRPr="00AA49FE">
        <w:t xml:space="preserve">an </w:t>
      </w:r>
      <w:r w:rsidR="00DC1CBA" w:rsidRPr="00AA49FE">
        <w:t>average occupational density</w:t>
      </w:r>
      <w:r w:rsidR="00E40400" w:rsidRPr="00AA49FE">
        <w:t xml:space="preserve"> of </w:t>
      </w:r>
      <w:r w:rsidR="0013691F">
        <w:t>14.9</w:t>
      </w:r>
      <w:r w:rsidR="00E40400" w:rsidRPr="00AA49FE">
        <w:t xml:space="preserve"> m</w:t>
      </w:r>
      <w:r w:rsidR="00E40400" w:rsidRPr="00E43733">
        <w:rPr>
          <w:vertAlign w:val="superscript"/>
        </w:rPr>
        <w:t>2</w:t>
      </w:r>
      <w:r w:rsidR="00706EAC" w:rsidRPr="00AA49FE">
        <w:t xml:space="preserve"> </w:t>
      </w:r>
      <w:r w:rsidR="00BE3CE6" w:rsidRPr="00E43733">
        <w:t xml:space="preserve">and </w:t>
      </w:r>
      <w:r w:rsidR="0013691F">
        <w:t>a</w:t>
      </w:r>
      <w:r w:rsidR="00AA49FE">
        <w:t xml:space="preserve"> fit-out density of </w:t>
      </w:r>
      <w:r w:rsidR="0013691F">
        <w:t>14.1</w:t>
      </w:r>
      <w:r w:rsidR="00AA49FE">
        <w:t xml:space="preserve"> m</w:t>
      </w:r>
      <w:r w:rsidR="00AA49FE" w:rsidRPr="00E43733">
        <w:rPr>
          <w:vertAlign w:val="superscript"/>
        </w:rPr>
        <w:t>2</w:t>
      </w:r>
      <w:r w:rsidR="00AA49FE">
        <w:t>.</w:t>
      </w:r>
      <w:r w:rsidR="00DC1CBA" w:rsidRPr="00AA49FE">
        <w:t xml:space="preserve"> </w:t>
      </w:r>
    </w:p>
    <w:p w14:paraId="2DCBCF70" w14:textId="15B51EEB" w:rsidR="00AA49FE" w:rsidRDefault="00DC1CBA" w:rsidP="00DC1CBA">
      <w:r w:rsidRPr="00CA0300">
        <w:t>A further 2</w:t>
      </w:r>
      <w:r w:rsidR="00BE3CE6">
        <w:t>8</w:t>
      </w:r>
      <w:r w:rsidRPr="00CA0300">
        <w:t xml:space="preserve"> per cent of tenancies (representing 1</w:t>
      </w:r>
      <w:r w:rsidR="00BE3CE6">
        <w:t>7</w:t>
      </w:r>
      <w:r w:rsidRPr="00CA0300">
        <w:t xml:space="preserve"> per cent of </w:t>
      </w:r>
      <w:r w:rsidR="00706EAC">
        <w:t>controlled</w:t>
      </w:r>
      <w:r w:rsidRPr="00CA0300">
        <w:t xml:space="preserve"> area) have leases expiring within the next two years</w:t>
      </w:r>
      <w:r w:rsidR="00AA49FE">
        <w:t>. These tenancies have the highest average occupational density at 17.3 m</w:t>
      </w:r>
      <w:r w:rsidR="00AA49FE" w:rsidRPr="00E43733">
        <w:rPr>
          <w:vertAlign w:val="superscript"/>
        </w:rPr>
        <w:t>2</w:t>
      </w:r>
      <w:r w:rsidR="00AA49FE">
        <w:t>.</w:t>
      </w:r>
    </w:p>
    <w:p w14:paraId="34C1724C" w14:textId="33825AAB" w:rsidR="00DC1CBA" w:rsidRPr="00CA0300" w:rsidRDefault="00C35F16" w:rsidP="00DC1CBA">
      <w:r>
        <w:t xml:space="preserve">Another </w:t>
      </w:r>
      <w:r w:rsidR="00BE3CE6" w:rsidRPr="00CA0300">
        <w:t>3</w:t>
      </w:r>
      <w:r w:rsidR="00BE3CE6">
        <w:t>5</w:t>
      </w:r>
      <w:r w:rsidR="00BE3CE6" w:rsidRPr="00CA0300">
        <w:t xml:space="preserve"> </w:t>
      </w:r>
      <w:r w:rsidR="00DC1CBA" w:rsidRPr="00CA0300">
        <w:t>per cent of leases expire between 2</w:t>
      </w:r>
      <w:r w:rsidR="003A59E5">
        <w:t xml:space="preserve"> and </w:t>
      </w:r>
      <w:r w:rsidR="00DC1CBA" w:rsidRPr="00CA0300">
        <w:t xml:space="preserve">5 years, </w:t>
      </w:r>
      <w:r w:rsidR="00BE3CE6" w:rsidRPr="00CA0300">
        <w:t>2</w:t>
      </w:r>
      <w:r w:rsidR="00BE3CE6">
        <w:t>7</w:t>
      </w:r>
      <w:r w:rsidR="00BE3CE6" w:rsidRPr="00CA0300">
        <w:t xml:space="preserve"> </w:t>
      </w:r>
      <w:r w:rsidR="00DC1CBA" w:rsidRPr="00CA0300">
        <w:t>per cent within 5</w:t>
      </w:r>
      <w:r w:rsidR="003A59E5">
        <w:t xml:space="preserve"> to </w:t>
      </w:r>
      <w:r w:rsidR="00DC1CBA" w:rsidRPr="00CA0300">
        <w:t>10</w:t>
      </w:r>
      <w:r w:rsidR="00701C9E">
        <w:t> </w:t>
      </w:r>
      <w:r w:rsidR="00DC1CBA" w:rsidRPr="00CA0300">
        <w:t>years</w:t>
      </w:r>
      <w:r w:rsidR="00AA49FE">
        <w:t>, and 6 per cent in 10 to 20 years</w:t>
      </w:r>
      <w:r w:rsidR="00DC1CBA" w:rsidRPr="00CA0300">
        <w:t>. These tenancies have similar average fit</w:t>
      </w:r>
      <w:r w:rsidR="00DC1CBA" w:rsidRPr="00CA0300">
        <w:noBreakHyphen/>
        <w:t>out density and occupational density rates.</w:t>
      </w:r>
    </w:p>
    <w:p w14:paraId="2DC23719" w14:textId="7F402CD1" w:rsidR="005C4A8C" w:rsidRDefault="005C4A8C" w:rsidP="005C4A8C">
      <w:r w:rsidRPr="00144845">
        <w:t xml:space="preserve">The cost per square </w:t>
      </w:r>
      <w:r>
        <w:t>metre</w:t>
      </w:r>
      <w:r w:rsidRPr="00144845">
        <w:t xml:space="preserve"> ranges between $</w:t>
      </w:r>
      <w:r w:rsidRPr="005C4A8C">
        <w:t>463 and $517 for leases with lengths up to 20</w:t>
      </w:r>
      <w:r w:rsidR="002F6A8E">
        <w:t> </w:t>
      </w:r>
      <w:r w:rsidRPr="005C4A8C">
        <w:t>years until they expire. The cost per square metre of $94 for leases in the 20 or more year category is much lower by comparison as 10</w:t>
      </w:r>
      <w:r>
        <w:t xml:space="preserve"> out of the 11 buildings in this category are owned and occupied by the same entity and therefore do not incur rental costs.</w:t>
      </w:r>
    </w:p>
    <w:p w14:paraId="58290B63" w14:textId="77777777" w:rsidR="00DC1CBA" w:rsidRDefault="00DC1CBA" w:rsidP="00DC1CBA">
      <w:r>
        <w:t>These lease expiry categories do not take into account any existing lease options that may be exercised by tenants.</w:t>
      </w:r>
    </w:p>
    <w:p w14:paraId="74CE5D6D" w14:textId="6249E10A" w:rsidR="00DE1E06" w:rsidRDefault="007342BC" w:rsidP="00FD1681">
      <w:pPr>
        <w:pStyle w:val="Heading2Numbered"/>
        <w:numPr>
          <w:ilvl w:val="1"/>
          <w:numId w:val="4"/>
        </w:numPr>
      </w:pPr>
      <w:bookmarkStart w:id="20" w:name="_Toc2679941"/>
      <w:bookmarkStart w:id="21" w:name="_Toc40455104"/>
      <w:bookmarkEnd w:id="20"/>
      <w:r>
        <w:t>Office Type</w:t>
      </w:r>
      <w:bookmarkEnd w:id="21"/>
    </w:p>
    <w:p w14:paraId="142A8A3B" w14:textId="6AE45033" w:rsidR="00DC1CBA" w:rsidRDefault="00DC1CBA" w:rsidP="00DC1CBA">
      <w:pPr>
        <w:rPr>
          <w:b/>
        </w:rPr>
      </w:pPr>
      <w:r w:rsidRPr="00DC1CBA">
        <w:rPr>
          <w:b/>
        </w:rPr>
        <w:t xml:space="preserve">Table </w:t>
      </w:r>
      <w:r w:rsidR="00065B82">
        <w:rPr>
          <w:b/>
        </w:rPr>
        <w:t>6</w:t>
      </w:r>
      <w:r w:rsidRPr="00DC1CBA">
        <w:rPr>
          <w:b/>
        </w:rPr>
        <w:t>: Office type</w:t>
      </w:r>
    </w:p>
    <w:tbl>
      <w:tblPr>
        <w:tblW w:w="48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8"/>
        <w:gridCol w:w="1418"/>
        <w:gridCol w:w="1418"/>
        <w:gridCol w:w="1273"/>
      </w:tblGrid>
      <w:tr w:rsidR="00260701" w:rsidRPr="007A408A" w14:paraId="625F852C"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6E817CF7" w14:textId="4E51D0B0" w:rsidR="00260701" w:rsidRPr="007A408A" w:rsidRDefault="00CA110C">
            <w:pPr>
              <w:suppressAutoHyphens w:val="0"/>
              <w:spacing w:before="0" w:after="0" w:line="240" w:lineRule="auto"/>
              <w:rPr>
                <w:rFonts w:ascii="Calibri" w:hAnsi="Calibri" w:cs="Calibri"/>
                <w:color w:val="000000"/>
                <w:sz w:val="20"/>
              </w:rPr>
            </w:pPr>
            <w:r>
              <w:rPr>
                <w:rFonts w:ascii="Calibri" w:hAnsi="Calibri" w:cs="Calibri"/>
                <w:color w:val="000000"/>
                <w:sz w:val="20"/>
              </w:rPr>
              <w:t>Measure</w:t>
            </w:r>
          </w:p>
        </w:tc>
        <w:tc>
          <w:tcPr>
            <w:tcW w:w="807"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78A40FC8" w14:textId="77777777" w:rsidR="00260701" w:rsidRPr="007A408A" w:rsidRDefault="00260701" w:rsidP="00DF1805">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Solely office (100% office area)</w:t>
            </w:r>
          </w:p>
        </w:tc>
        <w:tc>
          <w:tcPr>
            <w:tcW w:w="807"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48FE55D4" w14:textId="69D8FE5D" w:rsidR="00260701" w:rsidRPr="007A408A" w:rsidRDefault="00260701" w:rsidP="00DF1805">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M</w:t>
            </w:r>
            <w:r w:rsidR="00C63B26">
              <w:rPr>
                <w:rFonts w:ascii="Calibri" w:hAnsi="Calibri" w:cs="Calibri"/>
                <w:color w:val="000000"/>
                <w:sz w:val="20"/>
              </w:rPr>
              <w:t>ostly</w:t>
            </w:r>
            <w:r w:rsidRPr="007A408A">
              <w:rPr>
                <w:rFonts w:ascii="Calibri" w:hAnsi="Calibri" w:cs="Calibri"/>
                <w:color w:val="000000"/>
                <w:sz w:val="20"/>
              </w:rPr>
              <w:t xml:space="preserve"> office (80% to 99% office)</w:t>
            </w:r>
          </w:p>
        </w:tc>
        <w:tc>
          <w:tcPr>
            <w:tcW w:w="807"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602F8EB0" w14:textId="77777777" w:rsidR="00260701" w:rsidRPr="007A408A" w:rsidRDefault="00260701" w:rsidP="00DF1805">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Mixed (50% to 79% office)</w:t>
            </w:r>
          </w:p>
        </w:tc>
        <w:tc>
          <w:tcPr>
            <w:tcW w:w="724"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1B81ECA0" w14:textId="44A31F6F" w:rsidR="00260701" w:rsidRPr="007A408A" w:rsidRDefault="00C63B26" w:rsidP="00DF1805">
            <w:pPr>
              <w:suppressAutoHyphens w:val="0"/>
              <w:spacing w:before="0" w:after="0" w:line="240" w:lineRule="auto"/>
              <w:jc w:val="right"/>
              <w:rPr>
                <w:rFonts w:ascii="Calibri" w:hAnsi="Calibri" w:cs="Calibri"/>
                <w:color w:val="000000"/>
                <w:sz w:val="20"/>
              </w:rPr>
            </w:pPr>
            <w:r>
              <w:rPr>
                <w:rFonts w:ascii="Calibri" w:hAnsi="Calibri" w:cs="Calibri"/>
                <w:color w:val="000000"/>
                <w:sz w:val="20"/>
              </w:rPr>
              <w:t>Mostly</w:t>
            </w:r>
            <w:r w:rsidR="00260701" w:rsidRPr="007A408A">
              <w:rPr>
                <w:rFonts w:ascii="Calibri" w:hAnsi="Calibri" w:cs="Calibri"/>
                <w:color w:val="000000"/>
                <w:sz w:val="20"/>
              </w:rPr>
              <w:t xml:space="preserve"> operational (0% to 49% office)</w:t>
            </w:r>
          </w:p>
        </w:tc>
      </w:tr>
      <w:tr w:rsidR="00260701" w:rsidRPr="007A408A" w14:paraId="4FC7B120"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4DB07" w14:textId="77777777" w:rsidR="00260701" w:rsidRPr="007A408A" w:rsidRDefault="00260701">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Number of Tenancies (n)</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3608D" w14:textId="77777777" w:rsidR="00260701" w:rsidRPr="007A408A" w:rsidRDefault="00260701"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120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BE63A" w14:textId="77777777" w:rsidR="00260701" w:rsidRPr="007A408A" w:rsidRDefault="00260701"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305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C1337" w14:textId="77777777" w:rsidR="00260701" w:rsidRPr="007A408A" w:rsidRDefault="00260701"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122</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9FE24" w14:textId="77777777" w:rsidR="00260701" w:rsidRPr="007A408A" w:rsidRDefault="00260701"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21</w:t>
            </w:r>
          </w:p>
        </w:tc>
      </w:tr>
      <w:tr w:rsidR="003229FE" w:rsidRPr="003229FE" w14:paraId="6D45288F"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911CC8" w14:textId="149A574B" w:rsidR="003229FE" w:rsidRPr="003229FE"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Controlled Area m²</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9E6D1" w14:textId="0B06314F" w:rsidR="003229FE" w:rsidRPr="003229FE"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246,494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E8C8AC" w14:textId="63D61265" w:rsidR="003229FE" w:rsidRPr="003229FE"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1,899,048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76C4A" w14:textId="7854B60D" w:rsidR="003229FE" w:rsidRPr="003229FE"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429,479</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B22BC0" w14:textId="733ACA92" w:rsidR="003229FE" w:rsidRPr="003229FE"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263,324</w:t>
            </w:r>
          </w:p>
        </w:tc>
      </w:tr>
      <w:tr w:rsidR="003229FE" w:rsidRPr="007A408A" w14:paraId="08745A82"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AC258" w14:textId="454FBD9A"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Usable Office Area (m²)</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E57BF" w14:textId="1F298627"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246,494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939EB" w14:textId="170C4B68"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1,739,897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A5D7" w14:textId="4DB581F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235,511</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A0F28" w14:textId="4747A883"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31,458</w:t>
            </w:r>
          </w:p>
        </w:tc>
      </w:tr>
      <w:tr w:rsidR="003229FE" w:rsidRPr="007A408A" w14:paraId="68B8EDD1"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0F30F" w14:textId="231883E1"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Work-points (n)</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96B60" w14:textId="7E8823DA"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18,135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357E" w14:textId="47D46F9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127,743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5E0BE" w14:textId="3BC99E0A"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16,902</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B94D2" w14:textId="40C0C99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1,852</w:t>
            </w:r>
          </w:p>
        </w:tc>
      </w:tr>
      <w:tr w:rsidR="003229FE" w:rsidRPr="007A408A" w14:paraId="5F8AE5E6"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8473E" w14:textId="3F02652C"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Staff (n)</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1CC13" w14:textId="59F00F1E"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15,018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B15E" w14:textId="6980CC5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109,627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75363" w14:textId="0D2BE24D"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13,098</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700E9" w14:textId="67955C64"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1,840</w:t>
            </w:r>
          </w:p>
        </w:tc>
      </w:tr>
      <w:tr w:rsidR="003229FE" w:rsidRPr="007A408A" w14:paraId="49446A31"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2A11D" w14:textId="68065FE9"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Vacant Work-points (n)</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B956" w14:textId="579A69F3"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3,117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165A" w14:textId="59DF763A"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18,116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022C7" w14:textId="6CC77EF0"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3,804</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3350" w14:textId="3C5D9E4C"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12</w:t>
            </w:r>
          </w:p>
        </w:tc>
      </w:tr>
      <w:tr w:rsidR="003229FE" w:rsidRPr="007A408A" w14:paraId="1619FD23"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AA361" w14:textId="6E8E8CAB"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Work-point Vacancy Rate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AA851" w14:textId="6DB76BC3"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17.2%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7EA5F" w14:textId="30AE0A8E"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6E1CE" w14:textId="1FD7C70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22.5%</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16484" w14:textId="33FAF810"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0.6%</w:t>
            </w:r>
          </w:p>
        </w:tc>
      </w:tr>
      <w:tr w:rsidR="003229FE" w:rsidRPr="007A408A" w14:paraId="720C424C"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F1BE" w14:textId="3E0B5135"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Average Fit-out Density (m²)</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6F18B" w14:textId="53373E7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D5482" w14:textId="09641767"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13.6</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FF889" w14:textId="5FE2786C"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13.9</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E7C88" w14:textId="0E32B54F"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17.0</w:t>
            </w:r>
          </w:p>
        </w:tc>
      </w:tr>
      <w:tr w:rsidR="003229FE" w:rsidRPr="007A408A" w14:paraId="454D8313"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5618" w14:textId="4A6244A8"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Average Occupational Density (m²)</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BB38E" w14:textId="36F0BA46"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16.4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42A72" w14:textId="4C26CFB8"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15.9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D4BC7" w14:textId="07FB99D8"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18.0</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0EE94" w14:textId="5A499855"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17.1</w:t>
            </w:r>
          </w:p>
        </w:tc>
      </w:tr>
      <w:tr w:rsidR="003229FE" w:rsidRPr="007A408A" w14:paraId="44E407A8"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4B8A" w14:textId="5465DCCE"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Meeting the Occupational Density Target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0CC98" w14:textId="62D4A233"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34.2%</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5A66D" w14:textId="125F76CA"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30.8%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EA12D" w14:textId="735CEB50"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21.3%</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25AC" w14:textId="4EBC444A"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33.3%</w:t>
            </w:r>
          </w:p>
        </w:tc>
      </w:tr>
      <w:tr w:rsidR="003229FE" w:rsidRPr="007A408A" w14:paraId="52D6556D"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69F81" w14:textId="1375C76D" w:rsidR="003229FE" w:rsidRPr="007A408A" w:rsidRDefault="003229FE">
            <w:pPr>
              <w:suppressAutoHyphens w:val="0"/>
              <w:spacing w:before="0" w:after="0" w:line="240" w:lineRule="auto"/>
              <w:rPr>
                <w:rFonts w:ascii="Calibri" w:hAnsi="Calibri" w:cs="Calibri"/>
                <w:color w:val="000000"/>
                <w:sz w:val="20"/>
              </w:rPr>
            </w:pPr>
            <w:r w:rsidRPr="007A408A">
              <w:rPr>
                <w:rFonts w:ascii="Calibri" w:hAnsi="Calibri" w:cs="Calibri"/>
                <w:color w:val="000000"/>
                <w:sz w:val="20"/>
              </w:rPr>
              <w:t>Net Tenancy Expenditure ($m)</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21225" w14:textId="2B675D1E" w:rsidR="003229FE" w:rsidRPr="007A408A" w:rsidRDefault="000D1C30" w:rsidP="00030023">
            <w:pPr>
              <w:suppressAutoHyphens w:val="0"/>
              <w:spacing w:before="0" w:after="0" w:line="240" w:lineRule="auto"/>
              <w:jc w:val="right"/>
              <w:rPr>
                <w:rFonts w:ascii="Calibri" w:hAnsi="Calibri" w:cs="Calibri"/>
                <w:color w:val="000000"/>
                <w:sz w:val="20"/>
              </w:rPr>
            </w:pPr>
            <w:r>
              <w:rPr>
                <w:rFonts w:ascii="Calibri" w:hAnsi="Calibri" w:cs="Calibri"/>
                <w:color w:val="000000"/>
                <w:sz w:val="20"/>
              </w:rPr>
              <w:t>$</w:t>
            </w:r>
            <w:r w:rsidR="003229FE" w:rsidRPr="007A408A">
              <w:rPr>
                <w:rFonts w:ascii="Calibri" w:hAnsi="Calibri" w:cs="Calibri"/>
                <w:color w:val="000000"/>
                <w:sz w:val="20"/>
              </w:rPr>
              <w:t>130.4</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F0010" w14:textId="3DB2D668" w:rsidR="003229FE" w:rsidRPr="007A408A" w:rsidRDefault="000D1C30" w:rsidP="00030023">
            <w:pPr>
              <w:suppressAutoHyphens w:val="0"/>
              <w:spacing w:before="0" w:after="0" w:line="240" w:lineRule="auto"/>
              <w:jc w:val="right"/>
              <w:rPr>
                <w:rFonts w:ascii="Calibri" w:hAnsi="Calibri" w:cs="Calibri"/>
                <w:color w:val="000000"/>
                <w:sz w:val="20"/>
              </w:rPr>
            </w:pPr>
            <w:r>
              <w:rPr>
                <w:rFonts w:ascii="Calibri" w:hAnsi="Calibri" w:cs="Calibri"/>
                <w:color w:val="000000"/>
                <w:sz w:val="20"/>
              </w:rPr>
              <w:t>$</w:t>
            </w:r>
            <w:r w:rsidR="003229FE" w:rsidRPr="007A408A">
              <w:rPr>
                <w:rFonts w:ascii="Calibri" w:hAnsi="Calibri" w:cs="Calibri"/>
                <w:color w:val="000000"/>
                <w:sz w:val="20"/>
              </w:rPr>
              <w:t>921.8</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51DB" w14:textId="19F6DE63" w:rsidR="003229FE" w:rsidRPr="007A408A" w:rsidRDefault="000D1C30" w:rsidP="00030023">
            <w:pPr>
              <w:suppressAutoHyphens w:val="0"/>
              <w:spacing w:before="0" w:after="0" w:line="240" w:lineRule="auto"/>
              <w:jc w:val="right"/>
              <w:rPr>
                <w:rFonts w:ascii="Calibri" w:hAnsi="Calibri" w:cs="Calibri"/>
                <w:color w:val="000000"/>
                <w:sz w:val="20"/>
              </w:rPr>
            </w:pPr>
            <w:r>
              <w:rPr>
                <w:rFonts w:ascii="Calibri" w:hAnsi="Calibri" w:cs="Calibri"/>
                <w:color w:val="000000"/>
                <w:sz w:val="20"/>
              </w:rPr>
              <w:t>$</w:t>
            </w:r>
            <w:r w:rsidR="003229FE" w:rsidRPr="007A408A">
              <w:rPr>
                <w:rFonts w:ascii="Calibri" w:hAnsi="Calibri" w:cs="Calibri"/>
                <w:color w:val="000000"/>
                <w:sz w:val="20"/>
              </w:rPr>
              <w:t>189.1</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B3BE9" w14:textId="7DAC07F1" w:rsidR="003229FE" w:rsidRPr="007A408A" w:rsidRDefault="000D1C30" w:rsidP="00030023">
            <w:pPr>
              <w:suppressAutoHyphens w:val="0"/>
              <w:spacing w:before="0" w:after="0" w:line="240" w:lineRule="auto"/>
              <w:jc w:val="right"/>
              <w:rPr>
                <w:rFonts w:ascii="Calibri" w:hAnsi="Calibri" w:cs="Calibri"/>
                <w:color w:val="000000"/>
                <w:sz w:val="20"/>
              </w:rPr>
            </w:pPr>
            <w:r>
              <w:rPr>
                <w:rFonts w:ascii="Calibri" w:hAnsi="Calibri" w:cs="Calibri"/>
                <w:color w:val="000000"/>
                <w:sz w:val="20"/>
              </w:rPr>
              <w:t>$</w:t>
            </w:r>
            <w:r w:rsidR="003229FE" w:rsidRPr="007A408A">
              <w:rPr>
                <w:rFonts w:ascii="Calibri" w:hAnsi="Calibri" w:cs="Calibri"/>
                <w:color w:val="000000"/>
                <w:sz w:val="20"/>
              </w:rPr>
              <w:t>95.3</w:t>
            </w:r>
          </w:p>
        </w:tc>
      </w:tr>
      <w:tr w:rsidR="003229FE" w:rsidRPr="007A408A" w14:paraId="15FD3F38"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1323" w14:textId="19C07D63" w:rsidR="003229FE" w:rsidRPr="007A408A" w:rsidRDefault="004A60F2">
            <w:pPr>
              <w:suppressAutoHyphens w:val="0"/>
              <w:spacing w:before="0" w:after="0" w:line="240" w:lineRule="auto"/>
              <w:rPr>
                <w:rFonts w:ascii="Calibri" w:hAnsi="Calibri" w:cs="Calibri"/>
                <w:color w:val="000000"/>
                <w:sz w:val="20"/>
              </w:rPr>
            </w:pPr>
            <w:r>
              <w:rPr>
                <w:rFonts w:ascii="Calibri" w:hAnsi="Calibri" w:cs="Calibri"/>
                <w:color w:val="000000"/>
                <w:sz w:val="20"/>
              </w:rPr>
              <w:t xml:space="preserve">Average </w:t>
            </w:r>
            <w:r w:rsidR="003229FE" w:rsidRPr="007A408A">
              <w:rPr>
                <w:rFonts w:ascii="Calibri" w:hAnsi="Calibri" w:cs="Calibri"/>
                <w:color w:val="000000"/>
                <w:sz w:val="20"/>
              </w:rPr>
              <w:t>Cost per m²</w:t>
            </w:r>
            <w:r w:rsidR="003229FE" w:rsidRPr="00FD1681">
              <w:rPr>
                <w:rFonts w:ascii="Calibri" w:hAnsi="Calibri" w:cs="Calibri"/>
                <w:sz w:val="20"/>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2E5B3" w14:textId="41CF9420"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$52</w:t>
            </w:r>
            <w:r w:rsidR="00464C5C">
              <w:rPr>
                <w:rFonts w:ascii="Calibri" w:hAnsi="Calibri" w:cs="Calibri"/>
                <w:color w:val="000000"/>
                <w:sz w:val="20"/>
              </w:rPr>
              <w:t>9</w:t>
            </w:r>
            <w:r w:rsidRPr="007A408A">
              <w:rPr>
                <w:rFonts w:ascii="Calibri" w:hAnsi="Calibri" w:cs="Calibri"/>
                <w:color w:val="000000"/>
                <w:sz w:val="20"/>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308E0" w14:textId="53726FD5"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 xml:space="preserve">$485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5529" w14:textId="683920E8"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$440</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F349" w14:textId="72B05F03"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$36</w:t>
            </w:r>
            <w:r w:rsidR="00464C5C">
              <w:rPr>
                <w:rFonts w:ascii="Calibri" w:hAnsi="Calibri" w:cs="Calibri"/>
                <w:color w:val="000000"/>
                <w:sz w:val="20"/>
              </w:rPr>
              <w:t>2</w:t>
            </w:r>
          </w:p>
        </w:tc>
      </w:tr>
      <w:tr w:rsidR="003229FE" w:rsidRPr="007A408A" w14:paraId="4A721BAA"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EF906" w14:textId="7EE8759B" w:rsidR="003229FE" w:rsidRPr="007A408A" w:rsidRDefault="004A60F2">
            <w:pPr>
              <w:suppressAutoHyphens w:val="0"/>
              <w:spacing w:before="0" w:after="0" w:line="240" w:lineRule="auto"/>
              <w:rPr>
                <w:rFonts w:ascii="Calibri" w:hAnsi="Calibri" w:cs="Calibri"/>
                <w:color w:val="000000"/>
                <w:sz w:val="20"/>
              </w:rPr>
            </w:pPr>
            <w:r>
              <w:rPr>
                <w:rFonts w:ascii="Calibri" w:hAnsi="Calibri" w:cs="Calibri"/>
                <w:color w:val="000000"/>
                <w:sz w:val="20"/>
              </w:rPr>
              <w:t xml:space="preserve">Average </w:t>
            </w:r>
            <w:r w:rsidR="003229FE" w:rsidRPr="007A408A">
              <w:rPr>
                <w:rFonts w:ascii="Calibri" w:hAnsi="Calibri" w:cs="Calibri"/>
                <w:color w:val="000000"/>
                <w:sz w:val="20"/>
              </w:rPr>
              <w:t>Cost per Staff</w:t>
            </w:r>
            <w:r w:rsidR="003229FE" w:rsidRPr="00FD1681">
              <w:rPr>
                <w:rFonts w:ascii="Calibri" w:hAnsi="Calibri" w:cs="Calibri"/>
                <w:sz w:val="20"/>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41F10" w14:textId="7339E428"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$8,6</w:t>
            </w:r>
            <w:r w:rsidR="00464C5C">
              <w:rPr>
                <w:rFonts w:ascii="Calibri" w:hAnsi="Calibri" w:cs="Calibri"/>
                <w:color w:val="000000"/>
                <w:sz w:val="20"/>
              </w:rPr>
              <w:t>80</w:t>
            </w:r>
            <w:r w:rsidRPr="007A408A">
              <w:rPr>
                <w:rFonts w:ascii="Calibri" w:hAnsi="Calibri" w:cs="Calibri"/>
                <w:color w:val="000000"/>
                <w:sz w:val="20"/>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89861" w14:textId="0EF2CC4B"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$8,40</w:t>
            </w:r>
            <w:r w:rsidR="00464C5C">
              <w:rPr>
                <w:rFonts w:ascii="Calibri" w:hAnsi="Calibri" w:cs="Calibri"/>
                <w:color w:val="000000"/>
                <w:sz w:val="20"/>
              </w:rPr>
              <w:t>9</w:t>
            </w:r>
            <w:r w:rsidRPr="007A408A">
              <w:rPr>
                <w:rFonts w:ascii="Calibri" w:hAnsi="Calibri" w:cs="Calibri"/>
                <w:color w:val="000000"/>
                <w:sz w:val="20"/>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AACD6" w14:textId="1394132B"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$14,43</w:t>
            </w:r>
            <w:r w:rsidR="00464C5C">
              <w:rPr>
                <w:rFonts w:ascii="Calibri" w:hAnsi="Calibri" w:cs="Calibri"/>
                <w:color w:val="000000"/>
                <w:sz w:val="20"/>
              </w:rPr>
              <w:t>5</w:t>
            </w:r>
            <w:r w:rsidRPr="007A408A">
              <w:rPr>
                <w:rFonts w:ascii="Calibri" w:hAnsi="Calibri" w:cs="Calibri"/>
                <w:color w:val="000000"/>
                <w:sz w:val="20"/>
              </w:rPr>
              <w:t xml:space="preserve"> </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56149" w14:textId="32B01BC2" w:rsidR="003229FE" w:rsidRPr="002A146E" w:rsidRDefault="003229FE" w:rsidP="00030023">
            <w:pPr>
              <w:suppressAutoHyphens w:val="0"/>
              <w:spacing w:before="0" w:after="0" w:line="240" w:lineRule="auto"/>
              <w:jc w:val="right"/>
              <w:rPr>
                <w:rFonts w:ascii="Calibri" w:hAnsi="Calibri" w:cs="Calibri"/>
                <w:color w:val="000000"/>
                <w:sz w:val="20"/>
              </w:rPr>
            </w:pPr>
            <w:r w:rsidRPr="002A146E">
              <w:rPr>
                <w:rFonts w:ascii="Calibri" w:hAnsi="Calibri" w:cs="Calibri"/>
                <w:color w:val="000000"/>
                <w:sz w:val="20"/>
              </w:rPr>
              <w:t xml:space="preserve">$51,783 </w:t>
            </w:r>
          </w:p>
        </w:tc>
      </w:tr>
      <w:tr w:rsidR="003229FE" w:rsidRPr="007A408A" w14:paraId="72FA53FA" w14:textId="77777777" w:rsidTr="00DF1805">
        <w:trPr>
          <w:trHeight w:val="300"/>
        </w:trPr>
        <w:tc>
          <w:tcPr>
            <w:tcW w:w="1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C230D" w14:textId="1F21A2D1" w:rsidR="003229FE" w:rsidRPr="007A408A" w:rsidRDefault="004A60F2">
            <w:pPr>
              <w:suppressAutoHyphens w:val="0"/>
              <w:spacing w:before="0" w:after="0" w:line="240" w:lineRule="auto"/>
              <w:rPr>
                <w:rFonts w:ascii="Calibri" w:hAnsi="Calibri" w:cs="Calibri"/>
                <w:color w:val="000000"/>
                <w:sz w:val="20"/>
              </w:rPr>
            </w:pPr>
            <w:r>
              <w:rPr>
                <w:rFonts w:ascii="Calibri" w:hAnsi="Calibri" w:cs="Calibri"/>
                <w:color w:val="000000"/>
                <w:sz w:val="20"/>
              </w:rPr>
              <w:t xml:space="preserve">Average </w:t>
            </w:r>
            <w:r w:rsidR="003229FE" w:rsidRPr="007A408A">
              <w:rPr>
                <w:rFonts w:ascii="Calibri" w:hAnsi="Calibri" w:cs="Calibri"/>
                <w:color w:val="000000"/>
                <w:sz w:val="20"/>
              </w:rPr>
              <w:t>Cost per Work-point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95879" w14:textId="2925B1BA"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 xml:space="preserve">$7,188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42759" w14:textId="261FF4A7"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 xml:space="preserve">$7,216 </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651E2" w14:textId="32F97A78" w:rsidR="003229FE" w:rsidRPr="007A408A" w:rsidRDefault="003229FE" w:rsidP="00030023">
            <w:pPr>
              <w:suppressAutoHyphens w:val="0"/>
              <w:spacing w:before="0" w:after="0" w:line="240" w:lineRule="auto"/>
              <w:jc w:val="right"/>
              <w:rPr>
                <w:rFonts w:ascii="Calibri" w:hAnsi="Calibri" w:cs="Calibri"/>
                <w:color w:val="000000"/>
                <w:sz w:val="20"/>
              </w:rPr>
            </w:pPr>
            <w:r w:rsidRPr="007A408A">
              <w:rPr>
                <w:rFonts w:ascii="Calibri" w:hAnsi="Calibri" w:cs="Calibri"/>
                <w:color w:val="000000"/>
                <w:sz w:val="20"/>
              </w:rPr>
              <w:t xml:space="preserve">$11,186 </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008B2" w14:textId="27DC123B" w:rsidR="003229FE" w:rsidRPr="002A146E" w:rsidRDefault="003229FE" w:rsidP="00030023">
            <w:pPr>
              <w:suppressAutoHyphens w:val="0"/>
              <w:spacing w:before="0" w:after="0" w:line="240" w:lineRule="auto"/>
              <w:jc w:val="right"/>
              <w:rPr>
                <w:rFonts w:ascii="Calibri" w:hAnsi="Calibri" w:cs="Calibri"/>
                <w:color w:val="000000"/>
                <w:sz w:val="20"/>
              </w:rPr>
            </w:pPr>
            <w:r w:rsidRPr="002A146E">
              <w:rPr>
                <w:rFonts w:ascii="Calibri" w:hAnsi="Calibri" w:cs="Calibri"/>
                <w:color w:val="000000"/>
                <w:sz w:val="20"/>
              </w:rPr>
              <w:t>$51,44</w:t>
            </w:r>
            <w:r w:rsidR="00464C5C" w:rsidRPr="002A146E">
              <w:rPr>
                <w:rFonts w:ascii="Calibri" w:hAnsi="Calibri" w:cs="Calibri"/>
                <w:color w:val="000000"/>
                <w:sz w:val="20"/>
              </w:rPr>
              <w:t>8</w:t>
            </w:r>
            <w:r w:rsidRPr="002A146E">
              <w:rPr>
                <w:rFonts w:ascii="Calibri" w:hAnsi="Calibri" w:cs="Calibri"/>
                <w:color w:val="000000"/>
                <w:sz w:val="20"/>
              </w:rPr>
              <w:t xml:space="preserve"> </w:t>
            </w:r>
          </w:p>
        </w:tc>
      </w:tr>
    </w:tbl>
    <w:p w14:paraId="278755AB" w14:textId="1E721849" w:rsidR="00DC1CBA" w:rsidRPr="00DC1CBA" w:rsidRDefault="00DC1CBA" w:rsidP="00DC1CBA">
      <w:r w:rsidRPr="00DC1CBA">
        <w:t xml:space="preserve">A tenancy is categorised as ‘solely office’, ‘mostly office’, ‘mixed’, or ‘mostly operational’ depending on the ratio of usable office area to </w:t>
      </w:r>
      <w:r w:rsidR="00A4345B">
        <w:t>controlled</w:t>
      </w:r>
      <w:r w:rsidRPr="00DC1CBA">
        <w:t xml:space="preserve"> area.</w:t>
      </w:r>
    </w:p>
    <w:p w14:paraId="0DEE4EE6" w14:textId="2A57A483" w:rsidR="00DC1CBA" w:rsidRPr="00DC1CBA" w:rsidRDefault="00DC1CBA" w:rsidP="00FD1681">
      <w:pPr>
        <w:numPr>
          <w:ilvl w:val="0"/>
          <w:numId w:val="12"/>
        </w:numPr>
        <w:contextualSpacing/>
      </w:pPr>
      <w:r w:rsidRPr="00DC1CBA">
        <w:t xml:space="preserve">If a tenancy’s usable office area equals 100 per cent of its </w:t>
      </w:r>
      <w:r w:rsidR="00A4345B">
        <w:t>controlled area</w:t>
      </w:r>
      <w:r w:rsidRPr="00DC1CBA">
        <w:t>, then it is deemed to be ‘solely office’;</w:t>
      </w:r>
    </w:p>
    <w:p w14:paraId="0A5595DD" w14:textId="77777777" w:rsidR="00DC1CBA" w:rsidRPr="00DC1CBA" w:rsidRDefault="00DC1CBA" w:rsidP="00FD1681">
      <w:pPr>
        <w:numPr>
          <w:ilvl w:val="0"/>
          <w:numId w:val="12"/>
        </w:numPr>
        <w:contextualSpacing/>
      </w:pPr>
      <w:r w:rsidRPr="00DC1CBA">
        <w:t xml:space="preserve">if the ratio is between 80 and 99 per cent, the tenancy is considered to be ‘mostly office’; </w:t>
      </w:r>
    </w:p>
    <w:p w14:paraId="1062FDA1" w14:textId="77777777" w:rsidR="00DC1CBA" w:rsidRPr="00DC1CBA" w:rsidRDefault="00DC1CBA" w:rsidP="00FD1681">
      <w:pPr>
        <w:numPr>
          <w:ilvl w:val="0"/>
          <w:numId w:val="12"/>
        </w:numPr>
        <w:contextualSpacing/>
      </w:pPr>
      <w:r w:rsidRPr="00DC1CBA">
        <w:t xml:space="preserve">if the ratio falls to between 50 and 79 per cent, the tenancy is ‘mixed’; and </w:t>
      </w:r>
    </w:p>
    <w:p w14:paraId="40A8C1C2" w14:textId="12D41164" w:rsidR="00DC1CBA" w:rsidRDefault="00DC1CBA" w:rsidP="00FD1681">
      <w:pPr>
        <w:numPr>
          <w:ilvl w:val="0"/>
          <w:numId w:val="12"/>
        </w:numPr>
        <w:contextualSpacing/>
      </w:pPr>
      <w:r w:rsidRPr="00DC1CBA">
        <w:t xml:space="preserve">if usable office area makes up less than 50 per cent of the </w:t>
      </w:r>
      <w:r w:rsidR="00A4345B">
        <w:t>c</w:t>
      </w:r>
      <w:r w:rsidR="004E18B8">
        <w:t xml:space="preserve">ontrolled </w:t>
      </w:r>
      <w:r w:rsidR="00A4345B">
        <w:t>area</w:t>
      </w:r>
      <w:r w:rsidRPr="00DC1CBA">
        <w:t>, then the tenancy is ‘mostly operational’.</w:t>
      </w:r>
    </w:p>
    <w:p w14:paraId="5E741551" w14:textId="1B696BA4" w:rsidR="002F6A8E" w:rsidRDefault="002F6A8E" w:rsidP="002A146E">
      <w:r>
        <w:t xml:space="preserve">Calculation of spatial density measures is not influenced by office type because they are determined relative to usable office area. However, net tenancy expenditure throughout the report is based on controlled area (as costs relate to the total controlled area of the tenancy). These cost figures can be rebased on usable office area to provide a </w:t>
      </w:r>
      <w:r w:rsidR="005967C2">
        <w:t xml:space="preserve">better </w:t>
      </w:r>
      <w:r>
        <w:t>comparison between different office type categories.</w:t>
      </w:r>
    </w:p>
    <w:p w14:paraId="41CD138F" w14:textId="612AA837" w:rsidR="00836A56" w:rsidRDefault="00836A56" w:rsidP="0011039E">
      <w:r>
        <w:t>When rebased for usable office area, the average cost per staff and work-point</w:t>
      </w:r>
      <w:r w:rsidR="002B4BDF">
        <w:t xml:space="preserve"> for mostly operational tenancies</w:t>
      </w:r>
      <w:r w:rsidR="002F6A8E">
        <w:t xml:space="preserve"> is</w:t>
      </w:r>
      <w:r w:rsidR="0064647C">
        <w:t xml:space="preserve"> </w:t>
      </w:r>
      <w:r w:rsidR="00302FC4">
        <w:t>$6,186 per staff and $6,146 per work-point respectively.</w:t>
      </w:r>
      <w:r w:rsidR="0064647C">
        <w:t xml:space="preserve"> </w:t>
      </w:r>
      <w:r w:rsidR="00E60E81">
        <w:t xml:space="preserve">Office space </w:t>
      </w:r>
      <w:r w:rsidR="00BF1CB4">
        <w:t xml:space="preserve">in this category includes space that is attached to </w:t>
      </w:r>
      <w:r w:rsidR="00E60E81">
        <w:t>operational facilities</w:t>
      </w:r>
      <w:r w:rsidR="00BF1CB4">
        <w:t>,</w:t>
      </w:r>
      <w:r w:rsidR="00E60E81">
        <w:t xml:space="preserve"> </w:t>
      </w:r>
      <w:r w:rsidR="0064647C">
        <w:t xml:space="preserve">archives facilities, </w:t>
      </w:r>
      <w:r w:rsidR="00E60E81">
        <w:t xml:space="preserve">container examination facilities, </w:t>
      </w:r>
      <w:r w:rsidR="00BF1CB4">
        <w:t>and federal law court buildings.</w:t>
      </w:r>
    </w:p>
    <w:p w14:paraId="075E80ED" w14:textId="77777777" w:rsidR="00893523" w:rsidRDefault="00893523">
      <w:pPr>
        <w:suppressAutoHyphens w:val="0"/>
        <w:spacing w:before="0" w:after="120" w:line="440" w:lineRule="atLeast"/>
      </w:pPr>
      <w:r>
        <w:br w:type="page"/>
      </w:r>
    </w:p>
    <w:p w14:paraId="156907B3" w14:textId="36532FF2" w:rsidR="00893523" w:rsidRDefault="00893523" w:rsidP="0011039E">
      <w:r>
        <w:t>The results for mixed and mostly office tenancies when rebased for usable office area are</w:t>
      </w:r>
      <w:r w:rsidR="002A063E">
        <w:t>:</w:t>
      </w:r>
      <w:r>
        <w:t xml:space="preserve"> </w:t>
      </w:r>
    </w:p>
    <w:p w14:paraId="62CA1512" w14:textId="6CD63426" w:rsidR="00893523" w:rsidRDefault="002A063E" w:rsidP="00394C60">
      <w:pPr>
        <w:pStyle w:val="ListParagraph"/>
        <w:numPr>
          <w:ilvl w:val="0"/>
          <w:numId w:val="24"/>
        </w:numPr>
      </w:pPr>
      <w:r>
        <w:t>m</w:t>
      </w:r>
      <w:r w:rsidR="00893523">
        <w:t>ixed – t</w:t>
      </w:r>
      <w:r w:rsidR="00836A56">
        <w:t>he average cost</w:t>
      </w:r>
      <w:r w:rsidR="00893523">
        <w:t>s</w:t>
      </w:r>
      <w:r w:rsidR="00836A56">
        <w:t xml:space="preserve"> per staff and work-point is $7,916 per staff and $6,134</w:t>
      </w:r>
      <w:r w:rsidR="005876DE">
        <w:t> </w:t>
      </w:r>
      <w:r w:rsidR="00836A56">
        <w:t>per work-point</w:t>
      </w:r>
      <w:r>
        <w:t>; and</w:t>
      </w:r>
      <w:r w:rsidR="00836A56">
        <w:t xml:space="preserve"> </w:t>
      </w:r>
    </w:p>
    <w:p w14:paraId="629D7EE5" w14:textId="740D4C4B" w:rsidR="00893523" w:rsidRDefault="002A063E" w:rsidP="00394C60">
      <w:pPr>
        <w:pStyle w:val="ListParagraph"/>
        <w:numPr>
          <w:ilvl w:val="0"/>
          <w:numId w:val="24"/>
        </w:numPr>
      </w:pPr>
      <w:r>
        <w:t>m</w:t>
      </w:r>
      <w:r w:rsidR="00893523">
        <w:t>ostly office – t</w:t>
      </w:r>
      <w:r w:rsidR="00836A56">
        <w:t>he average cost</w:t>
      </w:r>
      <w:r w:rsidR="00893523">
        <w:t>s</w:t>
      </w:r>
      <w:r w:rsidR="00836A56">
        <w:t xml:space="preserve"> per staff and work-point is $7,704 per staff and $6,611 per work-point. </w:t>
      </w:r>
    </w:p>
    <w:p w14:paraId="6FA170EE" w14:textId="3D34D2C8" w:rsidR="00D30008" w:rsidRPr="00893523" w:rsidRDefault="00893523">
      <w:pPr>
        <w:rPr>
          <w:rFonts w:asciiTheme="majorHAnsi" w:eastAsiaTheme="majorEastAsia" w:hAnsiTheme="majorHAnsi" w:cstheme="majorBidi"/>
          <w:bCs/>
          <w:color w:val="1C1C1C" w:themeColor="text2"/>
          <w:sz w:val="34"/>
          <w:szCs w:val="26"/>
        </w:rPr>
      </w:pPr>
      <w:r>
        <w:t>T</w:t>
      </w:r>
      <w:r w:rsidR="00836A56">
        <w:t>he costs for solely office tenancies remains the same as in Table 6 as these tenancies have 100 per cent of their space deemed as usable office area.</w:t>
      </w:r>
    </w:p>
    <w:p w14:paraId="251E1921" w14:textId="17388DB7" w:rsidR="00DC1CBA" w:rsidRPr="00DC1CBA" w:rsidRDefault="00DC1CBA" w:rsidP="00944586">
      <w:pPr>
        <w:keepNext/>
        <w:keepLines/>
        <w:numPr>
          <w:ilvl w:val="1"/>
          <w:numId w:val="3"/>
        </w:numPr>
        <w:spacing w:before="360" w:after="120" w:line="400" w:lineRule="atLeast"/>
        <w:outlineLvl w:val="1"/>
        <w:rPr>
          <w:rFonts w:asciiTheme="majorHAnsi" w:eastAsiaTheme="majorEastAsia" w:hAnsiTheme="majorHAnsi" w:cstheme="majorBidi"/>
          <w:bCs/>
          <w:color w:val="1C1C1C" w:themeColor="text2"/>
          <w:sz w:val="34"/>
          <w:szCs w:val="26"/>
        </w:rPr>
      </w:pPr>
      <w:r w:rsidRPr="00DC1CBA">
        <w:rPr>
          <w:rFonts w:asciiTheme="majorHAnsi" w:eastAsiaTheme="majorEastAsia" w:hAnsiTheme="majorHAnsi" w:cstheme="majorBidi"/>
          <w:bCs/>
          <w:color w:val="1C1C1C" w:themeColor="text2"/>
          <w:sz w:val="34"/>
          <w:szCs w:val="26"/>
        </w:rPr>
        <w:t>Tenancy Size</w:t>
      </w:r>
    </w:p>
    <w:p w14:paraId="0EB6BED0" w14:textId="53E5A91D" w:rsidR="00DC1CBA" w:rsidRDefault="00DC1CBA" w:rsidP="00DC1CBA">
      <w:pPr>
        <w:rPr>
          <w:b/>
        </w:rPr>
      </w:pPr>
      <w:r w:rsidRPr="00DC1CBA">
        <w:rPr>
          <w:b/>
        </w:rPr>
        <w:t xml:space="preserve">Table </w:t>
      </w:r>
      <w:r w:rsidR="00065B82">
        <w:rPr>
          <w:b/>
        </w:rPr>
        <w:t>7</w:t>
      </w:r>
      <w:r w:rsidRPr="00DC1CBA">
        <w:rPr>
          <w:b/>
        </w:rPr>
        <w:t>: Tenancy Size</w:t>
      </w:r>
    </w:p>
    <w:tbl>
      <w:tblPr>
        <w:tblW w:w="48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161"/>
        <w:gridCol w:w="1162"/>
        <w:gridCol w:w="1164"/>
        <w:gridCol w:w="1162"/>
        <w:gridCol w:w="1164"/>
      </w:tblGrid>
      <w:tr w:rsidR="007A408A" w:rsidRPr="007A408A" w14:paraId="69280BDE" w14:textId="77777777" w:rsidTr="00394C60">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654953D8" w14:textId="11EA7E70" w:rsidR="007A408A" w:rsidRPr="007A408A" w:rsidRDefault="00CA110C" w:rsidP="00DF1805">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Measure</w:t>
            </w:r>
          </w:p>
        </w:tc>
        <w:tc>
          <w:tcPr>
            <w:tcW w:w="661"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49226EBE" w14:textId="77777777" w:rsidR="007A408A" w:rsidRPr="007A408A" w:rsidRDefault="007A408A" w:rsidP="00DF1805">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Small</w:t>
            </w:r>
          </w:p>
        </w:tc>
        <w:tc>
          <w:tcPr>
            <w:tcW w:w="661"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48FF50BB" w14:textId="77777777" w:rsidR="007A408A" w:rsidRPr="007A408A" w:rsidRDefault="007A408A" w:rsidP="00DF1805">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Medium</w:t>
            </w:r>
          </w:p>
        </w:tc>
        <w:tc>
          <w:tcPr>
            <w:tcW w:w="662"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05C8EA62" w14:textId="77777777" w:rsidR="007A408A" w:rsidRPr="007A408A" w:rsidRDefault="007A408A" w:rsidP="00DF1805">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Large</w:t>
            </w:r>
          </w:p>
        </w:tc>
        <w:tc>
          <w:tcPr>
            <w:tcW w:w="661" w:type="pct"/>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hideMark/>
          </w:tcPr>
          <w:p w14:paraId="07D459EB" w14:textId="77777777" w:rsidR="007A408A" w:rsidRPr="007A408A" w:rsidRDefault="007A408A" w:rsidP="00DF1805">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Very Large</w:t>
            </w:r>
          </w:p>
        </w:tc>
        <w:tc>
          <w:tcPr>
            <w:tcW w:w="662" w:type="pct"/>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tcPr>
          <w:p w14:paraId="788A3534" w14:textId="77777777" w:rsidR="007A408A" w:rsidRPr="007A408A" w:rsidRDefault="007A408A" w:rsidP="00DF1805">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Total</w:t>
            </w:r>
          </w:p>
        </w:tc>
      </w:tr>
      <w:tr w:rsidR="007A408A" w:rsidRPr="007A408A" w14:paraId="58C58C9B"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C26C7"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Number of Tenancies (n)</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8860C"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180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B4776"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272</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1502F"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85</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DFE82"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31</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1C97620"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568</w:t>
            </w:r>
          </w:p>
        </w:tc>
      </w:tr>
      <w:tr w:rsidR="007A408A" w:rsidRPr="007A408A" w14:paraId="2F031B2A"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30A85"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Controlled Area m²</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78594"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243,823</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62F2"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895,470</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CB222"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846,835</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AA27C"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852,216</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0F684A9D"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2,838,345</w:t>
            </w:r>
          </w:p>
        </w:tc>
      </w:tr>
      <w:tr w:rsidR="007A408A" w:rsidRPr="007A408A" w14:paraId="2063C88A"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5E197"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Usable Office Area (m²)</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C34B3"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129,410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E7E83"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608,424</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82601"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742,785</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D9F7"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772,742</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6E4BE42"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2,253,361</w:t>
            </w:r>
          </w:p>
        </w:tc>
      </w:tr>
      <w:tr w:rsidR="007A408A" w:rsidRPr="007A408A" w14:paraId="25E84AB5"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11274"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Work-points (n)</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DA815"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8,702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61374"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43,986</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54393"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56,796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E309A"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55,148</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65B4162"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164,632</w:t>
            </w:r>
          </w:p>
        </w:tc>
      </w:tr>
      <w:tr w:rsidR="007A408A" w:rsidRPr="007A408A" w14:paraId="500FE29C"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6D034"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Staff (n)</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3B8C"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6,777</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F4FD7"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36,918</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A6C0"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48,253</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7DDB5"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47,635</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F1126F1"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139,583</w:t>
            </w:r>
          </w:p>
        </w:tc>
      </w:tr>
      <w:tr w:rsidR="007A408A" w:rsidRPr="007A408A" w14:paraId="541B6AC6"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56CA4"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Vacant Work-points (n)</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58D9F"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1,925</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CF87"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7,068</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41B73"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8,543</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E776"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7,513</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4B58E28"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25,049</w:t>
            </w:r>
          </w:p>
        </w:tc>
      </w:tr>
      <w:tr w:rsidR="007A408A" w:rsidRPr="007A408A" w14:paraId="0AD4DFB6"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0A64"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Work-point Vacancy Rate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77DB7"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22.1%</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91B9"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16.1%</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9418B"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15.0%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45B71"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13.6%</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23A4F843"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15.2%</w:t>
            </w:r>
          </w:p>
        </w:tc>
      </w:tr>
      <w:tr w:rsidR="007A408A" w:rsidRPr="007A408A" w14:paraId="00F6607B"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6F387"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Average Fit-out Density (m²)</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95489"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14.9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D0B73"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13.8</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D0209"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13.1</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3E324"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14.0</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09DCE0B"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13.7</w:t>
            </w:r>
          </w:p>
        </w:tc>
      </w:tr>
      <w:tr w:rsidR="007A408A" w:rsidRPr="007A408A" w14:paraId="7E1F2814"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FF20E"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Average Occupational Density (m²)</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5AC5F"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19.1</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2A112"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16.5</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2EEA"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15.4</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6BF1F"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16.2</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26EC241"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16.1</w:t>
            </w:r>
          </w:p>
        </w:tc>
      </w:tr>
      <w:tr w:rsidR="007A408A" w:rsidRPr="007A408A" w14:paraId="235D66B3"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79C2" w14:textId="77777777"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Meeting the Occupational Density Target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8CFEF"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21.7%</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DD01A"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36.4%</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4BD7"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30.6%</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B3B24"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12.9%</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EC8AB38" w14:textId="7777777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29.6%</w:t>
            </w:r>
          </w:p>
        </w:tc>
      </w:tr>
      <w:tr w:rsidR="007A408A" w:rsidRPr="007A408A" w14:paraId="61CA9CCD"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9B579" w14:textId="105CDBFA" w:rsidR="007A408A" w:rsidRPr="007A408A" w:rsidRDefault="007A408A">
            <w:pPr>
              <w:suppressAutoHyphens w:val="0"/>
              <w:spacing w:before="0" w:after="0" w:line="240" w:lineRule="auto"/>
              <w:rPr>
                <w:rFonts w:ascii="Calibri" w:hAnsi="Calibri" w:cs="Calibri"/>
                <w:color w:val="000000"/>
                <w:sz w:val="20"/>
                <w:szCs w:val="20"/>
              </w:rPr>
            </w:pPr>
            <w:r w:rsidRPr="007A408A">
              <w:rPr>
                <w:rFonts w:ascii="Calibri" w:hAnsi="Calibri" w:cs="Calibri"/>
                <w:color w:val="000000"/>
                <w:sz w:val="20"/>
                <w:szCs w:val="20"/>
              </w:rPr>
              <w:t xml:space="preserve">Net Tenancy </w:t>
            </w:r>
            <w:r w:rsidR="00122837" w:rsidRPr="007A408A">
              <w:rPr>
                <w:rFonts w:ascii="Calibri" w:hAnsi="Calibri" w:cs="Calibri"/>
                <w:color w:val="000000"/>
                <w:sz w:val="20"/>
                <w:szCs w:val="20"/>
              </w:rPr>
              <w:t>Expenditure</w:t>
            </w:r>
            <w:r w:rsidRPr="007A408A">
              <w:rPr>
                <w:rFonts w:ascii="Calibri" w:hAnsi="Calibri" w:cs="Calibri"/>
                <w:color w:val="000000"/>
                <w:sz w:val="20"/>
                <w:szCs w:val="20"/>
              </w:rPr>
              <w:t xml:space="preserve"> </w:t>
            </w:r>
            <w:r w:rsidR="000559CF">
              <w:rPr>
                <w:rFonts w:ascii="Calibri" w:hAnsi="Calibri" w:cs="Calibri"/>
                <w:color w:val="000000"/>
                <w:sz w:val="20"/>
                <w:szCs w:val="20"/>
              </w:rPr>
              <w:t xml:space="preserve"> ($m)</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3B1A2" w14:textId="2E870E1C"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 $113.7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2630C" w14:textId="0E351EA4"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$388.1 </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EC357" w14:textId="26E54495"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$411.0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89D5F" w14:textId="4484DB26"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$423.</w:t>
            </w:r>
            <w:r w:rsidR="00075F0A">
              <w:rPr>
                <w:rFonts w:ascii="Calibri" w:hAnsi="Calibri" w:cs="Calibri"/>
                <w:color w:val="000000"/>
                <w:sz w:val="20"/>
                <w:szCs w:val="20"/>
              </w:rPr>
              <w:t>7</w:t>
            </w:r>
            <w:r w:rsidR="00075F0A" w:rsidRPr="007A408A">
              <w:rPr>
                <w:rFonts w:ascii="Calibri" w:hAnsi="Calibri" w:cs="Calibri"/>
                <w:color w:val="000000"/>
                <w:sz w:val="20"/>
                <w:szCs w:val="20"/>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792A2B43" w14:textId="37D82489"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$1,336.5 </w:t>
            </w:r>
          </w:p>
        </w:tc>
      </w:tr>
      <w:tr w:rsidR="007A408A" w:rsidRPr="007A408A" w14:paraId="150DE60A"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E613B" w14:textId="12DE0830" w:rsidR="007A408A" w:rsidRPr="007A408A" w:rsidRDefault="004A60F2">
            <w:pPr>
              <w:suppressAutoHyphens w:val="0"/>
              <w:spacing w:before="0" w:after="0" w:line="240" w:lineRule="auto"/>
              <w:rPr>
                <w:rFonts w:ascii="Calibri" w:hAnsi="Calibri" w:cs="Calibri"/>
                <w:color w:val="000000"/>
                <w:sz w:val="20"/>
                <w:szCs w:val="20"/>
              </w:rPr>
            </w:pPr>
            <w:r>
              <w:rPr>
                <w:rFonts w:ascii="Calibri" w:hAnsi="Calibri" w:cs="Calibri"/>
                <w:color w:val="000000"/>
                <w:sz w:val="20"/>
                <w:szCs w:val="20"/>
              </w:rPr>
              <w:t xml:space="preserve">Average </w:t>
            </w:r>
            <w:r w:rsidR="007A408A" w:rsidRPr="007A408A">
              <w:rPr>
                <w:rFonts w:ascii="Calibri" w:hAnsi="Calibri" w:cs="Calibri"/>
                <w:color w:val="000000"/>
                <w:sz w:val="20"/>
                <w:szCs w:val="20"/>
              </w:rPr>
              <w:t>Cost per m²</w:t>
            </w:r>
            <w:r w:rsidR="00D012C3" w:rsidRPr="00FD1681">
              <w:rPr>
                <w:rFonts w:ascii="Calibri" w:hAnsi="Calibri" w:cs="Calibri"/>
                <w:sz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4D878" w14:textId="6488043E"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$466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14ABD" w14:textId="5117A673"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$433 </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CF1A7" w14:textId="13596126"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$485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F67F7" w14:textId="66F09A56"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$497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8342F78" w14:textId="375DC38A"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$47</w:t>
            </w:r>
            <w:r w:rsidR="00464C5C">
              <w:rPr>
                <w:rFonts w:ascii="Calibri" w:hAnsi="Calibri" w:cs="Calibri"/>
                <w:color w:val="000000"/>
                <w:sz w:val="20"/>
                <w:szCs w:val="20"/>
              </w:rPr>
              <w:t>1</w:t>
            </w:r>
            <w:r w:rsidRPr="007A408A">
              <w:rPr>
                <w:rFonts w:ascii="Calibri" w:hAnsi="Calibri" w:cs="Calibri"/>
                <w:color w:val="000000"/>
                <w:sz w:val="20"/>
                <w:szCs w:val="20"/>
              </w:rPr>
              <w:t xml:space="preserve"> </w:t>
            </w:r>
          </w:p>
        </w:tc>
      </w:tr>
      <w:tr w:rsidR="007A408A" w:rsidRPr="007A408A" w14:paraId="699F4BDC"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EC022" w14:textId="201C639C" w:rsidR="007A408A" w:rsidRPr="007A408A" w:rsidRDefault="004A60F2">
            <w:pPr>
              <w:suppressAutoHyphens w:val="0"/>
              <w:spacing w:before="0" w:after="0" w:line="240" w:lineRule="auto"/>
              <w:rPr>
                <w:rFonts w:ascii="Calibri" w:hAnsi="Calibri" w:cs="Calibri"/>
                <w:color w:val="000000"/>
                <w:sz w:val="20"/>
                <w:szCs w:val="20"/>
              </w:rPr>
            </w:pPr>
            <w:r>
              <w:rPr>
                <w:rFonts w:ascii="Calibri" w:hAnsi="Calibri" w:cs="Calibri"/>
                <w:color w:val="000000"/>
                <w:sz w:val="20"/>
                <w:szCs w:val="20"/>
              </w:rPr>
              <w:t xml:space="preserve">Average </w:t>
            </w:r>
            <w:r w:rsidR="007A408A" w:rsidRPr="007A408A">
              <w:rPr>
                <w:rFonts w:ascii="Calibri" w:hAnsi="Calibri" w:cs="Calibri"/>
                <w:color w:val="000000"/>
                <w:sz w:val="20"/>
                <w:szCs w:val="20"/>
              </w:rPr>
              <w:t>Cost per Staff</w:t>
            </w:r>
            <w:r w:rsidR="00D012C3" w:rsidRPr="00FD1681">
              <w:rPr>
                <w:rFonts w:ascii="Calibri" w:hAnsi="Calibri" w:cs="Calibri"/>
                <w:sz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DC286" w14:textId="232346FF"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$16,777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C7747" w14:textId="1B677184"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 $10,513 </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8CE83" w14:textId="6A7A965D"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$8,51</w:t>
            </w:r>
            <w:r w:rsidR="00464C5C">
              <w:rPr>
                <w:rFonts w:ascii="Calibri" w:hAnsi="Calibri" w:cs="Calibri"/>
                <w:color w:val="000000"/>
                <w:sz w:val="20"/>
                <w:szCs w:val="20"/>
              </w:rPr>
              <w:t>8</w:t>
            </w:r>
            <w:r w:rsidRPr="007A408A">
              <w:rPr>
                <w:rFonts w:ascii="Calibri" w:hAnsi="Calibri" w:cs="Calibri"/>
                <w:color w:val="000000"/>
                <w:sz w:val="20"/>
                <w:szCs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4AD6" w14:textId="7BE75D93"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$8,894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A1EC603" w14:textId="75FDD0E7"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$9,57</w:t>
            </w:r>
            <w:r w:rsidR="00464C5C">
              <w:rPr>
                <w:rFonts w:ascii="Calibri" w:hAnsi="Calibri" w:cs="Calibri"/>
                <w:color w:val="000000"/>
                <w:sz w:val="20"/>
                <w:szCs w:val="20"/>
              </w:rPr>
              <w:t>5</w:t>
            </w:r>
            <w:r w:rsidRPr="007A408A">
              <w:rPr>
                <w:rFonts w:ascii="Calibri" w:hAnsi="Calibri" w:cs="Calibri"/>
                <w:color w:val="000000"/>
                <w:sz w:val="20"/>
                <w:szCs w:val="20"/>
              </w:rPr>
              <w:t xml:space="preserve"> </w:t>
            </w:r>
          </w:p>
        </w:tc>
      </w:tr>
      <w:tr w:rsidR="007A408A" w:rsidRPr="007A408A" w14:paraId="6E4F6762" w14:textId="77777777" w:rsidTr="00497387">
        <w:trPr>
          <w:trHeight w:val="300"/>
        </w:trPr>
        <w:tc>
          <w:tcPr>
            <w:tcW w:w="1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E30E8" w14:textId="3096E2FE" w:rsidR="007A408A" w:rsidRPr="007A408A" w:rsidRDefault="004A60F2">
            <w:pPr>
              <w:suppressAutoHyphens w:val="0"/>
              <w:spacing w:before="0" w:after="0" w:line="240" w:lineRule="auto"/>
              <w:rPr>
                <w:rFonts w:ascii="Calibri" w:hAnsi="Calibri" w:cs="Calibri"/>
                <w:color w:val="000000"/>
                <w:sz w:val="20"/>
                <w:szCs w:val="20"/>
              </w:rPr>
            </w:pPr>
            <w:r>
              <w:rPr>
                <w:rFonts w:ascii="Calibri" w:hAnsi="Calibri" w:cs="Calibri"/>
                <w:color w:val="000000"/>
                <w:sz w:val="20"/>
                <w:szCs w:val="20"/>
              </w:rPr>
              <w:t xml:space="preserve">Average </w:t>
            </w:r>
            <w:r w:rsidR="007A408A" w:rsidRPr="007A408A">
              <w:rPr>
                <w:rFonts w:ascii="Calibri" w:hAnsi="Calibri" w:cs="Calibri"/>
                <w:color w:val="000000"/>
                <w:sz w:val="20"/>
                <w:szCs w:val="20"/>
              </w:rPr>
              <w:t xml:space="preserve">Cost per </w:t>
            </w:r>
            <w:r w:rsidR="00EB14F0">
              <w:rPr>
                <w:rFonts w:ascii="Calibri" w:hAnsi="Calibri" w:cs="Calibri"/>
                <w:color w:val="000000"/>
                <w:sz w:val="20"/>
                <w:szCs w:val="20"/>
              </w:rPr>
              <w:t>W</w:t>
            </w:r>
            <w:r w:rsidR="00122837" w:rsidRPr="007A408A">
              <w:rPr>
                <w:rFonts w:ascii="Calibri" w:hAnsi="Calibri" w:cs="Calibri"/>
                <w:color w:val="000000"/>
                <w:sz w:val="20"/>
                <w:szCs w:val="20"/>
              </w:rPr>
              <w:t>ork</w:t>
            </w:r>
            <w:r w:rsidR="00EB14F0">
              <w:rPr>
                <w:rFonts w:ascii="Calibri" w:hAnsi="Calibri" w:cs="Calibri"/>
                <w:color w:val="000000"/>
                <w:sz w:val="20"/>
                <w:szCs w:val="20"/>
              </w:rPr>
              <w:t>-</w:t>
            </w:r>
            <w:r w:rsidR="00122837" w:rsidRPr="007A408A">
              <w:rPr>
                <w:rFonts w:ascii="Calibri" w:hAnsi="Calibri" w:cs="Calibri"/>
                <w:color w:val="000000"/>
                <w:sz w:val="20"/>
                <w:szCs w:val="20"/>
              </w:rPr>
              <w:t>point</w:t>
            </w:r>
            <w:r w:rsidR="00D012C3" w:rsidRPr="00FD1681">
              <w:rPr>
                <w:rFonts w:ascii="Calibri" w:hAnsi="Calibri" w:cs="Calibri"/>
                <w:sz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70308" w14:textId="25441B8A"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$13,06</w:t>
            </w:r>
            <w:r w:rsidR="00464C5C">
              <w:rPr>
                <w:rFonts w:ascii="Calibri" w:hAnsi="Calibri" w:cs="Calibri"/>
                <w:color w:val="000000"/>
                <w:sz w:val="20"/>
                <w:szCs w:val="20"/>
              </w:rPr>
              <w:t>6</w:t>
            </w:r>
            <w:r w:rsidRPr="007A408A">
              <w:rPr>
                <w:rFonts w:ascii="Calibri" w:hAnsi="Calibri" w:cs="Calibri"/>
                <w:color w:val="000000"/>
                <w:sz w:val="20"/>
                <w:szCs w:val="20"/>
              </w:rPr>
              <w:t xml:space="preserve">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C2012" w14:textId="40E14D15"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$8,82</w:t>
            </w:r>
            <w:r w:rsidR="00464C5C">
              <w:rPr>
                <w:rFonts w:ascii="Calibri" w:hAnsi="Calibri" w:cs="Calibri"/>
                <w:color w:val="000000"/>
                <w:sz w:val="20"/>
                <w:szCs w:val="20"/>
              </w:rPr>
              <w:t>4</w:t>
            </w:r>
            <w:r w:rsidRPr="007A408A">
              <w:rPr>
                <w:rFonts w:ascii="Calibri" w:hAnsi="Calibri" w:cs="Calibri"/>
                <w:color w:val="000000"/>
                <w:sz w:val="20"/>
                <w:szCs w:val="20"/>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74E65" w14:textId="1E56F134"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$7,236 </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5C45" w14:textId="087011D0"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$7,68</w:t>
            </w:r>
            <w:r w:rsidR="00464C5C">
              <w:rPr>
                <w:rFonts w:ascii="Calibri" w:hAnsi="Calibri" w:cs="Calibri"/>
                <w:color w:val="000000"/>
                <w:sz w:val="20"/>
                <w:szCs w:val="20"/>
              </w:rPr>
              <w:t>3</w:t>
            </w:r>
            <w:r w:rsidRPr="007A408A">
              <w:rPr>
                <w:rFonts w:ascii="Calibri" w:hAnsi="Calibri" w:cs="Calibri"/>
                <w:color w:val="000000"/>
                <w:sz w:val="20"/>
                <w:szCs w:val="20"/>
              </w:rPr>
              <w:t xml:space="preserve"> </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A3BAC57" w14:textId="4E681BB3" w:rsidR="007A408A" w:rsidRPr="007A408A" w:rsidRDefault="007A408A" w:rsidP="00497387">
            <w:pPr>
              <w:suppressAutoHyphens w:val="0"/>
              <w:spacing w:before="0" w:after="0" w:line="240" w:lineRule="auto"/>
              <w:jc w:val="right"/>
              <w:rPr>
                <w:rFonts w:ascii="Calibri" w:hAnsi="Calibri" w:cs="Calibri"/>
                <w:color w:val="000000"/>
                <w:sz w:val="20"/>
                <w:szCs w:val="20"/>
              </w:rPr>
            </w:pPr>
            <w:r w:rsidRPr="007A408A">
              <w:rPr>
                <w:rFonts w:ascii="Calibri" w:hAnsi="Calibri" w:cs="Calibri"/>
                <w:color w:val="000000"/>
                <w:sz w:val="20"/>
                <w:szCs w:val="20"/>
              </w:rPr>
              <w:t xml:space="preserve">$8,118 </w:t>
            </w:r>
          </w:p>
        </w:tc>
      </w:tr>
    </w:tbl>
    <w:p w14:paraId="684D4781" w14:textId="77777777" w:rsidR="00DC1CBA" w:rsidRPr="00DC1CBA" w:rsidRDefault="00DC1CBA" w:rsidP="00DC1CBA">
      <w:r w:rsidRPr="00DC1CBA">
        <w:t xml:space="preserve">A tenancy is categorised as: </w:t>
      </w:r>
    </w:p>
    <w:p w14:paraId="77BD0BFB" w14:textId="77777777" w:rsidR="00DC1CBA" w:rsidRPr="00DC1CBA" w:rsidRDefault="00DC1CBA" w:rsidP="00FD1681">
      <w:pPr>
        <w:numPr>
          <w:ilvl w:val="0"/>
          <w:numId w:val="13"/>
        </w:numPr>
        <w:contextualSpacing/>
      </w:pPr>
      <w:r w:rsidRPr="00DC1CBA">
        <w:t>Small, where the usable office area is between 500-1000 m</w:t>
      </w:r>
      <w:r w:rsidRPr="00DC1CBA">
        <w:rPr>
          <w:vertAlign w:val="superscript"/>
        </w:rPr>
        <w:t>2</w:t>
      </w:r>
      <w:r w:rsidRPr="00DC1CBA">
        <w:t>;</w:t>
      </w:r>
    </w:p>
    <w:p w14:paraId="2A81A082" w14:textId="77777777" w:rsidR="00DC1CBA" w:rsidRPr="00DC1CBA" w:rsidRDefault="00DC1CBA" w:rsidP="00FD1681">
      <w:pPr>
        <w:numPr>
          <w:ilvl w:val="0"/>
          <w:numId w:val="13"/>
        </w:numPr>
        <w:contextualSpacing/>
      </w:pPr>
      <w:r w:rsidRPr="00DC1CBA">
        <w:t>Medium, where the usable office area is between 1000-5000 m</w:t>
      </w:r>
      <w:r w:rsidRPr="00DC1CBA">
        <w:rPr>
          <w:vertAlign w:val="superscript"/>
        </w:rPr>
        <w:t>2</w:t>
      </w:r>
      <w:r w:rsidRPr="00DC1CBA">
        <w:t>;</w:t>
      </w:r>
    </w:p>
    <w:p w14:paraId="49F76CAC" w14:textId="77777777" w:rsidR="00DC1CBA" w:rsidRPr="00DC1CBA" w:rsidRDefault="00DC1CBA" w:rsidP="00FD1681">
      <w:pPr>
        <w:numPr>
          <w:ilvl w:val="0"/>
          <w:numId w:val="13"/>
        </w:numPr>
        <w:contextualSpacing/>
      </w:pPr>
      <w:r w:rsidRPr="00DC1CBA">
        <w:t>Large, where the usable office area is between 5000-15,000 m</w:t>
      </w:r>
      <w:r w:rsidRPr="00DC1CBA">
        <w:rPr>
          <w:vertAlign w:val="superscript"/>
        </w:rPr>
        <w:t>2</w:t>
      </w:r>
      <w:r w:rsidRPr="00DC1CBA">
        <w:t>; or</w:t>
      </w:r>
    </w:p>
    <w:p w14:paraId="3410ED55" w14:textId="77777777" w:rsidR="00DC1CBA" w:rsidRPr="00DC1CBA" w:rsidRDefault="00DC1CBA" w:rsidP="00FD1681">
      <w:pPr>
        <w:numPr>
          <w:ilvl w:val="0"/>
          <w:numId w:val="13"/>
        </w:numPr>
        <w:contextualSpacing/>
      </w:pPr>
      <w:r w:rsidRPr="00DC1CBA">
        <w:t>Very large, where the usable office area is greater than 15,000 m</w:t>
      </w:r>
      <w:r w:rsidRPr="00DC1CBA">
        <w:rPr>
          <w:vertAlign w:val="superscript"/>
        </w:rPr>
        <w:t>2</w:t>
      </w:r>
      <w:r w:rsidRPr="00DC1CBA">
        <w:t>.</w:t>
      </w:r>
    </w:p>
    <w:p w14:paraId="086DB079" w14:textId="5EC5AF07" w:rsidR="00DC1CBA" w:rsidRPr="00DC1CBA" w:rsidRDefault="00DC1CBA" w:rsidP="00DC1CBA">
      <w:r w:rsidRPr="00DC1CBA">
        <w:t>This year’s data shows that 36.4 per cent of medium sized tenancies meet the occupational density target, the highest across all categories. The highest work-point vacancy rate (22.1</w:t>
      </w:r>
      <w:r w:rsidR="00C21B57">
        <w:t> </w:t>
      </w:r>
      <w:r w:rsidR="00F61EF8">
        <w:t>per cent</w:t>
      </w:r>
      <w:r w:rsidRPr="00DC1CBA">
        <w:t>) belongs to small tenancies.</w:t>
      </w:r>
    </w:p>
    <w:p w14:paraId="2FCCABFB" w14:textId="7A187E6A" w:rsidR="007B0BBF" w:rsidRPr="00144845" w:rsidRDefault="00DC1CBA" w:rsidP="007B0BBF">
      <w:r w:rsidRPr="00DC1CBA">
        <w:t>The data also shows that small tenancies have less</w:t>
      </w:r>
      <w:r w:rsidR="005967C2">
        <w:t xml:space="preserve"> </w:t>
      </w:r>
      <w:r w:rsidRPr="00DC1CBA">
        <w:t>dense fit-outs on average compared to large tenancies (an average of 14.9 m</w:t>
      </w:r>
      <w:r w:rsidRPr="00DC1CBA">
        <w:rPr>
          <w:vertAlign w:val="superscript"/>
        </w:rPr>
        <w:t>2</w:t>
      </w:r>
      <w:r w:rsidRPr="00DC1CBA">
        <w:t xml:space="preserve"> for small tenancies and an average of 13.1 m</w:t>
      </w:r>
      <w:r w:rsidRPr="00DC1CBA">
        <w:rPr>
          <w:vertAlign w:val="superscript"/>
        </w:rPr>
        <w:t>2</w:t>
      </w:r>
      <w:r w:rsidRPr="00DC1CBA">
        <w:t xml:space="preserve"> for large tenancies).</w:t>
      </w:r>
      <w:r w:rsidR="002A063E">
        <w:t xml:space="preserve"> M</w:t>
      </w:r>
      <w:r w:rsidR="007B0BBF" w:rsidRPr="00144845">
        <w:t xml:space="preserve">edium tenancies have the lowest cost per square </w:t>
      </w:r>
      <w:r w:rsidR="003A59E5">
        <w:t>metre</w:t>
      </w:r>
      <w:r w:rsidR="007B0BBF" w:rsidRPr="00144845">
        <w:t xml:space="preserve"> at $433 </w:t>
      </w:r>
      <w:r w:rsidR="00C21B57">
        <w:t>m</w:t>
      </w:r>
      <w:r w:rsidR="00C21B57" w:rsidRPr="00FC1A7E">
        <w:rPr>
          <w:vertAlign w:val="superscript"/>
        </w:rPr>
        <w:t>2</w:t>
      </w:r>
      <w:r w:rsidR="000357C6">
        <w:t xml:space="preserve">, </w:t>
      </w:r>
      <w:r w:rsidR="007B0BBF" w:rsidRPr="00144845">
        <w:t>with all other tenancy sizes ranging from $466 to $497</w:t>
      </w:r>
      <w:r w:rsidR="00CC67D6">
        <w:t xml:space="preserve"> m</w:t>
      </w:r>
      <w:r w:rsidR="00CC67D6" w:rsidRPr="00FC1A7E">
        <w:rPr>
          <w:vertAlign w:val="superscript"/>
        </w:rPr>
        <w:t>2</w:t>
      </w:r>
      <w:r w:rsidR="007B0BBF" w:rsidRPr="00144845">
        <w:t>.</w:t>
      </w:r>
    </w:p>
    <w:p w14:paraId="7D6F31BF" w14:textId="2F84E1B2" w:rsidR="0027718F" w:rsidRDefault="007B0BBF" w:rsidP="007B0BBF">
      <w:r w:rsidRPr="00144845">
        <w:t>The cost per staff is lowest in large tenancies at $8,51</w:t>
      </w:r>
      <w:r w:rsidR="00464C5C">
        <w:t>8</w:t>
      </w:r>
      <w:r w:rsidR="006D5C78">
        <w:t xml:space="preserve"> and highest in s</w:t>
      </w:r>
      <w:r w:rsidRPr="00144845">
        <w:t xml:space="preserve">mall tenancies at $16,777 </w:t>
      </w:r>
      <w:r w:rsidR="006D5C78">
        <w:t>per staff</w:t>
      </w:r>
      <w:r w:rsidRPr="00144845">
        <w:t>.</w:t>
      </w:r>
      <w:r w:rsidR="002A063E">
        <w:t xml:space="preserve"> </w:t>
      </w:r>
      <w:r w:rsidRPr="00144845">
        <w:t xml:space="preserve">The cost per work-point is </w:t>
      </w:r>
      <w:r w:rsidR="006D5C78">
        <w:t xml:space="preserve">again </w:t>
      </w:r>
      <w:r w:rsidRPr="00144845">
        <w:t>lowest in large tenancies at $7,236</w:t>
      </w:r>
      <w:r w:rsidR="006D5C78">
        <w:t xml:space="preserve"> and highest in </w:t>
      </w:r>
      <w:r w:rsidRPr="00144845">
        <w:t>small tenancies</w:t>
      </w:r>
      <w:r w:rsidR="006D5C78">
        <w:t xml:space="preserve"> at</w:t>
      </w:r>
      <w:r w:rsidRPr="00144845">
        <w:t xml:space="preserve"> $13,06</w:t>
      </w:r>
      <w:r w:rsidR="00464C5C">
        <w:t>6</w:t>
      </w:r>
      <w:r w:rsidR="006D5C78">
        <w:t xml:space="preserve"> per work-point</w:t>
      </w:r>
      <w:r w:rsidRPr="00144845">
        <w:t>.</w:t>
      </w:r>
    </w:p>
    <w:p w14:paraId="3EC50032" w14:textId="77777777" w:rsidR="007B0BBF" w:rsidRDefault="007B0BBF" w:rsidP="00AE2933">
      <w:pPr>
        <w:sectPr w:rsidR="007B0BBF" w:rsidSect="00696CE4">
          <w:pgSz w:w="11906" w:h="16838" w:code="9"/>
          <w:pgMar w:top="1418" w:right="1418" w:bottom="1418" w:left="1418" w:header="510" w:footer="624" w:gutter="0"/>
          <w:cols w:space="708"/>
          <w:docGrid w:linePitch="360"/>
        </w:sectPr>
      </w:pPr>
    </w:p>
    <w:p w14:paraId="5D101C81" w14:textId="566DCB6B" w:rsidR="00715BAD" w:rsidRDefault="00715BAD" w:rsidP="00944586">
      <w:pPr>
        <w:pStyle w:val="Heading1Numbered"/>
      </w:pPr>
      <w:bookmarkStart w:id="22" w:name="_Toc2005956"/>
      <w:bookmarkStart w:id="23" w:name="_Toc2156074"/>
      <w:bookmarkStart w:id="24" w:name="_Toc2156159"/>
      <w:bookmarkStart w:id="25" w:name="_Toc39753299"/>
      <w:bookmarkStart w:id="26" w:name="_Toc39753300"/>
      <w:bookmarkStart w:id="27" w:name="_Toc39753301"/>
      <w:bookmarkStart w:id="28" w:name="_Toc39753302"/>
      <w:bookmarkStart w:id="29" w:name="_Toc39753304"/>
      <w:bookmarkStart w:id="30" w:name="_Toc39753305"/>
      <w:bookmarkStart w:id="31" w:name="_Toc39753307"/>
      <w:bookmarkStart w:id="32" w:name="_Toc39753316"/>
      <w:bookmarkStart w:id="33" w:name="_Toc39753317"/>
      <w:bookmarkStart w:id="34" w:name="_Toc40455105"/>
      <w:bookmarkEnd w:id="22"/>
      <w:bookmarkEnd w:id="23"/>
      <w:bookmarkEnd w:id="24"/>
      <w:bookmarkEnd w:id="25"/>
      <w:bookmarkEnd w:id="26"/>
      <w:bookmarkEnd w:id="27"/>
      <w:bookmarkEnd w:id="28"/>
      <w:bookmarkEnd w:id="29"/>
      <w:bookmarkEnd w:id="30"/>
      <w:bookmarkEnd w:id="31"/>
      <w:bookmarkEnd w:id="32"/>
      <w:bookmarkEnd w:id="33"/>
      <w:r>
        <w:t>Largest Entities</w:t>
      </w:r>
      <w:bookmarkEnd w:id="34"/>
    </w:p>
    <w:p w14:paraId="4E2264E4" w14:textId="64059D4F" w:rsidR="00715BAD" w:rsidRDefault="00715BAD" w:rsidP="00715BAD">
      <w:pPr>
        <w:pStyle w:val="Caption"/>
        <w:keepNext/>
      </w:pPr>
      <w:r>
        <w:t xml:space="preserve">Table </w:t>
      </w:r>
      <w:r w:rsidR="00065B82">
        <w:t>8</w:t>
      </w:r>
      <w:r>
        <w:t>: Largest Ten Entities by Controlled Area</w:t>
      </w:r>
    </w:p>
    <w:tbl>
      <w:tblPr>
        <w:tblW w:w="8730" w:type="dxa"/>
        <w:tblInd w:w="-1" w:type="dxa"/>
        <w:tblLayout w:type="fixed"/>
        <w:tblLook w:val="04A0" w:firstRow="1" w:lastRow="0" w:firstColumn="1" w:lastColumn="0" w:noHBand="0" w:noVBand="1"/>
      </w:tblPr>
      <w:tblGrid>
        <w:gridCol w:w="3468"/>
        <w:gridCol w:w="1315"/>
        <w:gridCol w:w="1315"/>
        <w:gridCol w:w="1316"/>
        <w:gridCol w:w="1316"/>
      </w:tblGrid>
      <w:tr w:rsidR="009C133C" w:rsidRPr="00BD6A02" w14:paraId="296A38D5" w14:textId="77777777" w:rsidTr="00EF3165">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tcPr>
          <w:p w14:paraId="18856B7A" w14:textId="77777777" w:rsidR="009C133C" w:rsidRPr="00BD6A02" w:rsidRDefault="009C133C" w:rsidP="009C133C">
            <w:pPr>
              <w:suppressAutoHyphens w:val="0"/>
              <w:spacing w:before="0" w:after="0" w:line="240" w:lineRule="auto"/>
              <w:rPr>
                <w:rFonts w:ascii="Calibri" w:eastAsia="Times New Roman" w:hAnsi="Calibri" w:cs="Calibri"/>
                <w:bCs/>
                <w:sz w:val="18"/>
                <w:szCs w:val="18"/>
                <w:lang w:eastAsia="en-AU"/>
              </w:rPr>
            </w:pPr>
            <w:r w:rsidRPr="00BD6A02">
              <w:rPr>
                <w:rFonts w:ascii="Calibri" w:eastAsia="Times New Roman" w:hAnsi="Calibri" w:cs="Calibri"/>
                <w:sz w:val="20"/>
                <w:szCs w:val="20"/>
                <w:lang w:eastAsia="en-AU"/>
              </w:rPr>
              <w:t>Entity</w:t>
            </w:r>
          </w:p>
        </w:tc>
        <w:tc>
          <w:tcPr>
            <w:tcW w:w="1315" w:type="dxa"/>
            <w:tcBorders>
              <w:top w:val="single" w:sz="4" w:space="0" w:color="auto"/>
              <w:left w:val="single" w:sz="4" w:space="0" w:color="auto"/>
              <w:bottom w:val="single" w:sz="4" w:space="0" w:color="auto"/>
              <w:right w:val="single" w:sz="4" w:space="0" w:color="auto"/>
            </w:tcBorders>
            <w:shd w:val="clear" w:color="auto" w:fill="E7E7E7" w:themeFill="text2" w:themeFillTint="1A"/>
            <w:vAlign w:val="center"/>
          </w:tcPr>
          <w:p w14:paraId="05EFC490" w14:textId="5A1C8904" w:rsidR="009C133C" w:rsidRPr="00BD6A02" w:rsidRDefault="009C133C" w:rsidP="009C133C">
            <w:pPr>
              <w:jc w:val="right"/>
              <w:rPr>
                <w:rFonts w:ascii="Calibri" w:eastAsia="Times New Roman" w:hAnsi="Calibri" w:cs="Calibri"/>
                <w:sz w:val="20"/>
                <w:szCs w:val="20"/>
                <w:lang w:eastAsia="en-AU"/>
              </w:rPr>
            </w:pPr>
            <w:r w:rsidRPr="00BD6A02">
              <w:rPr>
                <w:rFonts w:ascii="Calibri" w:eastAsia="Times New Roman" w:hAnsi="Calibri" w:cs="Calibri"/>
                <w:sz w:val="20"/>
                <w:szCs w:val="20"/>
                <w:lang w:eastAsia="en-AU"/>
              </w:rPr>
              <w:t>Controlled Area (m²)</w:t>
            </w:r>
          </w:p>
        </w:tc>
        <w:tc>
          <w:tcPr>
            <w:tcW w:w="1315"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tcPr>
          <w:p w14:paraId="5178E955" w14:textId="293D23FB" w:rsidR="009C133C" w:rsidRPr="00BD6A02" w:rsidRDefault="009C133C" w:rsidP="009C133C">
            <w:pPr>
              <w:jc w:val="right"/>
              <w:rPr>
                <w:rFonts w:ascii="Calibri" w:eastAsia="Times New Roman" w:hAnsi="Calibri" w:cs="Calibri"/>
                <w:bCs/>
                <w:sz w:val="18"/>
                <w:szCs w:val="18"/>
                <w:lang w:eastAsia="en-AU"/>
              </w:rPr>
            </w:pPr>
            <w:r w:rsidRPr="00BD6A02">
              <w:rPr>
                <w:rFonts w:ascii="Calibri" w:eastAsia="Times New Roman" w:hAnsi="Calibri" w:cs="Calibri"/>
                <w:sz w:val="20"/>
                <w:szCs w:val="20"/>
                <w:lang w:eastAsia="en-AU"/>
              </w:rPr>
              <w:t>Tenancies (n)</w:t>
            </w:r>
          </w:p>
        </w:tc>
        <w:tc>
          <w:tcPr>
            <w:tcW w:w="1316"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tcPr>
          <w:p w14:paraId="52D131D5" w14:textId="77777777" w:rsidR="009C133C" w:rsidRPr="00BD6A02" w:rsidRDefault="009C133C" w:rsidP="009C133C">
            <w:pPr>
              <w:jc w:val="right"/>
              <w:rPr>
                <w:rFonts w:ascii="Calibri" w:eastAsia="Times New Roman" w:hAnsi="Calibri" w:cs="Calibri"/>
                <w:bCs/>
                <w:sz w:val="18"/>
                <w:szCs w:val="18"/>
                <w:lang w:eastAsia="en-AU"/>
              </w:rPr>
            </w:pPr>
            <w:r w:rsidRPr="00BD6A02">
              <w:rPr>
                <w:rFonts w:ascii="Calibri" w:eastAsia="Times New Roman" w:hAnsi="Calibri" w:cs="Calibri"/>
                <w:sz w:val="20"/>
                <w:szCs w:val="20"/>
                <w:lang w:eastAsia="en-AU"/>
              </w:rPr>
              <w:t>Usable Office Area (m²)</w:t>
            </w:r>
          </w:p>
        </w:tc>
        <w:tc>
          <w:tcPr>
            <w:tcW w:w="1316" w:type="dxa"/>
            <w:tcBorders>
              <w:top w:val="single" w:sz="4" w:space="0" w:color="auto"/>
              <w:left w:val="single" w:sz="4" w:space="0" w:color="auto"/>
              <w:bottom w:val="single" w:sz="4" w:space="0" w:color="auto"/>
              <w:right w:val="single" w:sz="4" w:space="0" w:color="auto"/>
            </w:tcBorders>
            <w:shd w:val="clear" w:color="auto" w:fill="E7E7E7" w:themeFill="text2" w:themeFillTint="1A"/>
            <w:noWrap/>
            <w:vAlign w:val="center"/>
          </w:tcPr>
          <w:p w14:paraId="3E71A8EC" w14:textId="77777777" w:rsidR="009C133C" w:rsidRPr="00BD6A02" w:rsidRDefault="009C133C" w:rsidP="009C133C">
            <w:pPr>
              <w:jc w:val="right"/>
              <w:rPr>
                <w:rFonts w:ascii="Calibri" w:eastAsia="Times New Roman" w:hAnsi="Calibri" w:cs="Calibri"/>
                <w:bCs/>
                <w:sz w:val="18"/>
                <w:szCs w:val="18"/>
                <w:lang w:eastAsia="en-AU"/>
              </w:rPr>
            </w:pPr>
            <w:r w:rsidRPr="00BD6A02">
              <w:rPr>
                <w:rFonts w:ascii="Calibri" w:eastAsia="Times New Roman" w:hAnsi="Calibri" w:cs="Calibri"/>
                <w:sz w:val="20"/>
                <w:szCs w:val="20"/>
                <w:lang w:eastAsia="en-AU"/>
              </w:rPr>
              <w:t>Average Occupational Density (m²)</w:t>
            </w:r>
          </w:p>
        </w:tc>
      </w:tr>
      <w:tr w:rsidR="009C133C" w:rsidRPr="00EE59E6" w14:paraId="743A6FE6"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307B6"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Services Australia</w:t>
            </w:r>
          </w:p>
        </w:tc>
        <w:tc>
          <w:tcPr>
            <w:tcW w:w="1315" w:type="dxa"/>
            <w:tcBorders>
              <w:top w:val="single" w:sz="4" w:space="0" w:color="auto"/>
              <w:left w:val="single" w:sz="4" w:space="0" w:color="auto"/>
              <w:bottom w:val="single" w:sz="4" w:space="0" w:color="auto"/>
              <w:right w:val="single" w:sz="4" w:space="0" w:color="auto"/>
            </w:tcBorders>
            <w:vAlign w:val="center"/>
          </w:tcPr>
          <w:p w14:paraId="7468D9B6" w14:textId="13C142D3"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497,948</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BC422" w14:textId="18076ED5"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153</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D835E"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404,908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5A868"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14.5 </w:t>
            </w:r>
          </w:p>
        </w:tc>
      </w:tr>
      <w:tr w:rsidR="009C133C" w:rsidRPr="00EE59E6" w14:paraId="49B1C31E"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3CDC2"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Australian Taxation Office</w:t>
            </w:r>
          </w:p>
        </w:tc>
        <w:tc>
          <w:tcPr>
            <w:tcW w:w="1315" w:type="dxa"/>
            <w:tcBorders>
              <w:top w:val="single" w:sz="4" w:space="0" w:color="auto"/>
              <w:left w:val="single" w:sz="4" w:space="0" w:color="auto"/>
              <w:bottom w:val="single" w:sz="4" w:space="0" w:color="auto"/>
              <w:right w:val="single" w:sz="4" w:space="0" w:color="auto"/>
            </w:tcBorders>
            <w:vAlign w:val="center"/>
          </w:tcPr>
          <w:p w14:paraId="24B7D7CD" w14:textId="782D44B5"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327,332</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9410D" w14:textId="0812EE04"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22</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0BEDA"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311,752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6A841"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15.8 </w:t>
            </w:r>
          </w:p>
        </w:tc>
      </w:tr>
      <w:tr w:rsidR="009C133C" w:rsidRPr="00EE59E6" w14:paraId="19F96701"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73954"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Department of Home Affairs</w:t>
            </w:r>
          </w:p>
        </w:tc>
        <w:tc>
          <w:tcPr>
            <w:tcW w:w="1315" w:type="dxa"/>
            <w:tcBorders>
              <w:top w:val="single" w:sz="4" w:space="0" w:color="auto"/>
              <w:left w:val="single" w:sz="4" w:space="0" w:color="auto"/>
              <w:bottom w:val="single" w:sz="4" w:space="0" w:color="auto"/>
              <w:right w:val="single" w:sz="4" w:space="0" w:color="auto"/>
            </w:tcBorders>
            <w:vAlign w:val="center"/>
          </w:tcPr>
          <w:p w14:paraId="675876FE" w14:textId="7BB1CC76"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311,030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F26C8" w14:textId="4B1F334A"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52</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BEC3F"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256,951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3023C"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19.4 </w:t>
            </w:r>
          </w:p>
        </w:tc>
      </w:tr>
      <w:tr w:rsidR="009C133C" w:rsidRPr="00EE59E6" w14:paraId="28AAF171"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1557A"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Department of Defence</w:t>
            </w:r>
          </w:p>
        </w:tc>
        <w:tc>
          <w:tcPr>
            <w:tcW w:w="1315" w:type="dxa"/>
            <w:tcBorders>
              <w:top w:val="single" w:sz="4" w:space="0" w:color="auto"/>
              <w:left w:val="single" w:sz="4" w:space="0" w:color="auto"/>
              <w:bottom w:val="single" w:sz="4" w:space="0" w:color="auto"/>
              <w:right w:val="single" w:sz="4" w:space="0" w:color="auto"/>
            </w:tcBorders>
            <w:vAlign w:val="center"/>
          </w:tcPr>
          <w:p w14:paraId="0CB0263D" w14:textId="6EFDBCAE"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290,927</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8EC92" w14:textId="0F78DEB6"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45</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69711"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261,854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E4E33"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16.4 </w:t>
            </w:r>
          </w:p>
        </w:tc>
      </w:tr>
      <w:tr w:rsidR="009C133C" w:rsidRPr="00EE59E6" w14:paraId="3957615B"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D39A4"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Federal Court of Australia</w:t>
            </w:r>
          </w:p>
        </w:tc>
        <w:tc>
          <w:tcPr>
            <w:tcW w:w="1315" w:type="dxa"/>
            <w:tcBorders>
              <w:top w:val="single" w:sz="4" w:space="0" w:color="auto"/>
              <w:left w:val="single" w:sz="4" w:space="0" w:color="auto"/>
              <w:bottom w:val="single" w:sz="4" w:space="0" w:color="auto"/>
              <w:right w:val="single" w:sz="4" w:space="0" w:color="auto"/>
            </w:tcBorders>
            <w:vAlign w:val="center"/>
          </w:tcPr>
          <w:p w14:paraId="0F06511C" w14:textId="173C5C1F"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157,250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92E41" w14:textId="6EF1F348"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9</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3EC9D"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15,718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8FFBA"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15.1 </w:t>
            </w:r>
          </w:p>
        </w:tc>
      </w:tr>
      <w:tr w:rsidR="009C133C" w:rsidRPr="00EE59E6" w14:paraId="2A56E8B2"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EB147"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Australian Federal Police</w:t>
            </w:r>
          </w:p>
        </w:tc>
        <w:tc>
          <w:tcPr>
            <w:tcW w:w="1315" w:type="dxa"/>
            <w:tcBorders>
              <w:top w:val="single" w:sz="4" w:space="0" w:color="auto"/>
              <w:left w:val="single" w:sz="4" w:space="0" w:color="auto"/>
              <w:bottom w:val="single" w:sz="4" w:space="0" w:color="auto"/>
              <w:right w:val="single" w:sz="4" w:space="0" w:color="auto"/>
            </w:tcBorders>
            <w:vAlign w:val="center"/>
          </w:tcPr>
          <w:p w14:paraId="5976600A" w14:textId="01A6BCF3"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116,627</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3ED19" w14:textId="7FD5794F"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11</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C85C6"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73,662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4DE0A"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17.2 </w:t>
            </w:r>
          </w:p>
        </w:tc>
      </w:tr>
      <w:tr w:rsidR="009C133C" w:rsidRPr="00EE59E6" w14:paraId="7B1FFBF9"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9BDF1"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Department of Health</w:t>
            </w:r>
          </w:p>
        </w:tc>
        <w:tc>
          <w:tcPr>
            <w:tcW w:w="1315" w:type="dxa"/>
            <w:tcBorders>
              <w:top w:val="single" w:sz="4" w:space="0" w:color="auto"/>
              <w:left w:val="single" w:sz="4" w:space="0" w:color="auto"/>
              <w:bottom w:val="single" w:sz="4" w:space="0" w:color="auto"/>
              <w:right w:val="single" w:sz="4" w:space="0" w:color="auto"/>
            </w:tcBorders>
            <w:vAlign w:val="center"/>
          </w:tcPr>
          <w:p w14:paraId="57E04306" w14:textId="74AB65C7"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95,645</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8B91E" w14:textId="62DBCF62"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11</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4CF4F"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87,835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1E08A"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17.3 </w:t>
            </w:r>
          </w:p>
        </w:tc>
      </w:tr>
      <w:tr w:rsidR="009C133C" w:rsidRPr="00EE59E6" w14:paraId="7410200A"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28A9A"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Department of Industry, Innovation and Science</w:t>
            </w:r>
          </w:p>
        </w:tc>
        <w:tc>
          <w:tcPr>
            <w:tcW w:w="1315" w:type="dxa"/>
            <w:tcBorders>
              <w:top w:val="single" w:sz="4" w:space="0" w:color="auto"/>
              <w:left w:val="single" w:sz="4" w:space="0" w:color="auto"/>
              <w:bottom w:val="single" w:sz="4" w:space="0" w:color="auto"/>
              <w:right w:val="single" w:sz="4" w:space="0" w:color="auto"/>
            </w:tcBorders>
            <w:vAlign w:val="center"/>
          </w:tcPr>
          <w:p w14:paraId="0B003F7D" w14:textId="6E6C89A3"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72,814</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BF544" w14:textId="66F8F1E1"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15</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CE966"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41,627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2AAD3"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15.6 </w:t>
            </w:r>
          </w:p>
        </w:tc>
      </w:tr>
      <w:tr w:rsidR="009C133C" w:rsidRPr="00EE59E6" w14:paraId="4B68FF65" w14:textId="77777777" w:rsidTr="00497387">
        <w:trPr>
          <w:trHeight w:val="300"/>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A1319"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Department of Foreign Affairs and Trade</w:t>
            </w:r>
          </w:p>
        </w:tc>
        <w:tc>
          <w:tcPr>
            <w:tcW w:w="1315" w:type="dxa"/>
            <w:tcBorders>
              <w:top w:val="single" w:sz="4" w:space="0" w:color="auto"/>
              <w:left w:val="single" w:sz="4" w:space="0" w:color="auto"/>
              <w:bottom w:val="single" w:sz="4" w:space="0" w:color="auto"/>
              <w:right w:val="single" w:sz="4" w:space="0" w:color="auto"/>
            </w:tcBorders>
            <w:vAlign w:val="center"/>
          </w:tcPr>
          <w:p w14:paraId="705D9D42" w14:textId="54E931D1"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71,980</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B7C79" w14:textId="5799BE11"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11</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A3234"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59,785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4B1E2"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15.3 </w:t>
            </w:r>
          </w:p>
        </w:tc>
      </w:tr>
      <w:tr w:rsidR="009C133C" w:rsidRPr="00EE59E6" w14:paraId="664DC859" w14:textId="77777777" w:rsidTr="00497387">
        <w:trPr>
          <w:trHeight w:val="301"/>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AACCC"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Department of Agriculture</w:t>
            </w:r>
          </w:p>
        </w:tc>
        <w:tc>
          <w:tcPr>
            <w:tcW w:w="1315" w:type="dxa"/>
            <w:tcBorders>
              <w:top w:val="single" w:sz="4" w:space="0" w:color="auto"/>
              <w:left w:val="single" w:sz="4" w:space="0" w:color="auto"/>
              <w:bottom w:val="single" w:sz="4" w:space="0" w:color="auto"/>
              <w:right w:val="single" w:sz="4" w:space="0" w:color="auto"/>
            </w:tcBorders>
            <w:vAlign w:val="center"/>
          </w:tcPr>
          <w:p w14:paraId="4FD9E426" w14:textId="112905A8"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63,213</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3BF31" w14:textId="43022FEB"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13</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00D26"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56,602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52D0A"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 xml:space="preserve">14.4 </w:t>
            </w:r>
          </w:p>
        </w:tc>
      </w:tr>
      <w:tr w:rsidR="009C133C" w:rsidRPr="00BD6A02" w14:paraId="1B5A4475" w14:textId="77777777" w:rsidTr="00497387">
        <w:trPr>
          <w:trHeight w:val="301"/>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BF7F1" w14:textId="77777777" w:rsidR="009C133C" w:rsidRPr="00BD6A02" w:rsidRDefault="009C133C" w:rsidP="009C133C">
            <w:pPr>
              <w:suppressAutoHyphens w:val="0"/>
              <w:spacing w:before="0" w:after="0" w:line="240" w:lineRule="auto"/>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Subtotal of Top 10 Entities</w:t>
            </w:r>
          </w:p>
        </w:tc>
        <w:tc>
          <w:tcPr>
            <w:tcW w:w="1315" w:type="dxa"/>
            <w:tcBorders>
              <w:top w:val="single" w:sz="4" w:space="0" w:color="auto"/>
              <w:left w:val="single" w:sz="4" w:space="0" w:color="auto"/>
              <w:bottom w:val="single" w:sz="4" w:space="0" w:color="auto"/>
              <w:right w:val="single" w:sz="4" w:space="0" w:color="auto"/>
            </w:tcBorders>
            <w:vAlign w:val="center"/>
          </w:tcPr>
          <w:p w14:paraId="5EFA16F2" w14:textId="6DCAB2A1"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2,004,766</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AAD2" w14:textId="6A2A29E3"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342</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3AA6E" w14:textId="77777777"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 xml:space="preserve">1,570,694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E3313" w14:textId="77777777"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 xml:space="preserve">16.1 </w:t>
            </w:r>
          </w:p>
        </w:tc>
      </w:tr>
      <w:tr w:rsidR="009C133C" w:rsidRPr="00BD6A02" w14:paraId="4EDA61E3" w14:textId="77777777" w:rsidTr="00497387">
        <w:trPr>
          <w:trHeight w:val="301"/>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10D33" w14:textId="77777777" w:rsidR="009C133C" w:rsidRPr="00BD6A02" w:rsidRDefault="009C133C" w:rsidP="009C133C">
            <w:pPr>
              <w:suppressAutoHyphens w:val="0"/>
              <w:spacing w:before="0" w:after="0" w:line="240" w:lineRule="auto"/>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Total</w:t>
            </w:r>
            <w:r>
              <w:rPr>
                <w:rFonts w:ascii="Calibri" w:eastAsia="Times New Roman" w:hAnsi="Calibri" w:cs="Calibri"/>
                <w:b/>
                <w:sz w:val="20"/>
                <w:szCs w:val="20"/>
                <w:lang w:eastAsia="en-AU"/>
              </w:rPr>
              <w:t xml:space="preserve"> (all entities)</w:t>
            </w:r>
          </w:p>
        </w:tc>
        <w:tc>
          <w:tcPr>
            <w:tcW w:w="1315" w:type="dxa"/>
            <w:tcBorders>
              <w:top w:val="single" w:sz="4" w:space="0" w:color="auto"/>
              <w:left w:val="single" w:sz="4" w:space="0" w:color="auto"/>
              <w:bottom w:val="single" w:sz="4" w:space="0" w:color="auto"/>
              <w:right w:val="single" w:sz="4" w:space="0" w:color="auto"/>
            </w:tcBorders>
            <w:vAlign w:val="center"/>
          </w:tcPr>
          <w:p w14:paraId="66D136CC" w14:textId="1433B7F6"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2,838,345</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44F6B" w14:textId="077A1F13"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568</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13294" w14:textId="77777777"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sidRPr="00BD6A02">
              <w:rPr>
                <w:rFonts w:ascii="Calibri" w:eastAsia="Times New Roman" w:hAnsi="Calibri" w:cs="Calibri"/>
                <w:b/>
                <w:sz w:val="20"/>
                <w:szCs w:val="20"/>
                <w:lang w:eastAsia="en-AU"/>
              </w:rPr>
              <w:t xml:space="preserve">2,253,361 </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E5186" w14:textId="77777777" w:rsidR="009C133C" w:rsidRPr="00BD6A02" w:rsidRDefault="009C133C" w:rsidP="00497387">
            <w:pPr>
              <w:suppressAutoHyphens w:val="0"/>
              <w:spacing w:before="0" w:after="0" w:line="240" w:lineRule="auto"/>
              <w:jc w:val="right"/>
              <w:rPr>
                <w:rFonts w:ascii="Calibri" w:eastAsia="Times New Roman" w:hAnsi="Calibri" w:cs="Calibri"/>
                <w:b/>
                <w:sz w:val="20"/>
                <w:szCs w:val="20"/>
                <w:lang w:eastAsia="en-AU"/>
              </w:rPr>
            </w:pPr>
            <w:r>
              <w:rPr>
                <w:rFonts w:ascii="Calibri" w:eastAsia="Times New Roman" w:hAnsi="Calibri" w:cs="Calibri"/>
                <w:b/>
                <w:sz w:val="20"/>
                <w:szCs w:val="20"/>
                <w:lang w:eastAsia="en-AU"/>
              </w:rPr>
              <w:t>16.1</w:t>
            </w:r>
            <w:r w:rsidRPr="00BD6A02">
              <w:rPr>
                <w:rFonts w:ascii="Calibri" w:eastAsia="Times New Roman" w:hAnsi="Calibri" w:cs="Calibri"/>
                <w:b/>
                <w:sz w:val="20"/>
                <w:szCs w:val="20"/>
                <w:lang w:eastAsia="en-AU"/>
              </w:rPr>
              <w:t xml:space="preserve"> </w:t>
            </w:r>
          </w:p>
        </w:tc>
      </w:tr>
      <w:tr w:rsidR="009C133C" w:rsidRPr="00EE59E6" w14:paraId="1DC53F41" w14:textId="77777777" w:rsidTr="00497387">
        <w:trPr>
          <w:trHeight w:val="301"/>
        </w:trPr>
        <w:tc>
          <w:tcPr>
            <w:tcW w:w="3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A23FF" w14:textId="77777777" w:rsidR="009C133C" w:rsidRPr="00B05E1C" w:rsidRDefault="009C133C" w:rsidP="009C133C">
            <w:pPr>
              <w:suppressAutoHyphens w:val="0"/>
              <w:spacing w:before="0" w:after="0" w:line="240" w:lineRule="auto"/>
              <w:rPr>
                <w:rFonts w:ascii="Calibri" w:eastAsia="Times New Roman" w:hAnsi="Calibri" w:cs="Calibri"/>
                <w:sz w:val="20"/>
                <w:szCs w:val="20"/>
                <w:lang w:eastAsia="en-AU"/>
              </w:rPr>
            </w:pPr>
            <w:r>
              <w:rPr>
                <w:rFonts w:ascii="Calibri" w:eastAsia="Times New Roman" w:hAnsi="Calibri" w:cs="Calibri"/>
                <w:sz w:val="20"/>
                <w:szCs w:val="20"/>
                <w:lang w:eastAsia="en-AU"/>
              </w:rPr>
              <w:t xml:space="preserve">Top 10 Entities as proportion of total </w:t>
            </w:r>
          </w:p>
        </w:tc>
        <w:tc>
          <w:tcPr>
            <w:tcW w:w="1315" w:type="dxa"/>
            <w:tcBorders>
              <w:top w:val="single" w:sz="4" w:space="0" w:color="auto"/>
              <w:left w:val="single" w:sz="4" w:space="0" w:color="auto"/>
              <w:bottom w:val="single" w:sz="4" w:space="0" w:color="auto"/>
              <w:right w:val="single" w:sz="4" w:space="0" w:color="auto"/>
            </w:tcBorders>
            <w:vAlign w:val="center"/>
          </w:tcPr>
          <w:p w14:paraId="6927D0D6" w14:textId="1F251A62" w:rsidR="009C133C" w:rsidRPr="004D71DA"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71%</w:t>
            </w:r>
          </w:p>
        </w:tc>
        <w:tc>
          <w:tcPr>
            <w:tcW w:w="13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3C201" w14:textId="668B16B4"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60%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30BB8"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sidRPr="004D71DA">
              <w:rPr>
                <w:rFonts w:ascii="Calibri" w:eastAsia="Times New Roman" w:hAnsi="Calibri" w:cs="Calibri"/>
                <w:sz w:val="20"/>
                <w:szCs w:val="20"/>
                <w:lang w:eastAsia="en-AU"/>
              </w:rPr>
              <w:t>70%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5720D" w14:textId="77777777" w:rsidR="009C133C" w:rsidRPr="00B05E1C" w:rsidRDefault="009C133C" w:rsidP="00497387">
            <w:pPr>
              <w:suppressAutoHyphens w:val="0"/>
              <w:spacing w:before="0"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w:t>
            </w:r>
          </w:p>
        </w:tc>
      </w:tr>
    </w:tbl>
    <w:p w14:paraId="331874FC" w14:textId="77777777" w:rsidR="00715BAD" w:rsidRDefault="00715BAD" w:rsidP="00715BAD">
      <w:r>
        <w:t>T</w:t>
      </w:r>
      <w:r w:rsidRPr="00EE59E6">
        <w:t xml:space="preserve">he ten entities with the most </w:t>
      </w:r>
      <w:r>
        <w:t>controlled</w:t>
      </w:r>
      <w:r w:rsidRPr="00EE59E6">
        <w:t xml:space="preserve"> </w:t>
      </w:r>
      <w:r>
        <w:t>a</w:t>
      </w:r>
      <w:r w:rsidRPr="00EE59E6">
        <w:t xml:space="preserve">rea account for </w:t>
      </w:r>
      <w:r w:rsidRPr="00B05E1C">
        <w:t>7</w:t>
      </w:r>
      <w:r>
        <w:t>1</w:t>
      </w:r>
      <w:r w:rsidRPr="00B05E1C">
        <w:t xml:space="preserve"> per cent</w:t>
      </w:r>
      <w:r w:rsidRPr="00D113EE">
        <w:t xml:space="preserve"> of the Commonwealth’s office space</w:t>
      </w:r>
      <w:r>
        <w:t xml:space="preserve"> or 60 per cent of the total number of tenancies</w:t>
      </w:r>
      <w:r w:rsidRPr="00D113EE">
        <w:t>.</w:t>
      </w:r>
      <w:r>
        <w:t xml:space="preserve"> </w:t>
      </w:r>
    </w:p>
    <w:p w14:paraId="3F01A98B" w14:textId="3A78698A" w:rsidR="00F84049" w:rsidRDefault="00715BAD" w:rsidP="00DF1805">
      <w:r>
        <w:t>Note: entities reflect their composition as at July 2019 at the time of the data collection, and do not incorporate Machinery of Government changes that took effect on 1 February 2020</w:t>
      </w:r>
      <w:r w:rsidR="00C12110">
        <w:t>.</w:t>
      </w:r>
    </w:p>
    <w:p w14:paraId="257FD821" w14:textId="77777777" w:rsidR="008F4309" w:rsidRPr="004429D8" w:rsidRDefault="008F4309" w:rsidP="004429D8">
      <w:pPr>
        <w:sectPr w:rsidR="008F4309" w:rsidRPr="004429D8" w:rsidSect="00AE2933">
          <w:pgSz w:w="11906" w:h="16838" w:code="9"/>
          <w:pgMar w:top="1418" w:right="1418" w:bottom="1418" w:left="1418" w:header="510" w:footer="624" w:gutter="0"/>
          <w:cols w:space="708"/>
          <w:docGrid w:linePitch="360"/>
        </w:sectPr>
      </w:pPr>
    </w:p>
    <w:p w14:paraId="2FC154D5" w14:textId="778B9B35" w:rsidR="00DC1B8E" w:rsidRDefault="00B2390F" w:rsidP="00AE2933">
      <w:pPr>
        <w:pStyle w:val="Heading1"/>
      </w:pPr>
      <w:bookmarkStart w:id="35" w:name="_Toc40455106"/>
      <w:r>
        <w:t xml:space="preserve">Appendix </w:t>
      </w:r>
      <w:r w:rsidR="004E5E3D">
        <w:t>A</w:t>
      </w:r>
      <w:r w:rsidR="004A76A2">
        <w:t>: Glossary of Terms</w:t>
      </w:r>
      <w:r w:rsidR="00713762">
        <w:t xml:space="preserve"> and Concepts</w:t>
      </w:r>
      <w:bookmarkEnd w:id="35"/>
    </w:p>
    <w:p w14:paraId="26E02FF8" w14:textId="4B2AC769" w:rsidR="00713762" w:rsidRPr="00713762" w:rsidRDefault="00713762" w:rsidP="00713762">
      <w:r w:rsidRPr="00713762">
        <w:t xml:space="preserve">Terms and concepts used in the </w:t>
      </w:r>
      <w:r w:rsidR="008C2CD0">
        <w:t xml:space="preserve">Occupancy </w:t>
      </w:r>
      <w:r w:rsidRPr="00713762">
        <w:t>Report are detailed below.</w:t>
      </w:r>
    </w:p>
    <w:p w14:paraId="77458FC4" w14:textId="071AD916" w:rsidR="00EF3165" w:rsidRPr="005A5E0E" w:rsidRDefault="00EF3165" w:rsidP="00EF3165">
      <w:r>
        <w:rPr>
          <w:u w:val="single"/>
        </w:rPr>
        <w:t xml:space="preserve">Controlled </w:t>
      </w:r>
      <w:r w:rsidR="00BB4706">
        <w:rPr>
          <w:u w:val="single"/>
        </w:rPr>
        <w:t>area</w:t>
      </w:r>
      <w:r w:rsidR="00BB4706">
        <w:t xml:space="preserve"> </w:t>
      </w:r>
      <w:r>
        <w:t xml:space="preserve">is the </w:t>
      </w:r>
      <w:r w:rsidR="005967C2" w:rsidRPr="005967C2">
        <w:rPr>
          <w:i/>
        </w:rPr>
        <w:t>n</w:t>
      </w:r>
      <w:r w:rsidRPr="005967C2">
        <w:rPr>
          <w:i/>
        </w:rPr>
        <w:t xml:space="preserve">et </w:t>
      </w:r>
      <w:r w:rsidR="005967C2" w:rsidRPr="005967C2">
        <w:rPr>
          <w:i/>
        </w:rPr>
        <w:t>l</w:t>
      </w:r>
      <w:r w:rsidRPr="005967C2">
        <w:rPr>
          <w:i/>
        </w:rPr>
        <w:t xml:space="preserve">ettable </w:t>
      </w:r>
      <w:r w:rsidR="005967C2" w:rsidRPr="005967C2">
        <w:rPr>
          <w:i/>
        </w:rPr>
        <w:t>a</w:t>
      </w:r>
      <w:r w:rsidRPr="005967C2">
        <w:rPr>
          <w:i/>
        </w:rPr>
        <w:t>rea</w:t>
      </w:r>
      <w:r>
        <w:t xml:space="preserve"> of a tenancy, minus any area that has been sub-let to a third party. </w:t>
      </w:r>
    </w:p>
    <w:p w14:paraId="0EA3C1C4" w14:textId="77777777" w:rsidR="00EF3165" w:rsidRDefault="00EF3165" w:rsidP="00EF3165">
      <w:r w:rsidRPr="00127EBB">
        <w:rPr>
          <w:u w:val="single"/>
        </w:rPr>
        <w:t>Cost per square metre</w:t>
      </w:r>
      <w:r>
        <w:t xml:space="preserve"> is the </w:t>
      </w:r>
      <w:r w:rsidRPr="005967C2">
        <w:rPr>
          <w:i/>
        </w:rPr>
        <w:t>net tenancy expenditure</w:t>
      </w:r>
      <w:r>
        <w:t xml:space="preserve"> divided by the </w:t>
      </w:r>
      <w:r w:rsidRPr="005967C2">
        <w:rPr>
          <w:i/>
        </w:rPr>
        <w:t>controlled area</w:t>
      </w:r>
      <w:r>
        <w:t>.</w:t>
      </w:r>
    </w:p>
    <w:p w14:paraId="3B4D40C3" w14:textId="77777777" w:rsidR="00EF3165" w:rsidRDefault="00EF3165" w:rsidP="00EF3165">
      <w:r w:rsidRPr="00127EBB">
        <w:rPr>
          <w:u w:val="single"/>
        </w:rPr>
        <w:t>Cost per staff</w:t>
      </w:r>
      <w:r>
        <w:t xml:space="preserve"> is the </w:t>
      </w:r>
      <w:r w:rsidRPr="005967C2">
        <w:rPr>
          <w:i/>
        </w:rPr>
        <w:t>net tenancy expenditure</w:t>
      </w:r>
      <w:r>
        <w:t xml:space="preserve"> divided by the number of </w:t>
      </w:r>
      <w:r w:rsidRPr="005967C2">
        <w:rPr>
          <w:i/>
        </w:rPr>
        <w:t>staff</w:t>
      </w:r>
      <w:r>
        <w:t>.</w:t>
      </w:r>
    </w:p>
    <w:p w14:paraId="34250195" w14:textId="4DA10F82" w:rsidR="00EF3165" w:rsidRDefault="00EF3165" w:rsidP="00EF3165">
      <w:r w:rsidRPr="00127EBB">
        <w:rPr>
          <w:u w:val="single"/>
        </w:rPr>
        <w:t>Cost per work-point</w:t>
      </w:r>
      <w:r>
        <w:t xml:space="preserve"> is the </w:t>
      </w:r>
      <w:r w:rsidRPr="005967C2">
        <w:rPr>
          <w:i/>
        </w:rPr>
        <w:t>net tenancy expenditure</w:t>
      </w:r>
      <w:r>
        <w:t xml:space="preserve"> divided by the number of </w:t>
      </w:r>
      <w:r w:rsidRPr="005967C2">
        <w:rPr>
          <w:i/>
        </w:rPr>
        <w:t>work-points</w:t>
      </w:r>
      <w:r>
        <w:t>.</w:t>
      </w:r>
    </w:p>
    <w:p w14:paraId="45B9F6FE" w14:textId="33E7D524" w:rsidR="007B15A0" w:rsidRDefault="00EF3165" w:rsidP="00EF3165">
      <w:r w:rsidRPr="00BA0E13">
        <w:rPr>
          <w:u w:val="single"/>
        </w:rPr>
        <w:t xml:space="preserve">Fit-out </w:t>
      </w:r>
      <w:r w:rsidR="00BB4706" w:rsidRPr="00BA0E13">
        <w:rPr>
          <w:u w:val="single"/>
        </w:rPr>
        <w:t>density</w:t>
      </w:r>
      <w:r w:rsidR="00BB4706" w:rsidRPr="00BA0E13">
        <w:t xml:space="preserve"> </w:t>
      </w:r>
      <w:r w:rsidRPr="00BA0E13">
        <w:t xml:space="preserve">is the square metres of </w:t>
      </w:r>
      <w:r w:rsidRPr="001F58DC">
        <w:rPr>
          <w:i/>
        </w:rPr>
        <w:t>usable office area</w:t>
      </w:r>
      <w:r w:rsidRPr="00BA0E13">
        <w:t xml:space="preserve"> </w:t>
      </w:r>
      <w:r>
        <w:t>divided by the total</w:t>
      </w:r>
      <w:r w:rsidRPr="00BA0E13">
        <w:t xml:space="preserve"> number of </w:t>
      </w:r>
      <w:r w:rsidRPr="001F58DC">
        <w:rPr>
          <w:i/>
        </w:rPr>
        <w:t>work</w:t>
      </w:r>
      <w:r w:rsidRPr="001F58DC">
        <w:rPr>
          <w:i/>
        </w:rPr>
        <w:noBreakHyphen/>
        <w:t>points</w:t>
      </w:r>
      <w:r w:rsidRPr="00BA0E13">
        <w:t xml:space="preserve">.  </w:t>
      </w:r>
    </w:p>
    <w:p w14:paraId="6618625D" w14:textId="77777777" w:rsidR="007B15A0" w:rsidRDefault="007B15A0" w:rsidP="007B15A0">
      <w:r w:rsidRPr="00D57AD1">
        <w:rPr>
          <w:u w:val="single"/>
        </w:rPr>
        <w:t xml:space="preserve">Meeting the </w:t>
      </w:r>
      <w:r>
        <w:rPr>
          <w:u w:val="single"/>
        </w:rPr>
        <w:t>o</w:t>
      </w:r>
      <w:r w:rsidRPr="00D57AD1">
        <w:rPr>
          <w:u w:val="single"/>
        </w:rPr>
        <w:t xml:space="preserve">ccupational </w:t>
      </w:r>
      <w:r>
        <w:rPr>
          <w:u w:val="single"/>
        </w:rPr>
        <w:t>d</w:t>
      </w:r>
      <w:r w:rsidRPr="00D57AD1">
        <w:rPr>
          <w:u w:val="single"/>
        </w:rPr>
        <w:t xml:space="preserve">ensity </w:t>
      </w:r>
      <w:r>
        <w:rPr>
          <w:u w:val="single"/>
        </w:rPr>
        <w:t>t</w:t>
      </w:r>
      <w:r w:rsidRPr="00D57AD1">
        <w:rPr>
          <w:u w:val="single"/>
        </w:rPr>
        <w:t>arget</w:t>
      </w:r>
      <w:r>
        <w:t xml:space="preserve"> expressed as a percentage by dividing the number of tenancies with an occupational density of less than, or equal to, 14 m</w:t>
      </w:r>
      <w:r w:rsidRPr="00D57AD1">
        <w:rPr>
          <w:vertAlign w:val="superscript"/>
        </w:rPr>
        <w:t>2</w:t>
      </w:r>
      <w:r>
        <w:t xml:space="preserve"> by the total number of tenancies that meet a given criteria.</w:t>
      </w:r>
    </w:p>
    <w:p w14:paraId="183449E0" w14:textId="5B04CCCF" w:rsidR="007B15A0" w:rsidRPr="002A146E" w:rsidRDefault="007B15A0" w:rsidP="007B15A0">
      <w:r w:rsidRPr="001812FF">
        <w:rPr>
          <w:u w:val="single"/>
        </w:rPr>
        <w:t xml:space="preserve">Net </w:t>
      </w:r>
      <w:r w:rsidR="00BB4706" w:rsidRPr="001812FF">
        <w:rPr>
          <w:u w:val="single"/>
        </w:rPr>
        <w:t>lettable area</w:t>
      </w:r>
      <w:r w:rsidR="00BB4706">
        <w:t xml:space="preserve"> </w:t>
      </w:r>
      <w:r>
        <w:t>represents the total office space of a tenancy, this is measured in square metres (m</w:t>
      </w:r>
      <w:r w:rsidRPr="0015585B">
        <w:rPr>
          <w:vertAlign w:val="superscript"/>
        </w:rPr>
        <w:t>2</w:t>
      </w:r>
      <w:r>
        <w:t>) and is the area between internal walls of a building that is being leased.</w:t>
      </w:r>
    </w:p>
    <w:p w14:paraId="36DCC239" w14:textId="1FD3D3CA" w:rsidR="00EF3165" w:rsidRDefault="007B15A0" w:rsidP="00EF3165">
      <w:r>
        <w:rPr>
          <w:u w:val="single"/>
        </w:rPr>
        <w:t>Net tenancy expenditure</w:t>
      </w:r>
      <w:r>
        <w:t xml:space="preserve"> is the total annual rent (GST inclusive) expense of each lease for all areas within the tenancy.</w:t>
      </w:r>
    </w:p>
    <w:p w14:paraId="65A26968" w14:textId="20343B02" w:rsidR="00EF3165" w:rsidRDefault="00EF3165" w:rsidP="00EF3165">
      <w:r w:rsidRPr="00BA0E13">
        <w:rPr>
          <w:u w:val="single"/>
        </w:rPr>
        <w:t xml:space="preserve">Occupational </w:t>
      </w:r>
      <w:r w:rsidR="00BB4706" w:rsidRPr="00BA0E13">
        <w:rPr>
          <w:u w:val="single"/>
        </w:rPr>
        <w:t>density</w:t>
      </w:r>
      <w:r w:rsidR="00BB4706" w:rsidRPr="00BA0E13">
        <w:t xml:space="preserve"> </w:t>
      </w:r>
      <w:r w:rsidRPr="00BA0E13">
        <w:t>is the square metres of</w:t>
      </w:r>
      <w:r>
        <w:t xml:space="preserve"> </w:t>
      </w:r>
      <w:r w:rsidRPr="001F58DC">
        <w:rPr>
          <w:i/>
        </w:rPr>
        <w:t>usable office area</w:t>
      </w:r>
      <w:r>
        <w:t xml:space="preserve"> divided</w:t>
      </w:r>
      <w:r w:rsidRPr="00BA0E13">
        <w:t xml:space="preserve"> by the number of </w:t>
      </w:r>
      <w:r>
        <w:rPr>
          <w:i/>
        </w:rPr>
        <w:t>occupied work-points</w:t>
      </w:r>
      <w:r>
        <w:t>.</w:t>
      </w:r>
    </w:p>
    <w:p w14:paraId="208AAC0E" w14:textId="0A3359E1" w:rsidR="00EF3165" w:rsidRDefault="00EF3165" w:rsidP="00EF3165">
      <w:pPr>
        <w:rPr>
          <w:u w:val="single"/>
        </w:rPr>
      </w:pPr>
      <w:r>
        <w:t xml:space="preserve">The Government has set an </w:t>
      </w:r>
      <w:r>
        <w:rPr>
          <w:u w:val="single"/>
        </w:rPr>
        <w:t>o</w:t>
      </w:r>
      <w:r w:rsidRPr="001F58DC">
        <w:rPr>
          <w:u w:val="single"/>
        </w:rPr>
        <w:t xml:space="preserve">ccupational </w:t>
      </w:r>
      <w:r>
        <w:rPr>
          <w:u w:val="single"/>
        </w:rPr>
        <w:t>d</w:t>
      </w:r>
      <w:r w:rsidRPr="001F58DC">
        <w:rPr>
          <w:u w:val="single"/>
        </w:rPr>
        <w:t xml:space="preserve">ensity </w:t>
      </w:r>
      <w:r>
        <w:rPr>
          <w:u w:val="single"/>
        </w:rPr>
        <w:t>t</w:t>
      </w:r>
      <w:r w:rsidRPr="001F58DC">
        <w:rPr>
          <w:u w:val="single"/>
        </w:rPr>
        <w:t>arget</w:t>
      </w:r>
      <w:r>
        <w:t xml:space="preserve"> of 14 m</w:t>
      </w:r>
      <w:r w:rsidRPr="00D57AD1">
        <w:rPr>
          <w:vertAlign w:val="superscript"/>
        </w:rPr>
        <w:t>2</w:t>
      </w:r>
      <w:r>
        <w:t xml:space="preserve"> of </w:t>
      </w:r>
      <w:r w:rsidRPr="00D57AD1">
        <w:rPr>
          <w:i/>
        </w:rPr>
        <w:t>usable office area</w:t>
      </w:r>
      <w:r>
        <w:t xml:space="preserve"> per </w:t>
      </w:r>
      <w:r w:rsidRPr="00D57AD1">
        <w:rPr>
          <w:i/>
        </w:rPr>
        <w:t>occupied work-point</w:t>
      </w:r>
      <w:r>
        <w:t>.</w:t>
      </w:r>
    </w:p>
    <w:p w14:paraId="3CE92D83" w14:textId="5A04B855" w:rsidR="00EF3165" w:rsidRPr="001F58DC" w:rsidRDefault="00EF3165" w:rsidP="00EF3165">
      <w:r w:rsidRPr="001F58DC">
        <w:rPr>
          <w:u w:val="single"/>
        </w:rPr>
        <w:t xml:space="preserve">Occupied </w:t>
      </w:r>
      <w:r w:rsidR="00BB4706" w:rsidRPr="001F58DC">
        <w:rPr>
          <w:u w:val="single"/>
        </w:rPr>
        <w:t>work</w:t>
      </w:r>
      <w:r w:rsidRPr="001F58DC">
        <w:rPr>
          <w:u w:val="single"/>
        </w:rPr>
        <w:t>-point</w:t>
      </w:r>
      <w:r>
        <w:t xml:space="preserve"> is the number of occupied desks in a tenancy, which is equivalent to the number of </w:t>
      </w:r>
      <w:r w:rsidRPr="001F58DC">
        <w:rPr>
          <w:i/>
        </w:rPr>
        <w:t>staff allocated to lease</w:t>
      </w:r>
      <w:r>
        <w:t>.</w:t>
      </w:r>
    </w:p>
    <w:p w14:paraId="075F6BA1" w14:textId="3A2474DC" w:rsidR="00EF3165" w:rsidRPr="001F58DC" w:rsidRDefault="00EF3165" w:rsidP="00EF3165">
      <w:r>
        <w:rPr>
          <w:u w:val="single"/>
        </w:rPr>
        <w:t xml:space="preserve">Staff, or </w:t>
      </w:r>
      <w:r w:rsidR="00BB4706">
        <w:rPr>
          <w:u w:val="single"/>
        </w:rPr>
        <w:t xml:space="preserve">staff allocated </w:t>
      </w:r>
      <w:r>
        <w:rPr>
          <w:u w:val="single"/>
        </w:rPr>
        <w:t xml:space="preserve">to </w:t>
      </w:r>
      <w:r w:rsidR="00BB4706">
        <w:rPr>
          <w:u w:val="single"/>
        </w:rPr>
        <w:t>lease</w:t>
      </w:r>
      <w:r w:rsidR="00BB4706">
        <w:t xml:space="preserve"> </w:t>
      </w:r>
      <w:r>
        <w:t>is the number of staff allocated to a tenancy, measured on a headcount basis and inclusive of contractors. Staff are counted once or at a point in time by entities in the weeks leading up to 30 June.</w:t>
      </w:r>
    </w:p>
    <w:p w14:paraId="4988813B" w14:textId="0FDB531E" w:rsidR="00CC4091" w:rsidRDefault="00CC4091" w:rsidP="00CC4091">
      <w:r w:rsidRPr="001812FF">
        <w:rPr>
          <w:u w:val="single"/>
        </w:rPr>
        <w:t xml:space="preserve">Usable </w:t>
      </w:r>
      <w:r w:rsidR="00BB4706" w:rsidRPr="001812FF">
        <w:rPr>
          <w:u w:val="single"/>
        </w:rPr>
        <w:t>office area</w:t>
      </w:r>
      <w:r w:rsidR="00BB4706">
        <w:t xml:space="preserve"> </w:t>
      </w:r>
      <w:r>
        <w:t xml:space="preserve">is the </w:t>
      </w:r>
      <w:r w:rsidR="005967C2" w:rsidRPr="005967C2">
        <w:rPr>
          <w:i/>
        </w:rPr>
        <w:t>c</w:t>
      </w:r>
      <w:r w:rsidRPr="005967C2">
        <w:rPr>
          <w:i/>
        </w:rPr>
        <w:t>ontrolled</w:t>
      </w:r>
      <w:r w:rsidR="005967C2" w:rsidRPr="005967C2">
        <w:rPr>
          <w:i/>
        </w:rPr>
        <w:t xml:space="preserve"> a</w:t>
      </w:r>
      <w:r w:rsidRPr="005967C2">
        <w:rPr>
          <w:i/>
        </w:rPr>
        <w:t>rea</w:t>
      </w:r>
      <w:r>
        <w:t xml:space="preserve"> of a tenancy, minus any area that is deemed unsuitable for office work.</w:t>
      </w:r>
    </w:p>
    <w:p w14:paraId="7374D55C" w14:textId="64904E1F" w:rsidR="00713762" w:rsidRDefault="00BD6D8D" w:rsidP="00713762">
      <w:r>
        <w:t>Most a</w:t>
      </w:r>
      <w:r w:rsidR="00713762">
        <w:t>reas that are deemed not suitable for office</w:t>
      </w:r>
      <w:r w:rsidR="003F7252">
        <w:t xml:space="preserve"> </w:t>
      </w:r>
      <w:r w:rsidR="00713762">
        <w:t>work</w:t>
      </w:r>
      <w:r>
        <w:t xml:space="preserve"> may</w:t>
      </w:r>
      <w:r w:rsidR="00713762">
        <w:t xml:space="preserve"> fall into one of the following categories:</w:t>
      </w:r>
    </w:p>
    <w:p w14:paraId="642A2590" w14:textId="77777777" w:rsidR="00713762" w:rsidRDefault="00713762" w:rsidP="00FD1681">
      <w:pPr>
        <w:pStyle w:val="ListParagraph"/>
        <w:numPr>
          <w:ilvl w:val="0"/>
          <w:numId w:val="10"/>
        </w:numPr>
        <w:ind w:left="714" w:hanging="357"/>
        <w:contextualSpacing w:val="0"/>
      </w:pPr>
      <w:r>
        <w:t xml:space="preserve">Basement or inadequate amenities – including physical constraints, such as the absence of natural light or </w:t>
      </w:r>
      <w:r w:rsidR="00BD6D8D">
        <w:t>ongoing</w:t>
      </w:r>
      <w:r>
        <w:t xml:space="preserve"> </w:t>
      </w:r>
      <w:r w:rsidR="00BD6D8D">
        <w:t>construction, maintenance or fit-out.</w:t>
      </w:r>
    </w:p>
    <w:p w14:paraId="3FEFF1BC" w14:textId="77777777" w:rsidR="00BD6D8D" w:rsidRDefault="00BD6D8D" w:rsidP="00FD1681">
      <w:pPr>
        <w:pStyle w:val="ListParagraph"/>
        <w:numPr>
          <w:ilvl w:val="0"/>
          <w:numId w:val="10"/>
        </w:numPr>
        <w:ind w:left="714" w:hanging="357"/>
        <w:contextualSpacing w:val="0"/>
      </w:pPr>
      <w:r>
        <w:t>Police station, laboratory, or hospital.</w:t>
      </w:r>
    </w:p>
    <w:p w14:paraId="73198CC4" w14:textId="77777777" w:rsidR="00BD6D8D" w:rsidRDefault="00BD6D8D" w:rsidP="00FD1681">
      <w:pPr>
        <w:pStyle w:val="ListParagraph"/>
        <w:numPr>
          <w:ilvl w:val="0"/>
          <w:numId w:val="10"/>
        </w:numPr>
        <w:ind w:left="714" w:hanging="357"/>
        <w:contextualSpacing w:val="0"/>
      </w:pPr>
      <w:r>
        <w:t xml:space="preserve">Areas specifically for operational activity – including space to interview, counsel, or detain members of the public. </w:t>
      </w:r>
    </w:p>
    <w:p w14:paraId="363A2261" w14:textId="77777777" w:rsidR="00BD6D8D" w:rsidRDefault="00BD6D8D" w:rsidP="00FD1681">
      <w:pPr>
        <w:pStyle w:val="ListParagraph"/>
        <w:numPr>
          <w:ilvl w:val="0"/>
          <w:numId w:val="10"/>
        </w:numPr>
        <w:ind w:left="714" w:hanging="357"/>
        <w:contextualSpacing w:val="0"/>
      </w:pPr>
      <w:r>
        <w:t>Public facilities – including areas that are freely accessibly to the public, such as libraries, galleries, reception areas and waiting areas.</w:t>
      </w:r>
    </w:p>
    <w:p w14:paraId="6F45C1B8" w14:textId="77777777" w:rsidR="00BD6D8D" w:rsidRDefault="00BD6D8D" w:rsidP="00FD1681">
      <w:pPr>
        <w:pStyle w:val="ListParagraph"/>
        <w:numPr>
          <w:ilvl w:val="0"/>
          <w:numId w:val="10"/>
        </w:numPr>
        <w:ind w:left="714" w:hanging="357"/>
        <w:contextualSpacing w:val="0"/>
      </w:pPr>
      <w:r>
        <w:t>Judicial chambers and court rooms.</w:t>
      </w:r>
    </w:p>
    <w:p w14:paraId="6225B1EB" w14:textId="77777777" w:rsidR="00BD6D8D" w:rsidRDefault="00BD6D8D" w:rsidP="00FD1681">
      <w:pPr>
        <w:pStyle w:val="ListParagraph"/>
        <w:numPr>
          <w:ilvl w:val="0"/>
          <w:numId w:val="10"/>
        </w:numPr>
        <w:ind w:left="714" w:hanging="357"/>
        <w:contextualSpacing w:val="0"/>
      </w:pPr>
      <w:r>
        <w:t xml:space="preserve">Areas specifically for the Governor-General, </w:t>
      </w:r>
      <w:r w:rsidR="00073D24">
        <w:t xml:space="preserve">the </w:t>
      </w:r>
      <w:r>
        <w:t>Prime Minister, and Parliamentarians.</w:t>
      </w:r>
    </w:p>
    <w:p w14:paraId="5B276ACC" w14:textId="77777777" w:rsidR="00BD6D8D" w:rsidRDefault="00BD6D8D" w:rsidP="00FD1681">
      <w:pPr>
        <w:pStyle w:val="ListParagraph"/>
        <w:numPr>
          <w:ilvl w:val="0"/>
          <w:numId w:val="10"/>
        </w:numPr>
        <w:ind w:left="714" w:hanging="357"/>
        <w:contextualSpacing w:val="0"/>
      </w:pPr>
      <w:r>
        <w:t>Emergency and Crisis Coordination Areas</w:t>
      </w:r>
      <w:r w:rsidR="00073D24">
        <w:t>.</w:t>
      </w:r>
    </w:p>
    <w:p w14:paraId="3822E4B8" w14:textId="1AA17003" w:rsidR="00BD6D8D" w:rsidRDefault="00BD6D8D" w:rsidP="00713762">
      <w:r>
        <w:rPr>
          <w:u w:val="single"/>
        </w:rPr>
        <w:t xml:space="preserve">Vacant </w:t>
      </w:r>
      <w:r w:rsidR="00F7718B">
        <w:rPr>
          <w:u w:val="single"/>
        </w:rPr>
        <w:t>work</w:t>
      </w:r>
      <w:r>
        <w:rPr>
          <w:u w:val="single"/>
        </w:rPr>
        <w:t>-</w:t>
      </w:r>
      <w:r w:rsidR="001F58DC">
        <w:rPr>
          <w:u w:val="single"/>
        </w:rPr>
        <w:t>point</w:t>
      </w:r>
      <w:r w:rsidR="001F58DC">
        <w:t xml:space="preserve"> is the number of vacant desks in a tenancy, which is derived by subtracting the </w:t>
      </w:r>
      <w:r w:rsidR="001F58DC" w:rsidRPr="001F58DC">
        <w:rPr>
          <w:i/>
        </w:rPr>
        <w:t>staff allocated to lease</w:t>
      </w:r>
      <w:r w:rsidR="001F58DC">
        <w:t xml:space="preserve"> from the number of </w:t>
      </w:r>
      <w:r w:rsidR="001F58DC" w:rsidRPr="001F58DC">
        <w:rPr>
          <w:i/>
        </w:rPr>
        <w:t>work-points</w:t>
      </w:r>
      <w:r w:rsidR="001F58DC">
        <w:t xml:space="preserve"> in a tenancy.</w:t>
      </w:r>
    </w:p>
    <w:p w14:paraId="529D0C68" w14:textId="77777777" w:rsidR="00EF3165" w:rsidRPr="001F58DC" w:rsidRDefault="00EF3165" w:rsidP="00EF3165">
      <w:r>
        <w:rPr>
          <w:u w:val="single"/>
        </w:rPr>
        <w:t>Work-points</w:t>
      </w:r>
      <w:r>
        <w:t xml:space="preserve"> is defined as a desk, enclosed office, or a counter where it would be reasonable to expect a person to carry out office work on an ongoing basis. Work-points are counted by entities in the weeks leading up to 30 June.  </w:t>
      </w:r>
    </w:p>
    <w:p w14:paraId="6BCDBD47" w14:textId="2A036B13" w:rsidR="00713762" w:rsidRPr="001812FF" w:rsidRDefault="00713762" w:rsidP="00713762">
      <w:r>
        <w:rPr>
          <w:u w:val="single"/>
        </w:rPr>
        <w:t xml:space="preserve">Work-point </w:t>
      </w:r>
      <w:r w:rsidR="00F7718B">
        <w:rPr>
          <w:u w:val="single"/>
        </w:rPr>
        <w:t>vacancy rate</w:t>
      </w:r>
      <w:r w:rsidR="00F7718B">
        <w:t xml:space="preserve"> </w:t>
      </w:r>
      <w:r>
        <w:t xml:space="preserve">is the number of </w:t>
      </w:r>
      <w:r w:rsidRPr="001F58DC">
        <w:rPr>
          <w:i/>
        </w:rPr>
        <w:t>vacant work-points</w:t>
      </w:r>
      <w:r>
        <w:t xml:space="preserve"> expressed as a percentage of total </w:t>
      </w:r>
      <w:r w:rsidRPr="001F58DC">
        <w:rPr>
          <w:i/>
        </w:rPr>
        <w:t>work-points</w:t>
      </w:r>
      <w:r>
        <w:t xml:space="preserve">. </w:t>
      </w:r>
    </w:p>
    <w:p w14:paraId="0E1868EF" w14:textId="0CF6585E" w:rsidR="009B552F" w:rsidRDefault="009B552F" w:rsidP="009B552F"/>
    <w:p w14:paraId="100F9A37" w14:textId="3DA533EC" w:rsidR="009B552F" w:rsidRDefault="009B552F" w:rsidP="00127EBB"/>
    <w:p w14:paraId="05C5A819" w14:textId="38397C28" w:rsidR="00127EBB" w:rsidRPr="00127EBB" w:rsidRDefault="00127EBB" w:rsidP="00127EBB">
      <w:pPr>
        <w:sectPr w:rsidR="00127EBB" w:rsidRPr="00127EBB" w:rsidSect="00DC1B8E">
          <w:pgSz w:w="11906" w:h="16838" w:code="9"/>
          <w:pgMar w:top="1418" w:right="1418" w:bottom="1418" w:left="1418" w:header="510" w:footer="624" w:gutter="0"/>
          <w:cols w:space="708"/>
          <w:docGrid w:linePitch="360"/>
        </w:sectPr>
      </w:pPr>
    </w:p>
    <w:p w14:paraId="388B10AD" w14:textId="5EEF9285" w:rsidR="00BD05FC" w:rsidRDefault="00497387" w:rsidP="00904CDA">
      <w:pPr>
        <w:rPr>
          <w:sz w:val="34"/>
          <w:szCs w:val="26"/>
        </w:rPr>
        <w:sectPr w:rsidR="00BD05FC" w:rsidSect="00BD05FC">
          <w:pgSz w:w="16838" w:h="11906" w:orient="landscape" w:code="9"/>
          <w:pgMar w:top="720" w:right="720" w:bottom="720" w:left="720" w:header="510" w:footer="624" w:gutter="0"/>
          <w:cols w:space="708"/>
          <w:docGrid w:linePitch="360"/>
        </w:sectPr>
      </w:pPr>
      <w:r w:rsidRPr="00497387">
        <w:rPr>
          <w:noProof/>
          <w:sz w:val="34"/>
          <w:szCs w:val="26"/>
          <w:lang w:eastAsia="en-AU"/>
        </w:rPr>
        <w:drawing>
          <wp:inline distT="0" distB="0" distL="0" distR="0" wp14:anchorId="27D4D77A" wp14:editId="2E30D431">
            <wp:extent cx="9109364" cy="6274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27856" cy="6286800"/>
                    </a:xfrm>
                    <a:prstGeom prst="rect">
                      <a:avLst/>
                    </a:prstGeom>
                  </pic:spPr>
                </pic:pic>
              </a:graphicData>
            </a:graphic>
          </wp:inline>
        </w:drawing>
      </w:r>
    </w:p>
    <w:p w14:paraId="1016E411" w14:textId="2B914278" w:rsidR="00BD05FC" w:rsidRDefault="00D14DA3" w:rsidP="007B15A0">
      <w:pPr>
        <w:jc w:val="center"/>
        <w:rPr>
          <w:bCs/>
        </w:rPr>
        <w:sectPr w:rsidR="00BD05FC" w:rsidSect="00AE2933">
          <w:pgSz w:w="16838" w:h="11906" w:orient="landscape" w:code="9"/>
          <w:pgMar w:top="720" w:right="720" w:bottom="720" w:left="720" w:header="510" w:footer="624" w:gutter="0"/>
          <w:cols w:space="708"/>
          <w:docGrid w:linePitch="360"/>
        </w:sectPr>
      </w:pPr>
      <w:r>
        <w:rPr>
          <w:noProof/>
          <w:lang w:eastAsia="en-AU"/>
        </w:rPr>
        <w:drawing>
          <wp:inline distT="0" distB="0" distL="0" distR="0" wp14:anchorId="265BECC9" wp14:editId="23AB043A">
            <wp:extent cx="8867954" cy="61998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01508" cy="6223325"/>
                    </a:xfrm>
                    <a:prstGeom prst="rect">
                      <a:avLst/>
                    </a:prstGeom>
                  </pic:spPr>
                </pic:pic>
              </a:graphicData>
            </a:graphic>
          </wp:inline>
        </w:drawing>
      </w:r>
    </w:p>
    <w:p w14:paraId="509D6315" w14:textId="77777777" w:rsidR="009D1DF7" w:rsidRDefault="009D1DF7" w:rsidP="001D69D7">
      <w:pPr>
        <w:pStyle w:val="Heading1"/>
        <w:spacing w:before="0"/>
      </w:pPr>
      <w:bookmarkStart w:id="36" w:name="_Toc2005962"/>
      <w:bookmarkStart w:id="37" w:name="_Toc40455107"/>
      <w:bookmarkEnd w:id="36"/>
      <w:r>
        <w:t>Appendix B: Technical Notes</w:t>
      </w:r>
      <w:bookmarkEnd w:id="37"/>
    </w:p>
    <w:p w14:paraId="40EF06E1" w14:textId="17D32C0E" w:rsidR="009D1DF7" w:rsidRPr="00F65B21" w:rsidRDefault="009D1DF7" w:rsidP="009D1DF7">
      <w:pPr>
        <w:rPr>
          <w:rFonts w:cstheme="minorHAnsi"/>
        </w:rPr>
      </w:pPr>
      <w:r w:rsidRPr="00F65B21">
        <w:rPr>
          <w:rFonts w:cstheme="minorHAnsi"/>
        </w:rPr>
        <w:t xml:space="preserve">Previous editions of the Occupancy Report use net lettable area as the standard measure of space within a tenancy. </w:t>
      </w:r>
      <w:r>
        <w:rPr>
          <w:rFonts w:cstheme="minorHAnsi"/>
        </w:rPr>
        <w:t>T</w:t>
      </w:r>
      <w:r w:rsidRPr="00F65B21">
        <w:rPr>
          <w:rFonts w:cstheme="minorHAnsi"/>
        </w:rPr>
        <w:t xml:space="preserve">his year’s Occupancy Report </w:t>
      </w:r>
      <w:r>
        <w:rPr>
          <w:rFonts w:cstheme="minorHAnsi"/>
        </w:rPr>
        <w:t xml:space="preserve">uses </w:t>
      </w:r>
      <w:r w:rsidRPr="00F65B21">
        <w:rPr>
          <w:rFonts w:cstheme="minorHAnsi"/>
        </w:rPr>
        <w:t xml:space="preserve">controlled area </w:t>
      </w:r>
      <w:r>
        <w:rPr>
          <w:rFonts w:cstheme="minorHAnsi"/>
        </w:rPr>
        <w:t>a</w:t>
      </w:r>
      <w:r w:rsidRPr="00F65B21">
        <w:rPr>
          <w:rFonts w:cstheme="minorHAnsi"/>
        </w:rPr>
        <w:t>s the standard measure</w:t>
      </w:r>
      <w:r>
        <w:rPr>
          <w:rFonts w:cstheme="minorHAnsi"/>
        </w:rPr>
        <w:t>.</w:t>
      </w:r>
      <w:r w:rsidRPr="00F65B21">
        <w:rPr>
          <w:rFonts w:cstheme="minorHAnsi"/>
        </w:rPr>
        <w:t xml:space="preserve"> </w:t>
      </w:r>
      <w:r>
        <w:rPr>
          <w:rFonts w:cstheme="minorHAnsi"/>
        </w:rPr>
        <w:t>Controlled area is</w:t>
      </w:r>
      <w:r w:rsidRPr="00F65B21">
        <w:rPr>
          <w:rFonts w:cstheme="minorHAnsi"/>
        </w:rPr>
        <w:t xml:space="preserve"> the net lettable area of a tenancy, minus any area that is sub</w:t>
      </w:r>
      <w:r w:rsidR="00774530">
        <w:rPr>
          <w:rFonts w:cstheme="minorHAnsi"/>
        </w:rPr>
        <w:noBreakHyphen/>
      </w:r>
      <w:r w:rsidRPr="00F65B21">
        <w:rPr>
          <w:rFonts w:cstheme="minorHAnsi"/>
        </w:rPr>
        <w:t>leased to a third party.</w:t>
      </w:r>
    </w:p>
    <w:p w14:paraId="67F51E81" w14:textId="52E87614" w:rsidR="009D1DF7" w:rsidRDefault="009D1DF7" w:rsidP="007B15A0">
      <w:pPr>
        <w:rPr>
          <w:rFonts w:cstheme="minorHAnsi"/>
        </w:rPr>
      </w:pPr>
      <w:r w:rsidRPr="00F65B21">
        <w:rPr>
          <w:rFonts w:cstheme="minorHAnsi"/>
        </w:rPr>
        <w:t>This provides a more accurate measurement of space at a whole-of-government level and a more accurate picture of the Commonwealth’s overall footprint because it sep</w:t>
      </w:r>
      <w:r>
        <w:rPr>
          <w:rFonts w:cstheme="minorHAnsi"/>
        </w:rPr>
        <w:t>a</w:t>
      </w:r>
      <w:r w:rsidRPr="00F65B21">
        <w:rPr>
          <w:rFonts w:cstheme="minorHAnsi"/>
        </w:rPr>
        <w:t>rately accounts for sub</w:t>
      </w:r>
      <w:r>
        <w:rPr>
          <w:rFonts w:cstheme="minorHAnsi"/>
        </w:rPr>
        <w:t>-</w:t>
      </w:r>
      <w:r w:rsidRPr="00F65B21">
        <w:rPr>
          <w:rFonts w:cstheme="minorHAnsi"/>
        </w:rPr>
        <w:t>leased space and avoids any double counting of the sub</w:t>
      </w:r>
      <w:r>
        <w:rPr>
          <w:rFonts w:cstheme="minorHAnsi"/>
        </w:rPr>
        <w:t>-</w:t>
      </w:r>
      <w:r w:rsidRPr="00F65B21">
        <w:rPr>
          <w:rFonts w:cstheme="minorHAnsi"/>
        </w:rPr>
        <w:t>leased space. Figures from prior years have been adjusted in this Occupancy Report to reflect controlled area to ensure consistency, however this does not result in any material changes to results between years.</w:t>
      </w:r>
    </w:p>
    <w:p w14:paraId="3B06C93D" w14:textId="2E2955D9" w:rsidR="001D62C1" w:rsidRDefault="001D62C1" w:rsidP="007B15A0">
      <w:pPr>
        <w:rPr>
          <w:rFonts w:cstheme="minorHAnsi"/>
        </w:rPr>
      </w:pPr>
      <w:r>
        <w:rPr>
          <w:rFonts w:cstheme="minorHAnsi"/>
        </w:rPr>
        <w:t xml:space="preserve">Table 9 below includes </w:t>
      </w:r>
      <w:r w:rsidR="00774530">
        <w:rPr>
          <w:rFonts w:cstheme="minorHAnsi"/>
        </w:rPr>
        <w:t xml:space="preserve">net lettable area </w:t>
      </w:r>
      <w:r>
        <w:rPr>
          <w:rFonts w:cstheme="minorHAnsi"/>
        </w:rPr>
        <w:t xml:space="preserve">figures for 2017 to 2019 and allow for comparison against </w:t>
      </w:r>
      <w:r w:rsidR="00774530">
        <w:rPr>
          <w:rFonts w:cstheme="minorHAnsi"/>
        </w:rPr>
        <w:t xml:space="preserve">controlled area </w:t>
      </w:r>
      <w:r>
        <w:rPr>
          <w:rFonts w:cstheme="minorHAnsi"/>
        </w:rPr>
        <w:t>figures in the same year.</w:t>
      </w:r>
    </w:p>
    <w:p w14:paraId="7A673953" w14:textId="456E2D22" w:rsidR="001D62C1" w:rsidRPr="001D62C1" w:rsidRDefault="001D62C1" w:rsidP="007B15A0">
      <w:pPr>
        <w:rPr>
          <w:rFonts w:cstheme="minorHAnsi"/>
          <w:b/>
        </w:rPr>
      </w:pPr>
      <w:r w:rsidRPr="001D62C1">
        <w:rPr>
          <w:rFonts w:cstheme="minorHAnsi"/>
          <w:b/>
        </w:rPr>
        <w:t>Table 9: Size of Commonwealth footprint including Net Lettable Area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2"/>
        <w:gridCol w:w="1326"/>
        <w:gridCol w:w="1326"/>
        <w:gridCol w:w="1326"/>
      </w:tblGrid>
      <w:tr w:rsidR="002E1A5F" w:rsidRPr="0043442B" w14:paraId="0090C497" w14:textId="77777777" w:rsidTr="002E1A5F">
        <w:trPr>
          <w:trHeight w:val="300"/>
          <w:jc w:val="center"/>
        </w:trPr>
        <w:tc>
          <w:tcPr>
            <w:tcW w:w="2804" w:type="pct"/>
            <w:shd w:val="clear" w:color="auto" w:fill="E7E7E7" w:themeFill="text2" w:themeFillTint="1A"/>
            <w:vAlign w:val="center"/>
          </w:tcPr>
          <w:p w14:paraId="64863931" w14:textId="77777777" w:rsidR="002E1A5F" w:rsidRPr="0043442B" w:rsidRDefault="002E1A5F" w:rsidP="002E1A5F">
            <w:pPr>
              <w:suppressAutoHyphens w:val="0"/>
              <w:spacing w:before="0" w:after="0" w:line="240" w:lineRule="auto"/>
              <w:rPr>
                <w:rFonts w:ascii="Calibri" w:hAnsi="Calibri" w:cs="Calibri"/>
                <w:sz w:val="20"/>
              </w:rPr>
            </w:pPr>
            <w:r w:rsidRPr="0043442B">
              <w:rPr>
                <w:rFonts w:ascii="Calibri" w:hAnsi="Calibri" w:cs="Calibri"/>
                <w:sz w:val="20"/>
              </w:rPr>
              <w:t>Measure</w:t>
            </w:r>
          </w:p>
        </w:tc>
        <w:tc>
          <w:tcPr>
            <w:tcW w:w="732" w:type="pct"/>
            <w:shd w:val="clear" w:color="auto" w:fill="E7E7E7" w:themeFill="text2" w:themeFillTint="1A"/>
            <w:vAlign w:val="center"/>
          </w:tcPr>
          <w:p w14:paraId="0C4D012B" w14:textId="77777777" w:rsidR="002E1A5F" w:rsidRPr="00B05E1C" w:rsidRDefault="002E1A5F" w:rsidP="002E1A5F">
            <w:pPr>
              <w:suppressAutoHyphens w:val="0"/>
              <w:spacing w:before="0" w:after="0" w:line="240" w:lineRule="auto"/>
              <w:jc w:val="right"/>
              <w:rPr>
                <w:rFonts w:ascii="Calibri" w:hAnsi="Calibri" w:cs="Calibri"/>
                <w:b/>
                <w:sz w:val="20"/>
              </w:rPr>
            </w:pPr>
            <w:r w:rsidRPr="00B05E1C">
              <w:rPr>
                <w:rFonts w:ascii="Calibri" w:hAnsi="Calibri" w:cs="Calibri"/>
                <w:b/>
                <w:sz w:val="20"/>
              </w:rPr>
              <w:t>2019</w:t>
            </w:r>
          </w:p>
        </w:tc>
        <w:tc>
          <w:tcPr>
            <w:tcW w:w="732" w:type="pct"/>
            <w:shd w:val="clear" w:color="auto" w:fill="E7E7E7" w:themeFill="text2" w:themeFillTint="1A"/>
            <w:vAlign w:val="center"/>
          </w:tcPr>
          <w:p w14:paraId="01328579" w14:textId="77777777" w:rsidR="002E1A5F" w:rsidRPr="0043442B" w:rsidRDefault="002E1A5F" w:rsidP="002E1A5F">
            <w:pPr>
              <w:suppressAutoHyphens w:val="0"/>
              <w:spacing w:before="0" w:after="0" w:line="240" w:lineRule="auto"/>
              <w:jc w:val="right"/>
              <w:rPr>
                <w:rFonts w:ascii="Calibri" w:hAnsi="Calibri" w:cs="Calibri"/>
                <w:sz w:val="20"/>
              </w:rPr>
            </w:pPr>
            <w:r w:rsidRPr="0043442B">
              <w:rPr>
                <w:rFonts w:ascii="Calibri" w:hAnsi="Calibri" w:cs="Calibri"/>
                <w:sz w:val="20"/>
              </w:rPr>
              <w:t>2018</w:t>
            </w:r>
          </w:p>
        </w:tc>
        <w:tc>
          <w:tcPr>
            <w:tcW w:w="732" w:type="pct"/>
            <w:shd w:val="clear" w:color="auto" w:fill="E7E7E7" w:themeFill="text2" w:themeFillTint="1A"/>
            <w:vAlign w:val="center"/>
          </w:tcPr>
          <w:p w14:paraId="0A3724F0" w14:textId="77777777" w:rsidR="002E1A5F" w:rsidRPr="0043442B" w:rsidRDefault="002E1A5F" w:rsidP="002E1A5F">
            <w:pPr>
              <w:suppressAutoHyphens w:val="0"/>
              <w:spacing w:before="0" w:after="0" w:line="240" w:lineRule="auto"/>
              <w:jc w:val="right"/>
              <w:rPr>
                <w:rFonts w:ascii="Calibri" w:hAnsi="Calibri" w:cs="Calibri"/>
                <w:sz w:val="20"/>
              </w:rPr>
            </w:pPr>
            <w:r w:rsidRPr="0043442B">
              <w:rPr>
                <w:rFonts w:ascii="Calibri" w:hAnsi="Calibri" w:cs="Calibri"/>
                <w:sz w:val="20"/>
              </w:rPr>
              <w:t>2017</w:t>
            </w:r>
          </w:p>
        </w:tc>
      </w:tr>
      <w:tr w:rsidR="002E1A5F" w:rsidRPr="0043442B" w14:paraId="6125975A" w14:textId="77777777" w:rsidTr="002E1A5F">
        <w:trPr>
          <w:trHeight w:val="300"/>
          <w:jc w:val="center"/>
        </w:trPr>
        <w:tc>
          <w:tcPr>
            <w:tcW w:w="2804" w:type="pct"/>
            <w:shd w:val="clear" w:color="auto" w:fill="auto"/>
            <w:vAlign w:val="center"/>
            <w:hideMark/>
          </w:tcPr>
          <w:p w14:paraId="4CD272B7" w14:textId="77777777" w:rsidR="002E1A5F" w:rsidRPr="0043442B" w:rsidRDefault="002E1A5F" w:rsidP="002E1A5F">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Tenancies (n)</w:t>
            </w:r>
          </w:p>
        </w:tc>
        <w:tc>
          <w:tcPr>
            <w:tcW w:w="732" w:type="pct"/>
            <w:vAlign w:val="center"/>
          </w:tcPr>
          <w:p w14:paraId="4087ABDD" w14:textId="77777777" w:rsidR="002E1A5F" w:rsidRPr="00B05E1C" w:rsidRDefault="002E1A5F" w:rsidP="002E1A5F">
            <w:pPr>
              <w:suppressAutoHyphens w:val="0"/>
              <w:spacing w:before="0" w:after="0" w:line="240" w:lineRule="auto"/>
              <w:jc w:val="right"/>
              <w:rPr>
                <w:rFonts w:ascii="Calibri" w:hAnsi="Calibri" w:cs="Calibri"/>
                <w:b/>
                <w:sz w:val="20"/>
                <w:szCs w:val="20"/>
              </w:rPr>
            </w:pPr>
            <w:r w:rsidRPr="00B05E1C">
              <w:rPr>
                <w:rFonts w:ascii="Calibri" w:hAnsi="Calibri" w:cs="Calibri"/>
                <w:b/>
                <w:sz w:val="20"/>
                <w:szCs w:val="20"/>
              </w:rPr>
              <w:t>568</w:t>
            </w:r>
          </w:p>
        </w:tc>
        <w:tc>
          <w:tcPr>
            <w:tcW w:w="732" w:type="pct"/>
            <w:vAlign w:val="center"/>
          </w:tcPr>
          <w:p w14:paraId="2FD90EA9" w14:textId="77777777" w:rsidR="002E1A5F" w:rsidRPr="0043442B" w:rsidRDefault="002E1A5F" w:rsidP="002E1A5F">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541</w:t>
            </w:r>
          </w:p>
        </w:tc>
        <w:tc>
          <w:tcPr>
            <w:tcW w:w="732" w:type="pct"/>
            <w:vAlign w:val="center"/>
          </w:tcPr>
          <w:p w14:paraId="351426E9" w14:textId="77777777" w:rsidR="002E1A5F" w:rsidRPr="0043442B" w:rsidRDefault="002E1A5F" w:rsidP="002E1A5F">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596</w:t>
            </w:r>
          </w:p>
        </w:tc>
      </w:tr>
      <w:tr w:rsidR="002E1A5F" w:rsidRPr="007A7245" w14:paraId="7E170C40" w14:textId="77777777" w:rsidTr="002E1A5F">
        <w:trPr>
          <w:trHeight w:val="300"/>
          <w:jc w:val="center"/>
        </w:trPr>
        <w:tc>
          <w:tcPr>
            <w:tcW w:w="2804" w:type="pct"/>
            <w:shd w:val="clear" w:color="auto" w:fill="auto"/>
            <w:vAlign w:val="center"/>
          </w:tcPr>
          <w:p w14:paraId="3E6A7EDD" w14:textId="7BBA2BE6" w:rsidR="002E1A5F" w:rsidRDefault="002E1A5F" w:rsidP="002E1A5F">
            <w:pPr>
              <w:suppressAutoHyphens w:val="0"/>
              <w:spacing w:before="0" w:after="0" w:line="240" w:lineRule="auto"/>
              <w:rPr>
                <w:rFonts w:ascii="Calibri" w:hAnsi="Calibri" w:cs="Calibri"/>
                <w:sz w:val="20"/>
              </w:rPr>
            </w:pPr>
            <w:r>
              <w:rPr>
                <w:rFonts w:ascii="Calibri" w:hAnsi="Calibri" w:cs="Calibri"/>
                <w:sz w:val="20"/>
              </w:rPr>
              <w:t>Net Lettable Area (m</w:t>
            </w:r>
            <w:r w:rsidRPr="002E1A5F">
              <w:rPr>
                <w:rFonts w:ascii="Calibri" w:hAnsi="Calibri" w:cs="Calibri"/>
                <w:sz w:val="20"/>
                <w:vertAlign w:val="superscript"/>
              </w:rPr>
              <w:t>2</w:t>
            </w:r>
            <w:r>
              <w:rPr>
                <w:rFonts w:ascii="Calibri" w:hAnsi="Calibri" w:cs="Calibri"/>
                <w:sz w:val="20"/>
              </w:rPr>
              <w:t>)</w:t>
            </w:r>
          </w:p>
        </w:tc>
        <w:tc>
          <w:tcPr>
            <w:tcW w:w="732" w:type="pct"/>
            <w:vAlign w:val="center"/>
          </w:tcPr>
          <w:p w14:paraId="1691C7B8" w14:textId="4FA79B89" w:rsidR="002E1A5F" w:rsidRPr="00127EBB" w:rsidRDefault="002E1A5F" w:rsidP="002E1A5F">
            <w:pPr>
              <w:suppressAutoHyphens w:val="0"/>
              <w:spacing w:before="0" w:after="0" w:line="240" w:lineRule="auto"/>
              <w:jc w:val="right"/>
              <w:rPr>
                <w:rFonts w:ascii="Calibri" w:hAnsi="Calibri" w:cs="Calibri"/>
                <w:b/>
                <w:sz w:val="20"/>
              </w:rPr>
            </w:pPr>
            <w:r w:rsidRPr="002E1A5F">
              <w:rPr>
                <w:rFonts w:ascii="Calibri" w:hAnsi="Calibri" w:cs="Calibri"/>
                <w:b/>
                <w:sz w:val="20"/>
              </w:rPr>
              <w:t>2,963,177</w:t>
            </w:r>
          </w:p>
        </w:tc>
        <w:tc>
          <w:tcPr>
            <w:tcW w:w="732" w:type="pct"/>
            <w:vAlign w:val="center"/>
          </w:tcPr>
          <w:p w14:paraId="71A792BE" w14:textId="7A4CADF0" w:rsidR="002E1A5F" w:rsidRPr="00127EBB" w:rsidRDefault="002E1A5F" w:rsidP="002E1A5F">
            <w:pPr>
              <w:suppressAutoHyphens w:val="0"/>
              <w:spacing w:before="0" w:after="0" w:line="240" w:lineRule="auto"/>
              <w:jc w:val="right"/>
              <w:rPr>
                <w:rFonts w:ascii="Calibri" w:hAnsi="Calibri" w:cs="Calibri"/>
                <w:sz w:val="20"/>
                <w:szCs w:val="20"/>
              </w:rPr>
            </w:pPr>
            <w:r w:rsidRPr="002E1A5F">
              <w:rPr>
                <w:rFonts w:ascii="Calibri" w:hAnsi="Calibri" w:cs="Calibri"/>
                <w:sz w:val="20"/>
                <w:szCs w:val="20"/>
              </w:rPr>
              <w:t>2,850,834</w:t>
            </w:r>
          </w:p>
        </w:tc>
        <w:tc>
          <w:tcPr>
            <w:tcW w:w="732" w:type="pct"/>
            <w:vAlign w:val="center"/>
          </w:tcPr>
          <w:p w14:paraId="44B56601" w14:textId="497E78C0" w:rsidR="002E1A5F" w:rsidRPr="00127EBB" w:rsidRDefault="002E1A5F" w:rsidP="002E1A5F">
            <w:pPr>
              <w:suppressAutoHyphens w:val="0"/>
              <w:spacing w:before="0" w:after="0" w:line="240" w:lineRule="auto"/>
              <w:jc w:val="right"/>
              <w:rPr>
                <w:rFonts w:ascii="Calibri" w:hAnsi="Calibri" w:cs="Calibri"/>
                <w:sz w:val="20"/>
                <w:szCs w:val="20"/>
              </w:rPr>
            </w:pPr>
            <w:r w:rsidRPr="002E1A5F">
              <w:rPr>
                <w:rFonts w:ascii="Calibri" w:hAnsi="Calibri" w:cs="Calibri"/>
                <w:sz w:val="20"/>
                <w:szCs w:val="20"/>
              </w:rPr>
              <w:t>2,863,097</w:t>
            </w:r>
          </w:p>
        </w:tc>
      </w:tr>
      <w:tr w:rsidR="002E1A5F" w:rsidRPr="007A7245" w14:paraId="2F8372A7" w14:textId="77777777" w:rsidTr="002E1A5F">
        <w:trPr>
          <w:trHeight w:val="300"/>
          <w:jc w:val="center"/>
        </w:trPr>
        <w:tc>
          <w:tcPr>
            <w:tcW w:w="2804" w:type="pct"/>
            <w:shd w:val="clear" w:color="auto" w:fill="auto"/>
            <w:vAlign w:val="center"/>
          </w:tcPr>
          <w:p w14:paraId="7A2C484F" w14:textId="77777777" w:rsidR="002E1A5F" w:rsidRPr="0043442B" w:rsidRDefault="002E1A5F" w:rsidP="002E1A5F">
            <w:pPr>
              <w:suppressAutoHyphens w:val="0"/>
              <w:spacing w:before="0" w:after="0" w:line="240" w:lineRule="auto"/>
              <w:rPr>
                <w:rFonts w:ascii="Calibri" w:hAnsi="Calibri" w:cs="Calibri"/>
                <w:sz w:val="20"/>
              </w:rPr>
            </w:pPr>
            <w:r>
              <w:rPr>
                <w:rFonts w:ascii="Calibri" w:hAnsi="Calibri" w:cs="Calibri"/>
                <w:sz w:val="20"/>
              </w:rPr>
              <w:t>Controlled Area (m</w:t>
            </w:r>
            <w:r w:rsidRPr="00127EBB">
              <w:rPr>
                <w:rFonts w:ascii="Calibri" w:hAnsi="Calibri" w:cs="Calibri"/>
                <w:sz w:val="20"/>
                <w:vertAlign w:val="superscript"/>
              </w:rPr>
              <w:t>2</w:t>
            </w:r>
            <w:r>
              <w:rPr>
                <w:rFonts w:ascii="Calibri" w:hAnsi="Calibri" w:cs="Calibri"/>
                <w:sz w:val="20"/>
              </w:rPr>
              <w:t>)</w:t>
            </w:r>
          </w:p>
        </w:tc>
        <w:tc>
          <w:tcPr>
            <w:tcW w:w="732" w:type="pct"/>
            <w:vAlign w:val="center"/>
          </w:tcPr>
          <w:p w14:paraId="0FDEFF21" w14:textId="77777777" w:rsidR="002E1A5F" w:rsidRPr="00844AB6" w:rsidRDefault="002E1A5F" w:rsidP="002E1A5F">
            <w:pPr>
              <w:suppressAutoHyphens w:val="0"/>
              <w:spacing w:before="0" w:after="0" w:line="240" w:lineRule="auto"/>
              <w:jc w:val="right"/>
              <w:rPr>
                <w:rFonts w:ascii="Calibri" w:hAnsi="Calibri" w:cs="Calibri"/>
                <w:b/>
                <w:sz w:val="20"/>
              </w:rPr>
            </w:pPr>
            <w:r w:rsidRPr="00127EBB">
              <w:rPr>
                <w:rFonts w:ascii="Calibri" w:hAnsi="Calibri" w:cs="Calibri"/>
                <w:b/>
                <w:sz w:val="20"/>
              </w:rPr>
              <w:t>2,838,345</w:t>
            </w:r>
          </w:p>
        </w:tc>
        <w:tc>
          <w:tcPr>
            <w:tcW w:w="732" w:type="pct"/>
            <w:vAlign w:val="center"/>
          </w:tcPr>
          <w:p w14:paraId="78EE5559" w14:textId="77777777" w:rsidR="002E1A5F" w:rsidRPr="00844AB6" w:rsidRDefault="002E1A5F" w:rsidP="002E1A5F">
            <w:pPr>
              <w:suppressAutoHyphens w:val="0"/>
              <w:spacing w:before="0" w:after="0" w:line="240" w:lineRule="auto"/>
              <w:jc w:val="right"/>
              <w:rPr>
                <w:rFonts w:ascii="Calibri" w:hAnsi="Calibri" w:cs="Calibri"/>
                <w:sz w:val="20"/>
                <w:szCs w:val="20"/>
              </w:rPr>
            </w:pPr>
            <w:r w:rsidRPr="00127EBB">
              <w:rPr>
                <w:rFonts w:ascii="Calibri" w:hAnsi="Calibri" w:cs="Calibri"/>
                <w:sz w:val="20"/>
                <w:szCs w:val="20"/>
              </w:rPr>
              <w:t>2,744,222</w:t>
            </w:r>
          </w:p>
        </w:tc>
        <w:tc>
          <w:tcPr>
            <w:tcW w:w="732" w:type="pct"/>
            <w:vAlign w:val="center"/>
          </w:tcPr>
          <w:p w14:paraId="6A4D38A8" w14:textId="77777777" w:rsidR="002E1A5F" w:rsidRPr="00844AB6" w:rsidRDefault="002E1A5F" w:rsidP="002E1A5F">
            <w:pPr>
              <w:suppressAutoHyphens w:val="0"/>
              <w:spacing w:before="0" w:after="0" w:line="240" w:lineRule="auto"/>
              <w:jc w:val="right"/>
              <w:rPr>
                <w:rFonts w:ascii="Calibri" w:hAnsi="Calibri" w:cs="Calibri"/>
                <w:sz w:val="20"/>
                <w:szCs w:val="20"/>
              </w:rPr>
            </w:pPr>
            <w:r w:rsidRPr="00127EBB">
              <w:rPr>
                <w:rFonts w:ascii="Calibri" w:hAnsi="Calibri" w:cs="Calibri"/>
                <w:sz w:val="20"/>
                <w:szCs w:val="20"/>
              </w:rPr>
              <w:t>2,765,630</w:t>
            </w:r>
          </w:p>
        </w:tc>
      </w:tr>
      <w:tr w:rsidR="002E1A5F" w:rsidRPr="0043442B" w14:paraId="17AD8CD5" w14:textId="77777777" w:rsidTr="002E1A5F">
        <w:trPr>
          <w:trHeight w:val="300"/>
          <w:jc w:val="center"/>
        </w:trPr>
        <w:tc>
          <w:tcPr>
            <w:tcW w:w="2804" w:type="pct"/>
            <w:shd w:val="clear" w:color="auto" w:fill="auto"/>
            <w:vAlign w:val="center"/>
            <w:hideMark/>
          </w:tcPr>
          <w:p w14:paraId="60D2408A" w14:textId="77777777" w:rsidR="002E1A5F" w:rsidRPr="0043442B" w:rsidRDefault="002E1A5F" w:rsidP="002E1A5F">
            <w:pPr>
              <w:suppressAutoHyphens w:val="0"/>
              <w:spacing w:before="0" w:after="0" w:line="240" w:lineRule="auto"/>
              <w:rPr>
                <w:rFonts w:ascii="Calibri" w:eastAsia="Times New Roman" w:hAnsi="Calibri" w:cs="Calibri"/>
                <w:sz w:val="20"/>
                <w:lang w:eastAsia="en-AU"/>
              </w:rPr>
            </w:pPr>
            <w:r w:rsidRPr="0043442B">
              <w:rPr>
                <w:rFonts w:ascii="Calibri" w:hAnsi="Calibri" w:cs="Calibri"/>
                <w:sz w:val="20"/>
              </w:rPr>
              <w:t>Usable Office Area (m²)</w:t>
            </w:r>
          </w:p>
        </w:tc>
        <w:tc>
          <w:tcPr>
            <w:tcW w:w="732" w:type="pct"/>
            <w:vAlign w:val="center"/>
          </w:tcPr>
          <w:p w14:paraId="7D02E018" w14:textId="77777777" w:rsidR="002E1A5F" w:rsidRPr="00B05E1C" w:rsidRDefault="002E1A5F" w:rsidP="002E1A5F">
            <w:pPr>
              <w:suppressAutoHyphens w:val="0"/>
              <w:spacing w:before="0" w:after="0" w:line="240" w:lineRule="auto"/>
              <w:jc w:val="right"/>
              <w:rPr>
                <w:rFonts w:ascii="Calibri" w:hAnsi="Calibri" w:cs="Calibri"/>
                <w:b/>
                <w:sz w:val="20"/>
                <w:szCs w:val="20"/>
              </w:rPr>
            </w:pPr>
            <w:r w:rsidRPr="00B05E1C">
              <w:rPr>
                <w:rFonts w:ascii="Calibri" w:hAnsi="Calibri" w:cs="Calibri"/>
                <w:b/>
                <w:sz w:val="20"/>
                <w:szCs w:val="20"/>
              </w:rPr>
              <w:t>2,253,361</w:t>
            </w:r>
          </w:p>
        </w:tc>
        <w:tc>
          <w:tcPr>
            <w:tcW w:w="732" w:type="pct"/>
            <w:vAlign w:val="center"/>
          </w:tcPr>
          <w:p w14:paraId="725C037C" w14:textId="77777777" w:rsidR="002E1A5F" w:rsidRPr="0043442B" w:rsidRDefault="002E1A5F" w:rsidP="002E1A5F">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2,177,308</w:t>
            </w:r>
          </w:p>
        </w:tc>
        <w:tc>
          <w:tcPr>
            <w:tcW w:w="732" w:type="pct"/>
            <w:vAlign w:val="center"/>
          </w:tcPr>
          <w:p w14:paraId="4EFE952C" w14:textId="77777777" w:rsidR="002E1A5F" w:rsidRPr="0043442B" w:rsidRDefault="002E1A5F" w:rsidP="002E1A5F">
            <w:pPr>
              <w:suppressAutoHyphens w:val="0"/>
              <w:spacing w:before="0" w:after="0" w:line="240" w:lineRule="auto"/>
              <w:jc w:val="right"/>
              <w:rPr>
                <w:rFonts w:ascii="Calibri" w:hAnsi="Calibri" w:cs="Calibri"/>
                <w:sz w:val="20"/>
                <w:szCs w:val="20"/>
              </w:rPr>
            </w:pPr>
            <w:r w:rsidRPr="0043442B">
              <w:rPr>
                <w:rFonts w:ascii="Calibri" w:hAnsi="Calibri" w:cs="Calibri"/>
                <w:sz w:val="20"/>
                <w:szCs w:val="20"/>
              </w:rPr>
              <w:t>2,279,729</w:t>
            </w:r>
          </w:p>
        </w:tc>
      </w:tr>
    </w:tbl>
    <w:p w14:paraId="37B2D5A0" w14:textId="2F8DA4B9" w:rsidR="004A76A2" w:rsidRDefault="00B2390F" w:rsidP="00AE2933">
      <w:pPr>
        <w:pStyle w:val="Heading1"/>
      </w:pPr>
      <w:bookmarkStart w:id="38" w:name="_Toc40455108"/>
      <w:r>
        <w:t xml:space="preserve">Appendix </w:t>
      </w:r>
      <w:r w:rsidR="00AD5096">
        <w:t>C</w:t>
      </w:r>
      <w:r w:rsidR="004A76A2">
        <w:t>: Collection and Verification of Data</w:t>
      </w:r>
      <w:bookmarkEnd w:id="38"/>
    </w:p>
    <w:p w14:paraId="62BA2933" w14:textId="67000C0A" w:rsidR="00160519" w:rsidRDefault="00160519" w:rsidP="004A76A2">
      <w:r>
        <w:t xml:space="preserve">Non-corporate </w:t>
      </w:r>
      <w:r w:rsidR="00774530">
        <w:t xml:space="preserve">commonwealth entities </w:t>
      </w:r>
      <w:r>
        <w:t>are required to report office space information</w:t>
      </w:r>
      <w:r w:rsidR="00836A56">
        <w:t xml:space="preserve"> for all tenancies (regardless of size and cost)</w:t>
      </w:r>
      <w:r>
        <w:t xml:space="preserve"> to Finance annually, unless exempted as a security or intelligence organisation. Corporate Commonwealth </w:t>
      </w:r>
      <w:r w:rsidR="00774530">
        <w:t xml:space="preserve">entities </w:t>
      </w:r>
      <w:r>
        <w:t xml:space="preserve">and Commonwealth </w:t>
      </w:r>
      <w:r w:rsidR="00774530">
        <w:t xml:space="preserve">companies </w:t>
      </w:r>
      <w:r>
        <w:t>are invited to report office space information to Finance, but are not required to do so, and their information is not presented in the Occupancy Report.</w:t>
      </w:r>
    </w:p>
    <w:p w14:paraId="1ACB6DB6" w14:textId="61E50235" w:rsidR="0050054A" w:rsidRDefault="009A3483" w:rsidP="004A76A2">
      <w:r>
        <w:t xml:space="preserve">Entities’ property information is stored on the </w:t>
      </w:r>
      <w:r w:rsidR="00B676EF">
        <w:t>AGPR</w:t>
      </w:r>
      <w:r w:rsidR="00F7718B">
        <w:t>,</w:t>
      </w:r>
      <w:r w:rsidR="00B676EF">
        <w:t xml:space="preserve"> </w:t>
      </w:r>
      <w:r>
        <w:t xml:space="preserve">which </w:t>
      </w:r>
      <w:r w:rsidR="0050054A">
        <w:t xml:space="preserve">is a cloud-based database </w:t>
      </w:r>
      <w:r>
        <w:t>that</w:t>
      </w:r>
      <w:r w:rsidR="0050054A">
        <w:t xml:space="preserve"> can be accessed and updated at any time. </w:t>
      </w:r>
    </w:p>
    <w:p w14:paraId="093C8CFA" w14:textId="1BC9A3A4" w:rsidR="00160519" w:rsidRDefault="00697BAF" w:rsidP="004A76A2">
      <w:r>
        <w:t>Property information is entered into the AGPR by entities or their Property Service Provider</w:t>
      </w:r>
      <w:r w:rsidR="00160519">
        <w:t xml:space="preserve"> (PSP) and is verified by a senior executive before being submitted to Finance.</w:t>
      </w:r>
    </w:p>
    <w:p w14:paraId="4BAF7F61" w14:textId="499CEECA" w:rsidR="009D13DC" w:rsidRPr="00B05E1C" w:rsidRDefault="00160519" w:rsidP="004A76A2">
      <w:r w:rsidRPr="00B05E1C">
        <w:t xml:space="preserve">Once submitted, </w:t>
      </w:r>
      <w:r w:rsidR="00877EE7" w:rsidRPr="00B05E1C">
        <w:t>Finance</w:t>
      </w:r>
      <w:r w:rsidRPr="00B05E1C">
        <w:t xml:space="preserve"> interrogates the data to ensure it is internally consistent and reasonable</w:t>
      </w:r>
      <w:r w:rsidR="005E078D" w:rsidRPr="00B05E1C">
        <w:t xml:space="preserve">, </w:t>
      </w:r>
      <w:r w:rsidRPr="00B05E1C">
        <w:t>liais</w:t>
      </w:r>
      <w:r w:rsidR="005E078D" w:rsidRPr="00B05E1C">
        <w:t>ing</w:t>
      </w:r>
      <w:r w:rsidRPr="00B05E1C">
        <w:t xml:space="preserve"> with entities or the PSPs </w:t>
      </w:r>
      <w:r w:rsidR="005E078D" w:rsidRPr="00B05E1C">
        <w:t>as required</w:t>
      </w:r>
      <w:r w:rsidRPr="00B05E1C">
        <w:t>.</w:t>
      </w:r>
      <w:r w:rsidR="00697BAF" w:rsidRPr="00B05E1C">
        <w:t xml:space="preserve"> </w:t>
      </w:r>
    </w:p>
    <w:p w14:paraId="52CF5983" w14:textId="73884065" w:rsidR="004A76A2" w:rsidRPr="00052BD2" w:rsidRDefault="00B2390F" w:rsidP="00AE2933">
      <w:pPr>
        <w:pStyle w:val="Heading1"/>
      </w:pPr>
      <w:bookmarkStart w:id="39" w:name="_Toc40455109"/>
      <w:r>
        <w:t xml:space="preserve">Appendix </w:t>
      </w:r>
      <w:r w:rsidR="00C16C69">
        <w:t>D</w:t>
      </w:r>
      <w:r w:rsidR="004A76A2" w:rsidRPr="00052BD2">
        <w:t>: Sources</w:t>
      </w:r>
      <w:bookmarkEnd w:id="39"/>
    </w:p>
    <w:p w14:paraId="77A9CBDB" w14:textId="30BE975D" w:rsidR="005D3E0C" w:rsidRDefault="0050054A" w:rsidP="004A76A2">
      <w:r w:rsidRPr="00B05E1C">
        <w:t xml:space="preserve">The </w:t>
      </w:r>
      <w:r w:rsidR="00E139BF">
        <w:t xml:space="preserve">Occupancy </w:t>
      </w:r>
      <w:r w:rsidRPr="00B05E1C">
        <w:t>Report relies on information entered into the AGPR by entities or the PSPs, between 201</w:t>
      </w:r>
      <w:r w:rsidR="006C203A">
        <w:t>7</w:t>
      </w:r>
      <w:r w:rsidRPr="00B05E1C">
        <w:t xml:space="preserve"> and </w:t>
      </w:r>
      <w:r w:rsidR="00291045" w:rsidRPr="00B05E1C">
        <w:t>2019</w:t>
      </w:r>
      <w:r w:rsidRPr="00B05E1C">
        <w:t>.</w:t>
      </w:r>
    </w:p>
    <w:p w14:paraId="391D44A0" w14:textId="1FA7A247" w:rsidR="005075A3" w:rsidRPr="00A66A10" w:rsidRDefault="0050054A" w:rsidP="002A146E">
      <w:r>
        <w:t xml:space="preserve">The </w:t>
      </w:r>
      <w:r w:rsidR="00E139BF">
        <w:t xml:space="preserve">Occupancy </w:t>
      </w:r>
      <w:r>
        <w:t xml:space="preserve">Report also uses the Australian Bureau of Statistics catalogue </w:t>
      </w:r>
      <w:r w:rsidRPr="0050054A">
        <w:rPr>
          <w:i/>
        </w:rPr>
        <w:t>1270.0.55.006 - Australian Statistical Geography Standard (ASGS): Correspondences, July 2011. Datacube: Postcode 2011 to Remoteness Area 2006</w:t>
      </w:r>
      <w:r w:rsidR="00A66A10">
        <w:t xml:space="preserve"> to designate the remoteness category for each tenancy.</w:t>
      </w:r>
    </w:p>
    <w:sectPr w:rsidR="005075A3" w:rsidRPr="00A66A10" w:rsidSect="00DC1B8E">
      <w:pgSz w:w="11906" w:h="16838" w:code="9"/>
      <w:pgMar w:top="1418" w:right="1418" w:bottom="1418" w:left="1418" w:header="51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333D66" w14:textId="77777777" w:rsidR="00202C26" w:rsidRDefault="00202C26" w:rsidP="00EF4574">
      <w:pPr>
        <w:spacing w:before="0" w:after="0" w:line="240" w:lineRule="auto"/>
      </w:pPr>
      <w:r>
        <w:separator/>
      </w:r>
    </w:p>
    <w:p w14:paraId="67C74838" w14:textId="77777777" w:rsidR="00202C26" w:rsidRDefault="00202C26"/>
  </w:endnote>
  <w:endnote w:type="continuationSeparator" w:id="0">
    <w:p w14:paraId="71B7F008" w14:textId="77777777" w:rsidR="00202C26" w:rsidRDefault="00202C26" w:rsidP="00EF4574">
      <w:pPr>
        <w:spacing w:before="0" w:after="0" w:line="240" w:lineRule="auto"/>
      </w:pPr>
      <w:r>
        <w:continuationSeparator/>
      </w:r>
    </w:p>
    <w:p w14:paraId="38804523" w14:textId="77777777" w:rsidR="00202C26" w:rsidRDefault="00202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E271" w14:textId="77777777" w:rsidR="00202C26" w:rsidRDefault="00202C26" w:rsidP="005D3E0C">
    <w:pPr>
      <w:pStyle w:val="Footer"/>
      <w:jc w:val="right"/>
      <w:rPr>
        <w:noProof/>
      </w:rPr>
    </w:pPr>
  </w:p>
  <w:p w14:paraId="0B8EDA6D" w14:textId="51EBD2B5" w:rsidR="00202C26" w:rsidRPr="000A6A8B" w:rsidRDefault="00202C26" w:rsidP="000A6A8B">
    <w:pPr>
      <w:pStyle w:val="Footer"/>
      <w:jc w:val="center"/>
      <w:rPr>
        <w:rStyle w:val="Classificatio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4D25" w14:textId="77777777" w:rsidR="00202C26" w:rsidRDefault="00202C26">
    <w:pPr>
      <w:pStyle w:val="Footer"/>
    </w:pPr>
  </w:p>
  <w:p w14:paraId="288A6207" w14:textId="77777777" w:rsidR="00202C26" w:rsidRDefault="00202C26" w:rsidP="000A6A8B">
    <w:pPr>
      <w:pStyle w:val="Footer"/>
      <w:jc w:val="center"/>
      <w:rPr>
        <w:rStyle w:val="Classification"/>
      </w:rPr>
    </w:pPr>
    <w:r w:rsidRPr="000A6A8B">
      <w:rPr>
        <w:rStyle w:val="Classification"/>
      </w:rPr>
      <w:t>Classification</w:t>
    </w:r>
  </w:p>
  <w:p w14:paraId="5FDF7B5C" w14:textId="77777777" w:rsidR="00202C26" w:rsidRPr="000A6A8B" w:rsidRDefault="00202C26" w:rsidP="000A6A8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601DF" w14:textId="641303A7" w:rsidR="00202C26" w:rsidRPr="00AF7775" w:rsidRDefault="00202C26" w:rsidP="00AF7775">
    <w:pPr>
      <w:pStyle w:val="Footer"/>
      <w:spacing w:before="0"/>
      <w:jc w:val="right"/>
      <w:rPr>
        <w:rStyle w:val="Classification"/>
        <w:b w:val="0"/>
        <w:caps w:val="0"/>
        <w:noProof/>
        <w:sz w:val="14"/>
      </w:rPr>
    </w:pPr>
    <w:r>
      <w:rPr>
        <w:noProof/>
      </w:rPr>
      <w:fldChar w:fldCharType="begin"/>
    </w:r>
    <w:r>
      <w:rPr>
        <w:noProof/>
      </w:rPr>
      <w:instrText xml:space="preserve"> PAGE   \* MERGEFORMAT </w:instrText>
    </w:r>
    <w:r>
      <w:rPr>
        <w:noProof/>
      </w:rPr>
      <w:fldChar w:fldCharType="separate"/>
    </w:r>
    <w:r w:rsidR="00176886">
      <w:rPr>
        <w:noProof/>
      </w:rPr>
      <w:t>10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65DA0" w14:textId="206D2C40" w:rsidR="00202C26" w:rsidRDefault="00202C26" w:rsidP="00460FE7">
    <w:pPr>
      <w:pStyle w:val="Footer"/>
      <w:spacing w:before="0"/>
      <w:jc w:val="right"/>
      <w:rPr>
        <w:noProof/>
      </w:rPr>
    </w:pPr>
    <w:r>
      <w:rPr>
        <w:noProof/>
      </w:rPr>
      <w:fldChar w:fldCharType="begin"/>
    </w:r>
    <w:r>
      <w:rPr>
        <w:noProof/>
      </w:rPr>
      <w:instrText xml:space="preserve"> PAGE   \* MERGEFORMAT </w:instrText>
    </w:r>
    <w:r>
      <w:rPr>
        <w:noProof/>
      </w:rPr>
      <w:fldChar w:fldCharType="separate"/>
    </w:r>
    <w:r w:rsidR="00176886">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8D259" w14:textId="77777777" w:rsidR="00202C26" w:rsidRDefault="00202C26" w:rsidP="0020122A">
      <w:pPr>
        <w:pStyle w:val="FootnoteSeparator"/>
      </w:pPr>
    </w:p>
  </w:footnote>
  <w:footnote w:type="continuationSeparator" w:id="0">
    <w:p w14:paraId="54477B49" w14:textId="77777777" w:rsidR="00202C26" w:rsidRDefault="00202C26" w:rsidP="00EF4574">
      <w:pPr>
        <w:spacing w:before="0" w:after="0" w:line="240" w:lineRule="auto"/>
      </w:pPr>
      <w:r>
        <w:continuationSeparator/>
      </w:r>
    </w:p>
    <w:p w14:paraId="55518A4B" w14:textId="77777777" w:rsidR="00202C26" w:rsidRDefault="00202C26"/>
  </w:footnote>
  <w:footnote w:id="1">
    <w:p w14:paraId="5CAC5717" w14:textId="6077D237" w:rsidR="00202C26" w:rsidRDefault="00202C26">
      <w:pPr>
        <w:pStyle w:val="FootnoteText"/>
      </w:pPr>
      <w:r>
        <w:rPr>
          <w:rStyle w:val="FootnoteReference"/>
        </w:rPr>
        <w:footnoteRef/>
      </w:r>
      <w:r>
        <w:t xml:space="preserve"> Table 3b includes three ‘very remote’ tenancies. One is a Commonwealth owned building and one is located on Norfolk Island. Leasing options in remote and very remote locations are limited, and tenancies in these locations have a small number of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C52EF" w14:textId="4FCD49D4" w:rsidR="00202C26" w:rsidRPr="004B61BC" w:rsidRDefault="00202C26" w:rsidP="004B61BC">
    <w:pPr>
      <w:pStyle w:val="Header"/>
      <w:jc w:val="center"/>
      <w:rPr>
        <w:b/>
        <w:sz w:val="36"/>
        <w:szCs w:val="36"/>
      </w:rPr>
    </w:pPr>
    <w:r w:rsidRPr="004B61BC">
      <w:rPr>
        <w:b/>
        <w:noProof/>
        <w:color w:val="FF0000"/>
        <w:sz w:val="36"/>
        <w:szCs w:val="36"/>
        <w:lang w:eastAsia="en-AU"/>
      </w:rPr>
      <w:drawing>
        <wp:anchor distT="0" distB="0" distL="114300" distR="114300" simplePos="0" relativeHeight="251657216" behindDoc="1" locked="0" layoutInCell="1" allowOverlap="1" wp14:anchorId="3BFDF013" wp14:editId="17EFDBDA">
          <wp:simplePos x="0" y="0"/>
          <wp:positionH relativeFrom="page">
            <wp:align>left</wp:align>
          </wp:positionH>
          <wp:positionV relativeFrom="paragraph">
            <wp:posOffset>-538968</wp:posOffset>
          </wp:positionV>
          <wp:extent cx="7571105" cy="10705465"/>
          <wp:effectExtent l="0" t="0" r="0" b="635"/>
          <wp:wrapNone/>
          <wp:docPr id="6" name="Picture 6" descr="Department of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bel\AppData\Local\Microsoft\Windows\INetCache\Content.Word\Long word cover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E483E" w14:textId="77777777" w:rsidR="00202C26" w:rsidRDefault="00176886" w:rsidP="000A6A8B">
    <w:pPr>
      <w:pStyle w:val="Header"/>
      <w:jc w:val="center"/>
    </w:pPr>
    <w:r>
      <w:rPr>
        <w:noProof/>
      </w:rPr>
      <w:pict w14:anchorId="67D1F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70.9pt;margin-top:-28.4pt;width:596.15pt;height:842.95pt;z-index:-251658240">
          <v:imagedata r:id="rId1" o:title="Long word cover_blue"/>
        </v:shape>
      </w:pict>
    </w:r>
    <w:r w:rsidR="00202C26" w:rsidRPr="000A6A8B">
      <w:rPr>
        <w:rStyle w:val="Classification"/>
      </w:rPr>
      <w:t>Classification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44FED" w14:textId="77777777" w:rsidR="00202C26" w:rsidRPr="00DB6D69" w:rsidRDefault="00202C26">
    <w:pPr>
      <w:pStyle w:val="Header"/>
      <w:rPr>
        <w:b/>
      </w:rPr>
    </w:pPr>
    <w:r w:rsidRPr="00DB6D69">
      <w:rPr>
        <w:b/>
      </w:rPr>
      <w:t>Department of Finance</w:t>
    </w:r>
  </w:p>
  <w:p w14:paraId="039B2F10" w14:textId="562584F3" w:rsidR="00202C26" w:rsidRDefault="00202C26" w:rsidP="00460FE7">
    <w:pPr>
      <w:pStyle w:val="Header"/>
      <w:rPr>
        <w:noProof/>
      </w:rPr>
    </w:pPr>
    <w:r>
      <w:rPr>
        <w:b/>
        <w:bCs/>
        <w:noProof/>
        <w:lang w:val="en-US"/>
      </w:rPr>
      <w:t xml:space="preserve">Australian Government </w:t>
    </w:r>
    <w:r>
      <w:rPr>
        <w:b/>
        <w:bCs/>
        <w:noProof/>
        <w:lang w:val="en-US"/>
      </w:rPr>
      <w:fldChar w:fldCharType="begin"/>
    </w:r>
    <w:r>
      <w:rPr>
        <w:b/>
        <w:bCs/>
        <w:noProof/>
        <w:lang w:val="en-US"/>
      </w:rPr>
      <w:instrText xml:space="preserve"> STYLEREF  Title  \* MERGEFORMAT </w:instrText>
    </w:r>
    <w:r>
      <w:rPr>
        <w:b/>
        <w:bCs/>
        <w:noProof/>
        <w:lang w:val="en-US"/>
      </w:rPr>
      <w:fldChar w:fldCharType="separate"/>
    </w:r>
    <w:r w:rsidR="00176886">
      <w:rPr>
        <w:b/>
        <w:bCs/>
        <w:noProof/>
        <w:lang w:val="en-US"/>
      </w:rPr>
      <w:t>Office Occupancy Report</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7E50"/>
    <w:multiLevelType w:val="hybridMultilevel"/>
    <w:tmpl w:val="4C76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01BEB"/>
    <w:multiLevelType w:val="hybridMultilevel"/>
    <w:tmpl w:val="CAD28D2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D8112E"/>
    <w:multiLevelType w:val="hybridMultilevel"/>
    <w:tmpl w:val="9426F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B8C36FF"/>
    <w:multiLevelType w:val="hybridMultilevel"/>
    <w:tmpl w:val="472A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D73B9"/>
    <w:multiLevelType w:val="hybridMultilevel"/>
    <w:tmpl w:val="86F85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35B8C"/>
    <w:multiLevelType w:val="hybridMultilevel"/>
    <w:tmpl w:val="9AF05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94E4B"/>
    <w:multiLevelType w:val="hybridMultilevel"/>
    <w:tmpl w:val="AE28A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03504A"/>
    <w:multiLevelType w:val="hybridMultilevel"/>
    <w:tmpl w:val="D528E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B159F"/>
    <w:multiLevelType w:val="multilevel"/>
    <w:tmpl w:val="C9AC7BD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2FE353FD"/>
    <w:multiLevelType w:val="hybridMultilevel"/>
    <w:tmpl w:val="F6E08226"/>
    <w:lvl w:ilvl="0" w:tplc="CAA24094">
      <w:start w:val="2"/>
      <w:numFmt w:val="decimal"/>
      <w:pStyle w:val="NumberedParagraph"/>
      <w:lvlText w:val="%1."/>
      <w:lvlJc w:val="left"/>
      <w:pPr>
        <w:tabs>
          <w:tab w:val="num" w:pos="680"/>
        </w:tabs>
        <w:ind w:left="680" w:hanging="68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43FA00B3"/>
    <w:multiLevelType w:val="hybridMultilevel"/>
    <w:tmpl w:val="F0581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361E92"/>
    <w:multiLevelType w:val="hybridMultilevel"/>
    <w:tmpl w:val="D8A0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A65226"/>
    <w:multiLevelType w:val="hybridMultilevel"/>
    <w:tmpl w:val="3558C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F76594"/>
    <w:multiLevelType w:val="hybridMultilevel"/>
    <w:tmpl w:val="4F0E45D4"/>
    <w:lvl w:ilvl="0" w:tplc="44AE1DC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5E6314C"/>
    <w:multiLevelType w:val="hybridMultilevel"/>
    <w:tmpl w:val="D2FCC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F365D7A"/>
    <w:multiLevelType w:val="hybridMultilevel"/>
    <w:tmpl w:val="B4769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3107305"/>
    <w:multiLevelType w:val="multilevel"/>
    <w:tmpl w:val="79262C7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0" w15:restartNumberingAfterBreak="0">
    <w:nsid w:val="7CAE6A91"/>
    <w:multiLevelType w:val="hybridMultilevel"/>
    <w:tmpl w:val="FB0CB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9"/>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num>
  <w:num w:numId="4">
    <w:abstractNumId w:val="9"/>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5">
    <w:abstractNumId w:val="16"/>
  </w:num>
  <w:num w:numId="6">
    <w:abstractNumId w:val="17"/>
  </w:num>
  <w:num w:numId="7">
    <w:abstractNumId w:val="9"/>
  </w:num>
  <w:num w:numId="8">
    <w:abstractNumId w:val="12"/>
  </w:num>
  <w:num w:numId="9">
    <w:abstractNumId w:val="4"/>
  </w:num>
  <w:num w:numId="10">
    <w:abstractNumId w:val="11"/>
  </w:num>
  <w:num w:numId="11">
    <w:abstractNumId w:val="6"/>
  </w:num>
  <w:num w:numId="12">
    <w:abstractNumId w:val="8"/>
  </w:num>
  <w:num w:numId="13">
    <w:abstractNumId w:val="2"/>
  </w:num>
  <w:num w:numId="14">
    <w:abstractNumId w:val="15"/>
  </w:num>
  <w:num w:numId="15">
    <w:abstractNumId w:val="10"/>
  </w:num>
  <w:num w:numId="16">
    <w:abstractNumId w:val="5"/>
  </w:num>
  <w:num w:numId="17">
    <w:abstractNumId w:val="7"/>
  </w:num>
  <w:num w:numId="18">
    <w:abstractNumId w:val="9"/>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num>
  <w:num w:numId="19">
    <w:abstractNumId w:val="1"/>
  </w:num>
  <w:num w:numId="20">
    <w:abstractNumId w:val="18"/>
  </w:num>
  <w:num w:numId="21">
    <w:abstractNumId w:val="20"/>
  </w:num>
  <w:num w:numId="22">
    <w:abstractNumId w:val="0"/>
  </w:num>
  <w:num w:numId="23">
    <w:abstractNumId w:val="13"/>
  </w:num>
  <w:num w:numId="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6D2"/>
    <w:rsid w:val="00002192"/>
    <w:rsid w:val="000042CD"/>
    <w:rsid w:val="00004967"/>
    <w:rsid w:val="00006A28"/>
    <w:rsid w:val="00007863"/>
    <w:rsid w:val="000104B2"/>
    <w:rsid w:val="00010713"/>
    <w:rsid w:val="000125A3"/>
    <w:rsid w:val="000151C8"/>
    <w:rsid w:val="00016021"/>
    <w:rsid w:val="00016275"/>
    <w:rsid w:val="000231DB"/>
    <w:rsid w:val="000236D1"/>
    <w:rsid w:val="000239E7"/>
    <w:rsid w:val="00023ED4"/>
    <w:rsid w:val="00024C4F"/>
    <w:rsid w:val="0002771E"/>
    <w:rsid w:val="0002782F"/>
    <w:rsid w:val="00030023"/>
    <w:rsid w:val="00032A96"/>
    <w:rsid w:val="00032DFF"/>
    <w:rsid w:val="000357C6"/>
    <w:rsid w:val="0003724F"/>
    <w:rsid w:val="000372AA"/>
    <w:rsid w:val="00043AD2"/>
    <w:rsid w:val="00050AC4"/>
    <w:rsid w:val="00051088"/>
    <w:rsid w:val="00052BD2"/>
    <w:rsid w:val="000538AC"/>
    <w:rsid w:val="000546C1"/>
    <w:rsid w:val="0005489D"/>
    <w:rsid w:val="00054D7A"/>
    <w:rsid w:val="00054E4D"/>
    <w:rsid w:val="000559CF"/>
    <w:rsid w:val="000567D4"/>
    <w:rsid w:val="0005722A"/>
    <w:rsid w:val="00057523"/>
    <w:rsid w:val="00057F83"/>
    <w:rsid w:val="00060073"/>
    <w:rsid w:val="000603C7"/>
    <w:rsid w:val="000617F3"/>
    <w:rsid w:val="00061E24"/>
    <w:rsid w:val="00063FC7"/>
    <w:rsid w:val="0006532E"/>
    <w:rsid w:val="00065B82"/>
    <w:rsid w:val="00067EFC"/>
    <w:rsid w:val="000716D9"/>
    <w:rsid w:val="00071DC7"/>
    <w:rsid w:val="00072DCF"/>
    <w:rsid w:val="00073D24"/>
    <w:rsid w:val="0007501F"/>
    <w:rsid w:val="00075F0A"/>
    <w:rsid w:val="00082444"/>
    <w:rsid w:val="000829F4"/>
    <w:rsid w:val="0008461A"/>
    <w:rsid w:val="000868FE"/>
    <w:rsid w:val="00086E5B"/>
    <w:rsid w:val="0008758F"/>
    <w:rsid w:val="00087C96"/>
    <w:rsid w:val="00090431"/>
    <w:rsid w:val="00092516"/>
    <w:rsid w:val="00093461"/>
    <w:rsid w:val="00094A7D"/>
    <w:rsid w:val="00096219"/>
    <w:rsid w:val="000A0FBA"/>
    <w:rsid w:val="000A1B25"/>
    <w:rsid w:val="000A2A2A"/>
    <w:rsid w:val="000A3032"/>
    <w:rsid w:val="000A3C0B"/>
    <w:rsid w:val="000A40F6"/>
    <w:rsid w:val="000A432A"/>
    <w:rsid w:val="000A4B30"/>
    <w:rsid w:val="000A6A8B"/>
    <w:rsid w:val="000A6CB5"/>
    <w:rsid w:val="000B2F50"/>
    <w:rsid w:val="000B6498"/>
    <w:rsid w:val="000C06FB"/>
    <w:rsid w:val="000C0C3B"/>
    <w:rsid w:val="000C2A48"/>
    <w:rsid w:val="000C5F75"/>
    <w:rsid w:val="000D17A5"/>
    <w:rsid w:val="000D1C30"/>
    <w:rsid w:val="000D3AF8"/>
    <w:rsid w:val="000D5809"/>
    <w:rsid w:val="000D60B1"/>
    <w:rsid w:val="000E0175"/>
    <w:rsid w:val="000E0F18"/>
    <w:rsid w:val="000E128E"/>
    <w:rsid w:val="000E29EB"/>
    <w:rsid w:val="000E3D47"/>
    <w:rsid w:val="000F3368"/>
    <w:rsid w:val="000F48DD"/>
    <w:rsid w:val="000F640A"/>
    <w:rsid w:val="000F798E"/>
    <w:rsid w:val="00100965"/>
    <w:rsid w:val="0010314B"/>
    <w:rsid w:val="001031A3"/>
    <w:rsid w:val="001051F5"/>
    <w:rsid w:val="0011039E"/>
    <w:rsid w:val="00111B5A"/>
    <w:rsid w:val="0011373B"/>
    <w:rsid w:val="001164E6"/>
    <w:rsid w:val="00116597"/>
    <w:rsid w:val="00116EE7"/>
    <w:rsid w:val="00122837"/>
    <w:rsid w:val="00122CDB"/>
    <w:rsid w:val="00123AF3"/>
    <w:rsid w:val="001245B9"/>
    <w:rsid w:val="0012717A"/>
    <w:rsid w:val="00127EBB"/>
    <w:rsid w:val="00130B5C"/>
    <w:rsid w:val="00132924"/>
    <w:rsid w:val="0013505E"/>
    <w:rsid w:val="00136530"/>
    <w:rsid w:val="00136556"/>
    <w:rsid w:val="0013691F"/>
    <w:rsid w:val="001378E8"/>
    <w:rsid w:val="0014087C"/>
    <w:rsid w:val="00142B3B"/>
    <w:rsid w:val="00144822"/>
    <w:rsid w:val="00147D7A"/>
    <w:rsid w:val="001500DE"/>
    <w:rsid w:val="00150DD9"/>
    <w:rsid w:val="001513A5"/>
    <w:rsid w:val="00151781"/>
    <w:rsid w:val="001541EA"/>
    <w:rsid w:val="00154744"/>
    <w:rsid w:val="0015585B"/>
    <w:rsid w:val="00160322"/>
    <w:rsid w:val="00160519"/>
    <w:rsid w:val="001612A4"/>
    <w:rsid w:val="00162C30"/>
    <w:rsid w:val="001633DD"/>
    <w:rsid w:val="00163DB0"/>
    <w:rsid w:val="00165496"/>
    <w:rsid w:val="00165A67"/>
    <w:rsid w:val="0016780D"/>
    <w:rsid w:val="0017156B"/>
    <w:rsid w:val="00173A24"/>
    <w:rsid w:val="00174D98"/>
    <w:rsid w:val="001765B4"/>
    <w:rsid w:val="00176886"/>
    <w:rsid w:val="00176D20"/>
    <w:rsid w:val="00176E3C"/>
    <w:rsid w:val="00180326"/>
    <w:rsid w:val="001812DD"/>
    <w:rsid w:val="001812FF"/>
    <w:rsid w:val="0018258F"/>
    <w:rsid w:val="0018294A"/>
    <w:rsid w:val="00182A18"/>
    <w:rsid w:val="0018524C"/>
    <w:rsid w:val="0019138B"/>
    <w:rsid w:val="001A1103"/>
    <w:rsid w:val="001A42EA"/>
    <w:rsid w:val="001A57E6"/>
    <w:rsid w:val="001A5C60"/>
    <w:rsid w:val="001A6A2B"/>
    <w:rsid w:val="001A6D7F"/>
    <w:rsid w:val="001A712F"/>
    <w:rsid w:val="001B033B"/>
    <w:rsid w:val="001B354A"/>
    <w:rsid w:val="001B516A"/>
    <w:rsid w:val="001C054A"/>
    <w:rsid w:val="001C0636"/>
    <w:rsid w:val="001C47CF"/>
    <w:rsid w:val="001D111D"/>
    <w:rsid w:val="001D3810"/>
    <w:rsid w:val="001D5A49"/>
    <w:rsid w:val="001D62C1"/>
    <w:rsid w:val="001D69D7"/>
    <w:rsid w:val="001D6F9D"/>
    <w:rsid w:val="001D7768"/>
    <w:rsid w:val="001D7EB4"/>
    <w:rsid w:val="001E02B3"/>
    <w:rsid w:val="001E0850"/>
    <w:rsid w:val="001E1DC0"/>
    <w:rsid w:val="001E1FE9"/>
    <w:rsid w:val="001E38CB"/>
    <w:rsid w:val="001E395C"/>
    <w:rsid w:val="001E48D4"/>
    <w:rsid w:val="001E5DEF"/>
    <w:rsid w:val="001E5F27"/>
    <w:rsid w:val="001E6037"/>
    <w:rsid w:val="001F16C4"/>
    <w:rsid w:val="001F2DC3"/>
    <w:rsid w:val="001F45A6"/>
    <w:rsid w:val="001F58DC"/>
    <w:rsid w:val="001F60FA"/>
    <w:rsid w:val="0020122A"/>
    <w:rsid w:val="00202C26"/>
    <w:rsid w:val="00205D20"/>
    <w:rsid w:val="0021076D"/>
    <w:rsid w:val="00211EDE"/>
    <w:rsid w:val="002125A8"/>
    <w:rsid w:val="00215690"/>
    <w:rsid w:val="00215ED8"/>
    <w:rsid w:val="00217697"/>
    <w:rsid w:val="00222596"/>
    <w:rsid w:val="00226B5B"/>
    <w:rsid w:val="00226C49"/>
    <w:rsid w:val="00227FB6"/>
    <w:rsid w:val="00232A5D"/>
    <w:rsid w:val="002445B2"/>
    <w:rsid w:val="002459B9"/>
    <w:rsid w:val="00247C11"/>
    <w:rsid w:val="002530BC"/>
    <w:rsid w:val="00260701"/>
    <w:rsid w:val="002618EA"/>
    <w:rsid w:val="002639AE"/>
    <w:rsid w:val="00263EA6"/>
    <w:rsid w:val="00264ABE"/>
    <w:rsid w:val="00267FC8"/>
    <w:rsid w:val="00270A09"/>
    <w:rsid w:val="00271953"/>
    <w:rsid w:val="00272A6A"/>
    <w:rsid w:val="00275C8B"/>
    <w:rsid w:val="0027718F"/>
    <w:rsid w:val="00281FB6"/>
    <w:rsid w:val="0028602A"/>
    <w:rsid w:val="002869F8"/>
    <w:rsid w:val="00287C62"/>
    <w:rsid w:val="00287F8A"/>
    <w:rsid w:val="00291045"/>
    <w:rsid w:val="002A063E"/>
    <w:rsid w:val="002A1089"/>
    <w:rsid w:val="002A146E"/>
    <w:rsid w:val="002A3CE6"/>
    <w:rsid w:val="002A4D08"/>
    <w:rsid w:val="002A4FD6"/>
    <w:rsid w:val="002A654F"/>
    <w:rsid w:val="002A7508"/>
    <w:rsid w:val="002A7A75"/>
    <w:rsid w:val="002B085A"/>
    <w:rsid w:val="002B4BDF"/>
    <w:rsid w:val="002C1422"/>
    <w:rsid w:val="002C54F5"/>
    <w:rsid w:val="002C66B3"/>
    <w:rsid w:val="002C796D"/>
    <w:rsid w:val="002D2E27"/>
    <w:rsid w:val="002D313B"/>
    <w:rsid w:val="002D3305"/>
    <w:rsid w:val="002D3C32"/>
    <w:rsid w:val="002D448B"/>
    <w:rsid w:val="002D57C8"/>
    <w:rsid w:val="002D6421"/>
    <w:rsid w:val="002E0B95"/>
    <w:rsid w:val="002E1A5F"/>
    <w:rsid w:val="002E40BC"/>
    <w:rsid w:val="002E5EC7"/>
    <w:rsid w:val="002F06B8"/>
    <w:rsid w:val="002F5017"/>
    <w:rsid w:val="002F6A8E"/>
    <w:rsid w:val="00301144"/>
    <w:rsid w:val="003025D9"/>
    <w:rsid w:val="00302FC4"/>
    <w:rsid w:val="00303FBE"/>
    <w:rsid w:val="003050AF"/>
    <w:rsid w:val="00306C52"/>
    <w:rsid w:val="0031280E"/>
    <w:rsid w:val="003143D3"/>
    <w:rsid w:val="003148B7"/>
    <w:rsid w:val="003158C3"/>
    <w:rsid w:val="003211AB"/>
    <w:rsid w:val="00321C42"/>
    <w:rsid w:val="003229FE"/>
    <w:rsid w:val="00324691"/>
    <w:rsid w:val="0032510F"/>
    <w:rsid w:val="0032652B"/>
    <w:rsid w:val="003274CD"/>
    <w:rsid w:val="0033002C"/>
    <w:rsid w:val="00333A3B"/>
    <w:rsid w:val="003350AC"/>
    <w:rsid w:val="0033683B"/>
    <w:rsid w:val="0033795F"/>
    <w:rsid w:val="00340C1E"/>
    <w:rsid w:val="00347687"/>
    <w:rsid w:val="0035119D"/>
    <w:rsid w:val="0035181C"/>
    <w:rsid w:val="00352FE9"/>
    <w:rsid w:val="00353E1F"/>
    <w:rsid w:val="00354C13"/>
    <w:rsid w:val="003557E9"/>
    <w:rsid w:val="00357A7C"/>
    <w:rsid w:val="00361823"/>
    <w:rsid w:val="00362025"/>
    <w:rsid w:val="0037158F"/>
    <w:rsid w:val="003731D4"/>
    <w:rsid w:val="00374156"/>
    <w:rsid w:val="00374166"/>
    <w:rsid w:val="00374531"/>
    <w:rsid w:val="00374E44"/>
    <w:rsid w:val="003770CB"/>
    <w:rsid w:val="00383561"/>
    <w:rsid w:val="00384363"/>
    <w:rsid w:val="00385BFE"/>
    <w:rsid w:val="00394C60"/>
    <w:rsid w:val="00394E95"/>
    <w:rsid w:val="00396307"/>
    <w:rsid w:val="00396F2B"/>
    <w:rsid w:val="003A1A77"/>
    <w:rsid w:val="003A307B"/>
    <w:rsid w:val="003A3573"/>
    <w:rsid w:val="003A4695"/>
    <w:rsid w:val="003A4BA5"/>
    <w:rsid w:val="003A59E5"/>
    <w:rsid w:val="003A71C5"/>
    <w:rsid w:val="003B1999"/>
    <w:rsid w:val="003B265A"/>
    <w:rsid w:val="003B3EB0"/>
    <w:rsid w:val="003B4496"/>
    <w:rsid w:val="003B4643"/>
    <w:rsid w:val="003B4F12"/>
    <w:rsid w:val="003B7329"/>
    <w:rsid w:val="003B7A1A"/>
    <w:rsid w:val="003C0E5E"/>
    <w:rsid w:val="003C0F07"/>
    <w:rsid w:val="003C25B7"/>
    <w:rsid w:val="003C2918"/>
    <w:rsid w:val="003C3048"/>
    <w:rsid w:val="003C3557"/>
    <w:rsid w:val="003C3FF0"/>
    <w:rsid w:val="003C728B"/>
    <w:rsid w:val="003D0F98"/>
    <w:rsid w:val="003D189C"/>
    <w:rsid w:val="003D4AD0"/>
    <w:rsid w:val="003D5A13"/>
    <w:rsid w:val="003D76F2"/>
    <w:rsid w:val="003D78FC"/>
    <w:rsid w:val="003D7963"/>
    <w:rsid w:val="003D7B33"/>
    <w:rsid w:val="003E06FE"/>
    <w:rsid w:val="003E09BF"/>
    <w:rsid w:val="003E3BC0"/>
    <w:rsid w:val="003E4BB7"/>
    <w:rsid w:val="003F0526"/>
    <w:rsid w:val="003F6850"/>
    <w:rsid w:val="003F7252"/>
    <w:rsid w:val="003F75B1"/>
    <w:rsid w:val="003F76CF"/>
    <w:rsid w:val="00403C92"/>
    <w:rsid w:val="00404E7D"/>
    <w:rsid w:val="00405391"/>
    <w:rsid w:val="004112F9"/>
    <w:rsid w:val="00412114"/>
    <w:rsid w:val="004135D7"/>
    <w:rsid w:val="0041669A"/>
    <w:rsid w:val="0041737E"/>
    <w:rsid w:val="00423D7C"/>
    <w:rsid w:val="00423F2C"/>
    <w:rsid w:val="00423F31"/>
    <w:rsid w:val="00424133"/>
    <w:rsid w:val="004253A9"/>
    <w:rsid w:val="0042541E"/>
    <w:rsid w:val="004267CD"/>
    <w:rsid w:val="00426D9C"/>
    <w:rsid w:val="0042784F"/>
    <w:rsid w:val="00427E19"/>
    <w:rsid w:val="00431899"/>
    <w:rsid w:val="004327C2"/>
    <w:rsid w:val="0043442B"/>
    <w:rsid w:val="004344AC"/>
    <w:rsid w:val="00435DF1"/>
    <w:rsid w:val="00436271"/>
    <w:rsid w:val="004366C4"/>
    <w:rsid w:val="004428CF"/>
    <w:rsid w:val="004429D8"/>
    <w:rsid w:val="00443520"/>
    <w:rsid w:val="00443BFD"/>
    <w:rsid w:val="00445A1B"/>
    <w:rsid w:val="00447030"/>
    <w:rsid w:val="004473C9"/>
    <w:rsid w:val="00451D4F"/>
    <w:rsid w:val="004532C5"/>
    <w:rsid w:val="00453CAD"/>
    <w:rsid w:val="00453E5E"/>
    <w:rsid w:val="004578E5"/>
    <w:rsid w:val="00460FE7"/>
    <w:rsid w:val="00463A2F"/>
    <w:rsid w:val="00464C5C"/>
    <w:rsid w:val="004658AF"/>
    <w:rsid w:val="00465D8D"/>
    <w:rsid w:val="0047327D"/>
    <w:rsid w:val="00474606"/>
    <w:rsid w:val="00474747"/>
    <w:rsid w:val="00476103"/>
    <w:rsid w:val="0048008F"/>
    <w:rsid w:val="004801AA"/>
    <w:rsid w:val="00481747"/>
    <w:rsid w:val="00483FC0"/>
    <w:rsid w:val="004841C2"/>
    <w:rsid w:val="0048426D"/>
    <w:rsid w:val="00484A94"/>
    <w:rsid w:val="00485787"/>
    <w:rsid w:val="00485FDF"/>
    <w:rsid w:val="0048675C"/>
    <w:rsid w:val="00486804"/>
    <w:rsid w:val="00486A6F"/>
    <w:rsid w:val="0049049C"/>
    <w:rsid w:val="00491879"/>
    <w:rsid w:val="00491BF4"/>
    <w:rsid w:val="00491F91"/>
    <w:rsid w:val="00494203"/>
    <w:rsid w:val="00497387"/>
    <w:rsid w:val="004A3495"/>
    <w:rsid w:val="004A5405"/>
    <w:rsid w:val="004A588E"/>
    <w:rsid w:val="004A60F2"/>
    <w:rsid w:val="004A672C"/>
    <w:rsid w:val="004A73AC"/>
    <w:rsid w:val="004A76A2"/>
    <w:rsid w:val="004A7D90"/>
    <w:rsid w:val="004B249C"/>
    <w:rsid w:val="004B3775"/>
    <w:rsid w:val="004B4C45"/>
    <w:rsid w:val="004B61BC"/>
    <w:rsid w:val="004C11C8"/>
    <w:rsid w:val="004C2224"/>
    <w:rsid w:val="004C2A06"/>
    <w:rsid w:val="004C2ED4"/>
    <w:rsid w:val="004C4DD1"/>
    <w:rsid w:val="004C6E29"/>
    <w:rsid w:val="004C7565"/>
    <w:rsid w:val="004D123C"/>
    <w:rsid w:val="004D21E4"/>
    <w:rsid w:val="004D3BED"/>
    <w:rsid w:val="004D71DA"/>
    <w:rsid w:val="004D7F2F"/>
    <w:rsid w:val="004E0519"/>
    <w:rsid w:val="004E058F"/>
    <w:rsid w:val="004E0A00"/>
    <w:rsid w:val="004E18B8"/>
    <w:rsid w:val="004E2B63"/>
    <w:rsid w:val="004E35A7"/>
    <w:rsid w:val="004E3B87"/>
    <w:rsid w:val="004E49A8"/>
    <w:rsid w:val="004E5E3D"/>
    <w:rsid w:val="004E72FD"/>
    <w:rsid w:val="004E79D8"/>
    <w:rsid w:val="004F02BC"/>
    <w:rsid w:val="004F03C3"/>
    <w:rsid w:val="004F44D6"/>
    <w:rsid w:val="004F6E32"/>
    <w:rsid w:val="0050054A"/>
    <w:rsid w:val="005006B7"/>
    <w:rsid w:val="005075A3"/>
    <w:rsid w:val="00507802"/>
    <w:rsid w:val="00507850"/>
    <w:rsid w:val="00510921"/>
    <w:rsid w:val="00510AD3"/>
    <w:rsid w:val="00513348"/>
    <w:rsid w:val="0051788F"/>
    <w:rsid w:val="00520EB1"/>
    <w:rsid w:val="0052456E"/>
    <w:rsid w:val="005261F8"/>
    <w:rsid w:val="00526551"/>
    <w:rsid w:val="005334FE"/>
    <w:rsid w:val="00533662"/>
    <w:rsid w:val="00533B5D"/>
    <w:rsid w:val="00534A16"/>
    <w:rsid w:val="00536065"/>
    <w:rsid w:val="00536C73"/>
    <w:rsid w:val="005427C1"/>
    <w:rsid w:val="00542F28"/>
    <w:rsid w:val="00547B72"/>
    <w:rsid w:val="00550CA4"/>
    <w:rsid w:val="00551394"/>
    <w:rsid w:val="00552388"/>
    <w:rsid w:val="0055366D"/>
    <w:rsid w:val="005558EB"/>
    <w:rsid w:val="00556F8F"/>
    <w:rsid w:val="005570E8"/>
    <w:rsid w:val="00561077"/>
    <w:rsid w:val="00563185"/>
    <w:rsid w:val="0056632A"/>
    <w:rsid w:val="00567A8E"/>
    <w:rsid w:val="00572C78"/>
    <w:rsid w:val="0057306C"/>
    <w:rsid w:val="00574415"/>
    <w:rsid w:val="00574E86"/>
    <w:rsid w:val="005755F8"/>
    <w:rsid w:val="00576566"/>
    <w:rsid w:val="00577442"/>
    <w:rsid w:val="00581B0F"/>
    <w:rsid w:val="00584C0D"/>
    <w:rsid w:val="005876DE"/>
    <w:rsid w:val="00592939"/>
    <w:rsid w:val="0059360F"/>
    <w:rsid w:val="005954FD"/>
    <w:rsid w:val="005967C2"/>
    <w:rsid w:val="005970EA"/>
    <w:rsid w:val="005978C7"/>
    <w:rsid w:val="005978E9"/>
    <w:rsid w:val="005A019C"/>
    <w:rsid w:val="005A1D21"/>
    <w:rsid w:val="005A1E43"/>
    <w:rsid w:val="005A505E"/>
    <w:rsid w:val="005A5682"/>
    <w:rsid w:val="005A5E0E"/>
    <w:rsid w:val="005A66E7"/>
    <w:rsid w:val="005B0AC8"/>
    <w:rsid w:val="005B121D"/>
    <w:rsid w:val="005B1264"/>
    <w:rsid w:val="005B1861"/>
    <w:rsid w:val="005B5C9B"/>
    <w:rsid w:val="005B6B45"/>
    <w:rsid w:val="005B76AF"/>
    <w:rsid w:val="005C0519"/>
    <w:rsid w:val="005C0D2D"/>
    <w:rsid w:val="005C1734"/>
    <w:rsid w:val="005C3765"/>
    <w:rsid w:val="005C37F0"/>
    <w:rsid w:val="005C4A8C"/>
    <w:rsid w:val="005C4CE9"/>
    <w:rsid w:val="005C54FE"/>
    <w:rsid w:val="005C7BD4"/>
    <w:rsid w:val="005D0B64"/>
    <w:rsid w:val="005D0BBA"/>
    <w:rsid w:val="005D0E9F"/>
    <w:rsid w:val="005D174B"/>
    <w:rsid w:val="005D1DB1"/>
    <w:rsid w:val="005D2ADD"/>
    <w:rsid w:val="005D2D36"/>
    <w:rsid w:val="005D304B"/>
    <w:rsid w:val="005D3267"/>
    <w:rsid w:val="005D32E6"/>
    <w:rsid w:val="005D3E0C"/>
    <w:rsid w:val="005D6717"/>
    <w:rsid w:val="005D67A7"/>
    <w:rsid w:val="005D7148"/>
    <w:rsid w:val="005E078D"/>
    <w:rsid w:val="005E10A9"/>
    <w:rsid w:val="005E1AE1"/>
    <w:rsid w:val="005E1B20"/>
    <w:rsid w:val="005E560E"/>
    <w:rsid w:val="005E6ACA"/>
    <w:rsid w:val="005E79B3"/>
    <w:rsid w:val="005E7B68"/>
    <w:rsid w:val="005E7D83"/>
    <w:rsid w:val="005F17B0"/>
    <w:rsid w:val="005F1BEA"/>
    <w:rsid w:val="005F2BBF"/>
    <w:rsid w:val="005F38FD"/>
    <w:rsid w:val="005F3D04"/>
    <w:rsid w:val="005F4B4E"/>
    <w:rsid w:val="005F7A11"/>
    <w:rsid w:val="0060035D"/>
    <w:rsid w:val="006015C0"/>
    <w:rsid w:val="00601FEB"/>
    <w:rsid w:val="006045F6"/>
    <w:rsid w:val="00605574"/>
    <w:rsid w:val="00617D2B"/>
    <w:rsid w:val="0062219F"/>
    <w:rsid w:val="006232DF"/>
    <w:rsid w:val="00623BA1"/>
    <w:rsid w:val="00627413"/>
    <w:rsid w:val="006278EB"/>
    <w:rsid w:val="00630A82"/>
    <w:rsid w:val="00631169"/>
    <w:rsid w:val="00632096"/>
    <w:rsid w:val="006326CA"/>
    <w:rsid w:val="00632B60"/>
    <w:rsid w:val="006340FD"/>
    <w:rsid w:val="006346BC"/>
    <w:rsid w:val="0063503D"/>
    <w:rsid w:val="006354EC"/>
    <w:rsid w:val="00640441"/>
    <w:rsid w:val="0064125A"/>
    <w:rsid w:val="00641996"/>
    <w:rsid w:val="00643745"/>
    <w:rsid w:val="00645C41"/>
    <w:rsid w:val="0064647C"/>
    <w:rsid w:val="00647B8B"/>
    <w:rsid w:val="0065197A"/>
    <w:rsid w:val="00651EEB"/>
    <w:rsid w:val="006550CD"/>
    <w:rsid w:val="006555E4"/>
    <w:rsid w:val="00661E53"/>
    <w:rsid w:val="00664373"/>
    <w:rsid w:val="00665A37"/>
    <w:rsid w:val="00666061"/>
    <w:rsid w:val="00666291"/>
    <w:rsid w:val="0066652A"/>
    <w:rsid w:val="00670A4E"/>
    <w:rsid w:val="006727FA"/>
    <w:rsid w:val="00674041"/>
    <w:rsid w:val="00674807"/>
    <w:rsid w:val="00674E82"/>
    <w:rsid w:val="0067516F"/>
    <w:rsid w:val="0068006A"/>
    <w:rsid w:val="00680C54"/>
    <w:rsid w:val="00682167"/>
    <w:rsid w:val="00684E3C"/>
    <w:rsid w:val="006859FC"/>
    <w:rsid w:val="00687E1B"/>
    <w:rsid w:val="00691E02"/>
    <w:rsid w:val="0069256B"/>
    <w:rsid w:val="006932B3"/>
    <w:rsid w:val="00696CE4"/>
    <w:rsid w:val="00696DF1"/>
    <w:rsid w:val="00697BAF"/>
    <w:rsid w:val="00697D8D"/>
    <w:rsid w:val="006A0D28"/>
    <w:rsid w:val="006A4041"/>
    <w:rsid w:val="006A431B"/>
    <w:rsid w:val="006A56CE"/>
    <w:rsid w:val="006A68DC"/>
    <w:rsid w:val="006B127B"/>
    <w:rsid w:val="006B16F3"/>
    <w:rsid w:val="006B4505"/>
    <w:rsid w:val="006B4B8B"/>
    <w:rsid w:val="006B56EA"/>
    <w:rsid w:val="006C0B36"/>
    <w:rsid w:val="006C203A"/>
    <w:rsid w:val="006C42AF"/>
    <w:rsid w:val="006C4DD1"/>
    <w:rsid w:val="006C6982"/>
    <w:rsid w:val="006D1A8A"/>
    <w:rsid w:val="006D2121"/>
    <w:rsid w:val="006D2C38"/>
    <w:rsid w:val="006D2F07"/>
    <w:rsid w:val="006D46CE"/>
    <w:rsid w:val="006D4BBF"/>
    <w:rsid w:val="006D57E9"/>
    <w:rsid w:val="006D5C78"/>
    <w:rsid w:val="006D7D69"/>
    <w:rsid w:val="006E00B8"/>
    <w:rsid w:val="006E6AC2"/>
    <w:rsid w:val="006E7567"/>
    <w:rsid w:val="006E7D7A"/>
    <w:rsid w:val="006F2856"/>
    <w:rsid w:val="006F28DE"/>
    <w:rsid w:val="006F3943"/>
    <w:rsid w:val="006F3E98"/>
    <w:rsid w:val="006F6750"/>
    <w:rsid w:val="006F6ED4"/>
    <w:rsid w:val="006F797A"/>
    <w:rsid w:val="007002D0"/>
    <w:rsid w:val="007009F5"/>
    <w:rsid w:val="00701C9E"/>
    <w:rsid w:val="00702A33"/>
    <w:rsid w:val="00704190"/>
    <w:rsid w:val="00704ED9"/>
    <w:rsid w:val="00706EAC"/>
    <w:rsid w:val="00711996"/>
    <w:rsid w:val="00711D8E"/>
    <w:rsid w:val="00712672"/>
    <w:rsid w:val="00713762"/>
    <w:rsid w:val="00713E35"/>
    <w:rsid w:val="00715BAD"/>
    <w:rsid w:val="00716C23"/>
    <w:rsid w:val="00717CC8"/>
    <w:rsid w:val="00723302"/>
    <w:rsid w:val="007238F4"/>
    <w:rsid w:val="007258AF"/>
    <w:rsid w:val="00725DB6"/>
    <w:rsid w:val="007311B9"/>
    <w:rsid w:val="0073151C"/>
    <w:rsid w:val="00733DE5"/>
    <w:rsid w:val="007342BC"/>
    <w:rsid w:val="007342C4"/>
    <w:rsid w:val="00734E3F"/>
    <w:rsid w:val="00734E5B"/>
    <w:rsid w:val="00736985"/>
    <w:rsid w:val="00737A13"/>
    <w:rsid w:val="00737B5F"/>
    <w:rsid w:val="00742695"/>
    <w:rsid w:val="0074454F"/>
    <w:rsid w:val="007449A0"/>
    <w:rsid w:val="00744E3C"/>
    <w:rsid w:val="007452A0"/>
    <w:rsid w:val="00745307"/>
    <w:rsid w:val="00745F7D"/>
    <w:rsid w:val="00746C97"/>
    <w:rsid w:val="00752166"/>
    <w:rsid w:val="007522F2"/>
    <w:rsid w:val="007529E4"/>
    <w:rsid w:val="00752E61"/>
    <w:rsid w:val="007537F3"/>
    <w:rsid w:val="0075453B"/>
    <w:rsid w:val="007612E2"/>
    <w:rsid w:val="007660D9"/>
    <w:rsid w:val="00770509"/>
    <w:rsid w:val="00774530"/>
    <w:rsid w:val="007747BD"/>
    <w:rsid w:val="00780B07"/>
    <w:rsid w:val="00781275"/>
    <w:rsid w:val="007815D9"/>
    <w:rsid w:val="007817F6"/>
    <w:rsid w:val="00782C1D"/>
    <w:rsid w:val="007845CE"/>
    <w:rsid w:val="00784C90"/>
    <w:rsid w:val="00784DCD"/>
    <w:rsid w:val="00785809"/>
    <w:rsid w:val="0078602E"/>
    <w:rsid w:val="007925F5"/>
    <w:rsid w:val="00792BDB"/>
    <w:rsid w:val="00793C9D"/>
    <w:rsid w:val="007947B4"/>
    <w:rsid w:val="007966A9"/>
    <w:rsid w:val="007976CB"/>
    <w:rsid w:val="007A2197"/>
    <w:rsid w:val="007A3565"/>
    <w:rsid w:val="007A392C"/>
    <w:rsid w:val="007A3B58"/>
    <w:rsid w:val="007A408A"/>
    <w:rsid w:val="007A6E03"/>
    <w:rsid w:val="007A7245"/>
    <w:rsid w:val="007B0BBF"/>
    <w:rsid w:val="007B111A"/>
    <w:rsid w:val="007B15A0"/>
    <w:rsid w:val="007B2770"/>
    <w:rsid w:val="007B5528"/>
    <w:rsid w:val="007B6200"/>
    <w:rsid w:val="007B66B9"/>
    <w:rsid w:val="007B75F7"/>
    <w:rsid w:val="007B7688"/>
    <w:rsid w:val="007C026F"/>
    <w:rsid w:val="007C2DB7"/>
    <w:rsid w:val="007C4B32"/>
    <w:rsid w:val="007C6972"/>
    <w:rsid w:val="007D0D89"/>
    <w:rsid w:val="007D19F3"/>
    <w:rsid w:val="007D637F"/>
    <w:rsid w:val="007E17FD"/>
    <w:rsid w:val="007E3092"/>
    <w:rsid w:val="007E4AE4"/>
    <w:rsid w:val="007E7305"/>
    <w:rsid w:val="007E7DE8"/>
    <w:rsid w:val="007F3266"/>
    <w:rsid w:val="007F5F95"/>
    <w:rsid w:val="007F7B82"/>
    <w:rsid w:val="00801B9F"/>
    <w:rsid w:val="00803B21"/>
    <w:rsid w:val="00806CBC"/>
    <w:rsid w:val="00814A36"/>
    <w:rsid w:val="008176DD"/>
    <w:rsid w:val="0081788A"/>
    <w:rsid w:val="0082471E"/>
    <w:rsid w:val="008247E9"/>
    <w:rsid w:val="00825BE2"/>
    <w:rsid w:val="00833310"/>
    <w:rsid w:val="00835A87"/>
    <w:rsid w:val="00835ECF"/>
    <w:rsid w:val="00836A56"/>
    <w:rsid w:val="00844AB6"/>
    <w:rsid w:val="00846B33"/>
    <w:rsid w:val="008476D2"/>
    <w:rsid w:val="00851BF0"/>
    <w:rsid w:val="00855D2C"/>
    <w:rsid w:val="00860679"/>
    <w:rsid w:val="008625A9"/>
    <w:rsid w:val="00864B80"/>
    <w:rsid w:val="0087026E"/>
    <w:rsid w:val="00871563"/>
    <w:rsid w:val="00872B05"/>
    <w:rsid w:val="00873016"/>
    <w:rsid w:val="0087424D"/>
    <w:rsid w:val="008748F0"/>
    <w:rsid w:val="00874AA4"/>
    <w:rsid w:val="008768D2"/>
    <w:rsid w:val="00877EE7"/>
    <w:rsid w:val="00880B3F"/>
    <w:rsid w:val="00884982"/>
    <w:rsid w:val="00886549"/>
    <w:rsid w:val="00886691"/>
    <w:rsid w:val="00892ABF"/>
    <w:rsid w:val="00893523"/>
    <w:rsid w:val="008938E7"/>
    <w:rsid w:val="00894402"/>
    <w:rsid w:val="00895DB1"/>
    <w:rsid w:val="008A05B7"/>
    <w:rsid w:val="008A4ADD"/>
    <w:rsid w:val="008B25A6"/>
    <w:rsid w:val="008B2995"/>
    <w:rsid w:val="008B4D36"/>
    <w:rsid w:val="008B5233"/>
    <w:rsid w:val="008B6206"/>
    <w:rsid w:val="008B62C7"/>
    <w:rsid w:val="008B6D96"/>
    <w:rsid w:val="008C2CD0"/>
    <w:rsid w:val="008C2D8A"/>
    <w:rsid w:val="008C3D13"/>
    <w:rsid w:val="008C76C3"/>
    <w:rsid w:val="008D15A8"/>
    <w:rsid w:val="008D2A53"/>
    <w:rsid w:val="008D2C8B"/>
    <w:rsid w:val="008D3FBA"/>
    <w:rsid w:val="008D4A99"/>
    <w:rsid w:val="008D4C13"/>
    <w:rsid w:val="008D591A"/>
    <w:rsid w:val="008D6A29"/>
    <w:rsid w:val="008E0CCD"/>
    <w:rsid w:val="008E32B9"/>
    <w:rsid w:val="008E46E3"/>
    <w:rsid w:val="008F400B"/>
    <w:rsid w:val="008F4309"/>
    <w:rsid w:val="008F450B"/>
    <w:rsid w:val="008F4D05"/>
    <w:rsid w:val="008F51BA"/>
    <w:rsid w:val="008F5BA4"/>
    <w:rsid w:val="008F6873"/>
    <w:rsid w:val="008F6DAA"/>
    <w:rsid w:val="008F6FC5"/>
    <w:rsid w:val="0090124B"/>
    <w:rsid w:val="009013BB"/>
    <w:rsid w:val="00902210"/>
    <w:rsid w:val="00902513"/>
    <w:rsid w:val="0090309A"/>
    <w:rsid w:val="00903695"/>
    <w:rsid w:val="00904CDA"/>
    <w:rsid w:val="009055B8"/>
    <w:rsid w:val="0090579B"/>
    <w:rsid w:val="009074EB"/>
    <w:rsid w:val="00911692"/>
    <w:rsid w:val="009130C7"/>
    <w:rsid w:val="00914301"/>
    <w:rsid w:val="009148D4"/>
    <w:rsid w:val="00925B07"/>
    <w:rsid w:val="00926FEB"/>
    <w:rsid w:val="00931A14"/>
    <w:rsid w:val="009358DC"/>
    <w:rsid w:val="00935D37"/>
    <w:rsid w:val="00936479"/>
    <w:rsid w:val="00941812"/>
    <w:rsid w:val="00944586"/>
    <w:rsid w:val="00945AF9"/>
    <w:rsid w:val="009475B5"/>
    <w:rsid w:val="009479C1"/>
    <w:rsid w:val="009479C3"/>
    <w:rsid w:val="00947A4A"/>
    <w:rsid w:val="00947AB3"/>
    <w:rsid w:val="00952350"/>
    <w:rsid w:val="00952D72"/>
    <w:rsid w:val="009548FD"/>
    <w:rsid w:val="0096011D"/>
    <w:rsid w:val="00961C4B"/>
    <w:rsid w:val="00965BDE"/>
    <w:rsid w:val="00973110"/>
    <w:rsid w:val="00974FC3"/>
    <w:rsid w:val="009756CB"/>
    <w:rsid w:val="00975A05"/>
    <w:rsid w:val="00975FEE"/>
    <w:rsid w:val="00980F71"/>
    <w:rsid w:val="00981664"/>
    <w:rsid w:val="00985D8A"/>
    <w:rsid w:val="0099363A"/>
    <w:rsid w:val="009A1E73"/>
    <w:rsid w:val="009A2DA7"/>
    <w:rsid w:val="009A3483"/>
    <w:rsid w:val="009B0ADB"/>
    <w:rsid w:val="009B0BDB"/>
    <w:rsid w:val="009B206B"/>
    <w:rsid w:val="009B2458"/>
    <w:rsid w:val="009B2D94"/>
    <w:rsid w:val="009B4D3B"/>
    <w:rsid w:val="009B552F"/>
    <w:rsid w:val="009B63C8"/>
    <w:rsid w:val="009B68FF"/>
    <w:rsid w:val="009B7F19"/>
    <w:rsid w:val="009C133C"/>
    <w:rsid w:val="009C16C7"/>
    <w:rsid w:val="009D0C63"/>
    <w:rsid w:val="009D13DC"/>
    <w:rsid w:val="009D1DF7"/>
    <w:rsid w:val="009D5073"/>
    <w:rsid w:val="009D7407"/>
    <w:rsid w:val="009E0866"/>
    <w:rsid w:val="009E102B"/>
    <w:rsid w:val="009E1A79"/>
    <w:rsid w:val="009E1A9A"/>
    <w:rsid w:val="009E327D"/>
    <w:rsid w:val="009E35E3"/>
    <w:rsid w:val="009E3669"/>
    <w:rsid w:val="009E3E85"/>
    <w:rsid w:val="009E4D24"/>
    <w:rsid w:val="009E616F"/>
    <w:rsid w:val="009E637B"/>
    <w:rsid w:val="009E75DE"/>
    <w:rsid w:val="009E79EE"/>
    <w:rsid w:val="009F4A64"/>
    <w:rsid w:val="009F581D"/>
    <w:rsid w:val="009F6A29"/>
    <w:rsid w:val="009F7123"/>
    <w:rsid w:val="00A01F23"/>
    <w:rsid w:val="00A046BC"/>
    <w:rsid w:val="00A046D2"/>
    <w:rsid w:val="00A057DD"/>
    <w:rsid w:val="00A11030"/>
    <w:rsid w:val="00A1321A"/>
    <w:rsid w:val="00A1784D"/>
    <w:rsid w:val="00A20E8E"/>
    <w:rsid w:val="00A24A62"/>
    <w:rsid w:val="00A24AC2"/>
    <w:rsid w:val="00A26320"/>
    <w:rsid w:val="00A2778C"/>
    <w:rsid w:val="00A307D5"/>
    <w:rsid w:val="00A31C9F"/>
    <w:rsid w:val="00A33F77"/>
    <w:rsid w:val="00A34D28"/>
    <w:rsid w:val="00A35ED0"/>
    <w:rsid w:val="00A3734A"/>
    <w:rsid w:val="00A418D3"/>
    <w:rsid w:val="00A4345B"/>
    <w:rsid w:val="00A45415"/>
    <w:rsid w:val="00A4581E"/>
    <w:rsid w:val="00A4598A"/>
    <w:rsid w:val="00A500CC"/>
    <w:rsid w:val="00A50720"/>
    <w:rsid w:val="00A53380"/>
    <w:rsid w:val="00A536D6"/>
    <w:rsid w:val="00A54ABC"/>
    <w:rsid w:val="00A55428"/>
    <w:rsid w:val="00A6124B"/>
    <w:rsid w:val="00A66128"/>
    <w:rsid w:val="00A66A10"/>
    <w:rsid w:val="00A66F68"/>
    <w:rsid w:val="00A6705A"/>
    <w:rsid w:val="00A67724"/>
    <w:rsid w:val="00A6786D"/>
    <w:rsid w:val="00A7091A"/>
    <w:rsid w:val="00A71503"/>
    <w:rsid w:val="00A718E2"/>
    <w:rsid w:val="00A7220A"/>
    <w:rsid w:val="00A7283E"/>
    <w:rsid w:val="00A72D05"/>
    <w:rsid w:val="00A731D3"/>
    <w:rsid w:val="00A756F9"/>
    <w:rsid w:val="00A75C63"/>
    <w:rsid w:val="00A76982"/>
    <w:rsid w:val="00A814B4"/>
    <w:rsid w:val="00A833A6"/>
    <w:rsid w:val="00A834C5"/>
    <w:rsid w:val="00A867AE"/>
    <w:rsid w:val="00A923A9"/>
    <w:rsid w:val="00A95D8D"/>
    <w:rsid w:val="00A96ABE"/>
    <w:rsid w:val="00A9746F"/>
    <w:rsid w:val="00AA0F6B"/>
    <w:rsid w:val="00AA1780"/>
    <w:rsid w:val="00AA3242"/>
    <w:rsid w:val="00AA347E"/>
    <w:rsid w:val="00AA3C1B"/>
    <w:rsid w:val="00AA49FE"/>
    <w:rsid w:val="00AA59D6"/>
    <w:rsid w:val="00AA6F04"/>
    <w:rsid w:val="00AA7277"/>
    <w:rsid w:val="00AB1324"/>
    <w:rsid w:val="00AB19CF"/>
    <w:rsid w:val="00AB20A8"/>
    <w:rsid w:val="00AB26B5"/>
    <w:rsid w:val="00AB3441"/>
    <w:rsid w:val="00AC164A"/>
    <w:rsid w:val="00AC263F"/>
    <w:rsid w:val="00AC584A"/>
    <w:rsid w:val="00AC6EC7"/>
    <w:rsid w:val="00AD5096"/>
    <w:rsid w:val="00AD584E"/>
    <w:rsid w:val="00AD7573"/>
    <w:rsid w:val="00AD7F6A"/>
    <w:rsid w:val="00AE1568"/>
    <w:rsid w:val="00AE24EC"/>
    <w:rsid w:val="00AE2933"/>
    <w:rsid w:val="00AE3279"/>
    <w:rsid w:val="00AE3EDA"/>
    <w:rsid w:val="00AE7BA5"/>
    <w:rsid w:val="00AF1EAE"/>
    <w:rsid w:val="00AF2050"/>
    <w:rsid w:val="00AF46E7"/>
    <w:rsid w:val="00AF55BE"/>
    <w:rsid w:val="00AF566D"/>
    <w:rsid w:val="00AF69EC"/>
    <w:rsid w:val="00AF7775"/>
    <w:rsid w:val="00AF7F03"/>
    <w:rsid w:val="00B0207C"/>
    <w:rsid w:val="00B03747"/>
    <w:rsid w:val="00B03CF2"/>
    <w:rsid w:val="00B03FBF"/>
    <w:rsid w:val="00B05555"/>
    <w:rsid w:val="00B05E1C"/>
    <w:rsid w:val="00B1110C"/>
    <w:rsid w:val="00B1226A"/>
    <w:rsid w:val="00B134D1"/>
    <w:rsid w:val="00B14524"/>
    <w:rsid w:val="00B151E9"/>
    <w:rsid w:val="00B166F9"/>
    <w:rsid w:val="00B1753E"/>
    <w:rsid w:val="00B2210F"/>
    <w:rsid w:val="00B2390F"/>
    <w:rsid w:val="00B26EB6"/>
    <w:rsid w:val="00B32088"/>
    <w:rsid w:val="00B41853"/>
    <w:rsid w:val="00B42793"/>
    <w:rsid w:val="00B42EF8"/>
    <w:rsid w:val="00B447E6"/>
    <w:rsid w:val="00B50F85"/>
    <w:rsid w:val="00B53CDF"/>
    <w:rsid w:val="00B5488B"/>
    <w:rsid w:val="00B5503B"/>
    <w:rsid w:val="00B57061"/>
    <w:rsid w:val="00B60352"/>
    <w:rsid w:val="00B6123B"/>
    <w:rsid w:val="00B62DE0"/>
    <w:rsid w:val="00B67257"/>
    <w:rsid w:val="00B676EF"/>
    <w:rsid w:val="00B67A9B"/>
    <w:rsid w:val="00B717FB"/>
    <w:rsid w:val="00B73A27"/>
    <w:rsid w:val="00B742B7"/>
    <w:rsid w:val="00B76EB7"/>
    <w:rsid w:val="00B77214"/>
    <w:rsid w:val="00B846F8"/>
    <w:rsid w:val="00B87C81"/>
    <w:rsid w:val="00B904F6"/>
    <w:rsid w:val="00B905EC"/>
    <w:rsid w:val="00B9111D"/>
    <w:rsid w:val="00B9172A"/>
    <w:rsid w:val="00B92A9C"/>
    <w:rsid w:val="00B93F26"/>
    <w:rsid w:val="00B94972"/>
    <w:rsid w:val="00B94B36"/>
    <w:rsid w:val="00B960B2"/>
    <w:rsid w:val="00B96D66"/>
    <w:rsid w:val="00BA0E13"/>
    <w:rsid w:val="00BA19C1"/>
    <w:rsid w:val="00BA37F5"/>
    <w:rsid w:val="00BA3C93"/>
    <w:rsid w:val="00BA3DA0"/>
    <w:rsid w:val="00BB02E8"/>
    <w:rsid w:val="00BB17E6"/>
    <w:rsid w:val="00BB26C5"/>
    <w:rsid w:val="00BB2A77"/>
    <w:rsid w:val="00BB39B8"/>
    <w:rsid w:val="00BB4706"/>
    <w:rsid w:val="00BB699E"/>
    <w:rsid w:val="00BC032F"/>
    <w:rsid w:val="00BC07B8"/>
    <w:rsid w:val="00BC1318"/>
    <w:rsid w:val="00BC4C90"/>
    <w:rsid w:val="00BC6F90"/>
    <w:rsid w:val="00BD0303"/>
    <w:rsid w:val="00BD05FC"/>
    <w:rsid w:val="00BD385A"/>
    <w:rsid w:val="00BD564F"/>
    <w:rsid w:val="00BD6183"/>
    <w:rsid w:val="00BD6A02"/>
    <w:rsid w:val="00BD6D8D"/>
    <w:rsid w:val="00BD6DD6"/>
    <w:rsid w:val="00BD6F1C"/>
    <w:rsid w:val="00BE137D"/>
    <w:rsid w:val="00BE18BE"/>
    <w:rsid w:val="00BE3CE6"/>
    <w:rsid w:val="00BE55D8"/>
    <w:rsid w:val="00BE7026"/>
    <w:rsid w:val="00BE73F5"/>
    <w:rsid w:val="00BF08C8"/>
    <w:rsid w:val="00BF17B9"/>
    <w:rsid w:val="00BF1C7D"/>
    <w:rsid w:val="00BF1CB4"/>
    <w:rsid w:val="00BF49B3"/>
    <w:rsid w:val="00BF4DE6"/>
    <w:rsid w:val="00BF7141"/>
    <w:rsid w:val="00BF7A70"/>
    <w:rsid w:val="00C000E7"/>
    <w:rsid w:val="00C00986"/>
    <w:rsid w:val="00C010E0"/>
    <w:rsid w:val="00C0168D"/>
    <w:rsid w:val="00C025A4"/>
    <w:rsid w:val="00C0352E"/>
    <w:rsid w:val="00C10171"/>
    <w:rsid w:val="00C10DAB"/>
    <w:rsid w:val="00C10EF8"/>
    <w:rsid w:val="00C1120D"/>
    <w:rsid w:val="00C11375"/>
    <w:rsid w:val="00C11E4D"/>
    <w:rsid w:val="00C12110"/>
    <w:rsid w:val="00C16C69"/>
    <w:rsid w:val="00C21B57"/>
    <w:rsid w:val="00C23026"/>
    <w:rsid w:val="00C25C91"/>
    <w:rsid w:val="00C27C94"/>
    <w:rsid w:val="00C32246"/>
    <w:rsid w:val="00C3256F"/>
    <w:rsid w:val="00C329FC"/>
    <w:rsid w:val="00C3433D"/>
    <w:rsid w:val="00C34C10"/>
    <w:rsid w:val="00C352C2"/>
    <w:rsid w:val="00C354B0"/>
    <w:rsid w:val="00C35F16"/>
    <w:rsid w:val="00C36E0A"/>
    <w:rsid w:val="00C417D9"/>
    <w:rsid w:val="00C41F45"/>
    <w:rsid w:val="00C42628"/>
    <w:rsid w:val="00C42CDE"/>
    <w:rsid w:val="00C4371B"/>
    <w:rsid w:val="00C441CE"/>
    <w:rsid w:val="00C4691D"/>
    <w:rsid w:val="00C5620D"/>
    <w:rsid w:val="00C56D6B"/>
    <w:rsid w:val="00C56F0F"/>
    <w:rsid w:val="00C57160"/>
    <w:rsid w:val="00C61ADC"/>
    <w:rsid w:val="00C6318C"/>
    <w:rsid w:val="00C639B4"/>
    <w:rsid w:val="00C63B26"/>
    <w:rsid w:val="00C64005"/>
    <w:rsid w:val="00C64C2D"/>
    <w:rsid w:val="00C6739A"/>
    <w:rsid w:val="00C67D12"/>
    <w:rsid w:val="00C76A86"/>
    <w:rsid w:val="00C77231"/>
    <w:rsid w:val="00C81543"/>
    <w:rsid w:val="00C81554"/>
    <w:rsid w:val="00C8213D"/>
    <w:rsid w:val="00C83A8E"/>
    <w:rsid w:val="00C94A90"/>
    <w:rsid w:val="00C9543A"/>
    <w:rsid w:val="00C96593"/>
    <w:rsid w:val="00C96A4C"/>
    <w:rsid w:val="00C978B9"/>
    <w:rsid w:val="00CA0C72"/>
    <w:rsid w:val="00CA110C"/>
    <w:rsid w:val="00CA3590"/>
    <w:rsid w:val="00CA37B1"/>
    <w:rsid w:val="00CA5147"/>
    <w:rsid w:val="00CA7DE0"/>
    <w:rsid w:val="00CB095B"/>
    <w:rsid w:val="00CB0A51"/>
    <w:rsid w:val="00CB1472"/>
    <w:rsid w:val="00CB1959"/>
    <w:rsid w:val="00CC1403"/>
    <w:rsid w:val="00CC4091"/>
    <w:rsid w:val="00CC67D6"/>
    <w:rsid w:val="00CC70AA"/>
    <w:rsid w:val="00CC796E"/>
    <w:rsid w:val="00CD0172"/>
    <w:rsid w:val="00CD05B6"/>
    <w:rsid w:val="00CD125F"/>
    <w:rsid w:val="00CD28F8"/>
    <w:rsid w:val="00CD3921"/>
    <w:rsid w:val="00CD3C52"/>
    <w:rsid w:val="00CE01C3"/>
    <w:rsid w:val="00CE0A3C"/>
    <w:rsid w:val="00CE6D41"/>
    <w:rsid w:val="00CF0829"/>
    <w:rsid w:val="00CF27B9"/>
    <w:rsid w:val="00CF36A0"/>
    <w:rsid w:val="00CF44C6"/>
    <w:rsid w:val="00CF48E3"/>
    <w:rsid w:val="00CF5446"/>
    <w:rsid w:val="00CF6914"/>
    <w:rsid w:val="00CF6B76"/>
    <w:rsid w:val="00D012C3"/>
    <w:rsid w:val="00D0296C"/>
    <w:rsid w:val="00D057A2"/>
    <w:rsid w:val="00D07260"/>
    <w:rsid w:val="00D07C70"/>
    <w:rsid w:val="00D113EE"/>
    <w:rsid w:val="00D11BF6"/>
    <w:rsid w:val="00D12054"/>
    <w:rsid w:val="00D121BA"/>
    <w:rsid w:val="00D14DA3"/>
    <w:rsid w:val="00D158D7"/>
    <w:rsid w:val="00D175F1"/>
    <w:rsid w:val="00D2157F"/>
    <w:rsid w:val="00D2182B"/>
    <w:rsid w:val="00D22869"/>
    <w:rsid w:val="00D23804"/>
    <w:rsid w:val="00D24712"/>
    <w:rsid w:val="00D25845"/>
    <w:rsid w:val="00D26AE3"/>
    <w:rsid w:val="00D26EB1"/>
    <w:rsid w:val="00D27451"/>
    <w:rsid w:val="00D30008"/>
    <w:rsid w:val="00D3027C"/>
    <w:rsid w:val="00D35AE2"/>
    <w:rsid w:val="00D36325"/>
    <w:rsid w:val="00D374D3"/>
    <w:rsid w:val="00D40455"/>
    <w:rsid w:val="00D4283B"/>
    <w:rsid w:val="00D42C5D"/>
    <w:rsid w:val="00D44914"/>
    <w:rsid w:val="00D4561C"/>
    <w:rsid w:val="00D46798"/>
    <w:rsid w:val="00D46D82"/>
    <w:rsid w:val="00D4727C"/>
    <w:rsid w:val="00D47735"/>
    <w:rsid w:val="00D57AD1"/>
    <w:rsid w:val="00D61537"/>
    <w:rsid w:val="00D62A71"/>
    <w:rsid w:val="00D64471"/>
    <w:rsid w:val="00D65F30"/>
    <w:rsid w:val="00D71105"/>
    <w:rsid w:val="00D75D87"/>
    <w:rsid w:val="00D83E52"/>
    <w:rsid w:val="00D859B8"/>
    <w:rsid w:val="00D871BB"/>
    <w:rsid w:val="00D90320"/>
    <w:rsid w:val="00D9192D"/>
    <w:rsid w:val="00D91D2E"/>
    <w:rsid w:val="00D923FD"/>
    <w:rsid w:val="00D9284A"/>
    <w:rsid w:val="00D92CA2"/>
    <w:rsid w:val="00D92D0A"/>
    <w:rsid w:val="00D933F3"/>
    <w:rsid w:val="00D93703"/>
    <w:rsid w:val="00D9430D"/>
    <w:rsid w:val="00D9459A"/>
    <w:rsid w:val="00D95BFE"/>
    <w:rsid w:val="00D96565"/>
    <w:rsid w:val="00D96F6B"/>
    <w:rsid w:val="00DA12A4"/>
    <w:rsid w:val="00DA1B6D"/>
    <w:rsid w:val="00DA278F"/>
    <w:rsid w:val="00DA27E6"/>
    <w:rsid w:val="00DA4DD9"/>
    <w:rsid w:val="00DA4FFA"/>
    <w:rsid w:val="00DA5309"/>
    <w:rsid w:val="00DB1094"/>
    <w:rsid w:val="00DB1B63"/>
    <w:rsid w:val="00DB2F6F"/>
    <w:rsid w:val="00DB3154"/>
    <w:rsid w:val="00DB5384"/>
    <w:rsid w:val="00DB61C7"/>
    <w:rsid w:val="00DB6D69"/>
    <w:rsid w:val="00DC0AF0"/>
    <w:rsid w:val="00DC1B8E"/>
    <w:rsid w:val="00DC1CBA"/>
    <w:rsid w:val="00DC2B4A"/>
    <w:rsid w:val="00DC430B"/>
    <w:rsid w:val="00DC7AFA"/>
    <w:rsid w:val="00DD1138"/>
    <w:rsid w:val="00DD2FE8"/>
    <w:rsid w:val="00DD39BD"/>
    <w:rsid w:val="00DD74FB"/>
    <w:rsid w:val="00DD7DB6"/>
    <w:rsid w:val="00DE0657"/>
    <w:rsid w:val="00DE1E06"/>
    <w:rsid w:val="00DE243E"/>
    <w:rsid w:val="00DE4536"/>
    <w:rsid w:val="00DE4FB3"/>
    <w:rsid w:val="00DE553E"/>
    <w:rsid w:val="00DE590D"/>
    <w:rsid w:val="00DE6F51"/>
    <w:rsid w:val="00DE744D"/>
    <w:rsid w:val="00DF11D3"/>
    <w:rsid w:val="00DF1805"/>
    <w:rsid w:val="00DF1A7A"/>
    <w:rsid w:val="00DF25F7"/>
    <w:rsid w:val="00DF4B3C"/>
    <w:rsid w:val="00DF56A1"/>
    <w:rsid w:val="00DF724A"/>
    <w:rsid w:val="00DF7985"/>
    <w:rsid w:val="00DF7DD4"/>
    <w:rsid w:val="00E045DB"/>
    <w:rsid w:val="00E059C8"/>
    <w:rsid w:val="00E06415"/>
    <w:rsid w:val="00E06D0A"/>
    <w:rsid w:val="00E10AC1"/>
    <w:rsid w:val="00E112E4"/>
    <w:rsid w:val="00E139BF"/>
    <w:rsid w:val="00E2020C"/>
    <w:rsid w:val="00E20867"/>
    <w:rsid w:val="00E22709"/>
    <w:rsid w:val="00E22B16"/>
    <w:rsid w:val="00E23C7F"/>
    <w:rsid w:val="00E3207B"/>
    <w:rsid w:val="00E357B7"/>
    <w:rsid w:val="00E36327"/>
    <w:rsid w:val="00E36FEE"/>
    <w:rsid w:val="00E40400"/>
    <w:rsid w:val="00E43733"/>
    <w:rsid w:val="00E44D53"/>
    <w:rsid w:val="00E457A3"/>
    <w:rsid w:val="00E512B8"/>
    <w:rsid w:val="00E524C4"/>
    <w:rsid w:val="00E53697"/>
    <w:rsid w:val="00E53800"/>
    <w:rsid w:val="00E55405"/>
    <w:rsid w:val="00E5627E"/>
    <w:rsid w:val="00E6081F"/>
    <w:rsid w:val="00E60E81"/>
    <w:rsid w:val="00E629F5"/>
    <w:rsid w:val="00E62F54"/>
    <w:rsid w:val="00E63678"/>
    <w:rsid w:val="00E744AA"/>
    <w:rsid w:val="00E75A88"/>
    <w:rsid w:val="00E75E5A"/>
    <w:rsid w:val="00E763B7"/>
    <w:rsid w:val="00E76BBF"/>
    <w:rsid w:val="00E77E09"/>
    <w:rsid w:val="00E85223"/>
    <w:rsid w:val="00E85CBF"/>
    <w:rsid w:val="00E90FC6"/>
    <w:rsid w:val="00E9273B"/>
    <w:rsid w:val="00E9370F"/>
    <w:rsid w:val="00E93FCE"/>
    <w:rsid w:val="00E949F3"/>
    <w:rsid w:val="00E96FDD"/>
    <w:rsid w:val="00EA04B2"/>
    <w:rsid w:val="00EA08DF"/>
    <w:rsid w:val="00EA20F3"/>
    <w:rsid w:val="00EA2E1E"/>
    <w:rsid w:val="00EA378E"/>
    <w:rsid w:val="00EA3D26"/>
    <w:rsid w:val="00EA4157"/>
    <w:rsid w:val="00EA4DE3"/>
    <w:rsid w:val="00EB06E6"/>
    <w:rsid w:val="00EB14F0"/>
    <w:rsid w:val="00EB41AD"/>
    <w:rsid w:val="00EB7797"/>
    <w:rsid w:val="00EB7E37"/>
    <w:rsid w:val="00EC3019"/>
    <w:rsid w:val="00EC3885"/>
    <w:rsid w:val="00ED43D1"/>
    <w:rsid w:val="00ED55E8"/>
    <w:rsid w:val="00ED5F53"/>
    <w:rsid w:val="00EE276E"/>
    <w:rsid w:val="00EE308C"/>
    <w:rsid w:val="00EE4E7B"/>
    <w:rsid w:val="00EE4EE1"/>
    <w:rsid w:val="00EE59E6"/>
    <w:rsid w:val="00EE5D8E"/>
    <w:rsid w:val="00EF0422"/>
    <w:rsid w:val="00EF3165"/>
    <w:rsid w:val="00EF4574"/>
    <w:rsid w:val="00F005C0"/>
    <w:rsid w:val="00F0399A"/>
    <w:rsid w:val="00F03D66"/>
    <w:rsid w:val="00F04262"/>
    <w:rsid w:val="00F04B33"/>
    <w:rsid w:val="00F128F7"/>
    <w:rsid w:val="00F176DE"/>
    <w:rsid w:val="00F20FF2"/>
    <w:rsid w:val="00F23ECA"/>
    <w:rsid w:val="00F25BD0"/>
    <w:rsid w:val="00F2684E"/>
    <w:rsid w:val="00F30C56"/>
    <w:rsid w:val="00F3128B"/>
    <w:rsid w:val="00F326B8"/>
    <w:rsid w:val="00F354C6"/>
    <w:rsid w:val="00F40209"/>
    <w:rsid w:val="00F41545"/>
    <w:rsid w:val="00F42299"/>
    <w:rsid w:val="00F438C3"/>
    <w:rsid w:val="00F43938"/>
    <w:rsid w:val="00F462C0"/>
    <w:rsid w:val="00F51277"/>
    <w:rsid w:val="00F54444"/>
    <w:rsid w:val="00F56FB7"/>
    <w:rsid w:val="00F618F4"/>
    <w:rsid w:val="00F61EF8"/>
    <w:rsid w:val="00F62356"/>
    <w:rsid w:val="00F6327C"/>
    <w:rsid w:val="00F63823"/>
    <w:rsid w:val="00F639BC"/>
    <w:rsid w:val="00F67814"/>
    <w:rsid w:val="00F729EF"/>
    <w:rsid w:val="00F74879"/>
    <w:rsid w:val="00F74D7F"/>
    <w:rsid w:val="00F7718B"/>
    <w:rsid w:val="00F77C5E"/>
    <w:rsid w:val="00F77CAE"/>
    <w:rsid w:val="00F77F81"/>
    <w:rsid w:val="00F81D69"/>
    <w:rsid w:val="00F81EB9"/>
    <w:rsid w:val="00F82B10"/>
    <w:rsid w:val="00F83636"/>
    <w:rsid w:val="00F84049"/>
    <w:rsid w:val="00F9598A"/>
    <w:rsid w:val="00F965BB"/>
    <w:rsid w:val="00F96BB9"/>
    <w:rsid w:val="00FA24FA"/>
    <w:rsid w:val="00FA78BA"/>
    <w:rsid w:val="00FB2547"/>
    <w:rsid w:val="00FB3455"/>
    <w:rsid w:val="00FB44AA"/>
    <w:rsid w:val="00FC1A7E"/>
    <w:rsid w:val="00FC45CA"/>
    <w:rsid w:val="00FC5774"/>
    <w:rsid w:val="00FD0F87"/>
    <w:rsid w:val="00FD1681"/>
    <w:rsid w:val="00FD29D5"/>
    <w:rsid w:val="00FD2DF4"/>
    <w:rsid w:val="00FD46B9"/>
    <w:rsid w:val="00FD5CC9"/>
    <w:rsid w:val="00FD67EB"/>
    <w:rsid w:val="00FD6FE1"/>
    <w:rsid w:val="00FE44D6"/>
    <w:rsid w:val="00FE6D51"/>
    <w:rsid w:val="00FF001A"/>
    <w:rsid w:val="00FF484B"/>
    <w:rsid w:val="00FF6840"/>
    <w:rsid w:val="00FF70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CEA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91A"/>
    <w:pPr>
      <w:suppressAutoHyphens/>
      <w:spacing w:before="180" w:after="60" w:line="280" w:lineRule="atLeast"/>
    </w:pPr>
  </w:style>
  <w:style w:type="paragraph" w:styleId="Heading1">
    <w:name w:val="heading 1"/>
    <w:basedOn w:val="Normal"/>
    <w:next w:val="Normal"/>
    <w:link w:val="Heading1Char"/>
    <w:uiPriority w:val="9"/>
    <w:qFormat/>
    <w:rsid w:val="001612A4"/>
    <w:pPr>
      <w:keepNext/>
      <w:keepLines/>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D46D82"/>
    <w:pPr>
      <w:spacing w:before="240" w:line="300" w:lineRule="atLeast"/>
      <w:outlineLvl w:val="3"/>
    </w:pPr>
    <w:rPr>
      <w:iCs/>
      <w:sz w:val="26"/>
    </w:rPr>
  </w:style>
  <w:style w:type="paragraph" w:styleId="Heading5">
    <w:name w:val="heading 5"/>
    <w:basedOn w:val="Heading4"/>
    <w:next w:val="Normal"/>
    <w:link w:val="Heading5Char"/>
    <w:uiPriority w:val="9"/>
    <w:semiHidden/>
    <w:unhideWhenUsed/>
    <w:qFormat/>
    <w:rsid w:val="00623BA1"/>
    <w:pPr>
      <w:outlineLvl w:val="4"/>
    </w:pPr>
    <w:rPr>
      <w:i/>
      <w:color w:val="77B6BD" w:themeColor="accent1" w:themeShade="BF"/>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43838A"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uiPriority w:val="11"/>
    <w:qFormat/>
    <w:rsid w:val="00DB6D6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D46D82"/>
    <w:pPr>
      <w:numPr>
        <w:ilvl w:val="1"/>
        <w:numId w:val="3"/>
      </w:numPr>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7"/>
      </w:numPr>
    </w:pPr>
  </w:style>
  <w:style w:type="table" w:styleId="PlainTable2">
    <w:name w:val="Plain Table 2"/>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FB44AA"/>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FB44AA"/>
    <w:pPr>
      <w:tabs>
        <w:tab w:val="left" w:pos="454"/>
        <w:tab w:val="right" w:pos="9072"/>
      </w:tabs>
      <w:spacing w:after="180" w:line="230" w:lineRule="atLeast"/>
      <w:ind w:left="454"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5"/>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1612A4"/>
    <w:pPr>
      <w:pBdr>
        <w:bottom w:val="single" w:sz="4" w:space="6" w:color="BDDCDF" w:themeColor="accent1"/>
      </w:pBdr>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6"/>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semiHidden/>
    <w:rsid w:val="00486804"/>
    <w:rPr>
      <w:rFonts w:asciiTheme="majorHAnsi" w:eastAsiaTheme="majorEastAsia" w:hAnsiTheme="majorHAnsi" w:cstheme="majorBidi"/>
      <w:bCs/>
      <w:iCs/>
      <w:color w:val="77B6BD" w:themeColor="accent1" w:themeShade="BF"/>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43838A"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43838A"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F1F8F8" w:themeColor="accent1" w:themeTint="33"/>
        <w:left w:val="single" w:sz="4" w:space="14" w:color="F1F8F8" w:themeColor="accent1" w:themeTint="33"/>
        <w:bottom w:val="single" w:sz="4" w:space="14" w:color="F1F8F8" w:themeColor="accent1" w:themeTint="33"/>
        <w:right w:val="single" w:sz="4" w:space="14" w:color="F1F8F8" w:themeColor="accent1" w:themeTint="33"/>
      </w:pBdr>
      <w:shd w:val="clear" w:color="auto" w:fill="F1F8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DDCDF" w:themeColor="accent1"/>
        <w:left w:val="single" w:sz="4" w:space="14" w:color="BDDCDF" w:themeColor="accent1"/>
        <w:bottom w:val="single" w:sz="4" w:space="14" w:color="BDDCDF" w:themeColor="accent1"/>
        <w:right w:val="single" w:sz="4" w:space="14" w:color="BDDCDF" w:themeColor="accent1"/>
      </w:pBdr>
      <w:shd w:val="clear" w:color="auto" w:fill="BDDCDF" w:themeFill="accent1"/>
    </w:pPr>
  </w:style>
  <w:style w:type="paragraph" w:customStyle="1" w:styleId="Boxed2Heading">
    <w:name w:val="Boxed 2 Heading"/>
    <w:basedOn w:val="Boxed2Text"/>
    <w:qFormat/>
    <w:rsid w:val="000C2A48"/>
    <w:rPr>
      <w:b/>
      <w:sz w:val="24"/>
    </w:rPr>
  </w:style>
  <w:style w:type="character" w:styleId="PageNumber">
    <w:name w:val="page number"/>
    <w:basedOn w:val="DefaultParagraphFont"/>
    <w:uiPriority w:val="99"/>
    <w:unhideWhenUsed/>
    <w:rsid w:val="00DB6D69"/>
  </w:style>
  <w:style w:type="table" w:styleId="TableGridLight">
    <w:name w:val="Grid Table Light"/>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semiHidden/>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semiHidden/>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character" w:styleId="CommentReference">
    <w:name w:val="annotation reference"/>
    <w:basedOn w:val="DefaultParagraphFont"/>
    <w:uiPriority w:val="99"/>
    <w:semiHidden/>
    <w:unhideWhenUsed/>
    <w:rsid w:val="00247C11"/>
    <w:rPr>
      <w:sz w:val="16"/>
      <w:szCs w:val="16"/>
    </w:rPr>
  </w:style>
  <w:style w:type="paragraph" w:styleId="CommentText">
    <w:name w:val="annotation text"/>
    <w:basedOn w:val="Normal"/>
    <w:link w:val="CommentTextChar"/>
    <w:uiPriority w:val="99"/>
    <w:unhideWhenUsed/>
    <w:rsid w:val="00247C11"/>
    <w:pPr>
      <w:spacing w:line="240" w:lineRule="auto"/>
    </w:pPr>
    <w:rPr>
      <w:sz w:val="20"/>
      <w:szCs w:val="20"/>
    </w:rPr>
  </w:style>
  <w:style w:type="character" w:customStyle="1" w:styleId="CommentTextChar">
    <w:name w:val="Comment Text Char"/>
    <w:basedOn w:val="DefaultParagraphFont"/>
    <w:link w:val="CommentText"/>
    <w:uiPriority w:val="99"/>
    <w:rsid w:val="00247C11"/>
    <w:rPr>
      <w:sz w:val="20"/>
      <w:szCs w:val="20"/>
    </w:rPr>
  </w:style>
  <w:style w:type="paragraph" w:styleId="CommentSubject">
    <w:name w:val="annotation subject"/>
    <w:basedOn w:val="CommentText"/>
    <w:next w:val="CommentText"/>
    <w:link w:val="CommentSubjectChar"/>
    <w:uiPriority w:val="99"/>
    <w:semiHidden/>
    <w:unhideWhenUsed/>
    <w:rsid w:val="00247C11"/>
    <w:rPr>
      <w:b/>
      <w:bCs/>
    </w:rPr>
  </w:style>
  <w:style w:type="character" w:customStyle="1" w:styleId="CommentSubjectChar">
    <w:name w:val="Comment Subject Char"/>
    <w:basedOn w:val="CommentTextChar"/>
    <w:link w:val="CommentSubject"/>
    <w:uiPriority w:val="99"/>
    <w:semiHidden/>
    <w:rsid w:val="00247C11"/>
    <w:rPr>
      <w:b/>
      <w:bCs/>
      <w:sz w:val="20"/>
      <w:szCs w:val="20"/>
    </w:rPr>
  </w:style>
  <w:style w:type="paragraph" w:styleId="BalloonText">
    <w:name w:val="Balloon Text"/>
    <w:basedOn w:val="Normal"/>
    <w:link w:val="BalloonTextChar"/>
    <w:uiPriority w:val="99"/>
    <w:semiHidden/>
    <w:unhideWhenUsed/>
    <w:rsid w:val="00247C1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C11"/>
    <w:rPr>
      <w:rFonts w:ascii="Segoe UI" w:hAnsi="Segoe UI" w:cs="Segoe UI"/>
      <w:sz w:val="18"/>
      <w:szCs w:val="18"/>
    </w:rPr>
  </w:style>
  <w:style w:type="paragraph" w:styleId="ListParagraph">
    <w:name w:val="List Paragraph"/>
    <w:basedOn w:val="Normal"/>
    <w:uiPriority w:val="34"/>
    <w:qFormat/>
    <w:rsid w:val="005E10A9"/>
    <w:pPr>
      <w:ind w:left="720"/>
      <w:contextualSpacing/>
    </w:pPr>
  </w:style>
  <w:style w:type="paragraph" w:styleId="Revision">
    <w:name w:val="Revision"/>
    <w:hidden/>
    <w:uiPriority w:val="99"/>
    <w:semiHidden/>
    <w:rsid w:val="004F6E32"/>
    <w:pPr>
      <w:spacing w:after="0" w:line="240" w:lineRule="auto"/>
    </w:pPr>
  </w:style>
  <w:style w:type="paragraph" w:customStyle="1" w:styleId="NumberedParagraph">
    <w:name w:val="Numbered Paragraph"/>
    <w:basedOn w:val="Normal"/>
    <w:rsid w:val="00D96F6B"/>
    <w:pPr>
      <w:numPr>
        <w:numId w:val="15"/>
      </w:numPr>
      <w:suppressAutoHyphens w:val="0"/>
      <w:spacing w:before="0" w:after="240" w:line="240" w:lineRule="atLeast"/>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E453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E4536"/>
    <w:rPr>
      <w:sz w:val="20"/>
      <w:szCs w:val="20"/>
    </w:rPr>
  </w:style>
  <w:style w:type="character" w:styleId="EndnoteReference">
    <w:name w:val="endnote reference"/>
    <w:basedOn w:val="DefaultParagraphFont"/>
    <w:uiPriority w:val="99"/>
    <w:semiHidden/>
    <w:unhideWhenUsed/>
    <w:rsid w:val="00DE4536"/>
    <w:rPr>
      <w:vertAlign w:val="superscript"/>
    </w:rPr>
  </w:style>
  <w:style w:type="paragraph" w:styleId="NormalWeb">
    <w:name w:val="Normal (Web)"/>
    <w:basedOn w:val="Normal"/>
    <w:uiPriority w:val="99"/>
    <w:unhideWhenUsed/>
    <w:rsid w:val="00DE0657"/>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59661">
      <w:bodyDiv w:val="1"/>
      <w:marLeft w:val="0"/>
      <w:marRight w:val="0"/>
      <w:marTop w:val="0"/>
      <w:marBottom w:val="0"/>
      <w:divBdr>
        <w:top w:val="none" w:sz="0" w:space="0" w:color="auto"/>
        <w:left w:val="none" w:sz="0" w:space="0" w:color="auto"/>
        <w:bottom w:val="none" w:sz="0" w:space="0" w:color="auto"/>
        <w:right w:val="none" w:sz="0" w:space="0" w:color="auto"/>
      </w:divBdr>
    </w:div>
    <w:div w:id="51462100">
      <w:bodyDiv w:val="1"/>
      <w:marLeft w:val="0"/>
      <w:marRight w:val="0"/>
      <w:marTop w:val="0"/>
      <w:marBottom w:val="0"/>
      <w:divBdr>
        <w:top w:val="none" w:sz="0" w:space="0" w:color="auto"/>
        <w:left w:val="none" w:sz="0" w:space="0" w:color="auto"/>
        <w:bottom w:val="none" w:sz="0" w:space="0" w:color="auto"/>
        <w:right w:val="none" w:sz="0" w:space="0" w:color="auto"/>
      </w:divBdr>
    </w:div>
    <w:div w:id="53508736">
      <w:bodyDiv w:val="1"/>
      <w:marLeft w:val="0"/>
      <w:marRight w:val="0"/>
      <w:marTop w:val="0"/>
      <w:marBottom w:val="0"/>
      <w:divBdr>
        <w:top w:val="none" w:sz="0" w:space="0" w:color="auto"/>
        <w:left w:val="none" w:sz="0" w:space="0" w:color="auto"/>
        <w:bottom w:val="none" w:sz="0" w:space="0" w:color="auto"/>
        <w:right w:val="none" w:sz="0" w:space="0" w:color="auto"/>
      </w:divBdr>
    </w:div>
    <w:div w:id="67191553">
      <w:bodyDiv w:val="1"/>
      <w:marLeft w:val="0"/>
      <w:marRight w:val="0"/>
      <w:marTop w:val="0"/>
      <w:marBottom w:val="0"/>
      <w:divBdr>
        <w:top w:val="none" w:sz="0" w:space="0" w:color="auto"/>
        <w:left w:val="none" w:sz="0" w:space="0" w:color="auto"/>
        <w:bottom w:val="none" w:sz="0" w:space="0" w:color="auto"/>
        <w:right w:val="none" w:sz="0" w:space="0" w:color="auto"/>
      </w:divBdr>
    </w:div>
    <w:div w:id="75127515">
      <w:bodyDiv w:val="1"/>
      <w:marLeft w:val="0"/>
      <w:marRight w:val="0"/>
      <w:marTop w:val="0"/>
      <w:marBottom w:val="0"/>
      <w:divBdr>
        <w:top w:val="none" w:sz="0" w:space="0" w:color="auto"/>
        <w:left w:val="none" w:sz="0" w:space="0" w:color="auto"/>
        <w:bottom w:val="none" w:sz="0" w:space="0" w:color="auto"/>
        <w:right w:val="none" w:sz="0" w:space="0" w:color="auto"/>
      </w:divBdr>
    </w:div>
    <w:div w:id="150872470">
      <w:bodyDiv w:val="1"/>
      <w:marLeft w:val="0"/>
      <w:marRight w:val="0"/>
      <w:marTop w:val="0"/>
      <w:marBottom w:val="0"/>
      <w:divBdr>
        <w:top w:val="none" w:sz="0" w:space="0" w:color="auto"/>
        <w:left w:val="none" w:sz="0" w:space="0" w:color="auto"/>
        <w:bottom w:val="none" w:sz="0" w:space="0" w:color="auto"/>
        <w:right w:val="none" w:sz="0" w:space="0" w:color="auto"/>
      </w:divBdr>
    </w:div>
    <w:div w:id="162285277">
      <w:bodyDiv w:val="1"/>
      <w:marLeft w:val="0"/>
      <w:marRight w:val="0"/>
      <w:marTop w:val="0"/>
      <w:marBottom w:val="0"/>
      <w:divBdr>
        <w:top w:val="none" w:sz="0" w:space="0" w:color="auto"/>
        <w:left w:val="none" w:sz="0" w:space="0" w:color="auto"/>
        <w:bottom w:val="none" w:sz="0" w:space="0" w:color="auto"/>
        <w:right w:val="none" w:sz="0" w:space="0" w:color="auto"/>
      </w:divBdr>
    </w:div>
    <w:div w:id="164781515">
      <w:bodyDiv w:val="1"/>
      <w:marLeft w:val="0"/>
      <w:marRight w:val="0"/>
      <w:marTop w:val="0"/>
      <w:marBottom w:val="0"/>
      <w:divBdr>
        <w:top w:val="none" w:sz="0" w:space="0" w:color="auto"/>
        <w:left w:val="none" w:sz="0" w:space="0" w:color="auto"/>
        <w:bottom w:val="none" w:sz="0" w:space="0" w:color="auto"/>
        <w:right w:val="none" w:sz="0" w:space="0" w:color="auto"/>
      </w:divBdr>
    </w:div>
    <w:div w:id="178813905">
      <w:bodyDiv w:val="1"/>
      <w:marLeft w:val="0"/>
      <w:marRight w:val="0"/>
      <w:marTop w:val="0"/>
      <w:marBottom w:val="0"/>
      <w:divBdr>
        <w:top w:val="none" w:sz="0" w:space="0" w:color="auto"/>
        <w:left w:val="none" w:sz="0" w:space="0" w:color="auto"/>
        <w:bottom w:val="none" w:sz="0" w:space="0" w:color="auto"/>
        <w:right w:val="none" w:sz="0" w:space="0" w:color="auto"/>
      </w:divBdr>
    </w:div>
    <w:div w:id="225723719">
      <w:bodyDiv w:val="1"/>
      <w:marLeft w:val="0"/>
      <w:marRight w:val="0"/>
      <w:marTop w:val="0"/>
      <w:marBottom w:val="0"/>
      <w:divBdr>
        <w:top w:val="none" w:sz="0" w:space="0" w:color="auto"/>
        <w:left w:val="none" w:sz="0" w:space="0" w:color="auto"/>
        <w:bottom w:val="none" w:sz="0" w:space="0" w:color="auto"/>
        <w:right w:val="none" w:sz="0" w:space="0" w:color="auto"/>
      </w:divBdr>
    </w:div>
    <w:div w:id="252864394">
      <w:bodyDiv w:val="1"/>
      <w:marLeft w:val="0"/>
      <w:marRight w:val="0"/>
      <w:marTop w:val="0"/>
      <w:marBottom w:val="0"/>
      <w:divBdr>
        <w:top w:val="none" w:sz="0" w:space="0" w:color="auto"/>
        <w:left w:val="none" w:sz="0" w:space="0" w:color="auto"/>
        <w:bottom w:val="none" w:sz="0" w:space="0" w:color="auto"/>
        <w:right w:val="none" w:sz="0" w:space="0" w:color="auto"/>
      </w:divBdr>
    </w:div>
    <w:div w:id="274338182">
      <w:bodyDiv w:val="1"/>
      <w:marLeft w:val="0"/>
      <w:marRight w:val="0"/>
      <w:marTop w:val="0"/>
      <w:marBottom w:val="0"/>
      <w:divBdr>
        <w:top w:val="none" w:sz="0" w:space="0" w:color="auto"/>
        <w:left w:val="none" w:sz="0" w:space="0" w:color="auto"/>
        <w:bottom w:val="none" w:sz="0" w:space="0" w:color="auto"/>
        <w:right w:val="none" w:sz="0" w:space="0" w:color="auto"/>
      </w:divBdr>
    </w:div>
    <w:div w:id="283389409">
      <w:bodyDiv w:val="1"/>
      <w:marLeft w:val="0"/>
      <w:marRight w:val="0"/>
      <w:marTop w:val="0"/>
      <w:marBottom w:val="0"/>
      <w:divBdr>
        <w:top w:val="none" w:sz="0" w:space="0" w:color="auto"/>
        <w:left w:val="none" w:sz="0" w:space="0" w:color="auto"/>
        <w:bottom w:val="none" w:sz="0" w:space="0" w:color="auto"/>
        <w:right w:val="none" w:sz="0" w:space="0" w:color="auto"/>
      </w:divBdr>
    </w:div>
    <w:div w:id="367879698">
      <w:bodyDiv w:val="1"/>
      <w:marLeft w:val="0"/>
      <w:marRight w:val="0"/>
      <w:marTop w:val="0"/>
      <w:marBottom w:val="0"/>
      <w:divBdr>
        <w:top w:val="none" w:sz="0" w:space="0" w:color="auto"/>
        <w:left w:val="none" w:sz="0" w:space="0" w:color="auto"/>
        <w:bottom w:val="none" w:sz="0" w:space="0" w:color="auto"/>
        <w:right w:val="none" w:sz="0" w:space="0" w:color="auto"/>
      </w:divBdr>
    </w:div>
    <w:div w:id="394477514">
      <w:bodyDiv w:val="1"/>
      <w:marLeft w:val="0"/>
      <w:marRight w:val="0"/>
      <w:marTop w:val="0"/>
      <w:marBottom w:val="0"/>
      <w:divBdr>
        <w:top w:val="none" w:sz="0" w:space="0" w:color="auto"/>
        <w:left w:val="none" w:sz="0" w:space="0" w:color="auto"/>
        <w:bottom w:val="none" w:sz="0" w:space="0" w:color="auto"/>
        <w:right w:val="none" w:sz="0" w:space="0" w:color="auto"/>
      </w:divBdr>
    </w:div>
    <w:div w:id="407191196">
      <w:bodyDiv w:val="1"/>
      <w:marLeft w:val="0"/>
      <w:marRight w:val="0"/>
      <w:marTop w:val="0"/>
      <w:marBottom w:val="0"/>
      <w:divBdr>
        <w:top w:val="none" w:sz="0" w:space="0" w:color="auto"/>
        <w:left w:val="none" w:sz="0" w:space="0" w:color="auto"/>
        <w:bottom w:val="none" w:sz="0" w:space="0" w:color="auto"/>
        <w:right w:val="none" w:sz="0" w:space="0" w:color="auto"/>
      </w:divBdr>
    </w:div>
    <w:div w:id="415399763">
      <w:bodyDiv w:val="1"/>
      <w:marLeft w:val="0"/>
      <w:marRight w:val="0"/>
      <w:marTop w:val="0"/>
      <w:marBottom w:val="0"/>
      <w:divBdr>
        <w:top w:val="none" w:sz="0" w:space="0" w:color="auto"/>
        <w:left w:val="none" w:sz="0" w:space="0" w:color="auto"/>
        <w:bottom w:val="none" w:sz="0" w:space="0" w:color="auto"/>
        <w:right w:val="none" w:sz="0" w:space="0" w:color="auto"/>
      </w:divBdr>
    </w:div>
    <w:div w:id="418405728">
      <w:bodyDiv w:val="1"/>
      <w:marLeft w:val="0"/>
      <w:marRight w:val="0"/>
      <w:marTop w:val="0"/>
      <w:marBottom w:val="0"/>
      <w:divBdr>
        <w:top w:val="none" w:sz="0" w:space="0" w:color="auto"/>
        <w:left w:val="none" w:sz="0" w:space="0" w:color="auto"/>
        <w:bottom w:val="none" w:sz="0" w:space="0" w:color="auto"/>
        <w:right w:val="none" w:sz="0" w:space="0" w:color="auto"/>
      </w:divBdr>
    </w:div>
    <w:div w:id="443959279">
      <w:bodyDiv w:val="1"/>
      <w:marLeft w:val="0"/>
      <w:marRight w:val="0"/>
      <w:marTop w:val="0"/>
      <w:marBottom w:val="0"/>
      <w:divBdr>
        <w:top w:val="none" w:sz="0" w:space="0" w:color="auto"/>
        <w:left w:val="none" w:sz="0" w:space="0" w:color="auto"/>
        <w:bottom w:val="none" w:sz="0" w:space="0" w:color="auto"/>
        <w:right w:val="none" w:sz="0" w:space="0" w:color="auto"/>
      </w:divBdr>
    </w:div>
    <w:div w:id="448284717">
      <w:bodyDiv w:val="1"/>
      <w:marLeft w:val="0"/>
      <w:marRight w:val="0"/>
      <w:marTop w:val="0"/>
      <w:marBottom w:val="0"/>
      <w:divBdr>
        <w:top w:val="none" w:sz="0" w:space="0" w:color="auto"/>
        <w:left w:val="none" w:sz="0" w:space="0" w:color="auto"/>
        <w:bottom w:val="none" w:sz="0" w:space="0" w:color="auto"/>
        <w:right w:val="none" w:sz="0" w:space="0" w:color="auto"/>
      </w:divBdr>
    </w:div>
    <w:div w:id="484778608">
      <w:bodyDiv w:val="1"/>
      <w:marLeft w:val="0"/>
      <w:marRight w:val="0"/>
      <w:marTop w:val="0"/>
      <w:marBottom w:val="0"/>
      <w:divBdr>
        <w:top w:val="none" w:sz="0" w:space="0" w:color="auto"/>
        <w:left w:val="none" w:sz="0" w:space="0" w:color="auto"/>
        <w:bottom w:val="none" w:sz="0" w:space="0" w:color="auto"/>
        <w:right w:val="none" w:sz="0" w:space="0" w:color="auto"/>
      </w:divBdr>
    </w:div>
    <w:div w:id="491339765">
      <w:bodyDiv w:val="1"/>
      <w:marLeft w:val="0"/>
      <w:marRight w:val="0"/>
      <w:marTop w:val="0"/>
      <w:marBottom w:val="0"/>
      <w:divBdr>
        <w:top w:val="none" w:sz="0" w:space="0" w:color="auto"/>
        <w:left w:val="none" w:sz="0" w:space="0" w:color="auto"/>
        <w:bottom w:val="none" w:sz="0" w:space="0" w:color="auto"/>
        <w:right w:val="none" w:sz="0" w:space="0" w:color="auto"/>
      </w:divBdr>
    </w:div>
    <w:div w:id="552887905">
      <w:bodyDiv w:val="1"/>
      <w:marLeft w:val="0"/>
      <w:marRight w:val="0"/>
      <w:marTop w:val="0"/>
      <w:marBottom w:val="0"/>
      <w:divBdr>
        <w:top w:val="none" w:sz="0" w:space="0" w:color="auto"/>
        <w:left w:val="none" w:sz="0" w:space="0" w:color="auto"/>
        <w:bottom w:val="none" w:sz="0" w:space="0" w:color="auto"/>
        <w:right w:val="none" w:sz="0" w:space="0" w:color="auto"/>
      </w:divBdr>
    </w:div>
    <w:div w:id="584339368">
      <w:bodyDiv w:val="1"/>
      <w:marLeft w:val="0"/>
      <w:marRight w:val="0"/>
      <w:marTop w:val="0"/>
      <w:marBottom w:val="0"/>
      <w:divBdr>
        <w:top w:val="none" w:sz="0" w:space="0" w:color="auto"/>
        <w:left w:val="none" w:sz="0" w:space="0" w:color="auto"/>
        <w:bottom w:val="none" w:sz="0" w:space="0" w:color="auto"/>
        <w:right w:val="none" w:sz="0" w:space="0" w:color="auto"/>
      </w:divBdr>
    </w:div>
    <w:div w:id="604272199">
      <w:bodyDiv w:val="1"/>
      <w:marLeft w:val="0"/>
      <w:marRight w:val="0"/>
      <w:marTop w:val="0"/>
      <w:marBottom w:val="0"/>
      <w:divBdr>
        <w:top w:val="none" w:sz="0" w:space="0" w:color="auto"/>
        <w:left w:val="none" w:sz="0" w:space="0" w:color="auto"/>
        <w:bottom w:val="none" w:sz="0" w:space="0" w:color="auto"/>
        <w:right w:val="none" w:sz="0" w:space="0" w:color="auto"/>
      </w:divBdr>
    </w:div>
    <w:div w:id="610086817">
      <w:bodyDiv w:val="1"/>
      <w:marLeft w:val="0"/>
      <w:marRight w:val="0"/>
      <w:marTop w:val="0"/>
      <w:marBottom w:val="0"/>
      <w:divBdr>
        <w:top w:val="none" w:sz="0" w:space="0" w:color="auto"/>
        <w:left w:val="none" w:sz="0" w:space="0" w:color="auto"/>
        <w:bottom w:val="none" w:sz="0" w:space="0" w:color="auto"/>
        <w:right w:val="none" w:sz="0" w:space="0" w:color="auto"/>
      </w:divBdr>
    </w:div>
    <w:div w:id="675497831">
      <w:bodyDiv w:val="1"/>
      <w:marLeft w:val="0"/>
      <w:marRight w:val="0"/>
      <w:marTop w:val="0"/>
      <w:marBottom w:val="0"/>
      <w:divBdr>
        <w:top w:val="none" w:sz="0" w:space="0" w:color="auto"/>
        <w:left w:val="none" w:sz="0" w:space="0" w:color="auto"/>
        <w:bottom w:val="none" w:sz="0" w:space="0" w:color="auto"/>
        <w:right w:val="none" w:sz="0" w:space="0" w:color="auto"/>
      </w:divBdr>
    </w:div>
    <w:div w:id="678583775">
      <w:bodyDiv w:val="1"/>
      <w:marLeft w:val="0"/>
      <w:marRight w:val="0"/>
      <w:marTop w:val="0"/>
      <w:marBottom w:val="0"/>
      <w:divBdr>
        <w:top w:val="none" w:sz="0" w:space="0" w:color="auto"/>
        <w:left w:val="none" w:sz="0" w:space="0" w:color="auto"/>
        <w:bottom w:val="none" w:sz="0" w:space="0" w:color="auto"/>
        <w:right w:val="none" w:sz="0" w:space="0" w:color="auto"/>
      </w:divBdr>
    </w:div>
    <w:div w:id="681516962">
      <w:bodyDiv w:val="1"/>
      <w:marLeft w:val="0"/>
      <w:marRight w:val="0"/>
      <w:marTop w:val="0"/>
      <w:marBottom w:val="0"/>
      <w:divBdr>
        <w:top w:val="none" w:sz="0" w:space="0" w:color="auto"/>
        <w:left w:val="none" w:sz="0" w:space="0" w:color="auto"/>
        <w:bottom w:val="none" w:sz="0" w:space="0" w:color="auto"/>
        <w:right w:val="none" w:sz="0" w:space="0" w:color="auto"/>
      </w:divBdr>
    </w:div>
    <w:div w:id="721905335">
      <w:bodyDiv w:val="1"/>
      <w:marLeft w:val="0"/>
      <w:marRight w:val="0"/>
      <w:marTop w:val="0"/>
      <w:marBottom w:val="0"/>
      <w:divBdr>
        <w:top w:val="none" w:sz="0" w:space="0" w:color="auto"/>
        <w:left w:val="none" w:sz="0" w:space="0" w:color="auto"/>
        <w:bottom w:val="none" w:sz="0" w:space="0" w:color="auto"/>
        <w:right w:val="none" w:sz="0" w:space="0" w:color="auto"/>
      </w:divBdr>
    </w:div>
    <w:div w:id="764501314">
      <w:bodyDiv w:val="1"/>
      <w:marLeft w:val="0"/>
      <w:marRight w:val="0"/>
      <w:marTop w:val="0"/>
      <w:marBottom w:val="0"/>
      <w:divBdr>
        <w:top w:val="none" w:sz="0" w:space="0" w:color="auto"/>
        <w:left w:val="none" w:sz="0" w:space="0" w:color="auto"/>
        <w:bottom w:val="none" w:sz="0" w:space="0" w:color="auto"/>
        <w:right w:val="none" w:sz="0" w:space="0" w:color="auto"/>
      </w:divBdr>
    </w:div>
    <w:div w:id="796800336">
      <w:bodyDiv w:val="1"/>
      <w:marLeft w:val="0"/>
      <w:marRight w:val="0"/>
      <w:marTop w:val="0"/>
      <w:marBottom w:val="0"/>
      <w:divBdr>
        <w:top w:val="none" w:sz="0" w:space="0" w:color="auto"/>
        <w:left w:val="none" w:sz="0" w:space="0" w:color="auto"/>
        <w:bottom w:val="none" w:sz="0" w:space="0" w:color="auto"/>
        <w:right w:val="none" w:sz="0" w:space="0" w:color="auto"/>
      </w:divBdr>
    </w:div>
    <w:div w:id="805509067">
      <w:bodyDiv w:val="1"/>
      <w:marLeft w:val="0"/>
      <w:marRight w:val="0"/>
      <w:marTop w:val="0"/>
      <w:marBottom w:val="0"/>
      <w:divBdr>
        <w:top w:val="none" w:sz="0" w:space="0" w:color="auto"/>
        <w:left w:val="none" w:sz="0" w:space="0" w:color="auto"/>
        <w:bottom w:val="none" w:sz="0" w:space="0" w:color="auto"/>
        <w:right w:val="none" w:sz="0" w:space="0" w:color="auto"/>
      </w:divBdr>
    </w:div>
    <w:div w:id="822548638">
      <w:bodyDiv w:val="1"/>
      <w:marLeft w:val="0"/>
      <w:marRight w:val="0"/>
      <w:marTop w:val="0"/>
      <w:marBottom w:val="0"/>
      <w:divBdr>
        <w:top w:val="none" w:sz="0" w:space="0" w:color="auto"/>
        <w:left w:val="none" w:sz="0" w:space="0" w:color="auto"/>
        <w:bottom w:val="none" w:sz="0" w:space="0" w:color="auto"/>
        <w:right w:val="none" w:sz="0" w:space="0" w:color="auto"/>
      </w:divBdr>
    </w:div>
    <w:div w:id="839078389">
      <w:bodyDiv w:val="1"/>
      <w:marLeft w:val="0"/>
      <w:marRight w:val="0"/>
      <w:marTop w:val="0"/>
      <w:marBottom w:val="0"/>
      <w:divBdr>
        <w:top w:val="none" w:sz="0" w:space="0" w:color="auto"/>
        <w:left w:val="none" w:sz="0" w:space="0" w:color="auto"/>
        <w:bottom w:val="none" w:sz="0" w:space="0" w:color="auto"/>
        <w:right w:val="none" w:sz="0" w:space="0" w:color="auto"/>
      </w:divBdr>
    </w:div>
    <w:div w:id="873468331">
      <w:bodyDiv w:val="1"/>
      <w:marLeft w:val="0"/>
      <w:marRight w:val="0"/>
      <w:marTop w:val="0"/>
      <w:marBottom w:val="0"/>
      <w:divBdr>
        <w:top w:val="none" w:sz="0" w:space="0" w:color="auto"/>
        <w:left w:val="none" w:sz="0" w:space="0" w:color="auto"/>
        <w:bottom w:val="none" w:sz="0" w:space="0" w:color="auto"/>
        <w:right w:val="none" w:sz="0" w:space="0" w:color="auto"/>
      </w:divBdr>
    </w:div>
    <w:div w:id="882257013">
      <w:bodyDiv w:val="1"/>
      <w:marLeft w:val="0"/>
      <w:marRight w:val="0"/>
      <w:marTop w:val="0"/>
      <w:marBottom w:val="0"/>
      <w:divBdr>
        <w:top w:val="none" w:sz="0" w:space="0" w:color="auto"/>
        <w:left w:val="none" w:sz="0" w:space="0" w:color="auto"/>
        <w:bottom w:val="none" w:sz="0" w:space="0" w:color="auto"/>
        <w:right w:val="none" w:sz="0" w:space="0" w:color="auto"/>
      </w:divBdr>
    </w:div>
    <w:div w:id="889154308">
      <w:bodyDiv w:val="1"/>
      <w:marLeft w:val="0"/>
      <w:marRight w:val="0"/>
      <w:marTop w:val="0"/>
      <w:marBottom w:val="0"/>
      <w:divBdr>
        <w:top w:val="none" w:sz="0" w:space="0" w:color="auto"/>
        <w:left w:val="none" w:sz="0" w:space="0" w:color="auto"/>
        <w:bottom w:val="none" w:sz="0" w:space="0" w:color="auto"/>
        <w:right w:val="none" w:sz="0" w:space="0" w:color="auto"/>
      </w:divBdr>
    </w:div>
    <w:div w:id="893584952">
      <w:bodyDiv w:val="1"/>
      <w:marLeft w:val="0"/>
      <w:marRight w:val="0"/>
      <w:marTop w:val="0"/>
      <w:marBottom w:val="0"/>
      <w:divBdr>
        <w:top w:val="none" w:sz="0" w:space="0" w:color="auto"/>
        <w:left w:val="none" w:sz="0" w:space="0" w:color="auto"/>
        <w:bottom w:val="none" w:sz="0" w:space="0" w:color="auto"/>
        <w:right w:val="none" w:sz="0" w:space="0" w:color="auto"/>
      </w:divBdr>
    </w:div>
    <w:div w:id="913323570">
      <w:bodyDiv w:val="1"/>
      <w:marLeft w:val="0"/>
      <w:marRight w:val="0"/>
      <w:marTop w:val="0"/>
      <w:marBottom w:val="0"/>
      <w:divBdr>
        <w:top w:val="none" w:sz="0" w:space="0" w:color="auto"/>
        <w:left w:val="none" w:sz="0" w:space="0" w:color="auto"/>
        <w:bottom w:val="none" w:sz="0" w:space="0" w:color="auto"/>
        <w:right w:val="none" w:sz="0" w:space="0" w:color="auto"/>
      </w:divBdr>
    </w:div>
    <w:div w:id="921375046">
      <w:bodyDiv w:val="1"/>
      <w:marLeft w:val="0"/>
      <w:marRight w:val="0"/>
      <w:marTop w:val="0"/>
      <w:marBottom w:val="0"/>
      <w:divBdr>
        <w:top w:val="none" w:sz="0" w:space="0" w:color="auto"/>
        <w:left w:val="none" w:sz="0" w:space="0" w:color="auto"/>
        <w:bottom w:val="none" w:sz="0" w:space="0" w:color="auto"/>
        <w:right w:val="none" w:sz="0" w:space="0" w:color="auto"/>
      </w:divBdr>
    </w:div>
    <w:div w:id="973170403">
      <w:bodyDiv w:val="1"/>
      <w:marLeft w:val="0"/>
      <w:marRight w:val="0"/>
      <w:marTop w:val="0"/>
      <w:marBottom w:val="0"/>
      <w:divBdr>
        <w:top w:val="none" w:sz="0" w:space="0" w:color="auto"/>
        <w:left w:val="none" w:sz="0" w:space="0" w:color="auto"/>
        <w:bottom w:val="none" w:sz="0" w:space="0" w:color="auto"/>
        <w:right w:val="none" w:sz="0" w:space="0" w:color="auto"/>
      </w:divBdr>
    </w:div>
    <w:div w:id="998390670">
      <w:bodyDiv w:val="1"/>
      <w:marLeft w:val="0"/>
      <w:marRight w:val="0"/>
      <w:marTop w:val="0"/>
      <w:marBottom w:val="0"/>
      <w:divBdr>
        <w:top w:val="none" w:sz="0" w:space="0" w:color="auto"/>
        <w:left w:val="none" w:sz="0" w:space="0" w:color="auto"/>
        <w:bottom w:val="none" w:sz="0" w:space="0" w:color="auto"/>
        <w:right w:val="none" w:sz="0" w:space="0" w:color="auto"/>
      </w:divBdr>
    </w:div>
    <w:div w:id="1057624825">
      <w:bodyDiv w:val="1"/>
      <w:marLeft w:val="0"/>
      <w:marRight w:val="0"/>
      <w:marTop w:val="0"/>
      <w:marBottom w:val="0"/>
      <w:divBdr>
        <w:top w:val="none" w:sz="0" w:space="0" w:color="auto"/>
        <w:left w:val="none" w:sz="0" w:space="0" w:color="auto"/>
        <w:bottom w:val="none" w:sz="0" w:space="0" w:color="auto"/>
        <w:right w:val="none" w:sz="0" w:space="0" w:color="auto"/>
      </w:divBdr>
    </w:div>
    <w:div w:id="1066609373">
      <w:bodyDiv w:val="1"/>
      <w:marLeft w:val="0"/>
      <w:marRight w:val="0"/>
      <w:marTop w:val="0"/>
      <w:marBottom w:val="0"/>
      <w:divBdr>
        <w:top w:val="none" w:sz="0" w:space="0" w:color="auto"/>
        <w:left w:val="none" w:sz="0" w:space="0" w:color="auto"/>
        <w:bottom w:val="none" w:sz="0" w:space="0" w:color="auto"/>
        <w:right w:val="none" w:sz="0" w:space="0" w:color="auto"/>
      </w:divBdr>
    </w:div>
    <w:div w:id="1097363577">
      <w:bodyDiv w:val="1"/>
      <w:marLeft w:val="0"/>
      <w:marRight w:val="0"/>
      <w:marTop w:val="0"/>
      <w:marBottom w:val="0"/>
      <w:divBdr>
        <w:top w:val="none" w:sz="0" w:space="0" w:color="auto"/>
        <w:left w:val="none" w:sz="0" w:space="0" w:color="auto"/>
        <w:bottom w:val="none" w:sz="0" w:space="0" w:color="auto"/>
        <w:right w:val="none" w:sz="0" w:space="0" w:color="auto"/>
      </w:divBdr>
    </w:div>
    <w:div w:id="1125268104">
      <w:bodyDiv w:val="1"/>
      <w:marLeft w:val="0"/>
      <w:marRight w:val="0"/>
      <w:marTop w:val="0"/>
      <w:marBottom w:val="0"/>
      <w:divBdr>
        <w:top w:val="none" w:sz="0" w:space="0" w:color="auto"/>
        <w:left w:val="none" w:sz="0" w:space="0" w:color="auto"/>
        <w:bottom w:val="none" w:sz="0" w:space="0" w:color="auto"/>
        <w:right w:val="none" w:sz="0" w:space="0" w:color="auto"/>
      </w:divBdr>
    </w:div>
    <w:div w:id="1125779163">
      <w:bodyDiv w:val="1"/>
      <w:marLeft w:val="0"/>
      <w:marRight w:val="0"/>
      <w:marTop w:val="0"/>
      <w:marBottom w:val="0"/>
      <w:divBdr>
        <w:top w:val="none" w:sz="0" w:space="0" w:color="auto"/>
        <w:left w:val="none" w:sz="0" w:space="0" w:color="auto"/>
        <w:bottom w:val="none" w:sz="0" w:space="0" w:color="auto"/>
        <w:right w:val="none" w:sz="0" w:space="0" w:color="auto"/>
      </w:divBdr>
    </w:div>
    <w:div w:id="1176530742">
      <w:bodyDiv w:val="1"/>
      <w:marLeft w:val="0"/>
      <w:marRight w:val="0"/>
      <w:marTop w:val="0"/>
      <w:marBottom w:val="0"/>
      <w:divBdr>
        <w:top w:val="none" w:sz="0" w:space="0" w:color="auto"/>
        <w:left w:val="none" w:sz="0" w:space="0" w:color="auto"/>
        <w:bottom w:val="none" w:sz="0" w:space="0" w:color="auto"/>
        <w:right w:val="none" w:sz="0" w:space="0" w:color="auto"/>
      </w:divBdr>
    </w:div>
    <w:div w:id="1196383046">
      <w:bodyDiv w:val="1"/>
      <w:marLeft w:val="0"/>
      <w:marRight w:val="0"/>
      <w:marTop w:val="0"/>
      <w:marBottom w:val="0"/>
      <w:divBdr>
        <w:top w:val="none" w:sz="0" w:space="0" w:color="auto"/>
        <w:left w:val="none" w:sz="0" w:space="0" w:color="auto"/>
        <w:bottom w:val="none" w:sz="0" w:space="0" w:color="auto"/>
        <w:right w:val="none" w:sz="0" w:space="0" w:color="auto"/>
      </w:divBdr>
    </w:div>
    <w:div w:id="1230387037">
      <w:bodyDiv w:val="1"/>
      <w:marLeft w:val="0"/>
      <w:marRight w:val="0"/>
      <w:marTop w:val="0"/>
      <w:marBottom w:val="0"/>
      <w:divBdr>
        <w:top w:val="none" w:sz="0" w:space="0" w:color="auto"/>
        <w:left w:val="none" w:sz="0" w:space="0" w:color="auto"/>
        <w:bottom w:val="none" w:sz="0" w:space="0" w:color="auto"/>
        <w:right w:val="none" w:sz="0" w:space="0" w:color="auto"/>
      </w:divBdr>
    </w:div>
    <w:div w:id="1230573364">
      <w:bodyDiv w:val="1"/>
      <w:marLeft w:val="0"/>
      <w:marRight w:val="0"/>
      <w:marTop w:val="0"/>
      <w:marBottom w:val="0"/>
      <w:divBdr>
        <w:top w:val="none" w:sz="0" w:space="0" w:color="auto"/>
        <w:left w:val="none" w:sz="0" w:space="0" w:color="auto"/>
        <w:bottom w:val="none" w:sz="0" w:space="0" w:color="auto"/>
        <w:right w:val="none" w:sz="0" w:space="0" w:color="auto"/>
      </w:divBdr>
    </w:div>
    <w:div w:id="1253778396">
      <w:bodyDiv w:val="1"/>
      <w:marLeft w:val="0"/>
      <w:marRight w:val="0"/>
      <w:marTop w:val="0"/>
      <w:marBottom w:val="0"/>
      <w:divBdr>
        <w:top w:val="none" w:sz="0" w:space="0" w:color="auto"/>
        <w:left w:val="none" w:sz="0" w:space="0" w:color="auto"/>
        <w:bottom w:val="none" w:sz="0" w:space="0" w:color="auto"/>
        <w:right w:val="none" w:sz="0" w:space="0" w:color="auto"/>
      </w:divBdr>
    </w:div>
    <w:div w:id="1257405132">
      <w:bodyDiv w:val="1"/>
      <w:marLeft w:val="0"/>
      <w:marRight w:val="0"/>
      <w:marTop w:val="0"/>
      <w:marBottom w:val="0"/>
      <w:divBdr>
        <w:top w:val="none" w:sz="0" w:space="0" w:color="auto"/>
        <w:left w:val="none" w:sz="0" w:space="0" w:color="auto"/>
        <w:bottom w:val="none" w:sz="0" w:space="0" w:color="auto"/>
        <w:right w:val="none" w:sz="0" w:space="0" w:color="auto"/>
      </w:divBdr>
    </w:div>
    <w:div w:id="1267884342">
      <w:bodyDiv w:val="1"/>
      <w:marLeft w:val="0"/>
      <w:marRight w:val="0"/>
      <w:marTop w:val="0"/>
      <w:marBottom w:val="0"/>
      <w:divBdr>
        <w:top w:val="none" w:sz="0" w:space="0" w:color="auto"/>
        <w:left w:val="none" w:sz="0" w:space="0" w:color="auto"/>
        <w:bottom w:val="none" w:sz="0" w:space="0" w:color="auto"/>
        <w:right w:val="none" w:sz="0" w:space="0" w:color="auto"/>
      </w:divBdr>
    </w:div>
    <w:div w:id="1297183817">
      <w:bodyDiv w:val="1"/>
      <w:marLeft w:val="0"/>
      <w:marRight w:val="0"/>
      <w:marTop w:val="0"/>
      <w:marBottom w:val="0"/>
      <w:divBdr>
        <w:top w:val="none" w:sz="0" w:space="0" w:color="auto"/>
        <w:left w:val="none" w:sz="0" w:space="0" w:color="auto"/>
        <w:bottom w:val="none" w:sz="0" w:space="0" w:color="auto"/>
        <w:right w:val="none" w:sz="0" w:space="0" w:color="auto"/>
      </w:divBdr>
    </w:div>
    <w:div w:id="1306206098">
      <w:bodyDiv w:val="1"/>
      <w:marLeft w:val="0"/>
      <w:marRight w:val="0"/>
      <w:marTop w:val="0"/>
      <w:marBottom w:val="0"/>
      <w:divBdr>
        <w:top w:val="none" w:sz="0" w:space="0" w:color="auto"/>
        <w:left w:val="none" w:sz="0" w:space="0" w:color="auto"/>
        <w:bottom w:val="none" w:sz="0" w:space="0" w:color="auto"/>
        <w:right w:val="none" w:sz="0" w:space="0" w:color="auto"/>
      </w:divBdr>
    </w:div>
    <w:div w:id="1321420219">
      <w:bodyDiv w:val="1"/>
      <w:marLeft w:val="0"/>
      <w:marRight w:val="0"/>
      <w:marTop w:val="0"/>
      <w:marBottom w:val="0"/>
      <w:divBdr>
        <w:top w:val="none" w:sz="0" w:space="0" w:color="auto"/>
        <w:left w:val="none" w:sz="0" w:space="0" w:color="auto"/>
        <w:bottom w:val="none" w:sz="0" w:space="0" w:color="auto"/>
        <w:right w:val="none" w:sz="0" w:space="0" w:color="auto"/>
      </w:divBdr>
    </w:div>
    <w:div w:id="1335644154">
      <w:bodyDiv w:val="1"/>
      <w:marLeft w:val="0"/>
      <w:marRight w:val="0"/>
      <w:marTop w:val="0"/>
      <w:marBottom w:val="0"/>
      <w:divBdr>
        <w:top w:val="none" w:sz="0" w:space="0" w:color="auto"/>
        <w:left w:val="none" w:sz="0" w:space="0" w:color="auto"/>
        <w:bottom w:val="none" w:sz="0" w:space="0" w:color="auto"/>
        <w:right w:val="none" w:sz="0" w:space="0" w:color="auto"/>
      </w:divBdr>
    </w:div>
    <w:div w:id="1358582550">
      <w:bodyDiv w:val="1"/>
      <w:marLeft w:val="0"/>
      <w:marRight w:val="0"/>
      <w:marTop w:val="0"/>
      <w:marBottom w:val="0"/>
      <w:divBdr>
        <w:top w:val="none" w:sz="0" w:space="0" w:color="auto"/>
        <w:left w:val="none" w:sz="0" w:space="0" w:color="auto"/>
        <w:bottom w:val="none" w:sz="0" w:space="0" w:color="auto"/>
        <w:right w:val="none" w:sz="0" w:space="0" w:color="auto"/>
      </w:divBdr>
    </w:div>
    <w:div w:id="1437096104">
      <w:bodyDiv w:val="1"/>
      <w:marLeft w:val="0"/>
      <w:marRight w:val="0"/>
      <w:marTop w:val="0"/>
      <w:marBottom w:val="0"/>
      <w:divBdr>
        <w:top w:val="none" w:sz="0" w:space="0" w:color="auto"/>
        <w:left w:val="none" w:sz="0" w:space="0" w:color="auto"/>
        <w:bottom w:val="none" w:sz="0" w:space="0" w:color="auto"/>
        <w:right w:val="none" w:sz="0" w:space="0" w:color="auto"/>
      </w:divBdr>
    </w:div>
    <w:div w:id="1492209027">
      <w:bodyDiv w:val="1"/>
      <w:marLeft w:val="0"/>
      <w:marRight w:val="0"/>
      <w:marTop w:val="0"/>
      <w:marBottom w:val="0"/>
      <w:divBdr>
        <w:top w:val="none" w:sz="0" w:space="0" w:color="auto"/>
        <w:left w:val="none" w:sz="0" w:space="0" w:color="auto"/>
        <w:bottom w:val="none" w:sz="0" w:space="0" w:color="auto"/>
        <w:right w:val="none" w:sz="0" w:space="0" w:color="auto"/>
      </w:divBdr>
    </w:div>
    <w:div w:id="1500348344">
      <w:bodyDiv w:val="1"/>
      <w:marLeft w:val="0"/>
      <w:marRight w:val="0"/>
      <w:marTop w:val="0"/>
      <w:marBottom w:val="0"/>
      <w:divBdr>
        <w:top w:val="none" w:sz="0" w:space="0" w:color="auto"/>
        <w:left w:val="none" w:sz="0" w:space="0" w:color="auto"/>
        <w:bottom w:val="none" w:sz="0" w:space="0" w:color="auto"/>
        <w:right w:val="none" w:sz="0" w:space="0" w:color="auto"/>
      </w:divBdr>
    </w:div>
    <w:div w:id="1562137344">
      <w:bodyDiv w:val="1"/>
      <w:marLeft w:val="0"/>
      <w:marRight w:val="0"/>
      <w:marTop w:val="0"/>
      <w:marBottom w:val="0"/>
      <w:divBdr>
        <w:top w:val="none" w:sz="0" w:space="0" w:color="auto"/>
        <w:left w:val="none" w:sz="0" w:space="0" w:color="auto"/>
        <w:bottom w:val="none" w:sz="0" w:space="0" w:color="auto"/>
        <w:right w:val="none" w:sz="0" w:space="0" w:color="auto"/>
      </w:divBdr>
    </w:div>
    <w:div w:id="1571844986">
      <w:bodyDiv w:val="1"/>
      <w:marLeft w:val="0"/>
      <w:marRight w:val="0"/>
      <w:marTop w:val="0"/>
      <w:marBottom w:val="0"/>
      <w:divBdr>
        <w:top w:val="none" w:sz="0" w:space="0" w:color="auto"/>
        <w:left w:val="none" w:sz="0" w:space="0" w:color="auto"/>
        <w:bottom w:val="none" w:sz="0" w:space="0" w:color="auto"/>
        <w:right w:val="none" w:sz="0" w:space="0" w:color="auto"/>
      </w:divBdr>
    </w:div>
    <w:div w:id="1573347445">
      <w:bodyDiv w:val="1"/>
      <w:marLeft w:val="0"/>
      <w:marRight w:val="0"/>
      <w:marTop w:val="0"/>
      <w:marBottom w:val="0"/>
      <w:divBdr>
        <w:top w:val="none" w:sz="0" w:space="0" w:color="auto"/>
        <w:left w:val="none" w:sz="0" w:space="0" w:color="auto"/>
        <w:bottom w:val="none" w:sz="0" w:space="0" w:color="auto"/>
        <w:right w:val="none" w:sz="0" w:space="0" w:color="auto"/>
      </w:divBdr>
    </w:div>
    <w:div w:id="1613513269">
      <w:bodyDiv w:val="1"/>
      <w:marLeft w:val="0"/>
      <w:marRight w:val="0"/>
      <w:marTop w:val="0"/>
      <w:marBottom w:val="0"/>
      <w:divBdr>
        <w:top w:val="none" w:sz="0" w:space="0" w:color="auto"/>
        <w:left w:val="none" w:sz="0" w:space="0" w:color="auto"/>
        <w:bottom w:val="none" w:sz="0" w:space="0" w:color="auto"/>
        <w:right w:val="none" w:sz="0" w:space="0" w:color="auto"/>
      </w:divBdr>
    </w:div>
    <w:div w:id="1620456987">
      <w:bodyDiv w:val="1"/>
      <w:marLeft w:val="0"/>
      <w:marRight w:val="0"/>
      <w:marTop w:val="0"/>
      <w:marBottom w:val="0"/>
      <w:divBdr>
        <w:top w:val="none" w:sz="0" w:space="0" w:color="auto"/>
        <w:left w:val="none" w:sz="0" w:space="0" w:color="auto"/>
        <w:bottom w:val="none" w:sz="0" w:space="0" w:color="auto"/>
        <w:right w:val="none" w:sz="0" w:space="0" w:color="auto"/>
      </w:divBdr>
    </w:div>
    <w:div w:id="1633558172">
      <w:bodyDiv w:val="1"/>
      <w:marLeft w:val="0"/>
      <w:marRight w:val="0"/>
      <w:marTop w:val="0"/>
      <w:marBottom w:val="0"/>
      <w:divBdr>
        <w:top w:val="none" w:sz="0" w:space="0" w:color="auto"/>
        <w:left w:val="none" w:sz="0" w:space="0" w:color="auto"/>
        <w:bottom w:val="none" w:sz="0" w:space="0" w:color="auto"/>
        <w:right w:val="none" w:sz="0" w:space="0" w:color="auto"/>
      </w:divBdr>
    </w:div>
    <w:div w:id="1695496470">
      <w:bodyDiv w:val="1"/>
      <w:marLeft w:val="0"/>
      <w:marRight w:val="0"/>
      <w:marTop w:val="0"/>
      <w:marBottom w:val="0"/>
      <w:divBdr>
        <w:top w:val="none" w:sz="0" w:space="0" w:color="auto"/>
        <w:left w:val="none" w:sz="0" w:space="0" w:color="auto"/>
        <w:bottom w:val="none" w:sz="0" w:space="0" w:color="auto"/>
        <w:right w:val="none" w:sz="0" w:space="0" w:color="auto"/>
      </w:divBdr>
    </w:div>
    <w:div w:id="1695811553">
      <w:bodyDiv w:val="1"/>
      <w:marLeft w:val="0"/>
      <w:marRight w:val="0"/>
      <w:marTop w:val="0"/>
      <w:marBottom w:val="0"/>
      <w:divBdr>
        <w:top w:val="none" w:sz="0" w:space="0" w:color="auto"/>
        <w:left w:val="none" w:sz="0" w:space="0" w:color="auto"/>
        <w:bottom w:val="none" w:sz="0" w:space="0" w:color="auto"/>
        <w:right w:val="none" w:sz="0" w:space="0" w:color="auto"/>
      </w:divBdr>
    </w:div>
    <w:div w:id="1710296383">
      <w:bodyDiv w:val="1"/>
      <w:marLeft w:val="0"/>
      <w:marRight w:val="0"/>
      <w:marTop w:val="0"/>
      <w:marBottom w:val="0"/>
      <w:divBdr>
        <w:top w:val="none" w:sz="0" w:space="0" w:color="auto"/>
        <w:left w:val="none" w:sz="0" w:space="0" w:color="auto"/>
        <w:bottom w:val="none" w:sz="0" w:space="0" w:color="auto"/>
        <w:right w:val="none" w:sz="0" w:space="0" w:color="auto"/>
      </w:divBdr>
    </w:div>
    <w:div w:id="1714383052">
      <w:bodyDiv w:val="1"/>
      <w:marLeft w:val="0"/>
      <w:marRight w:val="0"/>
      <w:marTop w:val="0"/>
      <w:marBottom w:val="0"/>
      <w:divBdr>
        <w:top w:val="none" w:sz="0" w:space="0" w:color="auto"/>
        <w:left w:val="none" w:sz="0" w:space="0" w:color="auto"/>
        <w:bottom w:val="none" w:sz="0" w:space="0" w:color="auto"/>
        <w:right w:val="none" w:sz="0" w:space="0" w:color="auto"/>
      </w:divBdr>
    </w:div>
    <w:div w:id="1724523281">
      <w:bodyDiv w:val="1"/>
      <w:marLeft w:val="0"/>
      <w:marRight w:val="0"/>
      <w:marTop w:val="0"/>
      <w:marBottom w:val="0"/>
      <w:divBdr>
        <w:top w:val="none" w:sz="0" w:space="0" w:color="auto"/>
        <w:left w:val="none" w:sz="0" w:space="0" w:color="auto"/>
        <w:bottom w:val="none" w:sz="0" w:space="0" w:color="auto"/>
        <w:right w:val="none" w:sz="0" w:space="0" w:color="auto"/>
      </w:divBdr>
    </w:div>
    <w:div w:id="1730810768">
      <w:bodyDiv w:val="1"/>
      <w:marLeft w:val="0"/>
      <w:marRight w:val="0"/>
      <w:marTop w:val="0"/>
      <w:marBottom w:val="0"/>
      <w:divBdr>
        <w:top w:val="none" w:sz="0" w:space="0" w:color="auto"/>
        <w:left w:val="none" w:sz="0" w:space="0" w:color="auto"/>
        <w:bottom w:val="none" w:sz="0" w:space="0" w:color="auto"/>
        <w:right w:val="none" w:sz="0" w:space="0" w:color="auto"/>
      </w:divBdr>
    </w:div>
    <w:div w:id="1780251818">
      <w:bodyDiv w:val="1"/>
      <w:marLeft w:val="0"/>
      <w:marRight w:val="0"/>
      <w:marTop w:val="0"/>
      <w:marBottom w:val="0"/>
      <w:divBdr>
        <w:top w:val="none" w:sz="0" w:space="0" w:color="auto"/>
        <w:left w:val="none" w:sz="0" w:space="0" w:color="auto"/>
        <w:bottom w:val="none" w:sz="0" w:space="0" w:color="auto"/>
        <w:right w:val="none" w:sz="0" w:space="0" w:color="auto"/>
      </w:divBdr>
    </w:div>
    <w:div w:id="1787654582">
      <w:bodyDiv w:val="1"/>
      <w:marLeft w:val="0"/>
      <w:marRight w:val="0"/>
      <w:marTop w:val="0"/>
      <w:marBottom w:val="0"/>
      <w:divBdr>
        <w:top w:val="none" w:sz="0" w:space="0" w:color="auto"/>
        <w:left w:val="none" w:sz="0" w:space="0" w:color="auto"/>
        <w:bottom w:val="none" w:sz="0" w:space="0" w:color="auto"/>
        <w:right w:val="none" w:sz="0" w:space="0" w:color="auto"/>
      </w:divBdr>
    </w:div>
    <w:div w:id="1788696426">
      <w:bodyDiv w:val="1"/>
      <w:marLeft w:val="0"/>
      <w:marRight w:val="0"/>
      <w:marTop w:val="0"/>
      <w:marBottom w:val="0"/>
      <w:divBdr>
        <w:top w:val="none" w:sz="0" w:space="0" w:color="auto"/>
        <w:left w:val="none" w:sz="0" w:space="0" w:color="auto"/>
        <w:bottom w:val="none" w:sz="0" w:space="0" w:color="auto"/>
        <w:right w:val="none" w:sz="0" w:space="0" w:color="auto"/>
      </w:divBdr>
    </w:div>
    <w:div w:id="1810509861">
      <w:bodyDiv w:val="1"/>
      <w:marLeft w:val="0"/>
      <w:marRight w:val="0"/>
      <w:marTop w:val="0"/>
      <w:marBottom w:val="0"/>
      <w:divBdr>
        <w:top w:val="none" w:sz="0" w:space="0" w:color="auto"/>
        <w:left w:val="none" w:sz="0" w:space="0" w:color="auto"/>
        <w:bottom w:val="none" w:sz="0" w:space="0" w:color="auto"/>
        <w:right w:val="none" w:sz="0" w:space="0" w:color="auto"/>
      </w:divBdr>
    </w:div>
    <w:div w:id="1830517209">
      <w:bodyDiv w:val="1"/>
      <w:marLeft w:val="0"/>
      <w:marRight w:val="0"/>
      <w:marTop w:val="0"/>
      <w:marBottom w:val="0"/>
      <w:divBdr>
        <w:top w:val="none" w:sz="0" w:space="0" w:color="auto"/>
        <w:left w:val="none" w:sz="0" w:space="0" w:color="auto"/>
        <w:bottom w:val="none" w:sz="0" w:space="0" w:color="auto"/>
        <w:right w:val="none" w:sz="0" w:space="0" w:color="auto"/>
      </w:divBdr>
    </w:div>
    <w:div w:id="1898738264">
      <w:bodyDiv w:val="1"/>
      <w:marLeft w:val="0"/>
      <w:marRight w:val="0"/>
      <w:marTop w:val="0"/>
      <w:marBottom w:val="0"/>
      <w:divBdr>
        <w:top w:val="none" w:sz="0" w:space="0" w:color="auto"/>
        <w:left w:val="none" w:sz="0" w:space="0" w:color="auto"/>
        <w:bottom w:val="none" w:sz="0" w:space="0" w:color="auto"/>
        <w:right w:val="none" w:sz="0" w:space="0" w:color="auto"/>
      </w:divBdr>
    </w:div>
    <w:div w:id="1904676892">
      <w:bodyDiv w:val="1"/>
      <w:marLeft w:val="0"/>
      <w:marRight w:val="0"/>
      <w:marTop w:val="0"/>
      <w:marBottom w:val="0"/>
      <w:divBdr>
        <w:top w:val="none" w:sz="0" w:space="0" w:color="auto"/>
        <w:left w:val="none" w:sz="0" w:space="0" w:color="auto"/>
        <w:bottom w:val="none" w:sz="0" w:space="0" w:color="auto"/>
        <w:right w:val="none" w:sz="0" w:space="0" w:color="auto"/>
      </w:divBdr>
    </w:div>
    <w:div w:id="1927567989">
      <w:bodyDiv w:val="1"/>
      <w:marLeft w:val="0"/>
      <w:marRight w:val="0"/>
      <w:marTop w:val="0"/>
      <w:marBottom w:val="0"/>
      <w:divBdr>
        <w:top w:val="none" w:sz="0" w:space="0" w:color="auto"/>
        <w:left w:val="none" w:sz="0" w:space="0" w:color="auto"/>
        <w:bottom w:val="none" w:sz="0" w:space="0" w:color="auto"/>
        <w:right w:val="none" w:sz="0" w:space="0" w:color="auto"/>
      </w:divBdr>
    </w:div>
    <w:div w:id="1940791214">
      <w:bodyDiv w:val="1"/>
      <w:marLeft w:val="0"/>
      <w:marRight w:val="0"/>
      <w:marTop w:val="0"/>
      <w:marBottom w:val="0"/>
      <w:divBdr>
        <w:top w:val="none" w:sz="0" w:space="0" w:color="auto"/>
        <w:left w:val="none" w:sz="0" w:space="0" w:color="auto"/>
        <w:bottom w:val="none" w:sz="0" w:space="0" w:color="auto"/>
        <w:right w:val="none" w:sz="0" w:space="0" w:color="auto"/>
      </w:divBdr>
    </w:div>
    <w:div w:id="197370657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99309609">
      <w:bodyDiv w:val="1"/>
      <w:marLeft w:val="0"/>
      <w:marRight w:val="0"/>
      <w:marTop w:val="0"/>
      <w:marBottom w:val="0"/>
      <w:divBdr>
        <w:top w:val="none" w:sz="0" w:space="0" w:color="auto"/>
        <w:left w:val="none" w:sz="0" w:space="0" w:color="auto"/>
        <w:bottom w:val="none" w:sz="0" w:space="0" w:color="auto"/>
        <w:right w:val="none" w:sz="0" w:space="0" w:color="auto"/>
      </w:divBdr>
    </w:div>
    <w:div w:id="2001226002">
      <w:bodyDiv w:val="1"/>
      <w:marLeft w:val="0"/>
      <w:marRight w:val="0"/>
      <w:marTop w:val="0"/>
      <w:marBottom w:val="0"/>
      <w:divBdr>
        <w:top w:val="none" w:sz="0" w:space="0" w:color="auto"/>
        <w:left w:val="none" w:sz="0" w:space="0" w:color="auto"/>
        <w:bottom w:val="none" w:sz="0" w:space="0" w:color="auto"/>
        <w:right w:val="none" w:sz="0" w:space="0" w:color="auto"/>
      </w:divBdr>
    </w:div>
    <w:div w:id="2034072979">
      <w:bodyDiv w:val="1"/>
      <w:marLeft w:val="0"/>
      <w:marRight w:val="0"/>
      <w:marTop w:val="0"/>
      <w:marBottom w:val="0"/>
      <w:divBdr>
        <w:top w:val="none" w:sz="0" w:space="0" w:color="auto"/>
        <w:left w:val="none" w:sz="0" w:space="0" w:color="auto"/>
        <w:bottom w:val="none" w:sz="0" w:space="0" w:color="auto"/>
        <w:right w:val="none" w:sz="0" w:space="0" w:color="auto"/>
      </w:divBdr>
    </w:div>
    <w:div w:id="2106421488">
      <w:bodyDiv w:val="1"/>
      <w:marLeft w:val="0"/>
      <w:marRight w:val="0"/>
      <w:marTop w:val="0"/>
      <w:marBottom w:val="0"/>
      <w:divBdr>
        <w:top w:val="none" w:sz="0" w:space="0" w:color="auto"/>
        <w:left w:val="none" w:sz="0" w:space="0" w:color="auto"/>
        <w:bottom w:val="none" w:sz="0" w:space="0" w:color="auto"/>
        <w:right w:val="none" w:sz="0" w:space="0" w:color="auto"/>
      </w:divBdr>
    </w:div>
    <w:div w:id="214191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cid:image001.png@01D62AD7.74C0195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inance 1 Blue">
  <a:themeElements>
    <a:clrScheme name="Finance - Blue">
      <a:dk1>
        <a:sysClr val="windowText" lastClr="000000"/>
      </a:dk1>
      <a:lt1>
        <a:sysClr val="window" lastClr="FFFFFF"/>
      </a:lt1>
      <a:dk2>
        <a:srgbClr val="1C1C1C"/>
      </a:dk2>
      <a:lt2>
        <a:srgbClr val="E2E3E2"/>
      </a:lt2>
      <a:accent1>
        <a:srgbClr val="BDDCDF"/>
      </a:accent1>
      <a:accent2>
        <a:srgbClr val="92C5C5"/>
      </a:accent2>
      <a:accent3>
        <a:srgbClr val="19806D"/>
      </a:accent3>
      <a:accent4>
        <a:srgbClr val="C94A2C"/>
      </a:accent4>
      <a:accent5>
        <a:srgbClr val="645493"/>
      </a:accent5>
      <a:accent6>
        <a:srgbClr val="E8B6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4B0EA-DBD8-4F1E-8A01-C90D1B27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6063</Words>
  <Characters>34561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Australian Government Office Occupancy Report</dc:title>
  <dc:subject/>
  <dc:creator/>
  <cp:keywords/>
  <dc:description/>
  <cp:lastModifiedBy/>
  <cp:revision>1</cp:revision>
  <dcterms:created xsi:type="dcterms:W3CDTF">2020-06-19T04:25:00Z</dcterms:created>
  <dcterms:modified xsi:type="dcterms:W3CDTF">2020-06-29T03:59:00Z</dcterms:modified>
  <cp:contentStatus/>
</cp:coreProperties>
</file>