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83" w:rsidRPr="00740C18" w:rsidRDefault="00685683" w:rsidP="00685683">
      <w:pPr>
        <w:pStyle w:val="NumberedParagraph"/>
        <w:numPr>
          <w:ilvl w:val="0"/>
          <w:numId w:val="0"/>
        </w:numPr>
        <w:tabs>
          <w:tab w:val="left" w:pos="720"/>
        </w:tabs>
        <w:spacing w:after="0" w:line="240" w:lineRule="auto"/>
        <w:jc w:val="center"/>
        <w:rPr>
          <w:b/>
        </w:rPr>
      </w:pPr>
      <w:bookmarkStart w:id="0" w:name="_GoBack"/>
      <w:bookmarkEnd w:id="0"/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Engagement of Independent Reviewer - Terms of Reference</w:t>
      </w:r>
    </w:p>
    <w:p w:rsidR="00D56287" w:rsidRDefault="00D56287" w:rsidP="000E6987">
      <w:pPr>
        <w:rPr>
          <w:rFonts w:asciiTheme="majorHAnsi" w:hAnsiTheme="majorHAnsi"/>
          <w:b/>
        </w:rPr>
      </w:pPr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Context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 w:rsidRPr="00DA5E2E">
        <w:rPr>
          <w:rFonts w:asciiTheme="majorHAnsi" w:hAnsiTheme="majorHAnsi"/>
        </w:rPr>
        <w:t xml:space="preserve">The Australian </w:t>
      </w:r>
      <w:r>
        <w:rPr>
          <w:rFonts w:asciiTheme="majorHAnsi" w:hAnsiTheme="majorHAnsi"/>
        </w:rPr>
        <w:t>P</w:t>
      </w:r>
      <w:r w:rsidRPr="00DA5E2E">
        <w:rPr>
          <w:rFonts w:asciiTheme="majorHAnsi" w:hAnsiTheme="majorHAnsi"/>
        </w:rPr>
        <w:t xml:space="preserve">ublic </w:t>
      </w:r>
      <w:r>
        <w:rPr>
          <w:rFonts w:asciiTheme="majorHAnsi" w:hAnsiTheme="majorHAnsi"/>
        </w:rPr>
        <w:t>Service</w:t>
      </w:r>
      <w:r w:rsidRPr="00DA5E2E">
        <w:rPr>
          <w:rFonts w:asciiTheme="majorHAnsi" w:hAnsiTheme="majorHAnsi"/>
        </w:rPr>
        <w:t xml:space="preserve"> needs to be more agile and responsive to the needs of government and the public, by developing a culture of risk management rather than regulation. </w:t>
      </w:r>
      <w:r>
        <w:rPr>
          <w:rFonts w:asciiTheme="majorHAnsi" w:hAnsiTheme="majorHAnsi"/>
        </w:rPr>
        <w:t xml:space="preserve">The current state of regulation imposed on Commonwealth entities is an obstacle to the public service making this transformation. </w:t>
      </w:r>
    </w:p>
    <w:p w:rsidR="000E6987" w:rsidRDefault="000E6987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part of addressing the problem, an Independent Reviewer will be engaged to assess the need for, and impact of regulations imposed on Commonwealth entities, in particular, non-corporate Commonwealth entities that engage staff under the </w:t>
      </w:r>
      <w:r w:rsidRPr="00303C2F">
        <w:rPr>
          <w:rFonts w:asciiTheme="majorHAnsi" w:hAnsiTheme="majorHAnsi"/>
          <w:i/>
        </w:rPr>
        <w:t>Public Service Act 1999</w:t>
      </w:r>
      <w:r>
        <w:rPr>
          <w:rFonts w:asciiTheme="majorHAnsi" w:hAnsiTheme="majorHAnsi"/>
          <w:i/>
        </w:rPr>
        <w:t xml:space="preserve"> </w:t>
      </w:r>
      <w:r w:rsidRPr="00303C2F">
        <w:rPr>
          <w:rFonts w:asciiTheme="majorHAnsi" w:hAnsiTheme="majorHAnsi"/>
        </w:rPr>
        <w:t>(entities)</w:t>
      </w:r>
      <w:r w:rsidRPr="00B354B4">
        <w:rPr>
          <w:rFonts w:asciiTheme="majorHAnsi" w:hAnsiTheme="majorHAnsi"/>
        </w:rPr>
        <w:t>.</w:t>
      </w:r>
    </w:p>
    <w:p w:rsidR="000E6987" w:rsidRDefault="000E6987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Regulation can be set in many ways – by Parliament, through legislation; by central agencies; and by agencies </w:t>
      </w:r>
      <w:r w:rsidR="00B5708D">
        <w:rPr>
          <w:rFonts w:asciiTheme="majorHAnsi" w:hAnsiTheme="majorHAnsi"/>
        </w:rPr>
        <w:t xml:space="preserve">practices </w:t>
      </w:r>
      <w:r>
        <w:rPr>
          <w:rFonts w:asciiTheme="majorHAnsi" w:hAnsiTheme="majorHAnsi"/>
        </w:rPr>
        <w:t xml:space="preserve">themselves. Each source of potentially inefficient regulation is in scope for </w:t>
      </w:r>
      <w:r w:rsidR="00B238E6">
        <w:rPr>
          <w:rFonts w:asciiTheme="majorHAnsi" w:hAnsiTheme="majorHAnsi"/>
        </w:rPr>
        <w:t>Review</w:t>
      </w:r>
      <w:r>
        <w:rPr>
          <w:rFonts w:asciiTheme="majorHAnsi" w:hAnsiTheme="majorHAnsi"/>
        </w:rPr>
        <w:t xml:space="preserve">. </w:t>
      </w:r>
    </w:p>
    <w:p w:rsidR="000E6987" w:rsidRDefault="000E6987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341272">
        <w:rPr>
          <w:rFonts w:asciiTheme="majorHAnsi" w:hAnsiTheme="majorHAnsi"/>
          <w:i/>
        </w:rPr>
        <w:t>Public Governance, Performance and Accountability Act 2013 (PGPA Act)</w:t>
      </w:r>
      <w:r>
        <w:rPr>
          <w:rFonts w:asciiTheme="majorHAnsi" w:hAnsiTheme="majorHAnsi"/>
        </w:rPr>
        <w:t xml:space="preserve"> implemented a significant shift in public sector governance, incorporating a requirement for accountable authorities to manage risk, and giving them more power to set their own operational requirements, based on a risk managed approach, for example in relation to the commitment of relevant money and drawing rights of appropriations.  </w:t>
      </w:r>
    </w:p>
    <w:p w:rsidR="000E6987" w:rsidRDefault="000E6987" w:rsidP="000E6987">
      <w:pPr>
        <w:rPr>
          <w:rFonts w:asciiTheme="majorHAnsi" w:hAnsiTheme="majorHAnsi"/>
          <w:b/>
        </w:rPr>
      </w:pPr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Objective</w:t>
      </w:r>
    </w:p>
    <w:p w:rsidR="000E6987" w:rsidRDefault="000E6987" w:rsidP="000E6987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To:</w:t>
      </w:r>
    </w:p>
    <w:p w:rsidR="000E6987" w:rsidRPr="0082046C" w:rsidRDefault="000E6987" w:rsidP="000E6987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</w:rPr>
      </w:pPr>
      <w:r w:rsidRPr="0082046C">
        <w:rPr>
          <w:rFonts w:asciiTheme="majorHAnsi" w:hAnsiTheme="majorHAnsi"/>
        </w:rPr>
        <w:t xml:space="preserve">identify regulations that can be ceased or modified; </w:t>
      </w:r>
    </w:p>
    <w:p w:rsidR="000E6987" w:rsidRPr="00AC4A95" w:rsidRDefault="000E6987" w:rsidP="000E6987">
      <w:pPr>
        <w:pStyle w:val="ListParagraph"/>
        <w:numPr>
          <w:ilvl w:val="0"/>
          <w:numId w:val="30"/>
        </w:numPr>
        <w:spacing w:after="120" w:line="276" w:lineRule="auto"/>
        <w:rPr>
          <w:rFonts w:asciiTheme="majorHAnsi" w:hAnsiTheme="majorHAnsi"/>
        </w:rPr>
      </w:pPr>
      <w:r w:rsidRPr="0082046C">
        <w:rPr>
          <w:rFonts w:asciiTheme="majorHAnsi" w:hAnsiTheme="majorHAnsi"/>
        </w:rPr>
        <w:t>assess the need for, and impact of</w:t>
      </w:r>
      <w:r>
        <w:rPr>
          <w:rFonts w:asciiTheme="majorHAnsi" w:hAnsiTheme="majorHAnsi"/>
        </w:rPr>
        <w:t>,</w:t>
      </w:r>
      <w:r w:rsidRPr="0082046C">
        <w:rPr>
          <w:rFonts w:asciiTheme="majorHAnsi" w:hAnsiTheme="majorHAnsi"/>
        </w:rPr>
        <w:t xml:space="preserve"> regulations against a set of common principle</w:t>
      </w:r>
      <w:r w:rsidRPr="00AC4A95">
        <w:rPr>
          <w:rFonts w:asciiTheme="majorHAnsi" w:hAnsiTheme="majorHAnsi"/>
        </w:rPr>
        <w:t>s</w:t>
      </w:r>
      <w:r w:rsidR="007F2C89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:rsidR="000E6987" w:rsidRPr="00AC4A95" w:rsidRDefault="000E6987" w:rsidP="000E698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HAnsi" w:hAnsiTheme="majorHAnsi"/>
        </w:rPr>
      </w:pPr>
      <w:r w:rsidRPr="00AC4A95">
        <w:rPr>
          <w:rFonts w:asciiTheme="majorHAnsi" w:hAnsiTheme="majorHAnsi"/>
        </w:rPr>
        <w:t>recommend minimum level</w:t>
      </w:r>
      <w:r>
        <w:rPr>
          <w:rFonts w:asciiTheme="majorHAnsi" w:hAnsiTheme="majorHAnsi"/>
        </w:rPr>
        <w:t>s</w:t>
      </w:r>
      <w:r w:rsidRPr="00AC4A95">
        <w:rPr>
          <w:rFonts w:asciiTheme="majorHAnsi" w:hAnsiTheme="majorHAnsi"/>
        </w:rPr>
        <w:t xml:space="preserve"> of regulation required for entities to meet the needs of government and the public;</w:t>
      </w:r>
      <w:r>
        <w:rPr>
          <w:rFonts w:asciiTheme="majorHAnsi" w:hAnsiTheme="majorHAnsi"/>
        </w:rPr>
        <w:t xml:space="preserve"> and</w:t>
      </w:r>
    </w:p>
    <w:p w:rsidR="000E6987" w:rsidRDefault="000E6987" w:rsidP="000E698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HAnsi" w:hAnsiTheme="majorHAnsi"/>
        </w:rPr>
      </w:pPr>
      <w:r w:rsidRPr="00AC4A95">
        <w:rPr>
          <w:rFonts w:asciiTheme="majorHAnsi" w:hAnsiTheme="majorHAnsi"/>
        </w:rPr>
        <w:t xml:space="preserve">assess the culture of Departments </w:t>
      </w:r>
      <w:r>
        <w:rPr>
          <w:rFonts w:asciiTheme="majorHAnsi" w:hAnsiTheme="majorHAnsi"/>
        </w:rPr>
        <w:t xml:space="preserve"> and selected entities  </w:t>
      </w:r>
      <w:r w:rsidRPr="00AC4A95">
        <w:rPr>
          <w:rFonts w:asciiTheme="majorHAnsi" w:hAnsiTheme="majorHAnsi"/>
        </w:rPr>
        <w:t>with regards to the creation and removal of self imposed requirements</w:t>
      </w:r>
      <w:r>
        <w:rPr>
          <w:rFonts w:asciiTheme="majorHAnsi" w:hAnsiTheme="majorHAnsi"/>
        </w:rPr>
        <w:t>;</w:t>
      </w:r>
      <w:r w:rsidRPr="00716E30">
        <w:rPr>
          <w:rFonts w:asciiTheme="majorHAnsi" w:hAnsiTheme="majorHAnsi"/>
        </w:rPr>
        <w:t xml:space="preserve"> make recommendations</w:t>
      </w:r>
      <w:r w:rsidRPr="00AC4A95">
        <w:rPr>
          <w:rFonts w:asciiTheme="majorHAnsi" w:hAnsiTheme="majorHAnsi"/>
        </w:rPr>
        <w:t xml:space="preserve"> if cultural changes need to take place</w:t>
      </w:r>
      <w:r>
        <w:rPr>
          <w:rFonts w:asciiTheme="majorHAnsi" w:hAnsiTheme="majorHAnsi"/>
        </w:rPr>
        <w:t xml:space="preserve"> proportional to the risk tolerance of an agency; and </w:t>
      </w:r>
      <w:r w:rsidRPr="00716E30">
        <w:rPr>
          <w:rFonts w:asciiTheme="majorHAnsi" w:hAnsiTheme="majorHAnsi"/>
        </w:rPr>
        <w:t>identify characteristics</w:t>
      </w:r>
      <w:r>
        <w:rPr>
          <w:rFonts w:asciiTheme="majorHAnsi" w:hAnsiTheme="majorHAnsi"/>
        </w:rPr>
        <w:t xml:space="preserve"> and examples of good culture and practice.</w:t>
      </w:r>
    </w:p>
    <w:p w:rsidR="000E6987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Scope</w:t>
      </w: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>The review will be able to draw upon the following: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 w:rsidRPr="00353360">
        <w:rPr>
          <w:rFonts w:asciiTheme="majorHAnsi" w:hAnsiTheme="majorHAnsi"/>
        </w:rPr>
        <w:t>2015 Deloitte Stocktake</w:t>
      </w:r>
      <w:r>
        <w:rPr>
          <w:rFonts w:asciiTheme="majorHAnsi" w:hAnsiTheme="majorHAnsi"/>
        </w:rPr>
        <w:t xml:space="preserve"> which is currently underway;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Library of Obligations developed by the Australian Tax Office;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reviews undertaken by the Efficiency Working Group;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Contestability Reviews;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Capability Reviews;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internal reviews that Departments are conducting on their own internal requirements; and</w:t>
      </w:r>
    </w:p>
    <w:p w:rsidR="000E6987" w:rsidRPr="00353360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interviews with senior officers. </w:t>
      </w: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>Regulations are requirements that are mandatory for all or most entities, or guidance, practice or procedure that is treated as such.</w:t>
      </w:r>
    </w:p>
    <w:p w:rsidR="008667FD" w:rsidRDefault="008667FD" w:rsidP="000E6987">
      <w:pPr>
        <w:rPr>
          <w:rFonts w:asciiTheme="majorHAnsi" w:hAnsiTheme="majorHAnsi"/>
          <w:b/>
        </w:rPr>
      </w:pPr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Methodology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>The over-arching principle for the Review is that regulators prove that regulation is need</w:t>
      </w:r>
      <w:r w:rsidR="00B238E6">
        <w:rPr>
          <w:rFonts w:asciiTheme="majorHAnsi" w:hAnsiTheme="majorHAnsi"/>
        </w:rPr>
        <w:t>ed</w:t>
      </w:r>
      <w:r>
        <w:rPr>
          <w:rFonts w:asciiTheme="majorHAnsi" w:hAnsiTheme="majorHAnsi"/>
        </w:rPr>
        <w:t>.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objectives of the </w:t>
      </w:r>
      <w:r w:rsidR="00B238E6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eview will be achieved through interviews with </w:t>
      </w:r>
      <w:r w:rsidR="00B238E6">
        <w:rPr>
          <w:rFonts w:asciiTheme="majorHAnsi" w:hAnsiTheme="majorHAnsi"/>
        </w:rPr>
        <w:t xml:space="preserve">nominated </w:t>
      </w:r>
      <w:r>
        <w:rPr>
          <w:rFonts w:asciiTheme="majorHAnsi" w:hAnsiTheme="majorHAnsi"/>
        </w:rPr>
        <w:t xml:space="preserve">entities, in particular key staff (such as Chief Operating Officers) and senior people in each Department responsible for regulatory processes and reporting, and input from the Deloitte stocktake. The </w:t>
      </w:r>
      <w:r w:rsidR="00B238E6">
        <w:rPr>
          <w:rFonts w:asciiTheme="majorHAnsi" w:hAnsiTheme="majorHAnsi"/>
        </w:rPr>
        <w:t>R</w:t>
      </w:r>
      <w:r>
        <w:rPr>
          <w:rFonts w:asciiTheme="majorHAnsi" w:hAnsiTheme="majorHAnsi"/>
        </w:rPr>
        <w:t>eview may also wish to seek submissions, and the work being undertaken by departments to examine the red tape they impose on themselves.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B238E6">
        <w:rPr>
          <w:rFonts w:asciiTheme="majorHAnsi" w:hAnsiTheme="majorHAnsi"/>
        </w:rPr>
        <w:t>R</w:t>
      </w:r>
      <w:r>
        <w:rPr>
          <w:rFonts w:asciiTheme="majorHAnsi" w:hAnsiTheme="majorHAnsi"/>
        </w:rPr>
        <w:t>eview may also draw on feedback from and conversations with the Deputy Secretary Working Group on Internal Red Tape, the Secretaries Sub-Committee on Transformation and the Secretaries Board.</w:t>
      </w:r>
      <w:r w:rsidRPr="00B017B8">
        <w:rPr>
          <w:rFonts w:asciiTheme="majorHAnsi" w:hAnsiTheme="majorHAnsi"/>
        </w:rPr>
        <w:t xml:space="preserve"> 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Pr="00D53C6A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B238E6">
        <w:rPr>
          <w:rFonts w:asciiTheme="majorHAnsi" w:hAnsiTheme="majorHAnsi"/>
        </w:rPr>
        <w:t>R</w:t>
      </w:r>
      <w:r>
        <w:rPr>
          <w:rFonts w:asciiTheme="majorHAnsi" w:hAnsiTheme="majorHAnsi"/>
        </w:rPr>
        <w:t>eview will provide a progress report to the Secretaries Sub-Committee in June 2015.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Pr="00D53C6A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>If required, the R</w:t>
      </w:r>
      <w:r w:rsidRPr="00D53C6A">
        <w:rPr>
          <w:rFonts w:asciiTheme="majorHAnsi" w:hAnsiTheme="majorHAnsi"/>
        </w:rPr>
        <w:t>eviewer will be supported by a team within the Department of Finance, along with support from AGD, PM&amp;C and</w:t>
      </w:r>
      <w:r>
        <w:rPr>
          <w:rFonts w:asciiTheme="majorHAnsi" w:hAnsiTheme="majorHAnsi"/>
        </w:rPr>
        <w:t xml:space="preserve"> APSC. </w:t>
      </w:r>
    </w:p>
    <w:p w:rsidR="008667FD" w:rsidRDefault="008667FD" w:rsidP="000E6987">
      <w:pPr>
        <w:rPr>
          <w:rFonts w:asciiTheme="majorHAnsi" w:hAnsiTheme="majorHAnsi"/>
          <w:b/>
        </w:rPr>
      </w:pPr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Deliverables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Reviewer will report to the Secretaries Board between July and August 2015. </w:t>
      </w:r>
    </w:p>
    <w:p w:rsidR="0004183F" w:rsidRDefault="0004183F" w:rsidP="000E6987">
      <w:pPr>
        <w:rPr>
          <w:rFonts w:asciiTheme="majorHAnsi" w:hAnsiTheme="majorHAnsi"/>
        </w:rPr>
      </w:pPr>
    </w:p>
    <w:p w:rsidR="000E6987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B238E6">
        <w:rPr>
          <w:rFonts w:asciiTheme="majorHAnsi" w:hAnsiTheme="majorHAnsi"/>
        </w:rPr>
        <w:t>R</w:t>
      </w:r>
      <w:r>
        <w:rPr>
          <w:rFonts w:asciiTheme="majorHAnsi" w:hAnsiTheme="majorHAnsi"/>
        </w:rPr>
        <w:t>eview will: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critically assess current regulatory arrangements;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recommend the cessation, modification or retention of large blocks of regulation;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indentify opportunities to make structural and cultural improvements in relation to risk management with reference to good practice observed during the review; and</w:t>
      </w:r>
    </w:p>
    <w:p w:rsidR="000E6987" w:rsidRDefault="000E6987" w:rsidP="000E6987">
      <w:pPr>
        <w:pStyle w:val="ListParagraph"/>
        <w:numPr>
          <w:ilvl w:val="0"/>
          <w:numId w:val="2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set out factors /principles that influence the creation and removal of regulations into the future.</w:t>
      </w:r>
    </w:p>
    <w:p w:rsidR="0004183F" w:rsidRPr="0004183F" w:rsidRDefault="007F75AD" w:rsidP="0004183F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progress and final report will be for official use only.</w:t>
      </w:r>
    </w:p>
    <w:p w:rsidR="000E6987" w:rsidRPr="00D53C6A" w:rsidRDefault="000E6987" w:rsidP="000E6987">
      <w:pPr>
        <w:rPr>
          <w:rFonts w:asciiTheme="majorHAnsi" w:hAnsiTheme="majorHAnsi"/>
          <w:b/>
        </w:rPr>
      </w:pPr>
      <w:r w:rsidRPr="00D53C6A">
        <w:rPr>
          <w:rFonts w:asciiTheme="majorHAnsi" w:hAnsiTheme="majorHAnsi"/>
          <w:b/>
        </w:rPr>
        <w:t>Engagement Strategy</w:t>
      </w:r>
    </w:p>
    <w:p w:rsidR="008667FD" w:rsidRDefault="008667FD" w:rsidP="000E6987">
      <w:pPr>
        <w:rPr>
          <w:rFonts w:asciiTheme="majorHAnsi" w:hAnsiTheme="majorHAnsi"/>
        </w:rPr>
      </w:pPr>
    </w:p>
    <w:p w:rsidR="000E6987" w:rsidRPr="00D53C6A" w:rsidRDefault="000E6987" w:rsidP="000E6987">
      <w:pPr>
        <w:rPr>
          <w:rFonts w:asciiTheme="majorHAnsi" w:hAnsiTheme="majorHAnsi"/>
        </w:rPr>
      </w:pPr>
      <w:r>
        <w:rPr>
          <w:rFonts w:asciiTheme="majorHAnsi" w:hAnsiTheme="majorHAnsi"/>
        </w:rPr>
        <w:t>In carrying out its work the R</w:t>
      </w:r>
      <w:r w:rsidRPr="00D53C6A">
        <w:rPr>
          <w:rFonts w:asciiTheme="majorHAnsi" w:hAnsiTheme="majorHAnsi"/>
        </w:rPr>
        <w:t>eview</w:t>
      </w:r>
      <w:r>
        <w:rPr>
          <w:rFonts w:asciiTheme="majorHAnsi" w:hAnsiTheme="majorHAnsi"/>
        </w:rPr>
        <w:t>er</w:t>
      </w:r>
      <w:r w:rsidRPr="00D53C6A">
        <w:rPr>
          <w:rFonts w:asciiTheme="majorHAnsi" w:hAnsiTheme="majorHAnsi"/>
        </w:rPr>
        <w:t xml:space="preserve"> will consult key stakeholders, and may invite submissions.</w:t>
      </w:r>
    </w:p>
    <w:p w:rsidR="000E6987" w:rsidRPr="00D53C6A" w:rsidRDefault="000E6987" w:rsidP="000E6987">
      <w:pPr>
        <w:rPr>
          <w:rFonts w:asciiTheme="majorHAnsi" w:hAnsiTheme="majorHAnsi"/>
        </w:rPr>
      </w:pPr>
    </w:p>
    <w:p w:rsidR="00D56287" w:rsidRDefault="00D56287" w:rsidP="00D56287">
      <w:pPr>
        <w:rPr>
          <w:b/>
        </w:rPr>
      </w:pPr>
      <w:r>
        <w:br w:type="column"/>
      </w:r>
      <w:r w:rsidRPr="000E5E34">
        <w:rPr>
          <w:b/>
        </w:rPr>
        <w:lastRenderedPageBreak/>
        <w:t>Draft Principles – Internal Regulation</w:t>
      </w:r>
    </w:p>
    <w:p w:rsidR="00D56287" w:rsidRDefault="00A8652A" w:rsidP="00D56287"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-464820</wp:posOffset>
                </wp:positionV>
                <wp:extent cx="1711960" cy="499745"/>
                <wp:effectExtent l="635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BA" w:rsidRDefault="00F376BA" w:rsidP="00F376BA">
                            <w:r>
                              <w:t>ATTACHMENT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-36.6pt;width:134.8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HgQ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" stroked="f">
                <v:textbox>
                  <w:txbxContent>
                    <w:p w:rsidR="00F376BA" w:rsidRDefault="00F376BA" w:rsidP="00F376BA">
                      <w:r>
                        <w:t>ATTACHMENT A</w:t>
                      </w:r>
                    </w:p>
                  </w:txbxContent>
                </v:textbox>
              </v:shape>
            </w:pict>
          </mc:Fallback>
        </mc:AlternateContent>
      </w:r>
      <w:r w:rsidR="00D56287">
        <w:t>Internal public sector regulation should be:</w:t>
      </w:r>
    </w:p>
    <w:p w:rsidR="00D56287" w:rsidRDefault="00D56287" w:rsidP="00D56287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The </w:t>
      </w:r>
      <w:r w:rsidRPr="000A06C0">
        <w:rPr>
          <w:u w:val="single"/>
        </w:rPr>
        <w:t xml:space="preserve">minimum </w:t>
      </w:r>
      <w:r>
        <w:t>needed to achieve the public sector the Government wants</w:t>
      </w:r>
    </w:p>
    <w:p w:rsidR="00D56287" w:rsidRDefault="00D56287" w:rsidP="00D56287">
      <w:pPr>
        <w:pStyle w:val="ListParagraph"/>
        <w:numPr>
          <w:ilvl w:val="1"/>
          <w:numId w:val="31"/>
        </w:numPr>
        <w:spacing w:after="200" w:line="276" w:lineRule="auto"/>
      </w:pPr>
      <w:r w:rsidRPr="000A06C0">
        <w:rPr>
          <w:u w:val="single"/>
        </w:rPr>
        <w:t xml:space="preserve">Proportional </w:t>
      </w:r>
      <w:r>
        <w:t xml:space="preserve"> to the risks to be managed</w:t>
      </w:r>
    </w:p>
    <w:p w:rsidR="00D56287" w:rsidRDefault="00D56287" w:rsidP="00D56287">
      <w:pPr>
        <w:pStyle w:val="ListParagraph"/>
        <w:numPr>
          <w:ilvl w:val="1"/>
          <w:numId w:val="31"/>
        </w:numPr>
        <w:spacing w:after="200" w:line="276" w:lineRule="auto"/>
      </w:pPr>
      <w:r>
        <w:rPr>
          <w:u w:val="single"/>
        </w:rPr>
        <w:t>Coherent</w:t>
      </w:r>
      <w:r>
        <w:t xml:space="preserve"> at the system level – the same risks should not be regulated differently from different perspectives</w:t>
      </w:r>
    </w:p>
    <w:p w:rsidR="00D56287" w:rsidRDefault="00D56287" w:rsidP="00D56287">
      <w:pPr>
        <w:pStyle w:val="ListParagraph"/>
        <w:numPr>
          <w:ilvl w:val="1"/>
          <w:numId w:val="31"/>
        </w:numPr>
        <w:spacing w:after="200" w:line="276" w:lineRule="auto"/>
      </w:pPr>
      <w:r>
        <w:rPr>
          <w:u w:val="single"/>
        </w:rPr>
        <w:t>Designed</w:t>
      </w:r>
      <w:r>
        <w:t xml:space="preserve"> with best practice regulation principles in mind, including </w:t>
      </w:r>
      <w:r>
        <w:rPr>
          <w:u w:val="single"/>
        </w:rPr>
        <w:t>simplicity</w:t>
      </w:r>
      <w:r>
        <w:t xml:space="preserve"> in application</w:t>
      </w:r>
    </w:p>
    <w:p w:rsidR="00D56287" w:rsidRDefault="00D56287" w:rsidP="00D56287">
      <w:pPr>
        <w:pStyle w:val="ListParagraph"/>
        <w:numPr>
          <w:ilvl w:val="1"/>
          <w:numId w:val="31"/>
        </w:numPr>
        <w:spacing w:after="200" w:line="276" w:lineRule="auto"/>
      </w:pPr>
      <w:r>
        <w:rPr>
          <w:u w:val="single"/>
        </w:rPr>
        <w:t>Reviewed</w:t>
      </w:r>
      <w:r>
        <w:t xml:space="preserve"> periodically to test their relevance and impact</w:t>
      </w:r>
    </w:p>
    <w:p w:rsidR="00D56287" w:rsidRDefault="00D56287" w:rsidP="00D56287">
      <w:pPr>
        <w:pStyle w:val="ListParagraph"/>
        <w:spacing w:before="120"/>
        <w:ind w:left="714"/>
      </w:pPr>
    </w:p>
    <w:p w:rsidR="00D56287" w:rsidRDefault="00D56287" w:rsidP="00D56287">
      <w:pPr>
        <w:pStyle w:val="ListParagraph"/>
        <w:numPr>
          <w:ilvl w:val="0"/>
          <w:numId w:val="31"/>
        </w:numPr>
        <w:spacing w:before="120" w:after="200" w:line="276" w:lineRule="auto"/>
        <w:ind w:left="714" w:hanging="357"/>
      </w:pPr>
      <w:r>
        <w:t xml:space="preserve">Benefits and costs of regulatory and accountability arrangements for government are to be assessed at the Whole of Government level, not just at the level of individual agencies.  </w:t>
      </w:r>
    </w:p>
    <w:p w:rsidR="00D56287" w:rsidRDefault="00D56287" w:rsidP="00D56287">
      <w:pPr>
        <w:pStyle w:val="ListParagraph"/>
        <w:spacing w:before="120"/>
        <w:ind w:left="714"/>
      </w:pPr>
    </w:p>
    <w:p w:rsidR="00D56287" w:rsidRDefault="00D56287" w:rsidP="00D56287">
      <w:pPr>
        <w:pStyle w:val="ListParagraph"/>
        <w:numPr>
          <w:ilvl w:val="0"/>
          <w:numId w:val="31"/>
        </w:numPr>
        <w:spacing w:before="120" w:after="200" w:line="276" w:lineRule="auto"/>
        <w:ind w:left="714" w:hanging="357"/>
      </w:pPr>
      <w:r>
        <w:t xml:space="preserve">The Australian Government operates in a devolved environment – Ministers and Secretaries need to have flexibility and discretion, consistent with the achievement of Whole of Government goals. </w:t>
      </w:r>
    </w:p>
    <w:p w:rsidR="00D56287" w:rsidRDefault="00D56287" w:rsidP="00D56287">
      <w:pPr>
        <w:pStyle w:val="ListParagraph"/>
        <w:spacing w:before="120"/>
        <w:ind w:left="714"/>
      </w:pPr>
    </w:p>
    <w:p w:rsidR="00D56287" w:rsidRDefault="00D56287" w:rsidP="00D56287">
      <w:pPr>
        <w:pStyle w:val="ListParagraph"/>
        <w:numPr>
          <w:ilvl w:val="0"/>
          <w:numId w:val="31"/>
        </w:numPr>
        <w:spacing w:before="120" w:after="200" w:line="276" w:lineRule="auto"/>
        <w:ind w:left="714" w:hanging="357"/>
      </w:pPr>
      <w:r>
        <w:t>Centralisation of specific activities needs to be judged against a business case which weighs up Whole of Government benefits and costs.</w:t>
      </w:r>
    </w:p>
    <w:p w:rsidR="00D56287" w:rsidRDefault="00D56287" w:rsidP="00D56287">
      <w:pPr>
        <w:pStyle w:val="ListParagraph"/>
        <w:spacing w:before="120"/>
        <w:ind w:left="714"/>
      </w:pPr>
    </w:p>
    <w:p w:rsidR="00D56287" w:rsidRDefault="00D56287" w:rsidP="00D56287">
      <w:pPr>
        <w:pStyle w:val="ListParagraph"/>
        <w:numPr>
          <w:ilvl w:val="0"/>
          <w:numId w:val="31"/>
        </w:numPr>
        <w:spacing w:before="120" w:after="200" w:line="276" w:lineRule="auto"/>
        <w:ind w:left="714" w:hanging="357"/>
      </w:pPr>
      <w:r>
        <w:t>A presumption of the regulatory framework is to prove that regulation is needed.</w:t>
      </w:r>
    </w:p>
    <w:p w:rsidR="00D56287" w:rsidRDefault="00D56287" w:rsidP="00D56287">
      <w:pPr>
        <w:spacing w:before="120"/>
      </w:pPr>
      <w:r>
        <w:t xml:space="preserve">The above principles form the basis for </w:t>
      </w:r>
      <w:r>
        <w:rPr>
          <w:u w:val="single"/>
        </w:rPr>
        <w:t>testing</w:t>
      </w:r>
      <w:r>
        <w:t xml:space="preserve"> the suitability of current internal regulations at the Whole of Government level, and a basis for </w:t>
      </w:r>
      <w:r w:rsidRPr="005D5F17">
        <w:rPr>
          <w:u w:val="single"/>
        </w:rPr>
        <w:t>assessing</w:t>
      </w:r>
      <w:r>
        <w:t xml:space="preserve"> agency self imposed regulation.</w:t>
      </w:r>
    </w:p>
    <w:p w:rsidR="005710C5" w:rsidRPr="00740C18" w:rsidRDefault="005710C5" w:rsidP="00D56287">
      <w:pPr>
        <w:jc w:val="center"/>
      </w:pPr>
    </w:p>
    <w:sectPr w:rsidR="005710C5" w:rsidRPr="00740C18" w:rsidSect="00D56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1559" w:bottom="851" w:left="1701" w:header="340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BB" w:rsidRDefault="00EC53BB">
      <w:r>
        <w:separator/>
      </w:r>
    </w:p>
  </w:endnote>
  <w:endnote w:type="continuationSeparator" w:id="0">
    <w:p w:rsidR="00EC53BB" w:rsidRDefault="00E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E3" w:rsidRDefault="00BB6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938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5708D" w:rsidRDefault="00B5708D" w:rsidP="00A0406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  <w:p w:rsidR="00B5708D" w:rsidRPr="001552D7" w:rsidRDefault="001D19FA" w:rsidP="00A0406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552D7">
          <w:rPr>
            <w:rFonts w:ascii="Arial" w:hAnsi="Arial" w:cs="Arial"/>
            <w:sz w:val="16"/>
            <w:szCs w:val="16"/>
          </w:rPr>
          <w:fldChar w:fldCharType="begin"/>
        </w:r>
        <w:r w:rsidR="00B5708D" w:rsidRPr="001552D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552D7">
          <w:rPr>
            <w:rFonts w:ascii="Arial" w:hAnsi="Arial" w:cs="Arial"/>
            <w:sz w:val="16"/>
            <w:szCs w:val="16"/>
          </w:rPr>
          <w:fldChar w:fldCharType="separate"/>
        </w:r>
        <w:r w:rsidR="00A8652A">
          <w:rPr>
            <w:rFonts w:ascii="Arial" w:hAnsi="Arial" w:cs="Arial"/>
            <w:noProof/>
            <w:sz w:val="16"/>
            <w:szCs w:val="16"/>
          </w:rPr>
          <w:t>1</w:t>
        </w:r>
        <w:r w:rsidRPr="001552D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5708D" w:rsidRPr="009B2214" w:rsidRDefault="00B5708D">
    <w:pPr>
      <w:pStyle w:val="Footer"/>
      <w:tabs>
        <w:tab w:val="clear" w:pos="8306"/>
        <w:tab w:val="right" w:pos="8505"/>
      </w:tabs>
      <w:spacing w:after="0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E3" w:rsidRDefault="00BB6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BB" w:rsidRDefault="00EC53BB">
      <w:r>
        <w:separator/>
      </w:r>
    </w:p>
  </w:footnote>
  <w:footnote w:type="continuationSeparator" w:id="0">
    <w:p w:rsidR="00EC53BB" w:rsidRDefault="00EC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E3" w:rsidRDefault="00BB6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E3" w:rsidRDefault="00BB6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E3" w:rsidRDefault="00BB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E20"/>
    <w:multiLevelType w:val="hybridMultilevel"/>
    <w:tmpl w:val="8E4EC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2408C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12CFF"/>
    <w:multiLevelType w:val="singleLevel"/>
    <w:tmpl w:val="E9668A02"/>
    <w:lvl w:ilvl="0">
      <w:start w:val="2"/>
      <w:numFmt w:val="decimal"/>
      <w:pStyle w:val="ParaNumbering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40249D7"/>
    <w:multiLevelType w:val="multilevel"/>
    <w:tmpl w:val="02B656BA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</w:abstractNum>
  <w:abstractNum w:abstractNumId="3" w15:restartNumberingAfterBreak="0">
    <w:nsid w:val="1D6D270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2256734C"/>
    <w:multiLevelType w:val="multilevel"/>
    <w:tmpl w:val="C7C6AD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605FD"/>
    <w:multiLevelType w:val="hybridMultilevel"/>
    <w:tmpl w:val="3178133A"/>
    <w:lvl w:ilvl="0" w:tplc="C3CC178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3D34"/>
    <w:multiLevelType w:val="multilevel"/>
    <w:tmpl w:val="3DAE944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93D45CB"/>
    <w:multiLevelType w:val="hybridMultilevel"/>
    <w:tmpl w:val="8454F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C20ED"/>
    <w:multiLevelType w:val="hybridMultilevel"/>
    <w:tmpl w:val="B61E3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53FD"/>
    <w:multiLevelType w:val="hybridMultilevel"/>
    <w:tmpl w:val="F6E08226"/>
    <w:lvl w:ilvl="0" w:tplc="CAA24094">
      <w:start w:val="2"/>
      <w:numFmt w:val="decimal"/>
      <w:pStyle w:val="NumberedParagraph"/>
      <w:lvlText w:val="%1."/>
      <w:lvlJc w:val="left"/>
      <w:pPr>
        <w:tabs>
          <w:tab w:val="num" w:pos="680"/>
        </w:tabs>
        <w:ind w:left="680" w:hanging="68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3117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8826920"/>
    <w:multiLevelType w:val="hybridMultilevel"/>
    <w:tmpl w:val="986CD4F6"/>
    <w:lvl w:ilvl="0" w:tplc="762AC0DA">
      <w:start w:val="1"/>
      <w:numFmt w:val="decimal"/>
      <w:pStyle w:val="Normalnumbered"/>
      <w:lvlText w:val="%1."/>
      <w:lvlJc w:val="left"/>
      <w:pPr>
        <w:ind w:left="6031" w:hanging="360"/>
      </w:pPr>
      <w:rPr>
        <w:strike w:val="0"/>
        <w:dstrike w:val="0"/>
        <w:u w:val="none"/>
        <w:effect w:val="none"/>
      </w:rPr>
    </w:lvl>
    <w:lvl w:ilvl="1" w:tplc="0C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666" w:hanging="180"/>
      </w:pPr>
    </w:lvl>
    <w:lvl w:ilvl="3" w:tplc="0C09000F">
      <w:start w:val="1"/>
      <w:numFmt w:val="decimal"/>
      <w:lvlText w:val="%4."/>
      <w:lvlJc w:val="left"/>
      <w:pPr>
        <w:ind w:left="1386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54402"/>
    <w:multiLevelType w:val="hybridMultilevel"/>
    <w:tmpl w:val="9A042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40E0E"/>
    <w:multiLevelType w:val="multilevel"/>
    <w:tmpl w:val="459CECBA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680"/>
      </w:pPr>
      <w:rPr>
        <w:rFonts w:ascii="Times New Roman" w:eastAsiaTheme="minorHAnsi" w:hAnsi="Times New Roman" w:cs="Times New Roman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4B096117"/>
    <w:multiLevelType w:val="multilevel"/>
    <w:tmpl w:val="D2A0E5C4"/>
    <w:name w:val="List 1.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6507121"/>
    <w:multiLevelType w:val="hybridMultilevel"/>
    <w:tmpl w:val="81E0FB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C30EC2"/>
    <w:multiLevelType w:val="multilevel"/>
    <w:tmpl w:val="E8B03B92"/>
    <w:name w:val="Legal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7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981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9" w:hanging="649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4" w:hanging="794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9" w:hanging="939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238" w:hanging="1078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742" w:hanging="1222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321" w:hanging="1441"/>
      </w:pPr>
      <w:rPr>
        <w:rFonts w:cs="Times New Roman"/>
      </w:rPr>
    </w:lvl>
  </w:abstractNum>
  <w:abstractNum w:abstractNumId="17" w15:restartNumberingAfterBreak="0">
    <w:nsid w:val="5A56592E"/>
    <w:multiLevelType w:val="multilevel"/>
    <w:tmpl w:val="14765DC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FD65F27"/>
    <w:multiLevelType w:val="hybridMultilevel"/>
    <w:tmpl w:val="41C0B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C46AA"/>
    <w:multiLevelType w:val="hybridMultilevel"/>
    <w:tmpl w:val="0E32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C0140"/>
    <w:multiLevelType w:val="multilevel"/>
    <w:tmpl w:val="28D2763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8791010"/>
    <w:multiLevelType w:val="hybridMultilevel"/>
    <w:tmpl w:val="BFACC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17"/>
  </w:num>
  <w:num w:numId="6">
    <w:abstractNumId w:val="1"/>
  </w:num>
  <w:num w:numId="7">
    <w:abstractNumId w:val="17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3"/>
  </w:num>
  <w:num w:numId="21">
    <w:abstractNumId w:val="12"/>
  </w:num>
  <w:num w:numId="22">
    <w:abstractNumId w:val="9"/>
  </w:num>
  <w:num w:numId="23">
    <w:abstractNumId w:val="21"/>
  </w:num>
  <w:num w:numId="24">
    <w:abstractNumId w:val="7"/>
  </w:num>
  <w:num w:numId="25">
    <w:abstractNumId w:val="0"/>
  </w:num>
  <w:num w:numId="26">
    <w:abstractNumId w:val="11"/>
  </w:num>
  <w:num w:numId="27">
    <w:abstractNumId w:val="8"/>
  </w:num>
  <w:num w:numId="28">
    <w:abstractNumId w:val="18"/>
  </w:num>
  <w:num w:numId="29">
    <w:abstractNumId w:val="5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83"/>
    <w:rsid w:val="00002E55"/>
    <w:rsid w:val="00011642"/>
    <w:rsid w:val="00011960"/>
    <w:rsid w:val="000305F9"/>
    <w:rsid w:val="0004183F"/>
    <w:rsid w:val="00055988"/>
    <w:rsid w:val="000658A1"/>
    <w:rsid w:val="00071AAF"/>
    <w:rsid w:val="000750D9"/>
    <w:rsid w:val="000933E8"/>
    <w:rsid w:val="00095712"/>
    <w:rsid w:val="00097B4A"/>
    <w:rsid w:val="000A4840"/>
    <w:rsid w:val="000A6AE7"/>
    <w:rsid w:val="000C5C2C"/>
    <w:rsid w:val="000C6397"/>
    <w:rsid w:val="000D19D8"/>
    <w:rsid w:val="000E6987"/>
    <w:rsid w:val="00143A2B"/>
    <w:rsid w:val="001552D7"/>
    <w:rsid w:val="00190440"/>
    <w:rsid w:val="00192005"/>
    <w:rsid w:val="001A27E3"/>
    <w:rsid w:val="001A55AB"/>
    <w:rsid w:val="001B3A46"/>
    <w:rsid w:val="001B3E56"/>
    <w:rsid w:val="001D19FA"/>
    <w:rsid w:val="00202CAD"/>
    <w:rsid w:val="0020384A"/>
    <w:rsid w:val="00256FE2"/>
    <w:rsid w:val="002722A6"/>
    <w:rsid w:val="00277511"/>
    <w:rsid w:val="00291620"/>
    <w:rsid w:val="002922CB"/>
    <w:rsid w:val="002941EC"/>
    <w:rsid w:val="002D07E2"/>
    <w:rsid w:val="002D1423"/>
    <w:rsid w:val="002E1B8F"/>
    <w:rsid w:val="002E2B6A"/>
    <w:rsid w:val="00301BDC"/>
    <w:rsid w:val="00311009"/>
    <w:rsid w:val="003438BB"/>
    <w:rsid w:val="00345646"/>
    <w:rsid w:val="00353437"/>
    <w:rsid w:val="00361A27"/>
    <w:rsid w:val="00383672"/>
    <w:rsid w:val="003A27C8"/>
    <w:rsid w:val="003E0322"/>
    <w:rsid w:val="003E0D1B"/>
    <w:rsid w:val="004034EC"/>
    <w:rsid w:val="00475D54"/>
    <w:rsid w:val="004C6DD7"/>
    <w:rsid w:val="004E2ED6"/>
    <w:rsid w:val="005052E3"/>
    <w:rsid w:val="0053789B"/>
    <w:rsid w:val="00543496"/>
    <w:rsid w:val="00555C3E"/>
    <w:rsid w:val="005710C5"/>
    <w:rsid w:val="0058458C"/>
    <w:rsid w:val="00594330"/>
    <w:rsid w:val="005B4016"/>
    <w:rsid w:val="005C733B"/>
    <w:rsid w:val="005D0292"/>
    <w:rsid w:val="005D1A17"/>
    <w:rsid w:val="005D7420"/>
    <w:rsid w:val="005E094F"/>
    <w:rsid w:val="005E6089"/>
    <w:rsid w:val="00622D6D"/>
    <w:rsid w:val="00660F72"/>
    <w:rsid w:val="00664638"/>
    <w:rsid w:val="006775B5"/>
    <w:rsid w:val="00685683"/>
    <w:rsid w:val="006E5797"/>
    <w:rsid w:val="00740C18"/>
    <w:rsid w:val="00756FA3"/>
    <w:rsid w:val="00764578"/>
    <w:rsid w:val="0078584D"/>
    <w:rsid w:val="007A529F"/>
    <w:rsid w:val="007D03F3"/>
    <w:rsid w:val="007E37B7"/>
    <w:rsid w:val="007F2C89"/>
    <w:rsid w:val="007F75AD"/>
    <w:rsid w:val="008079BE"/>
    <w:rsid w:val="00812AF3"/>
    <w:rsid w:val="00822D35"/>
    <w:rsid w:val="00833FFD"/>
    <w:rsid w:val="008667FD"/>
    <w:rsid w:val="008B1211"/>
    <w:rsid w:val="008B6DD9"/>
    <w:rsid w:val="008C3194"/>
    <w:rsid w:val="008C3B6D"/>
    <w:rsid w:val="008E0103"/>
    <w:rsid w:val="008F19C2"/>
    <w:rsid w:val="00901D97"/>
    <w:rsid w:val="00904E4D"/>
    <w:rsid w:val="00905307"/>
    <w:rsid w:val="00914659"/>
    <w:rsid w:val="00925E8C"/>
    <w:rsid w:val="00945B67"/>
    <w:rsid w:val="00951D68"/>
    <w:rsid w:val="00961283"/>
    <w:rsid w:val="0098663C"/>
    <w:rsid w:val="009B0E1F"/>
    <w:rsid w:val="009B2214"/>
    <w:rsid w:val="009D155F"/>
    <w:rsid w:val="009D17A5"/>
    <w:rsid w:val="009D2E42"/>
    <w:rsid w:val="009D768A"/>
    <w:rsid w:val="009F5826"/>
    <w:rsid w:val="00A03794"/>
    <w:rsid w:val="00A04068"/>
    <w:rsid w:val="00A8652A"/>
    <w:rsid w:val="00A86543"/>
    <w:rsid w:val="00AA62CB"/>
    <w:rsid w:val="00AB7E1C"/>
    <w:rsid w:val="00AC0BF0"/>
    <w:rsid w:val="00AE187A"/>
    <w:rsid w:val="00AF15EB"/>
    <w:rsid w:val="00B07F1B"/>
    <w:rsid w:val="00B1353B"/>
    <w:rsid w:val="00B238E6"/>
    <w:rsid w:val="00B26F20"/>
    <w:rsid w:val="00B406F2"/>
    <w:rsid w:val="00B52251"/>
    <w:rsid w:val="00B54704"/>
    <w:rsid w:val="00B5708D"/>
    <w:rsid w:val="00B57C7D"/>
    <w:rsid w:val="00B6438D"/>
    <w:rsid w:val="00B663BE"/>
    <w:rsid w:val="00B8044B"/>
    <w:rsid w:val="00BA5E36"/>
    <w:rsid w:val="00BB3365"/>
    <w:rsid w:val="00BB68E3"/>
    <w:rsid w:val="00BC7D48"/>
    <w:rsid w:val="00BD42A1"/>
    <w:rsid w:val="00C5583B"/>
    <w:rsid w:val="00C626F3"/>
    <w:rsid w:val="00C81D58"/>
    <w:rsid w:val="00CD2F91"/>
    <w:rsid w:val="00CE74E4"/>
    <w:rsid w:val="00CF0569"/>
    <w:rsid w:val="00CF449B"/>
    <w:rsid w:val="00D0542E"/>
    <w:rsid w:val="00D372B0"/>
    <w:rsid w:val="00D417B6"/>
    <w:rsid w:val="00D56287"/>
    <w:rsid w:val="00D918C2"/>
    <w:rsid w:val="00DB16E5"/>
    <w:rsid w:val="00DE7487"/>
    <w:rsid w:val="00E02CFC"/>
    <w:rsid w:val="00E17680"/>
    <w:rsid w:val="00E31BEE"/>
    <w:rsid w:val="00E419F3"/>
    <w:rsid w:val="00E51185"/>
    <w:rsid w:val="00E8730E"/>
    <w:rsid w:val="00EA41D0"/>
    <w:rsid w:val="00EB25AD"/>
    <w:rsid w:val="00EC0367"/>
    <w:rsid w:val="00EC53BB"/>
    <w:rsid w:val="00EC63D3"/>
    <w:rsid w:val="00EF4BEE"/>
    <w:rsid w:val="00F07547"/>
    <w:rsid w:val="00F376BA"/>
    <w:rsid w:val="00F9599F"/>
    <w:rsid w:val="00FA55FF"/>
    <w:rsid w:val="00FD60EC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2E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aliases w:val="Para1,Top 1,ParaLevel1,Level 1 Para,Level 1 Para1,Level 1 Para2,Level 1 Para3,Level 1 Para4,Level 1 Para11,Level 1 Para21,Level 1 Para31,Level 1 Para5,Level 1 Para12,Level 1 Para22,Level 1 Para32,Level 1 Para6,Level 1 Para13,Level 1 Para23,h1"/>
    <w:basedOn w:val="Normal"/>
    <w:next w:val="Normal"/>
    <w:qFormat/>
    <w:rsid w:val="00D0542E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D0542E"/>
    <w:pPr>
      <w:keepNext/>
      <w:spacing w:before="6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0542E"/>
    <w:pPr>
      <w:keepNext/>
      <w:spacing w:before="60" w:after="60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CF0569"/>
    <w:pPr>
      <w:keepNext/>
      <w:tabs>
        <w:tab w:val="num" w:pos="864"/>
      </w:tabs>
      <w:spacing w:before="240" w:after="60" w:line="280" w:lineRule="atLeast"/>
      <w:ind w:left="864" w:hanging="144"/>
      <w:outlineLvl w:val="3"/>
    </w:pPr>
    <w:rPr>
      <w:rFonts w:ascii="Arial" w:hAnsi="Arial" w:cs="Angsana New"/>
      <w:b/>
      <w:bCs/>
      <w:sz w:val="22"/>
      <w:szCs w:val="22"/>
      <w:lang w:eastAsia="zh-CN" w:bidi="th-TH"/>
    </w:rPr>
  </w:style>
  <w:style w:type="paragraph" w:styleId="Heading5">
    <w:name w:val="heading 5"/>
    <w:basedOn w:val="Normal"/>
    <w:next w:val="Normal"/>
    <w:link w:val="Heading5Char"/>
    <w:qFormat/>
    <w:rsid w:val="00CF0569"/>
    <w:pPr>
      <w:tabs>
        <w:tab w:val="num" w:pos="1008"/>
      </w:tabs>
      <w:spacing w:before="240" w:after="60" w:line="280" w:lineRule="atLeast"/>
      <w:ind w:left="1008" w:hanging="432"/>
      <w:outlineLvl w:val="4"/>
    </w:pPr>
    <w:rPr>
      <w:rFonts w:cs="Angsana New"/>
      <w:sz w:val="22"/>
      <w:szCs w:val="22"/>
      <w:lang w:eastAsia="zh-CN" w:bidi="th-TH"/>
    </w:rPr>
  </w:style>
  <w:style w:type="paragraph" w:styleId="Heading6">
    <w:name w:val="heading 6"/>
    <w:basedOn w:val="Normal"/>
    <w:next w:val="Normal"/>
    <w:link w:val="Heading6Char"/>
    <w:qFormat/>
    <w:rsid w:val="00CF0569"/>
    <w:pPr>
      <w:tabs>
        <w:tab w:val="num" w:pos="1152"/>
      </w:tabs>
      <w:spacing w:before="240" w:after="60" w:line="280" w:lineRule="atLeast"/>
      <w:ind w:left="1152" w:hanging="432"/>
      <w:outlineLvl w:val="5"/>
    </w:pPr>
    <w:rPr>
      <w:rFonts w:cs="Angsana New"/>
      <w:i/>
      <w:iCs/>
      <w:sz w:val="22"/>
      <w:szCs w:val="22"/>
      <w:lang w:eastAsia="zh-CN" w:bidi="th-TH"/>
    </w:rPr>
  </w:style>
  <w:style w:type="paragraph" w:styleId="Heading7">
    <w:name w:val="heading 7"/>
    <w:basedOn w:val="Normal"/>
    <w:next w:val="Normal"/>
    <w:link w:val="Heading7Char"/>
    <w:qFormat/>
    <w:rsid w:val="00CF0569"/>
    <w:pPr>
      <w:tabs>
        <w:tab w:val="num" w:pos="1296"/>
      </w:tabs>
      <w:spacing w:before="240" w:after="60" w:line="280" w:lineRule="atLeast"/>
      <w:ind w:left="1296" w:hanging="288"/>
      <w:outlineLvl w:val="6"/>
    </w:pPr>
    <w:rPr>
      <w:rFonts w:ascii="Arial" w:hAnsi="Arial" w:cs="Angsana New"/>
      <w:sz w:val="20"/>
      <w:szCs w:val="20"/>
      <w:lang w:eastAsia="zh-CN" w:bidi="th-TH"/>
    </w:rPr>
  </w:style>
  <w:style w:type="paragraph" w:styleId="Heading8">
    <w:name w:val="heading 8"/>
    <w:basedOn w:val="Normal"/>
    <w:next w:val="Normal"/>
    <w:link w:val="Heading8Char"/>
    <w:qFormat/>
    <w:rsid w:val="00CF0569"/>
    <w:pPr>
      <w:tabs>
        <w:tab w:val="num" w:pos="1440"/>
      </w:tabs>
      <w:spacing w:before="240" w:after="60" w:line="280" w:lineRule="atLeast"/>
      <w:ind w:left="1440" w:hanging="432"/>
      <w:outlineLvl w:val="7"/>
    </w:pPr>
    <w:rPr>
      <w:rFonts w:ascii="Arial" w:hAnsi="Arial" w:cs="Angsana New"/>
      <w:i/>
      <w:iCs/>
      <w:sz w:val="20"/>
      <w:szCs w:val="20"/>
      <w:lang w:eastAsia="zh-CN" w:bidi="th-TH"/>
    </w:rPr>
  </w:style>
  <w:style w:type="paragraph" w:styleId="Heading9">
    <w:name w:val="heading 9"/>
    <w:basedOn w:val="Normal"/>
    <w:next w:val="Normal"/>
    <w:link w:val="Heading9Char"/>
    <w:qFormat/>
    <w:rsid w:val="00CF0569"/>
    <w:pPr>
      <w:tabs>
        <w:tab w:val="num" w:pos="1584"/>
      </w:tabs>
      <w:spacing w:before="240" w:after="60" w:line="280" w:lineRule="atLeast"/>
      <w:ind w:left="1584" w:hanging="144"/>
      <w:outlineLvl w:val="8"/>
    </w:pPr>
    <w:rPr>
      <w:rFonts w:ascii="Arial" w:hAnsi="Arial" w:cs="Angsana New"/>
      <w:b/>
      <w:bCs/>
      <w:i/>
      <w:iCs/>
      <w:sz w:val="18"/>
      <w:szCs w:val="1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542E"/>
    <w:pPr>
      <w:tabs>
        <w:tab w:val="center" w:pos="4153"/>
        <w:tab w:val="right" w:pos="8306"/>
      </w:tabs>
      <w:spacing w:after="240"/>
    </w:pPr>
  </w:style>
  <w:style w:type="paragraph" w:styleId="Footer">
    <w:name w:val="footer"/>
    <w:basedOn w:val="Normal"/>
    <w:link w:val="FooterChar"/>
    <w:uiPriority w:val="99"/>
    <w:rsid w:val="00D0542E"/>
    <w:pPr>
      <w:tabs>
        <w:tab w:val="center" w:pos="4153"/>
        <w:tab w:val="right" w:pos="8306"/>
      </w:tabs>
      <w:spacing w:after="240"/>
    </w:pPr>
  </w:style>
  <w:style w:type="paragraph" w:customStyle="1" w:styleId="Bullet">
    <w:name w:val="Bullet"/>
    <w:basedOn w:val="Normal"/>
    <w:rsid w:val="00D0542E"/>
    <w:pPr>
      <w:numPr>
        <w:numId w:val="4"/>
      </w:numPr>
      <w:spacing w:after="240"/>
    </w:pPr>
  </w:style>
  <w:style w:type="paragraph" w:customStyle="1" w:styleId="NumberList">
    <w:name w:val="Number List"/>
    <w:basedOn w:val="Normal"/>
    <w:rsid w:val="00D0542E"/>
    <w:pPr>
      <w:numPr>
        <w:numId w:val="8"/>
      </w:numPr>
    </w:pPr>
  </w:style>
  <w:style w:type="paragraph" w:customStyle="1" w:styleId="ParaNumbering">
    <w:name w:val="Para Numbering"/>
    <w:basedOn w:val="Normal"/>
    <w:rsid w:val="00D0542E"/>
    <w:pPr>
      <w:numPr>
        <w:numId w:val="6"/>
      </w:numPr>
      <w:tabs>
        <w:tab w:val="clear" w:pos="360"/>
        <w:tab w:val="left" w:pos="567"/>
      </w:tabs>
    </w:pPr>
  </w:style>
  <w:style w:type="character" w:styleId="Hyperlink">
    <w:name w:val="Hyperlink"/>
    <w:basedOn w:val="DefaultParagraphFont"/>
    <w:rsid w:val="00D0542E"/>
    <w:rPr>
      <w:rFonts w:cs="Times New Roman"/>
      <w:color w:val="0000FF"/>
      <w:u w:val="single"/>
    </w:rPr>
  </w:style>
  <w:style w:type="paragraph" w:customStyle="1" w:styleId="Logo">
    <w:name w:val="Logo"/>
    <w:basedOn w:val="Heading2"/>
    <w:rsid w:val="00D0542E"/>
    <w:pPr>
      <w:spacing w:after="0"/>
      <w:ind w:left="-113" w:right="-113"/>
    </w:pPr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D0542E"/>
    <w:rPr>
      <w:rFonts w:cs="Times New Roman"/>
    </w:rPr>
  </w:style>
  <w:style w:type="paragraph" w:customStyle="1" w:styleId="MELegal1">
    <w:name w:val="ME Legal 1"/>
    <w:basedOn w:val="Normal"/>
    <w:rsid w:val="00B406F2"/>
    <w:pPr>
      <w:keepNext/>
      <w:numPr>
        <w:numId w:val="9"/>
      </w:numPr>
      <w:spacing w:before="280" w:after="140" w:line="280" w:lineRule="atLeast"/>
    </w:pPr>
    <w:rPr>
      <w:rFonts w:ascii="Arial" w:eastAsiaTheme="minorHAnsi" w:hAnsi="Arial" w:cs="Arial"/>
      <w:spacing w:val="-10"/>
      <w:sz w:val="32"/>
      <w:szCs w:val="32"/>
      <w:lang w:eastAsia="en-AU"/>
    </w:rPr>
  </w:style>
  <w:style w:type="paragraph" w:customStyle="1" w:styleId="MELegal2">
    <w:name w:val="ME Legal 2"/>
    <w:basedOn w:val="Normal"/>
    <w:rsid w:val="00B406F2"/>
    <w:pPr>
      <w:keepNext/>
      <w:numPr>
        <w:ilvl w:val="1"/>
        <w:numId w:val="9"/>
      </w:numPr>
      <w:spacing w:before="60" w:after="60" w:line="280" w:lineRule="atLeast"/>
    </w:pPr>
    <w:rPr>
      <w:rFonts w:ascii="Arial" w:eastAsiaTheme="minorHAnsi" w:hAnsi="Arial" w:cs="Arial"/>
      <w:b/>
      <w:bCs/>
      <w:lang w:eastAsia="en-AU"/>
    </w:rPr>
  </w:style>
  <w:style w:type="paragraph" w:customStyle="1" w:styleId="MELegal3">
    <w:name w:val="ME Legal 3"/>
    <w:basedOn w:val="Normal"/>
    <w:rsid w:val="00B406F2"/>
    <w:pPr>
      <w:numPr>
        <w:ilvl w:val="2"/>
        <w:numId w:val="9"/>
      </w:numPr>
      <w:spacing w:after="140" w:line="280" w:lineRule="atLeast"/>
    </w:pPr>
    <w:rPr>
      <w:rFonts w:eastAsiaTheme="minorHAnsi"/>
      <w:sz w:val="22"/>
      <w:szCs w:val="22"/>
      <w:lang w:eastAsia="en-AU"/>
    </w:rPr>
  </w:style>
  <w:style w:type="paragraph" w:customStyle="1" w:styleId="MELegal4">
    <w:name w:val="ME Legal 4"/>
    <w:basedOn w:val="Normal"/>
    <w:rsid w:val="00B406F2"/>
    <w:pPr>
      <w:spacing w:after="140" w:line="280" w:lineRule="atLeast"/>
    </w:pPr>
    <w:rPr>
      <w:rFonts w:eastAsiaTheme="minorHAnsi"/>
      <w:sz w:val="22"/>
      <w:szCs w:val="22"/>
      <w:lang w:eastAsia="en-AU"/>
    </w:rPr>
  </w:style>
  <w:style w:type="paragraph" w:customStyle="1" w:styleId="MELegal5">
    <w:name w:val="ME Legal 5"/>
    <w:basedOn w:val="Normal"/>
    <w:rsid w:val="00B406F2"/>
    <w:pPr>
      <w:numPr>
        <w:ilvl w:val="4"/>
        <w:numId w:val="9"/>
      </w:numPr>
      <w:spacing w:after="140" w:line="280" w:lineRule="atLeast"/>
    </w:pPr>
    <w:rPr>
      <w:rFonts w:eastAsiaTheme="minorHAnsi"/>
      <w:sz w:val="22"/>
      <w:szCs w:val="22"/>
      <w:lang w:eastAsia="en-AU"/>
    </w:rPr>
  </w:style>
  <w:style w:type="paragraph" w:customStyle="1" w:styleId="MELegal6">
    <w:name w:val="ME Legal 6"/>
    <w:basedOn w:val="Normal"/>
    <w:rsid w:val="00B406F2"/>
    <w:pPr>
      <w:numPr>
        <w:ilvl w:val="5"/>
        <w:numId w:val="9"/>
      </w:numPr>
      <w:spacing w:after="140" w:line="280" w:lineRule="atLeast"/>
    </w:pPr>
    <w:rPr>
      <w:rFonts w:eastAsiaTheme="minorHAns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rsid w:val="00685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68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685683"/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5683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85683"/>
    <w:pPr>
      <w:spacing w:after="240"/>
      <w:ind w:left="720"/>
      <w:contextualSpacing/>
    </w:pPr>
  </w:style>
  <w:style w:type="paragraph" w:customStyle="1" w:styleId="NumberedParagraph">
    <w:name w:val="Numbered Paragraph"/>
    <w:basedOn w:val="Normal"/>
    <w:rsid w:val="00685683"/>
    <w:pPr>
      <w:numPr>
        <w:numId w:val="11"/>
      </w:numPr>
      <w:spacing w:after="240"/>
    </w:pPr>
  </w:style>
  <w:style w:type="character" w:customStyle="1" w:styleId="SideHeadingChar">
    <w:name w:val="Side Heading Char"/>
    <w:basedOn w:val="DefaultParagraphFont"/>
    <w:link w:val="SideHeading"/>
    <w:locked/>
    <w:rsid w:val="00685683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SideHeading">
    <w:name w:val="Side Heading"/>
    <w:basedOn w:val="Normal"/>
    <w:link w:val="SideHeadingChar"/>
    <w:qFormat/>
    <w:rsid w:val="00685683"/>
    <w:pPr>
      <w:spacing w:after="240" w:line="240" w:lineRule="auto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Normalnumbered">
    <w:name w:val="Normal numbered"/>
    <w:basedOn w:val="ListParagraph"/>
    <w:rsid w:val="00685683"/>
    <w:pPr>
      <w:widowControl w:val="0"/>
      <w:numPr>
        <w:numId w:val="12"/>
      </w:numPr>
      <w:tabs>
        <w:tab w:val="num" w:pos="360"/>
        <w:tab w:val="num" w:pos="567"/>
      </w:tabs>
      <w:autoSpaceDE w:val="0"/>
      <w:autoSpaceDN w:val="0"/>
      <w:adjustRightInd w:val="0"/>
      <w:spacing w:after="120" w:line="240" w:lineRule="auto"/>
      <w:ind w:left="720" w:firstLine="0"/>
      <w:contextualSpacing w:val="0"/>
    </w:pPr>
    <w:rPr>
      <w:rFonts w:asciiTheme="minorHAnsi" w:eastAsiaTheme="minorEastAsia" w:hAnsiTheme="minorHAnsi"/>
      <w:bCs/>
    </w:rPr>
  </w:style>
  <w:style w:type="character" w:customStyle="1" w:styleId="FooterChar">
    <w:name w:val="Footer Char"/>
    <w:basedOn w:val="DefaultParagraphFont"/>
    <w:link w:val="Footer"/>
    <w:uiPriority w:val="99"/>
    <w:rsid w:val="0078584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56F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F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6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FA3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CF0569"/>
    <w:rPr>
      <w:rFonts w:ascii="Arial" w:hAnsi="Arial" w:cs="Angsana New"/>
      <w:b/>
      <w:bCs/>
      <w:sz w:val="22"/>
      <w:szCs w:val="22"/>
      <w:lang w:eastAsia="zh-CN" w:bidi="th-TH"/>
    </w:rPr>
  </w:style>
  <w:style w:type="character" w:customStyle="1" w:styleId="Heading5Char">
    <w:name w:val="Heading 5 Char"/>
    <w:basedOn w:val="DefaultParagraphFont"/>
    <w:link w:val="Heading5"/>
    <w:rsid w:val="00CF0569"/>
    <w:rPr>
      <w:rFonts w:cs="Angsana New"/>
      <w:sz w:val="22"/>
      <w:szCs w:val="22"/>
      <w:lang w:eastAsia="zh-CN" w:bidi="th-TH"/>
    </w:rPr>
  </w:style>
  <w:style w:type="character" w:customStyle="1" w:styleId="Heading6Char">
    <w:name w:val="Heading 6 Char"/>
    <w:basedOn w:val="DefaultParagraphFont"/>
    <w:link w:val="Heading6"/>
    <w:rsid w:val="00CF0569"/>
    <w:rPr>
      <w:rFonts w:cs="Angsana New"/>
      <w:i/>
      <w:iCs/>
      <w:sz w:val="22"/>
      <w:szCs w:val="22"/>
      <w:lang w:eastAsia="zh-CN" w:bidi="th-TH"/>
    </w:rPr>
  </w:style>
  <w:style w:type="character" w:customStyle="1" w:styleId="Heading7Char">
    <w:name w:val="Heading 7 Char"/>
    <w:basedOn w:val="DefaultParagraphFont"/>
    <w:link w:val="Heading7"/>
    <w:rsid w:val="00CF0569"/>
    <w:rPr>
      <w:rFonts w:ascii="Arial" w:hAnsi="Arial" w:cs="Angsana New"/>
      <w:lang w:eastAsia="zh-CN" w:bidi="th-TH"/>
    </w:rPr>
  </w:style>
  <w:style w:type="character" w:customStyle="1" w:styleId="Heading8Char">
    <w:name w:val="Heading 8 Char"/>
    <w:basedOn w:val="DefaultParagraphFont"/>
    <w:link w:val="Heading8"/>
    <w:rsid w:val="00CF0569"/>
    <w:rPr>
      <w:rFonts w:ascii="Arial" w:hAnsi="Arial" w:cs="Angsana New"/>
      <w:i/>
      <w:iCs/>
      <w:lang w:eastAsia="zh-CN" w:bidi="th-TH"/>
    </w:rPr>
  </w:style>
  <w:style w:type="character" w:customStyle="1" w:styleId="Heading9Char">
    <w:name w:val="Heading 9 Char"/>
    <w:basedOn w:val="DefaultParagraphFont"/>
    <w:link w:val="Heading9"/>
    <w:rsid w:val="00CF0569"/>
    <w:rPr>
      <w:rFonts w:ascii="Arial" w:hAnsi="Arial" w:cs="Angsana New"/>
      <w:b/>
      <w:bCs/>
      <w:i/>
      <w:iCs/>
      <w:sz w:val="18"/>
      <w:szCs w:val="18"/>
      <w:lang w:eastAsia="zh-CN" w:bidi="th-TH"/>
    </w:rPr>
  </w:style>
  <w:style w:type="paragraph" w:customStyle="1" w:styleId="DraftText">
    <w:name w:val="DraftText"/>
    <w:basedOn w:val="Normal"/>
    <w:semiHidden/>
    <w:rsid w:val="00CF0569"/>
    <w:pPr>
      <w:spacing w:line="280" w:lineRule="atLeast"/>
    </w:pPr>
    <w:rPr>
      <w:rFonts w:ascii="Arial" w:hAnsi="Arial" w:cs="Angsana New"/>
      <w:sz w:val="20"/>
      <w:szCs w:val="20"/>
      <w:lang w:eastAsia="zh-CN" w:bidi="th-TH"/>
    </w:rPr>
  </w:style>
  <w:style w:type="numbering" w:styleId="111111">
    <w:name w:val="Outline List 2"/>
    <w:aliases w:val="1 / 1.1 / (a)"/>
    <w:basedOn w:val="NoList"/>
    <w:rsid w:val="00CF0569"/>
    <w:pPr>
      <w:numPr>
        <w:numId w:val="18"/>
      </w:numPr>
    </w:pPr>
  </w:style>
  <w:style w:type="numbering" w:styleId="ArticleSection">
    <w:name w:val="Outline List 3"/>
    <w:basedOn w:val="NoList"/>
    <w:rsid w:val="00CF056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8E6E8-7D5A-4788-A070-43BF6FB0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7FBD53E6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- independent review of whole of government internal red tape</vt:lpstr>
    </vt:vector>
  </TitlesOfParts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- independent review of whole of government internal red tape</dc:title>
  <dc:creator/>
  <cp:lastModifiedBy/>
  <cp:revision>1</cp:revision>
  <dcterms:created xsi:type="dcterms:W3CDTF">2020-05-13T01:35:00Z</dcterms:created>
  <dcterms:modified xsi:type="dcterms:W3CDTF">2020-05-13T01:35:00Z</dcterms:modified>
</cp:coreProperties>
</file>