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CE" w:rsidRPr="008111BD" w:rsidRDefault="005B65D7" w:rsidP="003900AA">
      <w:pPr>
        <w:pStyle w:val="Heading1"/>
        <w:rPr>
          <w:rFonts w:ascii="Times New Roman" w:hAnsi="Times New Roman"/>
        </w:rPr>
      </w:pPr>
      <w:bookmarkStart w:id="0" w:name="OLE_LINK7"/>
      <w:bookmarkStart w:id="1" w:name="OLE_LINK8"/>
      <w:bookmarkStart w:id="2" w:name="OLE_LINK1"/>
      <w:r w:rsidRPr="008111BD">
        <w:rPr>
          <w:rFonts w:ascii="Times New Roman" w:hAnsi="Times New Roman"/>
          <w:noProof/>
          <w:lang w:val="en-AU" w:eastAsia="en-AU"/>
        </w:rPr>
        <w:drawing>
          <wp:anchor distT="0" distB="0" distL="114300" distR="114300" simplePos="0" relativeHeight="251657728" behindDoc="1" locked="0" layoutInCell="1" allowOverlap="1">
            <wp:simplePos x="0" y="0"/>
            <wp:positionH relativeFrom="column">
              <wp:posOffset>-929005</wp:posOffset>
            </wp:positionH>
            <wp:positionV relativeFrom="paragraph">
              <wp:posOffset>-1897380</wp:posOffset>
            </wp:positionV>
            <wp:extent cx="7590155" cy="3267075"/>
            <wp:effectExtent l="19050" t="0" r="0" b="0"/>
            <wp:wrapNone/>
            <wp:docPr id="3" name="Picture 3" descr="Australian Government&#10;Department of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10;Department of Finance"/>
                    <pic:cNvPicPr>
                      <a:picLocks noChangeAspect="1" noChangeArrowheads="1"/>
                    </pic:cNvPicPr>
                  </pic:nvPicPr>
                  <pic:blipFill>
                    <a:blip r:embed="rId8"/>
                    <a:srcRect/>
                    <a:stretch>
                      <a:fillRect/>
                    </a:stretch>
                  </pic:blipFill>
                  <pic:spPr bwMode="auto">
                    <a:xfrm>
                      <a:off x="0" y="0"/>
                      <a:ext cx="7590155" cy="3267075"/>
                    </a:xfrm>
                    <a:prstGeom prst="rect">
                      <a:avLst/>
                    </a:prstGeom>
                    <a:noFill/>
                    <a:ln w="9525">
                      <a:noFill/>
                      <a:miter lim="800000"/>
                      <a:headEnd/>
                      <a:tailEnd/>
                    </a:ln>
                  </pic:spPr>
                </pic:pic>
              </a:graphicData>
            </a:graphic>
          </wp:anchor>
        </w:drawing>
      </w:r>
      <w:r w:rsidR="00315614" w:rsidRPr="008111BD">
        <w:rPr>
          <w:rFonts w:ascii="Times New Roman" w:hAnsi="Times New Roman"/>
        </w:rPr>
        <w:t xml:space="preserve">Reducing </w:t>
      </w:r>
      <w:r w:rsidR="00AA459B" w:rsidRPr="008111BD">
        <w:rPr>
          <w:rFonts w:ascii="Times New Roman" w:hAnsi="Times New Roman"/>
        </w:rPr>
        <w:t>red tape by improving clarity and usefulness of regulation and guidance materials</w:t>
      </w:r>
    </w:p>
    <w:bookmarkEnd w:id="0"/>
    <w:bookmarkEnd w:id="1"/>
    <w:bookmarkEnd w:id="2"/>
    <w:p w:rsidR="008153CE" w:rsidRPr="008111BD" w:rsidRDefault="008111BD" w:rsidP="008153CE">
      <w:pPr>
        <w:pStyle w:val="Subheading"/>
        <w:rPr>
          <w:rFonts w:ascii="Times New Roman" w:hAnsi="Times New Roman"/>
        </w:rPr>
      </w:pPr>
      <w:r w:rsidRPr="008111BD">
        <w:rPr>
          <w:rFonts w:ascii="Times New Roman" w:hAnsi="Times New Roman"/>
        </w:rPr>
        <w:t>6 November</w:t>
      </w:r>
      <w:r w:rsidR="00167698" w:rsidRPr="008111BD">
        <w:rPr>
          <w:rFonts w:ascii="Times New Roman" w:hAnsi="Times New Roman"/>
        </w:rPr>
        <w:t xml:space="preserve"> 2015</w:t>
      </w:r>
    </w:p>
    <w:p w:rsidR="001E6EFB" w:rsidRDefault="001E6EFB" w:rsidP="0088779D">
      <w:pPr>
        <w:pStyle w:val="Heading2"/>
        <w:sectPr w:rsidR="001E6EFB" w:rsidSect="00C23935">
          <w:headerReference w:type="even" r:id="rId9"/>
          <w:headerReference w:type="default" r:id="rId10"/>
          <w:footerReference w:type="even" r:id="rId11"/>
          <w:footerReference w:type="default" r:id="rId12"/>
          <w:headerReference w:type="first" r:id="rId13"/>
          <w:footerReference w:type="first" r:id="rId14"/>
          <w:pgSz w:w="11900" w:h="16840" w:code="9"/>
          <w:pgMar w:top="2943" w:right="1418" w:bottom="1134" w:left="1418" w:header="510" w:footer="369" w:gutter="0"/>
          <w:cols w:space="709"/>
          <w:docGrid w:linePitch="360"/>
        </w:sectPr>
      </w:pPr>
    </w:p>
    <w:p w:rsidR="00E1190B" w:rsidRPr="008111BD" w:rsidRDefault="00A83E51" w:rsidP="0088779D">
      <w:pPr>
        <w:pStyle w:val="Heading2"/>
        <w:rPr>
          <w:rFonts w:ascii="Times New Roman" w:hAnsi="Times New Roman"/>
        </w:rPr>
      </w:pPr>
      <w:r w:rsidRPr="008111BD">
        <w:rPr>
          <w:rFonts w:ascii="Times New Roman" w:hAnsi="Times New Roman"/>
        </w:rPr>
        <w:t>Audience</w:t>
      </w:r>
    </w:p>
    <w:p w:rsidR="00F75FBD" w:rsidRDefault="00603D3A" w:rsidP="0088779D">
      <w:pPr>
        <w:pStyle w:val="NormalWeb"/>
        <w:spacing w:before="0" w:beforeAutospacing="0" w:after="0" w:afterAutospacing="0"/>
        <w:rPr>
          <w:rFonts w:ascii="Cambria" w:hAnsi="Cambria"/>
        </w:rPr>
      </w:pPr>
      <w:r w:rsidRPr="008111BD">
        <w:t>Regulators and policy-owners are encouraged to apply the better practice suggestions in this guid</w:t>
      </w:r>
      <w:r w:rsidR="00BE6ED2">
        <w:t>ance</w:t>
      </w:r>
      <w:r w:rsidRPr="008111BD">
        <w:t xml:space="preserve"> when developing and revising </w:t>
      </w:r>
      <w:r w:rsidR="00112263" w:rsidRPr="008111BD">
        <w:t xml:space="preserve">policy, </w:t>
      </w:r>
      <w:r w:rsidR="00431B3E">
        <w:t xml:space="preserve">internal </w:t>
      </w:r>
      <w:r w:rsidRPr="008111BD">
        <w:t>regulation and guidance for use by</w:t>
      </w:r>
      <w:r w:rsidR="001D5009">
        <w:t>,</w:t>
      </w:r>
      <w:r w:rsidRPr="008111BD">
        <w:t xml:space="preserve"> </w:t>
      </w:r>
      <w:r w:rsidR="001D5009">
        <w:t xml:space="preserve">and applicable to, </w:t>
      </w:r>
      <w:r w:rsidRPr="008111BD">
        <w:t>Commonwealth entities and t</w:t>
      </w:r>
      <w:bookmarkStart w:id="3" w:name="_GoBack"/>
      <w:bookmarkEnd w:id="3"/>
      <w:r w:rsidRPr="008111BD">
        <w:t xml:space="preserve">heir officials </w:t>
      </w:r>
      <w:r w:rsidR="0071695C" w:rsidRPr="008111BD">
        <w:t>(refer to the glossary for definitions of these terms)</w:t>
      </w:r>
      <w:r w:rsidR="00A83E51">
        <w:rPr>
          <w:rFonts w:ascii="Cambria" w:hAnsi="Cambria"/>
        </w:rPr>
        <w:t>.</w:t>
      </w:r>
    </w:p>
    <w:p w:rsidR="00A83E51" w:rsidRDefault="00A83E51" w:rsidP="0088779D">
      <w:pPr>
        <w:pStyle w:val="NormalWeb"/>
        <w:spacing w:before="0" w:beforeAutospacing="0" w:after="0" w:afterAutospacing="0"/>
        <w:rPr>
          <w:rFonts w:ascii="Cambria" w:hAnsi="Cambria"/>
        </w:rPr>
      </w:pPr>
    </w:p>
    <w:p w:rsidR="00A83E51" w:rsidRPr="008111BD" w:rsidRDefault="00C33263" w:rsidP="00A83E51">
      <w:pPr>
        <w:pStyle w:val="Heading2"/>
        <w:rPr>
          <w:rFonts w:ascii="Times New Roman" w:hAnsi="Times New Roman"/>
        </w:rPr>
      </w:pPr>
      <w:r>
        <w:rPr>
          <w:rFonts w:ascii="Times New Roman" w:hAnsi="Times New Roman"/>
        </w:rPr>
        <w:t>Context and p</w:t>
      </w:r>
      <w:r w:rsidR="00A83E51" w:rsidRPr="008111BD">
        <w:rPr>
          <w:rFonts w:ascii="Times New Roman" w:hAnsi="Times New Roman"/>
        </w:rPr>
        <w:t>urpose</w:t>
      </w:r>
    </w:p>
    <w:p w:rsidR="00221A1E" w:rsidRPr="008111BD" w:rsidRDefault="00221A1E" w:rsidP="008111BD">
      <w:pPr>
        <w:pStyle w:val="NormalWeb"/>
        <w:spacing w:before="0" w:beforeAutospacing="0" w:after="0" w:afterAutospacing="0"/>
      </w:pPr>
      <w:r w:rsidRPr="008111BD">
        <w:t xml:space="preserve">On </w:t>
      </w:r>
      <w:r w:rsidR="00CF3FE3" w:rsidRPr="008111BD">
        <w:t>6</w:t>
      </w:r>
      <w:r w:rsidR="002B6E58">
        <w:t xml:space="preserve"> </w:t>
      </w:r>
      <w:r w:rsidR="00CF3FE3" w:rsidRPr="008111BD">
        <w:t xml:space="preserve">November </w:t>
      </w:r>
      <w:r w:rsidR="0098150F" w:rsidRPr="008111BD">
        <w:t xml:space="preserve">2015 </w:t>
      </w:r>
      <w:r w:rsidRPr="008111BD">
        <w:t>the</w:t>
      </w:r>
      <w:r w:rsidR="008111BD" w:rsidRPr="008111BD">
        <w:t xml:space="preserve"> Secretary of Finance, J</w:t>
      </w:r>
      <w:r w:rsidR="00CF3FE3" w:rsidRPr="008111BD">
        <w:t>ane Halton AO PSM</w:t>
      </w:r>
      <w:r w:rsidR="0098150F" w:rsidRPr="008111BD">
        <w:t>,</w:t>
      </w:r>
      <w:r w:rsidRPr="008111BD">
        <w:t xml:space="preserve"> released </w:t>
      </w:r>
      <w:r w:rsidR="00106AA6">
        <w:t>t</w:t>
      </w:r>
      <w:r w:rsidR="001571E0" w:rsidRPr="008111BD">
        <w:t>he Independent Review of Whole-of-Government Internal Regulation</w:t>
      </w:r>
      <w:r w:rsidR="005677CA">
        <w:t xml:space="preserve">, also known as </w:t>
      </w:r>
      <w:r w:rsidR="00106AA6">
        <w:t>t</w:t>
      </w:r>
      <w:r w:rsidR="001571E0" w:rsidRPr="008111BD">
        <w:t>he Belcher Review</w:t>
      </w:r>
      <w:r w:rsidR="005677CA">
        <w:t xml:space="preserve">. </w:t>
      </w:r>
      <w:r w:rsidR="001571E0" w:rsidRPr="008111BD">
        <w:t xml:space="preserve">The Secretaries Board </w:t>
      </w:r>
      <w:r w:rsidR="008111BD" w:rsidRPr="008111BD">
        <w:t>endorsed</w:t>
      </w:r>
      <w:r w:rsidR="001571E0" w:rsidRPr="008111BD">
        <w:t xml:space="preserve"> the Belcher Review </w:t>
      </w:r>
      <w:r w:rsidR="005677CA">
        <w:t>on 7 October 2015, noting that some recommendations are for government to consider.</w:t>
      </w:r>
    </w:p>
    <w:p w:rsidR="00930956" w:rsidRDefault="00930956" w:rsidP="001571E0">
      <w:pPr>
        <w:pStyle w:val="NormalWeb"/>
        <w:spacing w:before="0" w:beforeAutospacing="0" w:after="0" w:afterAutospacing="0"/>
      </w:pPr>
    </w:p>
    <w:p w:rsidR="00C33263" w:rsidRDefault="00431B3E" w:rsidP="001571E0">
      <w:pPr>
        <w:pStyle w:val="NormalWeb"/>
        <w:spacing w:before="0" w:beforeAutospacing="0" w:after="0" w:afterAutospacing="0"/>
      </w:pPr>
      <w:r>
        <w:t>The Belcher Review recommended that “Finance develop, in consultation with key regulators, a short guide to promote clarity and consistency in language used in regulatory and guidance documents...”.</w:t>
      </w:r>
    </w:p>
    <w:p w:rsidR="00930956" w:rsidRDefault="00930956" w:rsidP="001571E0">
      <w:pPr>
        <w:pStyle w:val="NormalWeb"/>
        <w:spacing w:before="0" w:beforeAutospacing="0" w:after="0" w:afterAutospacing="0"/>
      </w:pPr>
    </w:p>
    <w:p w:rsidR="00FD5C32" w:rsidRDefault="00FD5C32" w:rsidP="00FD5C32">
      <w:pPr>
        <w:pStyle w:val="NormalWeb"/>
        <w:spacing w:before="0" w:beforeAutospacing="0" w:after="0" w:afterAutospacing="0"/>
      </w:pPr>
      <w:r>
        <w:t>This guidance aims to promote clarity and consistency in the language used in internal regulation and guidance, as well as offering better practice suggestions to streamline materials and improve their usefulness.</w:t>
      </w:r>
    </w:p>
    <w:p w:rsidR="00A02AA1" w:rsidRDefault="00A02AA1" w:rsidP="00A02AA1">
      <w:pPr>
        <w:pStyle w:val="NormalWeb"/>
        <w:spacing w:before="0" w:beforeAutospacing="0" w:after="0" w:afterAutospacing="0"/>
        <w:rPr>
          <w:rFonts w:ascii="Cambria" w:hAnsi="Cambria"/>
        </w:rPr>
      </w:pPr>
    </w:p>
    <w:p w:rsidR="001571E0" w:rsidRPr="008111BD" w:rsidRDefault="00F62400" w:rsidP="001571E0">
      <w:pPr>
        <w:pStyle w:val="Heading2"/>
        <w:rPr>
          <w:rFonts w:ascii="Times New Roman" w:hAnsi="Times New Roman"/>
          <w:sz w:val="24"/>
        </w:rPr>
      </w:pPr>
      <w:r w:rsidRPr="008111BD">
        <w:rPr>
          <w:rFonts w:ascii="Times New Roman" w:hAnsi="Times New Roman"/>
        </w:rPr>
        <w:t xml:space="preserve">Language: </w:t>
      </w:r>
      <w:r w:rsidR="00431B3E">
        <w:rPr>
          <w:rFonts w:ascii="Times New Roman" w:hAnsi="Times New Roman"/>
        </w:rPr>
        <w:t>guidance</w:t>
      </w:r>
      <w:r w:rsidRPr="008111BD">
        <w:rPr>
          <w:rFonts w:ascii="Times New Roman" w:hAnsi="Times New Roman"/>
        </w:rPr>
        <w:t xml:space="preserve">: </w:t>
      </w:r>
      <w:r w:rsidR="001571E0" w:rsidRPr="008111BD">
        <w:rPr>
          <w:rFonts w:ascii="Times New Roman" w:hAnsi="Times New Roman"/>
          <w:b w:val="0"/>
          <w:sz w:val="24"/>
        </w:rPr>
        <w:t xml:space="preserve"> </w:t>
      </w:r>
    </w:p>
    <w:p w:rsidR="00FF184F" w:rsidRPr="008111BD" w:rsidRDefault="008111BD" w:rsidP="001571E0">
      <w:pPr>
        <w:pStyle w:val="ListParagraph"/>
        <w:numPr>
          <w:ilvl w:val="0"/>
          <w:numId w:val="11"/>
        </w:numPr>
        <w:rPr>
          <w:rFonts w:ascii="Times New Roman" w:hAnsi="Times New Roman"/>
          <w:sz w:val="24"/>
        </w:rPr>
      </w:pPr>
      <w:r w:rsidRPr="008111BD">
        <w:rPr>
          <w:rFonts w:ascii="Times New Roman" w:hAnsi="Times New Roman"/>
          <w:sz w:val="24"/>
        </w:rPr>
        <w:t>D</w:t>
      </w:r>
      <w:r w:rsidR="00FF184F" w:rsidRPr="008111BD">
        <w:rPr>
          <w:rFonts w:ascii="Times New Roman" w:hAnsi="Times New Roman"/>
          <w:sz w:val="24"/>
        </w:rPr>
        <w:t>evelop internal regulation or guidance material that is concise, clear and in plain language where possible so that it is user-friendly and easy to understand.</w:t>
      </w:r>
    </w:p>
    <w:p w:rsidR="001571E0" w:rsidRPr="008111BD" w:rsidRDefault="008111BD" w:rsidP="001571E0">
      <w:pPr>
        <w:pStyle w:val="ListParagraph"/>
        <w:numPr>
          <w:ilvl w:val="0"/>
          <w:numId w:val="11"/>
        </w:numPr>
        <w:rPr>
          <w:rFonts w:ascii="Times New Roman" w:hAnsi="Times New Roman"/>
          <w:sz w:val="24"/>
        </w:rPr>
      </w:pPr>
      <w:r w:rsidRPr="008111BD">
        <w:rPr>
          <w:rFonts w:ascii="Times New Roman" w:hAnsi="Times New Roman"/>
          <w:sz w:val="24"/>
        </w:rPr>
        <w:t>M</w:t>
      </w:r>
      <w:r w:rsidR="001571E0" w:rsidRPr="008111BD">
        <w:rPr>
          <w:rFonts w:ascii="Times New Roman" w:hAnsi="Times New Roman"/>
          <w:sz w:val="24"/>
        </w:rPr>
        <w:t xml:space="preserve">andatory </w:t>
      </w:r>
      <w:r w:rsidR="004668A6">
        <w:rPr>
          <w:rFonts w:ascii="Times New Roman" w:hAnsi="Times New Roman"/>
          <w:sz w:val="24"/>
        </w:rPr>
        <w:t>requirements</w:t>
      </w:r>
      <w:r w:rsidR="008E4FC8" w:rsidRPr="008111BD">
        <w:rPr>
          <w:rFonts w:ascii="Times New Roman" w:hAnsi="Times New Roman"/>
          <w:sz w:val="24"/>
        </w:rPr>
        <w:t xml:space="preserve"> </w:t>
      </w:r>
      <w:r w:rsidR="001571E0" w:rsidRPr="008111BD">
        <w:rPr>
          <w:rFonts w:ascii="Times New Roman" w:hAnsi="Times New Roman"/>
          <w:sz w:val="24"/>
        </w:rPr>
        <w:t>would best be articulated through the consistent use of language such as ‘must’, and ‘require/required to’</w:t>
      </w:r>
      <w:r w:rsidRPr="008111BD">
        <w:rPr>
          <w:rFonts w:ascii="Times New Roman" w:hAnsi="Times New Roman"/>
          <w:sz w:val="24"/>
        </w:rPr>
        <w:t>.</w:t>
      </w:r>
      <w:r w:rsidR="001571E0" w:rsidRPr="008111BD">
        <w:rPr>
          <w:rFonts w:ascii="Times New Roman" w:hAnsi="Times New Roman"/>
          <w:sz w:val="24"/>
        </w:rPr>
        <w:t xml:space="preserve"> </w:t>
      </w:r>
    </w:p>
    <w:p w:rsidR="001571E0" w:rsidRPr="008111BD" w:rsidRDefault="008111BD" w:rsidP="001571E0">
      <w:pPr>
        <w:pStyle w:val="ListParagraph"/>
        <w:numPr>
          <w:ilvl w:val="0"/>
          <w:numId w:val="11"/>
        </w:numPr>
        <w:rPr>
          <w:rFonts w:ascii="Times New Roman" w:hAnsi="Times New Roman"/>
          <w:sz w:val="24"/>
        </w:rPr>
      </w:pPr>
      <w:r w:rsidRPr="008111BD">
        <w:rPr>
          <w:rFonts w:ascii="Times New Roman" w:hAnsi="Times New Roman"/>
          <w:sz w:val="24"/>
        </w:rPr>
        <w:t>N</w:t>
      </w:r>
      <w:r w:rsidR="001571E0" w:rsidRPr="008111BD">
        <w:rPr>
          <w:rFonts w:ascii="Times New Roman" w:hAnsi="Times New Roman"/>
          <w:sz w:val="24"/>
        </w:rPr>
        <w:t>on-mandatory</w:t>
      </w:r>
      <w:r w:rsidR="00CF4A11">
        <w:rPr>
          <w:rFonts w:ascii="Times New Roman" w:hAnsi="Times New Roman"/>
          <w:sz w:val="24"/>
        </w:rPr>
        <w:t xml:space="preserve"> </w:t>
      </w:r>
      <w:r w:rsidR="00930956" w:rsidRPr="008111BD">
        <w:rPr>
          <w:rFonts w:ascii="Times New Roman" w:hAnsi="Times New Roman"/>
          <w:sz w:val="24"/>
        </w:rPr>
        <w:t>guidance</w:t>
      </w:r>
      <w:r w:rsidR="001571E0" w:rsidRPr="008111BD">
        <w:rPr>
          <w:rFonts w:ascii="Times New Roman" w:hAnsi="Times New Roman"/>
          <w:sz w:val="24"/>
        </w:rPr>
        <w:t xml:space="preserve"> would best use terms like ‘may’, ‘could’, ‘are encouraged to’ or ‘consider’</w:t>
      </w:r>
      <w:r w:rsidRPr="008111BD">
        <w:rPr>
          <w:rFonts w:ascii="Times New Roman" w:hAnsi="Times New Roman"/>
          <w:sz w:val="24"/>
        </w:rPr>
        <w:t>.</w:t>
      </w:r>
    </w:p>
    <w:p w:rsidR="00FF184F" w:rsidRPr="008111BD" w:rsidRDefault="008111BD" w:rsidP="008111BD">
      <w:pPr>
        <w:pStyle w:val="ListParagraph"/>
        <w:numPr>
          <w:ilvl w:val="0"/>
          <w:numId w:val="11"/>
        </w:numPr>
        <w:rPr>
          <w:rFonts w:ascii="Times New Roman" w:hAnsi="Times New Roman"/>
          <w:sz w:val="24"/>
        </w:rPr>
      </w:pPr>
      <w:r w:rsidRPr="008111BD">
        <w:rPr>
          <w:rFonts w:ascii="Times New Roman" w:hAnsi="Times New Roman"/>
          <w:sz w:val="24"/>
        </w:rPr>
        <w:t>T</w:t>
      </w:r>
      <w:r w:rsidR="00F62400" w:rsidRPr="008111BD">
        <w:rPr>
          <w:rFonts w:ascii="Times New Roman" w:hAnsi="Times New Roman"/>
          <w:sz w:val="24"/>
        </w:rPr>
        <w:t xml:space="preserve">he </w:t>
      </w:r>
      <w:r w:rsidR="00CF3FE3" w:rsidRPr="008111BD">
        <w:rPr>
          <w:rFonts w:ascii="Times New Roman" w:hAnsi="Times New Roman"/>
          <w:sz w:val="24"/>
        </w:rPr>
        <w:t xml:space="preserve">word </w:t>
      </w:r>
      <w:r w:rsidR="00F62400" w:rsidRPr="008111BD">
        <w:rPr>
          <w:rFonts w:ascii="Times New Roman" w:hAnsi="Times New Roman"/>
          <w:sz w:val="24"/>
        </w:rPr>
        <w:t>‘should’</w:t>
      </w:r>
      <w:r w:rsidR="00330434" w:rsidRPr="00330434">
        <w:rPr>
          <w:rFonts w:ascii="Times New Roman" w:hAnsi="Times New Roman"/>
          <w:vertAlign w:val="superscript"/>
        </w:rPr>
        <w:footnoteReference w:id="1"/>
      </w:r>
      <w:r w:rsidR="00F62400" w:rsidRPr="008111BD">
        <w:rPr>
          <w:rFonts w:ascii="Times New Roman" w:hAnsi="Times New Roman"/>
          <w:sz w:val="24"/>
        </w:rPr>
        <w:t xml:space="preserve"> is best to be avoided, as, even when used in the term ‘should consider’, it has been interpreted t</w:t>
      </w:r>
      <w:r w:rsidR="00D25264" w:rsidRPr="008111BD">
        <w:rPr>
          <w:rFonts w:ascii="Times New Roman" w:hAnsi="Times New Roman"/>
          <w:sz w:val="24"/>
        </w:rPr>
        <w:t xml:space="preserve">o imply mandatory </w:t>
      </w:r>
      <w:r w:rsidR="004668A6">
        <w:rPr>
          <w:rFonts w:ascii="Times New Roman" w:hAnsi="Times New Roman"/>
          <w:sz w:val="24"/>
        </w:rPr>
        <w:t>requirements</w:t>
      </w:r>
      <w:r w:rsidR="00D25264" w:rsidRPr="008111BD">
        <w:rPr>
          <w:rFonts w:ascii="Times New Roman" w:hAnsi="Times New Roman"/>
          <w:sz w:val="24"/>
        </w:rPr>
        <w:t xml:space="preserve">, particularly </w:t>
      </w:r>
      <w:r w:rsidR="00930956" w:rsidRPr="008111BD">
        <w:rPr>
          <w:rFonts w:ascii="Times New Roman" w:hAnsi="Times New Roman"/>
          <w:sz w:val="24"/>
        </w:rPr>
        <w:t>by smaller</w:t>
      </w:r>
      <w:r w:rsidR="00D25264" w:rsidRPr="008111BD">
        <w:rPr>
          <w:rFonts w:ascii="Times New Roman" w:hAnsi="Times New Roman"/>
          <w:sz w:val="24"/>
        </w:rPr>
        <w:t xml:space="preserve"> entities</w:t>
      </w:r>
      <w:r w:rsidR="00CF4A11">
        <w:rPr>
          <w:rFonts w:ascii="Times New Roman" w:hAnsi="Times New Roman"/>
          <w:sz w:val="24"/>
        </w:rPr>
        <w:t xml:space="preserve"> with limited capacity to devote resources to compliance </w:t>
      </w:r>
      <w:r w:rsidR="00106AA6">
        <w:rPr>
          <w:rFonts w:ascii="Times New Roman" w:hAnsi="Times New Roman"/>
          <w:sz w:val="24"/>
        </w:rPr>
        <w:t>activities</w:t>
      </w:r>
      <w:r w:rsidR="00D25264" w:rsidRPr="008111BD">
        <w:rPr>
          <w:rFonts w:ascii="Times New Roman" w:hAnsi="Times New Roman"/>
          <w:sz w:val="24"/>
        </w:rPr>
        <w:t xml:space="preserve">. This has occurred even where </w:t>
      </w:r>
      <w:r w:rsidR="00D25264" w:rsidRPr="008111BD">
        <w:rPr>
          <w:rFonts w:ascii="Times New Roman" w:hAnsi="Times New Roman"/>
          <w:sz w:val="24"/>
        </w:rPr>
        <w:lastRenderedPageBreak/>
        <w:t>the use of the term has been defined in the document as meaning good practice and not mandatory</w:t>
      </w:r>
      <w:r w:rsidRPr="008111BD">
        <w:rPr>
          <w:rFonts w:ascii="Times New Roman" w:hAnsi="Times New Roman"/>
          <w:sz w:val="24"/>
        </w:rPr>
        <w:t>.</w:t>
      </w:r>
    </w:p>
    <w:p w:rsidR="001571E0" w:rsidRDefault="008111BD" w:rsidP="008111BD">
      <w:pPr>
        <w:pStyle w:val="ListParagraph"/>
        <w:numPr>
          <w:ilvl w:val="0"/>
          <w:numId w:val="11"/>
        </w:numPr>
        <w:rPr>
          <w:sz w:val="24"/>
        </w:rPr>
      </w:pPr>
      <w:r w:rsidRPr="008111BD">
        <w:rPr>
          <w:rFonts w:ascii="Times New Roman" w:hAnsi="Times New Roman"/>
          <w:sz w:val="24"/>
        </w:rPr>
        <w:t>S</w:t>
      </w:r>
      <w:r w:rsidR="00FF184F" w:rsidRPr="008111BD">
        <w:rPr>
          <w:rFonts w:ascii="Times New Roman" w:hAnsi="Times New Roman"/>
          <w:sz w:val="24"/>
        </w:rPr>
        <w:t>imilarly, while ‘shall’ was traditionally used in legal drafting to refer to an obligation, it is also best avoided as it can be confusing in different contexts (for example, it can sometimes mean ‘will’, ‘should’ or ‘may’) and is not plain language.</w:t>
      </w:r>
      <w:r w:rsidR="00FF184F">
        <w:rPr>
          <w:sz w:val="24"/>
        </w:rPr>
        <w:t xml:space="preserve">  </w:t>
      </w:r>
    </w:p>
    <w:p w:rsidR="001571E0" w:rsidRPr="008111BD" w:rsidRDefault="001571E0" w:rsidP="001571E0">
      <w:pPr>
        <w:pStyle w:val="Heading2"/>
        <w:rPr>
          <w:rFonts w:ascii="Times New Roman" w:hAnsi="Times New Roman"/>
        </w:rPr>
      </w:pPr>
      <w:r w:rsidRPr="008111BD">
        <w:rPr>
          <w:rFonts w:ascii="Times New Roman" w:hAnsi="Times New Roman"/>
        </w:rPr>
        <w:t xml:space="preserve">Referring to mandatory </w:t>
      </w:r>
      <w:r w:rsidR="004668A6" w:rsidRPr="004668A6">
        <w:rPr>
          <w:rFonts w:ascii="Times New Roman" w:hAnsi="Times New Roman"/>
        </w:rPr>
        <w:t>requirements</w:t>
      </w:r>
      <w:r w:rsidR="00F62400" w:rsidRPr="008111BD">
        <w:rPr>
          <w:rFonts w:ascii="Times New Roman" w:hAnsi="Times New Roman"/>
        </w:rPr>
        <w:t xml:space="preserve">: </w:t>
      </w:r>
      <w:r w:rsidR="008E4FC8">
        <w:rPr>
          <w:rFonts w:ascii="Times New Roman" w:hAnsi="Times New Roman"/>
        </w:rPr>
        <w:t>guidance</w:t>
      </w:r>
      <w:r w:rsidR="00F62400" w:rsidRPr="008111BD">
        <w:rPr>
          <w:rFonts w:ascii="Times New Roman" w:hAnsi="Times New Roman"/>
        </w:rPr>
        <w:t>:</w:t>
      </w:r>
    </w:p>
    <w:p w:rsidR="001571E0" w:rsidRPr="008111BD" w:rsidRDefault="001571E0" w:rsidP="008111BD">
      <w:pPr>
        <w:pStyle w:val="ListParagraph"/>
        <w:numPr>
          <w:ilvl w:val="0"/>
          <w:numId w:val="11"/>
        </w:numPr>
        <w:rPr>
          <w:rFonts w:ascii="Times New Roman" w:hAnsi="Times New Roman"/>
          <w:sz w:val="24"/>
        </w:rPr>
      </w:pPr>
      <w:r w:rsidRPr="008111BD">
        <w:rPr>
          <w:rFonts w:ascii="Times New Roman" w:hAnsi="Times New Roman"/>
          <w:sz w:val="24"/>
        </w:rPr>
        <w:t xml:space="preserve">Internal regulation and guidance </w:t>
      </w:r>
      <w:r w:rsidR="00943577">
        <w:rPr>
          <w:rFonts w:ascii="Times New Roman" w:hAnsi="Times New Roman"/>
          <w:sz w:val="24"/>
        </w:rPr>
        <w:t xml:space="preserve">information </w:t>
      </w:r>
      <w:r w:rsidRPr="008111BD">
        <w:rPr>
          <w:rFonts w:ascii="Times New Roman" w:hAnsi="Times New Roman"/>
          <w:sz w:val="24"/>
        </w:rPr>
        <w:t xml:space="preserve">clearly state the authority for the mandatory </w:t>
      </w:r>
      <w:r w:rsidR="004668A6">
        <w:rPr>
          <w:rFonts w:ascii="Times New Roman" w:hAnsi="Times New Roman"/>
          <w:sz w:val="24"/>
        </w:rPr>
        <w:t>requirements</w:t>
      </w:r>
      <w:r w:rsidRPr="008111BD">
        <w:rPr>
          <w:rFonts w:ascii="Times New Roman" w:hAnsi="Times New Roman"/>
          <w:sz w:val="24"/>
        </w:rPr>
        <w:t>. A brief explanation of the reason behind the request for action can also assist agencies in better understanding the clear connection between the regulation design and desired policy outcomes.</w:t>
      </w:r>
    </w:p>
    <w:p w:rsidR="00124520" w:rsidRPr="008111BD" w:rsidRDefault="008111BD" w:rsidP="008111BD">
      <w:pPr>
        <w:pStyle w:val="ListParagraph"/>
        <w:numPr>
          <w:ilvl w:val="0"/>
          <w:numId w:val="11"/>
        </w:numPr>
        <w:rPr>
          <w:rFonts w:ascii="Times New Roman" w:hAnsi="Times New Roman"/>
          <w:sz w:val="24"/>
        </w:rPr>
      </w:pPr>
      <w:r w:rsidRPr="008111BD">
        <w:rPr>
          <w:rFonts w:ascii="Times New Roman" w:hAnsi="Times New Roman"/>
          <w:sz w:val="24"/>
        </w:rPr>
        <w:t>Clearly cite (preferably link) and not paraphrase all r</w:t>
      </w:r>
      <w:r w:rsidR="001571E0" w:rsidRPr="008111BD">
        <w:rPr>
          <w:rFonts w:ascii="Times New Roman" w:hAnsi="Times New Roman"/>
          <w:sz w:val="24"/>
        </w:rPr>
        <w:t>eference</w:t>
      </w:r>
      <w:r w:rsidRPr="008111BD">
        <w:rPr>
          <w:rFonts w:ascii="Times New Roman" w:hAnsi="Times New Roman"/>
          <w:sz w:val="24"/>
        </w:rPr>
        <w:t>s</w:t>
      </w:r>
      <w:r w:rsidR="001571E0" w:rsidRPr="008111BD">
        <w:rPr>
          <w:rFonts w:ascii="Times New Roman" w:hAnsi="Times New Roman"/>
          <w:sz w:val="24"/>
        </w:rPr>
        <w:t xml:space="preserve"> to mandatory requirements imposed by other documents or legislation.</w:t>
      </w:r>
    </w:p>
    <w:p w:rsidR="001571E0" w:rsidRDefault="008111BD" w:rsidP="008111BD">
      <w:pPr>
        <w:pStyle w:val="ListParagraph"/>
        <w:numPr>
          <w:ilvl w:val="0"/>
          <w:numId w:val="11"/>
        </w:numPr>
        <w:rPr>
          <w:rFonts w:ascii="Times New Roman" w:hAnsi="Times New Roman"/>
          <w:sz w:val="24"/>
        </w:rPr>
      </w:pPr>
      <w:r w:rsidRPr="008111BD">
        <w:rPr>
          <w:rFonts w:ascii="Times New Roman" w:hAnsi="Times New Roman"/>
          <w:sz w:val="24"/>
        </w:rPr>
        <w:t xml:space="preserve">Identify clearly in one section and early in the document </w:t>
      </w:r>
      <w:r w:rsidR="001571E0" w:rsidRPr="008111BD">
        <w:rPr>
          <w:rFonts w:ascii="Times New Roman" w:hAnsi="Times New Roman"/>
          <w:sz w:val="24"/>
        </w:rPr>
        <w:t xml:space="preserve">all mandatory </w:t>
      </w:r>
      <w:r w:rsidR="004668A6">
        <w:rPr>
          <w:rFonts w:ascii="Times New Roman" w:hAnsi="Times New Roman"/>
          <w:sz w:val="24"/>
        </w:rPr>
        <w:t>requirements</w:t>
      </w:r>
      <w:r w:rsidR="00CF4A11">
        <w:rPr>
          <w:rFonts w:ascii="Times New Roman" w:hAnsi="Times New Roman"/>
          <w:sz w:val="24"/>
        </w:rPr>
        <w:t>;</w:t>
      </w:r>
      <w:r w:rsidR="001571E0" w:rsidRPr="008111BD">
        <w:rPr>
          <w:rFonts w:ascii="Times New Roman" w:hAnsi="Times New Roman"/>
          <w:sz w:val="24"/>
        </w:rPr>
        <w:t xml:space="preserve"> however, if that is not feasible, the practice of highlighting in bold every </w:t>
      </w:r>
      <w:r w:rsidR="00C33263">
        <w:rPr>
          <w:rFonts w:ascii="Times New Roman" w:hAnsi="Times New Roman"/>
          <w:sz w:val="24"/>
        </w:rPr>
        <w:t xml:space="preserve">mandatory </w:t>
      </w:r>
      <w:r w:rsidR="001571E0" w:rsidRPr="008111BD">
        <w:rPr>
          <w:rFonts w:ascii="Times New Roman" w:hAnsi="Times New Roman"/>
          <w:sz w:val="24"/>
        </w:rPr>
        <w:t>reference</w:t>
      </w:r>
      <w:r w:rsidR="00C33263">
        <w:rPr>
          <w:rFonts w:ascii="Times New Roman" w:hAnsi="Times New Roman"/>
          <w:sz w:val="24"/>
        </w:rPr>
        <w:t>, for example every</w:t>
      </w:r>
      <w:r w:rsidR="001571E0" w:rsidRPr="008111BD">
        <w:rPr>
          <w:rFonts w:ascii="Times New Roman" w:hAnsi="Times New Roman"/>
          <w:sz w:val="24"/>
        </w:rPr>
        <w:t xml:space="preserve"> ‘must</w:t>
      </w:r>
      <w:r w:rsidR="00C33263">
        <w:rPr>
          <w:rFonts w:ascii="Times New Roman" w:hAnsi="Times New Roman"/>
          <w:sz w:val="24"/>
        </w:rPr>
        <w:t>’</w:t>
      </w:r>
      <w:r w:rsidR="001571E0" w:rsidRPr="008111BD">
        <w:rPr>
          <w:rFonts w:ascii="Times New Roman" w:hAnsi="Times New Roman"/>
          <w:sz w:val="24"/>
        </w:rPr>
        <w:t xml:space="preserve"> or </w:t>
      </w:r>
      <w:r w:rsidR="00C33263">
        <w:rPr>
          <w:rFonts w:ascii="Times New Roman" w:hAnsi="Times New Roman"/>
          <w:sz w:val="24"/>
        </w:rPr>
        <w:t>‘</w:t>
      </w:r>
      <w:r w:rsidR="001571E0" w:rsidRPr="008111BD">
        <w:rPr>
          <w:rFonts w:ascii="Times New Roman" w:hAnsi="Times New Roman"/>
          <w:sz w:val="24"/>
        </w:rPr>
        <w:t>required to’</w:t>
      </w:r>
      <w:r w:rsidR="00C33263">
        <w:rPr>
          <w:rFonts w:ascii="Times New Roman" w:hAnsi="Times New Roman"/>
          <w:sz w:val="24"/>
        </w:rPr>
        <w:t>,</w:t>
      </w:r>
      <w:r w:rsidR="001571E0" w:rsidRPr="008111BD">
        <w:rPr>
          <w:rFonts w:ascii="Times New Roman" w:hAnsi="Times New Roman"/>
          <w:sz w:val="24"/>
        </w:rPr>
        <w:t xml:space="preserve"> can be an effective way of focussing on the mandatory elements.</w:t>
      </w:r>
    </w:p>
    <w:p w:rsidR="00943577" w:rsidRPr="008111BD" w:rsidRDefault="004668A6" w:rsidP="008111BD">
      <w:pPr>
        <w:pStyle w:val="ListParagraph"/>
        <w:numPr>
          <w:ilvl w:val="0"/>
          <w:numId w:val="11"/>
        </w:numPr>
        <w:rPr>
          <w:rFonts w:ascii="Times New Roman" w:hAnsi="Times New Roman"/>
          <w:sz w:val="24"/>
        </w:rPr>
      </w:pPr>
      <w:r>
        <w:rPr>
          <w:rFonts w:ascii="Times New Roman" w:hAnsi="Times New Roman"/>
          <w:sz w:val="24"/>
        </w:rPr>
        <w:t>It may also be useful to include a box at the beginning of the document stating how the words such as ‘must’, ‘may’, ‘could’, or ‘consider’ are to be interpreted in the document.</w:t>
      </w:r>
    </w:p>
    <w:p w:rsidR="001571E0" w:rsidRPr="008111BD" w:rsidRDefault="001571E0" w:rsidP="008111BD">
      <w:pPr>
        <w:pStyle w:val="ListParagraph"/>
        <w:numPr>
          <w:ilvl w:val="0"/>
          <w:numId w:val="11"/>
        </w:numPr>
        <w:rPr>
          <w:rFonts w:ascii="Times New Roman" w:hAnsi="Times New Roman"/>
          <w:sz w:val="24"/>
        </w:rPr>
      </w:pPr>
      <w:r w:rsidRPr="008111BD">
        <w:rPr>
          <w:rFonts w:ascii="Times New Roman" w:hAnsi="Times New Roman"/>
          <w:sz w:val="24"/>
        </w:rPr>
        <w:t>Where guidance is in the form of a better practice guide</w:t>
      </w:r>
      <w:r w:rsidR="001A4F47" w:rsidRPr="008111BD">
        <w:rPr>
          <w:rFonts w:ascii="Times New Roman" w:hAnsi="Times New Roman"/>
          <w:sz w:val="24"/>
        </w:rPr>
        <w:t xml:space="preserve">, </w:t>
      </w:r>
      <w:r w:rsidRPr="008111BD">
        <w:rPr>
          <w:rFonts w:ascii="Times New Roman" w:hAnsi="Times New Roman"/>
          <w:sz w:val="24"/>
        </w:rPr>
        <w:t>it is made clear that these are non</w:t>
      </w:r>
      <w:r w:rsidRPr="008111BD">
        <w:rPr>
          <w:rFonts w:ascii="Times New Roman" w:hAnsi="Times New Roman"/>
          <w:sz w:val="24"/>
        </w:rPr>
        <w:noBreakHyphen/>
        <w:t xml:space="preserve">mandatory. It is important to resist the idea that mandating guidance is helpful to entities and in their best interest. It rarely is. </w:t>
      </w:r>
    </w:p>
    <w:p w:rsidR="001571E0" w:rsidRPr="008111BD" w:rsidRDefault="001A4F47" w:rsidP="008111BD">
      <w:pPr>
        <w:pStyle w:val="ListParagraph"/>
        <w:numPr>
          <w:ilvl w:val="0"/>
          <w:numId w:val="11"/>
        </w:numPr>
        <w:rPr>
          <w:rFonts w:ascii="Times New Roman" w:hAnsi="Times New Roman"/>
          <w:sz w:val="24"/>
        </w:rPr>
      </w:pPr>
      <w:r w:rsidRPr="008111BD">
        <w:rPr>
          <w:rFonts w:ascii="Times New Roman" w:hAnsi="Times New Roman"/>
          <w:sz w:val="24"/>
        </w:rPr>
        <w:t xml:space="preserve">Conversely, where authority exists, documents can be mislabelled as guidance. Government policy which sets out mandatory </w:t>
      </w:r>
      <w:r w:rsidR="004668A6">
        <w:rPr>
          <w:rFonts w:ascii="Times New Roman" w:hAnsi="Times New Roman"/>
          <w:sz w:val="24"/>
        </w:rPr>
        <w:t>requirements</w:t>
      </w:r>
      <w:r w:rsidRPr="008111BD">
        <w:rPr>
          <w:rFonts w:ascii="Times New Roman" w:hAnsi="Times New Roman"/>
          <w:sz w:val="24"/>
        </w:rPr>
        <w:t xml:space="preserve"> for non-corporate Commonwealth entities needs to be clearly identified.</w:t>
      </w:r>
    </w:p>
    <w:p w:rsidR="001571E0" w:rsidRPr="008111BD" w:rsidRDefault="001571E0" w:rsidP="001571E0">
      <w:pPr>
        <w:pStyle w:val="Heading2"/>
        <w:rPr>
          <w:rFonts w:ascii="Times New Roman" w:hAnsi="Times New Roman"/>
        </w:rPr>
      </w:pPr>
      <w:r w:rsidRPr="008111BD">
        <w:rPr>
          <w:rFonts w:ascii="Times New Roman" w:hAnsi="Times New Roman"/>
        </w:rPr>
        <w:t>Improving accessibility and usefulness: good practice suggestions:</w:t>
      </w:r>
    </w:p>
    <w:p w:rsidR="001571E0" w:rsidRPr="00E01E60" w:rsidRDefault="001571E0" w:rsidP="008111BD">
      <w:pPr>
        <w:pStyle w:val="ListParagraph"/>
        <w:numPr>
          <w:ilvl w:val="0"/>
          <w:numId w:val="11"/>
        </w:numPr>
        <w:rPr>
          <w:rFonts w:ascii="Times New Roman" w:hAnsi="Times New Roman"/>
          <w:sz w:val="24"/>
        </w:rPr>
      </w:pPr>
      <w:r w:rsidRPr="00E01E60">
        <w:rPr>
          <w:rFonts w:ascii="Times New Roman" w:hAnsi="Times New Roman"/>
          <w:sz w:val="24"/>
        </w:rPr>
        <w:t xml:space="preserve">Guidance materials, including templates, are digital by design, to maximise the opportunities for web publication, disability accessibility, and information interoperability. </w:t>
      </w:r>
    </w:p>
    <w:p w:rsidR="001571E0" w:rsidRPr="00E01E60" w:rsidRDefault="001571E0" w:rsidP="008111BD">
      <w:pPr>
        <w:pStyle w:val="ListParagraph"/>
        <w:numPr>
          <w:ilvl w:val="0"/>
          <w:numId w:val="11"/>
        </w:numPr>
        <w:rPr>
          <w:rFonts w:ascii="Times New Roman" w:hAnsi="Times New Roman"/>
          <w:sz w:val="24"/>
        </w:rPr>
      </w:pPr>
      <w:r w:rsidRPr="00E01E60">
        <w:rPr>
          <w:rFonts w:ascii="Times New Roman" w:hAnsi="Times New Roman"/>
          <w:sz w:val="24"/>
        </w:rPr>
        <w:t>Regulation and guidance materials are developed in consultation with stakeholders, to test clarity and usefulness, and ensure templates and reports meet internal as well as external compliance and reporting requirements (in accordance with the Principles for Internal Regulation</w:t>
      </w:r>
      <w:r w:rsidR="00C33263">
        <w:rPr>
          <w:rFonts w:ascii="Times New Roman" w:hAnsi="Times New Roman"/>
          <w:sz w:val="24"/>
        </w:rPr>
        <w:t xml:space="preserve"> – </w:t>
      </w:r>
      <w:r w:rsidR="00AE4605">
        <w:rPr>
          <w:rFonts w:ascii="Times New Roman" w:hAnsi="Times New Roman"/>
          <w:sz w:val="24"/>
        </w:rPr>
        <w:t>refer to the g</w:t>
      </w:r>
      <w:r w:rsidR="00C33263">
        <w:rPr>
          <w:rFonts w:ascii="Times New Roman" w:hAnsi="Times New Roman"/>
          <w:sz w:val="24"/>
        </w:rPr>
        <w:t>lossary for further information</w:t>
      </w:r>
      <w:r w:rsidRPr="00E01E60">
        <w:rPr>
          <w:rFonts w:ascii="Times New Roman" w:hAnsi="Times New Roman"/>
          <w:sz w:val="24"/>
        </w:rPr>
        <w:t>)</w:t>
      </w:r>
      <w:r w:rsidR="008111BD">
        <w:rPr>
          <w:rFonts w:ascii="Times New Roman" w:hAnsi="Times New Roman"/>
          <w:sz w:val="24"/>
        </w:rPr>
        <w:t>.</w:t>
      </w:r>
    </w:p>
    <w:p w:rsidR="001571E0" w:rsidRPr="008111BD" w:rsidRDefault="001571E0" w:rsidP="008111BD">
      <w:pPr>
        <w:pStyle w:val="ListParagraph"/>
        <w:numPr>
          <w:ilvl w:val="0"/>
          <w:numId w:val="11"/>
        </w:numPr>
        <w:rPr>
          <w:rFonts w:ascii="Times New Roman" w:hAnsi="Times New Roman"/>
          <w:sz w:val="24"/>
        </w:rPr>
      </w:pPr>
      <w:r w:rsidRPr="008111BD">
        <w:rPr>
          <w:rFonts w:ascii="Times New Roman" w:hAnsi="Times New Roman"/>
          <w:sz w:val="24"/>
        </w:rPr>
        <w:t xml:space="preserve">Guidance material </w:t>
      </w:r>
      <w:r w:rsidR="00D9237F" w:rsidRPr="008111BD">
        <w:rPr>
          <w:rFonts w:ascii="Times New Roman" w:hAnsi="Times New Roman"/>
          <w:sz w:val="24"/>
        </w:rPr>
        <w:t>supports</w:t>
      </w:r>
      <w:r w:rsidRPr="008111BD">
        <w:rPr>
          <w:rFonts w:ascii="Times New Roman" w:hAnsi="Times New Roman"/>
          <w:sz w:val="24"/>
        </w:rPr>
        <w:t xml:space="preserve"> differing approaches depending on the size and complexity of the entity</w:t>
      </w:r>
      <w:r w:rsidR="001A4F47" w:rsidRPr="008111BD">
        <w:rPr>
          <w:rFonts w:ascii="Times New Roman" w:hAnsi="Times New Roman"/>
          <w:sz w:val="24"/>
        </w:rPr>
        <w:t>,</w:t>
      </w:r>
      <w:r w:rsidRPr="008111BD">
        <w:rPr>
          <w:rFonts w:ascii="Times New Roman" w:hAnsi="Times New Roman"/>
          <w:sz w:val="24"/>
        </w:rPr>
        <w:t xml:space="preserve"> and the need for exercising judgements based on an assessment of risk for both the entity</w:t>
      </w:r>
      <w:r w:rsidR="00EC5425" w:rsidRPr="008111BD">
        <w:rPr>
          <w:rFonts w:ascii="Times New Roman" w:hAnsi="Times New Roman"/>
          <w:sz w:val="24"/>
        </w:rPr>
        <w:t>,</w:t>
      </w:r>
      <w:r w:rsidRPr="008111BD">
        <w:rPr>
          <w:rFonts w:ascii="Times New Roman" w:hAnsi="Times New Roman"/>
          <w:sz w:val="24"/>
        </w:rPr>
        <w:t xml:space="preserve"> and the government as a whole.</w:t>
      </w:r>
    </w:p>
    <w:p w:rsidR="001571E0" w:rsidRPr="008111BD" w:rsidRDefault="002E34A3" w:rsidP="008111BD">
      <w:pPr>
        <w:pStyle w:val="ListParagraph"/>
        <w:numPr>
          <w:ilvl w:val="0"/>
          <w:numId w:val="11"/>
        </w:numPr>
        <w:rPr>
          <w:rFonts w:ascii="Times New Roman" w:hAnsi="Times New Roman"/>
          <w:sz w:val="24"/>
        </w:rPr>
      </w:pPr>
      <w:r w:rsidRPr="008111BD">
        <w:rPr>
          <w:rFonts w:ascii="Times New Roman" w:hAnsi="Times New Roman"/>
          <w:sz w:val="24"/>
        </w:rPr>
        <w:t>C</w:t>
      </w:r>
      <w:r w:rsidR="001A4F47" w:rsidRPr="008111BD">
        <w:rPr>
          <w:rFonts w:ascii="Times New Roman" w:hAnsi="Times New Roman"/>
          <w:sz w:val="24"/>
        </w:rPr>
        <w:t>ompliance burden on entities</w:t>
      </w:r>
      <w:r w:rsidR="00D9237F" w:rsidRPr="008111BD">
        <w:rPr>
          <w:rFonts w:ascii="Times New Roman" w:hAnsi="Times New Roman"/>
          <w:sz w:val="24"/>
        </w:rPr>
        <w:t xml:space="preserve"> in interpreting mandatory </w:t>
      </w:r>
      <w:r w:rsidR="004668A6">
        <w:rPr>
          <w:rFonts w:ascii="Times New Roman" w:hAnsi="Times New Roman"/>
          <w:sz w:val="24"/>
        </w:rPr>
        <w:t>requirements</w:t>
      </w:r>
      <w:r w:rsidR="00A17C4B">
        <w:rPr>
          <w:rFonts w:ascii="Times New Roman" w:hAnsi="Times New Roman"/>
          <w:sz w:val="24"/>
        </w:rPr>
        <w:t xml:space="preserve"> </w:t>
      </w:r>
      <w:r w:rsidR="001A4F47" w:rsidRPr="008111BD">
        <w:rPr>
          <w:rFonts w:ascii="Times New Roman" w:hAnsi="Times New Roman"/>
          <w:sz w:val="24"/>
        </w:rPr>
        <w:t xml:space="preserve">can be reduced by including case studies, worked samples and /or </w:t>
      </w:r>
      <w:r w:rsidR="001571E0" w:rsidRPr="008111BD">
        <w:rPr>
          <w:rFonts w:ascii="Times New Roman" w:hAnsi="Times New Roman"/>
          <w:sz w:val="24"/>
        </w:rPr>
        <w:t>optional, adaptable templates.</w:t>
      </w:r>
    </w:p>
    <w:p w:rsidR="001571E0" w:rsidRPr="008111BD" w:rsidRDefault="001571E0" w:rsidP="008111BD">
      <w:pPr>
        <w:pStyle w:val="ListParagraph"/>
        <w:numPr>
          <w:ilvl w:val="0"/>
          <w:numId w:val="11"/>
        </w:numPr>
        <w:rPr>
          <w:rFonts w:ascii="Times New Roman" w:hAnsi="Times New Roman"/>
          <w:sz w:val="24"/>
        </w:rPr>
      </w:pPr>
      <w:r w:rsidRPr="008111BD">
        <w:rPr>
          <w:rFonts w:ascii="Times New Roman" w:hAnsi="Times New Roman"/>
          <w:sz w:val="24"/>
        </w:rPr>
        <w:t>The different needs of particular audiences are a consideration. This might include having different documents</w:t>
      </w:r>
      <w:r w:rsidR="00FF184F" w:rsidRPr="008111BD">
        <w:rPr>
          <w:rFonts w:ascii="Times New Roman" w:hAnsi="Times New Roman"/>
          <w:sz w:val="24"/>
        </w:rPr>
        <w:t>, or using different media (e.g. web content), to target specific audiences or address more general needs</w:t>
      </w:r>
      <w:r w:rsidRPr="008111BD">
        <w:rPr>
          <w:rFonts w:ascii="Times New Roman" w:hAnsi="Times New Roman"/>
          <w:sz w:val="24"/>
        </w:rPr>
        <w:t xml:space="preserve">. For example: </w:t>
      </w:r>
    </w:p>
    <w:p w:rsidR="001571E0" w:rsidRPr="008111BD" w:rsidRDefault="001571E0" w:rsidP="001571E0">
      <w:pPr>
        <w:pStyle w:val="ListParagraph"/>
        <w:numPr>
          <w:ilvl w:val="1"/>
          <w:numId w:val="13"/>
        </w:numPr>
        <w:rPr>
          <w:sz w:val="24"/>
        </w:rPr>
      </w:pPr>
      <w:r w:rsidRPr="001571E0">
        <w:rPr>
          <w:sz w:val="24"/>
        </w:rPr>
        <w:lastRenderedPageBreak/>
        <w:t xml:space="preserve">one core document for accountable authorities and a more detailed document </w:t>
      </w:r>
      <w:r w:rsidR="0029087D" w:rsidRPr="00CF3FE3">
        <w:rPr>
          <w:sz w:val="24"/>
        </w:rPr>
        <w:t>to assist staff responsible for implementing or complying with internal regulation</w:t>
      </w:r>
      <w:r w:rsidRPr="001571E0">
        <w:rPr>
          <w:sz w:val="24"/>
        </w:rPr>
        <w:t>; or</w:t>
      </w:r>
    </w:p>
    <w:p w:rsidR="001571E0" w:rsidRPr="008111BD" w:rsidRDefault="001571E0" w:rsidP="001571E0">
      <w:pPr>
        <w:pStyle w:val="ListParagraph"/>
        <w:numPr>
          <w:ilvl w:val="1"/>
          <w:numId w:val="13"/>
        </w:numPr>
        <w:rPr>
          <w:sz w:val="24"/>
        </w:rPr>
      </w:pPr>
      <w:r w:rsidRPr="001571E0">
        <w:rPr>
          <w:sz w:val="24"/>
        </w:rPr>
        <w:t>on the basis of security classification, one document for classified material and another document for related, but unclassified material, that would be better disseminated to a wider audience.</w:t>
      </w:r>
    </w:p>
    <w:p w:rsidR="001571E0" w:rsidRPr="008111BD" w:rsidRDefault="001571E0" w:rsidP="008111BD">
      <w:pPr>
        <w:pStyle w:val="ListParagraph"/>
        <w:numPr>
          <w:ilvl w:val="0"/>
          <w:numId w:val="11"/>
        </w:numPr>
        <w:rPr>
          <w:rFonts w:ascii="Times New Roman" w:hAnsi="Times New Roman"/>
          <w:sz w:val="24"/>
        </w:rPr>
      </w:pPr>
      <w:r w:rsidRPr="008111BD">
        <w:rPr>
          <w:rFonts w:ascii="Times New Roman" w:hAnsi="Times New Roman"/>
          <w:sz w:val="24"/>
        </w:rPr>
        <w:t>Guidance materials are designed to be as short as possible, with additional material such as worked samples and templates, questions and answers, or targeted fact sheets for different audiences, available as attachments or additional weblinks.</w:t>
      </w:r>
    </w:p>
    <w:p w:rsidR="002248D8" w:rsidRPr="008111BD" w:rsidRDefault="002248D8" w:rsidP="00304830">
      <w:pPr>
        <w:pStyle w:val="Heading2"/>
        <w:rPr>
          <w:rFonts w:ascii="Times New Roman" w:hAnsi="Times New Roman"/>
        </w:rPr>
      </w:pPr>
      <w:r w:rsidRPr="008111BD">
        <w:rPr>
          <w:rFonts w:ascii="Times New Roman" w:hAnsi="Times New Roman"/>
        </w:rPr>
        <w:t>Background</w:t>
      </w:r>
    </w:p>
    <w:p w:rsidR="00C66049" w:rsidRPr="008111BD" w:rsidRDefault="002248D8">
      <w:pPr>
        <w:pStyle w:val="NormalWeb"/>
        <w:spacing w:before="0" w:beforeAutospacing="0" w:after="120" w:afterAutospacing="0"/>
      </w:pPr>
      <w:r w:rsidRPr="008111BD">
        <w:t xml:space="preserve">Regulators issue </w:t>
      </w:r>
      <w:r w:rsidR="00431B3E">
        <w:t>information</w:t>
      </w:r>
      <w:r w:rsidR="00431B3E" w:rsidRPr="008111BD">
        <w:t xml:space="preserve"> </w:t>
      </w:r>
      <w:r w:rsidRPr="008111BD">
        <w:t xml:space="preserve">to assist entities to comply with mandatory </w:t>
      </w:r>
      <w:r w:rsidR="004668A6">
        <w:t>requirements</w:t>
      </w:r>
      <w:r w:rsidR="00C33263">
        <w:t xml:space="preserve"> </w:t>
      </w:r>
      <w:r w:rsidRPr="008111BD">
        <w:t xml:space="preserve">contained in legislation, subordinate legislation, such as regulations and rules, or government policy issued by the Prime Minister, Cabinet or responsible ministers. Policy owners can issue non-mandatory, or better practice, guidance. </w:t>
      </w:r>
    </w:p>
    <w:p w:rsidR="002248D8" w:rsidRPr="008111BD" w:rsidRDefault="00AA2E88" w:rsidP="008111BD">
      <w:pPr>
        <w:pStyle w:val="NormalWeb"/>
        <w:spacing w:before="0" w:beforeAutospacing="0" w:after="120" w:afterAutospacing="0"/>
      </w:pPr>
      <w:r w:rsidRPr="008111BD">
        <w:t xml:space="preserve">The Belcher Review found that </w:t>
      </w:r>
      <w:r w:rsidRPr="009D4331">
        <w:t xml:space="preserve">there </w:t>
      </w:r>
      <w:r>
        <w:t xml:space="preserve">can be </w:t>
      </w:r>
      <w:r w:rsidRPr="009D4331">
        <w:t xml:space="preserve">confusion </w:t>
      </w:r>
      <w:r>
        <w:t>within regulators</w:t>
      </w:r>
      <w:r w:rsidR="00CF4A11">
        <w:t xml:space="preserve"> and users</w:t>
      </w:r>
      <w:r>
        <w:t xml:space="preserve"> </w:t>
      </w:r>
      <w:r w:rsidRPr="009D4331">
        <w:t xml:space="preserve">about what </w:t>
      </w:r>
      <w:r>
        <w:t xml:space="preserve">internal </w:t>
      </w:r>
      <w:r w:rsidRPr="009D4331">
        <w:t xml:space="preserve">regulation is mandatory and what guidance </w:t>
      </w:r>
      <w:r w:rsidR="00A17C4B">
        <w:t xml:space="preserve">is </w:t>
      </w:r>
      <w:r w:rsidRPr="009D4331">
        <w:t>to be applied if it makes good sense</w:t>
      </w:r>
      <w:r>
        <w:t xml:space="preserve">. </w:t>
      </w:r>
      <w:r w:rsidR="00233706" w:rsidRPr="008111BD">
        <w:t xml:space="preserve">The main driver of the confusion is </w:t>
      </w:r>
      <w:r w:rsidR="00EC4302">
        <w:t xml:space="preserve">that </w:t>
      </w:r>
      <w:r w:rsidR="00233706" w:rsidRPr="008111BD">
        <w:t>m</w:t>
      </w:r>
      <w:r w:rsidR="002248D8" w:rsidRPr="008111BD">
        <w:t xml:space="preserve">andatory </w:t>
      </w:r>
      <w:r w:rsidR="004668A6">
        <w:t>requirements</w:t>
      </w:r>
      <w:r w:rsidR="00AE4605">
        <w:t xml:space="preserve"> </w:t>
      </w:r>
      <w:r w:rsidR="002248D8" w:rsidRPr="008111BD">
        <w:t xml:space="preserve">and non-mandatory guidance </w:t>
      </w:r>
      <w:r w:rsidR="00CF4A11">
        <w:t xml:space="preserve">has often </w:t>
      </w:r>
      <w:r w:rsidR="002248D8" w:rsidRPr="008111BD">
        <w:t>be</w:t>
      </w:r>
      <w:r w:rsidR="00CF4A11">
        <w:t>en</w:t>
      </w:r>
      <w:r w:rsidR="002248D8" w:rsidRPr="008111BD">
        <w:t xml:space="preserve"> expressed in terms that lack clarity, creating confusion and </w:t>
      </w:r>
      <w:r w:rsidR="00BE6ED2">
        <w:t xml:space="preserve">unnecessary </w:t>
      </w:r>
      <w:r w:rsidR="002248D8" w:rsidRPr="008111BD">
        <w:t xml:space="preserve">internal red tape. </w:t>
      </w:r>
    </w:p>
    <w:p w:rsidR="00E55CCB" w:rsidRPr="008111BD" w:rsidRDefault="00E55CCB" w:rsidP="00196504">
      <w:pPr>
        <w:pStyle w:val="Heading2"/>
        <w:rPr>
          <w:rFonts w:ascii="Times New Roman" w:hAnsi="Times New Roman"/>
        </w:rPr>
      </w:pPr>
      <w:r w:rsidRPr="008111BD">
        <w:rPr>
          <w:rFonts w:ascii="Times New Roman" w:hAnsi="Times New Roman"/>
        </w:rPr>
        <w:t>Glossary</w:t>
      </w:r>
    </w:p>
    <w:p w:rsidR="00500658" w:rsidRPr="008111BD" w:rsidRDefault="007A330A" w:rsidP="00500658">
      <w:pPr>
        <w:pStyle w:val="NormalWeb"/>
        <w:spacing w:before="0" w:beforeAutospacing="0" w:after="120" w:afterAutospacing="0"/>
      </w:pPr>
      <w:r w:rsidRPr="008111BD">
        <w:rPr>
          <w:b/>
        </w:rPr>
        <w:t>Internal regulation:</w:t>
      </w:r>
      <w:r w:rsidRPr="008111BD">
        <w:t xml:space="preserve"> Requirements that are mandatory for all or most entities, or guidance, practice or procedure that is treated as such</w:t>
      </w:r>
      <w:r w:rsidR="00403597" w:rsidRPr="008111BD">
        <w:t>.</w:t>
      </w:r>
      <w:r w:rsidRPr="008111BD">
        <w:rPr>
          <w:color w:val="000000" w:themeColor="text1"/>
        </w:rPr>
        <w:t xml:space="preserve"> </w:t>
      </w:r>
      <w:r w:rsidR="00403597" w:rsidRPr="008111BD">
        <w:rPr>
          <w:color w:val="000000" w:themeColor="text1"/>
        </w:rPr>
        <w:t>R</w:t>
      </w:r>
      <w:r w:rsidRPr="008111BD">
        <w:rPr>
          <w:color w:val="000000" w:themeColor="text1"/>
        </w:rPr>
        <w:t xml:space="preserve">egulations that apply beyond the public sector, for example taxation and privacy legislation, are beyond the scope of this guidance. </w:t>
      </w:r>
    </w:p>
    <w:p w:rsidR="00500658" w:rsidRPr="00662D1E" w:rsidRDefault="00E55CCB" w:rsidP="00500658">
      <w:pPr>
        <w:pStyle w:val="NormalWeb"/>
        <w:spacing w:before="0" w:beforeAutospacing="0" w:after="120" w:afterAutospacing="0"/>
      </w:pPr>
      <w:r w:rsidRPr="00662D1E">
        <w:rPr>
          <w:b/>
        </w:rPr>
        <w:t>Policy owner</w:t>
      </w:r>
      <w:r w:rsidR="00E7716F" w:rsidRPr="00662D1E">
        <w:rPr>
          <w:b/>
        </w:rPr>
        <w:t>:</w:t>
      </w:r>
      <w:r w:rsidR="00E7716F" w:rsidRPr="00662D1E">
        <w:t xml:space="preserve"> A Commonwealth entity responsible for issuing non-mandatory guidance.</w:t>
      </w:r>
    </w:p>
    <w:p w:rsidR="00500658" w:rsidRPr="00662D1E" w:rsidRDefault="0071695C" w:rsidP="00500658">
      <w:pPr>
        <w:pStyle w:val="NormalWeb"/>
        <w:spacing w:before="0" w:beforeAutospacing="0" w:after="120" w:afterAutospacing="0"/>
      </w:pPr>
      <w:r w:rsidRPr="00662D1E">
        <w:rPr>
          <w:b/>
        </w:rPr>
        <w:t>Principles for Internal Regulation:</w:t>
      </w:r>
      <w:r w:rsidRPr="00662D1E">
        <w:t xml:space="preserve"> </w:t>
      </w:r>
      <w:r w:rsidR="0098150F" w:rsidRPr="00662D1E">
        <w:t>Secretaries Board has agreed to the Belcher Review’s recommendation that regulators use the following Principles for Internal Regulation to guide the development and assessment of internal regulation</w:t>
      </w:r>
      <w:r w:rsidR="00416698" w:rsidRPr="00662D1E">
        <w:t>. These are</w:t>
      </w:r>
      <w:r w:rsidR="0098150F" w:rsidRPr="00662D1E">
        <w:t xml:space="preserve">: </w:t>
      </w:r>
    </w:p>
    <w:p w:rsidR="00500658" w:rsidRPr="00662D1E" w:rsidRDefault="0071695C" w:rsidP="00500658">
      <w:pPr>
        <w:pStyle w:val="NormalWeb"/>
        <w:numPr>
          <w:ilvl w:val="0"/>
          <w:numId w:val="8"/>
        </w:numPr>
        <w:spacing w:before="0" w:beforeAutospacing="0" w:after="60" w:afterAutospacing="0"/>
      </w:pPr>
      <w:r w:rsidRPr="00662D1E">
        <w:t xml:space="preserve">the minimum needed to achieve </w:t>
      </w:r>
      <w:r w:rsidR="00403597" w:rsidRPr="00662D1E">
        <w:t>policy (or entity) outcomes</w:t>
      </w:r>
      <w:r w:rsidRPr="00662D1E">
        <w:t>;</w:t>
      </w:r>
    </w:p>
    <w:p w:rsidR="00500658" w:rsidRPr="00662D1E" w:rsidRDefault="0071695C" w:rsidP="00500658">
      <w:pPr>
        <w:pStyle w:val="NormalWeb"/>
        <w:numPr>
          <w:ilvl w:val="0"/>
          <w:numId w:val="8"/>
        </w:numPr>
        <w:spacing w:before="0" w:beforeAutospacing="0" w:after="60" w:afterAutospacing="0"/>
      </w:pPr>
      <w:r w:rsidRPr="00662D1E">
        <w:t>proportional to the risks to be managed</w:t>
      </w:r>
      <w:r w:rsidR="00403597" w:rsidRPr="00662D1E">
        <w:t xml:space="preserve"> and supportive of a risk-based approach</w:t>
      </w:r>
      <w:r w:rsidRPr="00662D1E">
        <w:t>;</w:t>
      </w:r>
    </w:p>
    <w:p w:rsidR="00500658" w:rsidRPr="00662D1E" w:rsidRDefault="0071695C" w:rsidP="00500658">
      <w:pPr>
        <w:pStyle w:val="NormalWeb"/>
        <w:numPr>
          <w:ilvl w:val="0"/>
          <w:numId w:val="8"/>
        </w:numPr>
        <w:spacing w:before="0" w:beforeAutospacing="0" w:after="60" w:afterAutospacing="0"/>
      </w:pPr>
      <w:r w:rsidRPr="00662D1E">
        <w:t xml:space="preserve">coherent </w:t>
      </w:r>
      <w:r w:rsidR="00403597" w:rsidRPr="00662D1E">
        <w:t>across government and not duplicative</w:t>
      </w:r>
      <w:r w:rsidRPr="00662D1E">
        <w:t>;</w:t>
      </w:r>
    </w:p>
    <w:p w:rsidR="00500658" w:rsidRPr="00662D1E" w:rsidRDefault="00403597" w:rsidP="00500658">
      <w:pPr>
        <w:pStyle w:val="NormalWeb"/>
        <w:numPr>
          <w:ilvl w:val="0"/>
          <w:numId w:val="8"/>
        </w:numPr>
        <w:spacing w:before="0" w:beforeAutospacing="0" w:after="60" w:afterAutospacing="0"/>
      </w:pPr>
      <w:r w:rsidRPr="00662D1E">
        <w:t>designed in consultation with stakeholders for clarity and simplicity in application</w:t>
      </w:r>
      <w:r w:rsidR="00315614" w:rsidRPr="00662D1E">
        <w:t xml:space="preserve">; </w:t>
      </w:r>
      <w:r w:rsidR="0071695C" w:rsidRPr="00662D1E">
        <w:t>and</w:t>
      </w:r>
    </w:p>
    <w:p w:rsidR="00500658" w:rsidRPr="00662D1E" w:rsidRDefault="0071695C" w:rsidP="00500658">
      <w:pPr>
        <w:pStyle w:val="NormalWeb"/>
        <w:numPr>
          <w:ilvl w:val="0"/>
          <w:numId w:val="8"/>
        </w:numPr>
        <w:spacing w:before="0" w:beforeAutospacing="0" w:after="120" w:afterAutospacing="0"/>
      </w:pPr>
      <w:r w:rsidRPr="00662D1E">
        <w:t>reviewed periodically to test their relevance and impact.</w:t>
      </w:r>
    </w:p>
    <w:p w:rsidR="00500658" w:rsidRPr="00662D1E" w:rsidRDefault="007A330A" w:rsidP="00500658">
      <w:pPr>
        <w:pStyle w:val="NormalWeb"/>
        <w:spacing w:before="0" w:beforeAutospacing="0" w:after="120" w:afterAutospacing="0"/>
      </w:pPr>
      <w:r w:rsidRPr="00662D1E">
        <w:rPr>
          <w:b/>
        </w:rPr>
        <w:t>Regulator</w:t>
      </w:r>
      <w:r w:rsidRPr="00662D1E">
        <w:t xml:space="preserve">: A Commonwealth entity responsible for imposing </w:t>
      </w:r>
      <w:r w:rsidR="00196504" w:rsidRPr="00662D1E">
        <w:t>internal</w:t>
      </w:r>
      <w:r w:rsidRPr="00662D1E">
        <w:t xml:space="preserve"> regulation.</w:t>
      </w:r>
    </w:p>
    <w:p w:rsidR="00E3258D" w:rsidRPr="00662D1E" w:rsidRDefault="00E3258D" w:rsidP="00E3258D">
      <w:pPr>
        <w:pStyle w:val="Heading2"/>
        <w:rPr>
          <w:rFonts w:ascii="Times New Roman" w:hAnsi="Times New Roman"/>
        </w:rPr>
      </w:pPr>
      <w:r w:rsidRPr="00662D1E">
        <w:rPr>
          <w:rFonts w:ascii="Times New Roman" w:hAnsi="Times New Roman"/>
        </w:rPr>
        <w:t>Further resources</w:t>
      </w:r>
    </w:p>
    <w:p w:rsidR="00E3258D" w:rsidRPr="00662D1E" w:rsidRDefault="00E3258D" w:rsidP="00E3258D">
      <w:pPr>
        <w:pStyle w:val="Default"/>
        <w:rPr>
          <w:rFonts w:ascii="Times New Roman" w:hAnsi="Times New Roman" w:cs="Times New Roman"/>
        </w:rPr>
      </w:pPr>
      <w:r w:rsidRPr="00662D1E">
        <w:rPr>
          <w:rFonts w:ascii="Times New Roman" w:hAnsi="Times New Roman" w:cs="Times New Roman"/>
        </w:rPr>
        <w:t xml:space="preserve">Further information and guidance related to </w:t>
      </w:r>
      <w:r w:rsidR="00196504" w:rsidRPr="00662D1E">
        <w:rPr>
          <w:rFonts w:ascii="Times New Roman" w:hAnsi="Times New Roman" w:cs="Times New Roman"/>
        </w:rPr>
        <w:t xml:space="preserve">the Belcher Review and </w:t>
      </w:r>
      <w:r w:rsidRPr="00662D1E">
        <w:rPr>
          <w:rFonts w:ascii="Times New Roman" w:hAnsi="Times New Roman" w:cs="Times New Roman"/>
        </w:rPr>
        <w:t xml:space="preserve">resource management is available from </w:t>
      </w:r>
      <w:hyperlink r:id="rId15" w:history="1">
        <w:r w:rsidRPr="00662D1E">
          <w:rPr>
            <w:rStyle w:val="Hyperlink"/>
            <w:rFonts w:ascii="Times New Roman" w:hAnsi="Times New Roman" w:cs="Times New Roman"/>
          </w:rPr>
          <w:t>finance.gov.au/resource-management/</w:t>
        </w:r>
      </w:hyperlink>
      <w:r w:rsidRPr="00662D1E">
        <w:rPr>
          <w:rFonts w:ascii="Times New Roman" w:hAnsi="Times New Roman" w:cs="Times New Roman"/>
        </w:rPr>
        <w:t xml:space="preserve">. Key tools on the site include: </w:t>
      </w:r>
    </w:p>
    <w:p w:rsidR="00922718" w:rsidRPr="00662D1E" w:rsidRDefault="005D6359" w:rsidP="00E7716F">
      <w:pPr>
        <w:pStyle w:val="Default"/>
        <w:numPr>
          <w:ilvl w:val="0"/>
          <w:numId w:val="6"/>
        </w:numPr>
        <w:rPr>
          <w:rFonts w:ascii="Times New Roman" w:hAnsi="Times New Roman" w:cs="Times New Roman"/>
        </w:rPr>
      </w:pPr>
      <w:hyperlink r:id="rId16" w:history="1">
        <w:r w:rsidR="0033520D" w:rsidRPr="00662D1E">
          <w:rPr>
            <w:rStyle w:val="Hyperlink"/>
            <w:rFonts w:ascii="Times New Roman" w:hAnsi="Times New Roman" w:cs="Times New Roman"/>
          </w:rPr>
          <w:t>The Belcher Review</w:t>
        </w:r>
      </w:hyperlink>
      <w:r w:rsidR="00922718" w:rsidRPr="00662D1E">
        <w:rPr>
          <w:rFonts w:ascii="Times New Roman" w:hAnsi="Times New Roman" w:cs="Times New Roman"/>
        </w:rPr>
        <w:t xml:space="preserve"> – links to the Report and related documents;</w:t>
      </w:r>
    </w:p>
    <w:p w:rsidR="00D44597" w:rsidRPr="00662D1E" w:rsidRDefault="005D6359" w:rsidP="00D44597">
      <w:pPr>
        <w:pStyle w:val="Default"/>
        <w:numPr>
          <w:ilvl w:val="0"/>
          <w:numId w:val="6"/>
        </w:numPr>
        <w:rPr>
          <w:rFonts w:ascii="Times New Roman" w:hAnsi="Times New Roman" w:cs="Times New Roman"/>
        </w:rPr>
      </w:pPr>
      <w:hyperlink r:id="rId17" w:history="1">
        <w:r w:rsidR="00710C0B" w:rsidRPr="00662D1E">
          <w:rPr>
            <w:rStyle w:val="Hyperlink"/>
            <w:rFonts w:ascii="Times New Roman" w:hAnsi="Times New Roman" w:cs="Times New Roman"/>
          </w:rPr>
          <w:t>The Principles for Internal Regulation</w:t>
        </w:r>
      </w:hyperlink>
      <w:r w:rsidR="00710C0B" w:rsidRPr="00662D1E">
        <w:rPr>
          <w:rFonts w:ascii="Times New Roman" w:hAnsi="Times New Roman" w:cs="Times New Roman"/>
        </w:rPr>
        <w:t xml:space="preserve"> – links to the documents detailing the Principles;</w:t>
      </w:r>
    </w:p>
    <w:p w:rsidR="00E3258D" w:rsidRPr="00662D1E" w:rsidRDefault="005D6359" w:rsidP="00E7716F">
      <w:pPr>
        <w:pStyle w:val="Default"/>
        <w:numPr>
          <w:ilvl w:val="0"/>
          <w:numId w:val="6"/>
        </w:numPr>
        <w:rPr>
          <w:rFonts w:ascii="Times New Roman" w:hAnsi="Times New Roman" w:cs="Times New Roman"/>
        </w:rPr>
      </w:pPr>
      <w:hyperlink r:id="rId18" w:history="1">
        <w:r w:rsidR="00E3258D" w:rsidRPr="00662D1E">
          <w:rPr>
            <w:rStyle w:val="Hyperlink"/>
            <w:rFonts w:ascii="Times New Roman" w:hAnsi="Times New Roman" w:cs="Times New Roman"/>
          </w:rPr>
          <w:t xml:space="preserve">PGPA legislation </w:t>
        </w:r>
        <w:r w:rsidR="00196504" w:rsidRPr="00662D1E">
          <w:rPr>
            <w:rStyle w:val="Hyperlink"/>
            <w:rFonts w:ascii="Times New Roman" w:hAnsi="Times New Roman" w:cs="Times New Roman"/>
          </w:rPr>
          <w:t xml:space="preserve">and </w:t>
        </w:r>
        <w:r w:rsidR="00E3258D" w:rsidRPr="00662D1E">
          <w:rPr>
            <w:rStyle w:val="Hyperlink"/>
            <w:rFonts w:ascii="Times New Roman" w:hAnsi="Times New Roman" w:cs="Times New Roman"/>
          </w:rPr>
          <w:t>rules</w:t>
        </w:r>
      </w:hyperlink>
      <w:r w:rsidR="00E3258D" w:rsidRPr="00662D1E">
        <w:rPr>
          <w:rFonts w:ascii="Times New Roman" w:hAnsi="Times New Roman" w:cs="Times New Roman"/>
        </w:rPr>
        <w:t xml:space="preserve"> </w:t>
      </w:r>
      <w:r w:rsidR="005E4C46" w:rsidRPr="00662D1E">
        <w:rPr>
          <w:rFonts w:ascii="Times New Roman" w:hAnsi="Times New Roman" w:cs="Times New Roman"/>
        </w:rPr>
        <w:t>– links to the PGPA Act,</w:t>
      </w:r>
      <w:r w:rsidR="00E3258D" w:rsidRPr="00662D1E">
        <w:rPr>
          <w:rFonts w:ascii="Times New Roman" w:hAnsi="Times New Roman" w:cs="Times New Roman"/>
        </w:rPr>
        <w:t xml:space="preserve"> rul</w:t>
      </w:r>
      <w:r w:rsidR="005E4C46" w:rsidRPr="00662D1E">
        <w:rPr>
          <w:rFonts w:ascii="Times New Roman" w:hAnsi="Times New Roman" w:cs="Times New Roman"/>
        </w:rPr>
        <w:t>es and instruments</w:t>
      </w:r>
      <w:r w:rsidR="00E3258D" w:rsidRPr="00662D1E">
        <w:rPr>
          <w:rFonts w:ascii="Times New Roman" w:hAnsi="Times New Roman" w:cs="Times New Roman"/>
        </w:rPr>
        <w:t>;</w:t>
      </w:r>
    </w:p>
    <w:p w:rsidR="00E3258D" w:rsidRPr="00662D1E" w:rsidRDefault="005D6359" w:rsidP="00E7716F">
      <w:pPr>
        <w:pStyle w:val="Default"/>
        <w:numPr>
          <w:ilvl w:val="0"/>
          <w:numId w:val="6"/>
        </w:numPr>
        <w:rPr>
          <w:rFonts w:ascii="Times New Roman" w:hAnsi="Times New Roman" w:cs="Times New Roman"/>
        </w:rPr>
      </w:pPr>
      <w:hyperlink r:id="rId19" w:history="1">
        <w:r w:rsidR="00E3258D" w:rsidRPr="00662D1E">
          <w:rPr>
            <w:rStyle w:val="Hyperlink"/>
            <w:rFonts w:ascii="Times New Roman" w:hAnsi="Times New Roman" w:cs="Times New Roman"/>
          </w:rPr>
          <w:t>Consolidated guidance</w:t>
        </w:r>
      </w:hyperlink>
      <w:r w:rsidR="00E3258D" w:rsidRPr="00662D1E">
        <w:rPr>
          <w:rFonts w:ascii="Times New Roman" w:hAnsi="Times New Roman" w:cs="Times New Roman"/>
        </w:rPr>
        <w:t xml:space="preserve"> – a complete index of all resource management guidance;</w:t>
      </w:r>
    </w:p>
    <w:p w:rsidR="00E3258D" w:rsidRPr="00662D1E" w:rsidRDefault="005D6359" w:rsidP="00E7716F">
      <w:pPr>
        <w:pStyle w:val="Default"/>
        <w:numPr>
          <w:ilvl w:val="0"/>
          <w:numId w:val="6"/>
        </w:numPr>
        <w:rPr>
          <w:rFonts w:ascii="Times New Roman" w:hAnsi="Times New Roman" w:cs="Times New Roman"/>
        </w:rPr>
      </w:pPr>
      <w:hyperlink r:id="rId20" w:history="1">
        <w:r w:rsidR="00E3258D" w:rsidRPr="00662D1E">
          <w:rPr>
            <w:rStyle w:val="Hyperlink"/>
            <w:rFonts w:ascii="Times New Roman" w:hAnsi="Times New Roman" w:cs="Times New Roman"/>
          </w:rPr>
          <w:t>Glossary</w:t>
        </w:r>
      </w:hyperlink>
      <w:r w:rsidR="00E3258D" w:rsidRPr="00662D1E">
        <w:rPr>
          <w:rFonts w:ascii="Times New Roman" w:hAnsi="Times New Roman" w:cs="Times New Roman"/>
        </w:rPr>
        <w:t xml:space="preserve"> – common resource management terms; and</w:t>
      </w:r>
    </w:p>
    <w:p w:rsidR="00E3258D" w:rsidRPr="00662D1E" w:rsidRDefault="005D6359" w:rsidP="005E4C46">
      <w:pPr>
        <w:pStyle w:val="Default"/>
        <w:numPr>
          <w:ilvl w:val="0"/>
          <w:numId w:val="6"/>
        </w:numPr>
        <w:spacing w:after="240"/>
        <w:ind w:left="714" w:hanging="357"/>
        <w:rPr>
          <w:rFonts w:ascii="Times New Roman" w:hAnsi="Times New Roman" w:cs="Times New Roman"/>
        </w:rPr>
      </w:pPr>
      <w:hyperlink r:id="rId21" w:history="1">
        <w:r w:rsidR="00E3258D" w:rsidRPr="00662D1E">
          <w:rPr>
            <w:rStyle w:val="Hyperlink"/>
            <w:rFonts w:ascii="Times New Roman" w:hAnsi="Times New Roman" w:cs="Times New Roman"/>
          </w:rPr>
          <w:t>Support tools</w:t>
        </w:r>
      </w:hyperlink>
      <w:r w:rsidR="00E3258D" w:rsidRPr="00662D1E">
        <w:rPr>
          <w:rFonts w:ascii="Times New Roman" w:hAnsi="Times New Roman" w:cs="Times New Roman"/>
        </w:rPr>
        <w:t xml:space="preserve"> – introductory resources such as training and eLearning modules, and information on the Public Management Reform Agenda.</w:t>
      </w:r>
    </w:p>
    <w:sectPr w:rsidR="00E3258D" w:rsidRPr="00662D1E" w:rsidSect="00930956">
      <w:headerReference w:type="even" r:id="rId22"/>
      <w:headerReference w:type="default" r:id="rId23"/>
      <w:headerReference w:type="first" r:id="rId24"/>
      <w:type w:val="continuous"/>
      <w:pgSz w:w="11900" w:h="16840" w:code="9"/>
      <w:pgMar w:top="1440" w:right="1080" w:bottom="1440" w:left="1080" w:header="510" w:footer="36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28" w:rsidRDefault="00375F28" w:rsidP="003B52FC">
      <w:r>
        <w:separator/>
      </w:r>
    </w:p>
  </w:endnote>
  <w:endnote w:type="continuationSeparator" w:id="0">
    <w:p w:rsidR="00375F28" w:rsidRDefault="00375F28" w:rsidP="003B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9B" w:rsidRDefault="003E7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8" w:rsidRDefault="00375F28" w:rsidP="00F04453">
    <w:pPr>
      <w:pStyle w:val="Footer"/>
      <w:ind w:right="-1"/>
      <w:jc w:val="right"/>
    </w:pPr>
    <w:r>
      <w:rPr>
        <w:rStyle w:val="ArialBlackBlue"/>
      </w:rPr>
      <w:tab/>
      <w:t>Guidance for clarity of language</w:t>
    </w:r>
    <w:r w:rsidRPr="004D6565">
      <w:rPr>
        <w:sz w:val="18"/>
        <w:szCs w:val="18"/>
      </w:rPr>
      <w:t xml:space="preserve">    </w:t>
    </w:r>
    <w:r w:rsidRPr="004D6565">
      <w:rPr>
        <w:rFonts w:ascii="Arial" w:hAnsi="Arial" w:cs="Arial"/>
        <w:sz w:val="18"/>
        <w:szCs w:val="18"/>
      </w:rPr>
      <w:t xml:space="preserve">|    </w:t>
    </w:r>
    <w:r w:rsidR="00A65CB4" w:rsidRPr="004D6565">
      <w:rPr>
        <w:rFonts w:ascii="Arial" w:hAnsi="Arial" w:cs="Arial"/>
        <w:sz w:val="18"/>
        <w:szCs w:val="18"/>
      </w:rPr>
      <w:fldChar w:fldCharType="begin"/>
    </w:r>
    <w:r w:rsidRPr="004D6565">
      <w:rPr>
        <w:rFonts w:ascii="Arial" w:hAnsi="Arial" w:cs="Arial"/>
        <w:sz w:val="18"/>
        <w:szCs w:val="18"/>
      </w:rPr>
      <w:instrText xml:space="preserve"> PAGE   \* MERGEFORMAT </w:instrText>
    </w:r>
    <w:r w:rsidR="00A65CB4" w:rsidRPr="004D6565">
      <w:rPr>
        <w:rFonts w:ascii="Arial" w:hAnsi="Arial" w:cs="Arial"/>
        <w:sz w:val="18"/>
        <w:szCs w:val="18"/>
      </w:rPr>
      <w:fldChar w:fldCharType="separate"/>
    </w:r>
    <w:r w:rsidR="005D6359">
      <w:rPr>
        <w:rFonts w:ascii="Arial" w:hAnsi="Arial" w:cs="Arial"/>
        <w:noProof/>
        <w:sz w:val="18"/>
        <w:szCs w:val="18"/>
      </w:rPr>
      <w:t>1</w:t>
    </w:r>
    <w:r w:rsidR="00A65CB4" w:rsidRPr="004D6565">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8" w:rsidRDefault="00375F28" w:rsidP="00E301F5">
    <w:pPr>
      <w:pStyle w:val="Footer"/>
      <w:ind w:right="-1001"/>
      <w:jc w:val="right"/>
    </w:pPr>
    <w:r w:rsidRPr="00255A16">
      <w:rPr>
        <w:rStyle w:val="ArialBlackBlue"/>
      </w:rPr>
      <w:t>Book title</w:t>
    </w:r>
    <w:r w:rsidRPr="004D6565">
      <w:rPr>
        <w:sz w:val="18"/>
        <w:szCs w:val="18"/>
      </w:rPr>
      <w:t xml:space="preserve">    </w:t>
    </w:r>
    <w:r w:rsidRPr="004D6565">
      <w:rPr>
        <w:rFonts w:ascii="Arial" w:hAnsi="Arial" w:cs="Arial"/>
        <w:sz w:val="18"/>
        <w:szCs w:val="18"/>
      </w:rPr>
      <w:t xml:space="preserve">|    </w:t>
    </w:r>
    <w:r w:rsidR="00A65CB4" w:rsidRPr="004D6565">
      <w:rPr>
        <w:rFonts w:ascii="Arial" w:hAnsi="Arial" w:cs="Arial"/>
        <w:sz w:val="18"/>
        <w:szCs w:val="18"/>
      </w:rPr>
      <w:fldChar w:fldCharType="begin"/>
    </w:r>
    <w:r w:rsidRPr="004D6565">
      <w:rPr>
        <w:rFonts w:ascii="Arial" w:hAnsi="Arial" w:cs="Arial"/>
        <w:sz w:val="18"/>
        <w:szCs w:val="18"/>
      </w:rPr>
      <w:instrText xml:space="preserve"> PAGE   \* MERGEFORMAT </w:instrText>
    </w:r>
    <w:r w:rsidR="00A65CB4" w:rsidRPr="004D6565">
      <w:rPr>
        <w:rFonts w:ascii="Arial" w:hAnsi="Arial" w:cs="Arial"/>
        <w:sz w:val="18"/>
        <w:szCs w:val="18"/>
      </w:rPr>
      <w:fldChar w:fldCharType="separate"/>
    </w:r>
    <w:r>
      <w:rPr>
        <w:rFonts w:ascii="Arial" w:hAnsi="Arial" w:cs="Arial"/>
        <w:noProof/>
        <w:sz w:val="18"/>
        <w:szCs w:val="18"/>
      </w:rPr>
      <w:t>3</w:t>
    </w:r>
    <w:r w:rsidR="00A65CB4" w:rsidRPr="004D656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28" w:rsidRDefault="00375F28" w:rsidP="003B52FC"/>
  </w:footnote>
  <w:footnote w:type="continuationSeparator" w:id="0">
    <w:p w:rsidR="00375F28" w:rsidRDefault="00375F28" w:rsidP="003B52FC"/>
  </w:footnote>
  <w:footnote w:id="1">
    <w:p w:rsidR="00375F28" w:rsidRDefault="00375F28">
      <w:pPr>
        <w:pStyle w:val="FootnoteText"/>
      </w:pPr>
      <w:r>
        <w:rPr>
          <w:rStyle w:val="FootnoteReference"/>
        </w:rPr>
        <w:footnoteRef/>
      </w:r>
      <w:r>
        <w:t xml:space="preserve"> </w:t>
      </w:r>
      <w:r w:rsidRPr="008111BD">
        <w:rPr>
          <w:rFonts w:ascii="Times New Roman" w:hAnsi="Times New Roman"/>
        </w:rPr>
        <w:t>The Belcher Review considered the words ‘should’ and ‘shall’ reflected mandatory language</w:t>
      </w:r>
      <w:r w:rsidR="00CF4A11">
        <w:rPr>
          <w:rFonts w:ascii="Times New Roman" w:hAnsi="Times New Roman"/>
        </w:rPr>
        <w:t>.  H</w:t>
      </w:r>
      <w:r w:rsidRPr="008111BD">
        <w:rPr>
          <w:rFonts w:ascii="Times New Roman" w:hAnsi="Times New Roman"/>
        </w:rPr>
        <w:t>owever</w:t>
      </w:r>
      <w:r w:rsidR="004579D9">
        <w:rPr>
          <w:rFonts w:ascii="Times New Roman" w:hAnsi="Times New Roman"/>
        </w:rPr>
        <w:t>,</w:t>
      </w:r>
      <w:r w:rsidRPr="008111BD">
        <w:rPr>
          <w:rFonts w:ascii="Times New Roman" w:hAnsi="Times New Roman"/>
        </w:rPr>
        <w:t xml:space="preserve"> subsequent </w:t>
      </w:r>
      <w:r w:rsidR="00CF4A11">
        <w:rPr>
          <w:rFonts w:ascii="Times New Roman" w:hAnsi="Times New Roman"/>
        </w:rPr>
        <w:t>analysis</w:t>
      </w:r>
      <w:r w:rsidR="00CF4A11" w:rsidRPr="008111BD">
        <w:rPr>
          <w:rFonts w:ascii="Times New Roman" w:hAnsi="Times New Roman"/>
        </w:rPr>
        <w:t xml:space="preserve"> </w:t>
      </w:r>
      <w:r w:rsidRPr="008111BD">
        <w:rPr>
          <w:rFonts w:ascii="Times New Roman" w:hAnsi="Times New Roman"/>
        </w:rPr>
        <w:t>has indicated that the terms are sometimes used to indicate good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9B" w:rsidRDefault="003E7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8" w:rsidRDefault="005D6359">
    <w:pPr>
      <w:pStyle w:val="Header"/>
    </w:pPr>
    <w:r>
      <w:rPr>
        <w:noProof/>
        <w:lang w:eastAsia="en-AU"/>
      </w:rPr>
      <mc:AlternateContent>
        <mc:Choice Requires="wps">
          <w:drawing>
            <wp:anchor distT="0" distB="0" distL="114300" distR="114300" simplePos="0" relativeHeight="251658240" behindDoc="1" locked="0" layoutInCell="1" allowOverlap="1">
              <wp:simplePos x="0" y="0"/>
              <wp:positionH relativeFrom="column">
                <wp:posOffset>-900430</wp:posOffset>
              </wp:positionH>
              <wp:positionV relativeFrom="paragraph">
                <wp:posOffset>2642870</wp:posOffset>
              </wp:positionV>
              <wp:extent cx="7572375" cy="436880"/>
              <wp:effectExtent l="0" t="0" r="0" b="0"/>
              <wp:wrapTight wrapText="bothSides">
                <wp:wrapPolygon edited="0">
                  <wp:start x="109" y="0"/>
                  <wp:lineTo x="109" y="20721"/>
                  <wp:lineTo x="21410" y="20721"/>
                  <wp:lineTo x="21410" y="0"/>
                  <wp:lineTo x="109"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3756" id="Rectangle 2" o:spid="_x0000_s1026" style="position:absolute;margin-left:-70.9pt;margin-top:208.1pt;width:596.2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Prw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" filled="f" stroked="f">
              <w10:wrap type="tigh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8" w:rsidRDefault="00375F28" w:rsidP="00851472">
    <w:pPr>
      <w:pStyle w:val="Header"/>
      <w:tabs>
        <w:tab w:val="clear" w:pos="4680"/>
        <w:tab w:val="clear" w:pos="9360"/>
        <w:tab w:val="right" w:pos="9064"/>
      </w:tabs>
    </w:pPr>
    <w:r>
      <w:rPr>
        <w:noProof/>
        <w:lang w:eastAsia="en-AU"/>
      </w:rPr>
      <w:drawing>
        <wp:anchor distT="0" distB="0" distL="114300" distR="114300" simplePos="0" relativeHeight="251656192" behindDoc="1" locked="1" layoutInCell="1" allowOverlap="1">
          <wp:simplePos x="0" y="0"/>
          <wp:positionH relativeFrom="column">
            <wp:posOffset>-901700</wp:posOffset>
          </wp:positionH>
          <wp:positionV relativeFrom="paragraph">
            <wp:posOffset>-323850</wp:posOffset>
          </wp:positionV>
          <wp:extent cx="7567295" cy="3255645"/>
          <wp:effectExtent l="19050" t="0" r="0" b="0"/>
          <wp:wrapNone/>
          <wp:docPr id="6" name="Picture 0" descr="Department of finance and de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partment of finance and deregulation"/>
                  <pic:cNvPicPr>
                    <a:picLocks noChangeAspect="1" noChangeArrowheads="1"/>
                  </pic:cNvPicPr>
                </pic:nvPicPr>
                <pic:blipFill>
                  <a:blip r:embed="rId1"/>
                  <a:srcRect/>
                  <a:stretch>
                    <a:fillRect/>
                  </a:stretch>
                </pic:blipFill>
                <pic:spPr bwMode="auto">
                  <a:xfrm>
                    <a:off x="0" y="0"/>
                    <a:ext cx="7567295" cy="3255645"/>
                  </a:xfrm>
                  <a:prstGeom prst="rect">
                    <a:avLst/>
                  </a:prstGeom>
                  <a:noFill/>
                  <a:ln w="9525">
                    <a:noFill/>
                    <a:miter lim="800000"/>
                    <a:headEnd/>
                    <a:tailEnd/>
                  </a:ln>
                </pic:spPr>
              </pic:pic>
            </a:graphicData>
          </a:graphic>
        </wp:anchor>
      </w:drawing>
    </w:r>
    <w:r w:rsidR="005D6359">
      <w:rPr>
        <w:noProof/>
        <w:lang w:eastAsia="en-AU"/>
      </w:rPr>
      <mc:AlternateContent>
        <mc:Choice Requires="wps">
          <w:drawing>
            <wp:anchor distT="0" distB="0" distL="114300" distR="114300" simplePos="0" relativeHeight="251657216" behindDoc="1" locked="0" layoutInCell="1" allowOverlap="1">
              <wp:simplePos x="0" y="0"/>
              <wp:positionH relativeFrom="column">
                <wp:posOffset>-900430</wp:posOffset>
              </wp:positionH>
              <wp:positionV relativeFrom="paragraph">
                <wp:posOffset>2650490</wp:posOffset>
              </wp:positionV>
              <wp:extent cx="7572375" cy="797560"/>
              <wp:effectExtent l="0" t="0" r="0" b="0"/>
              <wp:wrapTight wrapText="bothSides">
                <wp:wrapPolygon edited="0">
                  <wp:start x="109" y="0"/>
                  <wp:lineTo x="109" y="21153"/>
                  <wp:lineTo x="21410" y="21153"/>
                  <wp:lineTo x="21410" y="0"/>
                  <wp:lineTo x="109"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777CB" id="Rectangle 1" o:spid="_x0000_s1026" style="position:absolute;margin-left:-70.9pt;margin-top:208.7pt;width:596.25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" filled="f" stroked="f">
              <w10:wrap type="tight"/>
            </v:rect>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8" w:rsidRDefault="00375F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8" w:rsidRDefault="00375F28">
    <w:pPr>
      <w:pStyle w:val="Header"/>
    </w:pPr>
    <w:r>
      <w:rPr>
        <w:noProof/>
        <w:lang w:eastAsia="en-AU"/>
      </w:rPr>
      <w:drawing>
        <wp:anchor distT="0" distB="0" distL="114300" distR="114300" simplePos="0" relativeHeight="251659264" behindDoc="1" locked="1" layoutInCell="1" allowOverlap="1">
          <wp:simplePos x="0" y="0"/>
          <wp:positionH relativeFrom="column">
            <wp:posOffset>-3196590</wp:posOffset>
          </wp:positionH>
          <wp:positionV relativeFrom="paragraph">
            <wp:posOffset>-28575</wp:posOffset>
          </wp:positionV>
          <wp:extent cx="13298805" cy="353695"/>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298805" cy="353695"/>
                  </a:xfrm>
                  <a:prstGeom prst="rect">
                    <a:avLst/>
                  </a:prstGeom>
                  <a:noFill/>
                  <a:ln w="9525">
                    <a:noFill/>
                    <a:miter lim="800000"/>
                    <a:headEnd/>
                    <a:tailEnd/>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8" w:rsidRDefault="00375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36E45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0B2C9B2"/>
    <w:lvl w:ilvl="0">
      <w:start w:val="1"/>
      <w:numFmt w:val="bullet"/>
      <w:pStyle w:val="ListBullet"/>
      <w:lvlText w:val=""/>
      <w:lvlJc w:val="left"/>
      <w:pPr>
        <w:ind w:left="360" w:hanging="360"/>
      </w:pPr>
      <w:rPr>
        <w:rFonts w:ascii="Symbol" w:hAnsi="Symbol" w:hint="default"/>
        <w:color w:val="14708E"/>
      </w:rPr>
    </w:lvl>
  </w:abstractNum>
  <w:abstractNum w:abstractNumId="2" w15:restartNumberingAfterBreak="0">
    <w:nsid w:val="058742C6"/>
    <w:multiLevelType w:val="hybridMultilevel"/>
    <w:tmpl w:val="E6E22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D77C36"/>
    <w:multiLevelType w:val="hybridMultilevel"/>
    <w:tmpl w:val="CE7ABD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9AE5113"/>
    <w:multiLevelType w:val="hybridMultilevel"/>
    <w:tmpl w:val="3CACE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4A6C67A4"/>
    <w:multiLevelType w:val="hybridMultilevel"/>
    <w:tmpl w:val="84F62FD2"/>
    <w:lvl w:ilvl="0" w:tplc="0C090001">
      <w:start w:val="1"/>
      <w:numFmt w:val="bullet"/>
      <w:lvlText w:val=""/>
      <w:lvlJc w:val="left"/>
      <w:pPr>
        <w:ind w:left="735" w:hanging="360"/>
      </w:pPr>
      <w:rPr>
        <w:rFonts w:ascii="Symbol" w:hAnsi="Symbol" w:hint="default"/>
      </w:rPr>
    </w:lvl>
    <w:lvl w:ilvl="1" w:tplc="0C090003">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7"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8" w15:restartNumberingAfterBreak="0">
    <w:nsid w:val="588B1F75"/>
    <w:multiLevelType w:val="hybridMultilevel"/>
    <w:tmpl w:val="261A2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5A7C72"/>
    <w:multiLevelType w:val="hybridMultilevel"/>
    <w:tmpl w:val="FE3E2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73315B"/>
    <w:multiLevelType w:val="hybridMultilevel"/>
    <w:tmpl w:val="20B2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001BE3"/>
    <w:multiLevelType w:val="hybridMultilevel"/>
    <w:tmpl w:val="437C4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D11BEF"/>
    <w:multiLevelType w:val="hybridMultilevel"/>
    <w:tmpl w:val="A94C45EC"/>
    <w:lvl w:ilvl="0" w:tplc="2E560574">
      <w:start w:val="1"/>
      <w:numFmt w:val="decimal"/>
      <w:pStyle w:val="Chapter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1"/>
  </w:num>
  <w:num w:numId="5">
    <w:abstractNumId w:val="0"/>
  </w:num>
  <w:num w:numId="6">
    <w:abstractNumId w:val="9"/>
  </w:num>
  <w:num w:numId="7">
    <w:abstractNumId w:val="6"/>
  </w:num>
  <w:num w:numId="8">
    <w:abstractNumId w:val="2"/>
  </w:num>
  <w:num w:numId="9">
    <w:abstractNumId w:val="3"/>
  </w:num>
  <w:num w:numId="10">
    <w:abstractNumId w:val="8"/>
  </w:num>
  <w:num w:numId="11">
    <w:abstractNumId w:val="4"/>
  </w:num>
  <w:num w:numId="12">
    <w:abstractNumId w:val="11"/>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41"/>
    <w:rsid w:val="000043FB"/>
    <w:rsid w:val="00010776"/>
    <w:rsid w:val="00013C05"/>
    <w:rsid w:val="000159DA"/>
    <w:rsid w:val="00015A86"/>
    <w:rsid w:val="00016298"/>
    <w:rsid w:val="00016BC2"/>
    <w:rsid w:val="00025493"/>
    <w:rsid w:val="00031F0C"/>
    <w:rsid w:val="00033027"/>
    <w:rsid w:val="0003736C"/>
    <w:rsid w:val="000403F1"/>
    <w:rsid w:val="00045B03"/>
    <w:rsid w:val="00045CD2"/>
    <w:rsid w:val="0005360E"/>
    <w:rsid w:val="00060262"/>
    <w:rsid w:val="000603FC"/>
    <w:rsid w:val="00061FA9"/>
    <w:rsid w:val="0006501B"/>
    <w:rsid w:val="00072BF3"/>
    <w:rsid w:val="00074E42"/>
    <w:rsid w:val="000775EB"/>
    <w:rsid w:val="00095546"/>
    <w:rsid w:val="00096C17"/>
    <w:rsid w:val="000B50AA"/>
    <w:rsid w:val="000B6714"/>
    <w:rsid w:val="000C6452"/>
    <w:rsid w:val="000D7181"/>
    <w:rsid w:val="000E21F5"/>
    <w:rsid w:val="000F3017"/>
    <w:rsid w:val="000F349F"/>
    <w:rsid w:val="000F4278"/>
    <w:rsid w:val="00102F23"/>
    <w:rsid w:val="00105F30"/>
    <w:rsid w:val="00106AA6"/>
    <w:rsid w:val="001105DF"/>
    <w:rsid w:val="00112263"/>
    <w:rsid w:val="00113501"/>
    <w:rsid w:val="00120110"/>
    <w:rsid w:val="00124520"/>
    <w:rsid w:val="00132D5D"/>
    <w:rsid w:val="00133DE8"/>
    <w:rsid w:val="001345DB"/>
    <w:rsid w:val="0013664A"/>
    <w:rsid w:val="00153E00"/>
    <w:rsid w:val="00154A2D"/>
    <w:rsid w:val="001571E0"/>
    <w:rsid w:val="0016140A"/>
    <w:rsid w:val="0016375A"/>
    <w:rsid w:val="00165AB5"/>
    <w:rsid w:val="00167698"/>
    <w:rsid w:val="001739B2"/>
    <w:rsid w:val="001832F6"/>
    <w:rsid w:val="001836AF"/>
    <w:rsid w:val="0019533F"/>
    <w:rsid w:val="00196504"/>
    <w:rsid w:val="001A0954"/>
    <w:rsid w:val="001A2271"/>
    <w:rsid w:val="001A4F47"/>
    <w:rsid w:val="001B0475"/>
    <w:rsid w:val="001B4856"/>
    <w:rsid w:val="001C24E3"/>
    <w:rsid w:val="001D464F"/>
    <w:rsid w:val="001D5009"/>
    <w:rsid w:val="001E516E"/>
    <w:rsid w:val="001E6EFB"/>
    <w:rsid w:val="001F13DC"/>
    <w:rsid w:val="001F1A00"/>
    <w:rsid w:val="001F21FE"/>
    <w:rsid w:val="001F392F"/>
    <w:rsid w:val="00201922"/>
    <w:rsid w:val="00202AE0"/>
    <w:rsid w:val="00205DCC"/>
    <w:rsid w:val="00216C27"/>
    <w:rsid w:val="00216EDF"/>
    <w:rsid w:val="00221A1E"/>
    <w:rsid w:val="002248D8"/>
    <w:rsid w:val="00233706"/>
    <w:rsid w:val="00233957"/>
    <w:rsid w:val="00234BC8"/>
    <w:rsid w:val="00235FC7"/>
    <w:rsid w:val="00237A7C"/>
    <w:rsid w:val="002406DF"/>
    <w:rsid w:val="00241A13"/>
    <w:rsid w:val="00244AC4"/>
    <w:rsid w:val="002463E0"/>
    <w:rsid w:val="00252FF5"/>
    <w:rsid w:val="00253BA3"/>
    <w:rsid w:val="00255A16"/>
    <w:rsid w:val="00257CEE"/>
    <w:rsid w:val="00262BDA"/>
    <w:rsid w:val="00266115"/>
    <w:rsid w:val="0027084F"/>
    <w:rsid w:val="00271DBA"/>
    <w:rsid w:val="00272DE1"/>
    <w:rsid w:val="00276859"/>
    <w:rsid w:val="00277808"/>
    <w:rsid w:val="00284C9D"/>
    <w:rsid w:val="0029028A"/>
    <w:rsid w:val="002907DB"/>
    <w:rsid w:val="0029087D"/>
    <w:rsid w:val="002919E9"/>
    <w:rsid w:val="00295C23"/>
    <w:rsid w:val="002A059F"/>
    <w:rsid w:val="002A5A8C"/>
    <w:rsid w:val="002B1FAE"/>
    <w:rsid w:val="002B3E97"/>
    <w:rsid w:val="002B6E58"/>
    <w:rsid w:val="002C4F7F"/>
    <w:rsid w:val="002D0080"/>
    <w:rsid w:val="002D3885"/>
    <w:rsid w:val="002D4A6C"/>
    <w:rsid w:val="002D5FBA"/>
    <w:rsid w:val="002E34A3"/>
    <w:rsid w:val="002E6351"/>
    <w:rsid w:val="00304830"/>
    <w:rsid w:val="00310C64"/>
    <w:rsid w:val="003114F0"/>
    <w:rsid w:val="00312CA6"/>
    <w:rsid w:val="00315614"/>
    <w:rsid w:val="00316D11"/>
    <w:rsid w:val="003205EC"/>
    <w:rsid w:val="00320A16"/>
    <w:rsid w:val="00327EFB"/>
    <w:rsid w:val="00330434"/>
    <w:rsid w:val="00330DA3"/>
    <w:rsid w:val="003321B1"/>
    <w:rsid w:val="0033520D"/>
    <w:rsid w:val="0034101C"/>
    <w:rsid w:val="00343546"/>
    <w:rsid w:val="00345ADC"/>
    <w:rsid w:val="00347813"/>
    <w:rsid w:val="00353BEB"/>
    <w:rsid w:val="0035641F"/>
    <w:rsid w:val="003613EC"/>
    <w:rsid w:val="0036299D"/>
    <w:rsid w:val="00366173"/>
    <w:rsid w:val="00370955"/>
    <w:rsid w:val="00374D1C"/>
    <w:rsid w:val="00375B3E"/>
    <w:rsid w:val="00375F28"/>
    <w:rsid w:val="00376B7A"/>
    <w:rsid w:val="00380F98"/>
    <w:rsid w:val="003810B5"/>
    <w:rsid w:val="003846BE"/>
    <w:rsid w:val="003900AA"/>
    <w:rsid w:val="003A07F2"/>
    <w:rsid w:val="003A2FB0"/>
    <w:rsid w:val="003A6F26"/>
    <w:rsid w:val="003B127E"/>
    <w:rsid w:val="003B52FC"/>
    <w:rsid w:val="003C1180"/>
    <w:rsid w:val="003C223C"/>
    <w:rsid w:val="003D11C0"/>
    <w:rsid w:val="003D40D2"/>
    <w:rsid w:val="003E551D"/>
    <w:rsid w:val="003E5DAB"/>
    <w:rsid w:val="003E739B"/>
    <w:rsid w:val="003F644E"/>
    <w:rsid w:val="003F7B06"/>
    <w:rsid w:val="0040260B"/>
    <w:rsid w:val="00403597"/>
    <w:rsid w:val="00406326"/>
    <w:rsid w:val="00410508"/>
    <w:rsid w:val="004139EE"/>
    <w:rsid w:val="00416698"/>
    <w:rsid w:val="00416BE5"/>
    <w:rsid w:val="00426032"/>
    <w:rsid w:val="00431B3E"/>
    <w:rsid w:val="0045585F"/>
    <w:rsid w:val="004579D9"/>
    <w:rsid w:val="00463FF8"/>
    <w:rsid w:val="004668A6"/>
    <w:rsid w:val="00474E81"/>
    <w:rsid w:val="004756EB"/>
    <w:rsid w:val="004758DC"/>
    <w:rsid w:val="00476FA2"/>
    <w:rsid w:val="00477ED0"/>
    <w:rsid w:val="004800B9"/>
    <w:rsid w:val="00482C62"/>
    <w:rsid w:val="0048329A"/>
    <w:rsid w:val="00491485"/>
    <w:rsid w:val="00491FE6"/>
    <w:rsid w:val="00497236"/>
    <w:rsid w:val="004A0A15"/>
    <w:rsid w:val="004A15E4"/>
    <w:rsid w:val="004A4C1B"/>
    <w:rsid w:val="004A67C3"/>
    <w:rsid w:val="004B1206"/>
    <w:rsid w:val="004B1948"/>
    <w:rsid w:val="004B1C4B"/>
    <w:rsid w:val="004B1FEF"/>
    <w:rsid w:val="004B23CE"/>
    <w:rsid w:val="004C3CBF"/>
    <w:rsid w:val="004C4D6F"/>
    <w:rsid w:val="004D6730"/>
    <w:rsid w:val="004E129B"/>
    <w:rsid w:val="004E3FFE"/>
    <w:rsid w:val="004E4857"/>
    <w:rsid w:val="004F1394"/>
    <w:rsid w:val="004F1CF8"/>
    <w:rsid w:val="00500658"/>
    <w:rsid w:val="005048D7"/>
    <w:rsid w:val="0050641B"/>
    <w:rsid w:val="005071A6"/>
    <w:rsid w:val="00513B49"/>
    <w:rsid w:val="00521EFB"/>
    <w:rsid w:val="0052632A"/>
    <w:rsid w:val="00527C23"/>
    <w:rsid w:val="00527DD1"/>
    <w:rsid w:val="00534ADF"/>
    <w:rsid w:val="0054233A"/>
    <w:rsid w:val="0055697A"/>
    <w:rsid w:val="0056568D"/>
    <w:rsid w:val="0056606F"/>
    <w:rsid w:val="005677CA"/>
    <w:rsid w:val="00571D5C"/>
    <w:rsid w:val="00585557"/>
    <w:rsid w:val="005926D0"/>
    <w:rsid w:val="0059389E"/>
    <w:rsid w:val="00595649"/>
    <w:rsid w:val="00596C88"/>
    <w:rsid w:val="005A436D"/>
    <w:rsid w:val="005A6507"/>
    <w:rsid w:val="005B1403"/>
    <w:rsid w:val="005B4C95"/>
    <w:rsid w:val="005B55E0"/>
    <w:rsid w:val="005B58FB"/>
    <w:rsid w:val="005B65D7"/>
    <w:rsid w:val="005B69AF"/>
    <w:rsid w:val="005B69E9"/>
    <w:rsid w:val="005C07C2"/>
    <w:rsid w:val="005C08B3"/>
    <w:rsid w:val="005C661F"/>
    <w:rsid w:val="005D0496"/>
    <w:rsid w:val="005D12B7"/>
    <w:rsid w:val="005D1DA9"/>
    <w:rsid w:val="005D2CB4"/>
    <w:rsid w:val="005D4DEC"/>
    <w:rsid w:val="005D6359"/>
    <w:rsid w:val="005E0C11"/>
    <w:rsid w:val="005E4447"/>
    <w:rsid w:val="005E4C46"/>
    <w:rsid w:val="005F1281"/>
    <w:rsid w:val="005F4220"/>
    <w:rsid w:val="00602AAE"/>
    <w:rsid w:val="00603D3A"/>
    <w:rsid w:val="0061026F"/>
    <w:rsid w:val="00613386"/>
    <w:rsid w:val="00617ECA"/>
    <w:rsid w:val="00625BC0"/>
    <w:rsid w:val="00627AA6"/>
    <w:rsid w:val="0063783F"/>
    <w:rsid w:val="006407B1"/>
    <w:rsid w:val="00641A6C"/>
    <w:rsid w:val="00651E39"/>
    <w:rsid w:val="00652707"/>
    <w:rsid w:val="00657CC2"/>
    <w:rsid w:val="00660D25"/>
    <w:rsid w:val="006611F7"/>
    <w:rsid w:val="00662539"/>
    <w:rsid w:val="00662D1E"/>
    <w:rsid w:val="00664BA7"/>
    <w:rsid w:val="006669E1"/>
    <w:rsid w:val="00673C05"/>
    <w:rsid w:val="006754E5"/>
    <w:rsid w:val="00675A7C"/>
    <w:rsid w:val="0068321A"/>
    <w:rsid w:val="00683ECD"/>
    <w:rsid w:val="00691804"/>
    <w:rsid w:val="006A0F5A"/>
    <w:rsid w:val="006A155A"/>
    <w:rsid w:val="006A6290"/>
    <w:rsid w:val="006A63F0"/>
    <w:rsid w:val="006A7D43"/>
    <w:rsid w:val="006B21FC"/>
    <w:rsid w:val="006B357E"/>
    <w:rsid w:val="006B6325"/>
    <w:rsid w:val="006C0AC1"/>
    <w:rsid w:val="006C1423"/>
    <w:rsid w:val="006C51DC"/>
    <w:rsid w:val="006D488C"/>
    <w:rsid w:val="006D67B5"/>
    <w:rsid w:val="006D71A1"/>
    <w:rsid w:val="006E5273"/>
    <w:rsid w:val="006E5E79"/>
    <w:rsid w:val="006E6C23"/>
    <w:rsid w:val="006F06D4"/>
    <w:rsid w:val="006F73A7"/>
    <w:rsid w:val="00700BDE"/>
    <w:rsid w:val="0070160D"/>
    <w:rsid w:val="00710C0B"/>
    <w:rsid w:val="0071695C"/>
    <w:rsid w:val="00716CD1"/>
    <w:rsid w:val="00723AD9"/>
    <w:rsid w:val="00723B98"/>
    <w:rsid w:val="00732A67"/>
    <w:rsid w:val="00736EF0"/>
    <w:rsid w:val="00740E86"/>
    <w:rsid w:val="00760BB6"/>
    <w:rsid w:val="0076381F"/>
    <w:rsid w:val="007640BE"/>
    <w:rsid w:val="00765429"/>
    <w:rsid w:val="00765EE9"/>
    <w:rsid w:val="007732FF"/>
    <w:rsid w:val="00774A1E"/>
    <w:rsid w:val="00775217"/>
    <w:rsid w:val="00777443"/>
    <w:rsid w:val="00782507"/>
    <w:rsid w:val="00785BE7"/>
    <w:rsid w:val="00787862"/>
    <w:rsid w:val="00790177"/>
    <w:rsid w:val="00790346"/>
    <w:rsid w:val="007903EE"/>
    <w:rsid w:val="00793F3F"/>
    <w:rsid w:val="00794B22"/>
    <w:rsid w:val="00796B1F"/>
    <w:rsid w:val="007978A4"/>
    <w:rsid w:val="007A0ACF"/>
    <w:rsid w:val="007A330A"/>
    <w:rsid w:val="007A5B84"/>
    <w:rsid w:val="007B183D"/>
    <w:rsid w:val="007B21FA"/>
    <w:rsid w:val="007B3CAA"/>
    <w:rsid w:val="007B5BC0"/>
    <w:rsid w:val="007C2E37"/>
    <w:rsid w:val="007C4EA1"/>
    <w:rsid w:val="007C7FE7"/>
    <w:rsid w:val="007D27CE"/>
    <w:rsid w:val="007E47F7"/>
    <w:rsid w:val="007E5397"/>
    <w:rsid w:val="007E7851"/>
    <w:rsid w:val="007E7D8B"/>
    <w:rsid w:val="007F2F40"/>
    <w:rsid w:val="00805180"/>
    <w:rsid w:val="008055B0"/>
    <w:rsid w:val="00805D85"/>
    <w:rsid w:val="00806AA3"/>
    <w:rsid w:val="00807A9A"/>
    <w:rsid w:val="008111BD"/>
    <w:rsid w:val="008153CE"/>
    <w:rsid w:val="0082240B"/>
    <w:rsid w:val="0082408D"/>
    <w:rsid w:val="00824AE9"/>
    <w:rsid w:val="008313E2"/>
    <w:rsid w:val="00833E69"/>
    <w:rsid w:val="00834265"/>
    <w:rsid w:val="008359D6"/>
    <w:rsid w:val="00835A93"/>
    <w:rsid w:val="00840C76"/>
    <w:rsid w:val="00845B2C"/>
    <w:rsid w:val="00847F40"/>
    <w:rsid w:val="00851472"/>
    <w:rsid w:val="0085179F"/>
    <w:rsid w:val="00852BCA"/>
    <w:rsid w:val="0085434B"/>
    <w:rsid w:val="00861C26"/>
    <w:rsid w:val="00876C83"/>
    <w:rsid w:val="00877D62"/>
    <w:rsid w:val="008803AA"/>
    <w:rsid w:val="00882B0C"/>
    <w:rsid w:val="00882B2F"/>
    <w:rsid w:val="00886169"/>
    <w:rsid w:val="0088779D"/>
    <w:rsid w:val="00894A00"/>
    <w:rsid w:val="00894C65"/>
    <w:rsid w:val="008A51A0"/>
    <w:rsid w:val="008A68FD"/>
    <w:rsid w:val="008C34BB"/>
    <w:rsid w:val="008D0C8B"/>
    <w:rsid w:val="008D3684"/>
    <w:rsid w:val="008E2C63"/>
    <w:rsid w:val="008E4FC8"/>
    <w:rsid w:val="008F07DF"/>
    <w:rsid w:val="008F1C8A"/>
    <w:rsid w:val="008F1EE5"/>
    <w:rsid w:val="008F2024"/>
    <w:rsid w:val="008F7A28"/>
    <w:rsid w:val="00901524"/>
    <w:rsid w:val="00902394"/>
    <w:rsid w:val="00904BAB"/>
    <w:rsid w:val="0090622C"/>
    <w:rsid w:val="00907C3D"/>
    <w:rsid w:val="009106F5"/>
    <w:rsid w:val="0091370A"/>
    <w:rsid w:val="00914DBD"/>
    <w:rsid w:val="0092079F"/>
    <w:rsid w:val="009209D2"/>
    <w:rsid w:val="00922718"/>
    <w:rsid w:val="00926613"/>
    <w:rsid w:val="00927FF3"/>
    <w:rsid w:val="00930956"/>
    <w:rsid w:val="00932CA4"/>
    <w:rsid w:val="00941A58"/>
    <w:rsid w:val="00943577"/>
    <w:rsid w:val="00952392"/>
    <w:rsid w:val="0095262B"/>
    <w:rsid w:val="00954309"/>
    <w:rsid w:val="00955909"/>
    <w:rsid w:val="00960DD9"/>
    <w:rsid w:val="0096155C"/>
    <w:rsid w:val="00963A77"/>
    <w:rsid w:val="0097078B"/>
    <w:rsid w:val="009728ED"/>
    <w:rsid w:val="00974469"/>
    <w:rsid w:val="0097683F"/>
    <w:rsid w:val="00977B41"/>
    <w:rsid w:val="0098150F"/>
    <w:rsid w:val="00983BD0"/>
    <w:rsid w:val="0098778C"/>
    <w:rsid w:val="0099073D"/>
    <w:rsid w:val="00991B37"/>
    <w:rsid w:val="0099223F"/>
    <w:rsid w:val="0099281F"/>
    <w:rsid w:val="00992E18"/>
    <w:rsid w:val="0099485A"/>
    <w:rsid w:val="00994C3B"/>
    <w:rsid w:val="00995253"/>
    <w:rsid w:val="009B300F"/>
    <w:rsid w:val="009B3F4B"/>
    <w:rsid w:val="009B5C4B"/>
    <w:rsid w:val="009C5A83"/>
    <w:rsid w:val="009C5D2C"/>
    <w:rsid w:val="009D19E6"/>
    <w:rsid w:val="009D6D9A"/>
    <w:rsid w:val="009D75F9"/>
    <w:rsid w:val="009E1B78"/>
    <w:rsid w:val="009E250E"/>
    <w:rsid w:val="009E5C20"/>
    <w:rsid w:val="009E7CB4"/>
    <w:rsid w:val="009F138C"/>
    <w:rsid w:val="009F6658"/>
    <w:rsid w:val="009F7FCC"/>
    <w:rsid w:val="00A02998"/>
    <w:rsid w:val="00A02AA1"/>
    <w:rsid w:val="00A052D7"/>
    <w:rsid w:val="00A06413"/>
    <w:rsid w:val="00A06FBD"/>
    <w:rsid w:val="00A10916"/>
    <w:rsid w:val="00A167C9"/>
    <w:rsid w:val="00A176EC"/>
    <w:rsid w:val="00A17C4B"/>
    <w:rsid w:val="00A36135"/>
    <w:rsid w:val="00A41D8C"/>
    <w:rsid w:val="00A41D9B"/>
    <w:rsid w:val="00A46055"/>
    <w:rsid w:val="00A52E1E"/>
    <w:rsid w:val="00A54894"/>
    <w:rsid w:val="00A5697B"/>
    <w:rsid w:val="00A56F92"/>
    <w:rsid w:val="00A6395D"/>
    <w:rsid w:val="00A65CB4"/>
    <w:rsid w:val="00A676BC"/>
    <w:rsid w:val="00A678CB"/>
    <w:rsid w:val="00A70104"/>
    <w:rsid w:val="00A772E4"/>
    <w:rsid w:val="00A83E51"/>
    <w:rsid w:val="00A84523"/>
    <w:rsid w:val="00A874BC"/>
    <w:rsid w:val="00A93860"/>
    <w:rsid w:val="00A953C9"/>
    <w:rsid w:val="00A95C04"/>
    <w:rsid w:val="00AA2E88"/>
    <w:rsid w:val="00AA459B"/>
    <w:rsid w:val="00AB143D"/>
    <w:rsid w:val="00AB6644"/>
    <w:rsid w:val="00AC212D"/>
    <w:rsid w:val="00AC3070"/>
    <w:rsid w:val="00AD0B0A"/>
    <w:rsid w:val="00AD2A77"/>
    <w:rsid w:val="00AD68CD"/>
    <w:rsid w:val="00AE4605"/>
    <w:rsid w:val="00AE6B19"/>
    <w:rsid w:val="00AE7B46"/>
    <w:rsid w:val="00AF3712"/>
    <w:rsid w:val="00AF58F1"/>
    <w:rsid w:val="00B02997"/>
    <w:rsid w:val="00B02AAE"/>
    <w:rsid w:val="00B04BAC"/>
    <w:rsid w:val="00B056BE"/>
    <w:rsid w:val="00B05F21"/>
    <w:rsid w:val="00B10AB2"/>
    <w:rsid w:val="00B12E83"/>
    <w:rsid w:val="00B13032"/>
    <w:rsid w:val="00B161A3"/>
    <w:rsid w:val="00B16800"/>
    <w:rsid w:val="00B201BF"/>
    <w:rsid w:val="00B2162F"/>
    <w:rsid w:val="00B22DD2"/>
    <w:rsid w:val="00B269B6"/>
    <w:rsid w:val="00B35B37"/>
    <w:rsid w:val="00B42E5D"/>
    <w:rsid w:val="00B5193C"/>
    <w:rsid w:val="00B52171"/>
    <w:rsid w:val="00B60CBD"/>
    <w:rsid w:val="00B636E2"/>
    <w:rsid w:val="00B74BF7"/>
    <w:rsid w:val="00B7690F"/>
    <w:rsid w:val="00B76938"/>
    <w:rsid w:val="00B81F42"/>
    <w:rsid w:val="00BA1AC6"/>
    <w:rsid w:val="00BA2562"/>
    <w:rsid w:val="00BA4955"/>
    <w:rsid w:val="00BA4A2A"/>
    <w:rsid w:val="00BB2D37"/>
    <w:rsid w:val="00BB3CB3"/>
    <w:rsid w:val="00BB43FB"/>
    <w:rsid w:val="00BB6E4A"/>
    <w:rsid w:val="00BC2D1F"/>
    <w:rsid w:val="00BC5057"/>
    <w:rsid w:val="00BD1047"/>
    <w:rsid w:val="00BD1A56"/>
    <w:rsid w:val="00BE630E"/>
    <w:rsid w:val="00BE6ED2"/>
    <w:rsid w:val="00BF4520"/>
    <w:rsid w:val="00BF5B3C"/>
    <w:rsid w:val="00BF704D"/>
    <w:rsid w:val="00C04259"/>
    <w:rsid w:val="00C04F58"/>
    <w:rsid w:val="00C0787E"/>
    <w:rsid w:val="00C1271B"/>
    <w:rsid w:val="00C14ECB"/>
    <w:rsid w:val="00C23935"/>
    <w:rsid w:val="00C33263"/>
    <w:rsid w:val="00C40D38"/>
    <w:rsid w:val="00C41D9F"/>
    <w:rsid w:val="00C441EE"/>
    <w:rsid w:val="00C60585"/>
    <w:rsid w:val="00C63BF4"/>
    <w:rsid w:val="00C66049"/>
    <w:rsid w:val="00C76BB3"/>
    <w:rsid w:val="00C7792A"/>
    <w:rsid w:val="00C82389"/>
    <w:rsid w:val="00C86A41"/>
    <w:rsid w:val="00C902F8"/>
    <w:rsid w:val="00C9108D"/>
    <w:rsid w:val="00C94DB3"/>
    <w:rsid w:val="00CA2837"/>
    <w:rsid w:val="00CB4334"/>
    <w:rsid w:val="00CB7F0E"/>
    <w:rsid w:val="00CC29D1"/>
    <w:rsid w:val="00CC43FC"/>
    <w:rsid w:val="00CC5C94"/>
    <w:rsid w:val="00CD5997"/>
    <w:rsid w:val="00CD5CE7"/>
    <w:rsid w:val="00CE5DBD"/>
    <w:rsid w:val="00CF3E5C"/>
    <w:rsid w:val="00CF3FE3"/>
    <w:rsid w:val="00CF4A11"/>
    <w:rsid w:val="00CF74BC"/>
    <w:rsid w:val="00CF7C76"/>
    <w:rsid w:val="00D00E6F"/>
    <w:rsid w:val="00D01EA2"/>
    <w:rsid w:val="00D0298F"/>
    <w:rsid w:val="00D05DE7"/>
    <w:rsid w:val="00D100D2"/>
    <w:rsid w:val="00D11024"/>
    <w:rsid w:val="00D144B5"/>
    <w:rsid w:val="00D25264"/>
    <w:rsid w:val="00D32990"/>
    <w:rsid w:val="00D3351B"/>
    <w:rsid w:val="00D33A28"/>
    <w:rsid w:val="00D36862"/>
    <w:rsid w:val="00D41FB7"/>
    <w:rsid w:val="00D44597"/>
    <w:rsid w:val="00D44E6E"/>
    <w:rsid w:val="00D46678"/>
    <w:rsid w:val="00D5047A"/>
    <w:rsid w:val="00D54C62"/>
    <w:rsid w:val="00D63FF9"/>
    <w:rsid w:val="00D652B3"/>
    <w:rsid w:val="00D65A13"/>
    <w:rsid w:val="00D65ECF"/>
    <w:rsid w:val="00D70519"/>
    <w:rsid w:val="00D80384"/>
    <w:rsid w:val="00D81033"/>
    <w:rsid w:val="00D82026"/>
    <w:rsid w:val="00D90C3F"/>
    <w:rsid w:val="00D9237F"/>
    <w:rsid w:val="00DA1CE9"/>
    <w:rsid w:val="00DA4692"/>
    <w:rsid w:val="00DA5F10"/>
    <w:rsid w:val="00DA7044"/>
    <w:rsid w:val="00DA760C"/>
    <w:rsid w:val="00DB4ACC"/>
    <w:rsid w:val="00DB7CC4"/>
    <w:rsid w:val="00DC009C"/>
    <w:rsid w:val="00DC3D96"/>
    <w:rsid w:val="00DD2019"/>
    <w:rsid w:val="00DD354B"/>
    <w:rsid w:val="00DD43EB"/>
    <w:rsid w:val="00DE13D9"/>
    <w:rsid w:val="00DE4442"/>
    <w:rsid w:val="00DE4ED9"/>
    <w:rsid w:val="00DE4EFF"/>
    <w:rsid w:val="00DF6B9C"/>
    <w:rsid w:val="00E01E60"/>
    <w:rsid w:val="00E02262"/>
    <w:rsid w:val="00E0545D"/>
    <w:rsid w:val="00E11300"/>
    <w:rsid w:val="00E1190B"/>
    <w:rsid w:val="00E12B21"/>
    <w:rsid w:val="00E16372"/>
    <w:rsid w:val="00E25F60"/>
    <w:rsid w:val="00E301F5"/>
    <w:rsid w:val="00E3075A"/>
    <w:rsid w:val="00E308BB"/>
    <w:rsid w:val="00E3258D"/>
    <w:rsid w:val="00E35BC2"/>
    <w:rsid w:val="00E42582"/>
    <w:rsid w:val="00E52107"/>
    <w:rsid w:val="00E52F2F"/>
    <w:rsid w:val="00E55A70"/>
    <w:rsid w:val="00E55CCB"/>
    <w:rsid w:val="00E5788B"/>
    <w:rsid w:val="00E65B67"/>
    <w:rsid w:val="00E668FE"/>
    <w:rsid w:val="00E67214"/>
    <w:rsid w:val="00E67C1F"/>
    <w:rsid w:val="00E710E7"/>
    <w:rsid w:val="00E723A7"/>
    <w:rsid w:val="00E75244"/>
    <w:rsid w:val="00E7716F"/>
    <w:rsid w:val="00E777D5"/>
    <w:rsid w:val="00E84075"/>
    <w:rsid w:val="00E86D20"/>
    <w:rsid w:val="00E92502"/>
    <w:rsid w:val="00E935A2"/>
    <w:rsid w:val="00E93F7C"/>
    <w:rsid w:val="00E95688"/>
    <w:rsid w:val="00E96835"/>
    <w:rsid w:val="00EA0915"/>
    <w:rsid w:val="00EA3B0F"/>
    <w:rsid w:val="00EB58DC"/>
    <w:rsid w:val="00EC1CB6"/>
    <w:rsid w:val="00EC4302"/>
    <w:rsid w:val="00EC5425"/>
    <w:rsid w:val="00ED15AE"/>
    <w:rsid w:val="00ED5001"/>
    <w:rsid w:val="00EE00DE"/>
    <w:rsid w:val="00EE2673"/>
    <w:rsid w:val="00EF2452"/>
    <w:rsid w:val="00EF28CF"/>
    <w:rsid w:val="00EF299E"/>
    <w:rsid w:val="00EF2A73"/>
    <w:rsid w:val="00EF2BF3"/>
    <w:rsid w:val="00F01C11"/>
    <w:rsid w:val="00F01F73"/>
    <w:rsid w:val="00F025D5"/>
    <w:rsid w:val="00F03D6C"/>
    <w:rsid w:val="00F041B1"/>
    <w:rsid w:val="00F04453"/>
    <w:rsid w:val="00F07ECB"/>
    <w:rsid w:val="00F1305B"/>
    <w:rsid w:val="00F21332"/>
    <w:rsid w:val="00F2301B"/>
    <w:rsid w:val="00F24FD1"/>
    <w:rsid w:val="00F33515"/>
    <w:rsid w:val="00F340D0"/>
    <w:rsid w:val="00F370CD"/>
    <w:rsid w:val="00F42ABB"/>
    <w:rsid w:val="00F50393"/>
    <w:rsid w:val="00F52C29"/>
    <w:rsid w:val="00F5403F"/>
    <w:rsid w:val="00F57E3E"/>
    <w:rsid w:val="00F62400"/>
    <w:rsid w:val="00F73C69"/>
    <w:rsid w:val="00F75FBD"/>
    <w:rsid w:val="00F76249"/>
    <w:rsid w:val="00F80760"/>
    <w:rsid w:val="00F95AED"/>
    <w:rsid w:val="00F96CE3"/>
    <w:rsid w:val="00F9713D"/>
    <w:rsid w:val="00FA0424"/>
    <w:rsid w:val="00FB0A7A"/>
    <w:rsid w:val="00FB1CF6"/>
    <w:rsid w:val="00FB550F"/>
    <w:rsid w:val="00FB69A0"/>
    <w:rsid w:val="00FC1FAD"/>
    <w:rsid w:val="00FC36B3"/>
    <w:rsid w:val="00FC5064"/>
    <w:rsid w:val="00FD36AA"/>
    <w:rsid w:val="00FD5C32"/>
    <w:rsid w:val="00FD7BDF"/>
    <w:rsid w:val="00FE79CA"/>
    <w:rsid w:val="00FF10C5"/>
    <w:rsid w:val="00FF184F"/>
    <w:rsid w:val="00FF285A"/>
    <w:rsid w:val="00FF382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semiHidden="1"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uiPriority="0" w:qFormat="1"/>
    <w:lsdException w:name="List 2" w:semiHidden="1" w:unhideWhenUsed="1"/>
    <w:lsdException w:name="List 3" w:semiHidden="1" w:unhideWhenUsed="1"/>
    <w:lsdException w:name="List 4" w:semiHidden="1"/>
    <w:lsdException w:name="List 5" w:semiHidden="1"/>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unhideWhenUsed="1"/>
    <w:lsdException w:name="List Number 3" w:uiPriority="0" w:unhideWhenUsed="1"/>
    <w:lsdException w:name="List Number 4" w:uiPriority="0" w:unhideWhenUsed="1"/>
    <w:lsdException w:name="List Number 5" w:uiPriority="0"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5BE7"/>
    <w:pPr>
      <w:spacing w:after="200" w:line="260" w:lineRule="exact"/>
    </w:pPr>
    <w:rPr>
      <w:rFonts w:ascii="Cambria" w:hAnsi="Cambria"/>
      <w:sz w:val="22"/>
      <w:szCs w:val="24"/>
      <w:lang w:eastAsia="en-US"/>
    </w:rPr>
  </w:style>
  <w:style w:type="paragraph" w:styleId="Heading1">
    <w:name w:val="heading 1"/>
    <w:next w:val="BodyText1"/>
    <w:qFormat/>
    <w:rsid w:val="00785BE7"/>
    <w:pPr>
      <w:keepNext/>
      <w:outlineLvl w:val="0"/>
    </w:pPr>
    <w:rPr>
      <w:rFonts w:ascii="Arial" w:hAnsi="Arial"/>
      <w:color w:val="FFFFFF"/>
      <w:spacing w:val="-10"/>
      <w:kern w:val="32"/>
      <w:sz w:val="42"/>
      <w:szCs w:val="32"/>
      <w:lang w:val="en-US" w:eastAsia="en-US"/>
    </w:rPr>
  </w:style>
  <w:style w:type="paragraph" w:styleId="Heading2">
    <w:name w:val="heading 2"/>
    <w:next w:val="BodyText1"/>
    <w:qFormat/>
    <w:rsid w:val="0088779D"/>
    <w:pPr>
      <w:keepNext/>
      <w:spacing w:after="120"/>
      <w:outlineLvl w:val="1"/>
    </w:pPr>
    <w:rPr>
      <w:rFonts w:ascii="Arial" w:hAnsi="Arial"/>
      <w:b/>
      <w:spacing w:val="-6"/>
      <w:sz w:val="26"/>
      <w:szCs w:val="26"/>
      <w:lang w:eastAsia="en-US"/>
    </w:rPr>
  </w:style>
  <w:style w:type="paragraph" w:styleId="Heading3">
    <w:name w:val="heading 3"/>
    <w:next w:val="BodyText1"/>
    <w:qFormat/>
    <w:rsid w:val="0063783F"/>
    <w:pPr>
      <w:keepNext/>
      <w:spacing w:before="200" w:after="240"/>
      <w:outlineLvl w:val="2"/>
    </w:pPr>
    <w:rPr>
      <w:rFonts w:ascii="Arial" w:hAnsi="Arial"/>
      <w:b/>
      <w:color w:val="14708E"/>
      <w:spacing w:val="-6"/>
      <w:sz w:val="24"/>
      <w:szCs w:val="24"/>
    </w:rPr>
  </w:style>
  <w:style w:type="paragraph" w:styleId="Heading4">
    <w:name w:val="heading 4"/>
    <w:basedOn w:val="Normal"/>
    <w:next w:val="Heading3"/>
    <w:link w:val="Heading4Char"/>
    <w:uiPriority w:val="9"/>
    <w:rsid w:val="00AE6B19"/>
    <w:pPr>
      <w:keepNext/>
      <w:keepLines/>
      <w:spacing w:before="200"/>
      <w:outlineLvl w:val="3"/>
    </w:pPr>
    <w:rPr>
      <w:rFonts w:ascii="Arial" w:hAnsi="Arial"/>
      <w:b/>
      <w:bCs/>
      <w:i/>
      <w:iCs/>
      <w:color w:val="0042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rsid w:val="00AE6B19"/>
    <w:pPr>
      <w:spacing w:after="57" w:line="113" w:lineRule="exact"/>
    </w:pPr>
    <w:rPr>
      <w:rFonts w:ascii="Cambria" w:hAnsi="Cambria"/>
      <w:sz w:val="2"/>
      <w:szCs w:val="24"/>
      <w:lang w:eastAsia="en-US"/>
    </w:rPr>
  </w:style>
  <w:style w:type="paragraph" w:customStyle="1" w:styleId="Bodytextbeforebullets">
    <w:name w:val="Body text (before bullets)"/>
    <w:basedOn w:val="BodyText1"/>
    <w:rsid w:val="00AE6B19"/>
    <w:pPr>
      <w:spacing w:after="57"/>
    </w:pPr>
  </w:style>
  <w:style w:type="paragraph" w:customStyle="1" w:styleId="BodyText1">
    <w:name w:val="Body Text1"/>
    <w:basedOn w:val="Normal"/>
    <w:qFormat/>
    <w:rsid w:val="00513B49"/>
    <w:pPr>
      <w:spacing w:after="120" w:line="240" w:lineRule="auto"/>
    </w:pPr>
  </w:style>
  <w:style w:type="paragraph" w:customStyle="1" w:styleId="Bullets1stindent">
    <w:name w:val="Bullets (1st indent)"/>
    <w:basedOn w:val="BodyText1"/>
    <w:rsid w:val="0099073D"/>
    <w:pPr>
      <w:numPr>
        <w:numId w:val="3"/>
      </w:numPr>
    </w:pPr>
  </w:style>
  <w:style w:type="paragraph" w:customStyle="1" w:styleId="Bullets2ndindent">
    <w:name w:val="Bullets (2nd indent)"/>
    <w:basedOn w:val="BodyText1"/>
    <w:rsid w:val="008F1C8A"/>
    <w:pPr>
      <w:numPr>
        <w:ilvl w:val="1"/>
        <w:numId w:val="3"/>
      </w:numPr>
    </w:pPr>
  </w:style>
  <w:style w:type="numbering" w:customStyle="1" w:styleId="Bullets">
    <w:name w:val="Bullets"/>
    <w:basedOn w:val="NoList"/>
    <w:uiPriority w:val="99"/>
    <w:rsid w:val="00AE6B19"/>
    <w:pPr>
      <w:numPr>
        <w:numId w:val="3"/>
      </w:numPr>
    </w:pPr>
  </w:style>
  <w:style w:type="paragraph" w:customStyle="1" w:styleId="Figuretitle">
    <w:name w:val="Figure title"/>
    <w:basedOn w:val="Heading2"/>
    <w:next w:val="BodyText1"/>
    <w:rsid w:val="00AE6B19"/>
    <w:pPr>
      <w:numPr>
        <w:ilvl w:val="6"/>
        <w:numId w:val="1"/>
      </w:numPr>
    </w:pPr>
    <w:rPr>
      <w:szCs w:val="24"/>
    </w:rPr>
  </w:style>
  <w:style w:type="paragraph" w:customStyle="1" w:styleId="Footertext">
    <w:name w:val="Footer text"/>
    <w:semiHidden/>
    <w:rsid w:val="00AE6B19"/>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Footnote">
    <w:name w:val="Footnote"/>
    <w:rsid w:val="00AE6B19"/>
    <w:pPr>
      <w:spacing w:before="85" w:after="85" w:line="160" w:lineRule="atLeast"/>
    </w:pPr>
    <w:rPr>
      <w:rFonts w:ascii="Arial" w:hAnsi="Arial" w:cs="Arial"/>
      <w:i/>
      <w:sz w:val="12"/>
      <w:szCs w:val="12"/>
      <w:lang w:eastAsia="en-US"/>
    </w:rPr>
  </w:style>
  <w:style w:type="paragraph" w:customStyle="1" w:styleId="Bulletslast1stindent">
    <w:name w:val="Bullets last (1st indent)"/>
    <w:basedOn w:val="BodyText1"/>
    <w:rsid w:val="00AE6B19"/>
    <w:pPr>
      <w:numPr>
        <w:ilvl w:val="2"/>
        <w:numId w:val="3"/>
      </w:numPr>
    </w:pPr>
  </w:style>
  <w:style w:type="numbering" w:customStyle="1" w:styleId="Numbers">
    <w:name w:val="Numbers"/>
    <w:basedOn w:val="NoList"/>
    <w:rsid w:val="00AE6B19"/>
    <w:pPr>
      <w:numPr>
        <w:numId w:val="1"/>
      </w:numPr>
    </w:pPr>
  </w:style>
  <w:style w:type="paragraph" w:customStyle="1" w:styleId="Bulletslast2ndindent">
    <w:name w:val="Bullets last (2nd indent)"/>
    <w:basedOn w:val="BodyText1"/>
    <w:rsid w:val="00AE6B19"/>
    <w:pPr>
      <w:numPr>
        <w:ilvl w:val="3"/>
        <w:numId w:val="3"/>
      </w:numPr>
      <w:spacing w:after="57"/>
    </w:pPr>
  </w:style>
  <w:style w:type="paragraph" w:styleId="Subtitle">
    <w:name w:val="Subtitle"/>
    <w:basedOn w:val="Title"/>
    <w:uiPriority w:val="2"/>
    <w:rsid w:val="00AE6B19"/>
    <w:pPr>
      <w:spacing w:before="200" w:line="300" w:lineRule="atLeast"/>
    </w:pPr>
    <w:rPr>
      <w:color w:val="FFFFFF"/>
      <w:sz w:val="24"/>
    </w:rPr>
  </w:style>
  <w:style w:type="paragraph" w:customStyle="1" w:styleId="Tablebodytext">
    <w:name w:val="Table body text"/>
    <w:qFormat/>
    <w:rsid w:val="00AE6B19"/>
    <w:pPr>
      <w:spacing w:before="57" w:after="57" w:line="220" w:lineRule="atLeast"/>
      <w:ind w:left="96" w:right="96"/>
    </w:pPr>
    <w:rPr>
      <w:rFonts w:ascii="Arial" w:hAnsi="Arial"/>
      <w:sz w:val="17"/>
      <w:szCs w:val="24"/>
      <w:lang w:eastAsia="en-US"/>
    </w:rPr>
  </w:style>
  <w:style w:type="paragraph" w:customStyle="1" w:styleId="Tablebullets2ndindent">
    <w:name w:val="Table bullets (2nd indent)"/>
    <w:basedOn w:val="Tablebodytext"/>
    <w:qFormat/>
    <w:rsid w:val="00AE6B19"/>
    <w:pPr>
      <w:numPr>
        <w:ilvl w:val="6"/>
        <w:numId w:val="3"/>
      </w:numPr>
    </w:pPr>
  </w:style>
  <w:style w:type="paragraph" w:customStyle="1" w:styleId="Tablebullets1stindent">
    <w:name w:val="Table bullets (1st indent)"/>
    <w:basedOn w:val="Tablebodytext"/>
    <w:qFormat/>
    <w:rsid w:val="00AE6B19"/>
    <w:pPr>
      <w:numPr>
        <w:ilvl w:val="5"/>
        <w:numId w:val="3"/>
      </w:numPr>
    </w:pPr>
  </w:style>
  <w:style w:type="paragraph" w:customStyle="1" w:styleId="Tablecolumnheading">
    <w:name w:val="Table column heading"/>
    <w:basedOn w:val="Tablebodytext"/>
    <w:qFormat/>
    <w:rsid w:val="00AE6B19"/>
    <w:pPr>
      <w:keepNext/>
    </w:pPr>
    <w:rPr>
      <w:b/>
    </w:rPr>
  </w:style>
  <w:style w:type="paragraph" w:customStyle="1" w:styleId="Title2">
    <w:name w:val="Title 2"/>
    <w:basedOn w:val="Title"/>
    <w:uiPriority w:val="2"/>
    <w:semiHidden/>
    <w:rsid w:val="00AE6B19"/>
  </w:style>
  <w:style w:type="paragraph" w:customStyle="1" w:styleId="Tabletitle">
    <w:name w:val="Table title"/>
    <w:basedOn w:val="Heading2"/>
    <w:next w:val="BodyText1"/>
    <w:rsid w:val="00AE6B19"/>
    <w:pPr>
      <w:numPr>
        <w:ilvl w:val="8"/>
        <w:numId w:val="1"/>
      </w:numPr>
    </w:pPr>
    <w:rPr>
      <w:szCs w:val="24"/>
    </w:rPr>
  </w:style>
  <w:style w:type="paragraph" w:styleId="Title">
    <w:name w:val="Title"/>
    <w:uiPriority w:val="2"/>
    <w:rsid w:val="00AE6B19"/>
    <w:pPr>
      <w:spacing w:line="520" w:lineRule="atLeast"/>
      <w:outlineLvl w:val="0"/>
    </w:pPr>
    <w:rPr>
      <w:rFonts w:ascii="Arial" w:hAnsi="Arial"/>
      <w:color w:val="9FDBEB"/>
      <w:kern w:val="28"/>
      <w:sz w:val="48"/>
      <w:szCs w:val="32"/>
      <w:lang w:eastAsia="en-US"/>
    </w:rPr>
  </w:style>
  <w:style w:type="paragraph" w:customStyle="1" w:styleId="Boxheading">
    <w:name w:val="Box heading"/>
    <w:next w:val="BodyText1"/>
    <w:uiPriority w:val="1"/>
    <w:rsid w:val="00AE6B19"/>
    <w:pPr>
      <w:spacing w:line="240" w:lineRule="atLeast"/>
    </w:pPr>
    <w:rPr>
      <w:rFonts w:ascii="Arial" w:hAnsi="Arial"/>
      <w:b/>
      <w:color w:val="37424A"/>
      <w:sz w:val="22"/>
      <w:szCs w:val="24"/>
      <w:lang w:eastAsia="en-US"/>
    </w:rPr>
  </w:style>
  <w:style w:type="paragraph" w:styleId="Footer">
    <w:name w:val="footer"/>
    <w:basedOn w:val="Normal"/>
    <w:link w:val="FooterChar"/>
    <w:uiPriority w:val="99"/>
    <w:rsid w:val="00AE6B19"/>
    <w:pPr>
      <w:tabs>
        <w:tab w:val="center" w:pos="4320"/>
        <w:tab w:val="right" w:pos="8640"/>
      </w:tabs>
    </w:pPr>
  </w:style>
  <w:style w:type="table" w:styleId="TableGrid">
    <w:name w:val="Table Grid"/>
    <w:basedOn w:val="TableNormal"/>
    <w:rsid w:val="00AE6B19"/>
    <w:rPr>
      <w:rFonts w:ascii="Arial" w:hAnsi="Arial"/>
    </w:rPr>
    <w:tblPr>
      <w:tblCellMar>
        <w:left w:w="0" w:type="dxa"/>
        <w:right w:w="0" w:type="dxa"/>
      </w:tblCellMar>
    </w:tblPr>
  </w:style>
  <w:style w:type="paragraph" w:styleId="BalloonText">
    <w:name w:val="Balloon Text"/>
    <w:basedOn w:val="Normal"/>
    <w:link w:val="BalloonTextChar"/>
    <w:uiPriority w:val="99"/>
    <w:semiHidden/>
    <w:rsid w:val="00AE6B19"/>
    <w:rPr>
      <w:rFonts w:ascii="Tahoma" w:hAnsi="Tahoma" w:cs="Tahoma"/>
      <w:sz w:val="16"/>
      <w:szCs w:val="16"/>
    </w:rPr>
  </w:style>
  <w:style w:type="character" w:customStyle="1" w:styleId="BalloonTextChar">
    <w:name w:val="Balloon Text Char"/>
    <w:basedOn w:val="DefaultParagraphFont"/>
    <w:link w:val="BalloonText"/>
    <w:uiPriority w:val="99"/>
    <w:semiHidden/>
    <w:rsid w:val="00AE6B19"/>
    <w:rPr>
      <w:rFonts w:ascii="Tahoma" w:hAnsi="Tahoma" w:cs="Tahoma"/>
      <w:sz w:val="16"/>
      <w:szCs w:val="16"/>
      <w:lang w:eastAsia="en-US"/>
    </w:rPr>
  </w:style>
  <w:style w:type="paragraph" w:styleId="Header">
    <w:name w:val="header"/>
    <w:basedOn w:val="Normal"/>
    <w:link w:val="HeaderChar"/>
    <w:uiPriority w:val="99"/>
    <w:semiHidden/>
    <w:rsid w:val="00AE6B19"/>
    <w:pPr>
      <w:tabs>
        <w:tab w:val="center" w:pos="4680"/>
        <w:tab w:val="right" w:pos="9360"/>
      </w:tabs>
    </w:pPr>
  </w:style>
  <w:style w:type="character" w:customStyle="1" w:styleId="HeaderChar">
    <w:name w:val="Header Char"/>
    <w:basedOn w:val="DefaultParagraphFont"/>
    <w:link w:val="Header"/>
    <w:uiPriority w:val="99"/>
    <w:semiHidden/>
    <w:rsid w:val="00AE6B19"/>
    <w:rPr>
      <w:rFonts w:ascii="Cambria" w:hAnsi="Cambria"/>
      <w:szCs w:val="24"/>
      <w:lang w:eastAsia="en-US"/>
    </w:rPr>
  </w:style>
  <w:style w:type="paragraph" w:customStyle="1" w:styleId="Subtitle2">
    <w:name w:val="Subtitle 2"/>
    <w:uiPriority w:val="2"/>
    <w:rsid w:val="00AE6B19"/>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E6B19"/>
    <w:rPr>
      <w:color w:val="5BC6E8"/>
    </w:rPr>
  </w:style>
  <w:style w:type="paragraph" w:customStyle="1" w:styleId="Subheading">
    <w:name w:val="Subheading"/>
    <w:next w:val="BodyText1"/>
    <w:qFormat/>
    <w:rsid w:val="00785BE7"/>
    <w:pPr>
      <w:spacing w:before="284"/>
      <w:ind w:left="284" w:hanging="284"/>
    </w:pPr>
    <w:rPr>
      <w:rFonts w:ascii="Arial" w:hAnsi="Arial"/>
      <w:color w:val="FFFFFF"/>
      <w:spacing w:val="-6"/>
      <w:sz w:val="24"/>
      <w:szCs w:val="28"/>
      <w:lang w:val="en-US" w:eastAsia="en-US"/>
    </w:rPr>
  </w:style>
  <w:style w:type="paragraph" w:customStyle="1" w:styleId="Boxtext">
    <w:name w:val="Box text"/>
    <w:basedOn w:val="Tablebodytext"/>
    <w:uiPriority w:val="1"/>
    <w:rsid w:val="00AE6B19"/>
    <w:pPr>
      <w:ind w:left="0" w:right="0"/>
    </w:pPr>
    <w:rPr>
      <w:color w:val="37424A"/>
    </w:rPr>
  </w:style>
  <w:style w:type="paragraph" w:styleId="Quote">
    <w:name w:val="Quote"/>
    <w:aliases w:val="Quote/emphasis"/>
    <w:link w:val="QuoteChar"/>
    <w:rsid w:val="001A0954"/>
    <w:pPr>
      <w:spacing w:before="170" w:after="170" w:line="260" w:lineRule="atLeast"/>
    </w:pPr>
    <w:rPr>
      <w:rFonts w:ascii="Cambria" w:hAnsi="Cambria"/>
      <w:i/>
      <w:iCs/>
      <w:color w:val="000000"/>
      <w:spacing w:val="-2"/>
      <w:sz w:val="22"/>
      <w:szCs w:val="22"/>
      <w:lang w:eastAsia="en-US"/>
    </w:rPr>
  </w:style>
  <w:style w:type="character" w:customStyle="1" w:styleId="QuoteChar">
    <w:name w:val="Quote Char"/>
    <w:aliases w:val="Quote/emphasis Char"/>
    <w:basedOn w:val="DefaultParagraphFont"/>
    <w:link w:val="Quote"/>
    <w:rsid w:val="001A0954"/>
    <w:rPr>
      <w:rFonts w:ascii="Cambria" w:hAnsi="Cambria"/>
      <w:i/>
      <w:iCs/>
      <w:color w:val="000000"/>
      <w:spacing w:val="-2"/>
      <w:sz w:val="22"/>
      <w:szCs w:val="22"/>
      <w:lang w:val="en-AU" w:eastAsia="en-US" w:bidi="ar-SA"/>
    </w:rPr>
  </w:style>
  <w:style w:type="table" w:customStyle="1" w:styleId="DOFDtexttable">
    <w:name w:val="DOFD_text table"/>
    <w:basedOn w:val="TableNormal"/>
    <w:uiPriority w:val="99"/>
    <w:qFormat/>
    <w:rsid w:val="00AE6B19"/>
    <w:pPr>
      <w:spacing w:before="57"/>
    </w:pPr>
    <w:rPr>
      <w:rFonts w:ascii="Cambria" w:hAnsi="Cambria"/>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72CE9B"/>
        <w:tcMar>
          <w:top w:w="113" w:type="dxa"/>
          <w:left w:w="0" w:type="nil"/>
          <w:bottom w:w="113" w:type="dxa"/>
          <w:right w:w="0" w:type="nil"/>
        </w:tcMar>
      </w:tcPr>
    </w:tblStylePr>
  </w:style>
  <w:style w:type="character" w:customStyle="1" w:styleId="ArialBlackBlue">
    <w:name w:val="Arial Black Blue"/>
    <w:basedOn w:val="DefaultParagraphFont"/>
    <w:uiPriority w:val="1"/>
    <w:semiHidden/>
    <w:qFormat/>
    <w:rsid w:val="00A93860"/>
    <w:rPr>
      <w:rFonts w:ascii="Arial Black" w:hAnsi="Arial Black"/>
      <w:color w:val="14708E"/>
      <w:sz w:val="18"/>
      <w:szCs w:val="18"/>
    </w:rPr>
  </w:style>
  <w:style w:type="character" w:styleId="PageNumber">
    <w:name w:val="page number"/>
    <w:basedOn w:val="DefaultParagraphFont"/>
    <w:uiPriority w:val="99"/>
    <w:semiHidden/>
    <w:qFormat/>
    <w:rsid w:val="00AE6B19"/>
    <w:rPr>
      <w:rFonts w:ascii="Arial" w:hAnsi="Arial"/>
      <w:b/>
      <w:color w:val="1C2735"/>
      <w:spacing w:val="-20"/>
      <w:sz w:val="16"/>
      <w:lang w:val="en-AU"/>
    </w:rPr>
  </w:style>
  <w:style w:type="paragraph" w:customStyle="1" w:styleId="Chapternumber">
    <w:name w:val="Chapter number"/>
    <w:semiHidden/>
    <w:qFormat/>
    <w:rsid w:val="00AE6B19"/>
    <w:pPr>
      <w:numPr>
        <w:numId w:val="2"/>
      </w:numPr>
      <w:spacing w:line="940" w:lineRule="exact"/>
      <w:ind w:left="142" w:firstLine="0"/>
    </w:pPr>
    <w:rPr>
      <w:rFonts w:ascii="Arial" w:hAnsi="Arial" w:cs="Arial"/>
      <w:b/>
      <w:color w:val="A7B4BE"/>
      <w:sz w:val="94"/>
      <w:szCs w:val="94"/>
      <w:lang w:eastAsia="en-US"/>
    </w:rPr>
  </w:style>
  <w:style w:type="paragraph" w:styleId="FootnoteText">
    <w:name w:val="footnote text"/>
    <w:link w:val="FootnoteTextChar"/>
    <w:uiPriority w:val="99"/>
    <w:semiHidden/>
    <w:qFormat/>
    <w:rsid w:val="00AE6B19"/>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basedOn w:val="DefaultParagraphFont"/>
    <w:link w:val="FootnoteText"/>
    <w:uiPriority w:val="99"/>
    <w:semiHidden/>
    <w:rsid w:val="00AE6B19"/>
    <w:rPr>
      <w:rFonts w:ascii="Arial" w:hAnsi="Arial"/>
      <w:color w:val="37424A"/>
      <w:sz w:val="15"/>
      <w:lang w:val="en-AU" w:eastAsia="en-US" w:bidi="ar-SA"/>
    </w:rPr>
  </w:style>
  <w:style w:type="character" w:styleId="FootnoteReference">
    <w:name w:val="footnote reference"/>
    <w:basedOn w:val="DefaultParagraphFont"/>
    <w:uiPriority w:val="99"/>
    <w:semiHidden/>
    <w:rsid w:val="00AE6B19"/>
    <w:rPr>
      <w:vertAlign w:val="superscript"/>
    </w:rPr>
  </w:style>
  <w:style w:type="paragraph" w:customStyle="1" w:styleId="Boxtitle">
    <w:name w:val="Box title"/>
    <w:basedOn w:val="Boxheading"/>
    <w:uiPriority w:val="1"/>
    <w:rsid w:val="00AE6B19"/>
    <w:pPr>
      <w:spacing w:before="113" w:after="113"/>
    </w:pPr>
    <w:rPr>
      <w:color w:val="5BC6E8"/>
    </w:rPr>
  </w:style>
  <w:style w:type="paragraph" w:customStyle="1" w:styleId="Notetitle">
    <w:name w:val="Note title"/>
    <w:basedOn w:val="Heading2"/>
    <w:rsid w:val="00AE6B19"/>
    <w:pPr>
      <w:numPr>
        <w:ilvl w:val="7"/>
        <w:numId w:val="1"/>
      </w:numPr>
    </w:pPr>
  </w:style>
  <w:style w:type="character" w:customStyle="1" w:styleId="Black">
    <w:name w:val="Black"/>
    <w:basedOn w:val="DefaultParagraphFont"/>
    <w:uiPriority w:val="1"/>
    <w:semiHidden/>
    <w:qFormat/>
    <w:rsid w:val="00AE6B19"/>
    <w:rPr>
      <w:color w:val="1C2735"/>
      <w:lang w:val="en-AU"/>
    </w:rPr>
  </w:style>
  <w:style w:type="paragraph" w:customStyle="1" w:styleId="Numberedpara1stindent">
    <w:name w:val="Numbered para (1st indent)"/>
    <w:basedOn w:val="BodyText1"/>
    <w:rsid w:val="00AE6B19"/>
    <w:pPr>
      <w:numPr>
        <w:ilvl w:val="3"/>
        <w:numId w:val="1"/>
      </w:numPr>
    </w:pPr>
  </w:style>
  <w:style w:type="paragraph" w:customStyle="1" w:styleId="Numberedpara2ndindent">
    <w:name w:val="Numbered para (2nd indent)"/>
    <w:basedOn w:val="BodyText1"/>
    <w:rsid w:val="00AE6B19"/>
    <w:pPr>
      <w:numPr>
        <w:ilvl w:val="4"/>
        <w:numId w:val="1"/>
      </w:numPr>
    </w:pPr>
  </w:style>
  <w:style w:type="paragraph" w:customStyle="1" w:styleId="Numberedpara3rdindent">
    <w:name w:val="Numbered para (3rd indent)"/>
    <w:basedOn w:val="BodyText1"/>
    <w:rsid w:val="00AE6B19"/>
    <w:pPr>
      <w:numPr>
        <w:ilvl w:val="5"/>
        <w:numId w:val="1"/>
      </w:numPr>
    </w:pPr>
  </w:style>
  <w:style w:type="character" w:styleId="Hyperlink">
    <w:name w:val="Hyperlink"/>
    <w:basedOn w:val="DefaultParagraphFont"/>
    <w:uiPriority w:val="99"/>
    <w:rsid w:val="00A93860"/>
    <w:rPr>
      <w:color w:val="14708E"/>
      <w:u w:val="single"/>
    </w:rPr>
  </w:style>
  <w:style w:type="paragraph" w:styleId="ListParagraph">
    <w:name w:val="List Paragraph"/>
    <w:aliases w:val="List Paragraph1,List Paragraph11,Bullet point,NFP GP Bulleted List,L,bullet point list,1 heading,Bulleted Para,Bullet points,Content descriptions,Bullet Point,NAST Quote,FooterText,numbered,Paragraphe de liste1,列出段落,列出段落1"/>
    <w:basedOn w:val="Normal"/>
    <w:link w:val="ListParagraphChar"/>
    <w:uiPriority w:val="34"/>
    <w:qFormat/>
    <w:rsid w:val="00AE6B19"/>
    <w:pPr>
      <w:spacing w:line="276" w:lineRule="auto"/>
      <w:ind w:left="720"/>
      <w:contextualSpacing/>
    </w:pPr>
    <w:rPr>
      <w:rFonts w:eastAsia="Cambria"/>
      <w:szCs w:val="22"/>
    </w:rPr>
  </w:style>
  <w:style w:type="character" w:customStyle="1" w:styleId="Heading4Char">
    <w:name w:val="Heading 4 Char"/>
    <w:basedOn w:val="DefaultParagraphFont"/>
    <w:link w:val="Heading4"/>
    <w:uiPriority w:val="9"/>
    <w:rsid w:val="00AE6B19"/>
    <w:rPr>
      <w:rFonts w:ascii="Arial" w:eastAsia="Times New Roman" w:hAnsi="Arial" w:cs="Times New Roman"/>
      <w:b/>
      <w:bCs/>
      <w:i/>
      <w:iCs/>
      <w:color w:val="004220"/>
      <w:szCs w:val="24"/>
      <w:lang w:val="en-US" w:eastAsia="en-US"/>
    </w:rPr>
  </w:style>
  <w:style w:type="paragraph" w:customStyle="1" w:styleId="BodyCopy">
    <w:name w:val="Body Copy"/>
    <w:basedOn w:val="Normal"/>
    <w:uiPriority w:val="99"/>
    <w:rsid w:val="00AE6B19"/>
    <w:pPr>
      <w:suppressAutoHyphens/>
      <w:autoSpaceDE w:val="0"/>
      <w:autoSpaceDN w:val="0"/>
      <w:adjustRightInd w:val="0"/>
      <w:spacing w:before="113" w:line="250" w:lineRule="atLeast"/>
      <w:textAlignment w:val="center"/>
    </w:pPr>
    <w:rPr>
      <w:rFonts w:cs="Cambria"/>
      <w:color w:val="000000"/>
      <w:spacing w:val="-1"/>
      <w:szCs w:val="20"/>
      <w:lang w:val="en-GB" w:eastAsia="en-AU"/>
    </w:rPr>
  </w:style>
  <w:style w:type="paragraph" w:customStyle="1" w:styleId="DateYear">
    <w:name w:val="Date:Year"/>
    <w:basedOn w:val="Normal"/>
    <w:link w:val="DateYearChar"/>
    <w:rsid w:val="00AE6B19"/>
    <w:pPr>
      <w:jc w:val="center"/>
    </w:pPr>
    <w:rPr>
      <w:rFonts w:ascii="Arial" w:hAnsi="Arial" w:cs="Arial"/>
      <w:b/>
      <w:caps/>
      <w:color w:val="FFFFFF"/>
    </w:rPr>
  </w:style>
  <w:style w:type="character" w:customStyle="1" w:styleId="DateYearChar">
    <w:name w:val="Date:Year Char"/>
    <w:basedOn w:val="DefaultParagraphFont"/>
    <w:link w:val="DateYear"/>
    <w:rsid w:val="00AE6B19"/>
    <w:rPr>
      <w:rFonts w:ascii="Arial" w:hAnsi="Arial" w:cs="Arial"/>
      <w:b/>
      <w:caps/>
      <w:color w:val="FFFFFF"/>
      <w:szCs w:val="24"/>
      <w:lang w:eastAsia="en-US"/>
    </w:rPr>
  </w:style>
  <w:style w:type="paragraph" w:customStyle="1" w:styleId="BasicParagraph">
    <w:name w:val="[Basic Paragraph]"/>
    <w:basedOn w:val="Normal"/>
    <w:uiPriority w:val="99"/>
    <w:rsid w:val="0099073D"/>
    <w:pPr>
      <w:autoSpaceDE w:val="0"/>
      <w:autoSpaceDN w:val="0"/>
      <w:adjustRightInd w:val="0"/>
      <w:spacing w:after="0" w:line="288" w:lineRule="auto"/>
      <w:textAlignment w:val="center"/>
    </w:pPr>
    <w:rPr>
      <w:rFonts w:ascii="Minion Pro" w:hAnsi="Minion Pro" w:cs="Minion Pro"/>
      <w:color w:val="000000"/>
      <w:sz w:val="24"/>
      <w:lang w:val="en-GB" w:eastAsia="en-AU"/>
    </w:rPr>
  </w:style>
  <w:style w:type="character" w:customStyle="1" w:styleId="FooterChar">
    <w:name w:val="Footer Char"/>
    <w:basedOn w:val="DefaultParagraphFont"/>
    <w:link w:val="Footer"/>
    <w:uiPriority w:val="99"/>
    <w:rsid w:val="00C86A41"/>
    <w:rPr>
      <w:rFonts w:ascii="Cambria" w:hAnsi="Cambria"/>
      <w:sz w:val="22"/>
      <w:szCs w:val="24"/>
      <w:lang w:eastAsia="en-US"/>
    </w:rPr>
  </w:style>
  <w:style w:type="paragraph" w:styleId="ListBullet">
    <w:name w:val="List Bullet"/>
    <w:basedOn w:val="Normal"/>
    <w:qFormat/>
    <w:rsid w:val="00785BE7"/>
    <w:pPr>
      <w:numPr>
        <w:numId w:val="4"/>
      </w:numPr>
      <w:spacing w:line="240" w:lineRule="auto"/>
      <w:ind w:left="357" w:hanging="357"/>
      <w:contextualSpacing/>
    </w:pPr>
  </w:style>
  <w:style w:type="paragraph" w:styleId="ListNumber">
    <w:name w:val="List Number"/>
    <w:basedOn w:val="Normal"/>
    <w:qFormat/>
    <w:rsid w:val="00785BE7"/>
    <w:pPr>
      <w:numPr>
        <w:numId w:val="5"/>
      </w:numPr>
      <w:spacing w:line="240" w:lineRule="auto"/>
      <w:ind w:left="357" w:hanging="357"/>
      <w:contextualSpacing/>
    </w:pPr>
  </w:style>
  <w:style w:type="paragraph" w:styleId="NormalWeb">
    <w:name w:val="Normal (Web)"/>
    <w:basedOn w:val="Normal"/>
    <w:uiPriority w:val="99"/>
    <w:unhideWhenUsed/>
    <w:rsid w:val="006D67B5"/>
    <w:pPr>
      <w:spacing w:before="100" w:beforeAutospacing="1" w:after="100" w:afterAutospacing="1" w:line="240" w:lineRule="auto"/>
    </w:pPr>
    <w:rPr>
      <w:rFonts w:ascii="Times New Roman" w:hAnsi="Times New Roman"/>
      <w:sz w:val="24"/>
      <w:lang w:eastAsia="en-AU"/>
    </w:rPr>
  </w:style>
  <w:style w:type="paragraph" w:customStyle="1" w:styleId="Sourcenotetext">
    <w:name w:val="Source/note text"/>
    <w:qFormat/>
    <w:rsid w:val="00E301F5"/>
    <w:pPr>
      <w:spacing w:before="85" w:after="85"/>
    </w:pPr>
    <w:rPr>
      <w:rFonts w:ascii="Arial" w:hAnsi="Arial" w:cs="Arial"/>
      <w:i/>
      <w:sz w:val="12"/>
      <w:szCs w:val="12"/>
      <w:lang w:eastAsia="en-US"/>
    </w:rPr>
  </w:style>
  <w:style w:type="table" w:customStyle="1" w:styleId="DOFDwithheader">
    <w:name w:val="DOFD with header"/>
    <w:basedOn w:val="TableNormal"/>
    <w:uiPriority w:val="99"/>
    <w:qFormat/>
    <w:rsid w:val="00E301F5"/>
    <w:pPr>
      <w:spacing w:before="57" w:line="220" w:lineRule="atLeast"/>
      <w:ind w:left="96" w:right="96"/>
    </w:pPr>
    <w:rPr>
      <w:rFonts w:ascii="Arial" w:hAnsi="Arial"/>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table" w:customStyle="1" w:styleId="DOFDplain">
    <w:name w:val="DOFD plain"/>
    <w:basedOn w:val="TableNormal"/>
    <w:uiPriority w:val="99"/>
    <w:qFormat/>
    <w:rsid w:val="00E301F5"/>
    <w:pPr>
      <w:spacing w:before="57" w:line="220" w:lineRule="atLeast"/>
      <w:ind w:left="96" w:right="96"/>
    </w:pPr>
    <w:rPr>
      <w:rFonts w:ascii="Arial" w:hAnsi="Arial"/>
      <w:sz w:val="17"/>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E301F5"/>
    <w:pPr>
      <w:spacing w:before="57" w:line="220" w:lineRule="atLeast"/>
      <w:ind w:left="96" w:right="96"/>
    </w:pPr>
    <w:rPr>
      <w:rFonts w:ascii="Arial" w:hAnsi="Arial"/>
      <w:sz w:val="17"/>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DDF3FA"/>
      </w:tcPr>
    </w:tblStylePr>
  </w:style>
  <w:style w:type="paragraph" w:styleId="BodyText">
    <w:name w:val="Body Text"/>
    <w:basedOn w:val="Normal"/>
    <w:link w:val="BodyTextChar"/>
    <w:rsid w:val="00E301F5"/>
    <w:pPr>
      <w:spacing w:after="120" w:line="240" w:lineRule="auto"/>
    </w:pPr>
    <w:rPr>
      <w:rFonts w:eastAsia="Cambria"/>
      <w:szCs w:val="22"/>
    </w:rPr>
  </w:style>
  <w:style w:type="character" w:customStyle="1" w:styleId="BodyTextChar">
    <w:name w:val="Body Text Char"/>
    <w:basedOn w:val="DefaultParagraphFont"/>
    <w:link w:val="BodyText"/>
    <w:rsid w:val="00E301F5"/>
    <w:rPr>
      <w:rFonts w:ascii="Cambria" w:eastAsia="Cambria" w:hAnsi="Cambria" w:cs="Times New Roman"/>
      <w:sz w:val="22"/>
      <w:szCs w:val="22"/>
      <w:lang w:eastAsia="en-US"/>
    </w:rPr>
  </w:style>
  <w:style w:type="character" w:styleId="Emphasis">
    <w:name w:val="Emphasis"/>
    <w:basedOn w:val="DefaultParagraphFont"/>
    <w:uiPriority w:val="20"/>
    <w:qFormat/>
    <w:rsid w:val="00F75FBD"/>
    <w:rPr>
      <w:i/>
      <w:iCs/>
    </w:rPr>
  </w:style>
  <w:style w:type="character" w:styleId="Strong">
    <w:name w:val="Strong"/>
    <w:basedOn w:val="DefaultParagraphFont"/>
    <w:uiPriority w:val="22"/>
    <w:qFormat/>
    <w:rsid w:val="00F75FBD"/>
    <w:rPr>
      <w:b/>
      <w:bCs/>
    </w:rPr>
  </w:style>
  <w:style w:type="paragraph" w:styleId="Revision">
    <w:name w:val="Revision"/>
    <w:hidden/>
    <w:uiPriority w:val="99"/>
    <w:semiHidden/>
    <w:rsid w:val="00BF704D"/>
    <w:rPr>
      <w:rFonts w:ascii="Cambria" w:hAnsi="Cambria"/>
      <w:sz w:val="22"/>
      <w:szCs w:val="24"/>
      <w:lang w:eastAsia="en-US"/>
    </w:rPr>
  </w:style>
  <w:style w:type="character" w:customStyle="1" w:styleId="ListParagraphChar">
    <w:name w:val="List Paragraph Char"/>
    <w:aliases w:val="List Paragraph1 Char,List Paragraph11 Char,Bullet point Char,NFP GP Bulleted List Char,L Char,bullet point list Char,1 heading Char,Bulleted Para Char,Bullet points Char,Content descriptions Char,Bullet Point Char,NAST Quote Char"/>
    <w:basedOn w:val="DefaultParagraphFont"/>
    <w:link w:val="ListParagraph"/>
    <w:uiPriority w:val="99"/>
    <w:locked/>
    <w:rsid w:val="002A059F"/>
    <w:rPr>
      <w:rFonts w:ascii="Cambria" w:eastAsia="Cambria" w:hAnsi="Cambria"/>
      <w:sz w:val="22"/>
      <w:szCs w:val="22"/>
      <w:lang w:eastAsia="en-US"/>
    </w:rPr>
  </w:style>
  <w:style w:type="paragraph" w:customStyle="1" w:styleId="Default">
    <w:name w:val="Default"/>
    <w:basedOn w:val="Normal"/>
    <w:rsid w:val="00E3258D"/>
    <w:pPr>
      <w:autoSpaceDE w:val="0"/>
      <w:autoSpaceDN w:val="0"/>
      <w:spacing w:after="0" w:line="240" w:lineRule="auto"/>
    </w:pPr>
    <w:rPr>
      <w:rFonts w:ascii="Arial" w:eastAsiaTheme="minorHAnsi" w:hAnsi="Arial" w:cs="Arial"/>
      <w:color w:val="000000"/>
      <w:sz w:val="24"/>
      <w:lang w:eastAsia="en-AU"/>
    </w:rPr>
  </w:style>
  <w:style w:type="character" w:styleId="CommentReference">
    <w:name w:val="annotation reference"/>
    <w:basedOn w:val="DefaultParagraphFont"/>
    <w:uiPriority w:val="99"/>
    <w:semiHidden/>
    <w:rsid w:val="00E55CCB"/>
    <w:rPr>
      <w:sz w:val="16"/>
      <w:szCs w:val="16"/>
    </w:rPr>
  </w:style>
  <w:style w:type="paragraph" w:styleId="CommentText">
    <w:name w:val="annotation text"/>
    <w:basedOn w:val="Normal"/>
    <w:link w:val="CommentTextChar"/>
    <w:uiPriority w:val="99"/>
    <w:semiHidden/>
    <w:rsid w:val="00E55CCB"/>
    <w:pPr>
      <w:spacing w:line="240" w:lineRule="auto"/>
    </w:pPr>
    <w:rPr>
      <w:sz w:val="20"/>
      <w:szCs w:val="20"/>
    </w:rPr>
  </w:style>
  <w:style w:type="character" w:customStyle="1" w:styleId="CommentTextChar">
    <w:name w:val="Comment Text Char"/>
    <w:basedOn w:val="DefaultParagraphFont"/>
    <w:link w:val="CommentText"/>
    <w:uiPriority w:val="99"/>
    <w:semiHidden/>
    <w:rsid w:val="00E55CCB"/>
    <w:rPr>
      <w:rFonts w:ascii="Cambria" w:hAnsi="Cambria"/>
      <w:lang w:eastAsia="en-US"/>
    </w:rPr>
  </w:style>
  <w:style w:type="paragraph" w:styleId="CommentSubject">
    <w:name w:val="annotation subject"/>
    <w:basedOn w:val="CommentText"/>
    <w:next w:val="CommentText"/>
    <w:link w:val="CommentSubjectChar"/>
    <w:uiPriority w:val="99"/>
    <w:semiHidden/>
    <w:rsid w:val="00E55CCB"/>
    <w:rPr>
      <w:b/>
      <w:bCs/>
    </w:rPr>
  </w:style>
  <w:style w:type="character" w:customStyle="1" w:styleId="CommentSubjectChar">
    <w:name w:val="Comment Subject Char"/>
    <w:basedOn w:val="CommentTextChar"/>
    <w:link w:val="CommentSubject"/>
    <w:uiPriority w:val="99"/>
    <w:semiHidden/>
    <w:rsid w:val="00E55CCB"/>
    <w:rPr>
      <w:rFonts w:ascii="Cambria" w:hAnsi="Cambria"/>
      <w:b/>
      <w:bCs/>
      <w:lang w:eastAsia="en-US"/>
    </w:rPr>
  </w:style>
  <w:style w:type="character" w:styleId="FollowedHyperlink">
    <w:name w:val="FollowedHyperlink"/>
    <w:basedOn w:val="DefaultParagraphFont"/>
    <w:uiPriority w:val="99"/>
    <w:semiHidden/>
    <w:unhideWhenUsed/>
    <w:rsid w:val="00CF4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1086">
      <w:bodyDiv w:val="1"/>
      <w:marLeft w:val="0"/>
      <w:marRight w:val="0"/>
      <w:marTop w:val="0"/>
      <w:marBottom w:val="0"/>
      <w:divBdr>
        <w:top w:val="none" w:sz="0" w:space="0" w:color="auto"/>
        <w:left w:val="none" w:sz="0" w:space="0" w:color="auto"/>
        <w:bottom w:val="none" w:sz="0" w:space="0" w:color="auto"/>
        <w:right w:val="none" w:sz="0" w:space="0" w:color="auto"/>
      </w:divBdr>
    </w:div>
    <w:div w:id="611669072">
      <w:bodyDiv w:val="1"/>
      <w:marLeft w:val="0"/>
      <w:marRight w:val="0"/>
      <w:marTop w:val="0"/>
      <w:marBottom w:val="0"/>
      <w:divBdr>
        <w:top w:val="none" w:sz="0" w:space="0" w:color="auto"/>
        <w:left w:val="none" w:sz="0" w:space="0" w:color="auto"/>
        <w:bottom w:val="none" w:sz="0" w:space="0" w:color="auto"/>
        <w:right w:val="none" w:sz="0" w:space="0" w:color="auto"/>
      </w:divBdr>
    </w:div>
    <w:div w:id="754282425">
      <w:bodyDiv w:val="1"/>
      <w:marLeft w:val="0"/>
      <w:marRight w:val="0"/>
      <w:marTop w:val="0"/>
      <w:marBottom w:val="0"/>
      <w:divBdr>
        <w:top w:val="none" w:sz="0" w:space="0" w:color="auto"/>
        <w:left w:val="none" w:sz="0" w:space="0" w:color="auto"/>
        <w:bottom w:val="none" w:sz="0" w:space="0" w:color="auto"/>
        <w:right w:val="none" w:sz="0" w:space="0" w:color="auto"/>
      </w:divBdr>
    </w:div>
    <w:div w:id="844397920">
      <w:bodyDiv w:val="1"/>
      <w:marLeft w:val="0"/>
      <w:marRight w:val="0"/>
      <w:marTop w:val="0"/>
      <w:marBottom w:val="0"/>
      <w:divBdr>
        <w:top w:val="none" w:sz="0" w:space="0" w:color="auto"/>
        <w:left w:val="none" w:sz="0" w:space="0" w:color="auto"/>
        <w:bottom w:val="none" w:sz="0" w:space="0" w:color="auto"/>
        <w:right w:val="none" w:sz="0" w:space="0" w:color="auto"/>
      </w:divBdr>
      <w:divsChild>
        <w:div w:id="1951012323">
          <w:marLeft w:val="0"/>
          <w:marRight w:val="0"/>
          <w:marTop w:val="0"/>
          <w:marBottom w:val="0"/>
          <w:divBdr>
            <w:top w:val="none" w:sz="0" w:space="0" w:color="auto"/>
            <w:left w:val="none" w:sz="0" w:space="0" w:color="auto"/>
            <w:bottom w:val="none" w:sz="0" w:space="0" w:color="auto"/>
            <w:right w:val="none" w:sz="0" w:space="0" w:color="auto"/>
          </w:divBdr>
          <w:divsChild>
            <w:div w:id="18701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5656">
      <w:bodyDiv w:val="1"/>
      <w:marLeft w:val="0"/>
      <w:marRight w:val="0"/>
      <w:marTop w:val="0"/>
      <w:marBottom w:val="0"/>
      <w:divBdr>
        <w:top w:val="none" w:sz="0" w:space="0" w:color="auto"/>
        <w:left w:val="none" w:sz="0" w:space="0" w:color="auto"/>
        <w:bottom w:val="none" w:sz="0" w:space="0" w:color="auto"/>
        <w:right w:val="none" w:sz="0" w:space="0" w:color="auto"/>
      </w:divBdr>
    </w:div>
    <w:div w:id="849561637">
      <w:bodyDiv w:val="1"/>
      <w:marLeft w:val="0"/>
      <w:marRight w:val="0"/>
      <w:marTop w:val="0"/>
      <w:marBottom w:val="0"/>
      <w:divBdr>
        <w:top w:val="none" w:sz="0" w:space="0" w:color="auto"/>
        <w:left w:val="none" w:sz="0" w:space="0" w:color="auto"/>
        <w:bottom w:val="none" w:sz="0" w:space="0" w:color="auto"/>
        <w:right w:val="none" w:sz="0" w:space="0" w:color="auto"/>
      </w:divBdr>
    </w:div>
    <w:div w:id="1616063162">
      <w:bodyDiv w:val="1"/>
      <w:marLeft w:val="0"/>
      <w:marRight w:val="0"/>
      <w:marTop w:val="0"/>
      <w:marBottom w:val="0"/>
      <w:divBdr>
        <w:top w:val="none" w:sz="0" w:space="0" w:color="auto"/>
        <w:left w:val="none" w:sz="0" w:space="0" w:color="auto"/>
        <w:bottom w:val="none" w:sz="0" w:space="0" w:color="auto"/>
        <w:right w:val="none" w:sz="0" w:space="0" w:color="auto"/>
      </w:divBdr>
    </w:div>
    <w:div w:id="1717852701">
      <w:bodyDiv w:val="1"/>
      <w:marLeft w:val="0"/>
      <w:marRight w:val="0"/>
      <w:marTop w:val="0"/>
      <w:marBottom w:val="0"/>
      <w:divBdr>
        <w:top w:val="none" w:sz="0" w:space="0" w:color="auto"/>
        <w:left w:val="none" w:sz="0" w:space="0" w:color="auto"/>
        <w:bottom w:val="none" w:sz="0" w:space="0" w:color="auto"/>
        <w:right w:val="none" w:sz="0" w:space="0" w:color="auto"/>
      </w:divBdr>
      <w:divsChild>
        <w:div w:id="184251696">
          <w:marLeft w:val="0"/>
          <w:marRight w:val="0"/>
          <w:marTop w:val="0"/>
          <w:marBottom w:val="0"/>
          <w:divBdr>
            <w:top w:val="none" w:sz="0" w:space="0" w:color="auto"/>
            <w:left w:val="none" w:sz="0" w:space="0" w:color="auto"/>
            <w:bottom w:val="none" w:sz="0" w:space="0" w:color="auto"/>
            <w:right w:val="none" w:sz="0" w:space="0" w:color="auto"/>
          </w:divBdr>
          <w:divsChild>
            <w:div w:id="2619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3963">
      <w:bodyDiv w:val="1"/>
      <w:marLeft w:val="0"/>
      <w:marRight w:val="0"/>
      <w:marTop w:val="0"/>
      <w:marBottom w:val="0"/>
      <w:divBdr>
        <w:top w:val="none" w:sz="0" w:space="0" w:color="auto"/>
        <w:left w:val="none" w:sz="0" w:space="0" w:color="auto"/>
        <w:bottom w:val="none" w:sz="0" w:space="0" w:color="auto"/>
        <w:right w:val="none" w:sz="0" w:space="0" w:color="auto"/>
      </w:divBdr>
    </w:div>
    <w:div w:id="19377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finance.gov.au/resource-management/pgpa-legisl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inance.gov.au/resource-management/introduc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inance.gov.au/publications/reducingredtape/princip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nance.gov.au/reducingredtape" TargetMode="External"/><Relationship Id="rId20" Type="http://schemas.openxmlformats.org/officeDocument/2006/relationships/hyperlink" Target="http://www.finance.gov.au/resource-management/introduction/glos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finance.gov.au/resource-management/"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finance.gov.au/resource-management/inde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2E89-EC54-4A99-B1A0-7D55161E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6EFA6D44</Template>
  <TotalTime>0</TotalTime>
  <Pages>3</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Reducing red tape by improving clarity and usefulness of regulation and guidance materials</vt:lpstr>
    </vt:vector>
  </TitlesOfParts>
  <Company/>
  <LinksUpToDate>false</LinksUpToDate>
  <CharactersWithSpaces>8313</CharactersWithSpaces>
  <SharedDoc>false</SharedDoc>
  <HyperlinkBase/>
  <HLinks>
    <vt:vector size="24" baseType="variant">
      <vt:variant>
        <vt:i4>120</vt:i4>
      </vt:variant>
      <vt:variant>
        <vt:i4>9</vt:i4>
      </vt:variant>
      <vt:variant>
        <vt:i4>0</vt:i4>
      </vt:variant>
      <vt:variant>
        <vt:i4>5</vt:i4>
      </vt:variant>
      <vt:variant>
        <vt:lpwstr>mailto:financepublications@finance.gov.au</vt:lpwstr>
      </vt:variant>
      <vt:variant>
        <vt:lpwstr/>
      </vt:variant>
      <vt:variant>
        <vt:i4>2162765</vt:i4>
      </vt:variant>
      <vt:variant>
        <vt:i4>6</vt:i4>
      </vt:variant>
      <vt:variant>
        <vt:i4>0</vt:i4>
      </vt:variant>
      <vt:variant>
        <vt:i4>5</vt:i4>
      </vt:variant>
      <vt:variant>
        <vt:lpwstr>http://intranet/web_services/accessibility/accessibility.htm</vt:lpwstr>
      </vt:variant>
      <vt:variant>
        <vt:lpwstr/>
      </vt:variant>
      <vt:variant>
        <vt:i4>2162765</vt:i4>
      </vt:variant>
      <vt:variant>
        <vt:i4>3</vt:i4>
      </vt:variant>
      <vt:variant>
        <vt:i4>0</vt:i4>
      </vt:variant>
      <vt:variant>
        <vt:i4>5</vt:i4>
      </vt:variant>
      <vt:variant>
        <vt:lpwstr>http://intranet/web_services/accessibility/accessibility.htm</vt:lpwstr>
      </vt:variant>
      <vt:variant>
        <vt:lpwstr/>
      </vt:variant>
      <vt:variant>
        <vt:i4>1966090</vt:i4>
      </vt:variant>
      <vt:variant>
        <vt:i4>0</vt:i4>
      </vt:variant>
      <vt:variant>
        <vt:i4>0</vt:i4>
      </vt:variant>
      <vt:variant>
        <vt:i4>5</vt:i4>
      </vt:variant>
      <vt:variant>
        <vt:lpwstr>http://intranet/communikit/index.html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red tape by improving clarity and usefulness of regulation and guidance materials</dc:title>
  <dc:creator/>
  <cp:lastModifiedBy/>
  <cp:revision>1</cp:revision>
  <dcterms:created xsi:type="dcterms:W3CDTF">2020-05-13T03:59:00Z</dcterms:created>
  <dcterms:modified xsi:type="dcterms:W3CDTF">2020-05-13T03:59:00Z</dcterms:modified>
</cp:coreProperties>
</file>