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27"/>
        </w:rPr>
      </w:pPr>
    </w:p>
    <w:p>
      <w:pPr>
        <w:spacing w:line="390" w:lineRule="exact" w:before="90"/>
        <w:ind w:left="1211" w:right="1211" w:firstLine="0"/>
        <w:jc w:val="center"/>
        <w:rPr>
          <w:b/>
          <w:sz w:val="27"/>
        </w:rPr>
      </w:pPr>
      <w:r>
        <w:rPr>
          <w:b/>
          <w:sz w:val="34"/>
        </w:rPr>
        <w:t>A</w:t>
      </w:r>
      <w:r>
        <w:rPr>
          <w:b/>
          <w:sz w:val="27"/>
        </w:rPr>
        <w:t>PPENDIX </w:t>
      </w:r>
      <w:r>
        <w:rPr>
          <w:b/>
          <w:sz w:val="34"/>
        </w:rPr>
        <w:t>B: P</w:t>
      </w:r>
      <w:r>
        <w:rPr>
          <w:b/>
          <w:sz w:val="27"/>
        </w:rPr>
        <w:t>OLICY DECISIONS SINCE THE</w:t>
      </w:r>
    </w:p>
    <w:p>
      <w:pPr>
        <w:spacing w:line="390" w:lineRule="exact" w:before="0"/>
        <w:ind w:left="1208" w:right="1211" w:firstLine="0"/>
        <w:jc w:val="center"/>
        <w:rPr>
          <w:b/>
          <w:sz w:val="27"/>
        </w:rPr>
      </w:pPr>
      <w:r>
        <w:rPr>
          <w:b/>
          <w:sz w:val="34"/>
        </w:rPr>
        <w:t>2019-20 B</w:t>
      </w:r>
      <w:r>
        <w:rPr>
          <w:b/>
          <w:sz w:val="27"/>
        </w:rPr>
        <w:t>UDGET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Heading1"/>
        <w:spacing w:before="0"/>
      </w:pPr>
      <w:r>
        <w:rPr/>
        <w:t>Table B1: Revenue measures since the 2019-20 Budget</w:t>
      </w:r>
      <w:r>
        <w:rPr>
          <w:vertAlign w:val="superscript"/>
        </w:rPr>
        <w:t>(a)</w:t>
      </w:r>
    </w:p>
    <w:tbl>
      <w:tblPr>
        <w:tblW w:w="0" w:type="auto"/>
        <w:jc w:val="left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823"/>
        <w:gridCol w:w="823"/>
        <w:gridCol w:w="823"/>
        <w:gridCol w:w="821"/>
        <w:gridCol w:w="818"/>
      </w:tblGrid>
      <w:tr>
        <w:trPr>
          <w:trHeight w:val="374" w:hRule="atLeast"/>
        </w:trPr>
        <w:tc>
          <w:tcPr>
            <w:tcW w:w="36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6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2018-19</w:t>
            </w:r>
          </w:p>
          <w:p>
            <w:pPr>
              <w:pStyle w:val="TableParagraph"/>
              <w:spacing w:line="165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line="183" w:lineRule="exact" w:before="6"/>
              <w:ind w:right="1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2019-20</w:t>
            </w:r>
          </w:p>
          <w:p>
            <w:pPr>
              <w:pStyle w:val="TableParagraph"/>
              <w:spacing w:line="165" w:lineRule="exact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6"/>
              <w:ind w:right="1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2020-21</w:t>
            </w:r>
          </w:p>
          <w:p>
            <w:pPr>
              <w:pStyle w:val="TableParagraph"/>
              <w:spacing w:line="165" w:lineRule="exact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6"/>
              <w:ind w:right="1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2021-22</w:t>
            </w:r>
          </w:p>
          <w:p>
            <w:pPr>
              <w:pStyle w:val="TableParagraph"/>
              <w:spacing w:line="165" w:lineRule="exact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6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2022-23</w:t>
            </w:r>
          </w:p>
          <w:p>
            <w:pPr>
              <w:pStyle w:val="TableParagraph"/>
              <w:spacing w:line="165" w:lineRule="exact"/>
              <w:ind w:right="1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</w:tr>
      <w:tr>
        <w:trPr>
          <w:trHeight w:val="356" w:hRule="atLeast"/>
        </w:trPr>
        <w:tc>
          <w:tcPr>
            <w:tcW w:w="3698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AGRICULTURE AND WATER RESOURCES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3698" w:type="dxa"/>
          </w:tcPr>
          <w:p>
            <w:pPr>
              <w:pStyle w:val="TableParagraph"/>
              <w:spacing w:before="18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Regional Investment Corporation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7" w:hRule="atLeast"/>
        </w:trPr>
        <w:tc>
          <w:tcPr>
            <w:tcW w:w="3698" w:type="dxa"/>
          </w:tcPr>
          <w:p>
            <w:pPr>
              <w:pStyle w:val="TableParagraph"/>
              <w:spacing w:before="26"/>
              <w:ind w:left="405" w:right="240" w:hanging="104"/>
              <w:rPr>
                <w:sz w:val="16"/>
              </w:rPr>
            </w:pPr>
            <w:r>
              <w:rPr>
                <w:sz w:val="16"/>
              </w:rPr>
              <w:t>Agristarter Loan – assisting people to buy their first farm and supporting succession arrangements within farming families (b)(c)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698" w:type="dxa"/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3698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EDUCATION AND TRAINING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492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698" w:type="dxa"/>
          </w:tcPr>
          <w:p>
            <w:pPr>
              <w:pStyle w:val="TableParagraph"/>
              <w:spacing w:before="18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Education and Training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3" w:hRule="atLeast"/>
        </w:trPr>
        <w:tc>
          <w:tcPr>
            <w:tcW w:w="3698" w:type="dxa"/>
          </w:tcPr>
          <w:p>
            <w:pPr>
              <w:pStyle w:val="TableParagraph"/>
              <w:spacing w:before="30"/>
              <w:ind w:left="302"/>
              <w:rPr>
                <w:sz w:val="16"/>
              </w:rPr>
            </w:pPr>
            <w:r>
              <w:rPr>
                <w:sz w:val="16"/>
              </w:rPr>
              <w:t>FEE-HELP – increase in</w:t>
            </w:r>
          </w:p>
          <w:p>
            <w:pPr>
              <w:pStyle w:val="TableParagraph"/>
              <w:spacing w:before="1"/>
              <w:ind w:left="405"/>
              <w:rPr>
                <w:sz w:val="16"/>
              </w:rPr>
            </w:pPr>
            <w:r>
              <w:rPr>
                <w:sz w:val="16"/>
              </w:rPr>
              <w:t>loan limit for aviation courses (b)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8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8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</w:tr>
      <w:tr>
        <w:trPr>
          <w:trHeight w:val="283" w:hRule="atLeast"/>
        </w:trPr>
        <w:tc>
          <w:tcPr>
            <w:tcW w:w="3698" w:type="dxa"/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0.6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>
        <w:trPr>
          <w:trHeight w:val="356" w:hRule="atLeast"/>
        </w:trPr>
        <w:tc>
          <w:tcPr>
            <w:tcW w:w="3698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HEALTH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439"/>
              <w:rPr>
                <w:sz w:val="16"/>
              </w:rPr>
            </w:pPr>
            <w:r>
              <w:rPr>
                <w:sz w:val="16"/>
              </w:rPr>
              <w:t>-2.6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3698" w:type="dxa"/>
          </w:tcPr>
          <w:p>
            <w:pPr>
              <w:pStyle w:val="TableParagraph"/>
              <w:spacing w:before="18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Health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7" w:hRule="atLeast"/>
        </w:trPr>
        <w:tc>
          <w:tcPr>
            <w:tcW w:w="3698" w:type="dxa"/>
          </w:tcPr>
          <w:p>
            <w:pPr>
              <w:pStyle w:val="TableParagraph"/>
              <w:spacing w:before="26"/>
              <w:ind w:left="405" w:right="151" w:hanging="104"/>
              <w:rPr>
                <w:sz w:val="16"/>
              </w:rPr>
            </w:pPr>
            <w:r>
              <w:rPr>
                <w:sz w:val="16"/>
              </w:rPr>
              <w:t>Improving Access to Medicines – Immunisation and deed management fees – change commencement date (b)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3698" w:type="dxa"/>
          </w:tcPr>
          <w:p>
            <w:pPr>
              <w:pStyle w:val="TableParagraph"/>
              <w:spacing w:before="42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-2.6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6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2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Total Impact of revenue measures (d)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-2.4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0.6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</w:tbl>
    <w:p>
      <w:pPr>
        <w:pStyle w:val="BodyText"/>
        <w:tabs>
          <w:tab w:pos="844" w:val="left" w:leader="none"/>
        </w:tabs>
        <w:spacing w:line="179" w:lineRule="exact"/>
        <w:ind w:left="417"/>
      </w:pPr>
      <w:r>
        <w:rPr/>
        <w:t>*</w:t>
        <w:tab/>
        <w:t>The nature of the measure is such that a reliable estimate cannot be</w:t>
      </w:r>
      <w:r>
        <w:rPr>
          <w:spacing w:val="-21"/>
        </w:rPr>
        <w:t> </w:t>
      </w:r>
      <w:r>
        <w:rPr/>
        <w:t>provided.</w:t>
      </w:r>
    </w:p>
    <w:p>
      <w:pPr>
        <w:pStyle w:val="BodyText"/>
        <w:tabs>
          <w:tab w:pos="844" w:val="left" w:leader="none"/>
        </w:tabs>
        <w:spacing w:line="183" w:lineRule="exact"/>
        <w:ind w:left="417"/>
      </w:pPr>
      <w:r>
        <w:rPr/>
        <w:t>..</w:t>
        <w:tab/>
        <w:t>Not zero, but rounded to</w:t>
      </w:r>
      <w:r>
        <w:rPr>
          <w:spacing w:val="2"/>
        </w:rPr>
        <w:t> </w:t>
      </w:r>
      <w:r>
        <w:rPr/>
        <w:t>zero.</w:t>
      </w:r>
    </w:p>
    <w:p>
      <w:pPr>
        <w:pStyle w:val="BodyText"/>
        <w:tabs>
          <w:tab w:pos="844" w:val="left" w:leader="none"/>
        </w:tabs>
        <w:ind w:left="417"/>
      </w:pPr>
      <w:r>
        <w:rPr/>
        <w:t>-</w:t>
        <w:tab/>
        <w:t>Nil.</w:t>
      </w:r>
    </w:p>
    <w:p>
      <w:pPr>
        <w:pStyle w:val="BodyText"/>
        <w:tabs>
          <w:tab w:pos="844" w:val="left" w:leader="none"/>
        </w:tabs>
        <w:spacing w:line="183" w:lineRule="exact" w:before="1"/>
        <w:ind w:left="417"/>
      </w:pPr>
      <w:r>
        <w:rPr/>
        <w:t>nfp</w:t>
        <w:tab/>
        <w:t>not for</w:t>
      </w:r>
      <w:r>
        <w:rPr>
          <w:spacing w:val="1"/>
        </w:rPr>
        <w:t> </w:t>
      </w:r>
      <w:r>
        <w:rPr/>
        <w:t>publication.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418" w:hanging="428"/>
        <w:jc w:val="left"/>
        <w:rPr>
          <w:sz w:val="16"/>
        </w:rPr>
      </w:pPr>
      <w:r>
        <w:rPr>
          <w:sz w:val="16"/>
        </w:rPr>
        <w:t>A minus sign before an estimate indicates a reduction in revenue, no sign before an estimate indicates a gain in</w:t>
      </w:r>
      <w:r>
        <w:rPr>
          <w:spacing w:val="-1"/>
          <w:sz w:val="16"/>
        </w:rPr>
        <w:t> </w:t>
      </w:r>
      <w:r>
        <w:rPr>
          <w:sz w:val="16"/>
        </w:rPr>
        <w:t>revenue.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5" w:val="left" w:leader="none"/>
        </w:tabs>
        <w:spacing w:line="183" w:lineRule="exact" w:before="1" w:after="0"/>
        <w:ind w:left="844" w:right="0" w:hanging="428"/>
        <w:jc w:val="left"/>
        <w:rPr>
          <w:sz w:val="16"/>
        </w:rPr>
      </w:pPr>
      <w:r>
        <w:rPr>
          <w:sz w:val="16"/>
        </w:rPr>
        <w:t>These measures can also be found in the expense measures summary</w:t>
      </w:r>
      <w:r>
        <w:rPr>
          <w:spacing w:val="-17"/>
          <w:sz w:val="16"/>
        </w:rPr>
        <w:t> </w:t>
      </w:r>
      <w:r>
        <w:rPr>
          <w:sz w:val="16"/>
        </w:rPr>
        <w:t>table.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416" w:hanging="428"/>
        <w:jc w:val="left"/>
        <w:rPr>
          <w:sz w:val="16"/>
        </w:rPr>
      </w:pPr>
      <w:r>
        <w:rPr>
          <w:sz w:val="16"/>
        </w:rPr>
        <w:t>The new loans provided in this measure will be funded from within the Regional Investment Corporation’s existing</w:t>
      </w:r>
      <w:r>
        <w:rPr>
          <w:spacing w:val="1"/>
          <w:sz w:val="16"/>
        </w:rPr>
        <w:t> </w:t>
      </w:r>
      <w:r>
        <w:rPr>
          <w:sz w:val="16"/>
        </w:rPr>
        <w:t>appropriation.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5" w:val="left" w:leader="none"/>
        </w:tabs>
        <w:spacing w:line="240" w:lineRule="auto" w:before="1" w:after="0"/>
        <w:ind w:left="844" w:right="0" w:hanging="428"/>
        <w:jc w:val="left"/>
        <w:rPr>
          <w:sz w:val="16"/>
        </w:rPr>
      </w:pPr>
      <w:r>
        <w:rPr>
          <w:sz w:val="16"/>
        </w:rPr>
        <w:t>Measures may not add due to</w:t>
      </w:r>
      <w:r>
        <w:rPr>
          <w:spacing w:val="-3"/>
          <w:sz w:val="16"/>
        </w:rPr>
        <w:t> </w:t>
      </w:r>
      <w:r>
        <w:rPr>
          <w:sz w:val="16"/>
        </w:rPr>
        <w:t>rounding.</w:t>
      </w:r>
    </w:p>
    <w:p>
      <w:pPr>
        <w:spacing w:after="0" w:line="240" w:lineRule="auto"/>
        <w:jc w:val="left"/>
        <w:rPr>
          <w:sz w:val="16"/>
        </w:rPr>
        <w:sectPr>
          <w:footerReference w:type="default" r:id="rId5"/>
          <w:type w:val="continuous"/>
          <w:pgSz w:w="11910" w:h="16840"/>
          <w:pgMar w:footer="1924" w:top="1580" w:bottom="2120" w:left="1680" w:right="1680"/>
          <w:pgNumType w:start="25"/>
        </w:sect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before="99"/>
        <w:ind w:left="417" w:right="0" w:firstLine="0"/>
        <w:jc w:val="left"/>
        <w:rPr>
          <w:rFonts w:ascii="Book Antiqua"/>
          <w:i/>
          <w:sz w:val="20"/>
        </w:rPr>
      </w:pPr>
      <w:r>
        <w:rPr>
          <w:rFonts w:ascii="Book Antiqua"/>
          <w:i/>
          <w:sz w:val="20"/>
        </w:rPr>
        <w:t>Pre-election Economic and Fiscal Outlook 2019</w:t>
      </w:r>
    </w:p>
    <w:p>
      <w:pPr>
        <w:pStyle w:val="BodyText"/>
        <w:spacing w:before="11"/>
        <w:ind w:left="0"/>
        <w:rPr>
          <w:rFonts w:ascii="Book Antiqua"/>
          <w:i/>
          <w:sz w:val="26"/>
        </w:rPr>
      </w:pPr>
    </w:p>
    <w:p>
      <w:pPr>
        <w:spacing w:before="1" w:after="22"/>
        <w:ind w:left="417" w:right="0" w:firstLine="0"/>
        <w:jc w:val="left"/>
        <w:rPr>
          <w:b/>
          <w:sz w:val="20"/>
        </w:rPr>
      </w:pPr>
      <w:r>
        <w:rPr>
          <w:b/>
          <w:sz w:val="20"/>
        </w:rPr>
        <w:t>Table B2: Expense measures since the 2019-20 Budget</w:t>
      </w:r>
      <w:r>
        <w:rPr>
          <w:b/>
          <w:sz w:val="20"/>
          <w:vertAlign w:val="superscript"/>
        </w:rPr>
        <w:t>(a)</w:t>
      </w:r>
    </w:p>
    <w:tbl>
      <w:tblPr>
        <w:tblW w:w="0" w:type="auto"/>
        <w:jc w:val="left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823"/>
        <w:gridCol w:w="823"/>
        <w:gridCol w:w="823"/>
        <w:gridCol w:w="821"/>
        <w:gridCol w:w="818"/>
      </w:tblGrid>
      <w:tr>
        <w:trPr>
          <w:trHeight w:val="374" w:hRule="atLeast"/>
        </w:trPr>
        <w:tc>
          <w:tcPr>
            <w:tcW w:w="36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3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2018-19</w:t>
            </w:r>
          </w:p>
          <w:p>
            <w:pPr>
              <w:pStyle w:val="TableParagraph"/>
              <w:spacing w:line="168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line="183" w:lineRule="exact" w:before="3"/>
              <w:ind w:right="1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2019-20</w:t>
            </w:r>
          </w:p>
          <w:p>
            <w:pPr>
              <w:pStyle w:val="TableParagraph"/>
              <w:spacing w:line="168" w:lineRule="exact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3"/>
              <w:ind w:right="1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2020-21</w:t>
            </w:r>
          </w:p>
          <w:p>
            <w:pPr>
              <w:pStyle w:val="TableParagraph"/>
              <w:spacing w:line="168" w:lineRule="exact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3"/>
              <w:ind w:right="1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2021-22</w:t>
            </w:r>
          </w:p>
          <w:p>
            <w:pPr>
              <w:pStyle w:val="TableParagraph"/>
              <w:spacing w:line="168" w:lineRule="exact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3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2022-23</w:t>
            </w:r>
          </w:p>
          <w:p>
            <w:pPr>
              <w:pStyle w:val="TableParagraph"/>
              <w:spacing w:line="168" w:lineRule="exact"/>
              <w:ind w:right="1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</w:tr>
      <w:tr>
        <w:trPr>
          <w:trHeight w:val="358" w:hRule="atLeast"/>
        </w:trPr>
        <w:tc>
          <w:tcPr>
            <w:tcW w:w="3698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AGRICULTURE AND WATER RESOURCES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698" w:type="dxa"/>
          </w:tcPr>
          <w:p>
            <w:pPr>
              <w:pStyle w:val="TableParagraph"/>
              <w:spacing w:before="19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Agriculture and Water Resources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3698" w:type="dxa"/>
          </w:tcPr>
          <w:p>
            <w:pPr>
              <w:pStyle w:val="TableParagraph"/>
              <w:spacing w:before="29"/>
              <w:ind w:left="405" w:right="335" w:hanging="104"/>
              <w:rPr>
                <w:sz w:val="16"/>
              </w:rPr>
            </w:pPr>
            <w:r>
              <w:rPr>
                <w:sz w:val="16"/>
              </w:rPr>
              <w:t>Energy Assistance Payment – extension to additional payments</w:t>
            </w:r>
          </w:p>
        </w:tc>
        <w:tc>
          <w:tcPr>
            <w:tcW w:w="823" w:type="dxa"/>
          </w:tcPr>
          <w:p>
            <w:pPr>
              <w:pStyle w:val="TableParagraph"/>
              <w:spacing w:before="46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spacing w:before="46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..</w:t>
            </w:r>
          </w:p>
        </w:tc>
        <w:tc>
          <w:tcPr>
            <w:tcW w:w="823" w:type="dxa"/>
          </w:tcPr>
          <w:p>
            <w:pPr>
              <w:pStyle w:val="TableParagraph"/>
              <w:spacing w:before="4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46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3698" w:type="dxa"/>
          </w:tcPr>
          <w:p>
            <w:pPr>
              <w:pStyle w:val="TableParagraph"/>
              <w:spacing w:before="31"/>
              <w:ind w:left="405" w:right="771" w:hanging="104"/>
              <w:rPr>
                <w:sz w:val="16"/>
              </w:rPr>
            </w:pPr>
            <w:r>
              <w:rPr>
                <w:sz w:val="16"/>
              </w:rPr>
              <w:t>Extending the scope of the FarmHub program (c)</w:t>
            </w:r>
          </w:p>
        </w:tc>
        <w:tc>
          <w:tcPr>
            <w:tcW w:w="823" w:type="dxa"/>
          </w:tcPr>
          <w:p>
            <w:pPr>
              <w:pStyle w:val="TableParagraph"/>
              <w:spacing w:before="29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spacing w:before="29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29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29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29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454" w:hRule="atLeast"/>
        </w:trPr>
        <w:tc>
          <w:tcPr>
            <w:tcW w:w="3698" w:type="dxa"/>
          </w:tcPr>
          <w:p>
            <w:pPr>
              <w:pStyle w:val="TableParagraph"/>
              <w:spacing w:before="41"/>
              <w:ind w:left="405" w:right="1144" w:hanging="104"/>
              <w:rPr>
                <w:sz w:val="16"/>
              </w:rPr>
            </w:pPr>
            <w:r>
              <w:rPr>
                <w:sz w:val="16"/>
              </w:rPr>
              <w:t>Response to Fish Deaths in the Murray Darling Basin (d)</w:t>
            </w:r>
          </w:p>
        </w:tc>
        <w:tc>
          <w:tcPr>
            <w:tcW w:w="823" w:type="dxa"/>
          </w:tcPr>
          <w:p>
            <w:pPr>
              <w:pStyle w:val="TableParagraph"/>
              <w:spacing w:before="39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spacing w:before="39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39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39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39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3698" w:type="dxa"/>
          </w:tcPr>
          <w:p>
            <w:pPr>
              <w:pStyle w:val="TableParagraph"/>
              <w:spacing w:before="40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Regional Investment Corporation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7" w:hRule="atLeast"/>
        </w:trPr>
        <w:tc>
          <w:tcPr>
            <w:tcW w:w="3698" w:type="dxa"/>
          </w:tcPr>
          <w:p>
            <w:pPr>
              <w:pStyle w:val="TableParagraph"/>
              <w:spacing w:before="16"/>
              <w:ind w:left="405" w:right="231" w:hanging="104"/>
              <w:rPr>
                <w:sz w:val="16"/>
              </w:rPr>
            </w:pPr>
            <w:r>
              <w:rPr>
                <w:sz w:val="16"/>
              </w:rPr>
              <w:t>Agristarter Loan – assisting people to buy their first farm and supporting succession arrangements within farming families (b)(e)</w:t>
            </w: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698" w:type="dxa"/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..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3698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EDUCATION AND TRAINING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492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3698" w:type="dxa"/>
          </w:tcPr>
          <w:p>
            <w:pPr>
              <w:pStyle w:val="TableParagraph"/>
              <w:spacing w:line="183" w:lineRule="exact" w:before="18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Education and Training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698" w:type="dxa"/>
          </w:tcPr>
          <w:p>
            <w:pPr>
              <w:pStyle w:val="TableParagraph"/>
              <w:spacing w:before="14"/>
              <w:ind w:left="302"/>
              <w:rPr>
                <w:sz w:val="16"/>
              </w:rPr>
            </w:pPr>
            <w:r>
              <w:rPr>
                <w:sz w:val="16"/>
              </w:rPr>
              <w:t>FEE-HELP – increase in</w:t>
            </w:r>
          </w:p>
          <w:p>
            <w:pPr>
              <w:pStyle w:val="TableParagraph"/>
              <w:spacing w:before="1"/>
              <w:ind w:left="393"/>
              <w:rPr>
                <w:sz w:val="16"/>
              </w:rPr>
            </w:pPr>
            <w:r>
              <w:rPr>
                <w:sz w:val="16"/>
              </w:rPr>
              <w:t>loan limit for aviation courses (b)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8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8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</w:tr>
      <w:tr>
        <w:trPr>
          <w:trHeight w:val="283" w:hRule="atLeast"/>
        </w:trPr>
        <w:tc>
          <w:tcPr>
            <w:tcW w:w="3698" w:type="dxa"/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0.6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>
        <w:trPr>
          <w:trHeight w:val="360" w:hRule="atLeast"/>
        </w:trPr>
        <w:tc>
          <w:tcPr>
            <w:tcW w:w="3698" w:type="dxa"/>
          </w:tcPr>
          <w:p>
            <w:pPr>
              <w:pStyle w:val="TableParagraph"/>
              <w:spacing w:before="152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HEALTH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698" w:type="dxa"/>
          </w:tcPr>
          <w:p>
            <w:pPr>
              <w:pStyle w:val="TableParagraph"/>
              <w:spacing w:before="19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Health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8" w:hRule="atLeast"/>
        </w:trPr>
        <w:tc>
          <w:tcPr>
            <w:tcW w:w="3698" w:type="dxa"/>
          </w:tcPr>
          <w:p>
            <w:pPr>
              <w:pStyle w:val="TableParagraph"/>
              <w:spacing w:before="16"/>
              <w:ind w:left="405" w:right="151" w:hanging="104"/>
              <w:rPr>
                <w:sz w:val="16"/>
              </w:rPr>
            </w:pPr>
            <w:r>
              <w:rPr>
                <w:sz w:val="16"/>
              </w:rPr>
              <w:t>Improving Access to Medicines – Immunisation and deed management fees – change commencement date (b)</w:t>
            </w:r>
          </w:p>
        </w:tc>
        <w:tc>
          <w:tcPr>
            <w:tcW w:w="82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-2.6</w:t>
            </w:r>
          </w:p>
        </w:tc>
        <w:tc>
          <w:tcPr>
            <w:tcW w:w="82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452" w:hRule="atLeast"/>
        </w:trPr>
        <w:tc>
          <w:tcPr>
            <w:tcW w:w="3698" w:type="dxa"/>
          </w:tcPr>
          <w:p>
            <w:pPr>
              <w:pStyle w:val="TableParagraph"/>
              <w:spacing w:before="39"/>
              <w:ind w:left="405" w:right="637" w:hanging="104"/>
              <w:rPr>
                <w:sz w:val="16"/>
              </w:rPr>
            </w:pPr>
            <w:r>
              <w:rPr>
                <w:sz w:val="16"/>
              </w:rPr>
              <w:t>Australian Government Support for the 2027 Rugby World Cup (f)</w:t>
            </w: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3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698" w:type="dxa"/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-2.6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698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HOME AFFAIRS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3698" w:type="dxa"/>
          </w:tcPr>
          <w:p>
            <w:pPr>
              <w:pStyle w:val="TableParagraph"/>
              <w:spacing w:before="22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Home Affairs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3698" w:type="dxa"/>
          </w:tcPr>
          <w:p>
            <w:pPr>
              <w:pStyle w:val="TableParagraph"/>
              <w:spacing w:before="4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Tasmanian Bushfires Recovery Package (m)</w:t>
            </w: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698" w:type="dxa"/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3698" w:type="dxa"/>
          </w:tcPr>
          <w:p>
            <w:pPr>
              <w:pStyle w:val="TableParagraph"/>
              <w:spacing w:before="80"/>
              <w:ind w:left="122" w:right="1147"/>
              <w:rPr>
                <w:b/>
                <w:sz w:val="16"/>
              </w:rPr>
            </w:pPr>
            <w:r>
              <w:rPr>
                <w:b/>
                <w:sz w:val="16"/>
              </w:rPr>
              <w:t>INFRASTRUCTURE, REGIONAL DEVELOPMENT AND CITIES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698" w:type="dxa"/>
          </w:tcPr>
          <w:p>
            <w:pPr>
              <w:pStyle w:val="TableParagraph"/>
              <w:spacing w:before="27"/>
              <w:ind w:left="122" w:right="834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Infrastructure, Regional </w:t>
            </w:r>
            <w:r>
              <w:rPr>
                <w:i/>
                <w:sz w:val="16"/>
              </w:rPr>
              <w:t>Development and Cities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3698" w:type="dxa"/>
          </w:tcPr>
          <w:p>
            <w:pPr>
              <w:pStyle w:val="TableParagraph"/>
              <w:spacing w:before="22"/>
              <w:ind w:left="405" w:right="922" w:hanging="104"/>
              <w:rPr>
                <w:sz w:val="16"/>
              </w:rPr>
            </w:pPr>
            <w:r>
              <w:rPr>
                <w:sz w:val="16"/>
              </w:rPr>
              <w:t>Community Development Grants – additional projects (g)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2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spacing w:before="12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12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3698" w:type="dxa"/>
          </w:tcPr>
          <w:p>
            <w:pPr>
              <w:pStyle w:val="TableParagraph"/>
              <w:spacing w:before="24"/>
              <w:ind w:left="405" w:right="344" w:hanging="104"/>
              <w:rPr>
                <w:sz w:val="16"/>
              </w:rPr>
            </w:pPr>
            <w:r>
              <w:rPr>
                <w:sz w:val="16"/>
              </w:rPr>
              <w:t>National Water Infrastructure Development Fund – Granite Belt Irrigation Project (h)</w:t>
            </w:r>
          </w:p>
        </w:tc>
        <w:tc>
          <w:tcPr>
            <w:tcW w:w="823" w:type="dxa"/>
          </w:tcPr>
          <w:p>
            <w:pPr>
              <w:pStyle w:val="TableParagraph"/>
              <w:spacing w:before="22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spacing w:before="22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22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22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22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629" w:hRule="atLeast"/>
        </w:trPr>
        <w:tc>
          <w:tcPr>
            <w:tcW w:w="3698" w:type="dxa"/>
          </w:tcPr>
          <w:p>
            <w:pPr>
              <w:pStyle w:val="TableParagraph"/>
              <w:spacing w:before="37"/>
              <w:ind w:left="405" w:right="364" w:hanging="104"/>
              <w:rPr>
                <w:sz w:val="16"/>
              </w:rPr>
            </w:pPr>
            <w:r>
              <w:rPr>
                <w:sz w:val="16"/>
              </w:rPr>
              <w:t>Infrastructure Investment Program – Western Australia – Karel Avenue Bridge reallocation (i)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453" w:hRule="atLeast"/>
        </w:trPr>
        <w:tc>
          <w:tcPr>
            <w:tcW w:w="3698" w:type="dxa"/>
          </w:tcPr>
          <w:p>
            <w:pPr>
              <w:pStyle w:val="TableParagraph"/>
              <w:spacing w:before="36"/>
              <w:ind w:left="405" w:right="1073" w:hanging="104"/>
              <w:rPr>
                <w:sz w:val="16"/>
              </w:rPr>
            </w:pPr>
            <w:r>
              <w:rPr>
                <w:sz w:val="16"/>
              </w:rPr>
              <w:t>Regional Growth Fund – funding reallocation (j)</w:t>
            </w:r>
          </w:p>
        </w:tc>
        <w:tc>
          <w:tcPr>
            <w:tcW w:w="823" w:type="dxa"/>
          </w:tcPr>
          <w:p>
            <w:pPr>
              <w:pStyle w:val="TableParagraph"/>
              <w:spacing w:before="36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shd w:val="clear" w:color="auto" w:fill="E7E6E5"/>
          </w:tcPr>
          <w:p>
            <w:pPr>
              <w:pStyle w:val="TableParagraph"/>
              <w:spacing w:before="3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3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3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36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698" w:type="dxa"/>
          </w:tcPr>
          <w:p>
            <w:pPr>
              <w:pStyle w:val="TableParagraph"/>
              <w:spacing w:before="43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Urban Congestion Fund – priority projects (k)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E7E6E5"/>
          </w:tcPr>
          <w:p>
            <w:pPr>
              <w:pStyle w:val="TableParagraph"/>
              <w:spacing w:before="43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9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6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1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1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1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1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1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0" w:footer="1924" w:top="1580" w:bottom="2120" w:left="1680" w:right="1680"/>
        </w:sectPr>
      </w:pPr>
    </w:p>
    <w:p>
      <w:pPr>
        <w:pStyle w:val="BodyText"/>
        <w:spacing w:before="5"/>
        <w:ind w:left="0"/>
        <w:rPr>
          <w:b/>
          <w:sz w:val="17"/>
        </w:rPr>
      </w:pPr>
    </w:p>
    <w:p>
      <w:pPr>
        <w:spacing w:before="99"/>
        <w:ind w:left="4310" w:right="0" w:firstLine="0"/>
        <w:jc w:val="left"/>
        <w:rPr>
          <w:rFonts w:ascii="Book Antiqua"/>
          <w:i/>
          <w:sz w:val="20"/>
        </w:rPr>
      </w:pPr>
      <w:r>
        <w:rPr>
          <w:rFonts w:ascii="Book Antiqua"/>
          <w:i/>
          <w:sz w:val="20"/>
        </w:rPr>
        <w:t>Pre-election Economic and Fiscal Outlook 2019</w:t>
      </w:r>
    </w:p>
    <w:p>
      <w:pPr>
        <w:pStyle w:val="BodyText"/>
        <w:spacing w:before="11"/>
        <w:ind w:left="0"/>
        <w:rPr>
          <w:rFonts w:ascii="Book Antiqua"/>
          <w:i/>
          <w:sz w:val="26"/>
        </w:rPr>
      </w:pPr>
    </w:p>
    <w:p>
      <w:pPr>
        <w:spacing w:before="1" w:after="22"/>
        <w:ind w:left="417" w:right="0" w:firstLine="0"/>
        <w:jc w:val="left"/>
        <w:rPr>
          <w:b/>
          <w:sz w:val="20"/>
        </w:rPr>
      </w:pPr>
      <w:r>
        <w:rPr>
          <w:b/>
          <w:sz w:val="20"/>
        </w:rPr>
        <w:t>Table B2: Expense measures since the 2019-20 Budget</w:t>
      </w:r>
      <w:r>
        <w:rPr>
          <w:b/>
          <w:sz w:val="20"/>
          <w:vertAlign w:val="superscript"/>
        </w:rPr>
        <w:t>(a)</w:t>
      </w:r>
      <w:r>
        <w:rPr>
          <w:b/>
          <w:sz w:val="20"/>
          <w:vertAlign w:val="baseline"/>
        </w:rPr>
        <w:t> (continued)</w:t>
      </w:r>
    </w:p>
    <w:tbl>
      <w:tblPr>
        <w:tblW w:w="0" w:type="auto"/>
        <w:jc w:val="left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6"/>
        <w:gridCol w:w="811"/>
        <w:gridCol w:w="811"/>
        <w:gridCol w:w="823"/>
        <w:gridCol w:w="810"/>
        <w:gridCol w:w="800"/>
      </w:tblGrid>
      <w:tr>
        <w:trPr>
          <w:trHeight w:val="374" w:hRule="atLeast"/>
        </w:trPr>
        <w:tc>
          <w:tcPr>
            <w:tcW w:w="456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3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2018-19</w:t>
            </w:r>
          </w:p>
          <w:p>
            <w:pPr>
              <w:pStyle w:val="TableParagraph"/>
              <w:spacing w:line="168" w:lineRule="exact"/>
              <w:ind w:right="1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line="183" w:lineRule="exact" w:before="3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2019-20</w:t>
            </w:r>
          </w:p>
          <w:p>
            <w:pPr>
              <w:pStyle w:val="TableParagraph"/>
              <w:spacing w:line="168" w:lineRule="exact"/>
              <w:ind w:right="1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3"/>
              <w:ind w:right="1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2020-21</w:t>
            </w:r>
          </w:p>
          <w:p>
            <w:pPr>
              <w:pStyle w:val="TableParagraph"/>
              <w:spacing w:line="168" w:lineRule="exact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3"/>
              <w:ind w:right="1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2021-22</w:t>
            </w:r>
          </w:p>
          <w:p>
            <w:pPr>
              <w:pStyle w:val="TableParagraph"/>
              <w:spacing w:line="168" w:lineRule="exact"/>
              <w:ind w:right="1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3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2022-23</w:t>
            </w:r>
          </w:p>
          <w:p>
            <w:pPr>
              <w:pStyle w:val="TableParagraph"/>
              <w:spacing w:line="168" w:lineRule="exact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$m</w:t>
            </w:r>
          </w:p>
        </w:tc>
      </w:tr>
      <w:tr>
        <w:trPr>
          <w:trHeight w:val="355" w:hRule="atLeast"/>
        </w:trPr>
        <w:tc>
          <w:tcPr>
            <w:tcW w:w="37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JOBS AND SMALL BUSINESS</w:t>
            </w:r>
          </w:p>
        </w:tc>
        <w:tc>
          <w:tcPr>
            <w:tcW w:w="81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right="13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3756" w:type="dxa"/>
          </w:tcPr>
          <w:p>
            <w:pPr>
              <w:pStyle w:val="TableParagraph"/>
              <w:spacing w:before="17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Jobs and Small Business</w:t>
            </w:r>
          </w:p>
        </w:tc>
        <w:tc>
          <w:tcPr>
            <w:tcW w:w="81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756" w:type="dxa"/>
          </w:tcPr>
          <w:p>
            <w:pPr>
              <w:pStyle w:val="TableParagraph"/>
              <w:spacing w:before="17"/>
              <w:ind w:left="405" w:right="553" w:hanging="104"/>
              <w:rPr>
                <w:sz w:val="16"/>
              </w:rPr>
            </w:pPr>
            <w:r>
              <w:rPr>
                <w:sz w:val="16"/>
              </w:rPr>
              <w:t>Cease the Seasonal Worker Programme Northern Australia Tourism Pilot</w:t>
            </w:r>
          </w:p>
        </w:tc>
        <w:tc>
          <w:tcPr>
            <w:tcW w:w="81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3756" w:type="dxa"/>
          </w:tcPr>
          <w:p>
            <w:pPr>
              <w:pStyle w:val="TableParagraph"/>
              <w:spacing w:line="171" w:lineRule="exact" w:before="37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15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358" w:hRule="atLeast"/>
        </w:trPr>
        <w:tc>
          <w:tcPr>
            <w:tcW w:w="3756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SOCIAL SERVICES</w:t>
            </w:r>
          </w:p>
        </w:tc>
        <w:tc>
          <w:tcPr>
            <w:tcW w:w="81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56" w:type="dxa"/>
          </w:tcPr>
          <w:p>
            <w:pPr>
              <w:pStyle w:val="TableParagraph"/>
              <w:spacing w:before="19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Human Services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3756" w:type="dxa"/>
          </w:tcPr>
          <w:p>
            <w:pPr>
              <w:pStyle w:val="TableParagraph"/>
              <w:spacing w:before="33"/>
              <w:ind w:left="302"/>
              <w:rPr>
                <w:sz w:val="16"/>
              </w:rPr>
            </w:pPr>
            <w:r>
              <w:rPr>
                <w:sz w:val="16"/>
              </w:rPr>
              <w:t>Cashless Debit Card – amendments (l)</w:t>
            </w:r>
          </w:p>
        </w:tc>
        <w:tc>
          <w:tcPr>
            <w:tcW w:w="811" w:type="dxa"/>
          </w:tcPr>
          <w:p>
            <w:pPr>
              <w:pStyle w:val="TableParagraph"/>
              <w:spacing w:before="33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spacing w:before="33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823" w:type="dxa"/>
          </w:tcPr>
          <w:p>
            <w:pPr>
              <w:pStyle w:val="TableParagraph"/>
              <w:spacing w:before="33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..</w:t>
            </w:r>
          </w:p>
        </w:tc>
        <w:tc>
          <w:tcPr>
            <w:tcW w:w="810" w:type="dxa"/>
          </w:tcPr>
          <w:p>
            <w:pPr>
              <w:pStyle w:val="TableParagraph"/>
              <w:spacing w:before="33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33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3756" w:type="dxa"/>
          </w:tcPr>
          <w:p>
            <w:pPr>
              <w:pStyle w:val="TableParagraph"/>
              <w:spacing w:before="27"/>
              <w:ind w:left="405" w:right="393" w:hanging="104"/>
              <w:rPr>
                <w:sz w:val="16"/>
              </w:rPr>
            </w:pPr>
            <w:r>
              <w:rPr>
                <w:sz w:val="16"/>
              </w:rPr>
              <w:t>Energy Assistance Payment – extension to additional payments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39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spacing w:before="39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..</w:t>
            </w:r>
          </w:p>
        </w:tc>
        <w:tc>
          <w:tcPr>
            <w:tcW w:w="823" w:type="dxa"/>
          </w:tcPr>
          <w:p>
            <w:pPr>
              <w:pStyle w:val="TableParagraph"/>
              <w:spacing w:before="39"/>
              <w:ind w:right="11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39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39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3756" w:type="dxa"/>
          </w:tcPr>
          <w:p>
            <w:pPr>
              <w:pStyle w:val="TableParagraph"/>
              <w:spacing w:before="61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Social Services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756" w:type="dxa"/>
          </w:tcPr>
          <w:p>
            <w:pPr>
              <w:pStyle w:val="TableParagraph"/>
              <w:spacing w:before="22"/>
              <w:ind w:left="302"/>
              <w:rPr>
                <w:sz w:val="16"/>
              </w:rPr>
            </w:pPr>
            <w:r>
              <w:rPr>
                <w:sz w:val="16"/>
              </w:rPr>
              <w:t>Cashless Debit Card – amendments (l)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spacing w:before="22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823" w:type="dxa"/>
          </w:tcPr>
          <w:p>
            <w:pPr>
              <w:pStyle w:val="TableParagraph"/>
              <w:spacing w:before="22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810" w:type="dxa"/>
          </w:tcPr>
          <w:p>
            <w:pPr>
              <w:pStyle w:val="TableParagraph"/>
              <w:spacing w:before="22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22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3756" w:type="dxa"/>
          </w:tcPr>
          <w:p>
            <w:pPr>
              <w:pStyle w:val="TableParagraph"/>
              <w:spacing w:before="51"/>
              <w:ind w:left="405" w:right="393" w:hanging="104"/>
              <w:rPr>
                <w:sz w:val="16"/>
              </w:rPr>
            </w:pPr>
            <w:r>
              <w:rPr>
                <w:sz w:val="16"/>
              </w:rPr>
              <w:t>Energy Assistance Payment – extension to additional payments</w:t>
            </w:r>
          </w:p>
        </w:tc>
        <w:tc>
          <w:tcPr>
            <w:tcW w:w="8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85.3</w:t>
            </w:r>
          </w:p>
        </w:tc>
        <w:tc>
          <w:tcPr>
            <w:tcW w:w="811" w:type="dxa"/>
            <w:tcBorders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22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right="11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3756" w:type="dxa"/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87.1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0.7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359" w:hRule="atLeast"/>
        </w:trPr>
        <w:tc>
          <w:tcPr>
            <w:tcW w:w="3756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TREASURY</w:t>
            </w:r>
          </w:p>
        </w:tc>
        <w:tc>
          <w:tcPr>
            <w:tcW w:w="81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756" w:type="dxa"/>
          </w:tcPr>
          <w:p>
            <w:pPr>
              <w:pStyle w:val="TableParagraph"/>
              <w:spacing w:before="21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the Treasury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0" w:hRule="atLeast"/>
        </w:trPr>
        <w:tc>
          <w:tcPr>
            <w:tcW w:w="3756" w:type="dxa"/>
          </w:tcPr>
          <w:p>
            <w:pPr>
              <w:pStyle w:val="TableParagraph"/>
              <w:spacing w:before="19"/>
              <w:ind w:left="405" w:right="254" w:hanging="104"/>
              <w:rPr>
                <w:sz w:val="16"/>
              </w:rPr>
            </w:pPr>
            <w:r>
              <w:rPr>
                <w:sz w:val="16"/>
              </w:rPr>
              <w:t>National Water Infrastructure Development Fund – Granite Belt Irrigation Project (h)(m)</w:t>
            </w:r>
          </w:p>
        </w:tc>
        <w:tc>
          <w:tcPr>
            <w:tcW w:w="811" w:type="dxa"/>
          </w:tcPr>
          <w:p>
            <w:pPr>
              <w:pStyle w:val="TableParagraph"/>
              <w:spacing w:before="17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spacing w:before="17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17"/>
              <w:ind w:right="11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17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17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598" w:hRule="atLeast"/>
        </w:trPr>
        <w:tc>
          <w:tcPr>
            <w:tcW w:w="3756" w:type="dxa"/>
          </w:tcPr>
          <w:p>
            <w:pPr>
              <w:pStyle w:val="TableParagraph"/>
              <w:spacing w:before="19"/>
              <w:ind w:left="405" w:right="422" w:hanging="104"/>
              <w:rPr>
                <w:sz w:val="16"/>
              </w:rPr>
            </w:pPr>
            <w:r>
              <w:rPr>
                <w:sz w:val="16"/>
              </w:rPr>
              <w:t>Infrastructure Investment Program – Western Australia – Karel Avenue Bridge reallocation (i)(m)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57" w:hRule="atLeast"/>
        </w:trPr>
        <w:tc>
          <w:tcPr>
            <w:tcW w:w="3756" w:type="dxa"/>
          </w:tcPr>
          <w:p>
            <w:pPr>
              <w:pStyle w:val="TableParagraph"/>
              <w:spacing w:before="23"/>
              <w:ind w:left="302"/>
              <w:rPr>
                <w:sz w:val="16"/>
              </w:rPr>
            </w:pPr>
            <w:r>
              <w:rPr>
                <w:sz w:val="16"/>
              </w:rPr>
              <w:t>Tasmanian Bushfires Recovery Package (m)</w:t>
            </w:r>
          </w:p>
        </w:tc>
        <w:tc>
          <w:tcPr>
            <w:tcW w:w="811" w:type="dxa"/>
          </w:tcPr>
          <w:p>
            <w:pPr>
              <w:pStyle w:val="TableParagraph"/>
              <w:spacing w:before="23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811" w:type="dxa"/>
            <w:shd w:val="clear" w:color="auto" w:fill="E7E6E5"/>
          </w:tcPr>
          <w:p>
            <w:pPr>
              <w:pStyle w:val="TableParagraph"/>
              <w:spacing w:before="23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before="23"/>
              <w:ind w:right="11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23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23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3756" w:type="dxa"/>
          </w:tcPr>
          <w:p>
            <w:pPr>
              <w:pStyle w:val="TableParagraph"/>
              <w:spacing w:before="46"/>
              <w:ind w:left="302"/>
              <w:rPr>
                <w:sz w:val="16"/>
              </w:rPr>
            </w:pPr>
            <w:r>
              <w:rPr>
                <w:sz w:val="16"/>
              </w:rPr>
              <w:t>Urban Congestion Fund – priority projects (k)(m)</w:t>
            </w:r>
          </w:p>
        </w:tc>
        <w:tc>
          <w:tcPr>
            <w:tcW w:w="8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right="13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1" w:type="dxa"/>
            <w:tcBorders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right="11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3756" w:type="dxa"/>
          </w:tcPr>
          <w:p>
            <w:pPr>
              <w:pStyle w:val="TableParagraph"/>
              <w:spacing w:line="168" w:lineRule="exact" w:before="37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15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3756" w:type="dxa"/>
          </w:tcPr>
          <w:p>
            <w:pPr>
              <w:pStyle w:val="TableParagraph"/>
              <w:spacing w:before="150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VETERANS’ AFFAIRS</w:t>
            </w:r>
          </w:p>
        </w:tc>
        <w:tc>
          <w:tcPr>
            <w:tcW w:w="81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..</w:t>
            </w:r>
          </w:p>
        </w:tc>
        <w:tc>
          <w:tcPr>
            <w:tcW w:w="81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756" w:type="dxa"/>
          </w:tcPr>
          <w:p>
            <w:pPr>
              <w:pStyle w:val="TableParagraph"/>
              <w:spacing w:before="18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Department of Veterans’ Affairs</w:t>
            </w:r>
          </w:p>
        </w:tc>
        <w:tc>
          <w:tcPr>
            <w:tcW w:w="81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3756" w:type="dxa"/>
          </w:tcPr>
          <w:p>
            <w:pPr>
              <w:pStyle w:val="TableParagraph"/>
              <w:spacing w:before="17"/>
              <w:ind w:left="405" w:right="393" w:hanging="104"/>
              <w:rPr>
                <w:sz w:val="16"/>
              </w:rPr>
            </w:pPr>
            <w:r>
              <w:rPr>
                <w:sz w:val="16"/>
              </w:rPr>
              <w:t>Energy Assistance Payment – extension to additional payments</w:t>
            </w:r>
          </w:p>
        </w:tc>
        <w:tc>
          <w:tcPr>
            <w:tcW w:w="81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bottom w:val="single" w:sz="2" w:space="0" w:color="000000"/>
            </w:tcBorders>
            <w:shd w:val="clear" w:color="auto" w:fill="E7E6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3756" w:type="dxa"/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Portfolio Total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..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7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Total Impact of expense measures (n)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92.6</w:t>
            </w:r>
          </w:p>
        </w:tc>
        <w:tc>
          <w:tcPr>
            <w:tcW w:w="8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7E6E5"/>
          </w:tcPr>
          <w:p>
            <w:pPr>
              <w:pStyle w:val="TableParagraph"/>
              <w:spacing w:before="44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-0.3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4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</w:tbl>
    <w:p>
      <w:pPr>
        <w:pStyle w:val="BodyText"/>
        <w:tabs>
          <w:tab w:pos="844" w:val="left" w:leader="none"/>
        </w:tabs>
        <w:ind w:left="417"/>
      </w:pPr>
      <w:r>
        <w:rPr/>
        <w:t>*</w:t>
        <w:tab/>
        <w:t>The</w:t>
      </w:r>
      <w:r>
        <w:rPr>
          <w:spacing w:val="-1"/>
        </w:rPr>
        <w:t> </w:t>
      </w:r>
      <w:r>
        <w:rPr/>
        <w:t>nature 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measure is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 reliable</w:t>
      </w:r>
      <w:r>
        <w:rPr>
          <w:spacing w:val="-3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25"/>
        </w:rPr>
        <w:t> </w:t>
      </w:r>
      <w:r>
        <w:rPr/>
        <w:t>provided.</w:t>
      </w:r>
    </w:p>
    <w:p>
      <w:pPr>
        <w:pStyle w:val="BodyText"/>
        <w:tabs>
          <w:tab w:pos="844" w:val="left" w:leader="none"/>
        </w:tabs>
        <w:spacing w:line="183" w:lineRule="exact"/>
        <w:ind w:left="417"/>
      </w:pPr>
      <w:r>
        <w:rPr/>
        <w:t>..</w:t>
        <w:tab/>
        <w:t>Not zero, but rounded to</w:t>
      </w:r>
      <w:r>
        <w:rPr>
          <w:spacing w:val="3"/>
        </w:rPr>
        <w:t> </w:t>
      </w:r>
      <w:r>
        <w:rPr/>
        <w:t>zero.</w:t>
      </w:r>
    </w:p>
    <w:p>
      <w:pPr>
        <w:pStyle w:val="BodyText"/>
        <w:tabs>
          <w:tab w:pos="844" w:val="left" w:leader="none"/>
        </w:tabs>
        <w:spacing w:line="183" w:lineRule="exact"/>
        <w:ind w:left="417"/>
      </w:pPr>
      <w:r>
        <w:rPr/>
        <w:t>-</w:t>
        <w:tab/>
        <w:t>Nil.</w:t>
      </w:r>
    </w:p>
    <w:p>
      <w:pPr>
        <w:pStyle w:val="BodyText"/>
        <w:tabs>
          <w:tab w:pos="844" w:val="left" w:leader="none"/>
        </w:tabs>
        <w:spacing w:before="1"/>
        <w:ind w:left="417"/>
      </w:pPr>
      <w:r>
        <w:rPr/>
        <w:t>nfp</w:t>
        <w:tab/>
        <w:t>not for</w:t>
      </w:r>
      <w:r>
        <w:rPr>
          <w:spacing w:val="1"/>
        </w:rPr>
        <w:t> </w:t>
      </w:r>
      <w:r>
        <w:rPr/>
        <w:t>publication.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  <w:tab w:pos="845" w:val="left" w:leader="none"/>
        </w:tabs>
        <w:spacing w:line="240" w:lineRule="auto" w:before="1" w:after="0"/>
        <w:ind w:left="844" w:right="415" w:hanging="428"/>
        <w:jc w:val="left"/>
        <w:rPr>
          <w:sz w:val="16"/>
        </w:rPr>
      </w:pPr>
      <w:r>
        <w:rPr>
          <w:sz w:val="16"/>
        </w:rPr>
        <w:t>A minus sign before an estimate indicates a reduction in expenses, no sign before an estimate indicates increased</w:t>
      </w:r>
      <w:r>
        <w:rPr>
          <w:spacing w:val="-5"/>
          <w:sz w:val="16"/>
        </w:rPr>
        <w:t> </w:t>
      </w:r>
      <w:r>
        <w:rPr>
          <w:sz w:val="16"/>
        </w:rPr>
        <w:t>expenses.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  <w:tab w:pos="845" w:val="left" w:leader="none"/>
        </w:tabs>
        <w:spacing w:line="183" w:lineRule="exact" w:before="0" w:after="0"/>
        <w:ind w:left="844" w:right="0" w:hanging="428"/>
        <w:jc w:val="left"/>
        <w:rPr>
          <w:sz w:val="16"/>
        </w:rPr>
      </w:pPr>
      <w:r>
        <w:rPr>
          <w:sz w:val="16"/>
        </w:rPr>
        <w:t>These measures can also be found in the revenue measures summary</w:t>
      </w:r>
      <w:r>
        <w:rPr>
          <w:spacing w:val="-16"/>
          <w:sz w:val="16"/>
        </w:rPr>
        <w:t> </w:t>
      </w:r>
      <w:r>
        <w:rPr>
          <w:sz w:val="16"/>
        </w:rPr>
        <w:t>table.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  <w:tab w:pos="845" w:val="left" w:leader="none"/>
        </w:tabs>
        <w:spacing w:line="240" w:lineRule="auto" w:before="1" w:after="0"/>
        <w:ind w:left="844" w:right="417" w:hanging="428"/>
        <w:jc w:val="left"/>
        <w:rPr>
          <w:sz w:val="16"/>
        </w:rPr>
      </w:pPr>
      <w:r>
        <w:rPr>
          <w:sz w:val="16"/>
        </w:rPr>
        <w:t>This measure will be funded from within the existing resources of the Department of Agriculture and Water Resources and includes funding of $0.4 million in</w:t>
      </w:r>
      <w:r>
        <w:rPr>
          <w:spacing w:val="-8"/>
          <w:sz w:val="16"/>
        </w:rPr>
        <w:t> </w:t>
      </w:r>
      <w:r>
        <w:rPr>
          <w:sz w:val="16"/>
        </w:rPr>
        <w:t>2019-20.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415" w:hanging="428"/>
        <w:jc w:val="left"/>
        <w:rPr>
          <w:sz w:val="16"/>
        </w:rPr>
      </w:pPr>
      <w:r>
        <w:rPr>
          <w:sz w:val="16"/>
        </w:rPr>
        <w:t>This measure will be funded from uncontracted funds in the Sustainable Rural and Water Use and Infrastructure Program and includes funding of $136.2 million over five years from</w:t>
      </w:r>
      <w:r>
        <w:rPr>
          <w:spacing w:val="-14"/>
          <w:sz w:val="16"/>
        </w:rPr>
        <w:t> </w:t>
      </w:r>
      <w:r>
        <w:rPr>
          <w:sz w:val="16"/>
        </w:rPr>
        <w:t>2018-19.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414" w:hanging="428"/>
        <w:jc w:val="left"/>
        <w:rPr>
          <w:sz w:val="16"/>
        </w:rPr>
      </w:pPr>
      <w:r>
        <w:rPr>
          <w:sz w:val="16"/>
        </w:rPr>
        <w:t>The new loans provided in this measure will be funded from within the Regional Investment Corporation’s existing</w:t>
      </w:r>
      <w:r>
        <w:rPr>
          <w:spacing w:val="1"/>
          <w:sz w:val="16"/>
        </w:rPr>
        <w:t> </w:t>
      </w:r>
      <w:r>
        <w:rPr>
          <w:sz w:val="16"/>
        </w:rPr>
        <w:t>appropriation.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414" w:hanging="428"/>
        <w:jc w:val="left"/>
        <w:rPr>
          <w:sz w:val="16"/>
        </w:rPr>
      </w:pPr>
      <w:r>
        <w:rPr>
          <w:sz w:val="16"/>
        </w:rPr>
        <w:t>This measure includes funding of $1.0 million in 2019-20. This funding was included as a ‘decision taken but not yet announced’ in the 2019-20</w:t>
      </w:r>
      <w:r>
        <w:rPr>
          <w:spacing w:val="-3"/>
          <w:sz w:val="16"/>
        </w:rPr>
        <w:t> </w:t>
      </w:r>
      <w:r>
        <w:rPr>
          <w:sz w:val="16"/>
        </w:rPr>
        <w:t>Budget.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0" w:footer="1924" w:top="1580" w:bottom="2120" w:left="1680" w:right="1680"/>
        </w:sect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before="99"/>
        <w:ind w:left="417" w:right="0" w:firstLine="0"/>
        <w:jc w:val="left"/>
        <w:rPr>
          <w:rFonts w:ascii="Book Antiqua"/>
          <w:i/>
          <w:sz w:val="20"/>
        </w:rPr>
      </w:pPr>
      <w:r>
        <w:rPr>
          <w:rFonts w:ascii="Book Antiqua"/>
          <w:i/>
          <w:sz w:val="20"/>
        </w:rPr>
        <w:t>Pre-election Economic and Fiscal Outlook 2019</w:t>
      </w:r>
    </w:p>
    <w:p>
      <w:pPr>
        <w:pStyle w:val="BodyText"/>
        <w:spacing w:before="11"/>
        <w:ind w:left="0"/>
        <w:rPr>
          <w:rFonts w:ascii="Book Antiqua"/>
          <w:i/>
          <w:sz w:val="26"/>
        </w:rPr>
      </w:pPr>
    </w:p>
    <w:p>
      <w:pPr>
        <w:spacing w:before="1"/>
        <w:ind w:left="417" w:right="0" w:firstLine="0"/>
        <w:jc w:val="left"/>
        <w:rPr>
          <w:b/>
          <w:sz w:val="20"/>
        </w:rPr>
      </w:pPr>
      <w:r>
        <w:rPr>
          <w:b/>
          <w:sz w:val="20"/>
        </w:rPr>
        <w:t>Table B2: Expense measures since the 2019-20 Budget</w:t>
      </w:r>
      <w:r>
        <w:rPr>
          <w:b/>
          <w:sz w:val="20"/>
          <w:vertAlign w:val="superscript"/>
        </w:rPr>
        <w:t>(a)</w:t>
      </w:r>
      <w:r>
        <w:rPr>
          <w:b/>
          <w:sz w:val="20"/>
          <w:vertAlign w:val="baseline"/>
        </w:rPr>
        <w:t> (continued)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8" w:after="0"/>
        <w:ind w:left="844" w:right="413" w:hanging="427"/>
        <w:jc w:val="both"/>
        <w:rPr>
          <w:sz w:val="16"/>
        </w:rPr>
      </w:pPr>
      <w:r>
        <w:rPr>
          <w:sz w:val="16"/>
        </w:rPr>
        <w:t>This measure commits funding of $94.5 million in 2019-20 for additional projects from unallocated funding in the Community Development Grants Programme, including $18.0 million for Glendorf Off-stream; $15.0 million for Kellyville Park Centre of Excellence and Community Facility; $10.0 million for Baranduda Fields Sporting Complex Upgrade; $10.0 million towards the PCYC NSW Regional Sport and Youth Centre; and $10.0 million for Lindenow Valley Water Security Scheme. It  also includes additional funding for the Community Development Grants Programme of $17.3 million over three years from 2020-21, this additional funding was included as a ‘decision taken but not yet announced’ in the 2019-20</w:t>
      </w:r>
      <w:r>
        <w:rPr>
          <w:spacing w:val="-2"/>
          <w:sz w:val="16"/>
        </w:rPr>
        <w:t> </w:t>
      </w:r>
      <w:r>
        <w:rPr>
          <w:sz w:val="16"/>
        </w:rPr>
        <w:t>Budget.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844" w:right="416" w:hanging="428"/>
        <w:jc w:val="both"/>
        <w:rPr>
          <w:sz w:val="16"/>
        </w:rPr>
      </w:pPr>
      <w:r>
        <w:rPr>
          <w:sz w:val="16"/>
        </w:rPr>
        <w:t>This measure commits funding of $0.5 million in 2019-20 from within the National Water Infrastructure Development</w:t>
      </w:r>
      <w:r>
        <w:rPr>
          <w:spacing w:val="-2"/>
          <w:sz w:val="16"/>
        </w:rPr>
        <w:t> </w:t>
      </w:r>
      <w:r>
        <w:rPr>
          <w:sz w:val="16"/>
        </w:rPr>
        <w:t>Fund.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844" w:right="415" w:hanging="428"/>
        <w:jc w:val="both"/>
        <w:rPr>
          <w:sz w:val="16"/>
        </w:rPr>
      </w:pPr>
      <w:r>
        <w:rPr>
          <w:sz w:val="16"/>
        </w:rPr>
        <w:t>This measure commits funding of $6.7 million in 2018-19 from within the Infrastructure Investment Program.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844" w:right="415" w:hanging="428"/>
        <w:jc w:val="both"/>
        <w:rPr>
          <w:sz w:val="16"/>
        </w:rPr>
      </w:pPr>
      <w:r>
        <w:rPr>
          <w:sz w:val="16"/>
        </w:rPr>
        <w:t>This measure will reallocate $10.0 million from not  proceeding with funding for the Construction of  Port Spencer Deep Sea Wharf project and instead provide $10.0 million towards the construction of the Coffs Harbour Airport Enterprise</w:t>
      </w:r>
      <w:r>
        <w:rPr>
          <w:spacing w:val="-5"/>
          <w:sz w:val="16"/>
        </w:rPr>
        <w:t> </w:t>
      </w:r>
      <w:r>
        <w:rPr>
          <w:sz w:val="16"/>
        </w:rPr>
        <w:t>Park.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</w:tabs>
        <w:spacing w:line="240" w:lineRule="auto" w:before="0" w:after="0"/>
        <w:ind w:left="845" w:right="414" w:hanging="428"/>
        <w:jc w:val="both"/>
        <w:rPr>
          <w:sz w:val="16"/>
        </w:rPr>
      </w:pPr>
      <w:r>
        <w:rPr>
          <w:sz w:val="16"/>
        </w:rPr>
        <w:t>This measure commits funding of $895.1 million over five years from 2019-20 for additional projects from unallocated funding in the Urban Congestion Fund, including: $506.1 million to address congestion</w:t>
      </w:r>
      <w:r>
        <w:rPr>
          <w:spacing w:val="18"/>
          <w:sz w:val="16"/>
        </w:rPr>
        <w:t> </w:t>
      </w:r>
      <w:r>
        <w:rPr>
          <w:sz w:val="16"/>
        </w:rPr>
        <w:t>hot</w:t>
      </w:r>
      <w:r>
        <w:rPr>
          <w:spacing w:val="19"/>
          <w:sz w:val="16"/>
        </w:rPr>
        <w:t> </w:t>
      </w:r>
      <w:r>
        <w:rPr>
          <w:sz w:val="16"/>
        </w:rPr>
        <w:t>spots</w:t>
      </w:r>
      <w:r>
        <w:rPr>
          <w:spacing w:val="19"/>
          <w:sz w:val="16"/>
        </w:rPr>
        <w:t> </w:t>
      </w:r>
      <w:r>
        <w:rPr>
          <w:sz w:val="16"/>
        </w:rPr>
        <w:t>in</w:t>
      </w:r>
      <w:r>
        <w:rPr>
          <w:spacing w:val="19"/>
          <w:sz w:val="16"/>
        </w:rPr>
        <w:t> </w:t>
      </w:r>
      <w:r>
        <w:rPr>
          <w:sz w:val="16"/>
        </w:rPr>
        <w:t>New</w:t>
      </w:r>
      <w:r>
        <w:rPr>
          <w:spacing w:val="17"/>
          <w:sz w:val="16"/>
        </w:rPr>
        <w:t> </w:t>
      </w:r>
      <w:r>
        <w:rPr>
          <w:sz w:val="16"/>
        </w:rPr>
        <w:t>South</w:t>
      </w:r>
      <w:r>
        <w:rPr>
          <w:spacing w:val="15"/>
          <w:sz w:val="16"/>
        </w:rPr>
        <w:t> </w:t>
      </w:r>
      <w:r>
        <w:rPr>
          <w:sz w:val="16"/>
        </w:rPr>
        <w:t>Wales,</w:t>
      </w:r>
      <w:r>
        <w:rPr>
          <w:spacing w:val="18"/>
          <w:sz w:val="16"/>
        </w:rPr>
        <w:t> </w:t>
      </w:r>
      <w:r>
        <w:rPr>
          <w:sz w:val="16"/>
        </w:rPr>
        <w:t>Victoria,</w:t>
      </w:r>
      <w:r>
        <w:rPr>
          <w:spacing w:val="20"/>
          <w:sz w:val="16"/>
        </w:rPr>
        <w:t> </w:t>
      </w:r>
      <w:r>
        <w:rPr>
          <w:sz w:val="16"/>
        </w:rPr>
        <w:t>Queensland</w:t>
      </w:r>
      <w:r>
        <w:rPr>
          <w:spacing w:val="19"/>
          <w:sz w:val="16"/>
        </w:rPr>
        <w:t> </w:t>
      </w:r>
      <w:r>
        <w:rPr>
          <w:sz w:val="16"/>
        </w:rPr>
        <w:t>and</w:t>
      </w:r>
      <w:r>
        <w:rPr>
          <w:spacing w:val="17"/>
          <w:sz w:val="16"/>
        </w:rPr>
        <w:t> </w:t>
      </w:r>
      <w:r>
        <w:rPr>
          <w:sz w:val="16"/>
        </w:rPr>
        <w:t>Western</w:t>
      </w:r>
      <w:r>
        <w:rPr>
          <w:spacing w:val="17"/>
          <w:sz w:val="16"/>
        </w:rPr>
        <w:t> </w:t>
      </w:r>
      <w:r>
        <w:rPr>
          <w:sz w:val="16"/>
        </w:rPr>
        <w:t>Australia,</w:t>
      </w:r>
      <w:r>
        <w:rPr>
          <w:spacing w:val="19"/>
          <w:sz w:val="16"/>
        </w:rPr>
        <w:t> </w:t>
      </w:r>
      <w:r>
        <w:rPr>
          <w:sz w:val="16"/>
        </w:rPr>
        <w:t>and</w:t>
      </w:r>
    </w:p>
    <w:p>
      <w:pPr>
        <w:pStyle w:val="BodyText"/>
        <w:spacing w:line="183" w:lineRule="exact"/>
        <w:ind w:left="845"/>
        <w:jc w:val="both"/>
      </w:pPr>
      <w:r>
        <w:rPr/>
        <w:t>$389.0 million for car park upgrades in New South Wales and Victoria.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</w:tabs>
        <w:spacing w:line="240" w:lineRule="auto" w:before="0" w:after="0"/>
        <w:ind w:left="845" w:right="415" w:hanging="428"/>
        <w:jc w:val="both"/>
        <w:rPr>
          <w:sz w:val="16"/>
        </w:rPr>
      </w:pPr>
      <w:r>
        <w:rPr>
          <w:sz w:val="16"/>
        </w:rPr>
        <w:t>This measure includes total funding of $6.9 million in 2019-20 and $7.1 million in 2020-21. Partial funding for this measure was included as  a  ‘decision  taken  but  not  yet  announced’  in  the  2019-20</w:t>
      </w:r>
      <w:r>
        <w:rPr>
          <w:spacing w:val="-1"/>
          <w:sz w:val="16"/>
        </w:rPr>
        <w:t> </w:t>
      </w:r>
      <w:r>
        <w:rPr>
          <w:sz w:val="16"/>
        </w:rPr>
        <w:t>Budget.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845" w:right="0" w:hanging="428"/>
        <w:jc w:val="both"/>
        <w:rPr>
          <w:sz w:val="16"/>
        </w:rPr>
      </w:pPr>
      <w:r>
        <w:rPr>
          <w:sz w:val="16"/>
        </w:rPr>
        <w:t>Funding is provided to the Treasury to provide the payments to the states and</w:t>
      </w:r>
      <w:r>
        <w:rPr>
          <w:spacing w:val="-17"/>
          <w:sz w:val="16"/>
        </w:rPr>
        <w:t> </w:t>
      </w:r>
      <w:r>
        <w:rPr>
          <w:sz w:val="16"/>
        </w:rPr>
        <w:t>territories.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845" w:right="0" w:hanging="428"/>
        <w:jc w:val="both"/>
        <w:rPr>
          <w:sz w:val="16"/>
        </w:rPr>
      </w:pPr>
      <w:r>
        <w:rPr>
          <w:sz w:val="16"/>
        </w:rPr>
        <w:t>Measures may not add due to</w:t>
      </w:r>
      <w:r>
        <w:rPr>
          <w:spacing w:val="-4"/>
          <w:sz w:val="16"/>
        </w:rPr>
        <w:t> </w:t>
      </w:r>
      <w:r>
        <w:rPr>
          <w:sz w:val="16"/>
        </w:rPr>
        <w:t>rounding.</w:t>
      </w:r>
    </w:p>
    <w:sectPr>
      <w:pgSz w:w="11910" w:h="16840"/>
      <w:pgMar w:header="0" w:footer="1924" w:top="1580" w:bottom="21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079895pt;margin-top:734.700928pt;width:17.05pt;height:13.15pt;mso-position-horizontal-relative:page;mso-position-vertical-relative:page;z-index:-25308569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844" w:hanging="428"/>
        <w:jc w:val="left"/>
      </w:pPr>
      <w:rPr>
        <w:rFonts w:hint="default" w:ascii="Arial" w:hAnsi="Arial" w:eastAsia="Arial" w:cs="Arial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10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1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1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2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3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3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4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5" w:hanging="428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44" w:hanging="428"/>
        <w:jc w:val="left"/>
      </w:pPr>
      <w:rPr>
        <w:rFonts w:hint="default" w:ascii="Arial" w:hAnsi="Arial" w:eastAsia="Arial" w:cs="Arial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10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1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1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2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3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3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4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5" w:hanging="42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44"/>
    </w:pPr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22"/>
      <w:ind w:left="417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44" w:hanging="42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[Author]</dc:creator>
  <dc:subject>Pre-election Economic and Fiscal Outlook 2019</dc:subject>
  <dcterms:created xsi:type="dcterms:W3CDTF">2019-12-09T23:26:35Z</dcterms:created>
  <dcterms:modified xsi:type="dcterms:W3CDTF">2019-12-09T23:26:35Z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2019-12-09T00:00:00Z</vt:filetime>
  </property>
</Properties>
</file>