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E59A3" w14:textId="77777777" w:rsidR="001C7ABE" w:rsidRPr="00486EA2" w:rsidRDefault="001C7ABE" w:rsidP="001C7ABE">
      <w:pPr>
        <w:jc w:val="right"/>
        <w:rPr>
          <w:sz w:val="56"/>
          <w:szCs w:val="56"/>
        </w:rPr>
      </w:pPr>
    </w:p>
    <w:p w14:paraId="12A08A58" w14:textId="77777777" w:rsidR="001C7ABE" w:rsidRPr="00486EA2" w:rsidRDefault="001C7ABE" w:rsidP="001C7ABE">
      <w:pPr>
        <w:jc w:val="right"/>
        <w:rPr>
          <w:sz w:val="56"/>
          <w:szCs w:val="56"/>
        </w:rPr>
      </w:pPr>
    </w:p>
    <w:p w14:paraId="6B084B56" w14:textId="77777777" w:rsidR="001C7ABE" w:rsidRPr="00486EA2" w:rsidRDefault="001C7ABE" w:rsidP="001C7ABE">
      <w:pPr>
        <w:jc w:val="right"/>
        <w:rPr>
          <w:sz w:val="56"/>
          <w:szCs w:val="56"/>
        </w:rPr>
      </w:pPr>
    </w:p>
    <w:p w14:paraId="6810CD0F" w14:textId="77777777" w:rsidR="001C7ABE" w:rsidRPr="00486EA2" w:rsidRDefault="001C7ABE" w:rsidP="001C7ABE">
      <w:pPr>
        <w:jc w:val="right"/>
        <w:rPr>
          <w:sz w:val="56"/>
          <w:szCs w:val="56"/>
        </w:rPr>
      </w:pPr>
    </w:p>
    <w:p w14:paraId="3D218F10" w14:textId="77777777" w:rsidR="001C7ABE" w:rsidRPr="00486EA2" w:rsidRDefault="001C7ABE" w:rsidP="001C7ABE">
      <w:pPr>
        <w:jc w:val="right"/>
        <w:rPr>
          <w:sz w:val="56"/>
          <w:szCs w:val="56"/>
        </w:rPr>
      </w:pPr>
    </w:p>
    <w:p w14:paraId="15399404" w14:textId="578D435A" w:rsidR="001C7ABE" w:rsidRPr="00486EA2" w:rsidRDefault="001C7ABE" w:rsidP="001C7ABE">
      <w:pPr>
        <w:jc w:val="right"/>
        <w:rPr>
          <w:sz w:val="56"/>
          <w:szCs w:val="56"/>
        </w:rPr>
      </w:pPr>
    </w:p>
    <w:p w14:paraId="615DCB5B" w14:textId="77777777" w:rsidR="001C7ABE" w:rsidRPr="00486EA2" w:rsidRDefault="001C7ABE" w:rsidP="001C7ABE">
      <w:pPr>
        <w:jc w:val="right"/>
        <w:rPr>
          <w:sz w:val="56"/>
          <w:szCs w:val="56"/>
        </w:rPr>
      </w:pPr>
    </w:p>
    <w:p w14:paraId="0FBF38F6" w14:textId="74C1E148" w:rsidR="001C7ABE" w:rsidRPr="00486EA2" w:rsidRDefault="001C7ABE" w:rsidP="002B55CD">
      <w:pPr>
        <w:jc w:val="right"/>
        <w:rPr>
          <w:sz w:val="56"/>
          <w:szCs w:val="56"/>
        </w:rPr>
      </w:pPr>
    </w:p>
    <w:p w14:paraId="4CEC741A" w14:textId="77777777" w:rsidR="002B55CD" w:rsidRPr="00486EA2" w:rsidRDefault="002B55CD" w:rsidP="002B55CD">
      <w:pPr>
        <w:jc w:val="right"/>
      </w:pPr>
    </w:p>
    <w:p w14:paraId="1895398A" w14:textId="7A567A3F" w:rsidR="004E058F" w:rsidRPr="00594970" w:rsidRDefault="00BB1273" w:rsidP="002B55CD">
      <w:pPr>
        <w:tabs>
          <w:tab w:val="left" w:pos="7211"/>
        </w:tabs>
        <w:jc w:val="right"/>
      </w:pPr>
      <w:bookmarkStart w:id="0" w:name="_GoBack"/>
      <w:r w:rsidRPr="00594970">
        <w:rPr>
          <w:sz w:val="56"/>
          <w:szCs w:val="56"/>
        </w:rPr>
        <w:t xml:space="preserve">Guide to Preparing the </w:t>
      </w:r>
      <w:r w:rsidR="00336FAD" w:rsidRPr="00594970">
        <w:rPr>
          <w:sz w:val="56"/>
          <w:szCs w:val="56"/>
        </w:rPr>
        <w:t>2019-20</w:t>
      </w:r>
      <w:r w:rsidRPr="00594970">
        <w:rPr>
          <w:sz w:val="56"/>
          <w:szCs w:val="56"/>
        </w:rPr>
        <w:t xml:space="preserve"> Portfolio Additional Estimates Statements</w:t>
      </w:r>
    </w:p>
    <w:bookmarkEnd w:id="0"/>
    <w:p w14:paraId="2FCD16E9" w14:textId="6B6F1820" w:rsidR="00BB1273" w:rsidRPr="00594970" w:rsidRDefault="00BB1273" w:rsidP="002B55CD">
      <w:pPr>
        <w:jc w:val="right"/>
        <w:rPr>
          <w:sz w:val="32"/>
          <w:szCs w:val="32"/>
        </w:rPr>
      </w:pPr>
      <w:r w:rsidRPr="00594970">
        <w:rPr>
          <w:sz w:val="32"/>
          <w:szCs w:val="32"/>
        </w:rPr>
        <w:t xml:space="preserve">Governance and </w:t>
      </w:r>
      <w:r w:rsidR="009A056E" w:rsidRPr="00594970">
        <w:rPr>
          <w:sz w:val="32"/>
          <w:szCs w:val="32"/>
        </w:rPr>
        <w:t>Resource Management</w:t>
      </w:r>
      <w:r w:rsidRPr="00594970">
        <w:rPr>
          <w:sz w:val="32"/>
          <w:szCs w:val="32"/>
        </w:rPr>
        <w:t xml:space="preserve"> Group</w:t>
      </w:r>
    </w:p>
    <w:p w14:paraId="6B0A20EB" w14:textId="0FEFB0B8" w:rsidR="00DC311F" w:rsidRPr="00594970" w:rsidRDefault="00DC311F" w:rsidP="002B55CD">
      <w:pPr>
        <w:jc w:val="right"/>
      </w:pPr>
    </w:p>
    <w:p w14:paraId="795B31AC" w14:textId="77777777" w:rsidR="002B55CD" w:rsidRPr="00594970" w:rsidRDefault="002B55CD" w:rsidP="001C7ABE">
      <w:pPr>
        <w:jc w:val="right"/>
      </w:pPr>
    </w:p>
    <w:p w14:paraId="56757F20" w14:textId="4F4A4122" w:rsidR="006C4DD1" w:rsidRPr="00594970" w:rsidRDefault="00AC72A9" w:rsidP="001C7ABE">
      <w:pPr>
        <w:jc w:val="right"/>
      </w:pPr>
      <w:r>
        <w:t>12 December</w:t>
      </w:r>
      <w:r w:rsidR="002567AF" w:rsidRPr="00594970">
        <w:t xml:space="preserve"> </w:t>
      </w:r>
      <w:r w:rsidR="00336FAD" w:rsidRPr="00594970">
        <w:t>2019</w:t>
      </w:r>
    </w:p>
    <w:p w14:paraId="16C715EC" w14:textId="1DD8FFB4" w:rsidR="005D3E0C" w:rsidRPr="00594970" w:rsidRDefault="005D3E0C" w:rsidP="006C4DD1">
      <w:pPr>
        <w:sectPr w:rsidR="005D3E0C" w:rsidRPr="00594970" w:rsidSect="0086525E">
          <w:headerReference w:type="default" r:id="rId8"/>
          <w:footerReference w:type="default" r:id="rId9"/>
          <w:headerReference w:type="first" r:id="rId10"/>
          <w:footerReference w:type="first" r:id="rId11"/>
          <w:type w:val="continuous"/>
          <w:pgSz w:w="11906" w:h="16838" w:code="9"/>
          <w:pgMar w:top="2268" w:right="1418" w:bottom="1418" w:left="1418" w:header="567" w:footer="624" w:gutter="0"/>
          <w:cols w:space="708"/>
          <w:docGrid w:linePitch="360"/>
        </w:sectPr>
      </w:pPr>
    </w:p>
    <w:p w14:paraId="6EA0C683" w14:textId="77777777" w:rsidR="0020122A" w:rsidRPr="00594970" w:rsidRDefault="0020122A" w:rsidP="004A02E5">
      <w:pPr>
        <w:pStyle w:val="Contents"/>
        <w:numPr>
          <w:ilvl w:val="0"/>
          <w:numId w:val="0"/>
        </w:numPr>
        <w:rPr>
          <w:lang w:val="en-AU"/>
        </w:rPr>
      </w:pPr>
      <w:r w:rsidRPr="00594970">
        <w:rPr>
          <w:lang w:val="en-AU"/>
        </w:rPr>
        <w:lastRenderedPageBreak/>
        <w:t>Contents</w:t>
      </w:r>
    </w:p>
    <w:p w14:paraId="7353CE92" w14:textId="0D3A0023" w:rsidR="00E459C1" w:rsidRDefault="0020122A">
      <w:pPr>
        <w:pStyle w:val="TOC1"/>
        <w:rPr>
          <w:rFonts w:eastAsiaTheme="minorEastAsia"/>
          <w:b w:val="0"/>
          <w:noProof/>
          <w:sz w:val="22"/>
          <w:lang w:eastAsia="en-AU"/>
        </w:rPr>
      </w:pPr>
      <w:r w:rsidRPr="00594970">
        <w:rPr>
          <w:sz w:val="19"/>
        </w:rPr>
        <w:fldChar w:fldCharType="begin"/>
      </w:r>
      <w:r w:rsidRPr="00594970">
        <w:instrText xml:space="preserve"> TOC \o "2-3" \h \z \t "Heading 1,1,Heading 1 Numbered,1" </w:instrText>
      </w:r>
      <w:r w:rsidRPr="00594970">
        <w:rPr>
          <w:sz w:val="19"/>
        </w:rPr>
        <w:fldChar w:fldCharType="separate"/>
      </w:r>
      <w:hyperlink w:anchor="_Toc26963532" w:history="1">
        <w:r w:rsidR="00E459C1" w:rsidRPr="00236461">
          <w:rPr>
            <w:rStyle w:val="Hyperlink"/>
            <w:noProof/>
          </w:rPr>
          <w:t>1.</w:t>
        </w:r>
        <w:r w:rsidR="00E459C1">
          <w:rPr>
            <w:rFonts w:eastAsiaTheme="minorEastAsia"/>
            <w:b w:val="0"/>
            <w:noProof/>
            <w:sz w:val="22"/>
            <w:lang w:eastAsia="en-AU"/>
          </w:rPr>
          <w:tab/>
        </w:r>
        <w:r w:rsidR="00E459C1" w:rsidRPr="00236461">
          <w:rPr>
            <w:rStyle w:val="Hyperlink"/>
            <w:noProof/>
          </w:rPr>
          <w:t>Abbreviations</w:t>
        </w:r>
        <w:r w:rsidR="00E459C1">
          <w:rPr>
            <w:noProof/>
            <w:webHidden/>
          </w:rPr>
          <w:tab/>
        </w:r>
        <w:r w:rsidR="00E459C1">
          <w:rPr>
            <w:noProof/>
            <w:webHidden/>
          </w:rPr>
          <w:fldChar w:fldCharType="begin"/>
        </w:r>
        <w:r w:rsidR="00E459C1">
          <w:rPr>
            <w:noProof/>
            <w:webHidden/>
          </w:rPr>
          <w:instrText xml:space="preserve"> PAGEREF _Toc26963532 \h </w:instrText>
        </w:r>
        <w:r w:rsidR="00E459C1">
          <w:rPr>
            <w:noProof/>
            <w:webHidden/>
          </w:rPr>
        </w:r>
        <w:r w:rsidR="00E459C1">
          <w:rPr>
            <w:noProof/>
            <w:webHidden/>
          </w:rPr>
          <w:fldChar w:fldCharType="separate"/>
        </w:r>
        <w:r w:rsidR="00480439">
          <w:rPr>
            <w:noProof/>
            <w:webHidden/>
          </w:rPr>
          <w:t>4</w:t>
        </w:r>
        <w:r w:rsidR="00E459C1">
          <w:rPr>
            <w:noProof/>
            <w:webHidden/>
          </w:rPr>
          <w:fldChar w:fldCharType="end"/>
        </w:r>
      </w:hyperlink>
    </w:p>
    <w:p w14:paraId="7128B97D" w14:textId="5342D923" w:rsidR="00E459C1" w:rsidRDefault="001859E7">
      <w:pPr>
        <w:pStyle w:val="TOC1"/>
        <w:rPr>
          <w:rFonts w:eastAsiaTheme="minorEastAsia"/>
          <w:b w:val="0"/>
          <w:noProof/>
          <w:sz w:val="22"/>
          <w:lang w:eastAsia="en-AU"/>
        </w:rPr>
      </w:pPr>
      <w:hyperlink w:anchor="_Toc26963533" w:history="1">
        <w:r w:rsidR="00E459C1" w:rsidRPr="00236461">
          <w:rPr>
            <w:rStyle w:val="Hyperlink"/>
            <w:noProof/>
          </w:rPr>
          <w:t>2.</w:t>
        </w:r>
        <w:r w:rsidR="00E459C1">
          <w:rPr>
            <w:rFonts w:eastAsiaTheme="minorEastAsia"/>
            <w:b w:val="0"/>
            <w:noProof/>
            <w:sz w:val="22"/>
            <w:lang w:eastAsia="en-AU"/>
          </w:rPr>
          <w:tab/>
        </w:r>
        <w:r w:rsidR="00E459C1" w:rsidRPr="00236461">
          <w:rPr>
            <w:rStyle w:val="Hyperlink"/>
            <w:noProof/>
          </w:rPr>
          <w:t>2019-20 Portfolio Additional Estimates Statements - General Guidance</w:t>
        </w:r>
        <w:r w:rsidR="00E459C1">
          <w:rPr>
            <w:noProof/>
            <w:webHidden/>
          </w:rPr>
          <w:tab/>
        </w:r>
        <w:r w:rsidR="00E459C1">
          <w:rPr>
            <w:noProof/>
            <w:webHidden/>
          </w:rPr>
          <w:fldChar w:fldCharType="begin"/>
        </w:r>
        <w:r w:rsidR="00E459C1">
          <w:rPr>
            <w:noProof/>
            <w:webHidden/>
          </w:rPr>
          <w:instrText xml:space="preserve"> PAGEREF _Toc26963533 \h </w:instrText>
        </w:r>
        <w:r w:rsidR="00E459C1">
          <w:rPr>
            <w:noProof/>
            <w:webHidden/>
          </w:rPr>
        </w:r>
        <w:r w:rsidR="00E459C1">
          <w:rPr>
            <w:noProof/>
            <w:webHidden/>
          </w:rPr>
          <w:fldChar w:fldCharType="separate"/>
        </w:r>
        <w:r w:rsidR="00480439">
          <w:rPr>
            <w:noProof/>
            <w:webHidden/>
          </w:rPr>
          <w:t>5</w:t>
        </w:r>
        <w:r w:rsidR="00E459C1">
          <w:rPr>
            <w:noProof/>
            <w:webHidden/>
          </w:rPr>
          <w:fldChar w:fldCharType="end"/>
        </w:r>
      </w:hyperlink>
    </w:p>
    <w:p w14:paraId="4260D364" w14:textId="3FFEFD61" w:rsidR="00E459C1" w:rsidRDefault="001859E7">
      <w:pPr>
        <w:pStyle w:val="TOC2"/>
        <w:tabs>
          <w:tab w:val="left" w:pos="1400"/>
        </w:tabs>
        <w:rPr>
          <w:rFonts w:eastAsiaTheme="minorEastAsia"/>
          <w:noProof/>
          <w:lang w:eastAsia="en-AU"/>
        </w:rPr>
      </w:pPr>
      <w:hyperlink w:anchor="_Toc26963534" w:history="1">
        <w:r w:rsidR="00E459C1" w:rsidRPr="00236461">
          <w:rPr>
            <w:rStyle w:val="Hyperlink"/>
            <w:noProof/>
          </w:rPr>
          <w:t>2.1</w:t>
        </w:r>
        <w:r w:rsidR="00E459C1">
          <w:rPr>
            <w:rFonts w:eastAsiaTheme="minorEastAsia"/>
            <w:noProof/>
            <w:lang w:eastAsia="en-AU"/>
          </w:rPr>
          <w:tab/>
        </w:r>
        <w:r w:rsidR="00E459C1" w:rsidRPr="00236461">
          <w:rPr>
            <w:rStyle w:val="Hyperlink"/>
            <w:noProof/>
          </w:rPr>
          <w:t>The purpose of the Portfolio Additional Estimates Statements</w:t>
        </w:r>
        <w:r w:rsidR="00E459C1">
          <w:rPr>
            <w:noProof/>
            <w:webHidden/>
          </w:rPr>
          <w:tab/>
        </w:r>
        <w:r w:rsidR="00E459C1">
          <w:rPr>
            <w:noProof/>
            <w:webHidden/>
          </w:rPr>
          <w:fldChar w:fldCharType="begin"/>
        </w:r>
        <w:r w:rsidR="00E459C1">
          <w:rPr>
            <w:noProof/>
            <w:webHidden/>
          </w:rPr>
          <w:instrText xml:space="preserve"> PAGEREF _Toc26963534 \h </w:instrText>
        </w:r>
        <w:r w:rsidR="00E459C1">
          <w:rPr>
            <w:noProof/>
            <w:webHidden/>
          </w:rPr>
        </w:r>
        <w:r w:rsidR="00E459C1">
          <w:rPr>
            <w:noProof/>
            <w:webHidden/>
          </w:rPr>
          <w:fldChar w:fldCharType="separate"/>
        </w:r>
        <w:r w:rsidR="00480439">
          <w:rPr>
            <w:noProof/>
            <w:webHidden/>
          </w:rPr>
          <w:t>5</w:t>
        </w:r>
        <w:r w:rsidR="00E459C1">
          <w:rPr>
            <w:noProof/>
            <w:webHidden/>
          </w:rPr>
          <w:fldChar w:fldCharType="end"/>
        </w:r>
      </w:hyperlink>
    </w:p>
    <w:p w14:paraId="179A7B39" w14:textId="48FFDDEF" w:rsidR="00E459C1" w:rsidRDefault="001859E7">
      <w:pPr>
        <w:pStyle w:val="TOC2"/>
        <w:tabs>
          <w:tab w:val="left" w:pos="1400"/>
        </w:tabs>
        <w:rPr>
          <w:rFonts w:eastAsiaTheme="minorEastAsia"/>
          <w:noProof/>
          <w:lang w:eastAsia="en-AU"/>
        </w:rPr>
      </w:pPr>
      <w:hyperlink w:anchor="_Toc26963535" w:history="1">
        <w:r w:rsidR="00E459C1" w:rsidRPr="00236461">
          <w:rPr>
            <w:rStyle w:val="Hyperlink"/>
            <w:noProof/>
          </w:rPr>
          <w:t>2.2</w:t>
        </w:r>
        <w:r w:rsidR="00E459C1">
          <w:rPr>
            <w:rFonts w:eastAsiaTheme="minorEastAsia"/>
            <w:noProof/>
            <w:lang w:eastAsia="en-AU"/>
          </w:rPr>
          <w:tab/>
        </w:r>
        <w:r w:rsidR="00E459C1" w:rsidRPr="00236461">
          <w:rPr>
            <w:rStyle w:val="Hyperlink"/>
            <w:noProof/>
          </w:rPr>
          <w:t>Changes for the 2019-20 PAES</w:t>
        </w:r>
        <w:r w:rsidR="00E459C1">
          <w:rPr>
            <w:noProof/>
            <w:webHidden/>
          </w:rPr>
          <w:tab/>
        </w:r>
        <w:r w:rsidR="00E459C1">
          <w:rPr>
            <w:noProof/>
            <w:webHidden/>
          </w:rPr>
          <w:fldChar w:fldCharType="begin"/>
        </w:r>
        <w:r w:rsidR="00E459C1">
          <w:rPr>
            <w:noProof/>
            <w:webHidden/>
          </w:rPr>
          <w:instrText xml:space="preserve"> PAGEREF _Toc26963535 \h </w:instrText>
        </w:r>
        <w:r w:rsidR="00E459C1">
          <w:rPr>
            <w:noProof/>
            <w:webHidden/>
          </w:rPr>
        </w:r>
        <w:r w:rsidR="00E459C1">
          <w:rPr>
            <w:noProof/>
            <w:webHidden/>
          </w:rPr>
          <w:fldChar w:fldCharType="separate"/>
        </w:r>
        <w:r w:rsidR="00480439">
          <w:rPr>
            <w:noProof/>
            <w:webHidden/>
          </w:rPr>
          <w:t>5</w:t>
        </w:r>
        <w:r w:rsidR="00E459C1">
          <w:rPr>
            <w:noProof/>
            <w:webHidden/>
          </w:rPr>
          <w:fldChar w:fldCharType="end"/>
        </w:r>
      </w:hyperlink>
    </w:p>
    <w:p w14:paraId="1C75EFA8" w14:textId="5225AF83" w:rsidR="00E459C1" w:rsidRDefault="001859E7">
      <w:pPr>
        <w:pStyle w:val="TOC3"/>
        <w:rPr>
          <w:rFonts w:eastAsiaTheme="minorEastAsia"/>
          <w:noProof/>
          <w:lang w:eastAsia="en-AU"/>
        </w:rPr>
      </w:pPr>
      <w:hyperlink w:anchor="_Toc26963536" w:history="1">
        <w:r w:rsidR="00E459C1" w:rsidRPr="00236461">
          <w:rPr>
            <w:rStyle w:val="Hyperlink"/>
            <w:noProof/>
          </w:rPr>
          <w:t>2.2.1</w:t>
        </w:r>
        <w:r w:rsidR="00E459C1">
          <w:rPr>
            <w:rFonts w:eastAsiaTheme="minorEastAsia"/>
            <w:noProof/>
            <w:lang w:eastAsia="en-AU"/>
          </w:rPr>
          <w:tab/>
        </w:r>
        <w:r w:rsidR="00E459C1" w:rsidRPr="00236461">
          <w:rPr>
            <w:rStyle w:val="Hyperlink"/>
            <w:noProof/>
          </w:rPr>
          <w:t xml:space="preserve">AASB 16 </w:t>
        </w:r>
        <w:r w:rsidR="00E459C1" w:rsidRPr="00236461">
          <w:rPr>
            <w:rStyle w:val="Hyperlink"/>
            <w:i/>
            <w:noProof/>
          </w:rPr>
          <w:t>Leases</w:t>
        </w:r>
        <w:r w:rsidR="00E459C1">
          <w:rPr>
            <w:noProof/>
            <w:webHidden/>
          </w:rPr>
          <w:tab/>
        </w:r>
        <w:r w:rsidR="00E459C1">
          <w:rPr>
            <w:noProof/>
            <w:webHidden/>
          </w:rPr>
          <w:fldChar w:fldCharType="begin"/>
        </w:r>
        <w:r w:rsidR="00E459C1">
          <w:rPr>
            <w:noProof/>
            <w:webHidden/>
          </w:rPr>
          <w:instrText xml:space="preserve"> PAGEREF _Toc26963536 \h </w:instrText>
        </w:r>
        <w:r w:rsidR="00E459C1">
          <w:rPr>
            <w:noProof/>
            <w:webHidden/>
          </w:rPr>
        </w:r>
        <w:r w:rsidR="00E459C1">
          <w:rPr>
            <w:noProof/>
            <w:webHidden/>
          </w:rPr>
          <w:fldChar w:fldCharType="separate"/>
        </w:r>
        <w:r w:rsidR="00480439">
          <w:rPr>
            <w:noProof/>
            <w:webHidden/>
          </w:rPr>
          <w:t>5</w:t>
        </w:r>
        <w:r w:rsidR="00E459C1">
          <w:rPr>
            <w:noProof/>
            <w:webHidden/>
          </w:rPr>
          <w:fldChar w:fldCharType="end"/>
        </w:r>
      </w:hyperlink>
    </w:p>
    <w:p w14:paraId="7377D17A" w14:textId="2ADE64AB" w:rsidR="00E459C1" w:rsidRDefault="001859E7">
      <w:pPr>
        <w:pStyle w:val="TOC3"/>
        <w:rPr>
          <w:rFonts w:eastAsiaTheme="minorEastAsia"/>
          <w:noProof/>
          <w:lang w:eastAsia="en-AU"/>
        </w:rPr>
      </w:pPr>
      <w:hyperlink w:anchor="_Toc26963537" w:history="1">
        <w:r w:rsidR="00E459C1" w:rsidRPr="00236461">
          <w:rPr>
            <w:rStyle w:val="Hyperlink"/>
            <w:noProof/>
          </w:rPr>
          <w:t>2.2.2</w:t>
        </w:r>
        <w:r w:rsidR="00E459C1">
          <w:rPr>
            <w:rFonts w:eastAsiaTheme="minorEastAsia"/>
            <w:noProof/>
            <w:lang w:eastAsia="en-AU"/>
          </w:rPr>
          <w:tab/>
        </w:r>
        <w:r w:rsidR="00E459C1" w:rsidRPr="00236461">
          <w:rPr>
            <w:rStyle w:val="Hyperlink"/>
            <w:noProof/>
          </w:rPr>
          <w:t>PEFO and Election Commitments</w:t>
        </w:r>
        <w:r w:rsidR="00E459C1">
          <w:rPr>
            <w:noProof/>
            <w:webHidden/>
          </w:rPr>
          <w:tab/>
        </w:r>
        <w:r w:rsidR="00E459C1">
          <w:rPr>
            <w:noProof/>
            <w:webHidden/>
          </w:rPr>
          <w:fldChar w:fldCharType="begin"/>
        </w:r>
        <w:r w:rsidR="00E459C1">
          <w:rPr>
            <w:noProof/>
            <w:webHidden/>
          </w:rPr>
          <w:instrText xml:space="preserve"> PAGEREF _Toc26963537 \h </w:instrText>
        </w:r>
        <w:r w:rsidR="00E459C1">
          <w:rPr>
            <w:noProof/>
            <w:webHidden/>
          </w:rPr>
        </w:r>
        <w:r w:rsidR="00E459C1">
          <w:rPr>
            <w:noProof/>
            <w:webHidden/>
          </w:rPr>
          <w:fldChar w:fldCharType="separate"/>
        </w:r>
        <w:r w:rsidR="00480439">
          <w:rPr>
            <w:noProof/>
            <w:webHidden/>
          </w:rPr>
          <w:t>6</w:t>
        </w:r>
        <w:r w:rsidR="00E459C1">
          <w:rPr>
            <w:noProof/>
            <w:webHidden/>
          </w:rPr>
          <w:fldChar w:fldCharType="end"/>
        </w:r>
      </w:hyperlink>
    </w:p>
    <w:p w14:paraId="56AC202B" w14:textId="21B1F221" w:rsidR="00E459C1" w:rsidRDefault="001859E7">
      <w:pPr>
        <w:pStyle w:val="TOC2"/>
        <w:tabs>
          <w:tab w:val="left" w:pos="1400"/>
        </w:tabs>
        <w:rPr>
          <w:rFonts w:eastAsiaTheme="minorEastAsia"/>
          <w:noProof/>
          <w:lang w:eastAsia="en-AU"/>
        </w:rPr>
      </w:pPr>
      <w:hyperlink w:anchor="_Toc26963538" w:history="1">
        <w:r w:rsidR="00E459C1" w:rsidRPr="00236461">
          <w:rPr>
            <w:rStyle w:val="Hyperlink"/>
            <w:noProof/>
          </w:rPr>
          <w:t>2.3</w:t>
        </w:r>
        <w:r w:rsidR="00E459C1">
          <w:rPr>
            <w:rFonts w:eastAsiaTheme="minorEastAsia"/>
            <w:noProof/>
            <w:lang w:eastAsia="en-AU"/>
          </w:rPr>
          <w:tab/>
        </w:r>
        <w:r w:rsidR="00E459C1" w:rsidRPr="00236461">
          <w:rPr>
            <w:rStyle w:val="Hyperlink"/>
            <w:noProof/>
          </w:rPr>
          <w:t>Clear Read Principle</w:t>
        </w:r>
        <w:r w:rsidR="00E459C1">
          <w:rPr>
            <w:noProof/>
            <w:webHidden/>
          </w:rPr>
          <w:tab/>
        </w:r>
        <w:r w:rsidR="00E459C1">
          <w:rPr>
            <w:noProof/>
            <w:webHidden/>
          </w:rPr>
          <w:fldChar w:fldCharType="begin"/>
        </w:r>
        <w:r w:rsidR="00E459C1">
          <w:rPr>
            <w:noProof/>
            <w:webHidden/>
          </w:rPr>
          <w:instrText xml:space="preserve"> PAGEREF _Toc26963538 \h </w:instrText>
        </w:r>
        <w:r w:rsidR="00E459C1">
          <w:rPr>
            <w:noProof/>
            <w:webHidden/>
          </w:rPr>
        </w:r>
        <w:r w:rsidR="00E459C1">
          <w:rPr>
            <w:noProof/>
            <w:webHidden/>
          </w:rPr>
          <w:fldChar w:fldCharType="separate"/>
        </w:r>
        <w:r w:rsidR="00480439">
          <w:rPr>
            <w:noProof/>
            <w:webHidden/>
          </w:rPr>
          <w:t>6</w:t>
        </w:r>
        <w:r w:rsidR="00E459C1">
          <w:rPr>
            <w:noProof/>
            <w:webHidden/>
          </w:rPr>
          <w:fldChar w:fldCharType="end"/>
        </w:r>
      </w:hyperlink>
    </w:p>
    <w:p w14:paraId="245AEC5C" w14:textId="73830196" w:rsidR="00E459C1" w:rsidRDefault="001859E7">
      <w:pPr>
        <w:pStyle w:val="TOC2"/>
        <w:tabs>
          <w:tab w:val="left" w:pos="1400"/>
        </w:tabs>
        <w:rPr>
          <w:rFonts w:eastAsiaTheme="minorEastAsia"/>
          <w:noProof/>
          <w:lang w:eastAsia="en-AU"/>
        </w:rPr>
      </w:pPr>
      <w:hyperlink w:anchor="_Toc26963539" w:history="1">
        <w:r w:rsidR="00E459C1" w:rsidRPr="00236461">
          <w:rPr>
            <w:rStyle w:val="Hyperlink"/>
            <w:noProof/>
          </w:rPr>
          <w:t>2.4</w:t>
        </w:r>
        <w:r w:rsidR="00E459C1">
          <w:rPr>
            <w:rFonts w:eastAsiaTheme="minorEastAsia"/>
            <w:noProof/>
            <w:lang w:eastAsia="en-AU"/>
          </w:rPr>
          <w:tab/>
        </w:r>
        <w:r w:rsidR="00E459C1" w:rsidRPr="00236461">
          <w:rPr>
            <w:rStyle w:val="Hyperlink"/>
            <w:noProof/>
          </w:rPr>
          <w:t>Who should produce a PAES</w:t>
        </w:r>
        <w:r w:rsidR="00E459C1">
          <w:rPr>
            <w:noProof/>
            <w:webHidden/>
          </w:rPr>
          <w:tab/>
        </w:r>
        <w:r w:rsidR="00E459C1">
          <w:rPr>
            <w:noProof/>
            <w:webHidden/>
          </w:rPr>
          <w:fldChar w:fldCharType="begin"/>
        </w:r>
        <w:r w:rsidR="00E459C1">
          <w:rPr>
            <w:noProof/>
            <w:webHidden/>
          </w:rPr>
          <w:instrText xml:space="preserve"> PAGEREF _Toc26963539 \h </w:instrText>
        </w:r>
        <w:r w:rsidR="00E459C1">
          <w:rPr>
            <w:noProof/>
            <w:webHidden/>
          </w:rPr>
        </w:r>
        <w:r w:rsidR="00E459C1">
          <w:rPr>
            <w:noProof/>
            <w:webHidden/>
          </w:rPr>
          <w:fldChar w:fldCharType="separate"/>
        </w:r>
        <w:r w:rsidR="00480439">
          <w:rPr>
            <w:noProof/>
            <w:webHidden/>
          </w:rPr>
          <w:t>7</w:t>
        </w:r>
        <w:r w:rsidR="00E459C1">
          <w:rPr>
            <w:noProof/>
            <w:webHidden/>
          </w:rPr>
          <w:fldChar w:fldCharType="end"/>
        </w:r>
      </w:hyperlink>
    </w:p>
    <w:p w14:paraId="4F2A5DFD" w14:textId="628EE71E" w:rsidR="00E459C1" w:rsidRDefault="001859E7">
      <w:pPr>
        <w:pStyle w:val="TOC2"/>
        <w:tabs>
          <w:tab w:val="left" w:pos="1400"/>
        </w:tabs>
        <w:rPr>
          <w:rFonts w:eastAsiaTheme="minorEastAsia"/>
          <w:noProof/>
          <w:lang w:eastAsia="en-AU"/>
        </w:rPr>
      </w:pPr>
      <w:hyperlink w:anchor="_Toc26963540" w:history="1">
        <w:r w:rsidR="00E459C1" w:rsidRPr="00236461">
          <w:rPr>
            <w:rStyle w:val="Hyperlink"/>
            <w:noProof/>
          </w:rPr>
          <w:t>2.5</w:t>
        </w:r>
        <w:r w:rsidR="00E459C1">
          <w:rPr>
            <w:rFonts w:eastAsiaTheme="minorEastAsia"/>
            <w:noProof/>
            <w:lang w:eastAsia="en-AU"/>
          </w:rPr>
          <w:tab/>
        </w:r>
        <w:r w:rsidR="00E459C1" w:rsidRPr="00236461">
          <w:rPr>
            <w:rStyle w:val="Hyperlink"/>
            <w:noProof/>
          </w:rPr>
          <w:t>Machinery of Government Changes</w:t>
        </w:r>
        <w:r w:rsidR="00E459C1">
          <w:rPr>
            <w:noProof/>
            <w:webHidden/>
          </w:rPr>
          <w:tab/>
        </w:r>
        <w:r w:rsidR="00E459C1">
          <w:rPr>
            <w:noProof/>
            <w:webHidden/>
          </w:rPr>
          <w:fldChar w:fldCharType="begin"/>
        </w:r>
        <w:r w:rsidR="00E459C1">
          <w:rPr>
            <w:noProof/>
            <w:webHidden/>
          </w:rPr>
          <w:instrText xml:space="preserve"> PAGEREF _Toc26963540 \h </w:instrText>
        </w:r>
        <w:r w:rsidR="00E459C1">
          <w:rPr>
            <w:noProof/>
            <w:webHidden/>
          </w:rPr>
        </w:r>
        <w:r w:rsidR="00E459C1">
          <w:rPr>
            <w:noProof/>
            <w:webHidden/>
          </w:rPr>
          <w:fldChar w:fldCharType="separate"/>
        </w:r>
        <w:r w:rsidR="00480439">
          <w:rPr>
            <w:noProof/>
            <w:webHidden/>
          </w:rPr>
          <w:t>7</w:t>
        </w:r>
        <w:r w:rsidR="00E459C1">
          <w:rPr>
            <w:noProof/>
            <w:webHidden/>
          </w:rPr>
          <w:fldChar w:fldCharType="end"/>
        </w:r>
      </w:hyperlink>
    </w:p>
    <w:p w14:paraId="27648136" w14:textId="4277B679" w:rsidR="00E459C1" w:rsidRDefault="001859E7">
      <w:pPr>
        <w:pStyle w:val="TOC2"/>
        <w:tabs>
          <w:tab w:val="left" w:pos="1400"/>
        </w:tabs>
        <w:rPr>
          <w:rFonts w:eastAsiaTheme="minorEastAsia"/>
          <w:noProof/>
          <w:lang w:eastAsia="en-AU"/>
        </w:rPr>
      </w:pPr>
      <w:hyperlink w:anchor="_Toc26963541" w:history="1">
        <w:r w:rsidR="00E459C1" w:rsidRPr="00236461">
          <w:rPr>
            <w:rStyle w:val="Hyperlink"/>
            <w:noProof/>
          </w:rPr>
          <w:t>2.6</w:t>
        </w:r>
        <w:r w:rsidR="00E459C1">
          <w:rPr>
            <w:rFonts w:eastAsiaTheme="minorEastAsia"/>
            <w:noProof/>
            <w:lang w:eastAsia="en-AU"/>
          </w:rPr>
          <w:tab/>
        </w:r>
        <w:r w:rsidR="00E459C1" w:rsidRPr="00236461">
          <w:rPr>
            <w:rStyle w:val="Hyperlink"/>
            <w:noProof/>
          </w:rPr>
          <w:t>Entity Resource Statement</w:t>
        </w:r>
        <w:r w:rsidR="00E459C1">
          <w:rPr>
            <w:noProof/>
            <w:webHidden/>
          </w:rPr>
          <w:tab/>
        </w:r>
        <w:r w:rsidR="00E459C1">
          <w:rPr>
            <w:noProof/>
            <w:webHidden/>
          </w:rPr>
          <w:fldChar w:fldCharType="begin"/>
        </w:r>
        <w:r w:rsidR="00E459C1">
          <w:rPr>
            <w:noProof/>
            <w:webHidden/>
          </w:rPr>
          <w:instrText xml:space="preserve"> PAGEREF _Toc26963541 \h </w:instrText>
        </w:r>
        <w:r w:rsidR="00E459C1">
          <w:rPr>
            <w:noProof/>
            <w:webHidden/>
          </w:rPr>
        </w:r>
        <w:r w:rsidR="00E459C1">
          <w:rPr>
            <w:noProof/>
            <w:webHidden/>
          </w:rPr>
          <w:fldChar w:fldCharType="separate"/>
        </w:r>
        <w:r w:rsidR="00480439">
          <w:rPr>
            <w:noProof/>
            <w:webHidden/>
          </w:rPr>
          <w:t>8</w:t>
        </w:r>
        <w:r w:rsidR="00E459C1">
          <w:rPr>
            <w:noProof/>
            <w:webHidden/>
          </w:rPr>
          <w:fldChar w:fldCharType="end"/>
        </w:r>
      </w:hyperlink>
    </w:p>
    <w:p w14:paraId="55BDC756" w14:textId="6C2F8014" w:rsidR="00E459C1" w:rsidRDefault="001859E7">
      <w:pPr>
        <w:pStyle w:val="TOC2"/>
        <w:tabs>
          <w:tab w:val="left" w:pos="1400"/>
        </w:tabs>
        <w:rPr>
          <w:rFonts w:eastAsiaTheme="minorEastAsia"/>
          <w:noProof/>
          <w:lang w:eastAsia="en-AU"/>
        </w:rPr>
      </w:pPr>
      <w:hyperlink w:anchor="_Toc26963542" w:history="1">
        <w:r w:rsidR="00E459C1" w:rsidRPr="00236461">
          <w:rPr>
            <w:rStyle w:val="Hyperlink"/>
            <w:noProof/>
          </w:rPr>
          <w:t>2.7</w:t>
        </w:r>
        <w:r w:rsidR="00E459C1">
          <w:rPr>
            <w:rFonts w:eastAsiaTheme="minorEastAsia"/>
            <w:noProof/>
            <w:lang w:eastAsia="en-AU"/>
          </w:rPr>
          <w:tab/>
        </w:r>
        <w:r w:rsidR="00E459C1" w:rsidRPr="00236461">
          <w:rPr>
            <w:rStyle w:val="Hyperlink"/>
            <w:noProof/>
          </w:rPr>
          <w:t>Outcome Information</w:t>
        </w:r>
        <w:r w:rsidR="00E459C1">
          <w:rPr>
            <w:noProof/>
            <w:webHidden/>
          </w:rPr>
          <w:tab/>
        </w:r>
        <w:r w:rsidR="00E459C1">
          <w:rPr>
            <w:noProof/>
            <w:webHidden/>
          </w:rPr>
          <w:fldChar w:fldCharType="begin"/>
        </w:r>
        <w:r w:rsidR="00E459C1">
          <w:rPr>
            <w:noProof/>
            <w:webHidden/>
          </w:rPr>
          <w:instrText xml:space="preserve"> PAGEREF _Toc26963542 \h </w:instrText>
        </w:r>
        <w:r w:rsidR="00E459C1">
          <w:rPr>
            <w:noProof/>
            <w:webHidden/>
          </w:rPr>
        </w:r>
        <w:r w:rsidR="00E459C1">
          <w:rPr>
            <w:noProof/>
            <w:webHidden/>
          </w:rPr>
          <w:fldChar w:fldCharType="separate"/>
        </w:r>
        <w:r w:rsidR="00480439">
          <w:rPr>
            <w:noProof/>
            <w:webHidden/>
          </w:rPr>
          <w:t>8</w:t>
        </w:r>
        <w:r w:rsidR="00E459C1">
          <w:rPr>
            <w:noProof/>
            <w:webHidden/>
          </w:rPr>
          <w:fldChar w:fldCharType="end"/>
        </w:r>
      </w:hyperlink>
    </w:p>
    <w:p w14:paraId="6C951C76" w14:textId="4F88F350" w:rsidR="00E459C1" w:rsidRDefault="001859E7">
      <w:pPr>
        <w:pStyle w:val="TOC2"/>
        <w:tabs>
          <w:tab w:val="left" w:pos="1400"/>
        </w:tabs>
        <w:rPr>
          <w:rFonts w:eastAsiaTheme="minorEastAsia"/>
          <w:noProof/>
          <w:lang w:eastAsia="en-AU"/>
        </w:rPr>
      </w:pPr>
      <w:hyperlink w:anchor="_Toc26963543" w:history="1">
        <w:r w:rsidR="00E459C1" w:rsidRPr="00236461">
          <w:rPr>
            <w:rStyle w:val="Hyperlink"/>
            <w:noProof/>
          </w:rPr>
          <w:t>2.8</w:t>
        </w:r>
        <w:r w:rsidR="00E459C1">
          <w:rPr>
            <w:rFonts w:eastAsiaTheme="minorEastAsia"/>
            <w:noProof/>
            <w:lang w:eastAsia="en-AU"/>
          </w:rPr>
          <w:tab/>
        </w:r>
        <w:r w:rsidR="00E459C1" w:rsidRPr="00236461">
          <w:rPr>
            <w:rStyle w:val="Hyperlink"/>
            <w:noProof/>
          </w:rPr>
          <w:t>Budgeted Financial Statements</w:t>
        </w:r>
        <w:r w:rsidR="00E459C1">
          <w:rPr>
            <w:noProof/>
            <w:webHidden/>
          </w:rPr>
          <w:tab/>
        </w:r>
        <w:r w:rsidR="00E459C1">
          <w:rPr>
            <w:noProof/>
            <w:webHidden/>
          </w:rPr>
          <w:fldChar w:fldCharType="begin"/>
        </w:r>
        <w:r w:rsidR="00E459C1">
          <w:rPr>
            <w:noProof/>
            <w:webHidden/>
          </w:rPr>
          <w:instrText xml:space="preserve"> PAGEREF _Toc26963543 \h </w:instrText>
        </w:r>
        <w:r w:rsidR="00E459C1">
          <w:rPr>
            <w:noProof/>
            <w:webHidden/>
          </w:rPr>
        </w:r>
        <w:r w:rsidR="00E459C1">
          <w:rPr>
            <w:noProof/>
            <w:webHidden/>
          </w:rPr>
          <w:fldChar w:fldCharType="separate"/>
        </w:r>
        <w:r w:rsidR="00480439">
          <w:rPr>
            <w:noProof/>
            <w:webHidden/>
          </w:rPr>
          <w:t>9</w:t>
        </w:r>
        <w:r w:rsidR="00E459C1">
          <w:rPr>
            <w:noProof/>
            <w:webHidden/>
          </w:rPr>
          <w:fldChar w:fldCharType="end"/>
        </w:r>
      </w:hyperlink>
    </w:p>
    <w:p w14:paraId="2F71BC20" w14:textId="7E7C71DD" w:rsidR="00E459C1" w:rsidRDefault="001859E7">
      <w:pPr>
        <w:pStyle w:val="TOC2"/>
        <w:tabs>
          <w:tab w:val="left" w:pos="1400"/>
        </w:tabs>
        <w:rPr>
          <w:rFonts w:eastAsiaTheme="minorEastAsia"/>
          <w:noProof/>
          <w:lang w:eastAsia="en-AU"/>
        </w:rPr>
      </w:pPr>
      <w:hyperlink w:anchor="_Toc26963544" w:history="1">
        <w:r w:rsidR="00E459C1" w:rsidRPr="00236461">
          <w:rPr>
            <w:rStyle w:val="Hyperlink"/>
            <w:noProof/>
          </w:rPr>
          <w:t>2.9</w:t>
        </w:r>
        <w:r w:rsidR="00E459C1">
          <w:rPr>
            <w:rFonts w:eastAsiaTheme="minorEastAsia"/>
            <w:noProof/>
            <w:lang w:eastAsia="en-AU"/>
          </w:rPr>
          <w:tab/>
        </w:r>
        <w:r w:rsidR="00E459C1" w:rsidRPr="00236461">
          <w:rPr>
            <w:rStyle w:val="Hyperlink"/>
            <w:noProof/>
          </w:rPr>
          <w:t>Subsequent AAO changes following the PAES</w:t>
        </w:r>
        <w:r w:rsidR="00E459C1">
          <w:rPr>
            <w:noProof/>
            <w:webHidden/>
          </w:rPr>
          <w:tab/>
        </w:r>
        <w:r w:rsidR="00E459C1">
          <w:rPr>
            <w:noProof/>
            <w:webHidden/>
          </w:rPr>
          <w:fldChar w:fldCharType="begin"/>
        </w:r>
        <w:r w:rsidR="00E459C1">
          <w:rPr>
            <w:noProof/>
            <w:webHidden/>
          </w:rPr>
          <w:instrText xml:space="preserve"> PAGEREF _Toc26963544 \h </w:instrText>
        </w:r>
        <w:r w:rsidR="00E459C1">
          <w:rPr>
            <w:noProof/>
            <w:webHidden/>
          </w:rPr>
        </w:r>
        <w:r w:rsidR="00E459C1">
          <w:rPr>
            <w:noProof/>
            <w:webHidden/>
          </w:rPr>
          <w:fldChar w:fldCharType="separate"/>
        </w:r>
        <w:r w:rsidR="00480439">
          <w:rPr>
            <w:noProof/>
            <w:webHidden/>
          </w:rPr>
          <w:t>9</w:t>
        </w:r>
        <w:r w:rsidR="00E459C1">
          <w:rPr>
            <w:noProof/>
            <w:webHidden/>
          </w:rPr>
          <w:fldChar w:fldCharType="end"/>
        </w:r>
      </w:hyperlink>
    </w:p>
    <w:p w14:paraId="394AE8C6" w14:textId="4E0693BB" w:rsidR="00E459C1" w:rsidRDefault="001859E7">
      <w:pPr>
        <w:pStyle w:val="TOC2"/>
        <w:tabs>
          <w:tab w:val="left" w:pos="1400"/>
        </w:tabs>
        <w:rPr>
          <w:rFonts w:eastAsiaTheme="minorEastAsia"/>
          <w:noProof/>
          <w:lang w:eastAsia="en-AU"/>
        </w:rPr>
      </w:pPr>
      <w:hyperlink w:anchor="_Toc26963545" w:history="1">
        <w:r w:rsidR="00E459C1" w:rsidRPr="00236461">
          <w:rPr>
            <w:rStyle w:val="Hyperlink"/>
            <w:noProof/>
          </w:rPr>
          <w:t>2.10</w:t>
        </w:r>
        <w:r w:rsidR="00E459C1">
          <w:rPr>
            <w:rFonts w:eastAsiaTheme="minorEastAsia"/>
            <w:noProof/>
            <w:lang w:eastAsia="en-AU"/>
          </w:rPr>
          <w:tab/>
        </w:r>
        <w:r w:rsidR="00E459C1" w:rsidRPr="00236461">
          <w:rPr>
            <w:rStyle w:val="Hyperlink"/>
            <w:noProof/>
          </w:rPr>
          <w:t>Planned information flow between Statements</w:t>
        </w:r>
        <w:r w:rsidR="00E459C1">
          <w:rPr>
            <w:noProof/>
            <w:webHidden/>
          </w:rPr>
          <w:tab/>
        </w:r>
        <w:r w:rsidR="00E459C1">
          <w:rPr>
            <w:noProof/>
            <w:webHidden/>
          </w:rPr>
          <w:fldChar w:fldCharType="begin"/>
        </w:r>
        <w:r w:rsidR="00E459C1">
          <w:rPr>
            <w:noProof/>
            <w:webHidden/>
          </w:rPr>
          <w:instrText xml:space="preserve"> PAGEREF _Toc26963545 \h </w:instrText>
        </w:r>
        <w:r w:rsidR="00E459C1">
          <w:rPr>
            <w:noProof/>
            <w:webHidden/>
          </w:rPr>
        </w:r>
        <w:r w:rsidR="00E459C1">
          <w:rPr>
            <w:noProof/>
            <w:webHidden/>
          </w:rPr>
          <w:fldChar w:fldCharType="separate"/>
        </w:r>
        <w:r w:rsidR="00480439">
          <w:rPr>
            <w:noProof/>
            <w:webHidden/>
          </w:rPr>
          <w:t>10</w:t>
        </w:r>
        <w:r w:rsidR="00E459C1">
          <w:rPr>
            <w:noProof/>
            <w:webHidden/>
          </w:rPr>
          <w:fldChar w:fldCharType="end"/>
        </w:r>
      </w:hyperlink>
    </w:p>
    <w:p w14:paraId="09D0C2E8" w14:textId="550A48E2" w:rsidR="00E459C1" w:rsidRDefault="001859E7">
      <w:pPr>
        <w:pStyle w:val="TOC2"/>
        <w:tabs>
          <w:tab w:val="left" w:pos="1400"/>
        </w:tabs>
        <w:rPr>
          <w:rFonts w:eastAsiaTheme="minorEastAsia"/>
          <w:noProof/>
          <w:lang w:eastAsia="en-AU"/>
        </w:rPr>
      </w:pPr>
      <w:hyperlink w:anchor="_Toc26963546" w:history="1">
        <w:r w:rsidR="00E459C1" w:rsidRPr="00236461">
          <w:rPr>
            <w:rStyle w:val="Hyperlink"/>
            <w:noProof/>
          </w:rPr>
          <w:t>2.11</w:t>
        </w:r>
        <w:r w:rsidR="00E459C1">
          <w:rPr>
            <w:rFonts w:eastAsiaTheme="minorEastAsia"/>
            <w:noProof/>
            <w:lang w:eastAsia="en-AU"/>
          </w:rPr>
          <w:tab/>
        </w:r>
        <w:r w:rsidR="00E459C1" w:rsidRPr="00236461">
          <w:rPr>
            <w:rStyle w:val="Hyperlink"/>
            <w:noProof/>
          </w:rPr>
          <w:t>Structure and presentation of information</w:t>
        </w:r>
        <w:r w:rsidR="00E459C1">
          <w:rPr>
            <w:noProof/>
            <w:webHidden/>
          </w:rPr>
          <w:tab/>
        </w:r>
        <w:r w:rsidR="00E459C1">
          <w:rPr>
            <w:noProof/>
            <w:webHidden/>
          </w:rPr>
          <w:fldChar w:fldCharType="begin"/>
        </w:r>
        <w:r w:rsidR="00E459C1">
          <w:rPr>
            <w:noProof/>
            <w:webHidden/>
          </w:rPr>
          <w:instrText xml:space="preserve"> PAGEREF _Toc26963546 \h </w:instrText>
        </w:r>
        <w:r w:rsidR="00E459C1">
          <w:rPr>
            <w:noProof/>
            <w:webHidden/>
          </w:rPr>
        </w:r>
        <w:r w:rsidR="00E459C1">
          <w:rPr>
            <w:noProof/>
            <w:webHidden/>
          </w:rPr>
          <w:fldChar w:fldCharType="separate"/>
        </w:r>
        <w:r w:rsidR="00480439">
          <w:rPr>
            <w:noProof/>
            <w:webHidden/>
          </w:rPr>
          <w:t>10</w:t>
        </w:r>
        <w:r w:rsidR="00E459C1">
          <w:rPr>
            <w:noProof/>
            <w:webHidden/>
          </w:rPr>
          <w:fldChar w:fldCharType="end"/>
        </w:r>
      </w:hyperlink>
    </w:p>
    <w:p w14:paraId="28D202FE" w14:textId="02C6C19A" w:rsidR="00E459C1" w:rsidRDefault="001859E7">
      <w:pPr>
        <w:pStyle w:val="TOC2"/>
        <w:tabs>
          <w:tab w:val="left" w:pos="1400"/>
        </w:tabs>
        <w:rPr>
          <w:rFonts w:eastAsiaTheme="minorEastAsia"/>
          <w:noProof/>
          <w:lang w:eastAsia="en-AU"/>
        </w:rPr>
      </w:pPr>
      <w:hyperlink w:anchor="_Toc26963547" w:history="1">
        <w:r w:rsidR="00E459C1" w:rsidRPr="00236461">
          <w:rPr>
            <w:rStyle w:val="Hyperlink"/>
            <w:noProof/>
          </w:rPr>
          <w:t>2.12</w:t>
        </w:r>
        <w:r w:rsidR="00E459C1">
          <w:rPr>
            <w:rFonts w:eastAsiaTheme="minorEastAsia"/>
            <w:noProof/>
            <w:lang w:eastAsia="en-AU"/>
          </w:rPr>
          <w:tab/>
        </w:r>
        <w:r w:rsidR="00E459C1" w:rsidRPr="00236461">
          <w:rPr>
            <w:rStyle w:val="Hyperlink"/>
            <w:noProof/>
          </w:rPr>
          <w:t>Relationship between PAES and Appropriation Bills</w:t>
        </w:r>
        <w:r w:rsidR="00E459C1">
          <w:rPr>
            <w:noProof/>
            <w:webHidden/>
          </w:rPr>
          <w:tab/>
        </w:r>
        <w:r w:rsidR="00E459C1">
          <w:rPr>
            <w:noProof/>
            <w:webHidden/>
          </w:rPr>
          <w:fldChar w:fldCharType="begin"/>
        </w:r>
        <w:r w:rsidR="00E459C1">
          <w:rPr>
            <w:noProof/>
            <w:webHidden/>
          </w:rPr>
          <w:instrText xml:space="preserve"> PAGEREF _Toc26963547 \h </w:instrText>
        </w:r>
        <w:r w:rsidR="00E459C1">
          <w:rPr>
            <w:noProof/>
            <w:webHidden/>
          </w:rPr>
        </w:r>
        <w:r w:rsidR="00E459C1">
          <w:rPr>
            <w:noProof/>
            <w:webHidden/>
          </w:rPr>
          <w:fldChar w:fldCharType="separate"/>
        </w:r>
        <w:r w:rsidR="00480439">
          <w:rPr>
            <w:noProof/>
            <w:webHidden/>
          </w:rPr>
          <w:t>11</w:t>
        </w:r>
        <w:r w:rsidR="00E459C1">
          <w:rPr>
            <w:noProof/>
            <w:webHidden/>
          </w:rPr>
          <w:fldChar w:fldCharType="end"/>
        </w:r>
      </w:hyperlink>
    </w:p>
    <w:p w14:paraId="1BC99368" w14:textId="2DE0AF8D" w:rsidR="00E459C1" w:rsidRDefault="001859E7">
      <w:pPr>
        <w:pStyle w:val="TOC2"/>
        <w:tabs>
          <w:tab w:val="left" w:pos="1400"/>
        </w:tabs>
        <w:rPr>
          <w:rFonts w:eastAsiaTheme="minorEastAsia"/>
          <w:noProof/>
          <w:lang w:eastAsia="en-AU"/>
        </w:rPr>
      </w:pPr>
      <w:hyperlink w:anchor="_Toc26963548" w:history="1">
        <w:r w:rsidR="00E459C1" w:rsidRPr="00236461">
          <w:rPr>
            <w:rStyle w:val="Hyperlink"/>
            <w:noProof/>
          </w:rPr>
          <w:t>2.13</w:t>
        </w:r>
        <w:r w:rsidR="00E459C1">
          <w:rPr>
            <w:rFonts w:eastAsiaTheme="minorEastAsia"/>
            <w:noProof/>
            <w:lang w:eastAsia="en-AU"/>
          </w:rPr>
          <w:tab/>
        </w:r>
        <w:r w:rsidR="00E459C1" w:rsidRPr="00236461">
          <w:rPr>
            <w:rStyle w:val="Hyperlink"/>
            <w:noProof/>
          </w:rPr>
          <w:t>Sourcing Information</w:t>
        </w:r>
        <w:r w:rsidR="00E459C1">
          <w:rPr>
            <w:noProof/>
            <w:webHidden/>
          </w:rPr>
          <w:tab/>
        </w:r>
        <w:r w:rsidR="00E459C1">
          <w:rPr>
            <w:noProof/>
            <w:webHidden/>
          </w:rPr>
          <w:fldChar w:fldCharType="begin"/>
        </w:r>
        <w:r w:rsidR="00E459C1">
          <w:rPr>
            <w:noProof/>
            <w:webHidden/>
          </w:rPr>
          <w:instrText xml:space="preserve"> PAGEREF _Toc26963548 \h </w:instrText>
        </w:r>
        <w:r w:rsidR="00E459C1">
          <w:rPr>
            <w:noProof/>
            <w:webHidden/>
          </w:rPr>
        </w:r>
        <w:r w:rsidR="00E459C1">
          <w:rPr>
            <w:noProof/>
            <w:webHidden/>
          </w:rPr>
          <w:fldChar w:fldCharType="separate"/>
        </w:r>
        <w:r w:rsidR="00480439">
          <w:rPr>
            <w:noProof/>
            <w:webHidden/>
          </w:rPr>
          <w:t>11</w:t>
        </w:r>
        <w:r w:rsidR="00E459C1">
          <w:rPr>
            <w:noProof/>
            <w:webHidden/>
          </w:rPr>
          <w:fldChar w:fldCharType="end"/>
        </w:r>
      </w:hyperlink>
    </w:p>
    <w:p w14:paraId="1F28BB0D" w14:textId="77A5003C" w:rsidR="00E459C1" w:rsidRDefault="001859E7">
      <w:pPr>
        <w:pStyle w:val="TOC2"/>
        <w:tabs>
          <w:tab w:val="left" w:pos="1400"/>
        </w:tabs>
        <w:rPr>
          <w:rFonts w:eastAsiaTheme="minorEastAsia"/>
          <w:noProof/>
          <w:lang w:eastAsia="en-AU"/>
        </w:rPr>
      </w:pPr>
      <w:hyperlink w:anchor="_Toc26963549" w:history="1">
        <w:r w:rsidR="00E459C1" w:rsidRPr="00236461">
          <w:rPr>
            <w:rStyle w:val="Hyperlink"/>
            <w:noProof/>
          </w:rPr>
          <w:t>2.14</w:t>
        </w:r>
        <w:r w:rsidR="00E459C1">
          <w:rPr>
            <w:rFonts w:eastAsiaTheme="minorEastAsia"/>
            <w:noProof/>
            <w:lang w:eastAsia="en-AU"/>
          </w:rPr>
          <w:tab/>
        </w:r>
        <w:r w:rsidR="00E459C1" w:rsidRPr="00236461">
          <w:rPr>
            <w:rStyle w:val="Hyperlink"/>
            <w:noProof/>
          </w:rPr>
          <w:t>Clearance Process</w:t>
        </w:r>
        <w:r w:rsidR="00E459C1">
          <w:rPr>
            <w:noProof/>
            <w:webHidden/>
          </w:rPr>
          <w:tab/>
        </w:r>
        <w:r w:rsidR="00E459C1">
          <w:rPr>
            <w:noProof/>
            <w:webHidden/>
          </w:rPr>
          <w:fldChar w:fldCharType="begin"/>
        </w:r>
        <w:r w:rsidR="00E459C1">
          <w:rPr>
            <w:noProof/>
            <w:webHidden/>
          </w:rPr>
          <w:instrText xml:space="preserve"> PAGEREF _Toc26963549 \h </w:instrText>
        </w:r>
        <w:r w:rsidR="00E459C1">
          <w:rPr>
            <w:noProof/>
            <w:webHidden/>
          </w:rPr>
        </w:r>
        <w:r w:rsidR="00E459C1">
          <w:rPr>
            <w:noProof/>
            <w:webHidden/>
          </w:rPr>
          <w:fldChar w:fldCharType="separate"/>
        </w:r>
        <w:r w:rsidR="00480439">
          <w:rPr>
            <w:noProof/>
            <w:webHidden/>
          </w:rPr>
          <w:t>12</w:t>
        </w:r>
        <w:r w:rsidR="00E459C1">
          <w:rPr>
            <w:noProof/>
            <w:webHidden/>
          </w:rPr>
          <w:fldChar w:fldCharType="end"/>
        </w:r>
      </w:hyperlink>
    </w:p>
    <w:p w14:paraId="789C9306" w14:textId="74CA1482" w:rsidR="00E459C1" w:rsidRDefault="001859E7">
      <w:pPr>
        <w:pStyle w:val="TOC2"/>
        <w:tabs>
          <w:tab w:val="left" w:pos="1400"/>
        </w:tabs>
        <w:rPr>
          <w:rFonts w:eastAsiaTheme="minorEastAsia"/>
          <w:noProof/>
          <w:lang w:eastAsia="en-AU"/>
        </w:rPr>
      </w:pPr>
      <w:hyperlink w:anchor="_Toc26963550" w:history="1">
        <w:r w:rsidR="00E459C1" w:rsidRPr="00236461">
          <w:rPr>
            <w:rStyle w:val="Hyperlink"/>
            <w:noProof/>
          </w:rPr>
          <w:t>2.15</w:t>
        </w:r>
        <w:r w:rsidR="00E459C1">
          <w:rPr>
            <w:rFonts w:eastAsiaTheme="minorEastAsia"/>
            <w:noProof/>
            <w:lang w:eastAsia="en-AU"/>
          </w:rPr>
          <w:tab/>
        </w:r>
        <w:r w:rsidR="00E459C1" w:rsidRPr="00236461">
          <w:rPr>
            <w:rStyle w:val="Hyperlink"/>
            <w:noProof/>
          </w:rPr>
          <w:t>The Structure of the 2019-20 PAES</w:t>
        </w:r>
        <w:r w:rsidR="00E459C1">
          <w:rPr>
            <w:noProof/>
            <w:webHidden/>
          </w:rPr>
          <w:tab/>
        </w:r>
        <w:r w:rsidR="00E459C1">
          <w:rPr>
            <w:noProof/>
            <w:webHidden/>
          </w:rPr>
          <w:fldChar w:fldCharType="begin"/>
        </w:r>
        <w:r w:rsidR="00E459C1">
          <w:rPr>
            <w:noProof/>
            <w:webHidden/>
          </w:rPr>
          <w:instrText xml:space="preserve"> PAGEREF _Toc26963550 \h </w:instrText>
        </w:r>
        <w:r w:rsidR="00E459C1">
          <w:rPr>
            <w:noProof/>
            <w:webHidden/>
          </w:rPr>
        </w:r>
        <w:r w:rsidR="00E459C1">
          <w:rPr>
            <w:noProof/>
            <w:webHidden/>
          </w:rPr>
          <w:fldChar w:fldCharType="separate"/>
        </w:r>
        <w:r w:rsidR="00480439">
          <w:rPr>
            <w:noProof/>
            <w:webHidden/>
          </w:rPr>
          <w:t>13</w:t>
        </w:r>
        <w:r w:rsidR="00E459C1">
          <w:rPr>
            <w:noProof/>
            <w:webHidden/>
          </w:rPr>
          <w:fldChar w:fldCharType="end"/>
        </w:r>
      </w:hyperlink>
    </w:p>
    <w:p w14:paraId="29C13AF4" w14:textId="17465489" w:rsidR="00E459C1" w:rsidRDefault="001859E7">
      <w:pPr>
        <w:pStyle w:val="TOC2"/>
        <w:tabs>
          <w:tab w:val="left" w:pos="1400"/>
        </w:tabs>
        <w:rPr>
          <w:rFonts w:eastAsiaTheme="minorEastAsia"/>
          <w:noProof/>
          <w:lang w:eastAsia="en-AU"/>
        </w:rPr>
      </w:pPr>
      <w:hyperlink w:anchor="_Toc26963551" w:history="1">
        <w:r w:rsidR="00E459C1" w:rsidRPr="00236461">
          <w:rPr>
            <w:rStyle w:val="Hyperlink"/>
            <w:noProof/>
          </w:rPr>
          <w:t>2.16</w:t>
        </w:r>
        <w:r w:rsidR="00E459C1">
          <w:rPr>
            <w:rFonts w:eastAsiaTheme="minorEastAsia"/>
            <w:noProof/>
            <w:lang w:eastAsia="en-AU"/>
          </w:rPr>
          <w:tab/>
        </w:r>
        <w:r w:rsidR="00E459C1" w:rsidRPr="00236461">
          <w:rPr>
            <w:rStyle w:val="Hyperlink"/>
            <w:noProof/>
          </w:rPr>
          <w:t>Issuing a Corrigendum / Addendum</w:t>
        </w:r>
        <w:r w:rsidR="00E459C1">
          <w:rPr>
            <w:noProof/>
            <w:webHidden/>
          </w:rPr>
          <w:tab/>
        </w:r>
        <w:r w:rsidR="00E459C1">
          <w:rPr>
            <w:noProof/>
            <w:webHidden/>
          </w:rPr>
          <w:fldChar w:fldCharType="begin"/>
        </w:r>
        <w:r w:rsidR="00E459C1">
          <w:rPr>
            <w:noProof/>
            <w:webHidden/>
          </w:rPr>
          <w:instrText xml:space="preserve"> PAGEREF _Toc26963551 \h </w:instrText>
        </w:r>
        <w:r w:rsidR="00E459C1">
          <w:rPr>
            <w:noProof/>
            <w:webHidden/>
          </w:rPr>
        </w:r>
        <w:r w:rsidR="00E459C1">
          <w:rPr>
            <w:noProof/>
            <w:webHidden/>
          </w:rPr>
          <w:fldChar w:fldCharType="separate"/>
        </w:r>
        <w:r w:rsidR="00480439">
          <w:rPr>
            <w:noProof/>
            <w:webHidden/>
          </w:rPr>
          <w:t>14</w:t>
        </w:r>
        <w:r w:rsidR="00E459C1">
          <w:rPr>
            <w:noProof/>
            <w:webHidden/>
          </w:rPr>
          <w:fldChar w:fldCharType="end"/>
        </w:r>
      </w:hyperlink>
    </w:p>
    <w:p w14:paraId="74FF5A29" w14:textId="45D5A6A6" w:rsidR="00E459C1" w:rsidRDefault="001859E7">
      <w:pPr>
        <w:pStyle w:val="TOC1"/>
        <w:rPr>
          <w:rFonts w:eastAsiaTheme="minorEastAsia"/>
          <w:b w:val="0"/>
          <w:noProof/>
          <w:sz w:val="22"/>
          <w:lang w:eastAsia="en-AU"/>
        </w:rPr>
      </w:pPr>
      <w:hyperlink w:anchor="_Toc26963552" w:history="1">
        <w:r w:rsidR="00E459C1" w:rsidRPr="00236461">
          <w:rPr>
            <w:rStyle w:val="Hyperlink"/>
            <w:noProof/>
          </w:rPr>
          <w:t>3.</w:t>
        </w:r>
        <w:r w:rsidR="00E459C1">
          <w:rPr>
            <w:rFonts w:eastAsiaTheme="minorEastAsia"/>
            <w:b w:val="0"/>
            <w:noProof/>
            <w:sz w:val="22"/>
            <w:lang w:eastAsia="en-AU"/>
          </w:rPr>
          <w:tab/>
        </w:r>
        <w:r w:rsidR="00E459C1" w:rsidRPr="00236461">
          <w:rPr>
            <w:rStyle w:val="Hyperlink"/>
            <w:noProof/>
          </w:rPr>
          <w:t>Publication Requirements</w:t>
        </w:r>
        <w:r w:rsidR="00E459C1">
          <w:rPr>
            <w:noProof/>
            <w:webHidden/>
          </w:rPr>
          <w:tab/>
        </w:r>
        <w:r w:rsidR="00E459C1">
          <w:rPr>
            <w:noProof/>
            <w:webHidden/>
          </w:rPr>
          <w:fldChar w:fldCharType="begin"/>
        </w:r>
        <w:r w:rsidR="00E459C1">
          <w:rPr>
            <w:noProof/>
            <w:webHidden/>
          </w:rPr>
          <w:instrText xml:space="preserve"> PAGEREF _Toc26963552 \h </w:instrText>
        </w:r>
        <w:r w:rsidR="00E459C1">
          <w:rPr>
            <w:noProof/>
            <w:webHidden/>
          </w:rPr>
        </w:r>
        <w:r w:rsidR="00E459C1">
          <w:rPr>
            <w:noProof/>
            <w:webHidden/>
          </w:rPr>
          <w:fldChar w:fldCharType="separate"/>
        </w:r>
        <w:r w:rsidR="00480439">
          <w:rPr>
            <w:noProof/>
            <w:webHidden/>
          </w:rPr>
          <w:t>16</w:t>
        </w:r>
        <w:r w:rsidR="00E459C1">
          <w:rPr>
            <w:noProof/>
            <w:webHidden/>
          </w:rPr>
          <w:fldChar w:fldCharType="end"/>
        </w:r>
      </w:hyperlink>
    </w:p>
    <w:p w14:paraId="0332C797" w14:textId="7D7F1EAD" w:rsidR="00E459C1" w:rsidRDefault="001859E7">
      <w:pPr>
        <w:pStyle w:val="TOC2"/>
        <w:tabs>
          <w:tab w:val="left" w:pos="1400"/>
        </w:tabs>
        <w:rPr>
          <w:rFonts w:eastAsiaTheme="minorEastAsia"/>
          <w:noProof/>
          <w:lang w:eastAsia="en-AU"/>
        </w:rPr>
      </w:pPr>
      <w:hyperlink w:anchor="_Toc26963553" w:history="1">
        <w:r w:rsidR="00E459C1" w:rsidRPr="00236461">
          <w:rPr>
            <w:rStyle w:val="Hyperlink"/>
            <w:noProof/>
          </w:rPr>
          <w:t>3.1</w:t>
        </w:r>
        <w:r w:rsidR="00E459C1">
          <w:rPr>
            <w:rFonts w:eastAsiaTheme="minorEastAsia"/>
            <w:noProof/>
            <w:lang w:eastAsia="en-AU"/>
          </w:rPr>
          <w:tab/>
        </w:r>
        <w:r w:rsidR="00E459C1" w:rsidRPr="00236461">
          <w:rPr>
            <w:rStyle w:val="Hyperlink"/>
            <w:noProof/>
          </w:rPr>
          <w:t>Security Requirements</w:t>
        </w:r>
        <w:r w:rsidR="00E459C1">
          <w:rPr>
            <w:noProof/>
            <w:webHidden/>
          </w:rPr>
          <w:tab/>
        </w:r>
        <w:r w:rsidR="00E459C1">
          <w:rPr>
            <w:noProof/>
            <w:webHidden/>
          </w:rPr>
          <w:fldChar w:fldCharType="begin"/>
        </w:r>
        <w:r w:rsidR="00E459C1">
          <w:rPr>
            <w:noProof/>
            <w:webHidden/>
          </w:rPr>
          <w:instrText xml:space="preserve"> PAGEREF _Toc26963553 \h </w:instrText>
        </w:r>
        <w:r w:rsidR="00E459C1">
          <w:rPr>
            <w:noProof/>
            <w:webHidden/>
          </w:rPr>
        </w:r>
        <w:r w:rsidR="00E459C1">
          <w:rPr>
            <w:noProof/>
            <w:webHidden/>
          </w:rPr>
          <w:fldChar w:fldCharType="separate"/>
        </w:r>
        <w:r w:rsidR="00480439">
          <w:rPr>
            <w:noProof/>
            <w:webHidden/>
          </w:rPr>
          <w:t>16</w:t>
        </w:r>
        <w:r w:rsidR="00E459C1">
          <w:rPr>
            <w:noProof/>
            <w:webHidden/>
          </w:rPr>
          <w:fldChar w:fldCharType="end"/>
        </w:r>
      </w:hyperlink>
    </w:p>
    <w:p w14:paraId="4E1FA686" w14:textId="00DA2821" w:rsidR="00E459C1" w:rsidRDefault="001859E7">
      <w:pPr>
        <w:pStyle w:val="TOC2"/>
        <w:tabs>
          <w:tab w:val="left" w:pos="1400"/>
        </w:tabs>
        <w:rPr>
          <w:rFonts w:eastAsiaTheme="minorEastAsia"/>
          <w:noProof/>
          <w:lang w:eastAsia="en-AU"/>
        </w:rPr>
      </w:pPr>
      <w:hyperlink w:anchor="_Toc26963554" w:history="1">
        <w:r w:rsidR="00E459C1" w:rsidRPr="00236461">
          <w:rPr>
            <w:rStyle w:val="Hyperlink"/>
            <w:noProof/>
          </w:rPr>
          <w:t>3.2</w:t>
        </w:r>
        <w:r w:rsidR="00E459C1">
          <w:rPr>
            <w:rFonts w:eastAsiaTheme="minorEastAsia"/>
            <w:noProof/>
            <w:lang w:eastAsia="en-AU"/>
          </w:rPr>
          <w:tab/>
        </w:r>
        <w:r w:rsidR="00E459C1" w:rsidRPr="00236461">
          <w:rPr>
            <w:rStyle w:val="Hyperlink"/>
            <w:noProof/>
          </w:rPr>
          <w:t>Portfolio Responsibilities</w:t>
        </w:r>
        <w:r w:rsidR="00E459C1">
          <w:rPr>
            <w:noProof/>
            <w:webHidden/>
          </w:rPr>
          <w:tab/>
        </w:r>
        <w:r w:rsidR="00E459C1">
          <w:rPr>
            <w:noProof/>
            <w:webHidden/>
          </w:rPr>
          <w:fldChar w:fldCharType="begin"/>
        </w:r>
        <w:r w:rsidR="00E459C1">
          <w:rPr>
            <w:noProof/>
            <w:webHidden/>
          </w:rPr>
          <w:instrText xml:space="preserve"> PAGEREF _Toc26963554 \h </w:instrText>
        </w:r>
        <w:r w:rsidR="00E459C1">
          <w:rPr>
            <w:noProof/>
            <w:webHidden/>
          </w:rPr>
        </w:r>
        <w:r w:rsidR="00E459C1">
          <w:rPr>
            <w:noProof/>
            <w:webHidden/>
          </w:rPr>
          <w:fldChar w:fldCharType="separate"/>
        </w:r>
        <w:r w:rsidR="00480439">
          <w:rPr>
            <w:noProof/>
            <w:webHidden/>
          </w:rPr>
          <w:t>16</w:t>
        </w:r>
        <w:r w:rsidR="00E459C1">
          <w:rPr>
            <w:noProof/>
            <w:webHidden/>
          </w:rPr>
          <w:fldChar w:fldCharType="end"/>
        </w:r>
      </w:hyperlink>
    </w:p>
    <w:p w14:paraId="2F444524" w14:textId="225E19D4" w:rsidR="00E459C1" w:rsidRDefault="001859E7">
      <w:pPr>
        <w:pStyle w:val="TOC2"/>
        <w:tabs>
          <w:tab w:val="left" w:pos="1400"/>
        </w:tabs>
        <w:rPr>
          <w:rFonts w:eastAsiaTheme="minorEastAsia"/>
          <w:noProof/>
          <w:lang w:eastAsia="en-AU"/>
        </w:rPr>
      </w:pPr>
      <w:hyperlink w:anchor="_Toc26963555" w:history="1">
        <w:r w:rsidR="00E459C1" w:rsidRPr="00236461">
          <w:rPr>
            <w:rStyle w:val="Hyperlink"/>
            <w:noProof/>
          </w:rPr>
          <w:t>3.3</w:t>
        </w:r>
        <w:r w:rsidR="00E459C1">
          <w:rPr>
            <w:rFonts w:eastAsiaTheme="minorEastAsia"/>
            <w:noProof/>
            <w:lang w:eastAsia="en-AU"/>
          </w:rPr>
          <w:tab/>
        </w:r>
        <w:r w:rsidR="00E459C1" w:rsidRPr="00236461">
          <w:rPr>
            <w:rStyle w:val="Hyperlink"/>
            <w:noProof/>
          </w:rPr>
          <w:t>Which Printer to Use and Printing Specifications</w:t>
        </w:r>
        <w:r w:rsidR="00E459C1">
          <w:rPr>
            <w:noProof/>
            <w:webHidden/>
          </w:rPr>
          <w:tab/>
        </w:r>
        <w:r w:rsidR="00E459C1">
          <w:rPr>
            <w:noProof/>
            <w:webHidden/>
          </w:rPr>
          <w:fldChar w:fldCharType="begin"/>
        </w:r>
        <w:r w:rsidR="00E459C1">
          <w:rPr>
            <w:noProof/>
            <w:webHidden/>
          </w:rPr>
          <w:instrText xml:space="preserve"> PAGEREF _Toc26963555 \h </w:instrText>
        </w:r>
        <w:r w:rsidR="00E459C1">
          <w:rPr>
            <w:noProof/>
            <w:webHidden/>
          </w:rPr>
        </w:r>
        <w:r w:rsidR="00E459C1">
          <w:rPr>
            <w:noProof/>
            <w:webHidden/>
          </w:rPr>
          <w:fldChar w:fldCharType="separate"/>
        </w:r>
        <w:r w:rsidR="00480439">
          <w:rPr>
            <w:noProof/>
            <w:webHidden/>
          </w:rPr>
          <w:t>17</w:t>
        </w:r>
        <w:r w:rsidR="00E459C1">
          <w:rPr>
            <w:noProof/>
            <w:webHidden/>
          </w:rPr>
          <w:fldChar w:fldCharType="end"/>
        </w:r>
      </w:hyperlink>
    </w:p>
    <w:p w14:paraId="691D341E" w14:textId="30CC9CAB" w:rsidR="00E459C1" w:rsidRDefault="001859E7">
      <w:pPr>
        <w:pStyle w:val="TOC2"/>
        <w:tabs>
          <w:tab w:val="left" w:pos="1400"/>
        </w:tabs>
        <w:rPr>
          <w:rFonts w:eastAsiaTheme="minorEastAsia"/>
          <w:noProof/>
          <w:lang w:eastAsia="en-AU"/>
        </w:rPr>
      </w:pPr>
      <w:hyperlink w:anchor="_Toc26963556" w:history="1">
        <w:r w:rsidR="00E459C1" w:rsidRPr="00236461">
          <w:rPr>
            <w:rStyle w:val="Hyperlink"/>
            <w:noProof/>
          </w:rPr>
          <w:t>3.4</w:t>
        </w:r>
        <w:r w:rsidR="00E459C1">
          <w:rPr>
            <w:rFonts w:eastAsiaTheme="minorEastAsia"/>
            <w:noProof/>
            <w:lang w:eastAsia="en-AU"/>
          </w:rPr>
          <w:tab/>
        </w:r>
        <w:r w:rsidR="00E459C1" w:rsidRPr="00236461">
          <w:rPr>
            <w:rStyle w:val="Hyperlink"/>
            <w:noProof/>
          </w:rPr>
          <w:t>Delivery to the Senate and Finance</w:t>
        </w:r>
        <w:r w:rsidR="00E459C1">
          <w:rPr>
            <w:noProof/>
            <w:webHidden/>
          </w:rPr>
          <w:tab/>
        </w:r>
        <w:r w:rsidR="00E459C1">
          <w:rPr>
            <w:noProof/>
            <w:webHidden/>
          </w:rPr>
          <w:fldChar w:fldCharType="begin"/>
        </w:r>
        <w:r w:rsidR="00E459C1">
          <w:rPr>
            <w:noProof/>
            <w:webHidden/>
          </w:rPr>
          <w:instrText xml:space="preserve"> PAGEREF _Toc26963556 \h </w:instrText>
        </w:r>
        <w:r w:rsidR="00E459C1">
          <w:rPr>
            <w:noProof/>
            <w:webHidden/>
          </w:rPr>
        </w:r>
        <w:r w:rsidR="00E459C1">
          <w:rPr>
            <w:noProof/>
            <w:webHidden/>
          </w:rPr>
          <w:fldChar w:fldCharType="separate"/>
        </w:r>
        <w:r w:rsidR="00480439">
          <w:rPr>
            <w:noProof/>
            <w:webHidden/>
          </w:rPr>
          <w:t>17</w:t>
        </w:r>
        <w:r w:rsidR="00E459C1">
          <w:rPr>
            <w:noProof/>
            <w:webHidden/>
          </w:rPr>
          <w:fldChar w:fldCharType="end"/>
        </w:r>
      </w:hyperlink>
    </w:p>
    <w:p w14:paraId="20654C06" w14:textId="7147A7CC" w:rsidR="00E459C1" w:rsidRDefault="001859E7">
      <w:pPr>
        <w:pStyle w:val="TOC2"/>
        <w:tabs>
          <w:tab w:val="left" w:pos="1400"/>
        </w:tabs>
        <w:rPr>
          <w:rFonts w:eastAsiaTheme="minorEastAsia"/>
          <w:noProof/>
          <w:lang w:eastAsia="en-AU"/>
        </w:rPr>
      </w:pPr>
      <w:hyperlink w:anchor="_Toc26963557" w:history="1">
        <w:r w:rsidR="00E459C1" w:rsidRPr="00236461">
          <w:rPr>
            <w:rStyle w:val="Hyperlink"/>
            <w:noProof/>
          </w:rPr>
          <w:t>3.5</w:t>
        </w:r>
        <w:r w:rsidR="00E459C1">
          <w:rPr>
            <w:rFonts w:eastAsiaTheme="minorEastAsia"/>
            <w:noProof/>
            <w:lang w:eastAsia="en-AU"/>
          </w:rPr>
          <w:tab/>
        </w:r>
        <w:r w:rsidR="00E459C1" w:rsidRPr="00236461">
          <w:rPr>
            <w:rStyle w:val="Hyperlink"/>
            <w:noProof/>
          </w:rPr>
          <w:t>Number of Books</w:t>
        </w:r>
        <w:r w:rsidR="00E459C1">
          <w:rPr>
            <w:noProof/>
            <w:webHidden/>
          </w:rPr>
          <w:tab/>
        </w:r>
        <w:r w:rsidR="00E459C1">
          <w:rPr>
            <w:noProof/>
            <w:webHidden/>
          </w:rPr>
          <w:fldChar w:fldCharType="begin"/>
        </w:r>
        <w:r w:rsidR="00E459C1">
          <w:rPr>
            <w:noProof/>
            <w:webHidden/>
          </w:rPr>
          <w:instrText xml:space="preserve"> PAGEREF _Toc26963557 \h </w:instrText>
        </w:r>
        <w:r w:rsidR="00E459C1">
          <w:rPr>
            <w:noProof/>
            <w:webHidden/>
          </w:rPr>
        </w:r>
        <w:r w:rsidR="00E459C1">
          <w:rPr>
            <w:noProof/>
            <w:webHidden/>
          </w:rPr>
          <w:fldChar w:fldCharType="separate"/>
        </w:r>
        <w:r w:rsidR="00480439">
          <w:rPr>
            <w:noProof/>
            <w:webHidden/>
          </w:rPr>
          <w:t>18</w:t>
        </w:r>
        <w:r w:rsidR="00E459C1">
          <w:rPr>
            <w:noProof/>
            <w:webHidden/>
          </w:rPr>
          <w:fldChar w:fldCharType="end"/>
        </w:r>
      </w:hyperlink>
    </w:p>
    <w:p w14:paraId="692255F3" w14:textId="5EE45D50" w:rsidR="00E459C1" w:rsidRDefault="001859E7">
      <w:pPr>
        <w:pStyle w:val="TOC2"/>
        <w:tabs>
          <w:tab w:val="left" w:pos="1400"/>
        </w:tabs>
        <w:rPr>
          <w:rFonts w:eastAsiaTheme="minorEastAsia"/>
          <w:noProof/>
          <w:lang w:eastAsia="en-AU"/>
        </w:rPr>
      </w:pPr>
      <w:hyperlink w:anchor="_Toc26963558" w:history="1">
        <w:r w:rsidR="00E459C1" w:rsidRPr="00236461">
          <w:rPr>
            <w:rStyle w:val="Hyperlink"/>
            <w:noProof/>
          </w:rPr>
          <w:t>3.6</w:t>
        </w:r>
        <w:r w:rsidR="00E459C1">
          <w:rPr>
            <w:rFonts w:eastAsiaTheme="minorEastAsia"/>
            <w:noProof/>
            <w:lang w:eastAsia="en-AU"/>
          </w:rPr>
          <w:tab/>
        </w:r>
        <w:r w:rsidR="00E459C1" w:rsidRPr="00236461">
          <w:rPr>
            <w:rStyle w:val="Hyperlink"/>
            <w:noProof/>
          </w:rPr>
          <w:t>Online publication</w:t>
        </w:r>
        <w:r w:rsidR="00E459C1">
          <w:rPr>
            <w:noProof/>
            <w:webHidden/>
          </w:rPr>
          <w:tab/>
        </w:r>
        <w:r w:rsidR="00E459C1">
          <w:rPr>
            <w:noProof/>
            <w:webHidden/>
          </w:rPr>
          <w:fldChar w:fldCharType="begin"/>
        </w:r>
        <w:r w:rsidR="00E459C1">
          <w:rPr>
            <w:noProof/>
            <w:webHidden/>
          </w:rPr>
          <w:instrText xml:space="preserve"> PAGEREF _Toc26963558 \h </w:instrText>
        </w:r>
        <w:r w:rsidR="00E459C1">
          <w:rPr>
            <w:noProof/>
            <w:webHidden/>
          </w:rPr>
        </w:r>
        <w:r w:rsidR="00E459C1">
          <w:rPr>
            <w:noProof/>
            <w:webHidden/>
          </w:rPr>
          <w:fldChar w:fldCharType="separate"/>
        </w:r>
        <w:r w:rsidR="00480439">
          <w:rPr>
            <w:noProof/>
            <w:webHidden/>
          </w:rPr>
          <w:t>20</w:t>
        </w:r>
        <w:r w:rsidR="00E459C1">
          <w:rPr>
            <w:noProof/>
            <w:webHidden/>
          </w:rPr>
          <w:fldChar w:fldCharType="end"/>
        </w:r>
      </w:hyperlink>
    </w:p>
    <w:p w14:paraId="654827F6" w14:textId="21C97D41" w:rsidR="00E459C1" w:rsidRDefault="001859E7">
      <w:pPr>
        <w:pStyle w:val="TOC2"/>
        <w:tabs>
          <w:tab w:val="left" w:pos="1400"/>
        </w:tabs>
        <w:rPr>
          <w:rFonts w:eastAsiaTheme="minorEastAsia"/>
          <w:noProof/>
          <w:lang w:eastAsia="en-AU"/>
        </w:rPr>
      </w:pPr>
      <w:hyperlink w:anchor="_Toc26963559" w:history="1">
        <w:r w:rsidR="00E459C1" w:rsidRPr="00236461">
          <w:rPr>
            <w:rStyle w:val="Hyperlink"/>
            <w:noProof/>
          </w:rPr>
          <w:t>3.7</w:t>
        </w:r>
        <w:r w:rsidR="00E459C1">
          <w:rPr>
            <w:rFonts w:eastAsiaTheme="minorEastAsia"/>
            <w:noProof/>
            <w:lang w:eastAsia="en-AU"/>
          </w:rPr>
          <w:tab/>
        </w:r>
        <w:r w:rsidR="00E459C1" w:rsidRPr="00236461">
          <w:rPr>
            <w:rStyle w:val="Hyperlink"/>
            <w:noProof/>
          </w:rPr>
          <w:t>Use of ISBN/ISSN number</w:t>
        </w:r>
        <w:r w:rsidR="00E459C1">
          <w:rPr>
            <w:noProof/>
            <w:webHidden/>
          </w:rPr>
          <w:tab/>
        </w:r>
        <w:r w:rsidR="00E459C1">
          <w:rPr>
            <w:noProof/>
            <w:webHidden/>
          </w:rPr>
          <w:fldChar w:fldCharType="begin"/>
        </w:r>
        <w:r w:rsidR="00E459C1">
          <w:rPr>
            <w:noProof/>
            <w:webHidden/>
          </w:rPr>
          <w:instrText xml:space="preserve"> PAGEREF _Toc26963559 \h </w:instrText>
        </w:r>
        <w:r w:rsidR="00E459C1">
          <w:rPr>
            <w:noProof/>
            <w:webHidden/>
          </w:rPr>
        </w:r>
        <w:r w:rsidR="00E459C1">
          <w:rPr>
            <w:noProof/>
            <w:webHidden/>
          </w:rPr>
          <w:fldChar w:fldCharType="separate"/>
        </w:r>
        <w:r w:rsidR="00480439">
          <w:rPr>
            <w:noProof/>
            <w:webHidden/>
          </w:rPr>
          <w:t>23</w:t>
        </w:r>
        <w:r w:rsidR="00E459C1">
          <w:rPr>
            <w:noProof/>
            <w:webHidden/>
          </w:rPr>
          <w:fldChar w:fldCharType="end"/>
        </w:r>
      </w:hyperlink>
    </w:p>
    <w:p w14:paraId="1C31FCA9" w14:textId="54006470" w:rsidR="00E459C1" w:rsidRDefault="001859E7">
      <w:pPr>
        <w:pStyle w:val="TOC1"/>
        <w:rPr>
          <w:rFonts w:eastAsiaTheme="minorEastAsia"/>
          <w:b w:val="0"/>
          <w:noProof/>
          <w:sz w:val="22"/>
          <w:lang w:eastAsia="en-AU"/>
        </w:rPr>
      </w:pPr>
      <w:hyperlink w:anchor="_Toc26963560" w:history="1">
        <w:r w:rsidR="00E459C1" w:rsidRPr="00236461">
          <w:rPr>
            <w:rStyle w:val="Hyperlink"/>
            <w:noProof/>
          </w:rPr>
          <w:t>4.</w:t>
        </w:r>
        <w:r w:rsidR="00E459C1">
          <w:rPr>
            <w:rFonts w:eastAsiaTheme="minorEastAsia"/>
            <w:b w:val="0"/>
            <w:noProof/>
            <w:sz w:val="22"/>
            <w:lang w:eastAsia="en-AU"/>
          </w:rPr>
          <w:tab/>
        </w:r>
        <w:r w:rsidR="00E459C1" w:rsidRPr="00236461">
          <w:rPr>
            <w:rStyle w:val="Hyperlink"/>
            <w:noProof/>
          </w:rPr>
          <w:t>Section 1 - Portfolio Overview</w:t>
        </w:r>
        <w:r w:rsidR="00E459C1">
          <w:rPr>
            <w:noProof/>
            <w:webHidden/>
          </w:rPr>
          <w:tab/>
        </w:r>
        <w:r w:rsidR="00E459C1">
          <w:rPr>
            <w:noProof/>
            <w:webHidden/>
          </w:rPr>
          <w:fldChar w:fldCharType="begin"/>
        </w:r>
        <w:r w:rsidR="00E459C1">
          <w:rPr>
            <w:noProof/>
            <w:webHidden/>
          </w:rPr>
          <w:instrText xml:space="preserve"> PAGEREF _Toc26963560 \h </w:instrText>
        </w:r>
        <w:r w:rsidR="00E459C1">
          <w:rPr>
            <w:noProof/>
            <w:webHidden/>
          </w:rPr>
        </w:r>
        <w:r w:rsidR="00E459C1">
          <w:rPr>
            <w:noProof/>
            <w:webHidden/>
          </w:rPr>
          <w:fldChar w:fldCharType="separate"/>
        </w:r>
        <w:r w:rsidR="00480439">
          <w:rPr>
            <w:noProof/>
            <w:webHidden/>
          </w:rPr>
          <w:t>24</w:t>
        </w:r>
        <w:r w:rsidR="00E459C1">
          <w:rPr>
            <w:noProof/>
            <w:webHidden/>
          </w:rPr>
          <w:fldChar w:fldCharType="end"/>
        </w:r>
      </w:hyperlink>
    </w:p>
    <w:p w14:paraId="44B68F46" w14:textId="374111A0" w:rsidR="00E459C1" w:rsidRDefault="001859E7">
      <w:pPr>
        <w:pStyle w:val="TOC2"/>
        <w:tabs>
          <w:tab w:val="left" w:pos="1400"/>
        </w:tabs>
        <w:rPr>
          <w:rFonts w:eastAsiaTheme="minorEastAsia"/>
          <w:noProof/>
          <w:lang w:eastAsia="en-AU"/>
        </w:rPr>
      </w:pPr>
      <w:hyperlink w:anchor="_Toc26963561" w:history="1">
        <w:r w:rsidR="00E459C1" w:rsidRPr="00236461">
          <w:rPr>
            <w:rStyle w:val="Hyperlink"/>
            <w:noProof/>
          </w:rPr>
          <w:t>4.1</w:t>
        </w:r>
        <w:r w:rsidR="00E459C1">
          <w:rPr>
            <w:rFonts w:eastAsiaTheme="minorEastAsia"/>
            <w:noProof/>
            <w:lang w:eastAsia="en-AU"/>
          </w:rPr>
          <w:tab/>
        </w:r>
        <w:r w:rsidR="00E459C1" w:rsidRPr="00236461">
          <w:rPr>
            <w:rStyle w:val="Hyperlink"/>
            <w:noProof/>
          </w:rPr>
          <w:t>Portfolio Structure and Outcomes</w:t>
        </w:r>
        <w:r w:rsidR="00E459C1">
          <w:rPr>
            <w:noProof/>
            <w:webHidden/>
          </w:rPr>
          <w:tab/>
        </w:r>
        <w:r w:rsidR="00E459C1">
          <w:rPr>
            <w:noProof/>
            <w:webHidden/>
          </w:rPr>
          <w:fldChar w:fldCharType="begin"/>
        </w:r>
        <w:r w:rsidR="00E459C1">
          <w:rPr>
            <w:noProof/>
            <w:webHidden/>
          </w:rPr>
          <w:instrText xml:space="preserve"> PAGEREF _Toc26963561 \h </w:instrText>
        </w:r>
        <w:r w:rsidR="00E459C1">
          <w:rPr>
            <w:noProof/>
            <w:webHidden/>
          </w:rPr>
        </w:r>
        <w:r w:rsidR="00E459C1">
          <w:rPr>
            <w:noProof/>
            <w:webHidden/>
          </w:rPr>
          <w:fldChar w:fldCharType="separate"/>
        </w:r>
        <w:r w:rsidR="00480439">
          <w:rPr>
            <w:noProof/>
            <w:webHidden/>
          </w:rPr>
          <w:t>24</w:t>
        </w:r>
        <w:r w:rsidR="00E459C1">
          <w:rPr>
            <w:noProof/>
            <w:webHidden/>
          </w:rPr>
          <w:fldChar w:fldCharType="end"/>
        </w:r>
      </w:hyperlink>
    </w:p>
    <w:p w14:paraId="2AA34CE5" w14:textId="0A624B94" w:rsidR="00E459C1" w:rsidRDefault="001859E7">
      <w:pPr>
        <w:pStyle w:val="TOC1"/>
        <w:rPr>
          <w:rFonts w:eastAsiaTheme="minorEastAsia"/>
          <w:b w:val="0"/>
          <w:noProof/>
          <w:sz w:val="22"/>
          <w:lang w:eastAsia="en-AU"/>
        </w:rPr>
      </w:pPr>
      <w:hyperlink w:anchor="_Toc26963562" w:history="1">
        <w:r w:rsidR="00E459C1" w:rsidRPr="00236461">
          <w:rPr>
            <w:rStyle w:val="Hyperlink"/>
            <w:rFonts w:eastAsia="Times New Roman"/>
            <w:noProof/>
          </w:rPr>
          <w:t>5.</w:t>
        </w:r>
        <w:r w:rsidR="00E459C1">
          <w:rPr>
            <w:rFonts w:eastAsiaTheme="minorEastAsia"/>
            <w:b w:val="0"/>
            <w:noProof/>
            <w:sz w:val="22"/>
            <w:lang w:eastAsia="en-AU"/>
          </w:rPr>
          <w:tab/>
        </w:r>
        <w:r w:rsidR="00E459C1" w:rsidRPr="00236461">
          <w:rPr>
            <w:rStyle w:val="Hyperlink"/>
            <w:rFonts w:eastAsia="Times New Roman"/>
            <w:noProof/>
          </w:rPr>
          <w:t xml:space="preserve">Entity </w:t>
        </w:r>
        <w:r w:rsidR="00E459C1" w:rsidRPr="00236461">
          <w:rPr>
            <w:rStyle w:val="Hyperlink"/>
            <w:noProof/>
          </w:rPr>
          <w:t>Outcomes</w:t>
        </w:r>
        <w:r w:rsidR="00E459C1" w:rsidRPr="00236461">
          <w:rPr>
            <w:rStyle w:val="Hyperlink"/>
            <w:rFonts w:eastAsia="Times New Roman"/>
            <w:noProof/>
          </w:rPr>
          <w:t xml:space="preserve"> and Planned Performance</w:t>
        </w:r>
        <w:r w:rsidR="00E459C1">
          <w:rPr>
            <w:noProof/>
            <w:webHidden/>
          </w:rPr>
          <w:tab/>
        </w:r>
        <w:r w:rsidR="00E459C1">
          <w:rPr>
            <w:noProof/>
            <w:webHidden/>
          </w:rPr>
          <w:fldChar w:fldCharType="begin"/>
        </w:r>
        <w:r w:rsidR="00E459C1">
          <w:rPr>
            <w:noProof/>
            <w:webHidden/>
          </w:rPr>
          <w:instrText xml:space="preserve"> PAGEREF _Toc26963562 \h </w:instrText>
        </w:r>
        <w:r w:rsidR="00E459C1">
          <w:rPr>
            <w:noProof/>
            <w:webHidden/>
          </w:rPr>
        </w:r>
        <w:r w:rsidR="00E459C1">
          <w:rPr>
            <w:noProof/>
            <w:webHidden/>
          </w:rPr>
          <w:fldChar w:fldCharType="separate"/>
        </w:r>
        <w:r w:rsidR="00480439">
          <w:rPr>
            <w:noProof/>
            <w:webHidden/>
          </w:rPr>
          <w:t>26</w:t>
        </w:r>
        <w:r w:rsidR="00E459C1">
          <w:rPr>
            <w:noProof/>
            <w:webHidden/>
          </w:rPr>
          <w:fldChar w:fldCharType="end"/>
        </w:r>
      </w:hyperlink>
    </w:p>
    <w:p w14:paraId="55C9A636" w14:textId="50B107D5" w:rsidR="00E459C1" w:rsidRDefault="001859E7">
      <w:pPr>
        <w:pStyle w:val="TOC2"/>
        <w:tabs>
          <w:tab w:val="left" w:pos="1400"/>
        </w:tabs>
        <w:rPr>
          <w:rFonts w:eastAsiaTheme="minorEastAsia"/>
          <w:noProof/>
          <w:lang w:eastAsia="en-AU"/>
        </w:rPr>
      </w:pPr>
      <w:hyperlink w:anchor="_Toc26963563" w:history="1">
        <w:r w:rsidR="00E459C1" w:rsidRPr="00236461">
          <w:rPr>
            <w:rStyle w:val="Hyperlink"/>
            <w:noProof/>
          </w:rPr>
          <w:t>5.1</w:t>
        </w:r>
        <w:r w:rsidR="00E459C1">
          <w:rPr>
            <w:rFonts w:eastAsiaTheme="minorEastAsia"/>
            <w:noProof/>
            <w:lang w:eastAsia="en-AU"/>
          </w:rPr>
          <w:tab/>
        </w:r>
        <w:r w:rsidR="00E459C1" w:rsidRPr="00236461">
          <w:rPr>
            <w:rStyle w:val="Hyperlink"/>
            <w:noProof/>
          </w:rPr>
          <w:t>Section</w:t>
        </w:r>
        <w:r w:rsidR="00E459C1" w:rsidRPr="00236461">
          <w:rPr>
            <w:rStyle w:val="Hyperlink"/>
            <w:rFonts w:eastAsia="Times New Roman"/>
            <w:noProof/>
          </w:rPr>
          <w:t xml:space="preserve"> 1: Entity Overview and Resources</w:t>
        </w:r>
        <w:r w:rsidR="00E459C1">
          <w:rPr>
            <w:noProof/>
            <w:webHidden/>
          </w:rPr>
          <w:tab/>
        </w:r>
        <w:r w:rsidR="00E459C1">
          <w:rPr>
            <w:noProof/>
            <w:webHidden/>
          </w:rPr>
          <w:fldChar w:fldCharType="begin"/>
        </w:r>
        <w:r w:rsidR="00E459C1">
          <w:rPr>
            <w:noProof/>
            <w:webHidden/>
          </w:rPr>
          <w:instrText xml:space="preserve"> PAGEREF _Toc26963563 \h </w:instrText>
        </w:r>
        <w:r w:rsidR="00E459C1">
          <w:rPr>
            <w:noProof/>
            <w:webHidden/>
          </w:rPr>
        </w:r>
        <w:r w:rsidR="00E459C1">
          <w:rPr>
            <w:noProof/>
            <w:webHidden/>
          </w:rPr>
          <w:fldChar w:fldCharType="separate"/>
        </w:r>
        <w:r w:rsidR="00480439">
          <w:rPr>
            <w:noProof/>
            <w:webHidden/>
          </w:rPr>
          <w:t>26</w:t>
        </w:r>
        <w:r w:rsidR="00E459C1">
          <w:rPr>
            <w:noProof/>
            <w:webHidden/>
          </w:rPr>
          <w:fldChar w:fldCharType="end"/>
        </w:r>
      </w:hyperlink>
    </w:p>
    <w:p w14:paraId="33FA4839" w14:textId="69861A8F" w:rsidR="00E459C1" w:rsidRDefault="001859E7">
      <w:pPr>
        <w:pStyle w:val="TOC2"/>
        <w:tabs>
          <w:tab w:val="left" w:pos="1400"/>
        </w:tabs>
        <w:rPr>
          <w:rFonts w:eastAsiaTheme="minorEastAsia"/>
          <w:noProof/>
          <w:lang w:eastAsia="en-AU"/>
        </w:rPr>
      </w:pPr>
      <w:hyperlink w:anchor="_Toc26963564" w:history="1">
        <w:r w:rsidR="00E459C1" w:rsidRPr="00236461">
          <w:rPr>
            <w:rStyle w:val="Hyperlink"/>
            <w:noProof/>
          </w:rPr>
          <w:t>5.2</w:t>
        </w:r>
        <w:r w:rsidR="00E459C1">
          <w:rPr>
            <w:rFonts w:eastAsiaTheme="minorEastAsia"/>
            <w:noProof/>
            <w:lang w:eastAsia="en-AU"/>
          </w:rPr>
          <w:tab/>
        </w:r>
        <w:r w:rsidR="00E459C1" w:rsidRPr="00236461">
          <w:rPr>
            <w:rStyle w:val="Hyperlink"/>
            <w:noProof/>
          </w:rPr>
          <w:t>Strategic Direction Statement</w:t>
        </w:r>
        <w:r w:rsidR="00E459C1">
          <w:rPr>
            <w:noProof/>
            <w:webHidden/>
          </w:rPr>
          <w:tab/>
        </w:r>
        <w:r w:rsidR="00E459C1">
          <w:rPr>
            <w:noProof/>
            <w:webHidden/>
          </w:rPr>
          <w:fldChar w:fldCharType="begin"/>
        </w:r>
        <w:r w:rsidR="00E459C1">
          <w:rPr>
            <w:noProof/>
            <w:webHidden/>
          </w:rPr>
          <w:instrText xml:space="preserve"> PAGEREF _Toc26963564 \h </w:instrText>
        </w:r>
        <w:r w:rsidR="00E459C1">
          <w:rPr>
            <w:noProof/>
            <w:webHidden/>
          </w:rPr>
        </w:r>
        <w:r w:rsidR="00E459C1">
          <w:rPr>
            <w:noProof/>
            <w:webHidden/>
          </w:rPr>
          <w:fldChar w:fldCharType="separate"/>
        </w:r>
        <w:r w:rsidR="00480439">
          <w:rPr>
            <w:noProof/>
            <w:webHidden/>
          </w:rPr>
          <w:t>26</w:t>
        </w:r>
        <w:r w:rsidR="00E459C1">
          <w:rPr>
            <w:noProof/>
            <w:webHidden/>
          </w:rPr>
          <w:fldChar w:fldCharType="end"/>
        </w:r>
      </w:hyperlink>
    </w:p>
    <w:p w14:paraId="23B18E0C" w14:textId="53C9D0D3" w:rsidR="00E459C1" w:rsidRDefault="001859E7">
      <w:pPr>
        <w:pStyle w:val="TOC2"/>
        <w:tabs>
          <w:tab w:val="left" w:pos="1400"/>
        </w:tabs>
        <w:rPr>
          <w:rFonts w:eastAsiaTheme="minorEastAsia"/>
          <w:noProof/>
          <w:lang w:eastAsia="en-AU"/>
        </w:rPr>
      </w:pPr>
      <w:hyperlink w:anchor="_Toc26963565" w:history="1">
        <w:r w:rsidR="00E459C1" w:rsidRPr="00236461">
          <w:rPr>
            <w:rStyle w:val="Hyperlink"/>
            <w:noProof/>
          </w:rPr>
          <w:t>5.3</w:t>
        </w:r>
        <w:r w:rsidR="00E459C1">
          <w:rPr>
            <w:rFonts w:eastAsiaTheme="minorEastAsia"/>
            <w:noProof/>
            <w:lang w:eastAsia="en-AU"/>
          </w:rPr>
          <w:tab/>
        </w:r>
        <w:r w:rsidR="00E459C1" w:rsidRPr="00236461">
          <w:rPr>
            <w:rStyle w:val="Hyperlink"/>
            <w:noProof/>
          </w:rPr>
          <w:t>Entity Resource Statement</w:t>
        </w:r>
        <w:r w:rsidR="00E459C1">
          <w:rPr>
            <w:noProof/>
            <w:webHidden/>
          </w:rPr>
          <w:tab/>
        </w:r>
        <w:r w:rsidR="00E459C1">
          <w:rPr>
            <w:noProof/>
            <w:webHidden/>
          </w:rPr>
          <w:fldChar w:fldCharType="begin"/>
        </w:r>
        <w:r w:rsidR="00E459C1">
          <w:rPr>
            <w:noProof/>
            <w:webHidden/>
          </w:rPr>
          <w:instrText xml:space="preserve"> PAGEREF _Toc26963565 \h </w:instrText>
        </w:r>
        <w:r w:rsidR="00E459C1">
          <w:rPr>
            <w:noProof/>
            <w:webHidden/>
          </w:rPr>
        </w:r>
        <w:r w:rsidR="00E459C1">
          <w:rPr>
            <w:noProof/>
            <w:webHidden/>
          </w:rPr>
          <w:fldChar w:fldCharType="separate"/>
        </w:r>
        <w:r w:rsidR="00480439">
          <w:rPr>
            <w:noProof/>
            <w:webHidden/>
          </w:rPr>
          <w:t>27</w:t>
        </w:r>
        <w:r w:rsidR="00E459C1">
          <w:rPr>
            <w:noProof/>
            <w:webHidden/>
          </w:rPr>
          <w:fldChar w:fldCharType="end"/>
        </w:r>
      </w:hyperlink>
    </w:p>
    <w:p w14:paraId="6DA325F1" w14:textId="0AE5296B" w:rsidR="00E459C1" w:rsidRDefault="001859E7">
      <w:pPr>
        <w:pStyle w:val="TOC3"/>
        <w:rPr>
          <w:rFonts w:eastAsiaTheme="minorEastAsia"/>
          <w:noProof/>
          <w:lang w:eastAsia="en-AU"/>
        </w:rPr>
      </w:pPr>
      <w:hyperlink w:anchor="_Toc26963566" w:history="1">
        <w:r w:rsidR="00E459C1" w:rsidRPr="00236461">
          <w:rPr>
            <w:rStyle w:val="Hyperlink"/>
            <w:noProof/>
          </w:rPr>
          <w:t>5.3.1</w:t>
        </w:r>
        <w:r w:rsidR="00E459C1">
          <w:rPr>
            <w:rFonts w:eastAsiaTheme="minorEastAsia"/>
            <w:noProof/>
            <w:lang w:eastAsia="en-AU"/>
          </w:rPr>
          <w:tab/>
        </w:r>
        <w:r w:rsidR="00E459C1" w:rsidRPr="00236461">
          <w:rPr>
            <w:rStyle w:val="Hyperlink"/>
            <w:noProof/>
          </w:rPr>
          <w:t>Prior Year Annual Appropriation Balances</w:t>
        </w:r>
        <w:r w:rsidR="00E459C1">
          <w:rPr>
            <w:noProof/>
            <w:webHidden/>
          </w:rPr>
          <w:tab/>
        </w:r>
        <w:r w:rsidR="00E459C1">
          <w:rPr>
            <w:noProof/>
            <w:webHidden/>
          </w:rPr>
          <w:fldChar w:fldCharType="begin"/>
        </w:r>
        <w:r w:rsidR="00E459C1">
          <w:rPr>
            <w:noProof/>
            <w:webHidden/>
          </w:rPr>
          <w:instrText xml:space="preserve"> PAGEREF _Toc26963566 \h </w:instrText>
        </w:r>
        <w:r w:rsidR="00E459C1">
          <w:rPr>
            <w:noProof/>
            <w:webHidden/>
          </w:rPr>
        </w:r>
        <w:r w:rsidR="00E459C1">
          <w:rPr>
            <w:noProof/>
            <w:webHidden/>
          </w:rPr>
          <w:fldChar w:fldCharType="separate"/>
        </w:r>
        <w:r w:rsidR="00480439">
          <w:rPr>
            <w:noProof/>
            <w:webHidden/>
          </w:rPr>
          <w:t>28</w:t>
        </w:r>
        <w:r w:rsidR="00E459C1">
          <w:rPr>
            <w:noProof/>
            <w:webHidden/>
          </w:rPr>
          <w:fldChar w:fldCharType="end"/>
        </w:r>
      </w:hyperlink>
    </w:p>
    <w:p w14:paraId="26F3889C" w14:textId="0A490E8B" w:rsidR="00E459C1" w:rsidRDefault="001859E7">
      <w:pPr>
        <w:pStyle w:val="TOC3"/>
        <w:rPr>
          <w:rFonts w:eastAsiaTheme="minorEastAsia"/>
          <w:noProof/>
          <w:lang w:eastAsia="en-AU"/>
        </w:rPr>
      </w:pPr>
      <w:hyperlink w:anchor="_Toc26963567" w:history="1">
        <w:r w:rsidR="00E459C1" w:rsidRPr="00236461">
          <w:rPr>
            <w:rStyle w:val="Hyperlink"/>
            <w:noProof/>
          </w:rPr>
          <w:t>5.3.2</w:t>
        </w:r>
        <w:r w:rsidR="00E459C1">
          <w:rPr>
            <w:rFonts w:eastAsiaTheme="minorEastAsia"/>
            <w:noProof/>
            <w:lang w:eastAsia="en-AU"/>
          </w:rPr>
          <w:tab/>
        </w:r>
        <w:r w:rsidR="00E459C1" w:rsidRPr="00236461">
          <w:rPr>
            <w:rStyle w:val="Hyperlink"/>
            <w:noProof/>
          </w:rPr>
          <w:t>Sources of Information</w:t>
        </w:r>
        <w:r w:rsidR="00E459C1">
          <w:rPr>
            <w:noProof/>
            <w:webHidden/>
          </w:rPr>
          <w:tab/>
        </w:r>
        <w:r w:rsidR="00E459C1">
          <w:rPr>
            <w:noProof/>
            <w:webHidden/>
          </w:rPr>
          <w:fldChar w:fldCharType="begin"/>
        </w:r>
        <w:r w:rsidR="00E459C1">
          <w:rPr>
            <w:noProof/>
            <w:webHidden/>
          </w:rPr>
          <w:instrText xml:space="preserve"> PAGEREF _Toc26963567 \h </w:instrText>
        </w:r>
        <w:r w:rsidR="00E459C1">
          <w:rPr>
            <w:noProof/>
            <w:webHidden/>
          </w:rPr>
        </w:r>
        <w:r w:rsidR="00E459C1">
          <w:rPr>
            <w:noProof/>
            <w:webHidden/>
          </w:rPr>
          <w:fldChar w:fldCharType="separate"/>
        </w:r>
        <w:r w:rsidR="00480439">
          <w:rPr>
            <w:noProof/>
            <w:webHidden/>
          </w:rPr>
          <w:t>28</w:t>
        </w:r>
        <w:r w:rsidR="00E459C1">
          <w:rPr>
            <w:noProof/>
            <w:webHidden/>
          </w:rPr>
          <w:fldChar w:fldCharType="end"/>
        </w:r>
      </w:hyperlink>
    </w:p>
    <w:p w14:paraId="67CC9E76" w14:textId="65401983" w:rsidR="00E459C1" w:rsidRDefault="001859E7">
      <w:pPr>
        <w:pStyle w:val="TOC2"/>
        <w:tabs>
          <w:tab w:val="left" w:pos="1400"/>
        </w:tabs>
        <w:rPr>
          <w:rFonts w:eastAsiaTheme="minorEastAsia"/>
          <w:noProof/>
          <w:lang w:eastAsia="en-AU"/>
        </w:rPr>
      </w:pPr>
      <w:hyperlink w:anchor="_Toc26963568" w:history="1">
        <w:r w:rsidR="00E459C1" w:rsidRPr="00236461">
          <w:rPr>
            <w:rStyle w:val="Hyperlink"/>
            <w:noProof/>
          </w:rPr>
          <w:t>5.4</w:t>
        </w:r>
        <w:r w:rsidR="00E459C1">
          <w:rPr>
            <w:rFonts w:eastAsiaTheme="minorEastAsia"/>
            <w:noProof/>
            <w:lang w:eastAsia="en-AU"/>
          </w:rPr>
          <w:tab/>
        </w:r>
        <w:r w:rsidR="00E459C1" w:rsidRPr="00236461">
          <w:rPr>
            <w:rStyle w:val="Hyperlink"/>
            <w:noProof/>
          </w:rPr>
          <w:t>Entity Measures Table</w:t>
        </w:r>
        <w:r w:rsidR="00E459C1">
          <w:rPr>
            <w:noProof/>
            <w:webHidden/>
          </w:rPr>
          <w:tab/>
        </w:r>
        <w:r w:rsidR="00E459C1">
          <w:rPr>
            <w:noProof/>
            <w:webHidden/>
          </w:rPr>
          <w:fldChar w:fldCharType="begin"/>
        </w:r>
        <w:r w:rsidR="00E459C1">
          <w:rPr>
            <w:noProof/>
            <w:webHidden/>
          </w:rPr>
          <w:instrText xml:space="preserve"> PAGEREF _Toc26963568 \h </w:instrText>
        </w:r>
        <w:r w:rsidR="00E459C1">
          <w:rPr>
            <w:noProof/>
            <w:webHidden/>
          </w:rPr>
        </w:r>
        <w:r w:rsidR="00E459C1">
          <w:rPr>
            <w:noProof/>
            <w:webHidden/>
          </w:rPr>
          <w:fldChar w:fldCharType="separate"/>
        </w:r>
        <w:r w:rsidR="00480439">
          <w:rPr>
            <w:noProof/>
            <w:webHidden/>
          </w:rPr>
          <w:t>32</w:t>
        </w:r>
        <w:r w:rsidR="00E459C1">
          <w:rPr>
            <w:noProof/>
            <w:webHidden/>
          </w:rPr>
          <w:fldChar w:fldCharType="end"/>
        </w:r>
      </w:hyperlink>
    </w:p>
    <w:p w14:paraId="2FE8143F" w14:textId="41CAC3F6" w:rsidR="00E459C1" w:rsidRDefault="001859E7">
      <w:pPr>
        <w:pStyle w:val="TOC3"/>
        <w:rPr>
          <w:rFonts w:eastAsiaTheme="minorEastAsia"/>
          <w:noProof/>
          <w:lang w:eastAsia="en-AU"/>
        </w:rPr>
      </w:pPr>
      <w:hyperlink w:anchor="_Toc26963569" w:history="1">
        <w:r w:rsidR="00E459C1" w:rsidRPr="00236461">
          <w:rPr>
            <w:rStyle w:val="Hyperlink"/>
            <w:noProof/>
          </w:rPr>
          <w:t>5.4.1</w:t>
        </w:r>
        <w:r w:rsidR="00E459C1">
          <w:rPr>
            <w:rFonts w:eastAsiaTheme="minorEastAsia"/>
            <w:noProof/>
            <w:lang w:eastAsia="en-AU"/>
          </w:rPr>
          <w:tab/>
        </w:r>
        <w:r w:rsidR="00E459C1" w:rsidRPr="00236461">
          <w:rPr>
            <w:rStyle w:val="Hyperlink"/>
            <w:noProof/>
          </w:rPr>
          <w:t>Appropriation Bill 1 and 2 - 2019 Pre-election Economic and Fiscal Outlook (PEFO), Election Commitments Including a Cross-Portfolio Savings Measure</w:t>
        </w:r>
        <w:r w:rsidR="00E459C1">
          <w:rPr>
            <w:noProof/>
            <w:webHidden/>
          </w:rPr>
          <w:tab/>
        </w:r>
        <w:r w:rsidR="00E459C1">
          <w:rPr>
            <w:noProof/>
            <w:webHidden/>
          </w:rPr>
          <w:fldChar w:fldCharType="begin"/>
        </w:r>
        <w:r w:rsidR="00E459C1">
          <w:rPr>
            <w:noProof/>
            <w:webHidden/>
          </w:rPr>
          <w:instrText xml:space="preserve"> PAGEREF _Toc26963569 \h </w:instrText>
        </w:r>
        <w:r w:rsidR="00E459C1">
          <w:rPr>
            <w:noProof/>
            <w:webHidden/>
          </w:rPr>
        </w:r>
        <w:r w:rsidR="00E459C1">
          <w:rPr>
            <w:noProof/>
            <w:webHidden/>
          </w:rPr>
          <w:fldChar w:fldCharType="separate"/>
        </w:r>
        <w:r w:rsidR="00480439">
          <w:rPr>
            <w:noProof/>
            <w:webHidden/>
          </w:rPr>
          <w:t>32</w:t>
        </w:r>
        <w:r w:rsidR="00E459C1">
          <w:rPr>
            <w:noProof/>
            <w:webHidden/>
          </w:rPr>
          <w:fldChar w:fldCharType="end"/>
        </w:r>
      </w:hyperlink>
    </w:p>
    <w:p w14:paraId="755D86A1" w14:textId="33DD1FE9" w:rsidR="00E459C1" w:rsidRDefault="001859E7">
      <w:pPr>
        <w:pStyle w:val="TOC3"/>
        <w:rPr>
          <w:rFonts w:eastAsiaTheme="minorEastAsia"/>
          <w:noProof/>
          <w:lang w:eastAsia="en-AU"/>
        </w:rPr>
      </w:pPr>
      <w:hyperlink w:anchor="_Toc26963570" w:history="1">
        <w:r w:rsidR="00E459C1" w:rsidRPr="00236461">
          <w:rPr>
            <w:rStyle w:val="Hyperlink"/>
            <w:noProof/>
          </w:rPr>
          <w:t>5.4.2</w:t>
        </w:r>
        <w:r w:rsidR="00E459C1">
          <w:rPr>
            <w:rFonts w:eastAsiaTheme="minorEastAsia"/>
            <w:noProof/>
            <w:lang w:eastAsia="en-AU"/>
          </w:rPr>
          <w:tab/>
        </w:r>
        <w:r w:rsidR="00E459C1" w:rsidRPr="00236461">
          <w:rPr>
            <w:rStyle w:val="Hyperlink"/>
            <w:noProof/>
          </w:rPr>
          <w:t>Measure’s Table Totals the reporting of PEFO, Election Commitments and Efficiency Dividend</w:t>
        </w:r>
        <w:r w:rsidR="00E459C1">
          <w:rPr>
            <w:noProof/>
            <w:webHidden/>
          </w:rPr>
          <w:tab/>
        </w:r>
        <w:r w:rsidR="00E459C1">
          <w:rPr>
            <w:noProof/>
            <w:webHidden/>
          </w:rPr>
          <w:fldChar w:fldCharType="begin"/>
        </w:r>
        <w:r w:rsidR="00E459C1">
          <w:rPr>
            <w:noProof/>
            <w:webHidden/>
          </w:rPr>
          <w:instrText xml:space="preserve"> PAGEREF _Toc26963570 \h </w:instrText>
        </w:r>
        <w:r w:rsidR="00E459C1">
          <w:rPr>
            <w:noProof/>
            <w:webHidden/>
          </w:rPr>
        </w:r>
        <w:r w:rsidR="00E459C1">
          <w:rPr>
            <w:noProof/>
            <w:webHidden/>
          </w:rPr>
          <w:fldChar w:fldCharType="separate"/>
        </w:r>
        <w:r w:rsidR="00480439">
          <w:rPr>
            <w:noProof/>
            <w:webHidden/>
          </w:rPr>
          <w:t>33</w:t>
        </w:r>
        <w:r w:rsidR="00E459C1">
          <w:rPr>
            <w:noProof/>
            <w:webHidden/>
          </w:rPr>
          <w:fldChar w:fldCharType="end"/>
        </w:r>
      </w:hyperlink>
    </w:p>
    <w:p w14:paraId="2002D536" w14:textId="2ADB7FB0" w:rsidR="00E459C1" w:rsidRDefault="001859E7">
      <w:pPr>
        <w:pStyle w:val="TOC3"/>
        <w:rPr>
          <w:rFonts w:eastAsiaTheme="minorEastAsia"/>
          <w:noProof/>
          <w:lang w:eastAsia="en-AU"/>
        </w:rPr>
      </w:pPr>
      <w:hyperlink w:anchor="_Toc26963571" w:history="1">
        <w:r w:rsidR="00E459C1" w:rsidRPr="00236461">
          <w:rPr>
            <w:rStyle w:val="Hyperlink"/>
            <w:noProof/>
          </w:rPr>
          <w:t>5.4.3</w:t>
        </w:r>
        <w:r w:rsidR="00E459C1">
          <w:rPr>
            <w:rFonts w:eastAsiaTheme="minorEastAsia"/>
            <w:noProof/>
            <w:lang w:eastAsia="en-AU"/>
          </w:rPr>
          <w:tab/>
        </w:r>
        <w:r w:rsidR="00E459C1" w:rsidRPr="00236461">
          <w:rPr>
            <w:rStyle w:val="Hyperlink"/>
            <w:noProof/>
          </w:rPr>
          <w:t>MYEFO Measures</w:t>
        </w:r>
        <w:r w:rsidR="00E459C1">
          <w:rPr>
            <w:noProof/>
            <w:webHidden/>
          </w:rPr>
          <w:tab/>
        </w:r>
        <w:r w:rsidR="00E459C1">
          <w:rPr>
            <w:noProof/>
            <w:webHidden/>
          </w:rPr>
          <w:fldChar w:fldCharType="begin"/>
        </w:r>
        <w:r w:rsidR="00E459C1">
          <w:rPr>
            <w:noProof/>
            <w:webHidden/>
          </w:rPr>
          <w:instrText xml:space="preserve"> PAGEREF _Toc26963571 \h </w:instrText>
        </w:r>
        <w:r w:rsidR="00E459C1">
          <w:rPr>
            <w:noProof/>
            <w:webHidden/>
          </w:rPr>
        </w:r>
        <w:r w:rsidR="00E459C1">
          <w:rPr>
            <w:noProof/>
            <w:webHidden/>
          </w:rPr>
          <w:fldChar w:fldCharType="separate"/>
        </w:r>
        <w:r w:rsidR="00480439">
          <w:rPr>
            <w:noProof/>
            <w:webHidden/>
          </w:rPr>
          <w:t>34</w:t>
        </w:r>
        <w:r w:rsidR="00E459C1">
          <w:rPr>
            <w:noProof/>
            <w:webHidden/>
          </w:rPr>
          <w:fldChar w:fldCharType="end"/>
        </w:r>
      </w:hyperlink>
    </w:p>
    <w:p w14:paraId="27BA42DF" w14:textId="3C9E6B20" w:rsidR="00E459C1" w:rsidRDefault="001859E7">
      <w:pPr>
        <w:pStyle w:val="TOC3"/>
        <w:rPr>
          <w:rFonts w:eastAsiaTheme="minorEastAsia"/>
          <w:noProof/>
          <w:lang w:eastAsia="en-AU"/>
        </w:rPr>
      </w:pPr>
      <w:hyperlink w:anchor="_Toc26963572" w:history="1">
        <w:r w:rsidR="00E459C1" w:rsidRPr="00236461">
          <w:rPr>
            <w:rStyle w:val="Hyperlink"/>
            <w:noProof/>
          </w:rPr>
          <w:t>5.4.4</w:t>
        </w:r>
        <w:r w:rsidR="00E459C1">
          <w:rPr>
            <w:rFonts w:eastAsiaTheme="minorEastAsia"/>
            <w:noProof/>
            <w:lang w:eastAsia="en-AU"/>
          </w:rPr>
          <w:tab/>
        </w:r>
        <w:r w:rsidR="00E459C1" w:rsidRPr="00236461">
          <w:rPr>
            <w:rStyle w:val="Hyperlink"/>
            <w:noProof/>
          </w:rPr>
          <w:t>Decision Taken But Not Yet Announced</w:t>
        </w:r>
        <w:r w:rsidR="00E459C1">
          <w:rPr>
            <w:noProof/>
            <w:webHidden/>
          </w:rPr>
          <w:tab/>
        </w:r>
        <w:r w:rsidR="00E459C1">
          <w:rPr>
            <w:noProof/>
            <w:webHidden/>
          </w:rPr>
          <w:fldChar w:fldCharType="begin"/>
        </w:r>
        <w:r w:rsidR="00E459C1">
          <w:rPr>
            <w:noProof/>
            <w:webHidden/>
          </w:rPr>
          <w:instrText xml:space="preserve"> PAGEREF _Toc26963572 \h </w:instrText>
        </w:r>
        <w:r w:rsidR="00E459C1">
          <w:rPr>
            <w:noProof/>
            <w:webHidden/>
          </w:rPr>
        </w:r>
        <w:r w:rsidR="00E459C1">
          <w:rPr>
            <w:noProof/>
            <w:webHidden/>
          </w:rPr>
          <w:fldChar w:fldCharType="separate"/>
        </w:r>
        <w:r w:rsidR="00480439">
          <w:rPr>
            <w:noProof/>
            <w:webHidden/>
          </w:rPr>
          <w:t>34</w:t>
        </w:r>
        <w:r w:rsidR="00E459C1">
          <w:rPr>
            <w:noProof/>
            <w:webHidden/>
          </w:rPr>
          <w:fldChar w:fldCharType="end"/>
        </w:r>
      </w:hyperlink>
    </w:p>
    <w:p w14:paraId="2FA43F14" w14:textId="6ECBB8E7" w:rsidR="00E459C1" w:rsidRDefault="001859E7">
      <w:pPr>
        <w:pStyle w:val="TOC3"/>
        <w:rPr>
          <w:rFonts w:eastAsiaTheme="minorEastAsia"/>
          <w:noProof/>
          <w:lang w:eastAsia="en-AU"/>
        </w:rPr>
      </w:pPr>
      <w:hyperlink w:anchor="_Toc26963573" w:history="1">
        <w:r w:rsidR="00E459C1" w:rsidRPr="00236461">
          <w:rPr>
            <w:rStyle w:val="Hyperlink"/>
            <w:noProof/>
          </w:rPr>
          <w:t>5.4.5</w:t>
        </w:r>
        <w:r w:rsidR="00E459C1">
          <w:rPr>
            <w:rFonts w:eastAsiaTheme="minorEastAsia"/>
            <w:noProof/>
            <w:lang w:eastAsia="en-AU"/>
          </w:rPr>
          <w:tab/>
        </w:r>
        <w:r w:rsidR="00E459C1" w:rsidRPr="00236461">
          <w:rPr>
            <w:rStyle w:val="Hyperlink"/>
            <w:noProof/>
          </w:rPr>
          <w:t>Amounts in the Contingency Reserve</w:t>
        </w:r>
        <w:r w:rsidR="00E459C1">
          <w:rPr>
            <w:noProof/>
            <w:webHidden/>
          </w:rPr>
          <w:tab/>
        </w:r>
        <w:r w:rsidR="00E459C1">
          <w:rPr>
            <w:noProof/>
            <w:webHidden/>
          </w:rPr>
          <w:fldChar w:fldCharType="begin"/>
        </w:r>
        <w:r w:rsidR="00E459C1">
          <w:rPr>
            <w:noProof/>
            <w:webHidden/>
          </w:rPr>
          <w:instrText xml:space="preserve"> PAGEREF _Toc26963573 \h </w:instrText>
        </w:r>
        <w:r w:rsidR="00E459C1">
          <w:rPr>
            <w:noProof/>
            <w:webHidden/>
          </w:rPr>
        </w:r>
        <w:r w:rsidR="00E459C1">
          <w:rPr>
            <w:noProof/>
            <w:webHidden/>
          </w:rPr>
          <w:fldChar w:fldCharType="separate"/>
        </w:r>
        <w:r w:rsidR="00480439">
          <w:rPr>
            <w:noProof/>
            <w:webHidden/>
          </w:rPr>
          <w:t>34</w:t>
        </w:r>
        <w:r w:rsidR="00E459C1">
          <w:rPr>
            <w:noProof/>
            <w:webHidden/>
          </w:rPr>
          <w:fldChar w:fldCharType="end"/>
        </w:r>
      </w:hyperlink>
    </w:p>
    <w:p w14:paraId="4B14A27B" w14:textId="39191AF5" w:rsidR="00E459C1" w:rsidRDefault="001859E7">
      <w:pPr>
        <w:pStyle w:val="TOC3"/>
        <w:rPr>
          <w:rFonts w:eastAsiaTheme="minorEastAsia"/>
          <w:noProof/>
          <w:lang w:eastAsia="en-AU"/>
        </w:rPr>
      </w:pPr>
      <w:hyperlink w:anchor="_Toc26963574" w:history="1">
        <w:r w:rsidR="00E459C1" w:rsidRPr="00236461">
          <w:rPr>
            <w:rStyle w:val="Hyperlink"/>
            <w:noProof/>
          </w:rPr>
          <w:t>5.4.6</w:t>
        </w:r>
        <w:r w:rsidR="00E459C1">
          <w:rPr>
            <w:rFonts w:eastAsiaTheme="minorEastAsia"/>
            <w:noProof/>
            <w:lang w:eastAsia="en-AU"/>
          </w:rPr>
          <w:tab/>
        </w:r>
        <w:r w:rsidR="00E459C1" w:rsidRPr="00236461">
          <w:rPr>
            <w:rStyle w:val="Hyperlink"/>
            <w:noProof/>
          </w:rPr>
          <w:t>Measures with indicative costs</w:t>
        </w:r>
        <w:r w:rsidR="00E459C1">
          <w:rPr>
            <w:noProof/>
            <w:webHidden/>
          </w:rPr>
          <w:tab/>
        </w:r>
        <w:r w:rsidR="00E459C1">
          <w:rPr>
            <w:noProof/>
            <w:webHidden/>
          </w:rPr>
          <w:fldChar w:fldCharType="begin"/>
        </w:r>
        <w:r w:rsidR="00E459C1">
          <w:rPr>
            <w:noProof/>
            <w:webHidden/>
          </w:rPr>
          <w:instrText xml:space="preserve"> PAGEREF _Toc26963574 \h </w:instrText>
        </w:r>
        <w:r w:rsidR="00E459C1">
          <w:rPr>
            <w:noProof/>
            <w:webHidden/>
          </w:rPr>
        </w:r>
        <w:r w:rsidR="00E459C1">
          <w:rPr>
            <w:noProof/>
            <w:webHidden/>
          </w:rPr>
          <w:fldChar w:fldCharType="separate"/>
        </w:r>
        <w:r w:rsidR="00480439">
          <w:rPr>
            <w:noProof/>
            <w:webHidden/>
          </w:rPr>
          <w:t>34</w:t>
        </w:r>
        <w:r w:rsidR="00E459C1">
          <w:rPr>
            <w:noProof/>
            <w:webHidden/>
          </w:rPr>
          <w:fldChar w:fldCharType="end"/>
        </w:r>
      </w:hyperlink>
    </w:p>
    <w:p w14:paraId="71AA15B5" w14:textId="1B19C2C6" w:rsidR="00E459C1" w:rsidRDefault="001859E7">
      <w:pPr>
        <w:pStyle w:val="TOC3"/>
        <w:rPr>
          <w:rFonts w:eastAsiaTheme="minorEastAsia"/>
          <w:noProof/>
          <w:lang w:eastAsia="en-AU"/>
        </w:rPr>
      </w:pPr>
      <w:hyperlink w:anchor="_Toc26963575" w:history="1">
        <w:r w:rsidR="00E459C1" w:rsidRPr="00236461">
          <w:rPr>
            <w:rStyle w:val="Hyperlink"/>
            <w:noProof/>
          </w:rPr>
          <w:t>5.4.7</w:t>
        </w:r>
        <w:r w:rsidR="00E459C1">
          <w:rPr>
            <w:rFonts w:eastAsiaTheme="minorEastAsia"/>
            <w:noProof/>
            <w:lang w:eastAsia="en-AU"/>
          </w:rPr>
          <w:tab/>
        </w:r>
        <w:r w:rsidR="00E459C1" w:rsidRPr="00236461">
          <w:rPr>
            <w:rStyle w:val="Hyperlink"/>
            <w:noProof/>
          </w:rPr>
          <w:t>Post-MYEFO measures</w:t>
        </w:r>
        <w:r w:rsidR="00E459C1">
          <w:rPr>
            <w:noProof/>
            <w:webHidden/>
          </w:rPr>
          <w:tab/>
        </w:r>
        <w:r w:rsidR="00E459C1">
          <w:rPr>
            <w:noProof/>
            <w:webHidden/>
          </w:rPr>
          <w:fldChar w:fldCharType="begin"/>
        </w:r>
        <w:r w:rsidR="00E459C1">
          <w:rPr>
            <w:noProof/>
            <w:webHidden/>
          </w:rPr>
          <w:instrText xml:space="preserve"> PAGEREF _Toc26963575 \h </w:instrText>
        </w:r>
        <w:r w:rsidR="00E459C1">
          <w:rPr>
            <w:noProof/>
            <w:webHidden/>
          </w:rPr>
        </w:r>
        <w:r w:rsidR="00E459C1">
          <w:rPr>
            <w:noProof/>
            <w:webHidden/>
          </w:rPr>
          <w:fldChar w:fldCharType="separate"/>
        </w:r>
        <w:r w:rsidR="00480439">
          <w:rPr>
            <w:noProof/>
            <w:webHidden/>
          </w:rPr>
          <w:t>35</w:t>
        </w:r>
        <w:r w:rsidR="00E459C1">
          <w:rPr>
            <w:noProof/>
            <w:webHidden/>
          </w:rPr>
          <w:fldChar w:fldCharType="end"/>
        </w:r>
      </w:hyperlink>
    </w:p>
    <w:p w14:paraId="250FB678" w14:textId="4C47E560" w:rsidR="00E459C1" w:rsidRDefault="001859E7">
      <w:pPr>
        <w:pStyle w:val="TOC2"/>
        <w:tabs>
          <w:tab w:val="left" w:pos="1400"/>
        </w:tabs>
        <w:rPr>
          <w:rFonts w:eastAsiaTheme="minorEastAsia"/>
          <w:noProof/>
          <w:lang w:eastAsia="en-AU"/>
        </w:rPr>
      </w:pPr>
      <w:hyperlink w:anchor="_Toc26963576" w:history="1">
        <w:r w:rsidR="00E459C1" w:rsidRPr="00236461">
          <w:rPr>
            <w:rStyle w:val="Hyperlink"/>
            <w:noProof/>
          </w:rPr>
          <w:t>5.5</w:t>
        </w:r>
        <w:r w:rsidR="00E459C1">
          <w:rPr>
            <w:rFonts w:eastAsiaTheme="minorEastAsia"/>
            <w:noProof/>
            <w:lang w:eastAsia="en-AU"/>
          </w:rPr>
          <w:tab/>
        </w:r>
        <w:r w:rsidR="00E459C1" w:rsidRPr="00236461">
          <w:rPr>
            <w:rStyle w:val="Hyperlink"/>
            <w:noProof/>
          </w:rPr>
          <w:t>Additional Estimates and other Variations since the 2019-20 Budget</w:t>
        </w:r>
        <w:r w:rsidR="00E459C1">
          <w:rPr>
            <w:noProof/>
            <w:webHidden/>
          </w:rPr>
          <w:tab/>
        </w:r>
        <w:r w:rsidR="00E459C1">
          <w:rPr>
            <w:noProof/>
            <w:webHidden/>
          </w:rPr>
          <w:fldChar w:fldCharType="begin"/>
        </w:r>
        <w:r w:rsidR="00E459C1">
          <w:rPr>
            <w:noProof/>
            <w:webHidden/>
          </w:rPr>
          <w:instrText xml:space="preserve"> PAGEREF _Toc26963576 \h </w:instrText>
        </w:r>
        <w:r w:rsidR="00E459C1">
          <w:rPr>
            <w:noProof/>
            <w:webHidden/>
          </w:rPr>
        </w:r>
        <w:r w:rsidR="00E459C1">
          <w:rPr>
            <w:noProof/>
            <w:webHidden/>
          </w:rPr>
          <w:fldChar w:fldCharType="separate"/>
        </w:r>
        <w:r w:rsidR="00480439">
          <w:rPr>
            <w:noProof/>
            <w:webHidden/>
          </w:rPr>
          <w:t>35</w:t>
        </w:r>
        <w:r w:rsidR="00E459C1">
          <w:rPr>
            <w:noProof/>
            <w:webHidden/>
          </w:rPr>
          <w:fldChar w:fldCharType="end"/>
        </w:r>
      </w:hyperlink>
    </w:p>
    <w:p w14:paraId="66D7DADB" w14:textId="54C61CA4" w:rsidR="00E459C1" w:rsidRDefault="001859E7">
      <w:pPr>
        <w:pStyle w:val="TOC2"/>
        <w:tabs>
          <w:tab w:val="left" w:pos="1400"/>
        </w:tabs>
        <w:rPr>
          <w:rFonts w:eastAsiaTheme="minorEastAsia"/>
          <w:noProof/>
          <w:lang w:eastAsia="en-AU"/>
        </w:rPr>
      </w:pPr>
      <w:hyperlink w:anchor="_Toc26963577" w:history="1">
        <w:r w:rsidR="00E459C1" w:rsidRPr="00236461">
          <w:rPr>
            <w:rStyle w:val="Hyperlink"/>
            <w:noProof/>
          </w:rPr>
          <w:t>5.6</w:t>
        </w:r>
        <w:r w:rsidR="00E459C1">
          <w:rPr>
            <w:rFonts w:eastAsiaTheme="minorEastAsia"/>
            <w:noProof/>
            <w:lang w:eastAsia="en-AU"/>
          </w:rPr>
          <w:tab/>
        </w:r>
        <w:r w:rsidR="00E459C1" w:rsidRPr="00236461">
          <w:rPr>
            <w:rStyle w:val="Hyperlink"/>
            <w:noProof/>
          </w:rPr>
          <w:t>Breakdown of Additional Estimates by Appropriation Bill</w:t>
        </w:r>
        <w:r w:rsidR="00E459C1">
          <w:rPr>
            <w:noProof/>
            <w:webHidden/>
          </w:rPr>
          <w:tab/>
        </w:r>
        <w:r w:rsidR="00E459C1">
          <w:rPr>
            <w:noProof/>
            <w:webHidden/>
          </w:rPr>
          <w:fldChar w:fldCharType="begin"/>
        </w:r>
        <w:r w:rsidR="00E459C1">
          <w:rPr>
            <w:noProof/>
            <w:webHidden/>
          </w:rPr>
          <w:instrText xml:space="preserve"> PAGEREF _Toc26963577 \h </w:instrText>
        </w:r>
        <w:r w:rsidR="00E459C1">
          <w:rPr>
            <w:noProof/>
            <w:webHidden/>
          </w:rPr>
        </w:r>
        <w:r w:rsidR="00E459C1">
          <w:rPr>
            <w:noProof/>
            <w:webHidden/>
          </w:rPr>
          <w:fldChar w:fldCharType="separate"/>
        </w:r>
        <w:r w:rsidR="00480439">
          <w:rPr>
            <w:noProof/>
            <w:webHidden/>
          </w:rPr>
          <w:t>36</w:t>
        </w:r>
        <w:r w:rsidR="00E459C1">
          <w:rPr>
            <w:noProof/>
            <w:webHidden/>
          </w:rPr>
          <w:fldChar w:fldCharType="end"/>
        </w:r>
      </w:hyperlink>
    </w:p>
    <w:p w14:paraId="01F3E56B" w14:textId="3BED719D" w:rsidR="00E459C1" w:rsidRDefault="001859E7">
      <w:pPr>
        <w:pStyle w:val="TOC1"/>
        <w:rPr>
          <w:rFonts w:eastAsiaTheme="minorEastAsia"/>
          <w:b w:val="0"/>
          <w:noProof/>
          <w:sz w:val="22"/>
          <w:lang w:eastAsia="en-AU"/>
        </w:rPr>
      </w:pPr>
      <w:hyperlink w:anchor="_Toc26963578" w:history="1">
        <w:r w:rsidR="00E459C1" w:rsidRPr="00236461">
          <w:rPr>
            <w:rStyle w:val="Hyperlink"/>
            <w:noProof/>
          </w:rPr>
          <w:t>6.</w:t>
        </w:r>
        <w:r w:rsidR="00E459C1">
          <w:rPr>
            <w:rFonts w:eastAsiaTheme="minorEastAsia"/>
            <w:b w:val="0"/>
            <w:noProof/>
            <w:sz w:val="22"/>
            <w:lang w:eastAsia="en-AU"/>
          </w:rPr>
          <w:tab/>
        </w:r>
        <w:r w:rsidR="00E459C1" w:rsidRPr="00236461">
          <w:rPr>
            <w:rStyle w:val="Hyperlink"/>
            <w:noProof/>
          </w:rPr>
          <w:t>Section 2: Revisions to Entity Outcomes and Planned Performance</w:t>
        </w:r>
        <w:r w:rsidR="00E459C1">
          <w:rPr>
            <w:noProof/>
            <w:webHidden/>
          </w:rPr>
          <w:tab/>
        </w:r>
        <w:r w:rsidR="00E459C1">
          <w:rPr>
            <w:noProof/>
            <w:webHidden/>
          </w:rPr>
          <w:fldChar w:fldCharType="begin"/>
        </w:r>
        <w:r w:rsidR="00E459C1">
          <w:rPr>
            <w:noProof/>
            <w:webHidden/>
          </w:rPr>
          <w:instrText xml:space="preserve"> PAGEREF _Toc26963578 \h </w:instrText>
        </w:r>
        <w:r w:rsidR="00E459C1">
          <w:rPr>
            <w:noProof/>
            <w:webHidden/>
          </w:rPr>
        </w:r>
        <w:r w:rsidR="00E459C1">
          <w:rPr>
            <w:noProof/>
            <w:webHidden/>
          </w:rPr>
          <w:fldChar w:fldCharType="separate"/>
        </w:r>
        <w:r w:rsidR="00480439">
          <w:rPr>
            <w:noProof/>
            <w:webHidden/>
          </w:rPr>
          <w:t>37</w:t>
        </w:r>
        <w:r w:rsidR="00E459C1">
          <w:rPr>
            <w:noProof/>
            <w:webHidden/>
          </w:rPr>
          <w:fldChar w:fldCharType="end"/>
        </w:r>
      </w:hyperlink>
    </w:p>
    <w:p w14:paraId="04B4F5E5" w14:textId="04D0CF73" w:rsidR="00E459C1" w:rsidRDefault="001859E7">
      <w:pPr>
        <w:pStyle w:val="TOC2"/>
        <w:tabs>
          <w:tab w:val="left" w:pos="1400"/>
        </w:tabs>
        <w:rPr>
          <w:rFonts w:eastAsiaTheme="minorEastAsia"/>
          <w:noProof/>
          <w:lang w:eastAsia="en-AU"/>
        </w:rPr>
      </w:pPr>
      <w:hyperlink w:anchor="_Toc26963579" w:history="1">
        <w:r w:rsidR="00E459C1" w:rsidRPr="00236461">
          <w:rPr>
            <w:rStyle w:val="Hyperlink"/>
            <w:noProof/>
          </w:rPr>
          <w:t>6.1</w:t>
        </w:r>
        <w:r w:rsidR="00E459C1">
          <w:rPr>
            <w:rFonts w:eastAsiaTheme="minorEastAsia"/>
            <w:noProof/>
            <w:lang w:eastAsia="en-AU"/>
          </w:rPr>
          <w:tab/>
        </w:r>
        <w:r w:rsidR="00E459C1" w:rsidRPr="00236461">
          <w:rPr>
            <w:rStyle w:val="Hyperlink"/>
            <w:noProof/>
          </w:rPr>
          <w:t>Performance Information</w:t>
        </w:r>
        <w:r w:rsidR="00E459C1">
          <w:rPr>
            <w:noProof/>
            <w:webHidden/>
          </w:rPr>
          <w:tab/>
        </w:r>
        <w:r w:rsidR="00E459C1">
          <w:rPr>
            <w:noProof/>
            <w:webHidden/>
          </w:rPr>
          <w:fldChar w:fldCharType="begin"/>
        </w:r>
        <w:r w:rsidR="00E459C1">
          <w:rPr>
            <w:noProof/>
            <w:webHidden/>
          </w:rPr>
          <w:instrText xml:space="preserve"> PAGEREF _Toc26963579 \h </w:instrText>
        </w:r>
        <w:r w:rsidR="00E459C1">
          <w:rPr>
            <w:noProof/>
            <w:webHidden/>
          </w:rPr>
        </w:r>
        <w:r w:rsidR="00E459C1">
          <w:rPr>
            <w:noProof/>
            <w:webHidden/>
          </w:rPr>
          <w:fldChar w:fldCharType="separate"/>
        </w:r>
        <w:r w:rsidR="00480439">
          <w:rPr>
            <w:noProof/>
            <w:webHidden/>
          </w:rPr>
          <w:t>37</w:t>
        </w:r>
        <w:r w:rsidR="00E459C1">
          <w:rPr>
            <w:noProof/>
            <w:webHidden/>
          </w:rPr>
          <w:fldChar w:fldCharType="end"/>
        </w:r>
      </w:hyperlink>
    </w:p>
    <w:p w14:paraId="2D49F244" w14:textId="48CB628F" w:rsidR="00E459C1" w:rsidRDefault="001859E7">
      <w:pPr>
        <w:pStyle w:val="TOC2"/>
        <w:tabs>
          <w:tab w:val="left" w:pos="1400"/>
        </w:tabs>
        <w:rPr>
          <w:rFonts w:eastAsiaTheme="minorEastAsia"/>
          <w:noProof/>
          <w:lang w:eastAsia="en-AU"/>
        </w:rPr>
      </w:pPr>
      <w:hyperlink w:anchor="_Toc26963580" w:history="1">
        <w:r w:rsidR="00E459C1" w:rsidRPr="00236461">
          <w:rPr>
            <w:rStyle w:val="Hyperlink"/>
            <w:noProof/>
          </w:rPr>
          <w:t>6.2</w:t>
        </w:r>
        <w:r w:rsidR="00E459C1">
          <w:rPr>
            <w:rFonts w:eastAsiaTheme="minorEastAsia"/>
            <w:noProof/>
            <w:lang w:eastAsia="en-AU"/>
          </w:rPr>
          <w:tab/>
        </w:r>
        <w:r w:rsidR="00E459C1" w:rsidRPr="00236461">
          <w:rPr>
            <w:rStyle w:val="Hyperlink"/>
            <w:noProof/>
          </w:rPr>
          <w:t>Finance Secretary Direction</w:t>
        </w:r>
        <w:r w:rsidR="00E459C1">
          <w:rPr>
            <w:noProof/>
            <w:webHidden/>
          </w:rPr>
          <w:tab/>
        </w:r>
        <w:r w:rsidR="00E459C1">
          <w:rPr>
            <w:noProof/>
            <w:webHidden/>
          </w:rPr>
          <w:fldChar w:fldCharType="begin"/>
        </w:r>
        <w:r w:rsidR="00E459C1">
          <w:rPr>
            <w:noProof/>
            <w:webHidden/>
          </w:rPr>
          <w:instrText xml:space="preserve"> PAGEREF _Toc26963580 \h </w:instrText>
        </w:r>
        <w:r w:rsidR="00E459C1">
          <w:rPr>
            <w:noProof/>
            <w:webHidden/>
          </w:rPr>
        </w:r>
        <w:r w:rsidR="00E459C1">
          <w:rPr>
            <w:noProof/>
            <w:webHidden/>
          </w:rPr>
          <w:fldChar w:fldCharType="separate"/>
        </w:r>
        <w:r w:rsidR="00480439">
          <w:rPr>
            <w:noProof/>
            <w:webHidden/>
          </w:rPr>
          <w:t>37</w:t>
        </w:r>
        <w:r w:rsidR="00E459C1">
          <w:rPr>
            <w:noProof/>
            <w:webHidden/>
          </w:rPr>
          <w:fldChar w:fldCharType="end"/>
        </w:r>
      </w:hyperlink>
    </w:p>
    <w:p w14:paraId="08DFDB49" w14:textId="7C82F969" w:rsidR="00E459C1" w:rsidRDefault="001859E7">
      <w:pPr>
        <w:pStyle w:val="TOC2"/>
        <w:tabs>
          <w:tab w:val="left" w:pos="1400"/>
        </w:tabs>
        <w:rPr>
          <w:rFonts w:eastAsiaTheme="minorEastAsia"/>
          <w:noProof/>
          <w:lang w:eastAsia="en-AU"/>
        </w:rPr>
      </w:pPr>
      <w:hyperlink w:anchor="_Toc26963581" w:history="1">
        <w:r w:rsidR="00E459C1" w:rsidRPr="00236461">
          <w:rPr>
            <w:rStyle w:val="Hyperlink"/>
            <w:noProof/>
          </w:rPr>
          <w:t>6.3</w:t>
        </w:r>
        <w:r w:rsidR="00E459C1">
          <w:rPr>
            <w:rFonts w:eastAsiaTheme="minorEastAsia"/>
            <w:noProof/>
            <w:lang w:eastAsia="en-AU"/>
          </w:rPr>
          <w:tab/>
        </w:r>
        <w:r w:rsidR="00E459C1" w:rsidRPr="00236461">
          <w:rPr>
            <w:rStyle w:val="Hyperlink"/>
            <w:noProof/>
          </w:rPr>
          <w:t>Presentation of Performance Information</w:t>
        </w:r>
        <w:r w:rsidR="00E459C1">
          <w:rPr>
            <w:noProof/>
            <w:webHidden/>
          </w:rPr>
          <w:tab/>
        </w:r>
        <w:r w:rsidR="00E459C1">
          <w:rPr>
            <w:noProof/>
            <w:webHidden/>
          </w:rPr>
          <w:fldChar w:fldCharType="begin"/>
        </w:r>
        <w:r w:rsidR="00E459C1">
          <w:rPr>
            <w:noProof/>
            <w:webHidden/>
          </w:rPr>
          <w:instrText xml:space="preserve"> PAGEREF _Toc26963581 \h </w:instrText>
        </w:r>
        <w:r w:rsidR="00E459C1">
          <w:rPr>
            <w:noProof/>
            <w:webHidden/>
          </w:rPr>
        </w:r>
        <w:r w:rsidR="00E459C1">
          <w:rPr>
            <w:noProof/>
            <w:webHidden/>
          </w:rPr>
          <w:fldChar w:fldCharType="separate"/>
        </w:r>
        <w:r w:rsidR="00480439">
          <w:rPr>
            <w:noProof/>
            <w:webHidden/>
          </w:rPr>
          <w:t>37</w:t>
        </w:r>
        <w:r w:rsidR="00E459C1">
          <w:rPr>
            <w:noProof/>
            <w:webHidden/>
          </w:rPr>
          <w:fldChar w:fldCharType="end"/>
        </w:r>
      </w:hyperlink>
    </w:p>
    <w:p w14:paraId="0EEC39C8" w14:textId="734DFE63" w:rsidR="00E459C1" w:rsidRDefault="001859E7">
      <w:pPr>
        <w:pStyle w:val="TOC2"/>
        <w:tabs>
          <w:tab w:val="left" w:pos="1400"/>
        </w:tabs>
        <w:rPr>
          <w:rFonts w:eastAsiaTheme="minorEastAsia"/>
          <w:noProof/>
          <w:lang w:eastAsia="en-AU"/>
        </w:rPr>
      </w:pPr>
      <w:hyperlink w:anchor="_Toc26963582" w:history="1">
        <w:r w:rsidR="00E459C1" w:rsidRPr="00236461">
          <w:rPr>
            <w:rStyle w:val="Hyperlink"/>
            <w:noProof/>
          </w:rPr>
          <w:t>6.4</w:t>
        </w:r>
        <w:r w:rsidR="00E459C1">
          <w:rPr>
            <w:rFonts w:eastAsiaTheme="minorEastAsia"/>
            <w:noProof/>
            <w:lang w:eastAsia="en-AU"/>
          </w:rPr>
          <w:tab/>
        </w:r>
        <w:r w:rsidR="00E459C1" w:rsidRPr="00236461">
          <w:rPr>
            <w:rStyle w:val="Hyperlink"/>
            <w:noProof/>
          </w:rPr>
          <w:t>Table 2.x Budgeted Expenses for Outcome x - reporting of Average Staffing Levels</w:t>
        </w:r>
        <w:r w:rsidR="00E459C1">
          <w:rPr>
            <w:noProof/>
            <w:webHidden/>
          </w:rPr>
          <w:tab/>
        </w:r>
        <w:r w:rsidR="00E459C1">
          <w:rPr>
            <w:noProof/>
            <w:webHidden/>
          </w:rPr>
          <w:fldChar w:fldCharType="begin"/>
        </w:r>
        <w:r w:rsidR="00E459C1">
          <w:rPr>
            <w:noProof/>
            <w:webHidden/>
          </w:rPr>
          <w:instrText xml:space="preserve"> PAGEREF _Toc26963582 \h </w:instrText>
        </w:r>
        <w:r w:rsidR="00E459C1">
          <w:rPr>
            <w:noProof/>
            <w:webHidden/>
          </w:rPr>
        </w:r>
        <w:r w:rsidR="00E459C1">
          <w:rPr>
            <w:noProof/>
            <w:webHidden/>
          </w:rPr>
          <w:fldChar w:fldCharType="separate"/>
        </w:r>
        <w:r w:rsidR="00480439">
          <w:rPr>
            <w:noProof/>
            <w:webHidden/>
          </w:rPr>
          <w:t>37</w:t>
        </w:r>
        <w:r w:rsidR="00E459C1">
          <w:rPr>
            <w:noProof/>
            <w:webHidden/>
          </w:rPr>
          <w:fldChar w:fldCharType="end"/>
        </w:r>
      </w:hyperlink>
    </w:p>
    <w:p w14:paraId="1771569B" w14:textId="342995C8" w:rsidR="00E459C1" w:rsidRDefault="001859E7">
      <w:pPr>
        <w:pStyle w:val="TOC2"/>
        <w:tabs>
          <w:tab w:val="left" w:pos="1400"/>
        </w:tabs>
        <w:rPr>
          <w:rFonts w:eastAsiaTheme="minorEastAsia"/>
          <w:noProof/>
          <w:lang w:eastAsia="en-AU"/>
        </w:rPr>
      </w:pPr>
      <w:hyperlink w:anchor="_Toc26963583" w:history="1">
        <w:r w:rsidR="00E459C1" w:rsidRPr="00236461">
          <w:rPr>
            <w:rStyle w:val="Hyperlink"/>
            <w:noProof/>
          </w:rPr>
          <w:t>6.5</w:t>
        </w:r>
        <w:r w:rsidR="00E459C1">
          <w:rPr>
            <w:rFonts w:eastAsiaTheme="minorEastAsia"/>
            <w:noProof/>
            <w:lang w:eastAsia="en-AU"/>
          </w:rPr>
          <w:tab/>
        </w:r>
        <w:r w:rsidR="00E459C1" w:rsidRPr="00236461">
          <w:rPr>
            <w:rStyle w:val="Hyperlink"/>
            <w:noProof/>
          </w:rPr>
          <w:t xml:space="preserve">Table 2.x Budgeted Expenses for Outcome x - reporting of AASB16 </w:t>
        </w:r>
        <w:r w:rsidR="00E459C1" w:rsidRPr="00236461">
          <w:rPr>
            <w:rStyle w:val="Hyperlink"/>
            <w:i/>
            <w:noProof/>
          </w:rPr>
          <w:t>Leases</w:t>
        </w:r>
        <w:r w:rsidR="00E459C1">
          <w:rPr>
            <w:noProof/>
            <w:webHidden/>
          </w:rPr>
          <w:tab/>
        </w:r>
        <w:r w:rsidR="00E459C1">
          <w:rPr>
            <w:noProof/>
            <w:webHidden/>
          </w:rPr>
          <w:fldChar w:fldCharType="begin"/>
        </w:r>
        <w:r w:rsidR="00E459C1">
          <w:rPr>
            <w:noProof/>
            <w:webHidden/>
          </w:rPr>
          <w:instrText xml:space="preserve"> PAGEREF _Toc26963583 \h </w:instrText>
        </w:r>
        <w:r w:rsidR="00E459C1">
          <w:rPr>
            <w:noProof/>
            <w:webHidden/>
          </w:rPr>
        </w:r>
        <w:r w:rsidR="00E459C1">
          <w:rPr>
            <w:noProof/>
            <w:webHidden/>
          </w:rPr>
          <w:fldChar w:fldCharType="separate"/>
        </w:r>
        <w:r w:rsidR="00480439">
          <w:rPr>
            <w:noProof/>
            <w:webHidden/>
          </w:rPr>
          <w:t>38</w:t>
        </w:r>
        <w:r w:rsidR="00E459C1">
          <w:rPr>
            <w:noProof/>
            <w:webHidden/>
          </w:rPr>
          <w:fldChar w:fldCharType="end"/>
        </w:r>
      </w:hyperlink>
    </w:p>
    <w:p w14:paraId="72144931" w14:textId="254ADA4A" w:rsidR="00E459C1" w:rsidRDefault="001859E7">
      <w:pPr>
        <w:pStyle w:val="TOC3"/>
        <w:rPr>
          <w:rFonts w:eastAsiaTheme="minorEastAsia"/>
          <w:noProof/>
          <w:lang w:eastAsia="en-AU"/>
        </w:rPr>
      </w:pPr>
      <w:hyperlink w:anchor="_Toc26963584" w:history="1">
        <w:r w:rsidR="00E459C1" w:rsidRPr="00236461">
          <w:rPr>
            <w:rStyle w:val="Hyperlink"/>
            <w:noProof/>
          </w:rPr>
          <w:t>6.5.1</w:t>
        </w:r>
        <w:r w:rsidR="00E459C1">
          <w:rPr>
            <w:rFonts w:eastAsiaTheme="minorEastAsia"/>
            <w:noProof/>
            <w:lang w:eastAsia="en-AU"/>
          </w:rPr>
          <w:tab/>
        </w:r>
        <w:r w:rsidR="00E459C1" w:rsidRPr="00236461">
          <w:rPr>
            <w:rStyle w:val="Hyperlink"/>
            <w:noProof/>
          </w:rPr>
          <w:t>Interest on ROU and Depreciation of ROU Assets reported as part of Departmental Appropriation Expenses</w:t>
        </w:r>
        <w:r w:rsidR="00E459C1">
          <w:rPr>
            <w:noProof/>
            <w:webHidden/>
          </w:rPr>
          <w:tab/>
        </w:r>
        <w:r w:rsidR="00E459C1">
          <w:rPr>
            <w:noProof/>
            <w:webHidden/>
          </w:rPr>
          <w:fldChar w:fldCharType="begin"/>
        </w:r>
        <w:r w:rsidR="00E459C1">
          <w:rPr>
            <w:noProof/>
            <w:webHidden/>
          </w:rPr>
          <w:instrText xml:space="preserve"> PAGEREF _Toc26963584 \h </w:instrText>
        </w:r>
        <w:r w:rsidR="00E459C1">
          <w:rPr>
            <w:noProof/>
            <w:webHidden/>
          </w:rPr>
        </w:r>
        <w:r w:rsidR="00E459C1">
          <w:rPr>
            <w:noProof/>
            <w:webHidden/>
          </w:rPr>
          <w:fldChar w:fldCharType="separate"/>
        </w:r>
        <w:r w:rsidR="00480439">
          <w:rPr>
            <w:noProof/>
            <w:webHidden/>
          </w:rPr>
          <w:t>38</w:t>
        </w:r>
        <w:r w:rsidR="00E459C1">
          <w:rPr>
            <w:noProof/>
            <w:webHidden/>
          </w:rPr>
          <w:fldChar w:fldCharType="end"/>
        </w:r>
      </w:hyperlink>
    </w:p>
    <w:p w14:paraId="0F48CCEF" w14:textId="2C4F7D23" w:rsidR="00E459C1" w:rsidRDefault="001859E7">
      <w:pPr>
        <w:pStyle w:val="TOC2"/>
        <w:tabs>
          <w:tab w:val="left" w:pos="1400"/>
        </w:tabs>
        <w:rPr>
          <w:rFonts w:eastAsiaTheme="minorEastAsia"/>
          <w:noProof/>
          <w:lang w:eastAsia="en-AU"/>
        </w:rPr>
      </w:pPr>
      <w:hyperlink w:anchor="_Toc26963585" w:history="1">
        <w:r w:rsidR="00E459C1" w:rsidRPr="00236461">
          <w:rPr>
            <w:rStyle w:val="Hyperlink"/>
            <w:noProof/>
          </w:rPr>
          <w:t>6.6</w:t>
        </w:r>
        <w:r w:rsidR="00E459C1">
          <w:rPr>
            <w:rFonts w:eastAsiaTheme="minorEastAsia"/>
            <w:noProof/>
            <w:lang w:eastAsia="en-AU"/>
          </w:rPr>
          <w:tab/>
        </w:r>
        <w:r w:rsidR="00E459C1" w:rsidRPr="00236461">
          <w:rPr>
            <w:rStyle w:val="Hyperlink"/>
            <w:noProof/>
          </w:rPr>
          <w:t>Sources of Information</w:t>
        </w:r>
        <w:r w:rsidR="00E459C1">
          <w:rPr>
            <w:noProof/>
            <w:webHidden/>
          </w:rPr>
          <w:tab/>
        </w:r>
        <w:r w:rsidR="00E459C1">
          <w:rPr>
            <w:noProof/>
            <w:webHidden/>
          </w:rPr>
          <w:fldChar w:fldCharType="begin"/>
        </w:r>
        <w:r w:rsidR="00E459C1">
          <w:rPr>
            <w:noProof/>
            <w:webHidden/>
          </w:rPr>
          <w:instrText xml:space="preserve"> PAGEREF _Toc26963585 \h </w:instrText>
        </w:r>
        <w:r w:rsidR="00E459C1">
          <w:rPr>
            <w:noProof/>
            <w:webHidden/>
          </w:rPr>
        </w:r>
        <w:r w:rsidR="00E459C1">
          <w:rPr>
            <w:noProof/>
            <w:webHidden/>
          </w:rPr>
          <w:fldChar w:fldCharType="separate"/>
        </w:r>
        <w:r w:rsidR="00480439">
          <w:rPr>
            <w:noProof/>
            <w:webHidden/>
          </w:rPr>
          <w:t>40</w:t>
        </w:r>
        <w:r w:rsidR="00E459C1">
          <w:rPr>
            <w:noProof/>
            <w:webHidden/>
          </w:rPr>
          <w:fldChar w:fldCharType="end"/>
        </w:r>
      </w:hyperlink>
    </w:p>
    <w:p w14:paraId="76EAACE3" w14:textId="5B562902" w:rsidR="00E459C1" w:rsidRDefault="001859E7">
      <w:pPr>
        <w:pStyle w:val="TOC1"/>
        <w:rPr>
          <w:rFonts w:eastAsiaTheme="minorEastAsia"/>
          <w:b w:val="0"/>
          <w:noProof/>
          <w:sz w:val="22"/>
          <w:lang w:eastAsia="en-AU"/>
        </w:rPr>
      </w:pPr>
      <w:hyperlink w:anchor="_Toc26963586" w:history="1">
        <w:r w:rsidR="00E459C1" w:rsidRPr="00236461">
          <w:rPr>
            <w:rStyle w:val="Hyperlink"/>
            <w:noProof/>
          </w:rPr>
          <w:t>7.</w:t>
        </w:r>
        <w:r w:rsidR="00E459C1">
          <w:rPr>
            <w:rFonts w:eastAsiaTheme="minorEastAsia"/>
            <w:b w:val="0"/>
            <w:noProof/>
            <w:sz w:val="22"/>
            <w:lang w:eastAsia="en-AU"/>
          </w:rPr>
          <w:tab/>
        </w:r>
        <w:r w:rsidR="00E459C1" w:rsidRPr="00236461">
          <w:rPr>
            <w:rStyle w:val="Hyperlink"/>
            <w:noProof/>
          </w:rPr>
          <w:t>Section 3: Special Account Flows and Budgeted Financial Statements</w:t>
        </w:r>
        <w:r w:rsidR="00E459C1">
          <w:rPr>
            <w:noProof/>
            <w:webHidden/>
          </w:rPr>
          <w:tab/>
        </w:r>
        <w:r w:rsidR="00E459C1">
          <w:rPr>
            <w:noProof/>
            <w:webHidden/>
          </w:rPr>
          <w:fldChar w:fldCharType="begin"/>
        </w:r>
        <w:r w:rsidR="00E459C1">
          <w:rPr>
            <w:noProof/>
            <w:webHidden/>
          </w:rPr>
          <w:instrText xml:space="preserve"> PAGEREF _Toc26963586 \h </w:instrText>
        </w:r>
        <w:r w:rsidR="00E459C1">
          <w:rPr>
            <w:noProof/>
            <w:webHidden/>
          </w:rPr>
        </w:r>
        <w:r w:rsidR="00E459C1">
          <w:rPr>
            <w:noProof/>
            <w:webHidden/>
          </w:rPr>
          <w:fldChar w:fldCharType="separate"/>
        </w:r>
        <w:r w:rsidR="00480439">
          <w:rPr>
            <w:noProof/>
            <w:webHidden/>
          </w:rPr>
          <w:t>41</w:t>
        </w:r>
        <w:r w:rsidR="00E459C1">
          <w:rPr>
            <w:noProof/>
            <w:webHidden/>
          </w:rPr>
          <w:fldChar w:fldCharType="end"/>
        </w:r>
      </w:hyperlink>
    </w:p>
    <w:p w14:paraId="23F765EB" w14:textId="4FB75170" w:rsidR="00E459C1" w:rsidRDefault="001859E7">
      <w:pPr>
        <w:pStyle w:val="TOC2"/>
        <w:tabs>
          <w:tab w:val="left" w:pos="1400"/>
        </w:tabs>
        <w:rPr>
          <w:rFonts w:eastAsiaTheme="minorEastAsia"/>
          <w:noProof/>
          <w:lang w:eastAsia="en-AU"/>
        </w:rPr>
      </w:pPr>
      <w:hyperlink w:anchor="_Toc26963587" w:history="1">
        <w:r w:rsidR="00E459C1" w:rsidRPr="00236461">
          <w:rPr>
            <w:rStyle w:val="Hyperlink"/>
            <w:noProof/>
          </w:rPr>
          <w:t>7.1</w:t>
        </w:r>
        <w:r w:rsidR="00E459C1">
          <w:rPr>
            <w:rFonts w:eastAsiaTheme="minorEastAsia"/>
            <w:noProof/>
            <w:lang w:eastAsia="en-AU"/>
          </w:rPr>
          <w:tab/>
        </w:r>
        <w:r w:rsidR="00E459C1" w:rsidRPr="00236461">
          <w:rPr>
            <w:rStyle w:val="Hyperlink"/>
            <w:noProof/>
          </w:rPr>
          <w:t>Special Account Flows</w:t>
        </w:r>
        <w:r w:rsidR="00E459C1">
          <w:rPr>
            <w:noProof/>
            <w:webHidden/>
          </w:rPr>
          <w:tab/>
        </w:r>
        <w:r w:rsidR="00E459C1">
          <w:rPr>
            <w:noProof/>
            <w:webHidden/>
          </w:rPr>
          <w:fldChar w:fldCharType="begin"/>
        </w:r>
        <w:r w:rsidR="00E459C1">
          <w:rPr>
            <w:noProof/>
            <w:webHidden/>
          </w:rPr>
          <w:instrText xml:space="preserve"> PAGEREF _Toc26963587 \h </w:instrText>
        </w:r>
        <w:r w:rsidR="00E459C1">
          <w:rPr>
            <w:noProof/>
            <w:webHidden/>
          </w:rPr>
        </w:r>
        <w:r w:rsidR="00E459C1">
          <w:rPr>
            <w:noProof/>
            <w:webHidden/>
          </w:rPr>
          <w:fldChar w:fldCharType="separate"/>
        </w:r>
        <w:r w:rsidR="00480439">
          <w:rPr>
            <w:noProof/>
            <w:webHidden/>
          </w:rPr>
          <w:t>42</w:t>
        </w:r>
        <w:r w:rsidR="00E459C1">
          <w:rPr>
            <w:noProof/>
            <w:webHidden/>
          </w:rPr>
          <w:fldChar w:fldCharType="end"/>
        </w:r>
      </w:hyperlink>
    </w:p>
    <w:p w14:paraId="650DC01C" w14:textId="3625914E" w:rsidR="00E459C1" w:rsidRDefault="001859E7">
      <w:pPr>
        <w:pStyle w:val="TOC2"/>
        <w:tabs>
          <w:tab w:val="left" w:pos="1400"/>
        </w:tabs>
        <w:rPr>
          <w:rFonts w:eastAsiaTheme="minorEastAsia"/>
          <w:noProof/>
          <w:lang w:eastAsia="en-AU"/>
        </w:rPr>
      </w:pPr>
      <w:hyperlink w:anchor="_Toc26963588" w:history="1">
        <w:r w:rsidR="00E459C1" w:rsidRPr="00236461">
          <w:rPr>
            <w:rStyle w:val="Hyperlink"/>
            <w:noProof/>
          </w:rPr>
          <w:t>7.2</w:t>
        </w:r>
        <w:r w:rsidR="00E459C1">
          <w:rPr>
            <w:rFonts w:eastAsiaTheme="minorEastAsia"/>
            <w:noProof/>
            <w:lang w:eastAsia="en-AU"/>
          </w:rPr>
          <w:tab/>
        </w:r>
        <w:r w:rsidR="00E459C1" w:rsidRPr="00236461">
          <w:rPr>
            <w:rStyle w:val="Hyperlink"/>
            <w:noProof/>
          </w:rPr>
          <w:t>Budgeted Financial Statements</w:t>
        </w:r>
        <w:r w:rsidR="00E459C1">
          <w:rPr>
            <w:noProof/>
            <w:webHidden/>
          </w:rPr>
          <w:tab/>
        </w:r>
        <w:r w:rsidR="00E459C1">
          <w:rPr>
            <w:noProof/>
            <w:webHidden/>
          </w:rPr>
          <w:fldChar w:fldCharType="begin"/>
        </w:r>
        <w:r w:rsidR="00E459C1">
          <w:rPr>
            <w:noProof/>
            <w:webHidden/>
          </w:rPr>
          <w:instrText xml:space="preserve"> PAGEREF _Toc26963588 \h </w:instrText>
        </w:r>
        <w:r w:rsidR="00E459C1">
          <w:rPr>
            <w:noProof/>
            <w:webHidden/>
          </w:rPr>
        </w:r>
        <w:r w:rsidR="00E459C1">
          <w:rPr>
            <w:noProof/>
            <w:webHidden/>
          </w:rPr>
          <w:fldChar w:fldCharType="separate"/>
        </w:r>
        <w:r w:rsidR="00480439">
          <w:rPr>
            <w:noProof/>
            <w:webHidden/>
          </w:rPr>
          <w:t>43</w:t>
        </w:r>
        <w:r w:rsidR="00E459C1">
          <w:rPr>
            <w:noProof/>
            <w:webHidden/>
          </w:rPr>
          <w:fldChar w:fldCharType="end"/>
        </w:r>
      </w:hyperlink>
    </w:p>
    <w:p w14:paraId="5B8FE6E9" w14:textId="03B565AA" w:rsidR="00E459C1" w:rsidRDefault="001859E7">
      <w:pPr>
        <w:pStyle w:val="TOC2"/>
        <w:tabs>
          <w:tab w:val="left" w:pos="1400"/>
        </w:tabs>
        <w:rPr>
          <w:rFonts w:eastAsiaTheme="minorEastAsia"/>
          <w:noProof/>
          <w:lang w:eastAsia="en-AU"/>
        </w:rPr>
      </w:pPr>
      <w:hyperlink w:anchor="_Toc26963589" w:history="1">
        <w:r w:rsidR="00E459C1" w:rsidRPr="00236461">
          <w:rPr>
            <w:rStyle w:val="Hyperlink"/>
            <w:noProof/>
          </w:rPr>
          <w:t>7.3</w:t>
        </w:r>
        <w:r w:rsidR="00E459C1">
          <w:rPr>
            <w:rFonts w:eastAsiaTheme="minorEastAsia"/>
            <w:noProof/>
            <w:lang w:eastAsia="en-AU"/>
          </w:rPr>
          <w:tab/>
        </w:r>
        <w:r w:rsidR="00E459C1" w:rsidRPr="00236461">
          <w:rPr>
            <w:rStyle w:val="Hyperlink"/>
            <w:noProof/>
          </w:rPr>
          <w:t>Sources of Information</w:t>
        </w:r>
        <w:r w:rsidR="00E459C1">
          <w:rPr>
            <w:noProof/>
            <w:webHidden/>
          </w:rPr>
          <w:tab/>
        </w:r>
        <w:r w:rsidR="00E459C1">
          <w:rPr>
            <w:noProof/>
            <w:webHidden/>
          </w:rPr>
          <w:fldChar w:fldCharType="begin"/>
        </w:r>
        <w:r w:rsidR="00E459C1">
          <w:rPr>
            <w:noProof/>
            <w:webHidden/>
          </w:rPr>
          <w:instrText xml:space="preserve"> PAGEREF _Toc26963589 \h </w:instrText>
        </w:r>
        <w:r w:rsidR="00E459C1">
          <w:rPr>
            <w:noProof/>
            <w:webHidden/>
          </w:rPr>
        </w:r>
        <w:r w:rsidR="00E459C1">
          <w:rPr>
            <w:noProof/>
            <w:webHidden/>
          </w:rPr>
          <w:fldChar w:fldCharType="separate"/>
        </w:r>
        <w:r w:rsidR="00480439">
          <w:rPr>
            <w:noProof/>
            <w:webHidden/>
          </w:rPr>
          <w:t>43</w:t>
        </w:r>
        <w:r w:rsidR="00E459C1">
          <w:rPr>
            <w:noProof/>
            <w:webHidden/>
          </w:rPr>
          <w:fldChar w:fldCharType="end"/>
        </w:r>
      </w:hyperlink>
    </w:p>
    <w:p w14:paraId="3A9A5256" w14:textId="534BEDB5" w:rsidR="00E459C1" w:rsidRDefault="001859E7">
      <w:pPr>
        <w:pStyle w:val="TOC1"/>
        <w:rPr>
          <w:rFonts w:eastAsiaTheme="minorEastAsia"/>
          <w:b w:val="0"/>
          <w:noProof/>
          <w:sz w:val="22"/>
          <w:lang w:eastAsia="en-AU"/>
        </w:rPr>
      </w:pPr>
      <w:hyperlink w:anchor="_Toc26963590" w:history="1">
        <w:r w:rsidR="00E459C1" w:rsidRPr="00236461">
          <w:rPr>
            <w:rStyle w:val="Hyperlink"/>
            <w:noProof/>
          </w:rPr>
          <w:t>8.</w:t>
        </w:r>
        <w:r w:rsidR="00E459C1">
          <w:rPr>
            <w:rFonts w:eastAsiaTheme="minorEastAsia"/>
            <w:b w:val="0"/>
            <w:noProof/>
            <w:sz w:val="22"/>
            <w:lang w:eastAsia="en-AU"/>
          </w:rPr>
          <w:tab/>
        </w:r>
        <w:r w:rsidR="00E459C1" w:rsidRPr="00236461">
          <w:rPr>
            <w:rStyle w:val="Hyperlink"/>
            <w:noProof/>
          </w:rPr>
          <w:t>Contacts</w:t>
        </w:r>
        <w:r w:rsidR="00E459C1">
          <w:rPr>
            <w:noProof/>
            <w:webHidden/>
          </w:rPr>
          <w:tab/>
        </w:r>
        <w:r w:rsidR="00E459C1">
          <w:rPr>
            <w:noProof/>
            <w:webHidden/>
          </w:rPr>
          <w:fldChar w:fldCharType="begin"/>
        </w:r>
        <w:r w:rsidR="00E459C1">
          <w:rPr>
            <w:noProof/>
            <w:webHidden/>
          </w:rPr>
          <w:instrText xml:space="preserve"> PAGEREF _Toc26963590 \h </w:instrText>
        </w:r>
        <w:r w:rsidR="00E459C1">
          <w:rPr>
            <w:noProof/>
            <w:webHidden/>
          </w:rPr>
        </w:r>
        <w:r w:rsidR="00E459C1">
          <w:rPr>
            <w:noProof/>
            <w:webHidden/>
          </w:rPr>
          <w:fldChar w:fldCharType="separate"/>
        </w:r>
        <w:r w:rsidR="00480439">
          <w:rPr>
            <w:noProof/>
            <w:webHidden/>
          </w:rPr>
          <w:t>45</w:t>
        </w:r>
        <w:r w:rsidR="00E459C1">
          <w:rPr>
            <w:noProof/>
            <w:webHidden/>
          </w:rPr>
          <w:fldChar w:fldCharType="end"/>
        </w:r>
      </w:hyperlink>
    </w:p>
    <w:p w14:paraId="6565B65B" w14:textId="623055AE" w:rsidR="00737A13" w:rsidRPr="00594970" w:rsidRDefault="0020122A" w:rsidP="00B42CFC">
      <w:r w:rsidRPr="00594970">
        <w:fldChar w:fldCharType="end"/>
      </w:r>
    </w:p>
    <w:p w14:paraId="0A11A77D" w14:textId="77777777" w:rsidR="0020122A" w:rsidRPr="00594970" w:rsidRDefault="0020122A" w:rsidP="001D7EB4">
      <w:r w:rsidRPr="00594970">
        <w:br w:type="page"/>
      </w:r>
    </w:p>
    <w:p w14:paraId="6253257F" w14:textId="7DFF84E0" w:rsidR="00BB1273" w:rsidRPr="00594970" w:rsidRDefault="00BB1273" w:rsidP="000137C6">
      <w:pPr>
        <w:pStyle w:val="Heading1"/>
        <w:numPr>
          <w:ilvl w:val="0"/>
          <w:numId w:val="16"/>
        </w:numPr>
      </w:pPr>
      <w:bookmarkStart w:id="1" w:name="Abbreviations"/>
      <w:bookmarkStart w:id="2" w:name="_bookmark0"/>
      <w:bookmarkStart w:id="3" w:name="_Toc26963532"/>
      <w:bookmarkEnd w:id="1"/>
      <w:bookmarkEnd w:id="2"/>
      <w:r w:rsidRPr="00594970">
        <w:lastRenderedPageBreak/>
        <w:t>Abbreviations</w:t>
      </w:r>
      <w:bookmarkEnd w:id="3"/>
    </w:p>
    <w:p w14:paraId="4E997F22" w14:textId="77777777" w:rsidR="00423576" w:rsidRPr="00594970" w:rsidRDefault="00423576" w:rsidP="00F31EC9"/>
    <w:tbl>
      <w:tblPr>
        <w:tblStyle w:val="TableGrid"/>
        <w:tblW w:w="0" w:type="auto"/>
        <w:tblLayout w:type="fixed"/>
        <w:tblLook w:val="04A0" w:firstRow="1" w:lastRow="0" w:firstColumn="1" w:lastColumn="0" w:noHBand="0" w:noVBand="1"/>
      </w:tblPr>
      <w:tblGrid>
        <w:gridCol w:w="1555"/>
        <w:gridCol w:w="7505"/>
      </w:tblGrid>
      <w:tr w:rsidR="00BB1273" w:rsidRPr="00594970" w14:paraId="7C8222A7" w14:textId="77777777" w:rsidTr="005C2636">
        <w:tc>
          <w:tcPr>
            <w:tcW w:w="1555" w:type="dxa"/>
          </w:tcPr>
          <w:p w14:paraId="672F9428" w14:textId="77777777" w:rsidR="00BB1273" w:rsidRPr="00594970" w:rsidRDefault="00BB1273" w:rsidP="00D375E3">
            <w:pPr>
              <w:pStyle w:val="TableText"/>
            </w:pPr>
            <w:r w:rsidRPr="00594970">
              <w:t>AAO</w:t>
            </w:r>
          </w:p>
        </w:tc>
        <w:tc>
          <w:tcPr>
            <w:tcW w:w="7505" w:type="dxa"/>
          </w:tcPr>
          <w:p w14:paraId="4ED92C37" w14:textId="77777777" w:rsidR="00BB1273" w:rsidRPr="00594970" w:rsidRDefault="00BB1273" w:rsidP="00D375E3">
            <w:pPr>
              <w:pStyle w:val="TableText"/>
            </w:pPr>
            <w:r w:rsidRPr="00594970">
              <w:t>Administrative Arrang</w:t>
            </w:r>
            <w:r w:rsidR="00DC311F" w:rsidRPr="00594970">
              <w:t>e</w:t>
            </w:r>
            <w:r w:rsidRPr="00594970">
              <w:t>ments Order</w:t>
            </w:r>
            <w:r w:rsidR="00855D03" w:rsidRPr="00594970">
              <w:t>s</w:t>
            </w:r>
          </w:p>
        </w:tc>
      </w:tr>
      <w:tr w:rsidR="00BB1273" w:rsidRPr="00594970" w14:paraId="722A45E4" w14:textId="77777777" w:rsidTr="005C2636">
        <w:tc>
          <w:tcPr>
            <w:tcW w:w="1555" w:type="dxa"/>
          </w:tcPr>
          <w:p w14:paraId="4EBC0D1B" w14:textId="77777777" w:rsidR="00BB1273" w:rsidRPr="00594970" w:rsidRDefault="00BB1273" w:rsidP="00D375E3">
            <w:pPr>
              <w:pStyle w:val="TableText"/>
            </w:pPr>
            <w:r w:rsidRPr="00594970">
              <w:t>AAU</w:t>
            </w:r>
          </w:p>
        </w:tc>
        <w:tc>
          <w:tcPr>
            <w:tcW w:w="7505" w:type="dxa"/>
          </w:tcPr>
          <w:p w14:paraId="50268E34" w14:textId="77777777" w:rsidR="00BB1273" w:rsidRPr="00594970" w:rsidRDefault="00BB1273" w:rsidP="00D375E3">
            <w:pPr>
              <w:pStyle w:val="TableText"/>
            </w:pPr>
            <w:r w:rsidRPr="00594970">
              <w:t>Agency Advice Units (within Finance)</w:t>
            </w:r>
          </w:p>
        </w:tc>
      </w:tr>
      <w:tr w:rsidR="001A43FA" w:rsidRPr="00594970" w14:paraId="4C566BD7" w14:textId="77777777" w:rsidTr="004E5122">
        <w:tc>
          <w:tcPr>
            <w:tcW w:w="1555" w:type="dxa"/>
          </w:tcPr>
          <w:p w14:paraId="66AD621F" w14:textId="77777777" w:rsidR="001A43FA" w:rsidRPr="00594970" w:rsidRDefault="001A43FA" w:rsidP="00D375E3">
            <w:pPr>
              <w:pStyle w:val="TableText"/>
            </w:pPr>
            <w:r w:rsidRPr="00594970">
              <w:t>BM</w:t>
            </w:r>
          </w:p>
        </w:tc>
        <w:tc>
          <w:tcPr>
            <w:tcW w:w="7505" w:type="dxa"/>
          </w:tcPr>
          <w:p w14:paraId="249A3E58" w14:textId="77777777" w:rsidR="001A43FA" w:rsidRPr="00594970" w:rsidRDefault="001A43FA" w:rsidP="00D375E3">
            <w:pPr>
              <w:pStyle w:val="TableText"/>
            </w:pPr>
            <w:r w:rsidRPr="00594970">
              <w:t xml:space="preserve">Budget Management (module of CBMS) </w:t>
            </w:r>
            <w:r w:rsidRPr="00594970">
              <w:rPr>
                <w:sz w:val="20"/>
              </w:rPr>
              <w:t>(was BEAM previously)</w:t>
            </w:r>
            <w:r w:rsidRPr="00594970">
              <w:t xml:space="preserve"> </w:t>
            </w:r>
          </w:p>
        </w:tc>
      </w:tr>
      <w:tr w:rsidR="00374CF3" w:rsidRPr="00594970" w14:paraId="0C8C4D8F" w14:textId="77777777" w:rsidTr="00F83D32">
        <w:tc>
          <w:tcPr>
            <w:tcW w:w="1555" w:type="dxa"/>
          </w:tcPr>
          <w:p w14:paraId="73FC2980" w14:textId="77777777" w:rsidR="00374CF3" w:rsidRPr="00594970" w:rsidRDefault="00374CF3" w:rsidP="00F83D32">
            <w:pPr>
              <w:pStyle w:val="TableText"/>
            </w:pPr>
            <w:r w:rsidRPr="00594970">
              <w:t>CBMS</w:t>
            </w:r>
          </w:p>
        </w:tc>
        <w:tc>
          <w:tcPr>
            <w:tcW w:w="7505" w:type="dxa"/>
          </w:tcPr>
          <w:p w14:paraId="2BD103D2" w14:textId="77777777" w:rsidR="00374CF3" w:rsidRPr="00594970" w:rsidRDefault="00374CF3" w:rsidP="00F83D32">
            <w:pPr>
              <w:pStyle w:val="TableText"/>
            </w:pPr>
            <w:r w:rsidRPr="00594970">
              <w:t>Central Budget Management System</w:t>
            </w:r>
          </w:p>
        </w:tc>
      </w:tr>
      <w:tr w:rsidR="001A43FA" w:rsidRPr="00594970" w14:paraId="4ABB5FE6" w14:textId="77777777" w:rsidTr="004E5122">
        <w:tc>
          <w:tcPr>
            <w:tcW w:w="1555" w:type="dxa"/>
          </w:tcPr>
          <w:p w14:paraId="76798C20" w14:textId="77777777" w:rsidR="001A43FA" w:rsidRPr="00594970" w:rsidRDefault="001A43FA" w:rsidP="00D375E3">
            <w:pPr>
              <w:pStyle w:val="TableText"/>
            </w:pPr>
            <w:r w:rsidRPr="00594970">
              <w:t>CCE</w:t>
            </w:r>
          </w:p>
        </w:tc>
        <w:tc>
          <w:tcPr>
            <w:tcW w:w="7505" w:type="dxa"/>
          </w:tcPr>
          <w:p w14:paraId="3001A8F4" w14:textId="77777777" w:rsidR="001A43FA" w:rsidRPr="00594970" w:rsidRDefault="001A43FA" w:rsidP="00D375E3">
            <w:pPr>
              <w:pStyle w:val="TableText"/>
            </w:pPr>
            <w:r w:rsidRPr="00594970">
              <w:t xml:space="preserve">Corporate Commonwealth Entity under the </w:t>
            </w:r>
            <w:r w:rsidRPr="00594970">
              <w:rPr>
                <w:i/>
              </w:rPr>
              <w:t>Public Governance, Performance, and Accountability Act 2013.</w:t>
            </w:r>
            <w:r w:rsidRPr="00594970">
              <w:t xml:space="preserve"> </w:t>
            </w:r>
          </w:p>
        </w:tc>
      </w:tr>
      <w:tr w:rsidR="00BB1273" w:rsidRPr="00594970" w14:paraId="1E80E964" w14:textId="77777777" w:rsidTr="005C2636">
        <w:tc>
          <w:tcPr>
            <w:tcW w:w="1555" w:type="dxa"/>
          </w:tcPr>
          <w:p w14:paraId="4DD95A7B" w14:textId="77777777" w:rsidR="00BB1273" w:rsidRPr="00594970" w:rsidRDefault="00BB1273" w:rsidP="00D375E3">
            <w:pPr>
              <w:pStyle w:val="TableText"/>
            </w:pPr>
            <w:r w:rsidRPr="00594970">
              <w:t>CM</w:t>
            </w:r>
          </w:p>
        </w:tc>
        <w:tc>
          <w:tcPr>
            <w:tcW w:w="7505" w:type="dxa"/>
            <w:shd w:val="clear" w:color="auto" w:fill="auto"/>
          </w:tcPr>
          <w:p w14:paraId="5933423C" w14:textId="77777777" w:rsidR="00BB1273" w:rsidRPr="00594970" w:rsidRDefault="00BB1273" w:rsidP="00D375E3">
            <w:pPr>
              <w:pStyle w:val="TableText"/>
            </w:pPr>
            <w:r w:rsidRPr="00594970">
              <w:t>Cash Management (module of CBMS)</w:t>
            </w:r>
            <w:r w:rsidR="00A95219" w:rsidRPr="00594970">
              <w:t xml:space="preserve"> </w:t>
            </w:r>
            <w:r w:rsidR="00A95219" w:rsidRPr="00594970">
              <w:rPr>
                <w:sz w:val="20"/>
              </w:rPr>
              <w:t>(was ACM previously)</w:t>
            </w:r>
          </w:p>
        </w:tc>
      </w:tr>
      <w:tr w:rsidR="00374CF3" w:rsidRPr="00594970" w14:paraId="14DDC4F6" w14:textId="77777777" w:rsidTr="00F83D32">
        <w:tc>
          <w:tcPr>
            <w:tcW w:w="1555" w:type="dxa"/>
          </w:tcPr>
          <w:p w14:paraId="3E30C28D" w14:textId="77777777" w:rsidR="00374CF3" w:rsidRPr="00594970" w:rsidRDefault="00374CF3" w:rsidP="00F83D32">
            <w:pPr>
              <w:pStyle w:val="TableText"/>
            </w:pPr>
            <w:r w:rsidRPr="00594970">
              <w:t>Corporate Entity</w:t>
            </w:r>
          </w:p>
        </w:tc>
        <w:tc>
          <w:tcPr>
            <w:tcW w:w="7505" w:type="dxa"/>
          </w:tcPr>
          <w:p w14:paraId="6FA48060" w14:textId="77777777" w:rsidR="00374CF3" w:rsidRPr="00594970" w:rsidRDefault="00374CF3" w:rsidP="00F83D32">
            <w:pPr>
              <w:pStyle w:val="TableText"/>
            </w:pPr>
            <w:r w:rsidRPr="00594970">
              <w:t xml:space="preserve">Corporate Commonwealth Entity or Commonwealth Company under the </w:t>
            </w:r>
            <w:r w:rsidRPr="00594970">
              <w:rPr>
                <w:i/>
              </w:rPr>
              <w:t>Public Governance, Performance, and Accountability Act 2013.</w:t>
            </w:r>
          </w:p>
        </w:tc>
      </w:tr>
      <w:tr w:rsidR="00BB1273" w:rsidRPr="00594970" w14:paraId="2ED436A4" w14:textId="77777777" w:rsidTr="005C2636">
        <w:tc>
          <w:tcPr>
            <w:tcW w:w="1555" w:type="dxa"/>
          </w:tcPr>
          <w:p w14:paraId="7A1BCD66" w14:textId="77777777" w:rsidR="00BB1273" w:rsidRPr="00594970" w:rsidRDefault="00A95219" w:rsidP="00D375E3">
            <w:pPr>
              <w:pStyle w:val="TableText"/>
            </w:pPr>
            <w:r w:rsidRPr="00594970">
              <w:t>DM</w:t>
            </w:r>
          </w:p>
        </w:tc>
        <w:tc>
          <w:tcPr>
            <w:tcW w:w="7505" w:type="dxa"/>
          </w:tcPr>
          <w:p w14:paraId="7DEAABF8" w14:textId="77777777" w:rsidR="00BB1273" w:rsidRPr="00594970" w:rsidRDefault="00A95219" w:rsidP="00D375E3">
            <w:pPr>
              <w:pStyle w:val="TableText"/>
            </w:pPr>
            <w:r w:rsidRPr="00594970">
              <w:t xml:space="preserve">Decision Making (module of CBMS) </w:t>
            </w:r>
            <w:r w:rsidRPr="00594970">
              <w:rPr>
                <w:sz w:val="20"/>
              </w:rPr>
              <w:t>(was BPCD previously)</w:t>
            </w:r>
            <w:r w:rsidRPr="00594970">
              <w:rPr>
                <w:sz w:val="20"/>
                <w:szCs w:val="20"/>
              </w:rPr>
              <w:t xml:space="preserve"> </w:t>
            </w:r>
          </w:p>
        </w:tc>
      </w:tr>
      <w:tr w:rsidR="00BB1273" w:rsidRPr="00594970" w14:paraId="1B1F48AA" w14:textId="77777777" w:rsidTr="005C2636">
        <w:tc>
          <w:tcPr>
            <w:tcW w:w="1555" w:type="dxa"/>
          </w:tcPr>
          <w:p w14:paraId="0F6DCDA4" w14:textId="77777777" w:rsidR="00BB1273" w:rsidRPr="00594970" w:rsidRDefault="00BB1273" w:rsidP="00D375E3">
            <w:pPr>
              <w:pStyle w:val="TableText"/>
            </w:pPr>
            <w:r w:rsidRPr="00594970">
              <w:t>FMIS</w:t>
            </w:r>
          </w:p>
        </w:tc>
        <w:tc>
          <w:tcPr>
            <w:tcW w:w="7505" w:type="dxa"/>
          </w:tcPr>
          <w:p w14:paraId="1F6259E4" w14:textId="77777777" w:rsidR="00BB1273" w:rsidRPr="00594970" w:rsidRDefault="00BB1273" w:rsidP="00D375E3">
            <w:pPr>
              <w:pStyle w:val="TableText"/>
            </w:pPr>
            <w:r w:rsidRPr="00594970">
              <w:t>Financial Management Information System (entity’s own system)</w:t>
            </w:r>
          </w:p>
        </w:tc>
      </w:tr>
      <w:tr w:rsidR="00BB1273" w:rsidRPr="00594970" w14:paraId="1CAA7ED6" w14:textId="77777777" w:rsidTr="005C2636">
        <w:tc>
          <w:tcPr>
            <w:tcW w:w="1555" w:type="dxa"/>
          </w:tcPr>
          <w:p w14:paraId="3F3CC641" w14:textId="77777777" w:rsidR="00BB1273" w:rsidRPr="00594970" w:rsidRDefault="00BB1273" w:rsidP="00D375E3">
            <w:pPr>
              <w:pStyle w:val="TableText"/>
            </w:pPr>
            <w:r w:rsidRPr="00594970">
              <w:t>GGS</w:t>
            </w:r>
          </w:p>
        </w:tc>
        <w:tc>
          <w:tcPr>
            <w:tcW w:w="7505" w:type="dxa"/>
          </w:tcPr>
          <w:p w14:paraId="08C585CB" w14:textId="77777777" w:rsidR="00BB1273" w:rsidRPr="00594970" w:rsidRDefault="00BB1273" w:rsidP="00D375E3">
            <w:pPr>
              <w:pStyle w:val="TableText"/>
            </w:pPr>
            <w:r w:rsidRPr="00594970">
              <w:t>General Government Sector</w:t>
            </w:r>
          </w:p>
        </w:tc>
      </w:tr>
      <w:tr w:rsidR="00BB1273" w:rsidRPr="00594970" w14:paraId="7732AC87" w14:textId="77777777" w:rsidTr="005C2636">
        <w:tc>
          <w:tcPr>
            <w:tcW w:w="1555" w:type="dxa"/>
          </w:tcPr>
          <w:p w14:paraId="03AA6750" w14:textId="77777777" w:rsidR="00BB1273" w:rsidRPr="00594970" w:rsidRDefault="00BB1273" w:rsidP="00D375E3">
            <w:pPr>
              <w:pStyle w:val="TableText"/>
            </w:pPr>
            <w:r w:rsidRPr="00594970">
              <w:t>MOG</w:t>
            </w:r>
          </w:p>
        </w:tc>
        <w:tc>
          <w:tcPr>
            <w:tcW w:w="7505" w:type="dxa"/>
          </w:tcPr>
          <w:p w14:paraId="22C4E930" w14:textId="77777777" w:rsidR="00BB1273" w:rsidRPr="00594970" w:rsidRDefault="00BB1273" w:rsidP="00D375E3">
            <w:pPr>
              <w:pStyle w:val="TableText"/>
            </w:pPr>
            <w:r w:rsidRPr="00594970">
              <w:t>Machinery of Government</w:t>
            </w:r>
          </w:p>
        </w:tc>
      </w:tr>
      <w:tr w:rsidR="00BB1273" w:rsidRPr="00594970" w14:paraId="124CA34F" w14:textId="77777777" w:rsidTr="005C2636">
        <w:tc>
          <w:tcPr>
            <w:tcW w:w="1555" w:type="dxa"/>
          </w:tcPr>
          <w:p w14:paraId="36FDB116" w14:textId="77777777" w:rsidR="00BB1273" w:rsidRPr="00594970" w:rsidRDefault="00BB1273" w:rsidP="00D375E3">
            <w:pPr>
              <w:pStyle w:val="TableText"/>
            </w:pPr>
            <w:r w:rsidRPr="00594970">
              <w:t>MYEFO</w:t>
            </w:r>
          </w:p>
        </w:tc>
        <w:tc>
          <w:tcPr>
            <w:tcW w:w="7505" w:type="dxa"/>
          </w:tcPr>
          <w:p w14:paraId="5E9B9915" w14:textId="77777777" w:rsidR="00BB1273" w:rsidRPr="00594970" w:rsidRDefault="00BB1273" w:rsidP="00D375E3">
            <w:pPr>
              <w:pStyle w:val="TableText"/>
            </w:pPr>
            <w:r w:rsidRPr="00594970">
              <w:t>Mid-Year Economic and Fiscal Outlook</w:t>
            </w:r>
          </w:p>
        </w:tc>
      </w:tr>
      <w:tr w:rsidR="00374CF3" w:rsidRPr="00594970" w14:paraId="1581AC7C" w14:textId="77777777" w:rsidTr="00F83D32">
        <w:tc>
          <w:tcPr>
            <w:tcW w:w="1555" w:type="dxa"/>
          </w:tcPr>
          <w:p w14:paraId="2B7A8B56" w14:textId="77777777" w:rsidR="00374CF3" w:rsidRPr="00594970" w:rsidRDefault="00374CF3" w:rsidP="00F83D32">
            <w:pPr>
              <w:pStyle w:val="TableText"/>
            </w:pPr>
            <w:r w:rsidRPr="00594970">
              <w:t>NCCE</w:t>
            </w:r>
          </w:p>
        </w:tc>
        <w:tc>
          <w:tcPr>
            <w:tcW w:w="7505" w:type="dxa"/>
          </w:tcPr>
          <w:p w14:paraId="174036C4" w14:textId="77777777" w:rsidR="00374CF3" w:rsidRPr="00594970" w:rsidRDefault="00374CF3" w:rsidP="00F83D32">
            <w:pPr>
              <w:pStyle w:val="TableText"/>
            </w:pPr>
            <w:r w:rsidRPr="00594970">
              <w:t xml:space="preserve">Non-Corporate Commonwealth Entity under the </w:t>
            </w:r>
            <w:r w:rsidRPr="00594970">
              <w:rPr>
                <w:i/>
              </w:rPr>
              <w:t>Public Governance, Performance, and Accountability Act 2013.</w:t>
            </w:r>
          </w:p>
        </w:tc>
      </w:tr>
      <w:tr w:rsidR="00857F8D" w:rsidRPr="00594970" w14:paraId="02EAE403" w14:textId="77777777" w:rsidTr="00F83D32">
        <w:tc>
          <w:tcPr>
            <w:tcW w:w="1555" w:type="dxa"/>
          </w:tcPr>
          <w:p w14:paraId="42D612BC" w14:textId="77777777" w:rsidR="00857F8D" w:rsidRPr="00594970" w:rsidRDefault="00857F8D" w:rsidP="00F83D32">
            <w:pPr>
              <w:pStyle w:val="TableText"/>
            </w:pPr>
            <w:r w:rsidRPr="00594970">
              <w:t>PAES</w:t>
            </w:r>
          </w:p>
        </w:tc>
        <w:tc>
          <w:tcPr>
            <w:tcW w:w="7505" w:type="dxa"/>
          </w:tcPr>
          <w:p w14:paraId="29998E0A" w14:textId="77777777" w:rsidR="00857F8D" w:rsidRPr="00594970" w:rsidRDefault="00857F8D" w:rsidP="00F83D32">
            <w:pPr>
              <w:pStyle w:val="TableText"/>
            </w:pPr>
            <w:r w:rsidRPr="00594970">
              <w:t>Portfolio Additional Estimates Statements</w:t>
            </w:r>
          </w:p>
        </w:tc>
      </w:tr>
      <w:tr w:rsidR="001A43FA" w:rsidRPr="00594970" w14:paraId="3B979B2E" w14:textId="77777777" w:rsidTr="004E5122">
        <w:tc>
          <w:tcPr>
            <w:tcW w:w="1555" w:type="dxa"/>
          </w:tcPr>
          <w:p w14:paraId="0B154EA9" w14:textId="77777777" w:rsidR="001A43FA" w:rsidRPr="00594970" w:rsidRDefault="001A43FA" w:rsidP="00D375E3">
            <w:pPr>
              <w:pStyle w:val="TableText"/>
            </w:pPr>
            <w:r w:rsidRPr="00594970">
              <w:t>PBF</w:t>
            </w:r>
          </w:p>
        </w:tc>
        <w:tc>
          <w:tcPr>
            <w:tcW w:w="7505" w:type="dxa"/>
          </w:tcPr>
          <w:p w14:paraId="4B775228" w14:textId="77777777" w:rsidR="001A43FA" w:rsidRPr="00594970" w:rsidRDefault="001A43FA" w:rsidP="00D375E3">
            <w:pPr>
              <w:pStyle w:val="TableText"/>
            </w:pPr>
            <w:r w:rsidRPr="00594970">
              <w:t>Public Budget Formulation (module of CBMS)</w:t>
            </w:r>
          </w:p>
        </w:tc>
      </w:tr>
      <w:tr w:rsidR="001A43FA" w:rsidRPr="00594970" w14:paraId="02AC8BFE" w14:textId="77777777" w:rsidTr="004E5122">
        <w:tc>
          <w:tcPr>
            <w:tcW w:w="1555" w:type="dxa"/>
          </w:tcPr>
          <w:p w14:paraId="4228F499" w14:textId="77777777" w:rsidR="001A43FA" w:rsidRPr="00594970" w:rsidRDefault="001A43FA" w:rsidP="00D375E3">
            <w:pPr>
              <w:pStyle w:val="TableText"/>
            </w:pPr>
            <w:r w:rsidRPr="00594970">
              <w:t>PB Statements</w:t>
            </w:r>
          </w:p>
        </w:tc>
        <w:tc>
          <w:tcPr>
            <w:tcW w:w="7505" w:type="dxa"/>
          </w:tcPr>
          <w:p w14:paraId="383C76F6" w14:textId="77777777" w:rsidR="001A43FA" w:rsidRPr="00594970" w:rsidRDefault="001A43FA" w:rsidP="00D375E3">
            <w:pPr>
              <w:pStyle w:val="TableText"/>
            </w:pPr>
            <w:r w:rsidRPr="00594970">
              <w:t>Portfolio Budget Statements</w:t>
            </w:r>
          </w:p>
        </w:tc>
      </w:tr>
      <w:tr w:rsidR="00857F8D" w:rsidRPr="00594970" w:rsidDel="00857F8D" w14:paraId="41C4F0AA" w14:textId="77777777" w:rsidTr="005C2636">
        <w:tc>
          <w:tcPr>
            <w:tcW w:w="1555" w:type="dxa"/>
          </w:tcPr>
          <w:p w14:paraId="6D76CE9E" w14:textId="0CD8BE9F" w:rsidR="00857F8D" w:rsidRPr="00594970" w:rsidDel="00857F8D" w:rsidRDefault="00857F8D" w:rsidP="00AC72A9">
            <w:pPr>
              <w:pStyle w:val="TableText"/>
            </w:pPr>
            <w:r>
              <w:t>PEFO</w:t>
            </w:r>
          </w:p>
        </w:tc>
        <w:tc>
          <w:tcPr>
            <w:tcW w:w="7505" w:type="dxa"/>
          </w:tcPr>
          <w:p w14:paraId="01E177FE" w14:textId="501711CB" w:rsidR="00857F8D" w:rsidRPr="00594970" w:rsidDel="00857F8D" w:rsidRDefault="00857F8D" w:rsidP="00AC72A9">
            <w:pPr>
              <w:pStyle w:val="TableText"/>
            </w:pPr>
            <w:r>
              <w:t>Pre-election Economic and Fiscal Outlook</w:t>
            </w:r>
          </w:p>
        </w:tc>
      </w:tr>
      <w:tr w:rsidR="00BB1273" w:rsidRPr="00594970" w14:paraId="2DD1C679" w14:textId="77777777" w:rsidTr="005C2636">
        <w:tc>
          <w:tcPr>
            <w:tcW w:w="1555" w:type="dxa"/>
          </w:tcPr>
          <w:p w14:paraId="6BC3652A" w14:textId="77777777" w:rsidR="00BB1273" w:rsidRPr="00594970" w:rsidRDefault="00BB1273" w:rsidP="00D375E3">
            <w:pPr>
              <w:pStyle w:val="TableText"/>
            </w:pPr>
            <w:r w:rsidRPr="00594970">
              <w:t>PGPA Act</w:t>
            </w:r>
          </w:p>
        </w:tc>
        <w:tc>
          <w:tcPr>
            <w:tcW w:w="7505" w:type="dxa"/>
          </w:tcPr>
          <w:p w14:paraId="05808097" w14:textId="77777777" w:rsidR="00BB1273" w:rsidRPr="00594970" w:rsidRDefault="00BB1273" w:rsidP="00D375E3">
            <w:pPr>
              <w:pStyle w:val="TableText"/>
            </w:pPr>
            <w:r w:rsidRPr="00594970">
              <w:t xml:space="preserve">Public Governance, Performance, and Accountability Act 2013 </w:t>
            </w:r>
          </w:p>
        </w:tc>
      </w:tr>
      <w:tr w:rsidR="00475FA6" w:rsidRPr="00594970" w14:paraId="5D5CFE72" w14:textId="77777777" w:rsidTr="005C2636">
        <w:tc>
          <w:tcPr>
            <w:tcW w:w="1555" w:type="dxa"/>
          </w:tcPr>
          <w:p w14:paraId="369FDD90" w14:textId="1ED8B8A3" w:rsidR="00475FA6" w:rsidRPr="00594970" w:rsidRDefault="00475FA6" w:rsidP="00D375E3">
            <w:pPr>
              <w:pStyle w:val="TableText"/>
            </w:pPr>
            <w:r>
              <w:t>Pre-ERC</w:t>
            </w:r>
          </w:p>
        </w:tc>
        <w:tc>
          <w:tcPr>
            <w:tcW w:w="7505" w:type="dxa"/>
          </w:tcPr>
          <w:p w14:paraId="2E03A851" w14:textId="219AAA27" w:rsidR="00475FA6" w:rsidRPr="00594970" w:rsidRDefault="00475FA6" w:rsidP="00D375E3">
            <w:pPr>
              <w:pStyle w:val="TableText"/>
            </w:pPr>
            <w:r w:rsidRPr="00475FA6">
              <w:t>Pr</w:t>
            </w:r>
            <w:r>
              <w:t>e-Expenditure Review Committee</w:t>
            </w:r>
          </w:p>
        </w:tc>
      </w:tr>
      <w:tr w:rsidR="001A43FA" w:rsidRPr="00594970" w14:paraId="32EBC1C5" w14:textId="77777777" w:rsidTr="005C2636">
        <w:tc>
          <w:tcPr>
            <w:tcW w:w="1555" w:type="dxa"/>
          </w:tcPr>
          <w:p w14:paraId="539965B7" w14:textId="58218267" w:rsidR="001A43FA" w:rsidRPr="00594970" w:rsidRDefault="001A43FA" w:rsidP="00D375E3">
            <w:pPr>
              <w:pStyle w:val="TableText"/>
            </w:pPr>
            <w:r w:rsidRPr="00594970">
              <w:t>ROU Asset</w:t>
            </w:r>
          </w:p>
        </w:tc>
        <w:tc>
          <w:tcPr>
            <w:tcW w:w="7505" w:type="dxa"/>
          </w:tcPr>
          <w:p w14:paraId="3EE0034F" w14:textId="280BD5A9" w:rsidR="001A43FA" w:rsidRPr="00594970" w:rsidRDefault="001A43FA" w:rsidP="00D375E3">
            <w:pPr>
              <w:pStyle w:val="TableText"/>
            </w:pPr>
            <w:r w:rsidRPr="00594970">
              <w:t>Right-of-</w:t>
            </w:r>
            <w:r w:rsidR="00FB21C0">
              <w:t>U</w:t>
            </w:r>
            <w:r w:rsidRPr="00594970">
              <w:t xml:space="preserve">se </w:t>
            </w:r>
            <w:r w:rsidR="00FB21C0">
              <w:t>A</w:t>
            </w:r>
            <w:r w:rsidRPr="00594970">
              <w:t>sset</w:t>
            </w:r>
          </w:p>
        </w:tc>
      </w:tr>
    </w:tbl>
    <w:p w14:paraId="57F537D4" w14:textId="77777777" w:rsidR="00BB1273" w:rsidRPr="00594970" w:rsidRDefault="00BB1273" w:rsidP="00BB1273">
      <w:r w:rsidRPr="00594970">
        <w:br w:type="page"/>
      </w:r>
    </w:p>
    <w:p w14:paraId="3BFFF7F9" w14:textId="6E07712C" w:rsidR="00BB1273" w:rsidRPr="00594970" w:rsidRDefault="00FC797D" w:rsidP="004A02E5">
      <w:pPr>
        <w:pStyle w:val="Heading1Numbered"/>
      </w:pPr>
      <w:bookmarkStart w:id="4" w:name="_Toc26963533"/>
      <w:r w:rsidRPr="00594970">
        <w:lastRenderedPageBreak/>
        <w:t>20</w:t>
      </w:r>
      <w:r w:rsidR="00336FAD" w:rsidRPr="00594970">
        <w:t>19-20</w:t>
      </w:r>
      <w:r w:rsidR="00BB1273" w:rsidRPr="00594970">
        <w:t xml:space="preserve"> </w:t>
      </w:r>
      <w:bookmarkStart w:id="5" w:name="_bookmark1"/>
      <w:bookmarkEnd w:id="5"/>
      <w:r w:rsidR="00BB1273" w:rsidRPr="00594970">
        <w:t xml:space="preserve">Portfolio Additional Estimates Statements </w:t>
      </w:r>
      <w:r w:rsidR="00996E28" w:rsidRPr="00594970">
        <w:t xml:space="preserve">- General </w:t>
      </w:r>
      <w:r w:rsidR="00BB1273" w:rsidRPr="00594970">
        <w:t>Guidance</w:t>
      </w:r>
      <w:bookmarkEnd w:id="4"/>
    </w:p>
    <w:p w14:paraId="79477EF0" w14:textId="77777777" w:rsidR="00BB1273" w:rsidRPr="00594970" w:rsidRDefault="00BB1273" w:rsidP="005C2636">
      <w:pPr>
        <w:pBdr>
          <w:bottom w:val="single" w:sz="6" w:space="1" w:color="auto"/>
        </w:pBdr>
      </w:pPr>
    </w:p>
    <w:p w14:paraId="54273BF6" w14:textId="47B4890C" w:rsidR="005468B0" w:rsidRPr="00594970" w:rsidRDefault="000859BE" w:rsidP="00F31EC9">
      <w:pPr>
        <w:pStyle w:val="Heading2"/>
      </w:pPr>
      <w:bookmarkStart w:id="6" w:name="The_purpose_of_the_Portfolio_Budget_Esti"/>
      <w:bookmarkStart w:id="7" w:name="_bookmark2"/>
      <w:bookmarkStart w:id="8" w:name="_Toc26963534"/>
      <w:bookmarkEnd w:id="6"/>
      <w:bookmarkEnd w:id="7"/>
      <w:r w:rsidRPr="00594970">
        <w:t xml:space="preserve">The purpose of the Portfolio </w:t>
      </w:r>
      <w:r w:rsidR="00336FAD" w:rsidRPr="00594970">
        <w:t>Additional Estimates</w:t>
      </w:r>
      <w:r w:rsidRPr="00594970">
        <w:t xml:space="preserve"> Statements</w:t>
      </w:r>
      <w:bookmarkEnd w:id="8"/>
    </w:p>
    <w:p w14:paraId="7268D54C" w14:textId="648804D9" w:rsidR="00855D03" w:rsidRPr="00594970" w:rsidRDefault="000859BE" w:rsidP="0059606C">
      <w:r w:rsidRPr="00594970">
        <w:t xml:space="preserve">The Portfolio Additional Estimates Statements (PAES) </w:t>
      </w:r>
      <w:r w:rsidR="00855D03" w:rsidRPr="00594970">
        <w:t xml:space="preserve">provide an update to Parliament on </w:t>
      </w:r>
      <w:r w:rsidR="00F460F8" w:rsidRPr="00594970">
        <w:t xml:space="preserve">updated </w:t>
      </w:r>
      <w:r w:rsidR="00855D03" w:rsidRPr="00594970">
        <w:t xml:space="preserve">entity </w:t>
      </w:r>
      <w:r w:rsidRPr="00594970">
        <w:t>ex</w:t>
      </w:r>
      <w:r w:rsidR="006108C8" w:rsidRPr="00594970">
        <w:t xml:space="preserve">penditure estimates for the </w:t>
      </w:r>
      <w:r w:rsidR="00336FAD" w:rsidRPr="00594970">
        <w:t>2019-20</w:t>
      </w:r>
      <w:r w:rsidRPr="00594970">
        <w:t xml:space="preserve"> budget year and reflect changes since the Budget. </w:t>
      </w:r>
      <w:r w:rsidR="00855D03" w:rsidRPr="00594970">
        <w:t>The PAES should be considered a supplement to the Portfolio Budget Statements (PB Statements) explaining subsequent changes to Budget estimates as they appear in the Additional Estimates Appropriation Bills</w:t>
      </w:r>
      <w:r w:rsidR="008C7DE7" w:rsidRPr="00594970">
        <w:t xml:space="preserve"> No. 3 and 4</w:t>
      </w:r>
      <w:r w:rsidR="00855D03" w:rsidRPr="00594970">
        <w:t>.</w:t>
      </w:r>
    </w:p>
    <w:p w14:paraId="3ACBCC74" w14:textId="77777777" w:rsidR="00855D03" w:rsidRPr="00594970" w:rsidRDefault="000859BE" w:rsidP="0059606C">
      <w:r w:rsidRPr="00594970">
        <w:t>PAES also inform Senators, Members of Parliament and the public of changes in the proposed allocation of resources to entities within the portfolio.</w:t>
      </w:r>
    </w:p>
    <w:p w14:paraId="376F641E" w14:textId="77777777" w:rsidR="00855D03" w:rsidRPr="00594970" w:rsidRDefault="000859BE" w:rsidP="0059606C">
      <w:r w:rsidRPr="00594970">
        <w:t>PAES must contain sufficient information, explanation and justification to enable Parliament to understand the purpose of each item in the Bill(s).</w:t>
      </w:r>
    </w:p>
    <w:p w14:paraId="4760B4E8" w14:textId="444AA641" w:rsidR="00855D03" w:rsidRPr="00594970" w:rsidRDefault="00855D03" w:rsidP="0059606C">
      <w:r w:rsidRPr="00594970">
        <w:t xml:space="preserve">PAES perform a legal function under the </w:t>
      </w:r>
      <w:r w:rsidRPr="00594970">
        <w:rPr>
          <w:i/>
        </w:rPr>
        <w:t>Acts Interpretation Act 1901</w:t>
      </w:r>
      <w:r w:rsidRPr="00594970">
        <w:t xml:space="preserve"> as relevant documents to aid the interpretation of the </w:t>
      </w:r>
      <w:r w:rsidRPr="00594970">
        <w:rPr>
          <w:i/>
        </w:rPr>
        <w:t xml:space="preserve">Appropriation Bills (Nos. 3 and 4) </w:t>
      </w:r>
      <w:r w:rsidR="00336FAD" w:rsidRPr="00594970">
        <w:rPr>
          <w:i/>
        </w:rPr>
        <w:t>2019-20</w:t>
      </w:r>
      <w:r w:rsidRPr="00594970">
        <w:t xml:space="preserve">, and </w:t>
      </w:r>
      <w:r w:rsidRPr="00594970">
        <w:rPr>
          <w:i/>
        </w:rPr>
        <w:t>Appropriation (Parliamentar</w:t>
      </w:r>
      <w:r w:rsidR="006108C8" w:rsidRPr="00594970">
        <w:rPr>
          <w:i/>
        </w:rPr>
        <w:t xml:space="preserve">y Departments) Bill (No. 2) </w:t>
      </w:r>
      <w:r w:rsidR="00336FAD" w:rsidRPr="00594970">
        <w:rPr>
          <w:i/>
        </w:rPr>
        <w:t>2019-20</w:t>
      </w:r>
      <w:r w:rsidRPr="00594970">
        <w:rPr>
          <w:i/>
        </w:rPr>
        <w:t>.</w:t>
      </w:r>
    </w:p>
    <w:p w14:paraId="6408F23C" w14:textId="7ED8F0C3" w:rsidR="000859BE" w:rsidRPr="00594970" w:rsidRDefault="00855D03" w:rsidP="0059606C">
      <w:r w:rsidRPr="00594970">
        <w:t>The PAES</w:t>
      </w:r>
      <w:r w:rsidR="000859BE" w:rsidRPr="00594970">
        <w:t xml:space="preserve"> show how the information in the Bills relate to entities’ outcomes and programs. PAES should be reported at an appropriate level, with regard</w:t>
      </w:r>
      <w:r w:rsidR="00DD5836" w:rsidRPr="00594970">
        <w:t>s</w:t>
      </w:r>
      <w:r w:rsidR="000859BE" w:rsidRPr="00594970">
        <w:t xml:space="preserve"> to materiality as well as parliamentary and public interest.</w:t>
      </w:r>
    </w:p>
    <w:p w14:paraId="4641CC5A" w14:textId="77777777" w:rsidR="00855D03" w:rsidRPr="00594970" w:rsidRDefault="000859BE" w:rsidP="0059606C">
      <w:r w:rsidRPr="00594970">
        <w:t xml:space="preserve">It is important for entities to report new outcomes or changes to the wording of existing outcome statements as approved by the Minister for Finance. All new programs and/or new administered items appearing in the PAES document require performance information. </w:t>
      </w:r>
    </w:p>
    <w:p w14:paraId="65496964" w14:textId="63997148" w:rsidR="000859BE" w:rsidRPr="00594970" w:rsidRDefault="000859BE" w:rsidP="0059606C">
      <w:r w:rsidRPr="00594970">
        <w:t>Where Administrative Arrangement</w:t>
      </w:r>
      <w:r w:rsidR="005F4B4A" w:rsidRPr="00594970">
        <w:t>s Order</w:t>
      </w:r>
      <w:r w:rsidR="00855D03" w:rsidRPr="00594970">
        <w:t>s</w:t>
      </w:r>
      <w:r w:rsidRPr="00594970">
        <w:t xml:space="preserve"> (AAO) or Machinery of Government (MOG) changes have occurred since Budget and the entity is </w:t>
      </w:r>
      <w:r w:rsidR="00855D03" w:rsidRPr="00594970">
        <w:t>required to produce</w:t>
      </w:r>
      <w:r w:rsidRPr="00594970">
        <w:t xml:space="preserve"> a PAES, it must report the</w:t>
      </w:r>
      <w:r w:rsidR="00C315AA" w:rsidRPr="00594970">
        <w:t>se</w:t>
      </w:r>
      <w:r w:rsidRPr="00594970">
        <w:t xml:space="preserve"> changes in their PAES</w:t>
      </w:r>
      <w:r w:rsidR="00EA0E58" w:rsidRPr="00594970">
        <w:t xml:space="preserve"> </w:t>
      </w:r>
      <w:r w:rsidR="00EA0E58" w:rsidRPr="00594970">
        <w:rPr>
          <w:rFonts w:ascii="Arial" w:eastAsia="Times New Roman" w:hAnsi="Arial" w:cs="Arial"/>
          <w:lang w:eastAsia="en-AU"/>
        </w:rPr>
        <w:t>as well</w:t>
      </w:r>
      <w:r w:rsidRPr="00594970">
        <w:t>.</w:t>
      </w:r>
    </w:p>
    <w:p w14:paraId="29B728C8" w14:textId="444E855B" w:rsidR="000859BE" w:rsidRPr="00594970" w:rsidRDefault="000859BE" w:rsidP="00F31EC9">
      <w:pPr>
        <w:pStyle w:val="Heading2"/>
      </w:pPr>
      <w:bookmarkStart w:id="9" w:name="_bookmark3"/>
      <w:bookmarkStart w:id="10" w:name="_Toc26963535"/>
      <w:bookmarkEnd w:id="9"/>
      <w:r w:rsidRPr="00594970">
        <w:t xml:space="preserve">Changes for the </w:t>
      </w:r>
      <w:r w:rsidR="00413CAC" w:rsidRPr="00594970">
        <w:t>2019-20</w:t>
      </w:r>
      <w:r w:rsidR="006108C8" w:rsidRPr="00594970">
        <w:t xml:space="preserve"> </w:t>
      </w:r>
      <w:r w:rsidRPr="00594970">
        <w:t>PAES</w:t>
      </w:r>
      <w:bookmarkEnd w:id="10"/>
    </w:p>
    <w:p w14:paraId="6BC6EDB0" w14:textId="06D6A507" w:rsidR="00E97006" w:rsidRPr="00594970" w:rsidRDefault="00E97006" w:rsidP="00F31EC9">
      <w:pPr>
        <w:pStyle w:val="Heading3"/>
      </w:pPr>
      <w:bookmarkStart w:id="11" w:name="_Toc26963536"/>
      <w:r w:rsidRPr="00594970">
        <w:t xml:space="preserve">AASB 16 </w:t>
      </w:r>
      <w:r w:rsidRPr="00594970">
        <w:rPr>
          <w:i/>
        </w:rPr>
        <w:t>Leases</w:t>
      </w:r>
      <w:bookmarkEnd w:id="11"/>
    </w:p>
    <w:p w14:paraId="596D25DF" w14:textId="515E0C36" w:rsidR="00ED46D2" w:rsidRPr="00594970" w:rsidRDefault="00381626" w:rsidP="0059606C">
      <w:r w:rsidRPr="00594970">
        <w:t xml:space="preserve">The 2019-20 PAES will be </w:t>
      </w:r>
      <w:r w:rsidR="00990498" w:rsidRPr="00594970">
        <w:t xml:space="preserve">the </w:t>
      </w:r>
      <w:r w:rsidRPr="00594970">
        <w:t xml:space="preserve">first set of Budget documents with changes as a consequence of AASB 16 </w:t>
      </w:r>
      <w:r w:rsidRPr="00594970">
        <w:rPr>
          <w:i/>
        </w:rPr>
        <w:t>Leases</w:t>
      </w:r>
      <w:r w:rsidRPr="00594970">
        <w:t xml:space="preserve">. The </w:t>
      </w:r>
      <w:r w:rsidR="00ED46D2" w:rsidRPr="00594970">
        <w:t xml:space="preserve">Excel </w:t>
      </w:r>
      <w:r w:rsidRPr="00594970">
        <w:t>template</w:t>
      </w:r>
      <w:r w:rsidR="00ED46D2" w:rsidRPr="00594970">
        <w:t xml:space="preserve">s in </w:t>
      </w:r>
      <w:r w:rsidR="00ED46D2" w:rsidRPr="00594970">
        <w:rPr>
          <w:u w:val="single"/>
        </w:rPr>
        <w:t>Attachment G</w:t>
      </w:r>
      <w:r w:rsidRPr="00594970">
        <w:t xml:space="preserve"> provides the new line-items</w:t>
      </w:r>
      <w:r w:rsidR="00ED46D2" w:rsidRPr="00594970">
        <w:t xml:space="preserve"> and accounts</w:t>
      </w:r>
      <w:r w:rsidRPr="00594970">
        <w:t xml:space="preserve"> which entities </w:t>
      </w:r>
      <w:r w:rsidR="00990498" w:rsidRPr="00594970">
        <w:t>are</w:t>
      </w:r>
      <w:r w:rsidRPr="00594970">
        <w:t xml:space="preserve"> to </w:t>
      </w:r>
      <w:r w:rsidR="008B10A7" w:rsidRPr="00594970">
        <w:t xml:space="preserve">include in </w:t>
      </w:r>
      <w:r w:rsidR="00990498" w:rsidRPr="00594970">
        <w:t>their PAES tables</w:t>
      </w:r>
      <w:r w:rsidR="008B10A7" w:rsidRPr="00594970">
        <w:t xml:space="preserve">. </w:t>
      </w:r>
      <w:r w:rsidRPr="00594970">
        <w:t xml:space="preserve">The </w:t>
      </w:r>
      <w:r w:rsidR="006865DD" w:rsidRPr="00594970">
        <w:t xml:space="preserve">Statutory </w:t>
      </w:r>
      <w:r w:rsidRPr="00594970">
        <w:t xml:space="preserve">PAES reports </w:t>
      </w:r>
      <w:r w:rsidR="006865DD" w:rsidRPr="00594970">
        <w:t>available</w:t>
      </w:r>
      <w:r w:rsidRPr="00594970">
        <w:t xml:space="preserve"> </w:t>
      </w:r>
      <w:r w:rsidR="006865DD" w:rsidRPr="00594970">
        <w:t xml:space="preserve">from </w:t>
      </w:r>
      <w:r w:rsidR="00990498" w:rsidRPr="00594970">
        <w:t xml:space="preserve">the </w:t>
      </w:r>
      <w:r w:rsidRPr="00594970">
        <w:t>Central Budget Management System (CBMS) ha</w:t>
      </w:r>
      <w:r w:rsidR="006865DD" w:rsidRPr="00594970">
        <w:t>ve</w:t>
      </w:r>
      <w:r w:rsidRPr="00594970">
        <w:t xml:space="preserve"> not yet been update</w:t>
      </w:r>
      <w:r w:rsidR="00990498" w:rsidRPr="00594970">
        <w:t xml:space="preserve">d </w:t>
      </w:r>
      <w:r w:rsidR="006865DD" w:rsidRPr="00594970">
        <w:t xml:space="preserve">to align </w:t>
      </w:r>
      <w:r w:rsidR="00990498" w:rsidRPr="00594970">
        <w:t>with the new leasing account</w:t>
      </w:r>
      <w:r w:rsidR="006865DD" w:rsidRPr="00594970">
        <w:t xml:space="preserve"> codes created</w:t>
      </w:r>
      <w:r w:rsidR="00990498" w:rsidRPr="00594970">
        <w:t>.</w:t>
      </w:r>
    </w:p>
    <w:p w14:paraId="27ED9478" w14:textId="77777777" w:rsidR="00087BA9" w:rsidRPr="00594970" w:rsidRDefault="00087BA9" w:rsidP="0059606C">
      <w:r w:rsidRPr="00594970">
        <w:br w:type="page"/>
      </w:r>
    </w:p>
    <w:p w14:paraId="0B762161" w14:textId="6CF902CE" w:rsidR="00087BA9" w:rsidRPr="00594970" w:rsidRDefault="006865DD" w:rsidP="0059606C">
      <w:r w:rsidRPr="00594970">
        <w:lastRenderedPageBreak/>
        <w:t>This means entities will have to</w:t>
      </w:r>
      <w:r w:rsidR="00087BA9" w:rsidRPr="00594970">
        <w:t>:</w:t>
      </w:r>
    </w:p>
    <w:p w14:paraId="78681BE8" w14:textId="47A2E9C5" w:rsidR="00087BA9" w:rsidRPr="00594970" w:rsidRDefault="004A2056" w:rsidP="000137C6">
      <w:pPr>
        <w:pStyle w:val="ListNumber2"/>
      </w:pPr>
      <w:r>
        <w:t>For the Budgeted expenses by outcome table r</w:t>
      </w:r>
      <w:r w:rsidR="00087BA9" w:rsidRPr="00594970">
        <w:t xml:space="preserve">eflect the </w:t>
      </w:r>
      <w:r w:rsidR="00A95EBC" w:rsidRPr="00594970">
        <w:rPr>
          <w:i/>
        </w:rPr>
        <w:t>Interest on ROU</w:t>
      </w:r>
      <w:r w:rsidR="00A95EBC" w:rsidRPr="00594970">
        <w:t xml:space="preserve"> and </w:t>
      </w:r>
      <w:r w:rsidR="00A95EBC" w:rsidRPr="00594970">
        <w:rPr>
          <w:i/>
        </w:rPr>
        <w:t>Depreciation of ROU</w:t>
      </w:r>
      <w:r w:rsidR="00A95EBC" w:rsidRPr="00594970">
        <w:t xml:space="preserve"> </w:t>
      </w:r>
      <w:r>
        <w:t xml:space="preserve">to be </w:t>
      </w:r>
      <w:r w:rsidR="00A95EBC" w:rsidRPr="00594970">
        <w:t>reported as part of Departmental Appropriation Expenses.</w:t>
      </w:r>
    </w:p>
    <w:p w14:paraId="1458E65E" w14:textId="63349720" w:rsidR="006865DD" w:rsidRPr="00594970" w:rsidRDefault="0051366A" w:rsidP="000137C6">
      <w:pPr>
        <w:pStyle w:val="ListNumber2"/>
      </w:pPr>
      <w:r w:rsidRPr="00594970">
        <w:t>Manually</w:t>
      </w:r>
      <w:r w:rsidR="006865DD" w:rsidRPr="00594970">
        <w:t xml:space="preserve"> derive the leasing component</w:t>
      </w:r>
      <w:r w:rsidR="001D2B93" w:rsidRPr="00594970">
        <w:t>s</w:t>
      </w:r>
      <w:r w:rsidR="006865DD" w:rsidRPr="00594970">
        <w:t xml:space="preserve"> in their Part 3 Budgeted Financial Statements.</w:t>
      </w:r>
      <w:r w:rsidR="007D1294" w:rsidRPr="00594970">
        <w:br/>
      </w:r>
      <w:r w:rsidR="007D1294" w:rsidRPr="00594970">
        <w:br/>
        <w:t xml:space="preserve">Refer to the </w:t>
      </w:r>
      <w:r w:rsidR="007D1294" w:rsidRPr="00594970">
        <w:rPr>
          <w:i/>
        </w:rPr>
        <w:t>Changes to the PAES tables</w:t>
      </w:r>
      <w:r w:rsidR="007D1294" w:rsidRPr="00594970">
        <w:t xml:space="preserve"> section included in </w:t>
      </w:r>
      <w:r w:rsidR="007D1294" w:rsidRPr="00594970">
        <w:rPr>
          <w:i/>
          <w:u w:val="single"/>
        </w:rPr>
        <w:t xml:space="preserve">Attachment </w:t>
      </w:r>
      <w:proofErr w:type="gramStart"/>
      <w:r w:rsidR="007D1294" w:rsidRPr="00594970">
        <w:rPr>
          <w:i/>
          <w:u w:val="single"/>
        </w:rPr>
        <w:t>A</w:t>
      </w:r>
      <w:proofErr w:type="gramEnd"/>
      <w:r w:rsidR="007D1294" w:rsidRPr="00594970">
        <w:rPr>
          <w:i/>
        </w:rPr>
        <w:t xml:space="preserve"> Key information, changes and deadlines</w:t>
      </w:r>
      <w:r w:rsidR="007D1294" w:rsidRPr="00594970">
        <w:t xml:space="preserve"> for a complete list of changes applied to PAES tables.</w:t>
      </w:r>
    </w:p>
    <w:p w14:paraId="6CE2F5CD" w14:textId="5DC9DF91" w:rsidR="006865DD" w:rsidRPr="00594970" w:rsidRDefault="006865DD" w:rsidP="0059606C">
      <w:r w:rsidRPr="00594970">
        <w:t xml:space="preserve">A document exists that provides </w:t>
      </w:r>
      <w:r w:rsidR="00E97006" w:rsidRPr="00594970">
        <w:t xml:space="preserve">suggested </w:t>
      </w:r>
      <w:r w:rsidRPr="00594970">
        <w:t xml:space="preserve">mappings </w:t>
      </w:r>
      <w:r w:rsidR="00E97006" w:rsidRPr="00594970">
        <w:t xml:space="preserve">to derive </w:t>
      </w:r>
      <w:r w:rsidR="00ED46D2" w:rsidRPr="00594970">
        <w:t>tables</w:t>
      </w:r>
      <w:r w:rsidR="001D2B93" w:rsidRPr="00594970">
        <w:t>. This</w:t>
      </w:r>
      <w:r w:rsidR="00ED46D2" w:rsidRPr="00594970">
        <w:t xml:space="preserve"> </w:t>
      </w:r>
      <w:r w:rsidR="001D2B93" w:rsidRPr="00594970">
        <w:t xml:space="preserve">is </w:t>
      </w:r>
      <w:r w:rsidR="00ED46D2" w:rsidRPr="00594970">
        <w:t xml:space="preserve">available </w:t>
      </w:r>
      <w:r w:rsidRPr="00594970">
        <w:t>from:</w:t>
      </w:r>
    </w:p>
    <w:p w14:paraId="2AA03D35" w14:textId="321020AA" w:rsidR="00ED46D2" w:rsidRPr="00594970" w:rsidRDefault="00ED46D2" w:rsidP="006B060B">
      <w:pPr>
        <w:pStyle w:val="CBMSReportPath"/>
        <w:ind w:left="720"/>
      </w:pPr>
      <w:r w:rsidRPr="00594970">
        <w:t xml:space="preserve">CBMS User Reference Material </w:t>
      </w:r>
      <w:r w:rsidR="006865DD" w:rsidRPr="00594970">
        <w:sym w:font="Wingdings" w:char="F0E0"/>
      </w:r>
      <w:r w:rsidRPr="00594970">
        <w:t xml:space="preserve"> 09. Reference Material </w:t>
      </w:r>
      <w:r w:rsidR="006865DD" w:rsidRPr="00594970">
        <w:sym w:font="Wingdings" w:char="F0E0"/>
      </w:r>
      <w:r w:rsidRPr="00594970">
        <w:t xml:space="preserve"> CBMS </w:t>
      </w:r>
      <w:r w:rsidR="006865DD" w:rsidRPr="00594970">
        <w:sym w:font="Wingdings" w:char="F0E0"/>
      </w:r>
      <w:r w:rsidRPr="00594970">
        <w:t xml:space="preserve"> Annual Estimates </w:t>
      </w:r>
      <w:r w:rsidR="006865DD" w:rsidRPr="00594970">
        <w:sym w:font="Wingdings" w:char="F0E0"/>
      </w:r>
      <w:r w:rsidRPr="00594970">
        <w:t xml:space="preserve"> PBS, PAES &amp; PSAES Mappings</w:t>
      </w:r>
    </w:p>
    <w:p w14:paraId="24B5B29A" w14:textId="1BC689C6" w:rsidR="008B10A7" w:rsidRPr="00594970" w:rsidRDefault="00990498" w:rsidP="0059606C">
      <w:r w:rsidRPr="00594970">
        <w:t>To source the data</w:t>
      </w:r>
      <w:r w:rsidR="002C2ACF" w:rsidRPr="00594970">
        <w:t xml:space="preserve"> for the new leasing accounts</w:t>
      </w:r>
      <w:r w:rsidR="008B10A7" w:rsidRPr="00594970">
        <w:t>, e</w:t>
      </w:r>
      <w:r w:rsidR="0089728B" w:rsidRPr="00594970">
        <w:t xml:space="preserve">ntities may use </w:t>
      </w:r>
      <w:r w:rsidR="008B10A7" w:rsidRPr="00594970">
        <w:t xml:space="preserve">the </w:t>
      </w:r>
      <w:r w:rsidR="002C2ACF" w:rsidRPr="00594970">
        <w:t xml:space="preserve">following </w:t>
      </w:r>
      <w:r w:rsidR="008B10A7" w:rsidRPr="00594970">
        <w:t>CBMS reports:</w:t>
      </w:r>
    </w:p>
    <w:p w14:paraId="703BDCE4" w14:textId="6C074C3E" w:rsidR="008B10A7" w:rsidRPr="00594970" w:rsidRDefault="0089728B" w:rsidP="0059606C">
      <w:pPr>
        <w:pStyle w:val="ListBullet2"/>
      </w:pPr>
      <w:r w:rsidRPr="00594970">
        <w:t xml:space="preserve">AE.OR.01 </w:t>
      </w:r>
      <w:r w:rsidR="00990498" w:rsidRPr="00594970">
        <w:t>Annual Estimates Financial Statements</w:t>
      </w:r>
    </w:p>
    <w:p w14:paraId="07B5FD32" w14:textId="6162DAB5" w:rsidR="00ED46D2" w:rsidRPr="00594970" w:rsidRDefault="008B10A7" w:rsidP="0059606C">
      <w:pPr>
        <w:pStyle w:val="ListBullet2"/>
      </w:pPr>
      <w:r w:rsidRPr="00594970">
        <w:t>AE.OR.13 Annual Estimat</w:t>
      </w:r>
      <w:r w:rsidR="00D61671" w:rsidRPr="00594970">
        <w:t>es Detail Listing AEIFRS Report</w:t>
      </w:r>
    </w:p>
    <w:p w14:paraId="286D32B6" w14:textId="28839494" w:rsidR="00E97006" w:rsidRPr="00594970" w:rsidRDefault="00E97006" w:rsidP="00F31EC9">
      <w:pPr>
        <w:pStyle w:val="Heading3"/>
      </w:pPr>
      <w:bookmarkStart w:id="12" w:name="_Toc26963537"/>
      <w:r w:rsidRPr="00594970">
        <w:t>PEFO and Election Commitments</w:t>
      </w:r>
      <w:bookmarkEnd w:id="12"/>
    </w:p>
    <w:p w14:paraId="0FCA1BD8" w14:textId="05E5CA92" w:rsidR="005F5855" w:rsidRPr="00594970" w:rsidRDefault="005F5855" w:rsidP="0059606C">
      <w:r w:rsidRPr="00594970">
        <w:t xml:space="preserve">Due to the </w:t>
      </w:r>
      <w:r w:rsidR="00942104" w:rsidRPr="00594970">
        <w:t>timing of</w:t>
      </w:r>
      <w:r w:rsidRPr="00594970">
        <w:t xml:space="preserve"> the 2019-20 Budget, the 2019 Federal Election, PEFO and Election Commitments including the Government’s cross-portfolio Savings Efficiency Dividend announced after the delivery of the 2019- 20 Budget a number of these decisions were not reported to Parliament as part of PB a Statement.</w:t>
      </w:r>
    </w:p>
    <w:p w14:paraId="2E82CB8F" w14:textId="53F164D7" w:rsidR="00E97006" w:rsidRPr="00594970" w:rsidRDefault="00E97006" w:rsidP="0059606C">
      <w:r w:rsidRPr="00594970">
        <w:t xml:space="preserve">Guidance material has been included for entities on how to report these measures in their PAES </w:t>
      </w:r>
      <w:r w:rsidRPr="00594970">
        <w:rPr>
          <w:i/>
        </w:rPr>
        <w:t xml:space="preserve">Table 1.2 Entity 2019-20 Measures </w:t>
      </w:r>
      <w:proofErr w:type="gramStart"/>
      <w:r w:rsidRPr="00594970">
        <w:rPr>
          <w:i/>
        </w:rPr>
        <w:t>Since</w:t>
      </w:r>
      <w:proofErr w:type="gramEnd"/>
      <w:r w:rsidRPr="00594970">
        <w:rPr>
          <w:i/>
        </w:rPr>
        <w:t xml:space="preserve"> Budget</w:t>
      </w:r>
      <w:r w:rsidRPr="00594970">
        <w:t xml:space="preserve">.  Please refer to </w:t>
      </w:r>
      <w:r w:rsidRPr="00594970">
        <w:rPr>
          <w:u w:val="single"/>
        </w:rPr>
        <w:t>parts 5.4.</w:t>
      </w:r>
      <w:r w:rsidR="005F5855" w:rsidRPr="00594970">
        <w:rPr>
          <w:u w:val="single"/>
        </w:rPr>
        <w:t>1</w:t>
      </w:r>
      <w:r w:rsidR="005F5855" w:rsidRPr="00594970">
        <w:t xml:space="preserve"> and</w:t>
      </w:r>
      <w:r w:rsidRPr="00594970">
        <w:t xml:space="preserve"> </w:t>
      </w:r>
      <w:r w:rsidRPr="00594970">
        <w:rPr>
          <w:u w:val="single"/>
        </w:rPr>
        <w:t>5.4.2</w:t>
      </w:r>
      <w:r w:rsidR="005F5855" w:rsidRPr="00594970">
        <w:t xml:space="preserve"> included in this guide</w:t>
      </w:r>
      <w:r w:rsidRPr="00594970">
        <w:t>.</w:t>
      </w:r>
    </w:p>
    <w:p w14:paraId="69873173" w14:textId="56BE4DF8" w:rsidR="000859BE" w:rsidRPr="00594970" w:rsidRDefault="000859BE" w:rsidP="00F31EC9">
      <w:pPr>
        <w:pStyle w:val="Heading2"/>
      </w:pPr>
      <w:bookmarkStart w:id="13" w:name="Clear_Read_Principle"/>
      <w:bookmarkStart w:id="14" w:name="_bookmark4"/>
      <w:bookmarkStart w:id="15" w:name="_Toc26963538"/>
      <w:bookmarkEnd w:id="13"/>
      <w:bookmarkEnd w:id="14"/>
      <w:r w:rsidRPr="00594970">
        <w:t>Clear Read Principle</w:t>
      </w:r>
      <w:bookmarkEnd w:id="15"/>
    </w:p>
    <w:p w14:paraId="0280FEF1" w14:textId="57458DEB" w:rsidR="000859BE" w:rsidRPr="00594970" w:rsidRDefault="00A71F54" w:rsidP="0059606C">
      <w:r w:rsidRPr="00594970">
        <w:t xml:space="preserve">There </w:t>
      </w:r>
      <w:r w:rsidR="000859BE" w:rsidRPr="00594970">
        <w:t xml:space="preserve">must be a clear linkage (a clear read) from the Appropriation Bills and PB Statements to </w:t>
      </w:r>
      <w:r w:rsidR="0012380C" w:rsidRPr="00594970">
        <w:t>the PAES and ultimately to the e</w:t>
      </w:r>
      <w:r w:rsidR="000859BE" w:rsidRPr="00594970">
        <w:t>ntity</w:t>
      </w:r>
      <w:r w:rsidR="0015671F" w:rsidRPr="00594970">
        <w:t>’s</w:t>
      </w:r>
      <w:r w:rsidR="000859BE" w:rsidRPr="00594970">
        <w:t xml:space="preserve"> Annual Report. All financial and non-financial performance information projected in the PB Statements and PAES will need to be reported retrospectively in the Annual Report.</w:t>
      </w:r>
    </w:p>
    <w:p w14:paraId="29C12830" w14:textId="09ED9B44" w:rsidR="000859BE" w:rsidRPr="00594970" w:rsidRDefault="006108C8" w:rsidP="0059606C">
      <w:r w:rsidRPr="00594970">
        <w:t xml:space="preserve">The </w:t>
      </w:r>
      <w:r w:rsidR="00FC2C10" w:rsidRPr="00594970">
        <w:t>2019-20</w:t>
      </w:r>
      <w:r w:rsidR="000859BE" w:rsidRPr="00594970">
        <w:t xml:space="preserve"> PAES will cover the actuals year (</w:t>
      </w:r>
      <w:r w:rsidR="00FC2C10" w:rsidRPr="00594970">
        <w:t>2018-19</w:t>
      </w:r>
      <w:r w:rsidR="000859BE" w:rsidRPr="00594970">
        <w:t>), the revised budget year (</w:t>
      </w:r>
      <w:r w:rsidR="00FC2C10" w:rsidRPr="00594970">
        <w:t>2019-20</w:t>
      </w:r>
      <w:r w:rsidR="000859BE" w:rsidRPr="00594970">
        <w:t>) and th</w:t>
      </w:r>
      <w:r w:rsidRPr="00594970">
        <w:t>e forward estimates years (</w:t>
      </w:r>
      <w:r w:rsidR="00FC2C10" w:rsidRPr="00594970">
        <w:t>2020</w:t>
      </w:r>
      <w:r w:rsidR="005524D8" w:rsidRPr="00594970">
        <w:t>-21</w:t>
      </w:r>
      <w:r w:rsidRPr="00594970">
        <w:t xml:space="preserve"> to </w:t>
      </w:r>
      <w:r w:rsidR="00FC2C10" w:rsidRPr="00594970">
        <w:t>2022-23</w:t>
      </w:r>
      <w:r w:rsidR="000859BE" w:rsidRPr="00594970">
        <w:t>).</w:t>
      </w:r>
      <w:r w:rsidR="00C400BD" w:rsidRPr="00594970">
        <w:t xml:space="preserve"> </w:t>
      </w:r>
    </w:p>
    <w:p w14:paraId="722F7B99" w14:textId="7B6A3712" w:rsidR="000859BE" w:rsidRPr="00594970" w:rsidRDefault="000859BE" w:rsidP="0059606C">
      <w:r w:rsidRPr="00594970">
        <w:t xml:space="preserve">Major changes during the year must be explained. However, unnecessary duplication of the reporting from the PB Statements should be avoided in the PAES. The PAES provide an update to the Budget year and thus do not need to repeat information already made available through </w:t>
      </w:r>
      <w:r w:rsidR="00FC2C10" w:rsidRPr="00594970">
        <w:t xml:space="preserve">the </w:t>
      </w:r>
      <w:r w:rsidRPr="00594970">
        <w:t xml:space="preserve">PB Statements, with the exception of the Portfolio Diagram in the Portfolio Overview section.  </w:t>
      </w:r>
    </w:p>
    <w:p w14:paraId="22A59C56" w14:textId="34CFB6A9" w:rsidR="000859BE" w:rsidRPr="00594970" w:rsidRDefault="000859BE" w:rsidP="0059606C">
      <w:r w:rsidRPr="00594970">
        <w:lastRenderedPageBreak/>
        <w:t xml:space="preserve">For example, it is unnecessary to include a detailed whole of year Strategic Directions Statement if the statement included in the PB Statement remains valid and accurate. However, if changes have occurred and the entity has shifted focus or direction, such as those affected by the MOG changes, then it would be appropriate to include the changes and an explanation </w:t>
      </w:r>
      <w:r w:rsidR="0092038F" w:rsidRPr="00594970">
        <w:t xml:space="preserve">as </w:t>
      </w:r>
      <w:r w:rsidRPr="00594970">
        <w:t>to why those changes have occurred.</w:t>
      </w:r>
    </w:p>
    <w:p w14:paraId="1FF07038" w14:textId="77777777" w:rsidR="000859BE" w:rsidRPr="00594970" w:rsidRDefault="000859BE" w:rsidP="00F31EC9">
      <w:pPr>
        <w:pStyle w:val="Heading2"/>
      </w:pPr>
      <w:bookmarkStart w:id="16" w:name="Who_should_produce_a_PAES"/>
      <w:bookmarkStart w:id="17" w:name="_bookmark5"/>
      <w:bookmarkStart w:id="18" w:name="_Toc26963539"/>
      <w:bookmarkEnd w:id="16"/>
      <w:bookmarkEnd w:id="17"/>
      <w:r w:rsidRPr="00594970">
        <w:t>Who should produce a PAES</w:t>
      </w:r>
      <w:bookmarkEnd w:id="18"/>
    </w:p>
    <w:p w14:paraId="3CC571C9" w14:textId="4F261E82" w:rsidR="00D63B60" w:rsidRPr="00594970" w:rsidRDefault="00874672" w:rsidP="000137C6">
      <w:pPr>
        <w:pStyle w:val="NumberedList1"/>
        <w:numPr>
          <w:ilvl w:val="0"/>
          <w:numId w:val="9"/>
        </w:numPr>
        <w:ind w:left="397" w:hanging="397"/>
      </w:pPr>
      <w:r w:rsidRPr="00594970">
        <w:t xml:space="preserve">Entities who require </w:t>
      </w:r>
      <w:r w:rsidR="00D63B60" w:rsidRPr="00594970">
        <w:t>additional appropriations in Appropriation Bill No. 3 or </w:t>
      </w:r>
      <w:r w:rsidR="00FC2C10" w:rsidRPr="00594970">
        <w:br/>
      </w:r>
      <w:r w:rsidR="00D63B60" w:rsidRPr="00594970">
        <w:t>No.</w:t>
      </w:r>
      <w:r w:rsidR="00FC2C10" w:rsidRPr="00594970">
        <w:t xml:space="preserve"> </w:t>
      </w:r>
      <w:r w:rsidR="00D63B60" w:rsidRPr="00594970">
        <w:t>4 </w:t>
      </w:r>
      <w:r w:rsidR="00FC2C10" w:rsidRPr="00594970">
        <w:t>2019-2020</w:t>
      </w:r>
      <w:r w:rsidR="00D63B60" w:rsidRPr="00594970">
        <w:t xml:space="preserve"> or Appropriation (Parliamentary Departments) Bill No. 2 </w:t>
      </w:r>
      <w:r w:rsidR="00FC2C10" w:rsidRPr="00594970">
        <w:t>2019-2020</w:t>
      </w:r>
      <w:r w:rsidR="00D63B60" w:rsidRPr="00594970">
        <w:t xml:space="preserve"> need to prepare a </w:t>
      </w:r>
      <w:r w:rsidR="00FC2C10" w:rsidRPr="00594970">
        <w:t>2019-20</w:t>
      </w:r>
      <w:r w:rsidR="00D63B60" w:rsidRPr="00594970">
        <w:t xml:space="preserve"> PAES;   or</w:t>
      </w:r>
    </w:p>
    <w:p w14:paraId="578B7867" w14:textId="4FEEF6C5" w:rsidR="002C3A1E" w:rsidRPr="00594970" w:rsidRDefault="005F6C36" w:rsidP="000137C6">
      <w:pPr>
        <w:pStyle w:val="NumberedList1"/>
        <w:numPr>
          <w:ilvl w:val="0"/>
          <w:numId w:val="9"/>
        </w:numPr>
        <w:ind w:left="397" w:hanging="397"/>
      </w:pPr>
      <w:r w:rsidRPr="00594970">
        <w:t>Non-corporate Commonwealth Entities (</w:t>
      </w:r>
      <w:r w:rsidR="004574D0">
        <w:t>NCCE</w:t>
      </w:r>
      <w:r w:rsidRPr="00594970">
        <w:t xml:space="preserve">s) who have a reclassification of Appropriations in the current year between </w:t>
      </w:r>
      <w:r w:rsidR="00A23B4D" w:rsidRPr="00594970">
        <w:t xml:space="preserve">Bill 1 </w:t>
      </w:r>
      <w:r w:rsidRPr="00594970">
        <w:t xml:space="preserve">Departmental </w:t>
      </w:r>
      <w:r w:rsidR="002C3A1E" w:rsidRPr="00594970">
        <w:t>O</w:t>
      </w:r>
      <w:r w:rsidRPr="00594970">
        <w:t>perating a</w:t>
      </w:r>
      <w:r w:rsidR="00874672" w:rsidRPr="00594970">
        <w:t>nd Departmental Capital Budget</w:t>
      </w:r>
      <w:r w:rsidR="00920D36" w:rsidRPr="00594970">
        <w:t xml:space="preserve"> (or vice versa)</w:t>
      </w:r>
      <w:r w:rsidR="00874672" w:rsidRPr="00594970">
        <w:t xml:space="preserve">. These entities </w:t>
      </w:r>
      <w:r w:rsidRPr="00594970">
        <w:t xml:space="preserve">will need to seek a new departmental appropriation through Bill 3 with the correct designation for the current year. This will allow the entity to </w:t>
      </w:r>
      <w:r w:rsidR="0092038F" w:rsidRPr="00594970">
        <w:t xml:space="preserve">correctly </w:t>
      </w:r>
      <w:r w:rsidRPr="00594970">
        <w:t>account for the reclassification in their financial statements.</w:t>
      </w:r>
    </w:p>
    <w:p w14:paraId="0563AD01" w14:textId="3F77981A" w:rsidR="005F6C36" w:rsidRPr="00594970" w:rsidRDefault="002C3A1E" w:rsidP="00F31EC9">
      <w:pPr>
        <w:pStyle w:val="NumberedList1"/>
        <w:ind w:left="397"/>
        <w:rPr>
          <w:rFonts w:cstheme="minorHAnsi"/>
        </w:rPr>
      </w:pPr>
      <w:r w:rsidRPr="00594970">
        <w:rPr>
          <w:rFonts w:cstheme="minorHAnsi"/>
        </w:rPr>
        <w:t>For more information on reclassification, p</w:t>
      </w:r>
      <w:r w:rsidR="008274CF" w:rsidRPr="00594970">
        <w:rPr>
          <w:rFonts w:cstheme="minorHAnsi"/>
        </w:rPr>
        <w:t xml:space="preserve">lease refer to </w:t>
      </w:r>
      <w:r w:rsidR="008274CF" w:rsidRPr="00594970">
        <w:rPr>
          <w:rFonts w:cstheme="minorHAnsi"/>
          <w:i/>
        </w:rPr>
        <w:t xml:space="preserve">EM 2019/02 – Treatment of Reclassifications/Redesignations between Departmental Operating and Departmental Capital Budget in Appropriation Bill 3 </w:t>
      </w:r>
      <w:proofErr w:type="gramStart"/>
      <w:r w:rsidR="008274CF" w:rsidRPr="00594970">
        <w:rPr>
          <w:rFonts w:cstheme="minorHAnsi"/>
          <w:i/>
        </w:rPr>
        <w:t>In</w:t>
      </w:r>
      <w:proofErr w:type="gramEnd"/>
      <w:r w:rsidR="008274CF" w:rsidRPr="00594970">
        <w:rPr>
          <w:rFonts w:cstheme="minorHAnsi"/>
          <w:i/>
        </w:rPr>
        <w:t xml:space="preserve"> the Current Year.</w:t>
      </w:r>
    </w:p>
    <w:p w14:paraId="23B969DB" w14:textId="30DC7043" w:rsidR="000859BE" w:rsidRPr="00594970" w:rsidRDefault="000859BE" w:rsidP="0059606C">
      <w:r w:rsidRPr="00594970">
        <w:t>If an entity has new expense and savings measures</w:t>
      </w:r>
      <w:r w:rsidR="005F4B4A" w:rsidRPr="00594970">
        <w:t xml:space="preserve"> in </w:t>
      </w:r>
      <w:r w:rsidR="00C27D7E" w:rsidRPr="00594970">
        <w:t>2019-20</w:t>
      </w:r>
      <w:r w:rsidR="005F4B4A" w:rsidRPr="00594970">
        <w:t>,</w:t>
      </w:r>
      <w:r w:rsidRPr="00594970">
        <w:t xml:space="preserve"> but the savings measures are greater than the expense measure, then the entity would not in aggregate have additional appropriations and thus would not need to prepare a PAES. All these measures would normally be reported in the next year’s PB Statements.</w:t>
      </w:r>
    </w:p>
    <w:p w14:paraId="1591D2AB" w14:textId="3B1683D9" w:rsidR="00C27D7E" w:rsidRPr="00594970" w:rsidRDefault="00C27D7E" w:rsidP="0059606C">
      <w:r w:rsidRPr="00594970">
        <w:t>If there are additional appropriations for some entities within a portfolio, but not others, then only the affected entities should be covered in the PAES for that portfolio.</w:t>
      </w:r>
    </w:p>
    <w:p w14:paraId="1B1EC383" w14:textId="6AEBC622" w:rsidR="000859BE" w:rsidRPr="00594970" w:rsidRDefault="000859BE" w:rsidP="0059606C">
      <w:r w:rsidRPr="00594970">
        <w:t>Entities</w:t>
      </w:r>
      <w:r w:rsidR="00E53B8A" w:rsidRPr="00594970">
        <w:t xml:space="preserve"> that are required to prepare a PAES </w:t>
      </w:r>
      <w:r w:rsidRPr="00594970">
        <w:t xml:space="preserve">should reflect any changes to: </w:t>
      </w:r>
    </w:p>
    <w:p w14:paraId="063F40F9" w14:textId="721CE7FB" w:rsidR="000859BE" w:rsidRPr="00594970" w:rsidRDefault="000859BE" w:rsidP="0059606C">
      <w:pPr>
        <w:pStyle w:val="ListBullet2"/>
      </w:pPr>
      <w:r w:rsidRPr="00594970">
        <w:t xml:space="preserve">Annual appropriations that are affected by a measure </w:t>
      </w:r>
    </w:p>
    <w:p w14:paraId="43AC55C4" w14:textId="59FC7C19" w:rsidR="000859BE" w:rsidRPr="00594970" w:rsidRDefault="000859BE" w:rsidP="0059606C">
      <w:pPr>
        <w:pStyle w:val="ListBullet2"/>
      </w:pPr>
      <w:r w:rsidRPr="00594970">
        <w:t>Special appropriations that are affected by a measure</w:t>
      </w:r>
    </w:p>
    <w:p w14:paraId="45631AB7" w14:textId="4631A4EC" w:rsidR="000859BE" w:rsidRPr="00594970" w:rsidRDefault="000859BE" w:rsidP="0059606C">
      <w:pPr>
        <w:pStyle w:val="ListBullet2"/>
      </w:pPr>
      <w:r w:rsidRPr="00594970">
        <w:t>Movements or amendments to appropriations, functions, estimates and/or outcomes due to MOG changes</w:t>
      </w:r>
    </w:p>
    <w:p w14:paraId="363527A4" w14:textId="4D102EE3" w:rsidR="000859BE" w:rsidRPr="00594970" w:rsidRDefault="000859BE" w:rsidP="00F31EC9">
      <w:pPr>
        <w:pStyle w:val="Heading2"/>
      </w:pPr>
      <w:bookmarkStart w:id="19" w:name="_Toc24636106"/>
      <w:bookmarkStart w:id="20" w:name="_Toc24636236"/>
      <w:bookmarkStart w:id="21" w:name="_Toc24637017"/>
      <w:bookmarkStart w:id="22" w:name="_Toc24977573"/>
      <w:bookmarkStart w:id="23" w:name="_Toc26351436"/>
      <w:bookmarkStart w:id="24" w:name="_Toc26353876"/>
      <w:bookmarkStart w:id="25" w:name="Machinery_of_Government_Changes"/>
      <w:bookmarkStart w:id="26" w:name="_bookmark6"/>
      <w:bookmarkStart w:id="27" w:name="_Toc26963540"/>
      <w:bookmarkEnd w:id="19"/>
      <w:bookmarkEnd w:id="20"/>
      <w:bookmarkEnd w:id="21"/>
      <w:bookmarkEnd w:id="22"/>
      <w:bookmarkEnd w:id="23"/>
      <w:bookmarkEnd w:id="24"/>
      <w:bookmarkEnd w:id="25"/>
      <w:bookmarkEnd w:id="26"/>
      <w:r w:rsidRPr="00594970">
        <w:t>Machinery of Government Changes</w:t>
      </w:r>
      <w:bookmarkEnd w:id="27"/>
    </w:p>
    <w:p w14:paraId="303E9100" w14:textId="50ED06C0" w:rsidR="000859BE" w:rsidRPr="00594970" w:rsidRDefault="000859BE" w:rsidP="0059606C">
      <w:r w:rsidRPr="00594970">
        <w:t>Transfers of appropriations under section 75 of the PGPA Act as a result of AAO changes must be reported in PB Statements and/or PAES.</w:t>
      </w:r>
    </w:p>
    <w:p w14:paraId="27D2E5D3" w14:textId="5AD6ED06" w:rsidR="000859BE" w:rsidRPr="00594970" w:rsidRDefault="000859BE" w:rsidP="0059606C">
      <w:r w:rsidRPr="00594970">
        <w:t>Where section 75 transfers have not been agreed in time to be reported in PAES, entities should note in their PAES that further details of the AAO changes will be reported in the next budget statement (i.e. PB Statement).</w:t>
      </w:r>
    </w:p>
    <w:p w14:paraId="60C79808" w14:textId="77777777" w:rsidR="000859BE" w:rsidRPr="00594970" w:rsidRDefault="000859BE" w:rsidP="0059606C">
      <w:r w:rsidRPr="00594970">
        <w:t xml:space="preserve">Affected entities should use explanatory footnotes to provide more detail and context wherever AAO changes apply. </w:t>
      </w:r>
    </w:p>
    <w:p w14:paraId="64205694" w14:textId="36F1F1DF" w:rsidR="000859BE" w:rsidRPr="00594970" w:rsidRDefault="000859BE" w:rsidP="0059606C">
      <w:r w:rsidRPr="00594970">
        <w:lastRenderedPageBreak/>
        <w:t xml:space="preserve">Further information on implementing AAO changes can be found on the Australian Public Service Commission’s website at </w:t>
      </w:r>
      <w:hyperlink r:id="rId12" w:history="1">
        <w:r w:rsidRPr="00594970">
          <w:rPr>
            <w:rStyle w:val="Hyperlink"/>
            <w:rFonts w:cstheme="minorBidi"/>
          </w:rPr>
          <w:t>http://www.apsc.gov.au/publications-and-media/current-publications/machinery-of-government</w:t>
        </w:r>
      </w:hyperlink>
    </w:p>
    <w:p w14:paraId="50E2FBD1" w14:textId="77777777" w:rsidR="000859BE" w:rsidRPr="00594970" w:rsidRDefault="000859BE" w:rsidP="00F31EC9">
      <w:pPr>
        <w:pStyle w:val="Heading2"/>
      </w:pPr>
      <w:bookmarkStart w:id="28" w:name="_bookmark7"/>
      <w:bookmarkStart w:id="29" w:name="_Toc26963541"/>
      <w:bookmarkEnd w:id="28"/>
      <w:r w:rsidRPr="00594970">
        <w:t>Entity Resource Statement</w:t>
      </w:r>
      <w:bookmarkEnd w:id="29"/>
    </w:p>
    <w:p w14:paraId="2EE35B97" w14:textId="77777777" w:rsidR="000859BE" w:rsidRPr="00594970" w:rsidRDefault="000859BE" w:rsidP="0059606C">
      <w:r w:rsidRPr="00594970">
        <w:t xml:space="preserve">The Entity resource statement should explain by way of footnote for each affected entity the resourcing impact of functions that are gained and/or transferred, and from/to which entity it was transferred. </w:t>
      </w:r>
    </w:p>
    <w:p w14:paraId="633D8173" w14:textId="77777777" w:rsidR="000859BE" w:rsidRPr="00594970" w:rsidRDefault="000859BE" w:rsidP="0059606C">
      <w:r w:rsidRPr="00594970">
        <w:t>The Third party payments section should also reflect functions transferred between portfolios.  Entities should include a footnote describing the changes and the amounts transferred.</w:t>
      </w:r>
    </w:p>
    <w:p w14:paraId="499C1190" w14:textId="77777777" w:rsidR="000859BE" w:rsidRPr="00594970" w:rsidRDefault="000859BE" w:rsidP="0059606C">
      <w:pPr>
        <w:rPr>
          <w:u w:val="single"/>
        </w:rPr>
      </w:pPr>
      <w:r w:rsidRPr="00594970">
        <w:rPr>
          <w:u w:val="single"/>
        </w:rPr>
        <w:t>Gaining entities</w:t>
      </w:r>
    </w:p>
    <w:p w14:paraId="44DF85C6" w14:textId="77777777" w:rsidR="000859BE" w:rsidRPr="00594970" w:rsidRDefault="000859BE" w:rsidP="0059606C">
      <w:r w:rsidRPr="00594970">
        <w:t>These are entities that gain functions under the new AAOs.</w:t>
      </w:r>
    </w:p>
    <w:p w14:paraId="4E1BCC6E" w14:textId="2E6928AE" w:rsidR="000859BE" w:rsidRPr="00594970" w:rsidRDefault="000859BE" w:rsidP="0059606C">
      <w:pPr>
        <w:pStyle w:val="ListBullet2"/>
      </w:pPr>
      <w:r w:rsidRPr="00594970">
        <w:t xml:space="preserve">The “Total estimate at Additional Estimates </w:t>
      </w:r>
      <w:r w:rsidR="00F508B9" w:rsidRPr="00594970">
        <w:t>2019-20</w:t>
      </w:r>
      <w:r w:rsidRPr="00594970">
        <w:t xml:space="preserve">” column should reflect all the resources available to an entity, including resourcing for those functions it has gained. </w:t>
      </w:r>
    </w:p>
    <w:p w14:paraId="134A5C7A" w14:textId="77777777" w:rsidR="0059606C" w:rsidRPr="00594970" w:rsidRDefault="0059606C" w:rsidP="0059606C">
      <w:pPr>
        <w:pStyle w:val="ListBullet2"/>
        <w:ind w:left="643" w:hanging="360"/>
      </w:pPr>
    </w:p>
    <w:p w14:paraId="1B7E6716" w14:textId="18BDD191" w:rsidR="000859BE" w:rsidRPr="00594970" w:rsidRDefault="000859BE" w:rsidP="000137C6">
      <w:pPr>
        <w:pStyle w:val="ListBullet2"/>
        <w:numPr>
          <w:ilvl w:val="0"/>
          <w:numId w:val="20"/>
        </w:numPr>
      </w:pPr>
      <w:r w:rsidRPr="00594970">
        <w:t xml:space="preserve">Where AAO changes have occurred part-way through a financial year, the gaining entity only shows those resources available from the date of effect of the AAO changes onwards. </w:t>
      </w:r>
    </w:p>
    <w:p w14:paraId="451D74A1" w14:textId="77777777" w:rsidR="0059606C" w:rsidRPr="00594970" w:rsidRDefault="0059606C" w:rsidP="0059606C">
      <w:pPr>
        <w:pStyle w:val="ListBullet2"/>
        <w:ind w:left="643" w:hanging="360"/>
      </w:pPr>
    </w:p>
    <w:p w14:paraId="5B4589A3" w14:textId="77777777" w:rsidR="000859BE" w:rsidRPr="00594970" w:rsidRDefault="000859BE" w:rsidP="0059606C">
      <w:pPr>
        <w:pStyle w:val="ListBullet2"/>
      </w:pPr>
      <w:r w:rsidRPr="00594970">
        <w:t xml:space="preserve">Entities should include a footnote to Table 1.1 detailing the effects of the AAO changes. </w:t>
      </w:r>
    </w:p>
    <w:p w14:paraId="15BE1978" w14:textId="77777777" w:rsidR="000859BE" w:rsidRPr="00594970" w:rsidRDefault="000859BE" w:rsidP="005C2636">
      <w:pPr>
        <w:rPr>
          <w:u w:val="single"/>
        </w:rPr>
      </w:pPr>
      <w:r w:rsidRPr="00594970">
        <w:rPr>
          <w:u w:val="single"/>
        </w:rPr>
        <w:t>Transferring entities</w:t>
      </w:r>
    </w:p>
    <w:p w14:paraId="38E3CF9C" w14:textId="77777777" w:rsidR="000859BE" w:rsidRPr="00594970" w:rsidRDefault="000859BE" w:rsidP="005C2636">
      <w:r w:rsidRPr="00594970">
        <w:t>These are entities that lose functions under the new AAOs.</w:t>
      </w:r>
    </w:p>
    <w:p w14:paraId="16A0644C" w14:textId="6AAE94B6" w:rsidR="000859BE" w:rsidRPr="00594970" w:rsidRDefault="000859BE" w:rsidP="0059606C">
      <w:pPr>
        <w:pStyle w:val="ListBullet2"/>
      </w:pPr>
      <w:r w:rsidRPr="00594970">
        <w:t>The “Total estim</w:t>
      </w:r>
      <w:r w:rsidR="006108C8" w:rsidRPr="00594970">
        <w:t xml:space="preserve">ate at Additional Estimates </w:t>
      </w:r>
      <w:r w:rsidR="00431BDD" w:rsidRPr="00594970">
        <w:t>2019-20</w:t>
      </w:r>
      <w:r w:rsidRPr="00594970">
        <w:t xml:space="preserve">” column should reflect all the resources available to an entity, excluding those functions it has lost. </w:t>
      </w:r>
    </w:p>
    <w:p w14:paraId="468C0D3E" w14:textId="77777777" w:rsidR="0059606C" w:rsidRPr="00594970" w:rsidRDefault="0059606C" w:rsidP="0059606C">
      <w:pPr>
        <w:pStyle w:val="ListBullet2"/>
        <w:ind w:left="643" w:hanging="360"/>
      </w:pPr>
    </w:p>
    <w:p w14:paraId="22347C2C" w14:textId="32F1589B" w:rsidR="000859BE" w:rsidRPr="00594970" w:rsidRDefault="000859BE" w:rsidP="000137C6">
      <w:pPr>
        <w:pStyle w:val="ListBullet2"/>
        <w:numPr>
          <w:ilvl w:val="0"/>
          <w:numId w:val="20"/>
        </w:numPr>
      </w:pPr>
      <w:r w:rsidRPr="00594970">
        <w:t xml:space="preserve">Where AAO changes have occurred part-way through a financial year, the gaining entity only shows those resources available up to the date of effect of the AAO changes. </w:t>
      </w:r>
    </w:p>
    <w:p w14:paraId="6FE0FD4F" w14:textId="77777777" w:rsidR="0059606C" w:rsidRPr="00594970" w:rsidRDefault="0059606C" w:rsidP="0059606C">
      <w:pPr>
        <w:pStyle w:val="ListBullet2"/>
        <w:ind w:left="643" w:hanging="360"/>
      </w:pPr>
    </w:p>
    <w:p w14:paraId="528C5F2D" w14:textId="77777777" w:rsidR="000859BE" w:rsidRPr="00594970" w:rsidRDefault="000859BE" w:rsidP="0059606C">
      <w:pPr>
        <w:pStyle w:val="ListBullet2"/>
      </w:pPr>
      <w:r w:rsidRPr="00594970">
        <w:t>Entities should include a footnote to Table 1.1 detailing the effects of the AAO changes.</w:t>
      </w:r>
    </w:p>
    <w:p w14:paraId="2FF5F143" w14:textId="44102EAC" w:rsidR="000859BE" w:rsidRPr="00594970" w:rsidRDefault="000859BE" w:rsidP="00F31EC9">
      <w:pPr>
        <w:pStyle w:val="Heading2"/>
      </w:pPr>
      <w:bookmarkStart w:id="30" w:name="Outcome_Information"/>
      <w:bookmarkStart w:id="31" w:name="_bookmark8"/>
      <w:bookmarkStart w:id="32" w:name="_Toc26963542"/>
      <w:bookmarkEnd w:id="30"/>
      <w:bookmarkEnd w:id="31"/>
      <w:r w:rsidRPr="00594970">
        <w:t>Outcome Information</w:t>
      </w:r>
      <w:bookmarkEnd w:id="32"/>
    </w:p>
    <w:p w14:paraId="093565CB" w14:textId="06E003EF" w:rsidR="000859BE" w:rsidRPr="00594970" w:rsidRDefault="000859BE" w:rsidP="0059606C">
      <w:r w:rsidRPr="00594970">
        <w:t>Entities should describe any changes to outcome and program structures as a result of AAO changes in Section 2 of their PAES, including information on functions/entities transferred and to/from whom.</w:t>
      </w:r>
    </w:p>
    <w:p w14:paraId="5E945E42" w14:textId="327B40E4" w:rsidR="000859BE" w:rsidRPr="00594970" w:rsidRDefault="000859BE" w:rsidP="0059606C">
      <w:r w:rsidRPr="00594970">
        <w:t>Outcome statements presented must be those approved by the Minister for Finance (or delegate</w:t>
      </w:r>
      <w:r w:rsidR="00104DEC" w:rsidRPr="00594970">
        <w:t xml:space="preserve"> e.g. the responsible Portfolio Minister can delegate the signing of the document to </w:t>
      </w:r>
      <w:r w:rsidR="00104DEC" w:rsidRPr="00594970">
        <w:lastRenderedPageBreak/>
        <w:t>an Assistant Minister</w:t>
      </w:r>
      <w:r w:rsidRPr="00594970">
        <w:t>), and program names/structures presented must be those approved by the Department of Finance (Finance) and as reported in CBMS. Please contact your Agency Advice Unit (AAU) in Finance for further information on the process for changing outcomes and programs.</w:t>
      </w:r>
    </w:p>
    <w:p w14:paraId="7CF0FBDD" w14:textId="77777777" w:rsidR="000859BE" w:rsidRPr="00594970" w:rsidRDefault="000859BE" w:rsidP="0059606C">
      <w:r w:rsidRPr="00594970">
        <w:t xml:space="preserve">An optional template for showing outcome and program changes is included in the “Table 2 optional” tab of the Excel Tables workbook (available from CBMS User Reference Material in CBMS). Entities may choose to show outcome and program changes in an alternative table or pictorial format – the presentation chosen will depend on the scope of the changes. </w:t>
      </w:r>
    </w:p>
    <w:p w14:paraId="43FB5116" w14:textId="3D753023" w:rsidR="000859BE" w:rsidRPr="00594970" w:rsidRDefault="000859BE" w:rsidP="0059606C">
      <w:r w:rsidRPr="00594970">
        <w:t>Previous year actuals figures reported in Tables 2.X.1 (expenses by outcome and program) should match expense figures captured in CBMS.</w:t>
      </w:r>
    </w:p>
    <w:p w14:paraId="1B627FF4" w14:textId="566BA833" w:rsidR="000859BE" w:rsidRPr="00594970" w:rsidRDefault="000859BE" w:rsidP="0059606C">
      <w:r w:rsidRPr="00594970">
        <w:t xml:space="preserve">Gaining entities </w:t>
      </w:r>
      <w:r w:rsidRPr="00594970">
        <w:rPr>
          <w:u w:val="single"/>
        </w:rPr>
        <w:t>are not required</w:t>
      </w:r>
      <w:r w:rsidRPr="00594970">
        <w:t xml:space="preserve"> to repo</w:t>
      </w:r>
      <w:r w:rsidR="006108C8" w:rsidRPr="00594970">
        <w:t xml:space="preserve">rt prior year actuals (i.e. </w:t>
      </w:r>
      <w:r w:rsidR="006B3365" w:rsidRPr="00594970">
        <w:t>2018-19</w:t>
      </w:r>
      <w:r w:rsidRPr="00594970">
        <w:t>) for functions gained in the c</w:t>
      </w:r>
      <w:r w:rsidR="006108C8" w:rsidRPr="00594970">
        <w:t xml:space="preserve">urrent financial year (i.e. </w:t>
      </w:r>
      <w:r w:rsidR="005C61AC" w:rsidRPr="00594970">
        <w:t>2019-20</w:t>
      </w:r>
      <w:r w:rsidRPr="00594970">
        <w:t>) – they should however include a reference to the losing entity’s annual report and/or PB Statement for further information.</w:t>
      </w:r>
    </w:p>
    <w:p w14:paraId="2CD367A4" w14:textId="0201391F" w:rsidR="000859BE" w:rsidRPr="00594970" w:rsidRDefault="005F4B4A" w:rsidP="0059606C">
      <w:r w:rsidRPr="00594970">
        <w:t>Transferring</w:t>
      </w:r>
      <w:r w:rsidR="000859BE" w:rsidRPr="00594970">
        <w:t xml:space="preserve"> entities </w:t>
      </w:r>
      <w:r w:rsidR="000859BE" w:rsidRPr="00594970">
        <w:rPr>
          <w:u w:val="single"/>
        </w:rPr>
        <w:t>should</w:t>
      </w:r>
      <w:r w:rsidR="000859BE" w:rsidRPr="00594970">
        <w:t xml:space="preserve"> sh</w:t>
      </w:r>
      <w:r w:rsidR="007232A0" w:rsidRPr="00594970">
        <w:t>ow prior year actuals (i.e.</w:t>
      </w:r>
      <w:r w:rsidR="005C61AC" w:rsidRPr="00594970">
        <w:t>2018-19</w:t>
      </w:r>
      <w:r w:rsidR="000859BE" w:rsidRPr="00594970">
        <w:t>) for functions lost in the c</w:t>
      </w:r>
      <w:r w:rsidR="001765C6" w:rsidRPr="00594970">
        <w:t xml:space="preserve">urrent financial year (i.e. </w:t>
      </w:r>
      <w:r w:rsidR="005C61AC" w:rsidRPr="00594970">
        <w:t>2019-20)</w:t>
      </w:r>
      <w:r w:rsidR="000859BE" w:rsidRPr="00594970">
        <w:t xml:space="preserve"> or describe where such information can be found, for example, in the entity’s annual report.</w:t>
      </w:r>
    </w:p>
    <w:p w14:paraId="453BDAAA" w14:textId="7AD8D166" w:rsidR="008869E6" w:rsidRPr="00594970" w:rsidRDefault="000859BE" w:rsidP="0059606C">
      <w:r w:rsidRPr="00594970">
        <w:t xml:space="preserve">Further information on reporting AAO changes in financial statements can be found at </w:t>
      </w:r>
      <w:hyperlink r:id="rId13" w:history="1">
        <w:r w:rsidR="003D5476" w:rsidRPr="00594970">
          <w:rPr>
            <w:rStyle w:val="Hyperlink"/>
            <w:rFonts w:cstheme="minorBidi"/>
          </w:rPr>
          <w:t>https://www.finance.gov.au/resource-management/index/rmg</w:t>
        </w:r>
      </w:hyperlink>
      <w:r w:rsidR="003D5476" w:rsidRPr="00594970">
        <w:t xml:space="preserve"> </w:t>
      </w:r>
    </w:p>
    <w:p w14:paraId="5BADE09B" w14:textId="77777777" w:rsidR="008869E6" w:rsidRPr="00594970" w:rsidRDefault="008869E6" w:rsidP="00F31EC9">
      <w:pPr>
        <w:pStyle w:val="Heading2"/>
      </w:pPr>
      <w:bookmarkStart w:id="33" w:name="_bookmark9"/>
      <w:bookmarkStart w:id="34" w:name="_Toc26963543"/>
      <w:bookmarkEnd w:id="33"/>
      <w:r w:rsidRPr="00594970">
        <w:t>Budgeted Financial Statements</w:t>
      </w:r>
      <w:bookmarkEnd w:id="34"/>
    </w:p>
    <w:p w14:paraId="388E73C6" w14:textId="146FF870" w:rsidR="008869E6" w:rsidRPr="00594970" w:rsidRDefault="008869E6" w:rsidP="0059606C">
      <w:r w:rsidRPr="00594970">
        <w:t>Entities’ financial statements should reflect the financial impact</w:t>
      </w:r>
      <w:r w:rsidR="00453901" w:rsidRPr="00594970">
        <w:t xml:space="preserve"> </w:t>
      </w:r>
      <w:r w:rsidRPr="00594970">
        <w:t>of</w:t>
      </w:r>
      <w:r w:rsidR="00453901" w:rsidRPr="00594970">
        <w:t xml:space="preserve"> </w:t>
      </w:r>
      <w:r w:rsidR="00533968" w:rsidRPr="00594970">
        <w:t>functions/activities/programs transferred.</w:t>
      </w:r>
    </w:p>
    <w:p w14:paraId="4BFC481F" w14:textId="77777777" w:rsidR="008869E6" w:rsidRPr="00594970" w:rsidRDefault="008869E6" w:rsidP="0059606C">
      <w:r w:rsidRPr="00594970">
        <w:t>Gaining entities should report financial impact of the AAO changes from the agreed date of transfer onwards.</w:t>
      </w:r>
    </w:p>
    <w:p w14:paraId="2867BB42" w14:textId="77777777" w:rsidR="008869E6" w:rsidRPr="00594970" w:rsidRDefault="005F4B4A" w:rsidP="0059606C">
      <w:r w:rsidRPr="00594970">
        <w:t>Transferr</w:t>
      </w:r>
      <w:r w:rsidR="008869E6" w:rsidRPr="00594970">
        <w:t>ing entities should report the financial impact of the AAO changes up to the agreed date of transfer.</w:t>
      </w:r>
    </w:p>
    <w:p w14:paraId="23F836E1" w14:textId="77777777" w:rsidR="00CC3DE6" w:rsidRPr="00594970" w:rsidRDefault="00CC3DE6" w:rsidP="00F31EC9">
      <w:pPr>
        <w:pStyle w:val="Heading2"/>
      </w:pPr>
      <w:bookmarkStart w:id="35" w:name="Subsequent_AAO_changes_following_the_PAE"/>
      <w:bookmarkStart w:id="36" w:name="_bookmark10"/>
      <w:bookmarkStart w:id="37" w:name="_Toc26963544"/>
      <w:bookmarkEnd w:id="35"/>
      <w:bookmarkEnd w:id="36"/>
      <w:r w:rsidRPr="00594970">
        <w:t>Subsequent AAO changes following the PAES</w:t>
      </w:r>
      <w:bookmarkEnd w:id="37"/>
    </w:p>
    <w:p w14:paraId="045E15A8" w14:textId="77777777" w:rsidR="00CC3DE6" w:rsidRPr="00594970" w:rsidRDefault="00CC3DE6" w:rsidP="00E66361">
      <w:r w:rsidRPr="00594970">
        <w:t>AAO changes can be announced at any time. This can occasionally be after the preparation of the Appropriation Bills has commenced or after the PAES have been completed but not yet tabled in Parliament.</w:t>
      </w:r>
    </w:p>
    <w:p w14:paraId="28717F30" w14:textId="57A878B7" w:rsidR="00BB1273" w:rsidRPr="00594970" w:rsidRDefault="00CC3DE6" w:rsidP="00E66361">
      <w:r w:rsidRPr="00594970">
        <w:t>If changes are announced so close to the presentation of the Appropriation Bills to Parliament that neither the Bills nor the budget statements can reflect the announced changes, these should be explained in the next budget statement and subsequently in the entity’s annual report.</w:t>
      </w:r>
    </w:p>
    <w:p w14:paraId="23E04365" w14:textId="77777777" w:rsidR="00CC3DE6" w:rsidRPr="00594970" w:rsidRDefault="00CC3DE6" w:rsidP="00F31EC9">
      <w:pPr>
        <w:pStyle w:val="Heading2"/>
      </w:pPr>
      <w:bookmarkStart w:id="38" w:name="Planned_information_flow_between_Stateme"/>
      <w:bookmarkStart w:id="39" w:name="_bookmark11"/>
      <w:bookmarkStart w:id="40" w:name="_Toc26963545"/>
      <w:bookmarkEnd w:id="38"/>
      <w:bookmarkEnd w:id="39"/>
      <w:r w:rsidRPr="00594970">
        <w:lastRenderedPageBreak/>
        <w:t>Planned information flow between Statements</w:t>
      </w:r>
      <w:bookmarkEnd w:id="40"/>
    </w:p>
    <w:p w14:paraId="6D863841" w14:textId="77777777" w:rsidR="00CC3DE6" w:rsidRPr="00594970" w:rsidRDefault="00CC3DE6" w:rsidP="005C2636">
      <w:r w:rsidRPr="00594970">
        <w:t>The diagram below illustrates the flow of resources through the budget year as shown in publications supporting the various appropriation Bills:</w:t>
      </w:r>
    </w:p>
    <w:p w14:paraId="7B74D231" w14:textId="77777777" w:rsidR="00A71338" w:rsidRPr="00594970" w:rsidRDefault="00CC3DE6" w:rsidP="00CC3DE6">
      <w:r w:rsidRPr="00594970">
        <w:rPr>
          <w:noProof/>
          <w:lang w:eastAsia="en-AU"/>
        </w:rPr>
        <w:drawing>
          <wp:inline distT="0" distB="0" distL="0" distR="0" wp14:anchorId="3FD0058B" wp14:editId="2A716E67">
            <wp:extent cx="5759450" cy="4172585"/>
            <wp:effectExtent l="19050" t="19050" r="12700" b="18415"/>
            <wp:docPr id="2" name="Picture 2" descr="Diagram of the information flows between PBS, PAES, PSAES (if required) and Ad Hoc Bills (e.g. Emergency Bills)" title="Planned information flow between Stat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450" cy="4172585"/>
                    </a:xfrm>
                    <a:prstGeom prst="rect">
                      <a:avLst/>
                    </a:prstGeom>
                    <a:ln>
                      <a:solidFill>
                        <a:schemeClr val="tx1"/>
                      </a:solidFill>
                    </a:ln>
                  </pic:spPr>
                </pic:pic>
              </a:graphicData>
            </a:graphic>
          </wp:inline>
        </w:drawing>
      </w:r>
    </w:p>
    <w:p w14:paraId="4BB0A872" w14:textId="77777777" w:rsidR="00A71338" w:rsidRPr="00594970" w:rsidRDefault="00A71338" w:rsidP="00F31EC9">
      <w:pPr>
        <w:pStyle w:val="Heading2"/>
      </w:pPr>
      <w:bookmarkStart w:id="41" w:name="Structure_and_presentation_of_informatio"/>
      <w:bookmarkStart w:id="42" w:name="_bookmark12"/>
      <w:bookmarkStart w:id="43" w:name="_Toc26963546"/>
      <w:bookmarkEnd w:id="41"/>
      <w:bookmarkEnd w:id="42"/>
      <w:r w:rsidRPr="00594970">
        <w:t>Structure and presentation of information</w:t>
      </w:r>
      <w:bookmarkEnd w:id="43"/>
    </w:p>
    <w:p w14:paraId="533B06FD" w14:textId="01C476AE" w:rsidR="00A71338" w:rsidRPr="00594970" w:rsidRDefault="00A71338" w:rsidP="005C2636">
      <w:r w:rsidRPr="00594970">
        <w:t>To ensure that PAES are clear and concise, it is important for entities to only include information which has changed, varied or relate</w:t>
      </w:r>
      <w:r w:rsidR="00A43456" w:rsidRPr="00594970">
        <w:t xml:space="preserve">s to new measures since the </w:t>
      </w:r>
      <w:r w:rsidR="00453901" w:rsidRPr="00594970">
        <w:t>2019-20</w:t>
      </w:r>
      <w:r w:rsidRPr="00594970">
        <w:t xml:space="preserve"> Budget (or the most recent Appropriation Bills if they have been presented to Parliament since the Budget).  </w:t>
      </w:r>
    </w:p>
    <w:p w14:paraId="1A87EF21" w14:textId="476E2C40" w:rsidR="00A71338" w:rsidRPr="00594970" w:rsidRDefault="00A71338" w:rsidP="005C2636">
      <w:r w:rsidRPr="00594970">
        <w:t>Entities should, prior to producing the document, look at their PB Statements and make decisions about what changes have occurred, and what information needs to be included or explained to Parliament in the PAES. This should result in a more streamlined and concise document, using information to best explain the entity’s variations, measures and changes to its outcomes and performance since the entity last reported to the Parliament.</w:t>
      </w:r>
    </w:p>
    <w:p w14:paraId="6BED88F2" w14:textId="7DD26CEB" w:rsidR="00A71338" w:rsidRPr="00594970" w:rsidRDefault="00A71338" w:rsidP="005C2636">
      <w:r w:rsidRPr="00594970">
        <w:t xml:space="preserve">More guidance on the information expected in each component of the PAES is included throughout this guide. Entities can also refer to </w:t>
      </w:r>
      <w:r w:rsidR="00A43456" w:rsidRPr="00594970">
        <w:t xml:space="preserve">Estimates Memorandum </w:t>
      </w:r>
      <w:r w:rsidR="00183334" w:rsidRPr="00594970">
        <w:t>2019/08</w:t>
      </w:r>
      <w:r w:rsidRPr="00594970">
        <w:t xml:space="preserve">: </w:t>
      </w:r>
      <w:r w:rsidR="00183334" w:rsidRPr="00594970">
        <w:rPr>
          <w:i/>
        </w:rPr>
        <w:t>2019-20</w:t>
      </w:r>
      <w:r w:rsidRPr="00594970">
        <w:rPr>
          <w:i/>
        </w:rPr>
        <w:t xml:space="preserve"> P</w:t>
      </w:r>
      <w:r w:rsidR="0012380C" w:rsidRPr="00594970">
        <w:rPr>
          <w:i/>
        </w:rPr>
        <w:t xml:space="preserve">ortfolio Budget </w:t>
      </w:r>
      <w:r w:rsidRPr="00594970">
        <w:rPr>
          <w:i/>
        </w:rPr>
        <w:t>Statements</w:t>
      </w:r>
      <w:r w:rsidRPr="00594970">
        <w:t>. This will ensure consistency of approach between the two documents and reinforce the underlying rationale of the PB Statements.</w:t>
      </w:r>
    </w:p>
    <w:p w14:paraId="49D171CF" w14:textId="77777777" w:rsidR="00A71338" w:rsidRPr="00594970" w:rsidRDefault="00A71338" w:rsidP="00F31EC9">
      <w:pPr>
        <w:pStyle w:val="Heading2"/>
      </w:pPr>
      <w:bookmarkStart w:id="44" w:name="Relationship_between_PAES_and_Appropriat"/>
      <w:bookmarkStart w:id="45" w:name="_bookmark13"/>
      <w:bookmarkStart w:id="46" w:name="_Toc26963547"/>
      <w:bookmarkEnd w:id="44"/>
      <w:bookmarkEnd w:id="45"/>
      <w:r w:rsidRPr="00594970">
        <w:lastRenderedPageBreak/>
        <w:t>Relationship between PAES and Appropriation Bills</w:t>
      </w:r>
      <w:bookmarkEnd w:id="46"/>
    </w:p>
    <w:p w14:paraId="0307FF00" w14:textId="77777777" w:rsidR="00A71338" w:rsidRPr="00594970" w:rsidRDefault="00A71338" w:rsidP="005C2636">
      <w:r w:rsidRPr="00594970">
        <w:t xml:space="preserve">Appropriation figures included in the PAES are to come </w:t>
      </w:r>
      <w:r w:rsidR="00C137D2" w:rsidRPr="00594970">
        <w:t>from the Budget Management (B</w:t>
      </w:r>
      <w:r w:rsidRPr="00594970">
        <w:t>M</w:t>
      </w:r>
      <w:r w:rsidR="00C137D2" w:rsidRPr="00594970">
        <w:t>) module</w:t>
      </w:r>
      <w:r w:rsidRPr="00594970">
        <w:t xml:space="preserve"> and must match those included in the Appropriation Bills tabled in Parliament.   </w:t>
      </w:r>
    </w:p>
    <w:p w14:paraId="64CE4C95" w14:textId="71BBFEE3" w:rsidR="00A71338" w:rsidRPr="00594970" w:rsidRDefault="00A71338" w:rsidP="005C2636">
      <w:r w:rsidRPr="00594970">
        <w:t xml:space="preserve">PAES, like the PB Statements, are budget-related papers and are declared by the Appropriation Acts to be ‘relevant documents’ to the interpretation of the Acts according to section 15AB of the </w:t>
      </w:r>
      <w:r w:rsidRPr="00594970">
        <w:rPr>
          <w:i/>
        </w:rPr>
        <w:t>Acts Interpretation Act 1901</w:t>
      </w:r>
      <w:r w:rsidRPr="00594970">
        <w:t xml:space="preserve">. The PAES provide additional explanation of the Appropriation Bills and as a result, </w:t>
      </w:r>
      <w:r w:rsidR="0012380C" w:rsidRPr="00594970">
        <w:t xml:space="preserve">must be </w:t>
      </w:r>
      <w:r w:rsidRPr="00594970">
        <w:t>consistent with the Bills, which once passed by Parliament, become law as Appropriation Acts.</w:t>
      </w:r>
    </w:p>
    <w:p w14:paraId="595CE910" w14:textId="77777777" w:rsidR="00A71338" w:rsidRPr="00594970" w:rsidRDefault="00A71338" w:rsidP="005C2636">
      <w:r w:rsidRPr="00594970">
        <w:t>Should any discrepancy occur between the PAES and the Appropriation Acts, it is the Appropriation Acts that are definitive. The PAES are not authoritative; they explain and provide detail to the Parliament on the appropriations sought and entities’ planned performance.</w:t>
      </w:r>
    </w:p>
    <w:p w14:paraId="506B5984" w14:textId="77777777" w:rsidR="00A71338" w:rsidRPr="00594970" w:rsidRDefault="00A71338" w:rsidP="00F31EC9">
      <w:pPr>
        <w:pStyle w:val="Heading2"/>
      </w:pPr>
      <w:bookmarkStart w:id="47" w:name="Sourcing_Information"/>
      <w:bookmarkStart w:id="48" w:name="_bookmark14"/>
      <w:bookmarkStart w:id="49" w:name="_Toc26963548"/>
      <w:bookmarkEnd w:id="47"/>
      <w:bookmarkEnd w:id="48"/>
      <w:r w:rsidRPr="00594970">
        <w:t>Sourcing Information</w:t>
      </w:r>
      <w:bookmarkEnd w:id="49"/>
    </w:p>
    <w:p w14:paraId="4155EE07" w14:textId="77777777" w:rsidR="00A71338" w:rsidRPr="00594970" w:rsidRDefault="00A71338" w:rsidP="005C2636">
      <w:r w:rsidRPr="00594970">
        <w:t xml:space="preserve">The financial information reported in an entity’s PAES </w:t>
      </w:r>
      <w:r w:rsidRPr="00594970">
        <w:rPr>
          <w:b/>
          <w:u w:val="single"/>
        </w:rPr>
        <w:t>must match</w:t>
      </w:r>
      <w:r w:rsidRPr="00594970">
        <w:t xml:space="preserve"> with the figures in CBMS. CBMS is the central source of budget information and is the basis of whole-of-government figures, the Appropriation Bills, financial data and Budget Papers Nos. 1-4</w:t>
      </w:r>
      <w:r w:rsidR="005F4B4A" w:rsidRPr="00594970">
        <w:t xml:space="preserve"> (at the Budget round)</w:t>
      </w:r>
      <w:r w:rsidRPr="00594970">
        <w:t xml:space="preserve">. As such, all appropriation figures must be sourced from CBMS to ensure consistency between the PAES, the Appropriation Bills and the Budget Papers.  </w:t>
      </w:r>
    </w:p>
    <w:p w14:paraId="18994A8D" w14:textId="6CAB1669" w:rsidR="00E71E1C" w:rsidRPr="00594970" w:rsidRDefault="00A71338" w:rsidP="00533968">
      <w:r w:rsidRPr="00594970">
        <w:t xml:space="preserve">Guidance on how to source information from CBMS and generate the reports required for the production of the </w:t>
      </w:r>
      <w:r w:rsidR="0002067D" w:rsidRPr="00594970">
        <w:t>2019-20</w:t>
      </w:r>
      <w:r w:rsidRPr="00594970">
        <w:t xml:space="preserve"> PAES can be found under CBMS User Reference Material </w:t>
      </w:r>
      <w:r w:rsidR="002A5609" w:rsidRPr="00594970">
        <w:t>link located o</w:t>
      </w:r>
      <w:r w:rsidRPr="00594970">
        <w:t>n CBMS</w:t>
      </w:r>
      <w:r w:rsidR="002A5609" w:rsidRPr="00594970">
        <w:t>'s landing page.  The path to the PB</w:t>
      </w:r>
      <w:r w:rsidR="008043B7" w:rsidRPr="00594970">
        <w:t xml:space="preserve"> </w:t>
      </w:r>
      <w:r w:rsidR="002A5609" w:rsidRPr="00594970">
        <w:t>S</w:t>
      </w:r>
      <w:r w:rsidR="008043B7" w:rsidRPr="00594970">
        <w:t>tatements</w:t>
      </w:r>
      <w:r w:rsidR="002A5609" w:rsidRPr="00594970">
        <w:t xml:space="preserve"> &amp; PAES mappings are located </w:t>
      </w:r>
      <w:r w:rsidR="00E71E1C" w:rsidRPr="00594970">
        <w:t>under the following path:</w:t>
      </w:r>
    </w:p>
    <w:p w14:paraId="4DD9A356" w14:textId="03316B38" w:rsidR="00533968" w:rsidRPr="00594970" w:rsidRDefault="00E71E1C" w:rsidP="006B060B">
      <w:pPr>
        <w:pStyle w:val="CBMSReportPath"/>
        <w:ind w:left="720"/>
      </w:pPr>
      <w:r w:rsidRPr="00594970">
        <w:t xml:space="preserve">CBMS User Reference Material </w:t>
      </w:r>
      <w:r w:rsidR="008459B1" w:rsidRPr="00594970">
        <w:t xml:space="preserve"> </w:t>
      </w:r>
      <w:r w:rsidRPr="00594970">
        <w:sym w:font="Wingdings" w:char="F0E0"/>
      </w:r>
      <w:r w:rsidRPr="00594970">
        <w:t xml:space="preserve">  09. Reference Material – CBMS </w:t>
      </w:r>
      <w:r w:rsidR="008459B1" w:rsidRPr="00594970">
        <w:t xml:space="preserve"> </w:t>
      </w:r>
      <w:r w:rsidRPr="00594970">
        <w:sym w:font="Wingdings" w:char="F0E0"/>
      </w:r>
      <w:r w:rsidRPr="00594970">
        <w:t xml:space="preserve"> </w:t>
      </w:r>
      <w:r w:rsidR="008459B1" w:rsidRPr="00594970">
        <w:t xml:space="preserve"> </w:t>
      </w:r>
      <w:r w:rsidRPr="00594970">
        <w:t xml:space="preserve">Annual Estimates </w:t>
      </w:r>
      <w:r w:rsidR="00533968" w:rsidRPr="00594970">
        <w:t xml:space="preserve"> </w:t>
      </w:r>
      <w:r w:rsidRPr="00594970">
        <w:sym w:font="Wingdings" w:char="F0E0"/>
      </w:r>
      <w:r w:rsidRPr="00594970">
        <w:t xml:space="preserve"> </w:t>
      </w:r>
      <w:r w:rsidR="008459B1" w:rsidRPr="00594970">
        <w:t xml:space="preserve"> </w:t>
      </w:r>
      <w:r w:rsidRPr="00594970">
        <w:t>PBS, PAES &amp; PSAES Mappings</w:t>
      </w:r>
    </w:p>
    <w:p w14:paraId="046DA862" w14:textId="77777777" w:rsidR="004E47F6" w:rsidRPr="00594970" w:rsidRDefault="00E71E1C" w:rsidP="00533968">
      <w:r w:rsidRPr="00594970">
        <w:rPr>
          <w:noProof/>
          <w:lang w:eastAsia="en-AU"/>
        </w:rPr>
        <w:drawing>
          <wp:inline distT="0" distB="0" distL="0" distR="0" wp14:anchorId="5CA53524" wp14:editId="48F48A1B">
            <wp:extent cx="5759450" cy="1196340"/>
            <wp:effectExtent l="19050" t="19050" r="12700" b="228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1196340"/>
                    </a:xfrm>
                    <a:prstGeom prst="rect">
                      <a:avLst/>
                    </a:prstGeom>
                    <a:ln>
                      <a:solidFill>
                        <a:schemeClr val="tx1"/>
                      </a:solidFill>
                    </a:ln>
                  </pic:spPr>
                </pic:pic>
              </a:graphicData>
            </a:graphic>
          </wp:inline>
        </w:drawing>
      </w:r>
    </w:p>
    <w:p w14:paraId="3119FDD8" w14:textId="10E03569" w:rsidR="00A71338" w:rsidRPr="00594970" w:rsidRDefault="00A71338" w:rsidP="00533968">
      <w:r w:rsidRPr="00594970">
        <w:t>An ent</w:t>
      </w:r>
      <w:r w:rsidR="006745D0" w:rsidRPr="00594970">
        <w:t>ity’s FMIS</w:t>
      </w:r>
      <w:r w:rsidRPr="00594970">
        <w:t xml:space="preserve"> may be used to supplement information in CBMS, particularly if information to be published is at a lower level in PAES.  Examples of this include the Expenses by Program and Program Components in Section 2.</w:t>
      </w:r>
    </w:p>
    <w:p w14:paraId="19E61587" w14:textId="77777777" w:rsidR="00B275C4" w:rsidRDefault="00B275C4">
      <w:pPr>
        <w:suppressAutoHyphens w:val="0"/>
        <w:spacing w:before="0" w:after="120" w:line="440" w:lineRule="atLeast"/>
        <w:rPr>
          <w:rFonts w:asciiTheme="majorHAnsi" w:eastAsiaTheme="majorEastAsia" w:hAnsiTheme="majorHAnsi" w:cstheme="majorBidi"/>
          <w:bCs/>
          <w:color w:val="005A77"/>
          <w:sz w:val="34"/>
          <w:szCs w:val="34"/>
        </w:rPr>
      </w:pPr>
      <w:bookmarkStart w:id="50" w:name="Clearance_Process"/>
      <w:bookmarkStart w:id="51" w:name="_bookmark15"/>
      <w:bookmarkEnd w:id="50"/>
      <w:bookmarkEnd w:id="51"/>
      <w:r>
        <w:br w:type="page"/>
      </w:r>
    </w:p>
    <w:p w14:paraId="2D6BEEE3" w14:textId="4462B5D2" w:rsidR="00A71338" w:rsidRPr="00594970" w:rsidRDefault="00A71338" w:rsidP="00F31EC9">
      <w:pPr>
        <w:pStyle w:val="Heading2"/>
      </w:pPr>
      <w:bookmarkStart w:id="52" w:name="_Toc26963549"/>
      <w:r w:rsidRPr="00594970">
        <w:lastRenderedPageBreak/>
        <w:t>Clearance Process</w:t>
      </w:r>
      <w:bookmarkEnd w:id="52"/>
    </w:p>
    <w:p w14:paraId="20B84000" w14:textId="77777777" w:rsidR="00A71338" w:rsidRPr="00594970" w:rsidRDefault="00A71338" w:rsidP="005C2636">
      <w:r w:rsidRPr="00594970">
        <w:t>Entities are to provide the following tables and documents to the relevant AAU for clearance prior to printing the PAES:</w:t>
      </w:r>
    </w:p>
    <w:p w14:paraId="577C090E" w14:textId="77777777" w:rsidR="00A71338" w:rsidRPr="00594970" w:rsidRDefault="00A71338" w:rsidP="000137C6">
      <w:pPr>
        <w:pStyle w:val="Bullet1"/>
        <w:numPr>
          <w:ilvl w:val="0"/>
          <w:numId w:val="17"/>
        </w:numPr>
      </w:pPr>
      <w:r w:rsidRPr="00594970">
        <w:t>Table 1.2 Entity Measures Table - titles must match the final measures list provided by Finance, as these titles will be the ones published in the Budget papers;</w:t>
      </w:r>
    </w:p>
    <w:p w14:paraId="4C743BBF" w14:textId="77777777" w:rsidR="00A71338" w:rsidRPr="00594970" w:rsidRDefault="00A71338" w:rsidP="000137C6">
      <w:pPr>
        <w:pStyle w:val="Bullet1"/>
        <w:numPr>
          <w:ilvl w:val="0"/>
          <w:numId w:val="17"/>
        </w:numPr>
      </w:pPr>
      <w:r w:rsidRPr="00594970">
        <w:t>Tables 1.4 and 1.5 Appropriations Bills Tables - these must match the Approp</w:t>
      </w:r>
      <w:r w:rsidR="006745D0" w:rsidRPr="00594970">
        <w:t>riation Bills schedules in the Appropriation B</w:t>
      </w:r>
      <w:r w:rsidRPr="00594970">
        <w:t xml:space="preserve">ill reports run from CBMS; and </w:t>
      </w:r>
    </w:p>
    <w:p w14:paraId="2224EA2D" w14:textId="77777777" w:rsidR="00A71338" w:rsidRPr="00594970" w:rsidRDefault="00A71338" w:rsidP="000137C6">
      <w:pPr>
        <w:pStyle w:val="Bullet1"/>
        <w:numPr>
          <w:ilvl w:val="0"/>
          <w:numId w:val="17"/>
        </w:numPr>
      </w:pPr>
      <w:r w:rsidRPr="00594970">
        <w:t xml:space="preserve">CFO </w:t>
      </w:r>
      <w:r w:rsidR="006745D0" w:rsidRPr="00594970">
        <w:t>sign-off for the estimates and Appropriation B</w:t>
      </w:r>
      <w:r w:rsidRPr="00594970">
        <w:t>ills.</w:t>
      </w:r>
    </w:p>
    <w:p w14:paraId="7CAE7591" w14:textId="77777777" w:rsidR="00A71338" w:rsidRPr="00594970" w:rsidRDefault="00A71338" w:rsidP="005C2636">
      <w:r w:rsidRPr="00594970">
        <w:t xml:space="preserve">Entities are not required to provide other tables or the whole document to the AAU for clearance. </w:t>
      </w:r>
    </w:p>
    <w:p w14:paraId="4BE13A14" w14:textId="7A2ECEB1" w:rsidR="00A71338" w:rsidRPr="00594970" w:rsidRDefault="00A71338" w:rsidP="005C2636">
      <w:r w:rsidRPr="00594970">
        <w:t xml:space="preserve">Appropriation Bills (Nos. 3 and 4) are generally introduced in Parliament early in the </w:t>
      </w:r>
      <w:r w:rsidR="003D4CD2" w:rsidRPr="00594970">
        <w:t>New Year</w:t>
      </w:r>
      <w:r w:rsidRPr="00594970">
        <w:t xml:space="preserve">, usually the first week of the Autumn Parliamentary sittings in February.  </w:t>
      </w:r>
    </w:p>
    <w:p w14:paraId="15D511CB" w14:textId="77777777" w:rsidR="00A71338" w:rsidRPr="00594970" w:rsidRDefault="00A71338" w:rsidP="005C2636">
      <w:r w:rsidRPr="00594970">
        <w:t>Accordingly, portfolios must be prepared to have their measures cleared, CFO sign-off provided to their AAU and PAES printed and delivered at least two days before the Appropriation Bills are to be tabled.</w:t>
      </w:r>
    </w:p>
    <w:p w14:paraId="02A14288" w14:textId="77777777" w:rsidR="000E1B1F" w:rsidRPr="00594970" w:rsidRDefault="000E1B1F">
      <w:pPr>
        <w:suppressAutoHyphens w:val="0"/>
        <w:spacing w:before="0" w:after="120" w:line="440" w:lineRule="atLeast"/>
        <w:rPr>
          <w:rFonts w:asciiTheme="majorHAnsi" w:eastAsiaTheme="majorEastAsia" w:hAnsiTheme="majorHAnsi" w:cstheme="majorBidi"/>
          <w:bCs/>
          <w:color w:val="1C1C1C" w:themeColor="text2"/>
          <w:sz w:val="30"/>
          <w:szCs w:val="26"/>
        </w:rPr>
      </w:pPr>
      <w:bookmarkStart w:id="53" w:name="_bookmark16"/>
      <w:bookmarkEnd w:id="53"/>
      <w:r w:rsidRPr="00594970">
        <w:br w:type="page"/>
      </w:r>
    </w:p>
    <w:p w14:paraId="4A6B3E12" w14:textId="64531EDB" w:rsidR="00A71338" w:rsidRPr="00594970" w:rsidRDefault="00A71338" w:rsidP="00F31EC9">
      <w:pPr>
        <w:pStyle w:val="Heading2"/>
      </w:pPr>
      <w:bookmarkStart w:id="54" w:name="_Toc26963550"/>
      <w:r w:rsidRPr="00594970">
        <w:lastRenderedPageBreak/>
        <w:t xml:space="preserve">The Structure of the </w:t>
      </w:r>
      <w:r w:rsidR="00C46199" w:rsidRPr="00594970">
        <w:t>2019-20</w:t>
      </w:r>
      <w:r w:rsidRPr="00594970">
        <w:t xml:space="preserve"> PAES</w:t>
      </w:r>
      <w:bookmarkEnd w:id="54"/>
    </w:p>
    <w:p w14:paraId="0F3926D7" w14:textId="4BC4CAF1" w:rsidR="00A71338" w:rsidRPr="00594970" w:rsidRDefault="00A71338" w:rsidP="00607DB9">
      <w:pPr>
        <w:pStyle w:val="PAESStructureNormal"/>
      </w:pPr>
      <w:r w:rsidRPr="00594970">
        <w:t xml:space="preserve">The </w:t>
      </w:r>
      <w:r w:rsidR="00C46199" w:rsidRPr="00594970">
        <w:t>2019-20</w:t>
      </w:r>
      <w:r w:rsidRPr="00594970">
        <w:t xml:space="preserve"> PAES has the following components:</w:t>
      </w:r>
    </w:p>
    <w:p w14:paraId="241DFC7C" w14:textId="77777777" w:rsidR="00A71338" w:rsidRPr="00594970" w:rsidRDefault="00A71338" w:rsidP="00607DB9">
      <w:pPr>
        <w:pStyle w:val="PAESStructureCentreBold"/>
      </w:pPr>
      <w:r w:rsidRPr="00594970">
        <w:t>Portfolio Reporting</w:t>
      </w:r>
    </w:p>
    <w:p w14:paraId="1EFB30E0" w14:textId="77777777" w:rsidR="00A71338" w:rsidRPr="00594970" w:rsidRDefault="00A71338" w:rsidP="00607DB9">
      <w:pPr>
        <w:pStyle w:val="PAESStructureNormal"/>
      </w:pPr>
      <w:r w:rsidRPr="00594970">
        <w:t>Portfolio overview</w:t>
      </w:r>
    </w:p>
    <w:p w14:paraId="258ED48C" w14:textId="77777777" w:rsidR="00A71338" w:rsidRPr="00594970" w:rsidRDefault="00A71338" w:rsidP="00607DB9">
      <w:pPr>
        <w:pStyle w:val="PAESStructureNormal"/>
      </w:pPr>
      <w:r w:rsidRPr="00594970">
        <w:t>Ministers and portfolio responsibilities</w:t>
      </w:r>
    </w:p>
    <w:p w14:paraId="737CCA29" w14:textId="5F26023D" w:rsidR="00A71338" w:rsidRPr="00594970" w:rsidRDefault="00A71338" w:rsidP="00607DB9">
      <w:pPr>
        <w:pStyle w:val="PAESStructureNormal"/>
      </w:pPr>
      <w:r w:rsidRPr="00594970">
        <w:t>Portfolio structure and outcomes</w:t>
      </w:r>
      <w:r w:rsidR="00607DB9" w:rsidRPr="00594970">
        <w:br/>
      </w:r>
    </w:p>
    <w:p w14:paraId="4A0799A1" w14:textId="77777777" w:rsidR="00A71338" w:rsidRPr="00594970" w:rsidRDefault="00A71338" w:rsidP="00607DB9">
      <w:pPr>
        <w:pStyle w:val="PAESStructureCentreBold"/>
      </w:pPr>
      <w:r w:rsidRPr="00594970">
        <w:t>Department / entity reporting</w:t>
      </w:r>
    </w:p>
    <w:p w14:paraId="6F7F48F8" w14:textId="4B449D23" w:rsidR="00607DB9" w:rsidRPr="00594970" w:rsidRDefault="00A71338" w:rsidP="00607DB9">
      <w:pPr>
        <w:pStyle w:val="PAESStructureNormal"/>
      </w:pPr>
      <w:r w:rsidRPr="00594970">
        <w:t>Entity additional Estimates Statement</w:t>
      </w:r>
      <w:r w:rsidR="00607DB9" w:rsidRPr="00594970">
        <w:br/>
      </w:r>
    </w:p>
    <w:p w14:paraId="565B03C3" w14:textId="77777777" w:rsidR="00A71338" w:rsidRPr="00594970" w:rsidRDefault="00A71338" w:rsidP="00607DB9">
      <w:pPr>
        <w:pStyle w:val="PAESStructureNormal"/>
      </w:pPr>
      <w:r w:rsidRPr="00594970">
        <w:rPr>
          <w:u w:val="single"/>
        </w:rPr>
        <w:t>Section One</w:t>
      </w:r>
      <w:r w:rsidRPr="00594970">
        <w:t>: Entity overview and resources</w:t>
      </w:r>
    </w:p>
    <w:p w14:paraId="7CAC2601" w14:textId="77777777" w:rsidR="00A71338" w:rsidRPr="00594970" w:rsidRDefault="00A71338" w:rsidP="00607DB9">
      <w:pPr>
        <w:pStyle w:val="PAESStructureNormal"/>
      </w:pPr>
      <w:r w:rsidRPr="00594970">
        <w:t>Strategic direction statement</w:t>
      </w:r>
    </w:p>
    <w:p w14:paraId="733AF038" w14:textId="77777777" w:rsidR="00A71338" w:rsidRPr="00594970" w:rsidRDefault="00A71338" w:rsidP="00607DB9">
      <w:pPr>
        <w:pStyle w:val="PAESStructureNormal"/>
      </w:pPr>
      <w:r w:rsidRPr="00594970">
        <w:t>Entity resource statement</w:t>
      </w:r>
    </w:p>
    <w:p w14:paraId="371E77ED" w14:textId="401401E5" w:rsidR="00A71338" w:rsidRPr="00594970" w:rsidRDefault="00C46199" w:rsidP="00607DB9">
      <w:pPr>
        <w:pStyle w:val="PAESStructureNormal"/>
      </w:pPr>
      <w:r w:rsidRPr="00594970">
        <w:t>2019-20</w:t>
      </w:r>
      <w:r w:rsidR="00A71338" w:rsidRPr="00594970">
        <w:t xml:space="preserve"> measures since Budget</w:t>
      </w:r>
    </w:p>
    <w:p w14:paraId="26EB8203" w14:textId="4C134E76" w:rsidR="00A71338" w:rsidRPr="00594970" w:rsidRDefault="00A71338" w:rsidP="00607DB9">
      <w:pPr>
        <w:pStyle w:val="PAESStructureNormal"/>
      </w:pPr>
      <w:r w:rsidRPr="00594970">
        <w:t xml:space="preserve">Additional Estimates and other variations to outcomes since the </w:t>
      </w:r>
      <w:r w:rsidR="00C46199" w:rsidRPr="00594970">
        <w:t>2019-20</w:t>
      </w:r>
      <w:r w:rsidRPr="00594970">
        <w:t xml:space="preserve"> Budget</w:t>
      </w:r>
    </w:p>
    <w:p w14:paraId="33E7686F" w14:textId="77777777" w:rsidR="00A71338" w:rsidRPr="00594970" w:rsidRDefault="00A71338" w:rsidP="00607DB9">
      <w:pPr>
        <w:pStyle w:val="PAESStructureNormal"/>
      </w:pPr>
      <w:r w:rsidRPr="00594970">
        <w:t>Breakdown of Additional Estimates by Appropriation Bills</w:t>
      </w:r>
    </w:p>
    <w:p w14:paraId="4F9E3EC5" w14:textId="77777777" w:rsidR="00260256" w:rsidRPr="00594970" w:rsidRDefault="00260256" w:rsidP="00607DB9">
      <w:pPr>
        <w:pStyle w:val="PAESStructureNormal"/>
      </w:pPr>
    </w:p>
    <w:p w14:paraId="5AF34BB9" w14:textId="77777777" w:rsidR="00A71338" w:rsidRPr="00594970" w:rsidRDefault="00A71338" w:rsidP="00607DB9">
      <w:pPr>
        <w:pStyle w:val="PAESStructureNormal"/>
      </w:pPr>
      <w:r w:rsidRPr="00594970">
        <w:rPr>
          <w:u w:val="single"/>
        </w:rPr>
        <w:t>Section Two</w:t>
      </w:r>
      <w:r w:rsidRPr="00594970">
        <w:t>: Revisions to outcomes and planned performance</w:t>
      </w:r>
    </w:p>
    <w:p w14:paraId="42ACD1D2" w14:textId="77777777" w:rsidR="00A71338" w:rsidRPr="00594970" w:rsidRDefault="00A71338" w:rsidP="00607DB9">
      <w:pPr>
        <w:pStyle w:val="PAESStructureNormal"/>
      </w:pPr>
      <w:r w:rsidRPr="00594970">
        <w:t>Changes to entity outcomes and programs (where applicable)</w:t>
      </w:r>
    </w:p>
    <w:p w14:paraId="7AFA486A" w14:textId="77777777" w:rsidR="00A71338" w:rsidRPr="00594970" w:rsidRDefault="00A71338" w:rsidP="00607DB9">
      <w:pPr>
        <w:pStyle w:val="PAESStructureNormal"/>
      </w:pPr>
      <w:r w:rsidRPr="00594970">
        <w:t>Budgeted expenses and performance for Outcome X</w:t>
      </w:r>
    </w:p>
    <w:p w14:paraId="59FBC706" w14:textId="5B381F6E" w:rsidR="00863153" w:rsidRPr="00594970" w:rsidRDefault="00A71338" w:rsidP="00607DB9">
      <w:pPr>
        <w:pStyle w:val="ListBullet2"/>
      </w:pPr>
      <w:r w:rsidRPr="00594970">
        <w:t>Linked programs</w:t>
      </w:r>
      <w:r w:rsidR="00AA53B2" w:rsidRPr="00594970">
        <w:br/>
      </w:r>
    </w:p>
    <w:p w14:paraId="4DA5C560" w14:textId="5DAC7FE1" w:rsidR="00A71338" w:rsidRPr="00594970" w:rsidRDefault="00A71338" w:rsidP="00607DB9">
      <w:pPr>
        <w:pStyle w:val="ListBullet2"/>
      </w:pPr>
      <w:r w:rsidRPr="00594970">
        <w:t>Budgeted expenses for Outcome X</w:t>
      </w:r>
    </w:p>
    <w:p w14:paraId="72D009FC" w14:textId="5CF37212" w:rsidR="00607DB9" w:rsidRPr="00594970" w:rsidRDefault="00A71338" w:rsidP="00D33503">
      <w:pPr>
        <w:pStyle w:val="ListBullet3"/>
      </w:pPr>
      <w:r w:rsidRPr="00594970">
        <w:t>Program components of Outcome X (where applicable)</w:t>
      </w:r>
      <w:r w:rsidR="00AA53B2" w:rsidRPr="00594970">
        <w:br/>
      </w:r>
    </w:p>
    <w:p w14:paraId="5520250C" w14:textId="24D74DCA" w:rsidR="00A71338" w:rsidRPr="00594970" w:rsidRDefault="00A71338" w:rsidP="00607DB9">
      <w:pPr>
        <w:pStyle w:val="ListBullet2"/>
      </w:pPr>
      <w:r w:rsidRPr="00594970">
        <w:t>Performance criteria for Outcome X</w:t>
      </w:r>
    </w:p>
    <w:p w14:paraId="4853D44E" w14:textId="77777777" w:rsidR="00260256" w:rsidRPr="00594970" w:rsidRDefault="00260256" w:rsidP="00607DB9">
      <w:pPr>
        <w:spacing w:before="100"/>
      </w:pPr>
    </w:p>
    <w:p w14:paraId="53047D8A" w14:textId="77777777" w:rsidR="00A71338" w:rsidRPr="00594970" w:rsidRDefault="00A71338" w:rsidP="00607DB9">
      <w:pPr>
        <w:pStyle w:val="PAESStructureNormal"/>
      </w:pPr>
      <w:r w:rsidRPr="00594970">
        <w:rPr>
          <w:u w:val="single"/>
        </w:rPr>
        <w:t>Section Three</w:t>
      </w:r>
      <w:r w:rsidRPr="00594970">
        <w:t>: Special account flows and budgeted financial statements</w:t>
      </w:r>
    </w:p>
    <w:p w14:paraId="6E5102BA" w14:textId="77777777" w:rsidR="00A71338" w:rsidRPr="00594970" w:rsidRDefault="00A71338" w:rsidP="00607DB9">
      <w:pPr>
        <w:pStyle w:val="PAESStructureNormal"/>
      </w:pPr>
      <w:r w:rsidRPr="00594970">
        <w:t>Estimates of Special Account flows and balances</w:t>
      </w:r>
    </w:p>
    <w:p w14:paraId="34E2937B" w14:textId="2DE8136F" w:rsidR="00A71338" w:rsidRPr="00594970" w:rsidRDefault="00A71338" w:rsidP="00607DB9">
      <w:pPr>
        <w:pStyle w:val="PAESStructureNormal"/>
      </w:pPr>
      <w:r w:rsidRPr="00594970">
        <w:t>Budgeted financial statements</w:t>
      </w:r>
      <w:r w:rsidR="00607DB9" w:rsidRPr="00594970">
        <w:br/>
      </w:r>
    </w:p>
    <w:p w14:paraId="10E89865" w14:textId="0DC8EC4B" w:rsidR="00A71338" w:rsidRPr="00594970" w:rsidRDefault="00A71338" w:rsidP="00607DB9">
      <w:pPr>
        <w:pStyle w:val="PAESStructureCentreBold"/>
      </w:pPr>
      <w:r w:rsidRPr="00594970">
        <w:t>Portfolio glossary (optional)</w:t>
      </w:r>
    </w:p>
    <w:p w14:paraId="462B057A" w14:textId="77B5AD62" w:rsidR="0000413A" w:rsidRPr="00594970" w:rsidRDefault="00A71338" w:rsidP="00607DB9">
      <w:pPr>
        <w:pStyle w:val="PAESStructureCentreBold"/>
      </w:pPr>
      <w:r w:rsidRPr="00594970">
        <w:t>Index</w:t>
      </w:r>
    </w:p>
    <w:p w14:paraId="0FC9751A" w14:textId="77777777" w:rsidR="0000413A" w:rsidRPr="00594970" w:rsidRDefault="0000413A">
      <w:pPr>
        <w:suppressAutoHyphens w:val="0"/>
        <w:spacing w:before="0" w:after="120" w:line="440" w:lineRule="atLeast"/>
        <w:rPr>
          <w:b/>
        </w:rPr>
      </w:pPr>
      <w:r w:rsidRPr="00594970">
        <w:rPr>
          <w:b/>
        </w:rPr>
        <w:br w:type="page"/>
      </w:r>
    </w:p>
    <w:p w14:paraId="60DE1838" w14:textId="77777777" w:rsidR="007B214D" w:rsidRPr="00594970" w:rsidRDefault="007B214D" w:rsidP="00F31EC9">
      <w:pPr>
        <w:pStyle w:val="Heading2"/>
      </w:pPr>
      <w:bookmarkStart w:id="55" w:name="_bookmark17"/>
      <w:bookmarkStart w:id="56" w:name="_Toc26963551"/>
      <w:bookmarkEnd w:id="55"/>
      <w:r w:rsidRPr="00594970">
        <w:lastRenderedPageBreak/>
        <w:t>Issuing a Corrigendum</w:t>
      </w:r>
      <w:r w:rsidR="00AC46E0" w:rsidRPr="00594970">
        <w:t xml:space="preserve"> / Addendum</w:t>
      </w:r>
      <w:bookmarkEnd w:id="56"/>
    </w:p>
    <w:p w14:paraId="435417D3" w14:textId="77777777" w:rsidR="007B214D" w:rsidRPr="00594970" w:rsidRDefault="007B214D" w:rsidP="005C2636">
      <w:r w:rsidRPr="00594970">
        <w:t>If necessary, refer to the Department of Prime Minister and Cabinet’s Guidelines for the Presentation of Documents to the Parliament at</w:t>
      </w:r>
      <w:r w:rsidR="005F4B4A" w:rsidRPr="00594970">
        <w:t>:</w:t>
      </w:r>
      <w:r w:rsidRPr="00594970">
        <w:t xml:space="preserve"> </w:t>
      </w:r>
    </w:p>
    <w:p w14:paraId="30A783CE" w14:textId="6AE62AA4" w:rsidR="00C46199" w:rsidRPr="00594970" w:rsidRDefault="001859E7" w:rsidP="007B214D">
      <w:hyperlink r:id="rId16" w:history="1">
        <w:r w:rsidR="00C46199" w:rsidRPr="00594970">
          <w:rPr>
            <w:rStyle w:val="Hyperlink"/>
            <w:rFonts w:cstheme="minorBidi"/>
          </w:rPr>
          <w:t>https://www.pmc.gov.au/sites/default/files/publications/pmc-tabling-guidelines.pdf</w:t>
        </w:r>
      </w:hyperlink>
    </w:p>
    <w:p w14:paraId="4566F0BF" w14:textId="21216751" w:rsidR="007B214D" w:rsidRPr="00594970" w:rsidRDefault="007B214D" w:rsidP="005C2636">
      <w:r w:rsidRPr="00594970">
        <w:t>Portfolios which identify an error in their PB</w:t>
      </w:r>
      <w:r w:rsidR="008043B7" w:rsidRPr="00594970">
        <w:t xml:space="preserve"> </w:t>
      </w:r>
      <w:r w:rsidRPr="00594970">
        <w:t>S</w:t>
      </w:r>
      <w:r w:rsidR="008043B7" w:rsidRPr="00594970">
        <w:t>tatements</w:t>
      </w:r>
      <w:r w:rsidRPr="00594970">
        <w:t>, PAES or PSAES should follow the following process:</w:t>
      </w:r>
    </w:p>
    <w:p w14:paraId="6DABE016" w14:textId="64BD167E" w:rsidR="008E4BCF" w:rsidRPr="00594970" w:rsidRDefault="007B214D" w:rsidP="00AA53B2">
      <w:pPr>
        <w:pStyle w:val="ListBullet2"/>
      </w:pPr>
      <w:r w:rsidRPr="00594970">
        <w:t>Advise your Minister’s office of the error and seek approval for the updated PB</w:t>
      </w:r>
      <w:r w:rsidR="008043B7" w:rsidRPr="00594970">
        <w:t xml:space="preserve"> </w:t>
      </w:r>
      <w:r w:rsidRPr="00594970">
        <w:t>S</w:t>
      </w:r>
      <w:r w:rsidR="008043B7" w:rsidRPr="00594970">
        <w:t>tatements</w:t>
      </w:r>
      <w:r w:rsidRPr="00594970">
        <w:t>/PAES tables and pages</w:t>
      </w:r>
      <w:r w:rsidR="00D61671" w:rsidRPr="00594970">
        <w:t>.</w:t>
      </w:r>
    </w:p>
    <w:p w14:paraId="3F667C2D" w14:textId="4514BC16" w:rsidR="008E4BCF" w:rsidRPr="00594970" w:rsidRDefault="007B214D" w:rsidP="00AA53B2">
      <w:pPr>
        <w:pStyle w:val="ListBullet2"/>
      </w:pPr>
      <w:r w:rsidRPr="00594970">
        <w:t>Contact the PM&amp;C Tabling Officer to advise that a correction is required:</w:t>
      </w:r>
    </w:p>
    <w:p w14:paraId="770BB218" w14:textId="47806970" w:rsidR="008E4BCF" w:rsidRPr="00594970" w:rsidRDefault="007B214D" w:rsidP="00D33503">
      <w:pPr>
        <w:pStyle w:val="ListBullet3"/>
      </w:pPr>
      <w:r w:rsidRPr="00594970">
        <w:t>(02) 6277 7212; or</w:t>
      </w:r>
    </w:p>
    <w:p w14:paraId="4116C04F" w14:textId="1AFEC7B2" w:rsidR="008E4BCF" w:rsidRPr="00594970" w:rsidRDefault="001859E7" w:rsidP="00D33503">
      <w:pPr>
        <w:pStyle w:val="ListBullet3"/>
      </w:pPr>
      <w:hyperlink r:id="rId17" w:history="1">
        <w:r w:rsidR="007B214D" w:rsidRPr="00594970">
          <w:rPr>
            <w:rStyle w:val="Hyperlink"/>
            <w:rFonts w:cstheme="minorBidi"/>
          </w:rPr>
          <w:t>tabling@pmc.gov.au</w:t>
        </w:r>
      </w:hyperlink>
      <w:r w:rsidR="007B214D" w:rsidRPr="00594970">
        <w:t>.</w:t>
      </w:r>
    </w:p>
    <w:p w14:paraId="0B2EEA56" w14:textId="71C9C60C" w:rsidR="008E4BCF" w:rsidRPr="00594970" w:rsidRDefault="007B214D" w:rsidP="00AA53B2">
      <w:pPr>
        <w:pStyle w:val="ListBullet2"/>
      </w:pPr>
      <w:r w:rsidRPr="00594970">
        <w:t>If the error affects figures published in the Budget papers and/or Appropriation Bills, your Minister must submit the corrigendum (and background reports) to the Finance Minister for approval (and if required to be tabled out-of-session, a Transmittal letter - see below)</w:t>
      </w:r>
      <w:r w:rsidR="00D61671" w:rsidRPr="00594970">
        <w:t>.</w:t>
      </w:r>
    </w:p>
    <w:p w14:paraId="005A6C38" w14:textId="3B3FC3B8" w:rsidR="008E4BCF" w:rsidRPr="00594970" w:rsidRDefault="007B214D" w:rsidP="00D33503">
      <w:pPr>
        <w:pStyle w:val="ListBullet3"/>
      </w:pPr>
      <w:r w:rsidRPr="00594970">
        <w:t>You must also advise your AAU and the Budget Reporting and Framework Team (</w:t>
      </w:r>
      <w:hyperlink r:id="rId18" w:history="1">
        <w:r w:rsidRPr="00594970">
          <w:rPr>
            <w:rStyle w:val="Hyperlink"/>
          </w:rPr>
          <w:t>Budget_Framework@finance.gov.au</w:t>
        </w:r>
      </w:hyperlink>
      <w:r w:rsidRPr="00594970">
        <w:t xml:space="preserve">) prior to submitting the corrigendum to the Finance Minister for approval. </w:t>
      </w:r>
    </w:p>
    <w:p w14:paraId="499CBAE5" w14:textId="29E67DC0" w:rsidR="008E4BCF" w:rsidRPr="00594970" w:rsidRDefault="007B214D" w:rsidP="00AA53B2">
      <w:pPr>
        <w:pStyle w:val="ListBullet2"/>
      </w:pPr>
      <w:r w:rsidRPr="00594970">
        <w:t>Corrections will be tabled in the same manner and subject to the same copy requirements (including approval by the relevant Minister) as the original report.</w:t>
      </w:r>
    </w:p>
    <w:p w14:paraId="136DFC81" w14:textId="77777777" w:rsidR="007B214D" w:rsidRPr="00594970" w:rsidRDefault="007B214D" w:rsidP="00AA53B2">
      <w:r w:rsidRPr="00594970">
        <w:t>Following approval by your Minister (and where required, the Finance Minister):</w:t>
      </w:r>
    </w:p>
    <w:p w14:paraId="4AC5AABC" w14:textId="77777777" w:rsidR="008E4BCF" w:rsidRPr="00594970" w:rsidRDefault="007B214D" w:rsidP="000137C6">
      <w:pPr>
        <w:pStyle w:val="Bullet1"/>
      </w:pPr>
      <w:r w:rsidRPr="00594970">
        <w:t>For in-session tabling, i.e. Parliament is sitting</w:t>
      </w:r>
    </w:p>
    <w:p w14:paraId="7A807E10" w14:textId="0A73049F" w:rsidR="008E4BCF" w:rsidRPr="00594970" w:rsidRDefault="007B214D" w:rsidP="00D33503">
      <w:pPr>
        <w:pStyle w:val="ListBullet3"/>
      </w:pPr>
      <w:r w:rsidRPr="00594970">
        <w:t>A covering memorandum should be provided to the PM&amp;C Tabling Officer. This memorandum does not need to be approved by the Minister, but does need to note the Minister’s approval of the corrigendum.</w:t>
      </w:r>
    </w:p>
    <w:p w14:paraId="34F7242D" w14:textId="0BA5469A" w:rsidR="007B214D" w:rsidRPr="00594970" w:rsidRDefault="007B214D" w:rsidP="00D33503">
      <w:pPr>
        <w:pStyle w:val="ListBullet3"/>
      </w:pPr>
      <w:r w:rsidRPr="00594970">
        <w:t>The covering sheet for government documents and copies of the corrigendum should also be provid</w:t>
      </w:r>
      <w:r w:rsidR="00D33503" w:rsidRPr="00594970">
        <w:t>ed to the PM&amp;C Tabling Officer.</w:t>
      </w:r>
    </w:p>
    <w:p w14:paraId="2014FD49" w14:textId="77777777" w:rsidR="008E4BCF" w:rsidRPr="00594970" w:rsidRDefault="007B214D" w:rsidP="000137C6">
      <w:pPr>
        <w:pStyle w:val="Bullet1"/>
      </w:pPr>
      <w:r w:rsidRPr="00594970">
        <w:t>For out-of-</w:t>
      </w:r>
      <w:r w:rsidRPr="000137C6">
        <w:t>session</w:t>
      </w:r>
      <w:r w:rsidRPr="00594970">
        <w:t xml:space="preserve"> tabling, i.e. Parliament is not sitting</w:t>
      </w:r>
    </w:p>
    <w:p w14:paraId="38844545" w14:textId="7E92DA39" w:rsidR="008E4BCF" w:rsidRPr="00594970" w:rsidRDefault="007B214D" w:rsidP="00D33503">
      <w:pPr>
        <w:pStyle w:val="ListBullet3"/>
      </w:pPr>
      <w:r w:rsidRPr="00594970">
        <w:t>The Senate Tabling Office must be advised of the requirement to table the corrigendum out-of-session.</w:t>
      </w:r>
    </w:p>
    <w:p w14:paraId="6D8E2A2D" w14:textId="62CAC3CD" w:rsidR="008E4BCF" w:rsidRPr="00594970" w:rsidRDefault="007B214D" w:rsidP="00D33503">
      <w:pPr>
        <w:pStyle w:val="ListBullet3"/>
      </w:pPr>
      <w:r w:rsidRPr="00594970">
        <w:t>A covering memorandum should be provided to the PM&amp;C Tabling Officer.  This memorandum does not need to be approved by the Minister, but does need to note the Minister’s approval of the corrigendum.</w:t>
      </w:r>
    </w:p>
    <w:p w14:paraId="1E124401" w14:textId="17C67C7F" w:rsidR="008E4BCF" w:rsidRPr="00594970" w:rsidRDefault="007B214D" w:rsidP="00D33503">
      <w:pPr>
        <w:pStyle w:val="ListBullet3"/>
      </w:pPr>
      <w:r w:rsidRPr="00594970">
        <w:t xml:space="preserve">The covering sheet for government documents and copies of the corrigendum should also be provided to the PM&amp;C Tabling Officer. </w:t>
      </w:r>
    </w:p>
    <w:p w14:paraId="20CCE60F" w14:textId="34A2D2A1" w:rsidR="00FE622D" w:rsidRPr="00594970" w:rsidRDefault="007B214D" w:rsidP="00D33503">
      <w:pPr>
        <w:pStyle w:val="ListBullet3"/>
      </w:pPr>
      <w:r w:rsidRPr="00594970">
        <w:t>A Transmittal letter from the Minister to the President of the Senate to present a document when the Senate is not sitting is required.</w:t>
      </w:r>
    </w:p>
    <w:p w14:paraId="57152772" w14:textId="77777777" w:rsidR="006B060B" w:rsidRPr="00594970" w:rsidRDefault="006B060B">
      <w:pPr>
        <w:suppressAutoHyphens w:val="0"/>
        <w:spacing w:before="0" w:after="120" w:line="440" w:lineRule="atLeast"/>
      </w:pPr>
      <w:r w:rsidRPr="00594970">
        <w:br w:type="page"/>
      </w:r>
    </w:p>
    <w:p w14:paraId="4C88A41C" w14:textId="18442B55" w:rsidR="00AC46E0" w:rsidRPr="00594970" w:rsidRDefault="00FE622D" w:rsidP="00AA53B2">
      <w:r w:rsidRPr="00594970">
        <w:lastRenderedPageBreak/>
        <w:t xml:space="preserve">Following tabling in Parliament, a soft copy of the corrigendum and any updated Excel tables for data.gov.au should be emailed to </w:t>
      </w:r>
      <w:hyperlink r:id="rId19" w:history="1">
        <w:r w:rsidR="00A03514" w:rsidRPr="00594970">
          <w:rPr>
            <w:rStyle w:val="Hyperlink"/>
          </w:rPr>
          <w:t>Budget_Framework@finance.gov.au</w:t>
        </w:r>
      </w:hyperlink>
      <w:r w:rsidRPr="00594970">
        <w:t xml:space="preserve">. </w:t>
      </w:r>
    </w:p>
    <w:p w14:paraId="323520BC" w14:textId="2893FE13" w:rsidR="008E4BCF" w:rsidRPr="00594970" w:rsidRDefault="00A83382" w:rsidP="00AA53B2">
      <w:pPr>
        <w:pStyle w:val="ListBullet2"/>
      </w:pPr>
      <w:r w:rsidRPr="00594970">
        <w:t>An addendum is required where inform</w:t>
      </w:r>
      <w:r w:rsidR="00AC46E0" w:rsidRPr="00594970">
        <w:t>ation has been omitted / missing</w:t>
      </w:r>
      <w:r w:rsidRPr="00594970">
        <w:t xml:space="preserve"> </w:t>
      </w:r>
      <w:r w:rsidR="00752D4F" w:rsidRPr="00594970">
        <w:t>from the PAES such as a table</w:t>
      </w:r>
      <w:r w:rsidR="00AC46E0" w:rsidRPr="00594970">
        <w:t xml:space="preserve"> or a footnote</w:t>
      </w:r>
      <w:r w:rsidRPr="00594970">
        <w:t>.</w:t>
      </w:r>
      <w:r w:rsidR="00AC46E0" w:rsidRPr="00594970">
        <w:t xml:space="preserve"> </w:t>
      </w:r>
    </w:p>
    <w:p w14:paraId="3FCECCA9" w14:textId="5086D779" w:rsidR="00CC3DE6" w:rsidRPr="00594970" w:rsidRDefault="00AC46E0" w:rsidP="000137C6">
      <w:pPr>
        <w:pStyle w:val="ListBullet3"/>
        <w:numPr>
          <w:ilvl w:val="0"/>
          <w:numId w:val="0"/>
        </w:numPr>
      </w:pPr>
      <w:r w:rsidRPr="00594970">
        <w:t>The same process applies as a corrigendum to table the missing information.</w:t>
      </w:r>
      <w:r w:rsidR="00CC3DE6" w:rsidRPr="00594970">
        <w:br w:type="page"/>
      </w:r>
    </w:p>
    <w:p w14:paraId="46EFE405" w14:textId="26F145C6" w:rsidR="00FE622D" w:rsidRPr="00594970" w:rsidRDefault="00FE622D" w:rsidP="004A02E5">
      <w:pPr>
        <w:pStyle w:val="Heading1Numbered"/>
      </w:pPr>
      <w:bookmarkStart w:id="57" w:name="Publication_Requirements"/>
      <w:bookmarkStart w:id="58" w:name="_bookmark18"/>
      <w:bookmarkStart w:id="59" w:name="_Toc26963552"/>
      <w:bookmarkEnd w:id="57"/>
      <w:bookmarkEnd w:id="58"/>
      <w:r w:rsidRPr="00594970">
        <w:lastRenderedPageBreak/>
        <w:t>Publication Requirements</w:t>
      </w:r>
      <w:bookmarkEnd w:id="59"/>
    </w:p>
    <w:p w14:paraId="5F6EC133" w14:textId="5E7E8554" w:rsidR="00FE622D" w:rsidRPr="00594970" w:rsidRDefault="00FE622D" w:rsidP="00F31EC9">
      <w:pPr>
        <w:pStyle w:val="Heading2"/>
      </w:pPr>
      <w:bookmarkStart w:id="60" w:name="Security_Requirements"/>
      <w:bookmarkStart w:id="61" w:name="_bookmark19"/>
      <w:bookmarkStart w:id="62" w:name="_Toc26963553"/>
      <w:bookmarkEnd w:id="60"/>
      <w:bookmarkEnd w:id="61"/>
      <w:r w:rsidRPr="00594970">
        <w:t>Security Requirements</w:t>
      </w:r>
      <w:bookmarkEnd w:id="62"/>
    </w:p>
    <w:p w14:paraId="36F6A6C2" w14:textId="77777777" w:rsidR="00FE622D" w:rsidRPr="00594970" w:rsidRDefault="00FE622D" w:rsidP="005C2636">
      <w:r w:rsidRPr="00594970">
        <w:t xml:space="preserve">The PAES are classified at the </w:t>
      </w:r>
      <w:proofErr w:type="gramStart"/>
      <w:r w:rsidRPr="00D375E3">
        <w:rPr>
          <w:b/>
        </w:rPr>
        <w:t>Protected</w:t>
      </w:r>
      <w:proofErr w:type="gramEnd"/>
      <w:r w:rsidRPr="00594970">
        <w:t xml:space="preserve"> level and under embargo up until the time they are publicly released. The Treasurer has endorsed this classification and it is the responsibility of each portfolio entity to ensure appropriate security arra</w:t>
      </w:r>
      <w:r w:rsidR="00A83382" w:rsidRPr="00594970">
        <w:t>ng</w:t>
      </w:r>
      <w:r w:rsidRPr="00594970">
        <w:t>ements are made. If staff are unsure of the correct security processes during the budget preparation period, they should contact their entity’s security adviser.</w:t>
      </w:r>
    </w:p>
    <w:p w14:paraId="2F68232A" w14:textId="77777777" w:rsidR="00FE622D" w:rsidRPr="00594970" w:rsidRDefault="00FE622D" w:rsidP="005C2636">
      <w:r w:rsidRPr="00594970">
        <w:t>Issues to keep in mind include:</w:t>
      </w:r>
    </w:p>
    <w:p w14:paraId="4919CF0F" w14:textId="77777777" w:rsidR="00FE622D" w:rsidRPr="00594970" w:rsidRDefault="00FE622D" w:rsidP="00D33503">
      <w:pPr>
        <w:pStyle w:val="ListBullet2"/>
      </w:pPr>
      <w:r w:rsidRPr="00594970">
        <w:t>PAES should be prepared in a secure area of the entity.</w:t>
      </w:r>
    </w:p>
    <w:p w14:paraId="7E295341" w14:textId="77777777" w:rsidR="00FE622D" w:rsidRPr="00594970" w:rsidRDefault="00FE622D" w:rsidP="00D33503">
      <w:pPr>
        <w:pStyle w:val="ListBullet2"/>
      </w:pPr>
      <w:r w:rsidRPr="00594970">
        <w:t>PAES documentation should under no circumstances be distributed via unsecure electronic mail.</w:t>
      </w:r>
    </w:p>
    <w:p w14:paraId="126BD888" w14:textId="77777777" w:rsidR="00FE622D" w:rsidRPr="00594970" w:rsidRDefault="00FE622D" w:rsidP="00D33503">
      <w:pPr>
        <w:pStyle w:val="ListBullet2"/>
      </w:pPr>
      <w:r w:rsidRPr="00594970">
        <w:t>The ‘need to know’ principle should be applied in the distribution of all material.</w:t>
      </w:r>
    </w:p>
    <w:p w14:paraId="4E5E8CE2" w14:textId="0A3F2C48" w:rsidR="00FE622D" w:rsidRPr="00594970" w:rsidRDefault="00FE622D" w:rsidP="00D33503">
      <w:pPr>
        <w:pStyle w:val="ListBullet2"/>
      </w:pPr>
      <w:r w:rsidRPr="00594970">
        <w:t>PAES should not be prepared by external companies or contractors who cannot demonstrate that their premises meet the security standards for protected information as provided by the Prote</w:t>
      </w:r>
      <w:r w:rsidR="00CD2CFD" w:rsidRPr="00594970">
        <w:t xml:space="preserve">ctive Security Policy Framework </w:t>
      </w:r>
      <w:r w:rsidR="0079508B" w:rsidRPr="00594970">
        <w:t>(</w:t>
      </w:r>
      <w:hyperlink r:id="rId20" w:history="1">
        <w:r w:rsidR="00CD2CFD" w:rsidRPr="00594970">
          <w:rPr>
            <w:rStyle w:val="Hyperlink"/>
            <w:rFonts w:cstheme="minorBidi"/>
          </w:rPr>
          <w:t>http://www.protectivesecurity.gov.au</w:t>
        </w:r>
      </w:hyperlink>
      <w:r w:rsidRPr="00594970">
        <w:t xml:space="preserve">). </w:t>
      </w:r>
    </w:p>
    <w:p w14:paraId="1C4F8BC7" w14:textId="75354D68" w:rsidR="00FE622D" w:rsidRPr="00594970" w:rsidRDefault="00FE622D" w:rsidP="00D33503">
      <w:pPr>
        <w:pStyle w:val="ListBullet2"/>
      </w:pPr>
      <w:r w:rsidRPr="00594970">
        <w:t>Staff with knowledge of any information relating to the PAES should not discuss it in non-official circles.</w:t>
      </w:r>
    </w:p>
    <w:p w14:paraId="32B20452" w14:textId="77777777" w:rsidR="00FE622D" w:rsidRPr="00594970" w:rsidRDefault="00FE622D" w:rsidP="00597853">
      <w:r w:rsidRPr="00594970">
        <w:t>If you have any questions regarding security issues please speak to the security adviser in your entity.</w:t>
      </w:r>
    </w:p>
    <w:p w14:paraId="63744134" w14:textId="184E7766" w:rsidR="00FE622D" w:rsidRPr="00594970" w:rsidRDefault="00FE622D" w:rsidP="00F31EC9">
      <w:pPr>
        <w:pStyle w:val="Heading2"/>
      </w:pPr>
      <w:bookmarkStart w:id="63" w:name="Portfolio_Responsibilities"/>
      <w:bookmarkStart w:id="64" w:name="_bookmark20"/>
      <w:bookmarkStart w:id="65" w:name="_Toc26963554"/>
      <w:bookmarkEnd w:id="63"/>
      <w:bookmarkEnd w:id="64"/>
      <w:r w:rsidRPr="00594970">
        <w:t>Portfolio Responsibilities</w:t>
      </w:r>
      <w:bookmarkEnd w:id="65"/>
    </w:p>
    <w:p w14:paraId="7DF65A4D" w14:textId="1A7E355C" w:rsidR="00FE622D" w:rsidRPr="00594970" w:rsidRDefault="00FE622D" w:rsidP="005C2636">
      <w:r w:rsidRPr="00594970">
        <w:t>Portfolio departments are responsible for ensuring the accuracy and completeness of the information contained in their PAES, and ensuring that the numbers contained in the relevant tables matc</w:t>
      </w:r>
      <w:r w:rsidR="00597853" w:rsidRPr="00594970">
        <w:t>h the numbers reported in CBMS.</w:t>
      </w:r>
    </w:p>
    <w:p w14:paraId="6EF34A2F" w14:textId="77777777" w:rsidR="00FE622D" w:rsidRPr="00594970" w:rsidRDefault="00FE622D" w:rsidP="005C2636">
      <w:r w:rsidRPr="00594970">
        <w:t>To the extent that information in the PAES describes measures published in MYEFO, it must be consistent with the measures descriptions in MYEFO.</w:t>
      </w:r>
    </w:p>
    <w:p w14:paraId="0671E3FD" w14:textId="77777777" w:rsidR="00FE622D" w:rsidRPr="00594970" w:rsidRDefault="00FE622D" w:rsidP="005C2636">
      <w:r w:rsidRPr="00594970">
        <w:t xml:space="preserve">In all cases, the </w:t>
      </w:r>
      <w:r w:rsidRPr="00594970">
        <w:rPr>
          <w:b/>
        </w:rPr>
        <w:t>measures table must match the final measures list</w:t>
      </w:r>
      <w:r w:rsidRPr="00594970">
        <w:t xml:space="preserve"> provided by Finance before PAES can be printed.</w:t>
      </w:r>
    </w:p>
    <w:p w14:paraId="5A441E93" w14:textId="48F050AB" w:rsidR="00FE622D" w:rsidRPr="00594970" w:rsidRDefault="00FE622D" w:rsidP="005C2636">
      <w:r w:rsidRPr="00594970">
        <w:t xml:space="preserve">Portfolios should aim to provide their AAU with the measures table, the CFO sign-offs for estimates and </w:t>
      </w:r>
      <w:r w:rsidR="002720AC" w:rsidRPr="00594970">
        <w:t>also the CFO sign-offs for the Appropriation B</w:t>
      </w:r>
      <w:r w:rsidRPr="00594970">
        <w:t xml:space="preserve">ills by </w:t>
      </w:r>
      <w:r w:rsidR="004D1D4F" w:rsidRPr="00594970">
        <w:rPr>
          <w:b/>
        </w:rPr>
        <w:t>Tuesday</w:t>
      </w:r>
      <w:r w:rsidR="00847F53" w:rsidRPr="00594970">
        <w:rPr>
          <w:b/>
        </w:rPr>
        <w:t xml:space="preserve">, </w:t>
      </w:r>
      <w:r w:rsidR="0079508B" w:rsidRPr="00594970">
        <w:rPr>
          <w:b/>
        </w:rPr>
        <w:t>2</w:t>
      </w:r>
      <w:r w:rsidR="004D1D4F" w:rsidRPr="00594970">
        <w:rPr>
          <w:b/>
        </w:rPr>
        <w:t>1</w:t>
      </w:r>
      <w:r w:rsidR="0079508B" w:rsidRPr="00594970">
        <w:rPr>
          <w:b/>
        </w:rPr>
        <w:t xml:space="preserve"> </w:t>
      </w:r>
      <w:r w:rsidR="00221335" w:rsidRPr="00594970">
        <w:rPr>
          <w:b/>
        </w:rPr>
        <w:t>January</w:t>
      </w:r>
      <w:r w:rsidR="00847F53" w:rsidRPr="00594970">
        <w:rPr>
          <w:b/>
        </w:rPr>
        <w:t xml:space="preserve"> </w:t>
      </w:r>
      <w:r w:rsidR="0079508B" w:rsidRPr="00594970">
        <w:rPr>
          <w:b/>
        </w:rPr>
        <w:t>2020</w:t>
      </w:r>
      <w:r w:rsidR="002720AC" w:rsidRPr="00594970">
        <w:t>, and CFO sign-offs for the A</w:t>
      </w:r>
      <w:r w:rsidRPr="00594970">
        <w:t>ppropria</w:t>
      </w:r>
      <w:r w:rsidR="002720AC" w:rsidRPr="00594970">
        <w:t>tion B</w:t>
      </w:r>
      <w:r w:rsidRPr="00594970">
        <w:t xml:space="preserve">ills to allow sufficient time for the </w:t>
      </w:r>
      <w:r w:rsidR="0079508B" w:rsidRPr="00594970">
        <w:t>2019-20</w:t>
      </w:r>
      <w:r w:rsidRPr="00594970">
        <w:t xml:space="preserve"> PAES to be printed and tabled on the same day as the appropriation bills.</w:t>
      </w:r>
    </w:p>
    <w:p w14:paraId="0255DA0D" w14:textId="77777777" w:rsidR="00FE622D" w:rsidRPr="00594970" w:rsidRDefault="00FE622D" w:rsidP="005C2636">
      <w:pPr>
        <w:rPr>
          <w:b/>
        </w:rPr>
      </w:pPr>
      <w:r w:rsidRPr="00594970">
        <w:rPr>
          <w:b/>
        </w:rPr>
        <w:t>Entities must not print their PAES until these checks are completed.</w:t>
      </w:r>
    </w:p>
    <w:p w14:paraId="7B92951C" w14:textId="77777777" w:rsidR="00FE622D" w:rsidRPr="00594970" w:rsidRDefault="00FE622D" w:rsidP="005C2636">
      <w:r w:rsidRPr="00594970">
        <w:t>Portfolios will be responsible for ensuring that their overall PAES document is consistent with the information provided by Finance.</w:t>
      </w:r>
    </w:p>
    <w:p w14:paraId="01B5461B" w14:textId="77777777" w:rsidR="00FE622D" w:rsidRPr="00594970" w:rsidRDefault="00FE622D" w:rsidP="00F31EC9">
      <w:pPr>
        <w:pStyle w:val="Heading2"/>
      </w:pPr>
      <w:bookmarkStart w:id="66" w:name="Which_Printer_to_Use_and_Printing_Specif"/>
      <w:bookmarkStart w:id="67" w:name="_bookmark21"/>
      <w:bookmarkStart w:id="68" w:name="_Toc26963555"/>
      <w:bookmarkEnd w:id="66"/>
      <w:bookmarkEnd w:id="67"/>
      <w:r w:rsidRPr="00594970">
        <w:lastRenderedPageBreak/>
        <w:t>Which Printer to Use and Printing Specifications</w:t>
      </w:r>
      <w:bookmarkEnd w:id="68"/>
    </w:p>
    <w:p w14:paraId="224F19E1" w14:textId="77777777" w:rsidR="00CF3BCC" w:rsidRPr="00594970" w:rsidRDefault="00CF3BCC" w:rsidP="00597853">
      <w:pPr>
        <w:rPr>
          <w:u w:val="single"/>
        </w:rPr>
      </w:pPr>
      <w:r w:rsidRPr="00594970">
        <w:rPr>
          <w:u w:val="single"/>
        </w:rPr>
        <w:t>Specifications</w:t>
      </w:r>
    </w:p>
    <w:p w14:paraId="5FA7F583" w14:textId="77777777" w:rsidR="00CF3BCC" w:rsidRPr="00594970" w:rsidRDefault="00CF3BCC" w:rsidP="00597853">
      <w:r w:rsidRPr="00594970">
        <w:t xml:space="preserve">Hard copy of the PAES </w:t>
      </w:r>
      <w:r w:rsidRPr="00594970">
        <w:rPr>
          <w:b/>
        </w:rPr>
        <w:t>must</w:t>
      </w:r>
      <w:r w:rsidRPr="00594970">
        <w:t xml:space="preserve"> be produced on standard B5 size paper (17.6 cm x 25 cm) with a font point size of at least 10 point and using the styles provided in the Word and Excel templates (available from CBMS User Reference Material in CBMS) to ensure that the statements are consistent with other budget documents and related papers.</w:t>
      </w:r>
    </w:p>
    <w:p w14:paraId="498279CE" w14:textId="77777777" w:rsidR="00CF3BCC" w:rsidRPr="00594970" w:rsidRDefault="00CF3BCC" w:rsidP="00597853">
      <w:r w:rsidRPr="00594970">
        <w:t xml:space="preserve">For the covers, entities must use </w:t>
      </w:r>
      <w:r w:rsidRPr="00594970">
        <w:rPr>
          <w:b/>
          <w:i/>
        </w:rPr>
        <w:t>‘Tablex System Board 200gsm – Yellow’</w:t>
      </w:r>
      <w:r w:rsidRPr="00594970">
        <w:t xml:space="preserve"> paper with the </w:t>
      </w:r>
      <w:r w:rsidRPr="00594970">
        <w:rPr>
          <w:b/>
          <w:i/>
        </w:rPr>
        <w:t>cover text in black</w:t>
      </w:r>
      <w:r w:rsidRPr="00594970">
        <w:t>.</w:t>
      </w:r>
    </w:p>
    <w:p w14:paraId="7A2AA2A6" w14:textId="77777777" w:rsidR="00CF3BCC" w:rsidRPr="00594970" w:rsidRDefault="00CF3BCC" w:rsidP="00597853">
      <w:r w:rsidRPr="00594970">
        <w:t>For consistency, all portfolios must have the portfolio name made clearly visible on the spine of the documents.</w:t>
      </w:r>
    </w:p>
    <w:p w14:paraId="50AEB496" w14:textId="77777777" w:rsidR="00CF3BCC" w:rsidRPr="00594970" w:rsidRDefault="00CF3BCC" w:rsidP="005C2636">
      <w:pPr>
        <w:rPr>
          <w:u w:val="single"/>
        </w:rPr>
      </w:pPr>
      <w:r w:rsidRPr="00594970">
        <w:rPr>
          <w:u w:val="single"/>
        </w:rPr>
        <w:t>Printer</w:t>
      </w:r>
    </w:p>
    <w:p w14:paraId="57FA4995" w14:textId="77777777" w:rsidR="00CF3BCC" w:rsidRPr="00594970" w:rsidRDefault="00CF3BCC" w:rsidP="005C2636">
      <w:r w:rsidRPr="00594970">
        <w:t>It is strongly recommended that Portfolio departments contact CanPrint as early as possible to arrange printing for the PAES. If printing is carried out ‘in-house’ entities must liaise with Finance to ensure that cover stock, colour and text is consistent w</w:t>
      </w:r>
      <w:r w:rsidR="00BA6FE0" w:rsidRPr="00594970">
        <w:t>ith all other Portfolio departments</w:t>
      </w:r>
      <w:r w:rsidRPr="00594970">
        <w:t>.</w:t>
      </w:r>
    </w:p>
    <w:p w14:paraId="37E5B01F" w14:textId="36B55E06" w:rsidR="00CF3BCC" w:rsidRPr="00594970" w:rsidRDefault="00CF3BCC" w:rsidP="005C2636">
      <w:r w:rsidRPr="00594970">
        <w:t xml:space="preserve">It is the responsibility of each Portfolio department to arrange the printing and secure freighting of their PAES. The contact officer for CanPrint Communications Pty Ltd is </w:t>
      </w:r>
      <w:r w:rsidR="00BA6FE0" w:rsidRPr="00594970">
        <w:br/>
      </w:r>
      <w:r w:rsidRPr="00594970">
        <w:t>on (02) 6295 44</w:t>
      </w:r>
      <w:r w:rsidR="00D4503F" w:rsidRPr="00594970">
        <w:t>27</w:t>
      </w:r>
      <w:r w:rsidR="00E43B37" w:rsidRPr="00594970">
        <w:t xml:space="preserve"> or </w:t>
      </w:r>
      <w:r w:rsidR="00C7729E">
        <w:t>02 6295 4438</w:t>
      </w:r>
      <w:r w:rsidR="00BB4015" w:rsidRPr="00594970">
        <w:t>.</w:t>
      </w:r>
    </w:p>
    <w:p w14:paraId="4EE371BF" w14:textId="77777777" w:rsidR="00CF3BCC" w:rsidRPr="00594970" w:rsidRDefault="00CF3BCC" w:rsidP="005C2636">
      <w:r w:rsidRPr="00594970">
        <w:t>Portfolios should make sure they have sufficient hard copies of their PAES for their own internal needs, and make additional hard copies of their PAES available on request to other stakeholders, in addition to the distribution requirements listed below.</w:t>
      </w:r>
    </w:p>
    <w:p w14:paraId="068F92BE" w14:textId="77777777" w:rsidR="00CF3BCC" w:rsidRPr="00594970" w:rsidRDefault="00CF3BCC" w:rsidP="005C2636">
      <w:pPr>
        <w:rPr>
          <w:u w:val="single"/>
        </w:rPr>
      </w:pPr>
      <w:r w:rsidRPr="00594970">
        <w:rPr>
          <w:u w:val="single"/>
        </w:rPr>
        <w:t>Classification</w:t>
      </w:r>
    </w:p>
    <w:p w14:paraId="2B8AA25E" w14:textId="77777777" w:rsidR="00CF3BCC" w:rsidRPr="00594970" w:rsidRDefault="00CF3BCC" w:rsidP="005C2636">
      <w:r w:rsidRPr="00594970">
        <w:t xml:space="preserve">Please be aware that the PAES are classified as </w:t>
      </w:r>
      <w:proofErr w:type="gramStart"/>
      <w:r w:rsidRPr="00594970">
        <w:t>Protected</w:t>
      </w:r>
      <w:proofErr w:type="gramEnd"/>
      <w:r w:rsidRPr="00594970">
        <w:t xml:space="preserve"> documents until they are tabled in Parliament. Accordingly boxes of the PAES should be </w:t>
      </w:r>
      <w:r w:rsidR="007F2E5E" w:rsidRPr="00594970">
        <w:t>labelled</w:t>
      </w:r>
      <w:r w:rsidRPr="00594970">
        <w:t xml:space="preserve"> as follows:</w:t>
      </w:r>
    </w:p>
    <w:p w14:paraId="0083C5DF" w14:textId="2D71AE94" w:rsidR="00CF3BCC" w:rsidRPr="00594970" w:rsidRDefault="00CF3BCC" w:rsidP="005C2636">
      <w:pPr>
        <w:ind w:left="720"/>
        <w:rPr>
          <w:color w:val="FF0000"/>
        </w:rPr>
      </w:pPr>
      <w:r w:rsidRPr="00594970">
        <w:rPr>
          <w:color w:val="FF0000"/>
        </w:rPr>
        <w:t xml:space="preserve">‘Protected </w:t>
      </w:r>
      <w:proofErr w:type="gramStart"/>
      <w:r w:rsidRPr="00594970">
        <w:rPr>
          <w:color w:val="FF0000"/>
        </w:rPr>
        <w:t>Under</w:t>
      </w:r>
      <w:proofErr w:type="gramEnd"/>
      <w:r w:rsidRPr="00594970">
        <w:rPr>
          <w:color w:val="FF0000"/>
        </w:rPr>
        <w:t xml:space="preserve"> E</w:t>
      </w:r>
      <w:r w:rsidR="004A2056">
        <w:rPr>
          <w:color w:val="FF0000"/>
        </w:rPr>
        <w:t>mbar</w:t>
      </w:r>
      <w:r w:rsidRPr="00594970">
        <w:rPr>
          <w:color w:val="FF0000"/>
        </w:rPr>
        <w:t xml:space="preserve">go’ until tabled in Parliament </w:t>
      </w:r>
      <w:r w:rsidR="00322D8C" w:rsidRPr="00594970">
        <w:rPr>
          <w:color w:val="FF0000"/>
        </w:rPr>
        <w:t>after Monday, 1</w:t>
      </w:r>
      <w:r w:rsidR="00C87DB0" w:rsidRPr="00594970">
        <w:rPr>
          <w:color w:val="FF0000"/>
        </w:rPr>
        <w:t>0</w:t>
      </w:r>
      <w:r w:rsidR="00524650" w:rsidRPr="00594970">
        <w:rPr>
          <w:color w:val="FF0000"/>
        </w:rPr>
        <w:t xml:space="preserve"> </w:t>
      </w:r>
      <w:r w:rsidR="00316A81" w:rsidRPr="00594970">
        <w:rPr>
          <w:color w:val="FF0000"/>
        </w:rPr>
        <w:t xml:space="preserve">February </w:t>
      </w:r>
      <w:r w:rsidR="00C87DB0" w:rsidRPr="00594970">
        <w:rPr>
          <w:color w:val="FF0000"/>
        </w:rPr>
        <w:t>2020</w:t>
      </w:r>
      <w:r w:rsidRPr="00594970">
        <w:rPr>
          <w:color w:val="FF0000"/>
        </w:rPr>
        <w:t>.</w:t>
      </w:r>
    </w:p>
    <w:p w14:paraId="7D102D88" w14:textId="77777777" w:rsidR="00CF3BCC" w:rsidRPr="00594970" w:rsidRDefault="00CF3BCC" w:rsidP="00F31EC9">
      <w:pPr>
        <w:pStyle w:val="Heading2"/>
      </w:pPr>
      <w:bookmarkStart w:id="69" w:name="Delivery_to_the_Senate_and_Finance"/>
      <w:bookmarkStart w:id="70" w:name="_bookmark22"/>
      <w:bookmarkStart w:id="71" w:name="_Toc26963556"/>
      <w:bookmarkEnd w:id="69"/>
      <w:bookmarkEnd w:id="70"/>
      <w:r w:rsidRPr="00594970">
        <w:t>Delivery to the Senate and Finance</w:t>
      </w:r>
      <w:bookmarkEnd w:id="71"/>
    </w:p>
    <w:p w14:paraId="70AFA5DA" w14:textId="20ABA395" w:rsidR="00CF3BCC" w:rsidRPr="00594970" w:rsidRDefault="00CF3BCC" w:rsidP="005C2636">
      <w:r w:rsidRPr="00594970">
        <w:t xml:space="preserve">Portfolio departments are to deliver printed copies to the PAES to the Senate and the Department of Finance by </w:t>
      </w:r>
      <w:r w:rsidR="0023251E" w:rsidRPr="00594970">
        <w:rPr>
          <w:b/>
        </w:rPr>
        <w:t xml:space="preserve">COB </w:t>
      </w:r>
      <w:r w:rsidR="00322D8C" w:rsidRPr="00594970">
        <w:rPr>
          <w:b/>
        </w:rPr>
        <w:t xml:space="preserve">Monday, </w:t>
      </w:r>
      <w:r w:rsidR="00C87DB0" w:rsidRPr="00594970">
        <w:rPr>
          <w:b/>
        </w:rPr>
        <w:t xml:space="preserve">10 </w:t>
      </w:r>
      <w:r w:rsidR="00221335" w:rsidRPr="00594970">
        <w:rPr>
          <w:b/>
        </w:rPr>
        <w:t>February</w:t>
      </w:r>
      <w:r w:rsidR="00316A81" w:rsidRPr="00594970">
        <w:rPr>
          <w:b/>
        </w:rPr>
        <w:t xml:space="preserve"> </w:t>
      </w:r>
      <w:r w:rsidR="00C87DB0" w:rsidRPr="00594970">
        <w:rPr>
          <w:b/>
        </w:rPr>
        <w:t>2020</w:t>
      </w:r>
      <w:r w:rsidRPr="00594970">
        <w:t xml:space="preserve">. </w:t>
      </w:r>
    </w:p>
    <w:p w14:paraId="1D7A8852" w14:textId="77777777" w:rsidR="00CF3BCC" w:rsidRPr="00594970" w:rsidRDefault="00CF3BCC" w:rsidP="005C2636">
      <w:r w:rsidRPr="00594970">
        <w:t>All PAES deliveries to Parliament House, whether through CanPrint, another printer or by portfolio staff, should occur through the Parliament House underground carpark, Delivery Point 1.</w:t>
      </w:r>
    </w:p>
    <w:p w14:paraId="00CC6977" w14:textId="5F88337F" w:rsidR="00CF3BCC" w:rsidRPr="00594970" w:rsidRDefault="00CF3BCC" w:rsidP="00597853">
      <w:r w:rsidRPr="00594970">
        <w:t xml:space="preserve">Due to increased security requirements at Parliament House, portfolio staff will need a Parliament House photographic pass to enter the building. Portfolio staff should contact the Departmental Liaison Officer in the relevant minister’s office to escort you to the Senate Tabling Office at </w:t>
      </w:r>
      <w:r w:rsidR="004946C7" w:rsidRPr="00594970">
        <w:t xml:space="preserve">Suite </w:t>
      </w:r>
      <w:r w:rsidRPr="00594970">
        <w:t>SG</w:t>
      </w:r>
      <w:r w:rsidR="004946C7" w:rsidRPr="00594970">
        <w:t>-</w:t>
      </w:r>
      <w:r w:rsidRPr="00594970">
        <w:t>25 if you do not have a photographic pass.</w:t>
      </w:r>
    </w:p>
    <w:p w14:paraId="77ABA419" w14:textId="77777777" w:rsidR="008C28F9" w:rsidRPr="00594970" w:rsidRDefault="00CF3BCC" w:rsidP="00597853">
      <w:r w:rsidRPr="00594970">
        <w:lastRenderedPageBreak/>
        <w:t>Should you have any further questions or difficulties with these arrangements, please contact</w:t>
      </w:r>
      <w:r w:rsidR="008C28F9" w:rsidRPr="00594970">
        <w:t>:</w:t>
      </w:r>
    </w:p>
    <w:p w14:paraId="0B9F90FE" w14:textId="7A48826D" w:rsidR="00CF3BCC" w:rsidRPr="00594970" w:rsidRDefault="00CF3BCC" w:rsidP="00597853">
      <w:r w:rsidRPr="00594970">
        <w:t>Documents Officer</w:t>
      </w:r>
      <w:r w:rsidR="008C28F9" w:rsidRPr="00594970">
        <w:br/>
      </w:r>
      <w:r w:rsidRPr="00594970">
        <w:t>Senate Table Office</w:t>
      </w:r>
      <w:r w:rsidR="008C28F9" w:rsidRPr="00594970">
        <w:br/>
      </w:r>
      <w:proofErr w:type="spellStart"/>
      <w:r w:rsidR="008C28F9" w:rsidRPr="00594970">
        <w:t>Ph</w:t>
      </w:r>
      <w:proofErr w:type="spellEnd"/>
      <w:r w:rsidR="008C28F9" w:rsidRPr="00594970">
        <w:t xml:space="preserve">: </w:t>
      </w:r>
      <w:r w:rsidRPr="00594970">
        <w:t xml:space="preserve">02 </w:t>
      </w:r>
      <w:r w:rsidR="008C28F9" w:rsidRPr="00594970">
        <w:t>6277 3037</w:t>
      </w:r>
      <w:r w:rsidR="008C28F9" w:rsidRPr="00594970">
        <w:br/>
        <w:t xml:space="preserve">Email: </w:t>
      </w:r>
      <w:hyperlink r:id="rId21" w:history="1">
        <w:r w:rsidR="008C28F9" w:rsidRPr="00594970">
          <w:rPr>
            <w:rStyle w:val="Hyperlink"/>
            <w:rFonts w:cstheme="minorBidi"/>
          </w:rPr>
          <w:t>Table.Docs@aph.gov.au</w:t>
        </w:r>
      </w:hyperlink>
    </w:p>
    <w:p w14:paraId="65830322" w14:textId="1C6FB85C" w:rsidR="00CF3BCC" w:rsidRPr="00594970" w:rsidRDefault="00CF3BCC" w:rsidP="00F31EC9">
      <w:pPr>
        <w:pStyle w:val="Heading2"/>
      </w:pPr>
      <w:bookmarkStart w:id="72" w:name="Number_of_Books"/>
      <w:bookmarkStart w:id="73" w:name="_bookmark23"/>
      <w:bookmarkStart w:id="74" w:name="_Toc26963557"/>
      <w:bookmarkEnd w:id="72"/>
      <w:bookmarkEnd w:id="73"/>
      <w:r w:rsidRPr="00594970">
        <w:t>Number of Books</w:t>
      </w:r>
      <w:bookmarkEnd w:id="74"/>
    </w:p>
    <w:tbl>
      <w:tblPr>
        <w:tblStyle w:val="TableGrid"/>
        <w:tblW w:w="9209" w:type="dxa"/>
        <w:tblLayout w:type="fixed"/>
        <w:tblLook w:val="04A0" w:firstRow="1" w:lastRow="0" w:firstColumn="1" w:lastColumn="0" w:noHBand="0" w:noVBand="1"/>
      </w:tblPr>
      <w:tblGrid>
        <w:gridCol w:w="6941"/>
        <w:gridCol w:w="2268"/>
      </w:tblGrid>
      <w:tr w:rsidR="00CF3BCC" w:rsidRPr="00594970" w14:paraId="637D42E2" w14:textId="77777777" w:rsidTr="00221335">
        <w:tc>
          <w:tcPr>
            <w:tcW w:w="9209" w:type="dxa"/>
            <w:gridSpan w:val="2"/>
            <w:shd w:val="clear" w:color="auto" w:fill="D5F9FF"/>
          </w:tcPr>
          <w:p w14:paraId="60923161" w14:textId="0011DA65" w:rsidR="00CF3BCC" w:rsidRPr="00594970" w:rsidRDefault="00CF3BCC" w:rsidP="00762F3B">
            <w:r w:rsidRPr="00594970">
              <w:t>For delivery b</w:t>
            </w:r>
            <w:r w:rsidR="00A375A3" w:rsidRPr="00594970">
              <w:t>y</w:t>
            </w:r>
            <w:r w:rsidRPr="00594970">
              <w:t xml:space="preserve"> </w:t>
            </w:r>
            <w:r w:rsidR="0023251E" w:rsidRPr="00594970">
              <w:t xml:space="preserve">COB </w:t>
            </w:r>
            <w:r w:rsidR="00322D8C" w:rsidRPr="00594970">
              <w:t>Monday, 1</w:t>
            </w:r>
            <w:r w:rsidR="00DB59C3" w:rsidRPr="00594970">
              <w:t>0</w:t>
            </w:r>
            <w:r w:rsidR="00221335" w:rsidRPr="00594970">
              <w:t xml:space="preserve"> February</w:t>
            </w:r>
            <w:r w:rsidR="005F4B4A" w:rsidRPr="00594970">
              <w:t xml:space="preserve"> 20</w:t>
            </w:r>
            <w:r w:rsidR="00DB59C3" w:rsidRPr="00594970">
              <w:t>20</w:t>
            </w:r>
            <w:r w:rsidR="00A375A3" w:rsidRPr="00594970">
              <w:t xml:space="preserve"> (minimum </w:t>
            </w:r>
            <w:r w:rsidR="004D16ED" w:rsidRPr="00594970">
              <w:t>135</w:t>
            </w:r>
            <w:r w:rsidR="00762F3B" w:rsidRPr="00594970">
              <w:t xml:space="preserve"> </w:t>
            </w:r>
            <w:r w:rsidR="00A375A3" w:rsidRPr="00594970">
              <w:t>copies)</w:t>
            </w:r>
          </w:p>
        </w:tc>
      </w:tr>
      <w:tr w:rsidR="00CF3BCC" w:rsidRPr="00594970" w14:paraId="3D841E24" w14:textId="77777777" w:rsidTr="005C2636">
        <w:tc>
          <w:tcPr>
            <w:tcW w:w="6941" w:type="dxa"/>
          </w:tcPr>
          <w:p w14:paraId="577BC07A" w14:textId="77777777" w:rsidR="00CF3BCC" w:rsidRPr="00594970" w:rsidRDefault="00CF3BCC" w:rsidP="005C2636">
            <w:pPr>
              <w:spacing w:line="240" w:lineRule="auto"/>
            </w:pPr>
            <w:r w:rsidRPr="00594970">
              <w:t>Senate Table Office (includes the Senate, House of Representatives and the Parliamentary Library)</w:t>
            </w:r>
          </w:p>
          <w:p w14:paraId="4193E322" w14:textId="55F3DFB9" w:rsidR="00CF3BCC" w:rsidRPr="00594970" w:rsidRDefault="00CF3BCC" w:rsidP="005C2636">
            <w:pPr>
              <w:spacing w:line="240" w:lineRule="auto"/>
              <w:ind w:left="317"/>
            </w:pPr>
            <w:r w:rsidRPr="00594970">
              <w:t>Documents Officer – Senate Table Office, Room SG 25</w:t>
            </w:r>
          </w:p>
          <w:p w14:paraId="617D6EE2" w14:textId="77777777" w:rsidR="00CF3BCC" w:rsidRPr="00594970" w:rsidRDefault="00CF3BCC" w:rsidP="002720AC">
            <w:pPr>
              <w:spacing w:line="240" w:lineRule="auto"/>
              <w:ind w:left="317"/>
            </w:pPr>
            <w:r w:rsidRPr="00594970">
              <w:t>Department of the Senate</w:t>
            </w:r>
          </w:p>
          <w:p w14:paraId="2413C4A5" w14:textId="07DA9C45" w:rsidR="00CF3BCC" w:rsidRPr="00594970" w:rsidRDefault="00CF3BCC" w:rsidP="002720AC">
            <w:pPr>
              <w:spacing w:line="240" w:lineRule="auto"/>
              <w:ind w:left="317"/>
            </w:pPr>
            <w:r w:rsidRPr="00594970">
              <w:t>Parliament House</w:t>
            </w:r>
          </w:p>
          <w:p w14:paraId="256BC10A" w14:textId="46953406" w:rsidR="00CF3BCC" w:rsidRPr="00594970" w:rsidRDefault="00CF3BCC" w:rsidP="005C2636">
            <w:pPr>
              <w:spacing w:line="240" w:lineRule="auto"/>
              <w:ind w:left="317"/>
            </w:pPr>
            <w:r w:rsidRPr="00594970">
              <w:t>CANBERRA ACT 2600</w:t>
            </w:r>
          </w:p>
          <w:p w14:paraId="64F9981B" w14:textId="5795323D" w:rsidR="001E7E71" w:rsidRPr="00594970" w:rsidRDefault="001E7E71" w:rsidP="005C2636">
            <w:pPr>
              <w:spacing w:line="240" w:lineRule="auto"/>
              <w:ind w:left="317"/>
            </w:pPr>
            <w:r w:rsidRPr="00594970">
              <w:t>Note: Please do not leave the books on the dock when delivering the books.</w:t>
            </w:r>
          </w:p>
          <w:p w14:paraId="31D960F8" w14:textId="77777777" w:rsidR="00CF3BCC" w:rsidRPr="00594970" w:rsidRDefault="00CF3BCC" w:rsidP="001E3A51">
            <w:pPr>
              <w:pStyle w:val="TableText-NoofCopies"/>
            </w:pPr>
            <w:r w:rsidRPr="00594970">
              <w:t>The Senate Table Office will arrange for the books to be distributed to recipients in Parliament House. Books must be separately boxed as follows:</w:t>
            </w:r>
          </w:p>
          <w:p w14:paraId="26603042" w14:textId="47F412CD" w:rsidR="00CF3BCC" w:rsidRPr="00594970" w:rsidRDefault="00D7393F" w:rsidP="001E3A51">
            <w:pPr>
              <w:pStyle w:val="TableText-NoofCopies"/>
            </w:pPr>
            <w:r w:rsidRPr="00594970">
              <w:t>60</w:t>
            </w:r>
            <w:r w:rsidR="00CF3BCC" w:rsidRPr="00594970">
              <w:t xml:space="preserve"> copies – Senate</w:t>
            </w:r>
          </w:p>
          <w:p w14:paraId="532829EB" w14:textId="51038D38" w:rsidR="00CF3BCC" w:rsidRPr="00594970" w:rsidRDefault="00CF3BCC" w:rsidP="001E3A51">
            <w:pPr>
              <w:pStyle w:val="TableText-NoofCopies"/>
              <w:rPr>
                <w:szCs w:val="18"/>
              </w:rPr>
            </w:pPr>
            <w:r w:rsidRPr="00594970">
              <w:t>20 copies – House of Representatives</w:t>
            </w:r>
          </w:p>
          <w:p w14:paraId="46DD0353" w14:textId="77777777" w:rsidR="00CF3BCC" w:rsidRPr="00594970" w:rsidRDefault="00CF3BCC" w:rsidP="001E3A51">
            <w:pPr>
              <w:pStyle w:val="TableText-NoofCopies"/>
            </w:pPr>
            <w:r w:rsidRPr="00594970">
              <w:t>25 copies – Parliamentary Library</w:t>
            </w:r>
          </w:p>
        </w:tc>
        <w:tc>
          <w:tcPr>
            <w:tcW w:w="2268" w:type="dxa"/>
          </w:tcPr>
          <w:p w14:paraId="27D550A9" w14:textId="77E3B0FC" w:rsidR="00CF3BCC" w:rsidRPr="00594970" w:rsidRDefault="00D7393F" w:rsidP="005C2636">
            <w:pPr>
              <w:spacing w:line="240" w:lineRule="auto"/>
            </w:pPr>
            <w:r w:rsidRPr="00594970">
              <w:t xml:space="preserve">105 </w:t>
            </w:r>
            <w:r w:rsidR="00A375A3" w:rsidRPr="00594970">
              <w:t>copies</w:t>
            </w:r>
          </w:p>
        </w:tc>
      </w:tr>
      <w:tr w:rsidR="00CF3BCC" w:rsidRPr="00594970" w14:paraId="2F916733" w14:textId="77777777" w:rsidTr="005C2636">
        <w:tc>
          <w:tcPr>
            <w:tcW w:w="6941" w:type="dxa"/>
          </w:tcPr>
          <w:p w14:paraId="10850E24" w14:textId="77777777" w:rsidR="00CF3BCC" w:rsidRPr="00594970" w:rsidRDefault="00CF3BCC" w:rsidP="005C2636">
            <w:pPr>
              <w:spacing w:line="240" w:lineRule="auto"/>
            </w:pPr>
            <w:r w:rsidRPr="00594970">
              <w:t>Department of Finance</w:t>
            </w:r>
          </w:p>
          <w:p w14:paraId="5B7C445B" w14:textId="48CA97CA" w:rsidR="00CF3BCC" w:rsidRPr="00594970" w:rsidRDefault="00CF3BCC" w:rsidP="002720AC">
            <w:pPr>
              <w:spacing w:line="240" w:lineRule="auto"/>
              <w:ind w:left="317"/>
            </w:pPr>
            <w:r w:rsidRPr="00594970">
              <w:t>Budget Reporting and Framework Team</w:t>
            </w:r>
          </w:p>
          <w:p w14:paraId="22FC2F5E" w14:textId="53DC3F97" w:rsidR="007C1789" w:rsidRPr="00594970" w:rsidRDefault="007C1789" w:rsidP="002720AC">
            <w:pPr>
              <w:spacing w:line="240" w:lineRule="auto"/>
              <w:ind w:left="317"/>
            </w:pPr>
            <w:r w:rsidRPr="00594970">
              <w:t>Financial Analysis, Reporting and Management</w:t>
            </w:r>
          </w:p>
          <w:p w14:paraId="34B04E8D" w14:textId="5167C344" w:rsidR="00CF3BCC" w:rsidRPr="00594970" w:rsidRDefault="00CF3BCC" w:rsidP="002720AC">
            <w:pPr>
              <w:spacing w:line="240" w:lineRule="auto"/>
              <w:ind w:left="317"/>
            </w:pPr>
            <w:r w:rsidRPr="00594970">
              <w:t>Department of Finance</w:t>
            </w:r>
          </w:p>
          <w:p w14:paraId="6AC23F60" w14:textId="14BAE3DE" w:rsidR="00CF3BCC" w:rsidRPr="00594970" w:rsidRDefault="00CF3BCC" w:rsidP="002720AC">
            <w:pPr>
              <w:spacing w:line="240" w:lineRule="auto"/>
              <w:ind w:left="317"/>
            </w:pPr>
            <w:r w:rsidRPr="00594970">
              <w:t>One Canberra Avenue</w:t>
            </w:r>
          </w:p>
          <w:p w14:paraId="39064302" w14:textId="77777777" w:rsidR="00CF3BCC" w:rsidRPr="00594970" w:rsidRDefault="00CF3BCC" w:rsidP="005C2636">
            <w:pPr>
              <w:spacing w:line="240" w:lineRule="auto"/>
              <w:ind w:left="317"/>
            </w:pPr>
            <w:r w:rsidRPr="00594970">
              <w:t>FORREST ACT 2600</w:t>
            </w:r>
          </w:p>
          <w:p w14:paraId="4045643D" w14:textId="77777777" w:rsidR="00CF3BCC" w:rsidRPr="00594970" w:rsidRDefault="00CF3BCC" w:rsidP="001E3A51">
            <w:pPr>
              <w:pStyle w:val="TableText-NoofCopies"/>
            </w:pPr>
            <w:r w:rsidRPr="00594970">
              <w:t># Please note:</w:t>
            </w:r>
            <w:r w:rsidRPr="00594970">
              <w:rPr>
                <w:szCs w:val="18"/>
              </w:rPr>
              <w:t xml:space="preserve"> </w:t>
            </w:r>
          </w:p>
          <w:p w14:paraId="054F61AE" w14:textId="77777777" w:rsidR="00CF3BCC" w:rsidRPr="00594970" w:rsidRDefault="00CF3BCC" w:rsidP="001E3A51">
            <w:pPr>
              <w:pStyle w:val="TableText-NoofCopies"/>
            </w:pPr>
            <w:r w:rsidRPr="00594970">
              <w:t>This allocation includes the copy for the Finance Secretary as required under the Requirement for Performance Information included in PAES (Finance Secretary Direction under section 36(3) of the Public Governance, Performance and Accountability Act 2013).</w:t>
            </w:r>
          </w:p>
          <w:p w14:paraId="60D8CE5B" w14:textId="10B1B988" w:rsidR="00CF3BCC" w:rsidRPr="00594970" w:rsidRDefault="00CF3BCC" w:rsidP="001E3A51">
            <w:pPr>
              <w:pStyle w:val="TableText-NoofCopies"/>
            </w:pPr>
            <w:r w:rsidRPr="00594970">
              <w:t xml:space="preserve">PAES should NOT be delivered to your AAU prior to tabling – the Budget Reporting and Framework (BRF) Team organises the distribution of PAES within Finance. Of the </w:t>
            </w:r>
            <w:r w:rsidR="00B328A8" w:rsidRPr="00594970">
              <w:t>3</w:t>
            </w:r>
            <w:r w:rsidR="007E3063" w:rsidRPr="00594970">
              <w:t>0</w:t>
            </w:r>
            <w:r w:rsidR="00B328A8" w:rsidRPr="00594970">
              <w:t xml:space="preserve"> </w:t>
            </w:r>
            <w:r w:rsidRPr="00594970">
              <w:t xml:space="preserve">copies BRF receives, </w:t>
            </w:r>
            <w:r w:rsidR="007E3063" w:rsidRPr="00594970">
              <w:t>2-4</w:t>
            </w:r>
            <w:r w:rsidRPr="00594970">
              <w:t xml:space="preserve"> copies are usually allocated to your AAU – should your AAU require more copies, these should also be delivered to the BRF Team.</w:t>
            </w:r>
          </w:p>
        </w:tc>
        <w:tc>
          <w:tcPr>
            <w:tcW w:w="2268" w:type="dxa"/>
          </w:tcPr>
          <w:p w14:paraId="787159DD" w14:textId="0D27502E" w:rsidR="00CF3BCC" w:rsidRPr="00594970" w:rsidRDefault="00B328A8" w:rsidP="007E3063">
            <w:pPr>
              <w:spacing w:line="240" w:lineRule="auto"/>
            </w:pPr>
            <w:r w:rsidRPr="00594970">
              <w:t>3</w:t>
            </w:r>
            <w:r w:rsidR="007E3063" w:rsidRPr="00594970">
              <w:t>0</w:t>
            </w:r>
            <w:r w:rsidRPr="00594970">
              <w:t xml:space="preserve"> </w:t>
            </w:r>
            <w:r w:rsidR="00A375A3" w:rsidRPr="00594970">
              <w:t>copies</w:t>
            </w:r>
          </w:p>
        </w:tc>
      </w:tr>
      <w:tr w:rsidR="00A375A3" w:rsidRPr="00594970" w14:paraId="75747A38" w14:textId="77777777" w:rsidTr="005C2636">
        <w:tc>
          <w:tcPr>
            <w:tcW w:w="6941" w:type="dxa"/>
          </w:tcPr>
          <w:p w14:paraId="07758CD3" w14:textId="77777777" w:rsidR="00A375A3" w:rsidRPr="00594970" w:rsidRDefault="00A375A3" w:rsidP="005C2636">
            <w:r w:rsidRPr="00594970">
              <w:lastRenderedPageBreak/>
              <w:t>Your Portfolio Minister and advisors (following the Minister’s sign off on the final document)</w:t>
            </w:r>
          </w:p>
        </w:tc>
        <w:tc>
          <w:tcPr>
            <w:tcW w:w="2268" w:type="dxa"/>
            <w:vMerge w:val="restart"/>
          </w:tcPr>
          <w:p w14:paraId="25F2FA2E" w14:textId="77777777" w:rsidR="00A375A3" w:rsidRPr="00594970" w:rsidRDefault="00A375A3" w:rsidP="005C2636">
            <w:r w:rsidRPr="00594970">
              <w:t>Please confirm number required with your Minister’s office</w:t>
            </w:r>
          </w:p>
        </w:tc>
      </w:tr>
      <w:tr w:rsidR="00A375A3" w:rsidRPr="00594970" w14:paraId="438C58DA" w14:textId="77777777" w:rsidTr="005C2636">
        <w:tc>
          <w:tcPr>
            <w:tcW w:w="6941" w:type="dxa"/>
          </w:tcPr>
          <w:p w14:paraId="594DE129" w14:textId="77777777" w:rsidR="00A375A3" w:rsidRPr="00594970" w:rsidRDefault="00A375A3" w:rsidP="005C2636">
            <w:r w:rsidRPr="00594970">
              <w:t>The Minister representing the portfolio in the other Chamber</w:t>
            </w:r>
          </w:p>
        </w:tc>
        <w:tc>
          <w:tcPr>
            <w:tcW w:w="2268" w:type="dxa"/>
            <w:vMerge/>
          </w:tcPr>
          <w:p w14:paraId="1BC3D9EF" w14:textId="77777777" w:rsidR="00A375A3" w:rsidRPr="00594970" w:rsidRDefault="00A375A3" w:rsidP="00CF3BCC"/>
        </w:tc>
      </w:tr>
    </w:tbl>
    <w:p w14:paraId="1E350538" w14:textId="072CAB90" w:rsidR="00A375A3" w:rsidRPr="00594970" w:rsidRDefault="00A375A3" w:rsidP="005C2636"/>
    <w:tbl>
      <w:tblPr>
        <w:tblStyle w:val="TableGrid"/>
        <w:tblW w:w="0" w:type="auto"/>
        <w:tblLayout w:type="fixed"/>
        <w:tblLook w:val="04A0" w:firstRow="1" w:lastRow="0" w:firstColumn="1" w:lastColumn="0" w:noHBand="0" w:noVBand="1"/>
      </w:tblPr>
      <w:tblGrid>
        <w:gridCol w:w="6941"/>
        <w:gridCol w:w="2119"/>
      </w:tblGrid>
      <w:tr w:rsidR="0015660F" w:rsidRPr="00594970" w14:paraId="5051E17C" w14:textId="77777777" w:rsidTr="008472C1">
        <w:trPr>
          <w:cantSplit/>
        </w:trPr>
        <w:tc>
          <w:tcPr>
            <w:tcW w:w="9060" w:type="dxa"/>
            <w:gridSpan w:val="2"/>
            <w:shd w:val="clear" w:color="auto" w:fill="D5F9FF"/>
          </w:tcPr>
          <w:p w14:paraId="2EECDFC9" w14:textId="1505EB83" w:rsidR="0015660F" w:rsidRPr="00594970" w:rsidRDefault="0015660F" w:rsidP="00762F3B">
            <w:r w:rsidRPr="00594970">
              <w:t xml:space="preserve">For delivery </w:t>
            </w:r>
            <w:r w:rsidRPr="00594970">
              <w:rPr>
                <w:u w:val="single"/>
              </w:rPr>
              <w:t>after</w:t>
            </w:r>
            <w:r w:rsidRPr="00594970">
              <w:t xml:space="preserve"> tabling (</w:t>
            </w:r>
            <w:r w:rsidR="00191FF0">
              <w:t xml:space="preserve">22 + </w:t>
            </w:r>
            <w:r w:rsidR="00F56729" w:rsidRPr="00594970">
              <w:t xml:space="preserve">based </w:t>
            </w:r>
            <w:r w:rsidR="00762F3B" w:rsidRPr="00594970">
              <w:t>on number</w:t>
            </w:r>
            <w:r w:rsidR="00F56729" w:rsidRPr="00594970">
              <w:t xml:space="preserve"> of committees </w:t>
            </w:r>
            <w:r w:rsidR="00EF5B79" w:rsidRPr="00594970">
              <w:t>your portfolio report</w:t>
            </w:r>
            <w:r w:rsidR="006952C2" w:rsidRPr="00594970">
              <w:t>s</w:t>
            </w:r>
            <w:r w:rsidR="00EF5B79" w:rsidRPr="00594970">
              <w:t xml:space="preserve"> to</w:t>
            </w:r>
            <w:r w:rsidRPr="00594970">
              <w:t>)</w:t>
            </w:r>
          </w:p>
        </w:tc>
      </w:tr>
      <w:tr w:rsidR="0015660F" w:rsidRPr="00594970" w14:paraId="1888B385" w14:textId="77777777" w:rsidTr="008472C1">
        <w:trPr>
          <w:cantSplit/>
        </w:trPr>
        <w:tc>
          <w:tcPr>
            <w:tcW w:w="9060" w:type="dxa"/>
            <w:gridSpan w:val="2"/>
          </w:tcPr>
          <w:p w14:paraId="01771F19" w14:textId="1A80AFF7" w:rsidR="0015660F" w:rsidRPr="00594970" w:rsidRDefault="00F73AEE" w:rsidP="005C2636">
            <w:r w:rsidRPr="00594970">
              <w:t xml:space="preserve">Estimates </w:t>
            </w:r>
            <w:r w:rsidR="0015660F" w:rsidRPr="00594970">
              <w:t>Committees</w:t>
            </w:r>
          </w:p>
          <w:p w14:paraId="1BF32F4C" w14:textId="77777777" w:rsidR="0015660F" w:rsidRPr="00594970" w:rsidRDefault="0015660F" w:rsidP="005C2636">
            <w:pPr>
              <w:rPr>
                <w:i/>
              </w:rPr>
            </w:pPr>
            <w:r w:rsidRPr="00594970">
              <w:rPr>
                <w:i/>
              </w:rPr>
              <w:t xml:space="preserve">PAES only need to be sent to your portfolio’s relevant parliamentary committee(s). </w:t>
            </w:r>
            <w:r w:rsidR="008A7FCA" w:rsidRPr="00594970">
              <w:rPr>
                <w:i/>
              </w:rPr>
              <w:t xml:space="preserve">Following tabling </w:t>
            </w:r>
            <w:r w:rsidRPr="00594970">
              <w:rPr>
                <w:i/>
              </w:rPr>
              <w:t>PAES should be mailed to the following Committee address:</w:t>
            </w:r>
          </w:p>
          <w:p w14:paraId="6A213F5D" w14:textId="0748C557" w:rsidR="0015660F" w:rsidRPr="00594970" w:rsidRDefault="0015660F" w:rsidP="001E3A51">
            <w:pPr>
              <w:pStyle w:val="TableText"/>
              <w:ind w:left="720"/>
            </w:pPr>
            <w:r w:rsidRPr="00594970">
              <w:t>[Name of Committee]</w:t>
            </w:r>
            <w:r w:rsidR="001E3A51" w:rsidRPr="00594970">
              <w:br/>
            </w:r>
            <w:r w:rsidRPr="00594970">
              <w:t>PO Box 6100</w:t>
            </w:r>
            <w:r w:rsidR="001E3A51" w:rsidRPr="00594970">
              <w:br/>
            </w:r>
            <w:r w:rsidRPr="00594970">
              <w:t>Parliament House</w:t>
            </w:r>
            <w:r w:rsidR="001E3A51" w:rsidRPr="00594970">
              <w:br/>
            </w:r>
            <w:r w:rsidRPr="00594970">
              <w:t>Canberra ACT 2600</w:t>
            </w:r>
            <w:r w:rsidR="001E3A51" w:rsidRPr="00594970">
              <w:br/>
            </w:r>
            <w:r w:rsidRPr="00594970">
              <w:t>Australia</w:t>
            </w:r>
          </w:p>
        </w:tc>
      </w:tr>
      <w:tr w:rsidR="0015660F" w:rsidRPr="00594970" w14:paraId="6C295085" w14:textId="77777777" w:rsidTr="00D70525">
        <w:trPr>
          <w:cantSplit/>
        </w:trPr>
        <w:tc>
          <w:tcPr>
            <w:tcW w:w="6941" w:type="dxa"/>
          </w:tcPr>
          <w:p w14:paraId="4F5BBBE6" w14:textId="536C7C4E" w:rsidR="0015660F" w:rsidRPr="00594970" w:rsidRDefault="0015660F" w:rsidP="001E3A51">
            <w:pPr>
              <w:pStyle w:val="TableTextCambria"/>
            </w:pPr>
            <w:r w:rsidRPr="00594970">
              <w:t>Community Affairs</w:t>
            </w:r>
            <w:r w:rsidR="001E3A51" w:rsidRPr="00594970">
              <w:t xml:space="preserve"> </w:t>
            </w:r>
            <w:r w:rsidRPr="00594970">
              <w:rPr>
                <w:i/>
              </w:rPr>
              <w:t>- Health</w:t>
            </w:r>
            <w:r w:rsidR="00505924" w:rsidRPr="00594970">
              <w:rPr>
                <w:i/>
              </w:rPr>
              <w:t>, Services Australia</w:t>
            </w:r>
            <w:r w:rsidRPr="00594970">
              <w:rPr>
                <w:i/>
              </w:rPr>
              <w:t xml:space="preserve"> and Social Services portfolios</w:t>
            </w:r>
          </w:p>
          <w:p w14:paraId="0F026D62" w14:textId="71BE741E" w:rsidR="00226BDE" w:rsidRPr="00594970" w:rsidRDefault="0015660F" w:rsidP="001E3A51">
            <w:pPr>
              <w:pStyle w:val="TableTextCambriaIndented"/>
            </w:pPr>
            <w:r w:rsidRPr="00594970">
              <w:t>Estimates</w:t>
            </w:r>
            <w:r w:rsidR="00505924" w:rsidRPr="00594970">
              <w:t xml:space="preserve"> Officer</w:t>
            </w:r>
            <w:r w:rsidRPr="00594970">
              <w:t xml:space="preserve"> – </w:t>
            </w:r>
            <w:proofErr w:type="spellStart"/>
            <w:r w:rsidRPr="00594970">
              <w:t>ph</w:t>
            </w:r>
            <w:proofErr w:type="spellEnd"/>
            <w:r w:rsidR="005C51D2">
              <w:t>:</w:t>
            </w:r>
            <w:r w:rsidRPr="00594970">
              <w:t xml:space="preserve"> (02) 6277 3515</w:t>
            </w:r>
            <w:r w:rsidR="001E3A51" w:rsidRPr="00594970">
              <w:br/>
            </w:r>
            <w:r w:rsidR="00653BEA" w:rsidRPr="00594970">
              <w:t xml:space="preserve">Email: </w:t>
            </w:r>
            <w:hyperlink r:id="rId22" w:history="1">
              <w:r w:rsidR="00226BDE" w:rsidRPr="00594970">
                <w:rPr>
                  <w:color w:val="0070C0"/>
                  <w:u w:val="single"/>
                </w:rPr>
                <w:t>community.affairs.sen@aph.gov.au</w:t>
              </w:r>
            </w:hyperlink>
          </w:p>
        </w:tc>
        <w:tc>
          <w:tcPr>
            <w:tcW w:w="2119" w:type="dxa"/>
          </w:tcPr>
          <w:p w14:paraId="6B2B0345" w14:textId="77777777" w:rsidR="0015660F" w:rsidRPr="00594970" w:rsidRDefault="0015660F" w:rsidP="00D70525">
            <w:r w:rsidRPr="00594970">
              <w:t>5 copies</w:t>
            </w:r>
          </w:p>
        </w:tc>
      </w:tr>
      <w:tr w:rsidR="0015660F" w:rsidRPr="00594970" w14:paraId="2E95B3B6" w14:textId="77777777" w:rsidTr="00D70525">
        <w:trPr>
          <w:cantSplit/>
        </w:trPr>
        <w:tc>
          <w:tcPr>
            <w:tcW w:w="6941" w:type="dxa"/>
          </w:tcPr>
          <w:p w14:paraId="0802F23C" w14:textId="009B0E91" w:rsidR="0015660F" w:rsidRPr="00594970" w:rsidRDefault="0015660F" w:rsidP="001E3A51">
            <w:pPr>
              <w:pStyle w:val="TableTextCambria"/>
            </w:pPr>
            <w:r w:rsidRPr="00594970">
              <w:t xml:space="preserve">Economics </w:t>
            </w:r>
            <w:r w:rsidRPr="00594970">
              <w:rPr>
                <w:i/>
              </w:rPr>
              <w:t xml:space="preserve">– </w:t>
            </w:r>
            <w:r w:rsidR="00505924" w:rsidRPr="00594970">
              <w:rPr>
                <w:i/>
              </w:rPr>
              <w:t xml:space="preserve">Jobs and Innovation, </w:t>
            </w:r>
            <w:r w:rsidRPr="00594970">
              <w:rPr>
                <w:i/>
              </w:rPr>
              <w:t>and Treasury portfolios</w:t>
            </w:r>
          </w:p>
          <w:p w14:paraId="2F389E1A" w14:textId="32798EA6" w:rsidR="00226BDE" w:rsidRPr="00594970" w:rsidRDefault="0015660F" w:rsidP="00994413">
            <w:pPr>
              <w:pStyle w:val="TableTextCambriaIndented"/>
            </w:pPr>
            <w:r w:rsidRPr="00594970">
              <w:t>Estimates</w:t>
            </w:r>
            <w:r w:rsidR="00505924" w:rsidRPr="00594970">
              <w:t xml:space="preserve"> Officer</w:t>
            </w:r>
            <w:r w:rsidRPr="00594970">
              <w:t xml:space="preserve"> – </w:t>
            </w:r>
            <w:proofErr w:type="spellStart"/>
            <w:r w:rsidRPr="00594970">
              <w:t>ph</w:t>
            </w:r>
            <w:proofErr w:type="spellEnd"/>
            <w:r w:rsidR="005C51D2">
              <w:t>:</w:t>
            </w:r>
            <w:r w:rsidRPr="00594970">
              <w:t xml:space="preserve"> (02) 6277 3540</w:t>
            </w:r>
            <w:r w:rsidR="00994413" w:rsidRPr="00594970">
              <w:br/>
            </w:r>
            <w:r w:rsidR="00653BEA" w:rsidRPr="00594970">
              <w:t xml:space="preserve">Email: </w:t>
            </w:r>
            <w:hyperlink r:id="rId23" w:history="1">
              <w:r w:rsidR="00653BEA" w:rsidRPr="00594970">
                <w:rPr>
                  <w:color w:val="0070C0"/>
                  <w:u w:val="single"/>
                </w:rPr>
                <w:t>economics.sen@aph.gov.au</w:t>
              </w:r>
            </w:hyperlink>
          </w:p>
        </w:tc>
        <w:tc>
          <w:tcPr>
            <w:tcW w:w="2119" w:type="dxa"/>
          </w:tcPr>
          <w:p w14:paraId="2A1624FC" w14:textId="77777777" w:rsidR="0015660F" w:rsidRPr="00594970" w:rsidRDefault="0015660F" w:rsidP="00D70525">
            <w:r w:rsidRPr="00594970">
              <w:t>8 copies</w:t>
            </w:r>
          </w:p>
        </w:tc>
      </w:tr>
      <w:tr w:rsidR="0015660F" w:rsidRPr="00594970" w14:paraId="64E1FBE8" w14:textId="77777777" w:rsidTr="00D70525">
        <w:trPr>
          <w:cantSplit/>
        </w:trPr>
        <w:tc>
          <w:tcPr>
            <w:tcW w:w="6941" w:type="dxa"/>
          </w:tcPr>
          <w:p w14:paraId="401C10A1" w14:textId="78442184" w:rsidR="0015660F" w:rsidRPr="00594970" w:rsidRDefault="0015660F" w:rsidP="00994413">
            <w:pPr>
              <w:pStyle w:val="TableTextCambria"/>
            </w:pPr>
            <w:r w:rsidRPr="00594970">
              <w:t xml:space="preserve">Education and Employment - </w:t>
            </w:r>
            <w:r w:rsidRPr="00594970">
              <w:rPr>
                <w:i/>
              </w:rPr>
              <w:t>Education and Employment</w:t>
            </w:r>
            <w:r w:rsidR="00505924" w:rsidRPr="00594970">
              <w:rPr>
                <w:i/>
              </w:rPr>
              <w:t>, Skills, Small and Family business, including Industrial Relations</w:t>
            </w:r>
            <w:r w:rsidRPr="00594970">
              <w:rPr>
                <w:i/>
              </w:rPr>
              <w:t xml:space="preserve"> portfolios</w:t>
            </w:r>
          </w:p>
          <w:p w14:paraId="7085C0D1" w14:textId="7C623192" w:rsidR="00653BEA" w:rsidRPr="00594970" w:rsidRDefault="0015660F" w:rsidP="00994413">
            <w:pPr>
              <w:pStyle w:val="TableTextCambriaIndented"/>
            </w:pPr>
            <w:r w:rsidRPr="00594970">
              <w:t>Estimates</w:t>
            </w:r>
            <w:r w:rsidR="00505924" w:rsidRPr="00594970">
              <w:t xml:space="preserve"> Officer</w:t>
            </w:r>
            <w:r w:rsidRPr="00594970">
              <w:t xml:space="preserve"> – </w:t>
            </w:r>
            <w:proofErr w:type="spellStart"/>
            <w:r w:rsidRPr="00594970">
              <w:t>ph</w:t>
            </w:r>
            <w:proofErr w:type="spellEnd"/>
            <w:r w:rsidR="005C51D2">
              <w:t>:</w:t>
            </w:r>
            <w:r w:rsidRPr="00594970">
              <w:t xml:space="preserve"> (02) 6277 3437</w:t>
            </w:r>
            <w:r w:rsidR="00994413" w:rsidRPr="00594970">
              <w:br/>
            </w:r>
            <w:r w:rsidR="00653BEA" w:rsidRPr="00594970">
              <w:t xml:space="preserve">Email: </w:t>
            </w:r>
            <w:hyperlink r:id="rId24" w:history="1">
              <w:r w:rsidR="00653BEA" w:rsidRPr="00594970">
                <w:rPr>
                  <w:color w:val="0070C0"/>
                  <w:u w:val="single"/>
                </w:rPr>
                <w:t>eec.sen@aph.gov.au</w:t>
              </w:r>
            </w:hyperlink>
          </w:p>
        </w:tc>
        <w:tc>
          <w:tcPr>
            <w:tcW w:w="2119" w:type="dxa"/>
          </w:tcPr>
          <w:p w14:paraId="564309F6" w14:textId="4131F51D" w:rsidR="0015660F" w:rsidRPr="00594970" w:rsidRDefault="00F7270B" w:rsidP="00D70525">
            <w:r w:rsidRPr="00594970">
              <w:t xml:space="preserve">6 </w:t>
            </w:r>
            <w:r w:rsidR="0015660F" w:rsidRPr="00594970">
              <w:t>copies</w:t>
            </w:r>
          </w:p>
        </w:tc>
      </w:tr>
      <w:tr w:rsidR="0015660F" w:rsidRPr="00594970" w14:paraId="77365271" w14:textId="77777777" w:rsidTr="00D70525">
        <w:trPr>
          <w:cantSplit/>
        </w:trPr>
        <w:tc>
          <w:tcPr>
            <w:tcW w:w="6941" w:type="dxa"/>
          </w:tcPr>
          <w:p w14:paraId="4C89CF71" w14:textId="35EBDD71" w:rsidR="0015660F" w:rsidRPr="00594970" w:rsidRDefault="0015660F" w:rsidP="00994413">
            <w:pPr>
              <w:pStyle w:val="TableTextCambria"/>
            </w:pPr>
            <w:r w:rsidRPr="00594970">
              <w:t xml:space="preserve">Environment and Communications </w:t>
            </w:r>
            <w:r w:rsidRPr="00594970">
              <w:rPr>
                <w:i/>
              </w:rPr>
              <w:t xml:space="preserve">- Communications and </w:t>
            </w:r>
            <w:r w:rsidR="00505924" w:rsidRPr="00594970">
              <w:rPr>
                <w:i/>
              </w:rPr>
              <w:t xml:space="preserve">the </w:t>
            </w:r>
            <w:r w:rsidRPr="00594970">
              <w:rPr>
                <w:i/>
              </w:rPr>
              <w:t>Arts</w:t>
            </w:r>
            <w:r w:rsidR="00505924" w:rsidRPr="00594970">
              <w:rPr>
                <w:i/>
              </w:rPr>
              <w:t>,</w:t>
            </w:r>
            <w:r w:rsidRPr="00594970">
              <w:rPr>
                <w:i/>
              </w:rPr>
              <w:t xml:space="preserve"> and Environment </w:t>
            </w:r>
            <w:r w:rsidR="00505924" w:rsidRPr="00594970">
              <w:rPr>
                <w:i/>
              </w:rPr>
              <w:t xml:space="preserve">and Energy </w:t>
            </w:r>
            <w:r w:rsidRPr="00594970">
              <w:rPr>
                <w:i/>
              </w:rPr>
              <w:t>portfolios</w:t>
            </w:r>
          </w:p>
          <w:p w14:paraId="2A1E4FD3" w14:textId="5E14A1E0" w:rsidR="0015660F" w:rsidRPr="00594970" w:rsidRDefault="0015660F" w:rsidP="007A136D">
            <w:pPr>
              <w:pStyle w:val="TableTextCambriaIndented"/>
            </w:pPr>
            <w:r w:rsidRPr="00594970">
              <w:t>Estimates</w:t>
            </w:r>
            <w:r w:rsidR="00505924" w:rsidRPr="00594970">
              <w:t xml:space="preserve"> Officer</w:t>
            </w:r>
            <w:r w:rsidRPr="00594970">
              <w:t xml:space="preserve"> – </w:t>
            </w:r>
            <w:proofErr w:type="spellStart"/>
            <w:r w:rsidRPr="00594970">
              <w:t>ph</w:t>
            </w:r>
            <w:proofErr w:type="spellEnd"/>
            <w:r w:rsidR="005C51D2">
              <w:t>:</w:t>
            </w:r>
            <w:r w:rsidRPr="00594970">
              <w:t xml:space="preserve"> (02) 6277 352</w:t>
            </w:r>
            <w:r w:rsidR="00505924" w:rsidRPr="00594970">
              <w:t>6</w:t>
            </w:r>
            <w:r w:rsidR="00994413" w:rsidRPr="00594970">
              <w:br/>
              <w:t xml:space="preserve">Email: </w:t>
            </w:r>
            <w:hyperlink r:id="rId25" w:history="1">
              <w:r w:rsidR="00653BEA" w:rsidRPr="00594970">
                <w:rPr>
                  <w:color w:val="0070C0"/>
                  <w:u w:val="single"/>
                </w:rPr>
                <w:t>ec.sen@aph.gov.au</w:t>
              </w:r>
            </w:hyperlink>
          </w:p>
        </w:tc>
        <w:tc>
          <w:tcPr>
            <w:tcW w:w="2119" w:type="dxa"/>
          </w:tcPr>
          <w:p w14:paraId="67E92B7D" w14:textId="77777777" w:rsidR="0015660F" w:rsidRPr="00594970" w:rsidRDefault="0015660F" w:rsidP="00D70525">
            <w:r w:rsidRPr="00594970">
              <w:t>5 copies</w:t>
            </w:r>
          </w:p>
        </w:tc>
      </w:tr>
      <w:tr w:rsidR="0015660F" w:rsidRPr="00594970" w14:paraId="36F761A5" w14:textId="77777777" w:rsidTr="00D70525">
        <w:trPr>
          <w:cantSplit/>
        </w:trPr>
        <w:tc>
          <w:tcPr>
            <w:tcW w:w="6941" w:type="dxa"/>
          </w:tcPr>
          <w:p w14:paraId="7A05B8CD" w14:textId="77777777" w:rsidR="0015660F" w:rsidRPr="00594970" w:rsidRDefault="0015660F" w:rsidP="007A136D">
            <w:pPr>
              <w:pStyle w:val="TableTextCambria"/>
              <w:rPr>
                <w:i/>
              </w:rPr>
            </w:pPr>
            <w:r w:rsidRPr="00594970">
              <w:t xml:space="preserve">Finance and Public Administration </w:t>
            </w:r>
            <w:r w:rsidRPr="00594970">
              <w:rPr>
                <w:i/>
              </w:rPr>
              <w:t>- Finance, Parliament, and Prime Minister and Cabinet portfolios</w:t>
            </w:r>
          </w:p>
          <w:p w14:paraId="44F36283" w14:textId="589307AF" w:rsidR="00653BEA" w:rsidRPr="00594970" w:rsidRDefault="0015660F" w:rsidP="007A136D">
            <w:pPr>
              <w:pStyle w:val="TableTextCambriaIndented"/>
            </w:pPr>
            <w:r w:rsidRPr="00594970">
              <w:t>Estimates</w:t>
            </w:r>
            <w:r w:rsidR="00505924" w:rsidRPr="00594970">
              <w:t xml:space="preserve"> Officer</w:t>
            </w:r>
            <w:r w:rsidRPr="00594970">
              <w:t xml:space="preserve"> – </w:t>
            </w:r>
            <w:proofErr w:type="spellStart"/>
            <w:r w:rsidRPr="00594970">
              <w:t>ph</w:t>
            </w:r>
            <w:proofErr w:type="spellEnd"/>
            <w:r w:rsidR="005C51D2">
              <w:t>:</w:t>
            </w:r>
            <w:r w:rsidRPr="00594970">
              <w:t xml:space="preserve"> (02) 6277 3534</w:t>
            </w:r>
            <w:r w:rsidR="007A136D" w:rsidRPr="00594970">
              <w:br/>
              <w:t xml:space="preserve">Email: </w:t>
            </w:r>
            <w:hyperlink r:id="rId26" w:history="1">
              <w:r w:rsidR="00653BEA" w:rsidRPr="00594970">
                <w:rPr>
                  <w:color w:val="0070C0"/>
                  <w:u w:val="single"/>
                </w:rPr>
                <w:t>fpa.sen@aph.gov.au</w:t>
              </w:r>
            </w:hyperlink>
          </w:p>
        </w:tc>
        <w:tc>
          <w:tcPr>
            <w:tcW w:w="2119" w:type="dxa"/>
          </w:tcPr>
          <w:p w14:paraId="48170A6A" w14:textId="77777777" w:rsidR="0015660F" w:rsidRPr="00594970" w:rsidRDefault="0015660F" w:rsidP="00D70525">
            <w:r w:rsidRPr="00594970">
              <w:t>8 copies</w:t>
            </w:r>
          </w:p>
        </w:tc>
      </w:tr>
      <w:tr w:rsidR="0015660F" w:rsidRPr="00594970" w14:paraId="14B92949" w14:textId="77777777" w:rsidTr="00D70525">
        <w:trPr>
          <w:cantSplit/>
        </w:trPr>
        <w:tc>
          <w:tcPr>
            <w:tcW w:w="6941" w:type="dxa"/>
          </w:tcPr>
          <w:p w14:paraId="4B69C850" w14:textId="77777777" w:rsidR="0015660F" w:rsidRPr="00594970" w:rsidRDefault="0015660F" w:rsidP="007A136D">
            <w:pPr>
              <w:pStyle w:val="TableTextCambria"/>
              <w:rPr>
                <w:i/>
              </w:rPr>
            </w:pPr>
            <w:r w:rsidRPr="00594970">
              <w:t xml:space="preserve">Foreign Affairs, Defence and Trade </w:t>
            </w:r>
            <w:r w:rsidRPr="00594970">
              <w:rPr>
                <w:i/>
              </w:rPr>
              <w:t>- Defence (including Veterans’ Affairs) and Foreign Affairs and Trade portfolios</w:t>
            </w:r>
          </w:p>
          <w:p w14:paraId="651D328E" w14:textId="20A897CF" w:rsidR="00653BEA" w:rsidRPr="00594970" w:rsidRDefault="0015660F" w:rsidP="005C2636">
            <w:pPr>
              <w:pStyle w:val="BodyText"/>
              <w:keepNext/>
              <w:spacing w:after="0" w:line="220" w:lineRule="atLeast"/>
              <w:ind w:left="284" w:right="96"/>
              <w:rPr>
                <w:sz w:val="20"/>
              </w:rPr>
            </w:pPr>
            <w:r w:rsidRPr="00594970">
              <w:rPr>
                <w:sz w:val="20"/>
              </w:rPr>
              <w:t>Estimates</w:t>
            </w:r>
            <w:r w:rsidR="00505924" w:rsidRPr="00594970">
              <w:rPr>
                <w:sz w:val="20"/>
              </w:rPr>
              <w:t xml:space="preserve"> Officer</w:t>
            </w:r>
            <w:r w:rsidRPr="00594970">
              <w:rPr>
                <w:sz w:val="20"/>
              </w:rPr>
              <w:t xml:space="preserve"> – </w:t>
            </w:r>
            <w:proofErr w:type="spellStart"/>
            <w:r w:rsidRPr="00594970">
              <w:rPr>
                <w:sz w:val="20"/>
              </w:rPr>
              <w:t>ph</w:t>
            </w:r>
            <w:proofErr w:type="spellEnd"/>
            <w:r w:rsidR="005C51D2">
              <w:rPr>
                <w:sz w:val="20"/>
              </w:rPr>
              <w:t>:</w:t>
            </w:r>
            <w:r w:rsidRPr="00594970">
              <w:rPr>
                <w:sz w:val="20"/>
              </w:rPr>
              <w:t xml:space="preserve"> (02) 6277 353</w:t>
            </w:r>
            <w:r w:rsidR="00505924" w:rsidRPr="00594970">
              <w:rPr>
                <w:sz w:val="20"/>
              </w:rPr>
              <w:t>5</w:t>
            </w:r>
          </w:p>
          <w:p w14:paraId="2B306443" w14:textId="1B9AA157" w:rsidR="0015660F" w:rsidRPr="00594970" w:rsidRDefault="007A136D" w:rsidP="003555DF">
            <w:pPr>
              <w:pStyle w:val="BodyText"/>
              <w:keepNext/>
              <w:spacing w:after="0" w:line="220" w:lineRule="atLeast"/>
              <w:ind w:left="284" w:right="96"/>
              <w:rPr>
                <w:sz w:val="20"/>
              </w:rPr>
            </w:pPr>
            <w:r w:rsidRPr="00594970">
              <w:t xml:space="preserve">Email: </w:t>
            </w:r>
            <w:hyperlink r:id="rId27" w:history="1">
              <w:r w:rsidR="00653BEA" w:rsidRPr="00594970">
                <w:rPr>
                  <w:color w:val="0070C0"/>
                  <w:sz w:val="20"/>
                  <w:u w:val="single"/>
                </w:rPr>
                <w:t>fadt.sen@aph.gov.au</w:t>
              </w:r>
            </w:hyperlink>
          </w:p>
        </w:tc>
        <w:tc>
          <w:tcPr>
            <w:tcW w:w="2119" w:type="dxa"/>
          </w:tcPr>
          <w:p w14:paraId="7A832897" w14:textId="77777777" w:rsidR="0015660F" w:rsidRPr="00594970" w:rsidRDefault="0015660F" w:rsidP="00D70525">
            <w:r w:rsidRPr="00594970">
              <w:t>6 copies</w:t>
            </w:r>
          </w:p>
        </w:tc>
      </w:tr>
    </w:tbl>
    <w:p w14:paraId="1853DB80" w14:textId="77777777" w:rsidR="008472C1" w:rsidRPr="00594970" w:rsidRDefault="008472C1">
      <w:r w:rsidRPr="00594970">
        <w:br w:type="page"/>
      </w:r>
    </w:p>
    <w:tbl>
      <w:tblPr>
        <w:tblStyle w:val="TableGrid"/>
        <w:tblW w:w="9067" w:type="dxa"/>
        <w:tblLayout w:type="fixed"/>
        <w:tblLook w:val="04A0" w:firstRow="1" w:lastRow="0" w:firstColumn="1" w:lastColumn="0" w:noHBand="0" w:noVBand="1"/>
      </w:tblPr>
      <w:tblGrid>
        <w:gridCol w:w="6941"/>
        <w:gridCol w:w="2126"/>
      </w:tblGrid>
      <w:tr w:rsidR="008472C1" w:rsidRPr="00594970" w14:paraId="52BF4260" w14:textId="77777777" w:rsidTr="00D70525">
        <w:trPr>
          <w:trHeight w:val="552"/>
        </w:trPr>
        <w:tc>
          <w:tcPr>
            <w:tcW w:w="9067" w:type="dxa"/>
            <w:gridSpan w:val="2"/>
            <w:shd w:val="clear" w:color="auto" w:fill="D5F9FF"/>
            <w:vAlign w:val="bottom"/>
          </w:tcPr>
          <w:p w14:paraId="63A1D6EE" w14:textId="77777777" w:rsidR="008472C1" w:rsidRPr="00594970" w:rsidRDefault="008472C1" w:rsidP="00D70525">
            <w:r w:rsidRPr="00594970">
              <w:lastRenderedPageBreak/>
              <w:t>For delivery after tabling (continued)</w:t>
            </w:r>
          </w:p>
        </w:tc>
      </w:tr>
      <w:tr w:rsidR="0015660F" w:rsidRPr="00594970" w14:paraId="2494735A" w14:textId="77777777" w:rsidTr="00D70525">
        <w:trPr>
          <w:cantSplit/>
        </w:trPr>
        <w:tc>
          <w:tcPr>
            <w:tcW w:w="6941" w:type="dxa"/>
          </w:tcPr>
          <w:p w14:paraId="1E7195E3" w14:textId="12D26A76" w:rsidR="0015660F" w:rsidRPr="00594970" w:rsidRDefault="0015660F" w:rsidP="007A136D">
            <w:pPr>
              <w:pStyle w:val="TableTextCambria"/>
            </w:pPr>
            <w:r w:rsidRPr="00594970">
              <w:t xml:space="preserve">Legal and Constitutional Affairs </w:t>
            </w:r>
            <w:r w:rsidRPr="00594970">
              <w:rPr>
                <w:i/>
              </w:rPr>
              <w:t xml:space="preserve">- Attorney-General and </w:t>
            </w:r>
            <w:r w:rsidR="00505924" w:rsidRPr="00594970">
              <w:rPr>
                <w:i/>
              </w:rPr>
              <w:t>Home Affairs</w:t>
            </w:r>
          </w:p>
          <w:p w14:paraId="57AD8548" w14:textId="162C3524" w:rsidR="0015660F" w:rsidRPr="00594970" w:rsidRDefault="0015660F" w:rsidP="007A136D">
            <w:pPr>
              <w:pStyle w:val="TableTextCambriaIndented"/>
            </w:pPr>
            <w:r w:rsidRPr="00594970">
              <w:t xml:space="preserve">Estimates </w:t>
            </w:r>
            <w:r w:rsidR="00505924" w:rsidRPr="00594970">
              <w:t xml:space="preserve"> Officer </w:t>
            </w:r>
            <w:r w:rsidRPr="00594970">
              <w:t xml:space="preserve">– </w:t>
            </w:r>
            <w:proofErr w:type="spellStart"/>
            <w:r w:rsidRPr="00594970">
              <w:t>ph</w:t>
            </w:r>
            <w:proofErr w:type="spellEnd"/>
            <w:r w:rsidR="005C51D2">
              <w:t>:</w:t>
            </w:r>
            <w:r w:rsidRPr="00594970">
              <w:t xml:space="preserve"> (02) 6277 3</w:t>
            </w:r>
            <w:r w:rsidR="00505924" w:rsidRPr="00594970">
              <w:t>560</w:t>
            </w:r>
            <w:r w:rsidR="007A136D" w:rsidRPr="00594970">
              <w:br/>
              <w:t xml:space="preserve">Email: </w:t>
            </w:r>
            <w:hyperlink r:id="rId28" w:history="1">
              <w:r w:rsidR="00653BEA" w:rsidRPr="00594970">
                <w:rPr>
                  <w:color w:val="0070C0"/>
                  <w:u w:val="single"/>
                </w:rPr>
                <w:t>legcon.sen@aph.gov.au</w:t>
              </w:r>
            </w:hyperlink>
          </w:p>
        </w:tc>
        <w:tc>
          <w:tcPr>
            <w:tcW w:w="2126" w:type="dxa"/>
          </w:tcPr>
          <w:p w14:paraId="36DF0375" w14:textId="7281D766" w:rsidR="0015660F" w:rsidRPr="00594970" w:rsidRDefault="00265A36" w:rsidP="00D70525">
            <w:r w:rsidRPr="00594970">
              <w:t xml:space="preserve">3 </w:t>
            </w:r>
            <w:r w:rsidR="0015660F" w:rsidRPr="00594970">
              <w:t>copies</w:t>
            </w:r>
          </w:p>
        </w:tc>
      </w:tr>
      <w:tr w:rsidR="0015660F" w:rsidRPr="00594970" w14:paraId="64114CB8" w14:textId="77777777" w:rsidTr="00D70525">
        <w:trPr>
          <w:cantSplit/>
        </w:trPr>
        <w:tc>
          <w:tcPr>
            <w:tcW w:w="6941" w:type="dxa"/>
          </w:tcPr>
          <w:p w14:paraId="6E1A00FC" w14:textId="1FD4396C" w:rsidR="0015660F" w:rsidRPr="00594970" w:rsidRDefault="0015660F" w:rsidP="008472C1">
            <w:pPr>
              <w:pStyle w:val="TableTextCambria"/>
            </w:pPr>
            <w:r w:rsidRPr="00594970">
              <w:t xml:space="preserve">Rural and Regional Affairs and Transport </w:t>
            </w:r>
            <w:r w:rsidRPr="00594970">
              <w:rPr>
                <w:i/>
              </w:rPr>
              <w:t>- Agriculture</w:t>
            </w:r>
            <w:r w:rsidR="00505924" w:rsidRPr="00594970">
              <w:rPr>
                <w:i/>
              </w:rPr>
              <w:t xml:space="preserve">, </w:t>
            </w:r>
            <w:r w:rsidRPr="00594970">
              <w:rPr>
                <w:i/>
              </w:rPr>
              <w:t>Infrastructure</w:t>
            </w:r>
            <w:r w:rsidR="00505924" w:rsidRPr="00594970">
              <w:rPr>
                <w:i/>
              </w:rPr>
              <w:t>, Transport, Cities and Regional Development</w:t>
            </w:r>
          </w:p>
          <w:p w14:paraId="278F4A2D" w14:textId="38FF51D6" w:rsidR="00653BEA" w:rsidRPr="00594970" w:rsidRDefault="0015660F" w:rsidP="008472C1">
            <w:pPr>
              <w:pStyle w:val="TableTextCambriaIndented"/>
            </w:pPr>
            <w:r w:rsidRPr="00594970">
              <w:t xml:space="preserve">Estimates – </w:t>
            </w:r>
            <w:proofErr w:type="spellStart"/>
            <w:r w:rsidRPr="00594970">
              <w:t>ph</w:t>
            </w:r>
            <w:proofErr w:type="spellEnd"/>
            <w:r w:rsidR="005C51D2">
              <w:t>:</w:t>
            </w:r>
            <w:r w:rsidRPr="00594970">
              <w:t xml:space="preserve"> (02) 6277 3511</w:t>
            </w:r>
            <w:r w:rsidR="008472C1" w:rsidRPr="00594970">
              <w:br/>
              <w:t xml:space="preserve">Email: </w:t>
            </w:r>
            <w:hyperlink r:id="rId29" w:history="1">
              <w:r w:rsidR="00653BEA" w:rsidRPr="00594970">
                <w:rPr>
                  <w:color w:val="0070C0"/>
                  <w:u w:val="single"/>
                </w:rPr>
                <w:t>rrat.sen@aph.gov.au</w:t>
              </w:r>
            </w:hyperlink>
          </w:p>
        </w:tc>
        <w:tc>
          <w:tcPr>
            <w:tcW w:w="2126" w:type="dxa"/>
          </w:tcPr>
          <w:p w14:paraId="3F1D59F8" w14:textId="77777777" w:rsidR="0015660F" w:rsidRPr="00594970" w:rsidRDefault="0015660F" w:rsidP="00D70525">
            <w:r w:rsidRPr="00594970">
              <w:t>3 copies</w:t>
            </w:r>
          </w:p>
        </w:tc>
      </w:tr>
      <w:tr w:rsidR="00A463D5" w:rsidRPr="00594970" w14:paraId="775BBA56" w14:textId="77777777" w:rsidTr="00D70525">
        <w:tc>
          <w:tcPr>
            <w:tcW w:w="6941" w:type="dxa"/>
          </w:tcPr>
          <w:p w14:paraId="5A2B6BD7" w14:textId="73527E27" w:rsidR="00A463D5" w:rsidRPr="00191FF0" w:rsidRDefault="00191FF0" w:rsidP="008472C1">
            <w:pPr>
              <w:rPr>
                <w:rFonts w:ascii="Cambria" w:hAnsi="Cambria"/>
                <w:sz w:val="20"/>
              </w:rPr>
            </w:pPr>
            <w:r w:rsidRPr="00191FF0">
              <w:rPr>
                <w:rFonts w:ascii="Cambria" w:hAnsi="Cambria"/>
                <w:sz w:val="20"/>
              </w:rPr>
              <w:t>Commonwealth Library Deposit and Free Issue Schemes (LDS)</w:t>
            </w:r>
          </w:p>
          <w:p w14:paraId="3B8FE81B" w14:textId="16B981CB" w:rsidR="00A463D5" w:rsidRPr="00594970" w:rsidRDefault="00191FF0" w:rsidP="00191FF0">
            <w:pPr>
              <w:pStyle w:val="TableTextCambria"/>
              <w:ind w:left="310"/>
            </w:pPr>
            <w:r>
              <w:t xml:space="preserve">Email: </w:t>
            </w:r>
            <w:hyperlink r:id="rId30" w:history="1">
              <w:r w:rsidRPr="007F7D42">
                <w:rPr>
                  <w:rStyle w:val="Hyperlink"/>
                  <w:rFonts w:ascii="Cambria" w:hAnsi="Cambria" w:cstheme="minorBidi"/>
                </w:rPr>
                <w:t>info@dta.gov.au</w:t>
              </w:r>
            </w:hyperlink>
            <w:r>
              <w:t xml:space="preserve"> </w:t>
            </w:r>
            <w:r>
              <w:br/>
            </w:r>
            <w:proofErr w:type="spellStart"/>
            <w:r>
              <w:t>Ph</w:t>
            </w:r>
            <w:proofErr w:type="spellEnd"/>
            <w:r>
              <w:t xml:space="preserve">: </w:t>
            </w:r>
            <w:r w:rsidRPr="00191FF0">
              <w:t>02 6120 8707</w:t>
            </w:r>
            <w:r>
              <w:t xml:space="preserve"> </w:t>
            </w:r>
            <w:r>
              <w:br/>
              <w:t xml:space="preserve">Website: </w:t>
            </w:r>
            <w:hyperlink r:id="rId31" w:history="1">
              <w:r w:rsidRPr="007F7D42">
                <w:rPr>
                  <w:rStyle w:val="Hyperlink"/>
                  <w:rFonts w:ascii="Cambria" w:hAnsi="Cambria" w:cstheme="minorBidi"/>
                </w:rPr>
                <w:t>https://www.dta.gov.au/help-and-advice/guides-and-tools/commonwealth-library-deposit-and-free-issue-schemes</w:t>
              </w:r>
            </w:hyperlink>
            <w:r>
              <w:t xml:space="preserve"> </w:t>
            </w:r>
          </w:p>
        </w:tc>
        <w:tc>
          <w:tcPr>
            <w:tcW w:w="2126" w:type="dxa"/>
          </w:tcPr>
          <w:p w14:paraId="1AC8330C" w14:textId="3DBC7D30" w:rsidR="00A463D5" w:rsidRPr="00594970" w:rsidRDefault="00A463D5" w:rsidP="00D70525">
            <w:r w:rsidRPr="00594970">
              <w:t>2</w:t>
            </w:r>
            <w:r w:rsidR="00191FF0">
              <w:t>2</w:t>
            </w:r>
            <w:r w:rsidRPr="00594970">
              <w:t xml:space="preserve"> copies</w:t>
            </w:r>
          </w:p>
          <w:p w14:paraId="0D5B01AB" w14:textId="1CE19084" w:rsidR="00A463D5" w:rsidRPr="00594970" w:rsidRDefault="00A463D5" w:rsidP="00D70525">
            <w:r w:rsidRPr="00594970">
              <w:t>(please check Library Deposit website prior to printing)</w:t>
            </w:r>
          </w:p>
        </w:tc>
      </w:tr>
    </w:tbl>
    <w:p w14:paraId="2871C041" w14:textId="77777777" w:rsidR="00A463D5" w:rsidRPr="00594970" w:rsidRDefault="00A463D5" w:rsidP="005C2636">
      <w:pPr>
        <w:rPr>
          <w:u w:val="single"/>
        </w:rPr>
      </w:pPr>
      <w:r w:rsidRPr="00594970">
        <w:rPr>
          <w:u w:val="single"/>
        </w:rPr>
        <w:t>Distribution to the Department of Finance</w:t>
      </w:r>
    </w:p>
    <w:p w14:paraId="464BCBA7" w14:textId="540D18A0" w:rsidR="00706BD3" w:rsidRPr="00594970" w:rsidRDefault="00A463D5" w:rsidP="00A463D5">
      <w:r w:rsidRPr="00594970">
        <w:t xml:space="preserve">The PAES are due with the Department of Finance by </w:t>
      </w:r>
      <w:r w:rsidR="0023251E" w:rsidRPr="00594970">
        <w:rPr>
          <w:b/>
        </w:rPr>
        <w:t xml:space="preserve">COB </w:t>
      </w:r>
      <w:r w:rsidR="00322D8C" w:rsidRPr="00594970">
        <w:rPr>
          <w:b/>
        </w:rPr>
        <w:t>Monday, 1</w:t>
      </w:r>
      <w:r w:rsidR="003373F0" w:rsidRPr="00594970">
        <w:rPr>
          <w:b/>
        </w:rPr>
        <w:t>0</w:t>
      </w:r>
      <w:r w:rsidR="00221335" w:rsidRPr="00594970">
        <w:rPr>
          <w:b/>
        </w:rPr>
        <w:t xml:space="preserve"> February</w:t>
      </w:r>
      <w:r w:rsidR="005F4B4A" w:rsidRPr="00594970">
        <w:rPr>
          <w:b/>
        </w:rPr>
        <w:t xml:space="preserve"> 20</w:t>
      </w:r>
      <w:r w:rsidR="003373F0" w:rsidRPr="00594970">
        <w:rPr>
          <w:b/>
        </w:rPr>
        <w:t>20</w:t>
      </w:r>
      <w:r w:rsidR="005F4B4A" w:rsidRPr="00594970">
        <w:rPr>
          <w:b/>
        </w:rPr>
        <w:t xml:space="preserve"> </w:t>
      </w:r>
      <w:r w:rsidRPr="00594970">
        <w:t>which includes a full copy of the PAES in ADOBE PDF emailed to</w:t>
      </w:r>
      <w:r w:rsidR="004D16ED" w:rsidRPr="00594970">
        <w:t>:</w:t>
      </w:r>
      <w:r w:rsidRPr="00594970">
        <w:t xml:space="preserve"> </w:t>
      </w:r>
      <w:hyperlink r:id="rId32" w:history="1">
        <w:r w:rsidR="00706BD3" w:rsidRPr="00594970">
          <w:rPr>
            <w:rStyle w:val="Hyperlink"/>
          </w:rPr>
          <w:t>Budget_Framework@finance.gov.au</w:t>
        </w:r>
      </w:hyperlink>
      <w:r w:rsidRPr="00594970">
        <w:rPr>
          <w:u w:val="single"/>
        </w:rPr>
        <w:t>.</w:t>
      </w:r>
    </w:p>
    <w:p w14:paraId="64D09D55" w14:textId="0C2F8394" w:rsidR="00A463D5" w:rsidRPr="00594970" w:rsidRDefault="00A463D5" w:rsidP="005C2636">
      <w:r w:rsidRPr="00594970">
        <w:t xml:space="preserve">Please call </w:t>
      </w:r>
      <w:r w:rsidR="009653AF" w:rsidRPr="00594970">
        <w:rPr>
          <w:b/>
        </w:rPr>
        <w:t>02 6215 3094</w:t>
      </w:r>
      <w:r w:rsidR="009653AF" w:rsidRPr="00594970">
        <w:t xml:space="preserve"> </w:t>
      </w:r>
      <w:r w:rsidR="007278FD">
        <w:t>or</w:t>
      </w:r>
      <w:r w:rsidR="00251F0B" w:rsidRPr="00594970">
        <w:t xml:space="preserve"> </w:t>
      </w:r>
      <w:r w:rsidR="00251F0B" w:rsidRPr="00594970">
        <w:rPr>
          <w:b/>
        </w:rPr>
        <w:t>02</w:t>
      </w:r>
      <w:r w:rsidR="00251F0B" w:rsidRPr="00594970">
        <w:t xml:space="preserve"> </w:t>
      </w:r>
      <w:r w:rsidR="00251F0B" w:rsidRPr="00594970">
        <w:rPr>
          <w:b/>
        </w:rPr>
        <w:t>6215 2007</w:t>
      </w:r>
      <w:r w:rsidR="00251F0B" w:rsidRPr="00594970">
        <w:t xml:space="preserve"> </w:t>
      </w:r>
      <w:r w:rsidRPr="00594970">
        <w:t>to arrange physical delivery once you are at the Finance reception at 1 Canberra Avenue in Forrest. The PAES are not to be left at reception.</w:t>
      </w:r>
    </w:p>
    <w:p w14:paraId="3230B3A6" w14:textId="77777777" w:rsidR="00A463D5" w:rsidRPr="00594970" w:rsidRDefault="00A463D5" w:rsidP="005C2636">
      <w:pPr>
        <w:rPr>
          <w:u w:val="single"/>
        </w:rPr>
      </w:pPr>
      <w:r w:rsidRPr="00594970">
        <w:rPr>
          <w:u w:val="single"/>
        </w:rPr>
        <w:t>Further distribution</w:t>
      </w:r>
    </w:p>
    <w:p w14:paraId="7B5ED341" w14:textId="77777777" w:rsidR="00A375A3" w:rsidRPr="00594970" w:rsidRDefault="00A463D5" w:rsidP="005C2636">
      <w:r w:rsidRPr="00594970">
        <w:t>As the PAES will be placed on the portfolio internet site, further distribution of the PAES in hard copy may not be necessary. However, portfolios are encouraged to hold sufficient extra hard copies available to make free copies of their PAES available on request after the introduction of the Appropriation Bills to:</w:t>
      </w:r>
    </w:p>
    <w:p w14:paraId="7FDB7020" w14:textId="07F0B516" w:rsidR="00A463D5" w:rsidRPr="00594970" w:rsidRDefault="00A463D5" w:rsidP="008B044A">
      <w:pPr>
        <w:pStyle w:val="ListBullet2"/>
      </w:pPr>
      <w:r w:rsidRPr="00594970">
        <w:t>Other departments and relevant entities</w:t>
      </w:r>
    </w:p>
    <w:p w14:paraId="20698439" w14:textId="385FBF32" w:rsidR="00A463D5" w:rsidRPr="00594970" w:rsidRDefault="00A463D5" w:rsidP="008B044A">
      <w:pPr>
        <w:pStyle w:val="ListBullet2"/>
      </w:pPr>
      <w:r w:rsidRPr="00594970">
        <w:t>Major client organisations</w:t>
      </w:r>
    </w:p>
    <w:p w14:paraId="0B023748" w14:textId="4C36AF77" w:rsidR="00A463D5" w:rsidRPr="00594970" w:rsidRDefault="00A463D5" w:rsidP="008B044A">
      <w:pPr>
        <w:pStyle w:val="ListBullet2"/>
      </w:pPr>
      <w:r w:rsidRPr="00594970">
        <w:t>The libraries of tertiary institutions</w:t>
      </w:r>
    </w:p>
    <w:p w14:paraId="405FC757" w14:textId="210D422A" w:rsidR="00A463D5" w:rsidRPr="00594970" w:rsidRDefault="00A463D5" w:rsidP="00F31EC9">
      <w:pPr>
        <w:pStyle w:val="Heading2"/>
      </w:pPr>
      <w:bookmarkStart w:id="75" w:name="Online_publication"/>
      <w:bookmarkStart w:id="76" w:name="_bookmark24"/>
      <w:bookmarkStart w:id="77" w:name="_Toc26963558"/>
      <w:bookmarkEnd w:id="75"/>
      <w:bookmarkEnd w:id="76"/>
      <w:r w:rsidRPr="00594970">
        <w:t>Online publication</w:t>
      </w:r>
      <w:bookmarkEnd w:id="77"/>
    </w:p>
    <w:p w14:paraId="356F3C62" w14:textId="77777777" w:rsidR="00A463D5" w:rsidRPr="00594970" w:rsidRDefault="00A463D5" w:rsidP="005C2636">
      <w:pPr>
        <w:rPr>
          <w:u w:val="single"/>
        </w:rPr>
      </w:pPr>
      <w:r w:rsidRPr="00594970">
        <w:rPr>
          <w:u w:val="single"/>
        </w:rPr>
        <w:t>Publishing the PAES on the internet</w:t>
      </w:r>
    </w:p>
    <w:p w14:paraId="5FA11E0B" w14:textId="1576A67E" w:rsidR="00A463D5" w:rsidRPr="00594970" w:rsidRDefault="00A463D5" w:rsidP="005C2636">
      <w:r w:rsidRPr="00594970">
        <w:t xml:space="preserve">All Budget documentation will be published on the Internet with hyperlinks between budget documents for ease of reference and to assist reading across these documents. The Australian Government Budget website </w:t>
      </w:r>
      <w:hyperlink r:id="rId33" w:history="1">
        <w:r w:rsidRPr="00594970">
          <w:rPr>
            <w:rStyle w:val="Hyperlink"/>
            <w:rFonts w:cstheme="minorBidi"/>
          </w:rPr>
          <w:t>www.budget.gov.au</w:t>
        </w:r>
      </w:hyperlink>
      <w:r w:rsidRPr="00594970">
        <w:t xml:space="preserve"> will link readers to PAES on the portfolio’s own website.</w:t>
      </w:r>
    </w:p>
    <w:p w14:paraId="430A798B" w14:textId="77777777" w:rsidR="00A463D5" w:rsidRPr="00594970" w:rsidRDefault="00A463D5" w:rsidP="005C2636">
      <w:r w:rsidRPr="00594970">
        <w:t>All portfolios must post their electronic copy of the PAES to their portfolio department’s website. This should be posted in an accessible format as required by the Web Content Accessibility Guidelines issued by the Digital Transformation Office (for example, post the document in multiple formats to be sure it can be read by screen readers).</w:t>
      </w:r>
    </w:p>
    <w:p w14:paraId="11220CC0" w14:textId="0034CD69" w:rsidR="00CA0170" w:rsidRPr="00594970" w:rsidRDefault="00A463D5" w:rsidP="005C2636">
      <w:r w:rsidRPr="00594970">
        <w:lastRenderedPageBreak/>
        <w:t>The Web Content Accessibility Guidelines and other publishing requirements and guidance are available at</w:t>
      </w:r>
      <w:r w:rsidR="00D61671" w:rsidRPr="00594970">
        <w:t>:</w:t>
      </w:r>
    </w:p>
    <w:p w14:paraId="0FC7CE75" w14:textId="03DDE6A0" w:rsidR="00A463D5" w:rsidRPr="00594970" w:rsidRDefault="001859E7" w:rsidP="00CF3BCC">
      <w:hyperlink r:id="rId34" w:history="1">
        <w:r w:rsidR="00A463D5" w:rsidRPr="00594970">
          <w:rPr>
            <w:rStyle w:val="Hyperlink"/>
            <w:rFonts w:cstheme="minorBidi"/>
          </w:rPr>
          <w:t>https://guides.service.gov.au/content-guide/accessibility-inclusivity</w:t>
        </w:r>
      </w:hyperlink>
    </w:p>
    <w:p w14:paraId="7F482083" w14:textId="72E53A19" w:rsidR="00A463D5" w:rsidRPr="00594970" w:rsidRDefault="00A463D5" w:rsidP="005C2636">
      <w:r w:rsidRPr="00594970">
        <w:t>Portfolios should email the Treasury Web Content team (</w:t>
      </w:r>
      <w:hyperlink r:id="rId35" w:history="1">
        <w:r w:rsidRPr="00594970">
          <w:rPr>
            <w:rStyle w:val="Hyperlink"/>
            <w:rFonts w:cstheme="minorBidi"/>
          </w:rPr>
          <w:t>budgetpublishing@treasury.gov.au</w:t>
        </w:r>
      </w:hyperlink>
      <w:r w:rsidRPr="00594970">
        <w:t xml:space="preserve">) by no later than noon </w:t>
      </w:r>
      <w:r w:rsidR="00322D8C" w:rsidRPr="00594970">
        <w:rPr>
          <w:b/>
        </w:rPr>
        <w:t>Monday, 1</w:t>
      </w:r>
      <w:r w:rsidR="00DC32A9" w:rsidRPr="00594970">
        <w:rPr>
          <w:b/>
        </w:rPr>
        <w:t>0</w:t>
      </w:r>
      <w:r w:rsidR="00221335" w:rsidRPr="00594970">
        <w:rPr>
          <w:b/>
        </w:rPr>
        <w:t xml:space="preserve"> February</w:t>
      </w:r>
      <w:r w:rsidR="00B2665A" w:rsidRPr="00594970">
        <w:rPr>
          <w:b/>
        </w:rPr>
        <w:t xml:space="preserve"> 20</w:t>
      </w:r>
      <w:r w:rsidR="00DC32A9" w:rsidRPr="00594970">
        <w:rPr>
          <w:b/>
        </w:rPr>
        <w:t>20</w:t>
      </w:r>
      <w:r w:rsidRPr="00594970">
        <w:t xml:space="preserve"> with details of:</w:t>
      </w:r>
    </w:p>
    <w:p w14:paraId="0D1442C5" w14:textId="2EDF2EC5" w:rsidR="00A463D5" w:rsidRPr="00594970" w:rsidRDefault="00A463D5" w:rsidP="008B044A">
      <w:pPr>
        <w:pStyle w:val="ListBullet2"/>
      </w:pPr>
      <w:r w:rsidRPr="00594970">
        <w:t>the URL address where the portfolio will post its PAES</w:t>
      </w:r>
    </w:p>
    <w:p w14:paraId="499957B9" w14:textId="4311F76F" w:rsidR="00A463D5" w:rsidRPr="00594970" w:rsidRDefault="00A463D5" w:rsidP="008B044A">
      <w:pPr>
        <w:pStyle w:val="ListBullet2"/>
      </w:pPr>
      <w:r w:rsidRPr="00594970">
        <w:t>contact details for the author of the PAES</w:t>
      </w:r>
    </w:p>
    <w:p w14:paraId="1AC72728" w14:textId="234E3C2F" w:rsidR="00ED25FA" w:rsidRPr="00594970" w:rsidRDefault="00A463D5" w:rsidP="008B044A">
      <w:pPr>
        <w:pStyle w:val="ListBullet2"/>
      </w:pPr>
      <w:r w:rsidRPr="00594970">
        <w:t>contact details for the portfolio's webmaster</w:t>
      </w:r>
    </w:p>
    <w:p w14:paraId="5EDC825A" w14:textId="77777777" w:rsidR="00ED25FA" w:rsidRPr="00594970" w:rsidRDefault="00ED25FA" w:rsidP="005C2636">
      <w:r w:rsidRPr="00594970">
        <w:t>Portfolio departments should ensure the above information is forwarded to their internal Web Publishing area for action.</w:t>
      </w:r>
    </w:p>
    <w:p w14:paraId="4C81AF2E" w14:textId="5EF2D734" w:rsidR="00ED25FA" w:rsidRPr="00594970" w:rsidRDefault="00ED25FA" w:rsidP="005C2636">
      <w:r w:rsidRPr="00594970">
        <w:t xml:space="preserve">PAES must only be uploaded to entity websites after they have been tabled in Parliament (i.e. the Appropriation Bills have been introduced into the Senate). Entities can check the tabling status via the Dynamic Red </w:t>
      </w:r>
      <w:hyperlink r:id="rId36" w:history="1">
        <w:r w:rsidRPr="00594970">
          <w:rPr>
            <w:rStyle w:val="Hyperlink"/>
            <w:rFonts w:cstheme="minorBidi"/>
          </w:rPr>
          <w:t>http://www.aph.gov.au/Parliamentary_Business/Chamber_documents/Dynamic_Red</w:t>
        </w:r>
      </w:hyperlink>
    </w:p>
    <w:p w14:paraId="262A548D" w14:textId="0B67AF45" w:rsidR="00ED25FA" w:rsidRPr="00594970" w:rsidRDefault="00ED25FA" w:rsidP="008B044A">
      <w:r w:rsidRPr="00594970">
        <w:t xml:space="preserve">Portfolio departments are to scroll down the page until they find the </w:t>
      </w:r>
      <w:r w:rsidR="00147A2A" w:rsidRPr="00594970">
        <w:t>note referencing the ’201</w:t>
      </w:r>
      <w:r w:rsidR="00F74937" w:rsidRPr="00594970">
        <w:t>9-20</w:t>
      </w:r>
      <w:r w:rsidRPr="00594970">
        <w:t xml:space="preserve"> Portfolio Additional Estimates Statements’. The light red column on the right hand side of the entry will show the time the documents were tabled. Please note that no Portfolio will be separately identified.</w:t>
      </w:r>
    </w:p>
    <w:p w14:paraId="40FA5AB9" w14:textId="6E641D01" w:rsidR="00ED25FA" w:rsidRPr="00594970" w:rsidRDefault="00ED25FA" w:rsidP="008B044A">
      <w:r w:rsidRPr="00594970">
        <w:t xml:space="preserve">It is anticipated that PAES are likely to be tabled </w:t>
      </w:r>
      <w:r w:rsidR="00322D8C" w:rsidRPr="00594970">
        <w:t xml:space="preserve">after </w:t>
      </w:r>
      <w:r w:rsidR="00322D8C" w:rsidRPr="00594970">
        <w:rPr>
          <w:b/>
        </w:rPr>
        <w:t xml:space="preserve">Monday, </w:t>
      </w:r>
      <w:r w:rsidR="00F74937" w:rsidRPr="00594970">
        <w:rPr>
          <w:b/>
        </w:rPr>
        <w:t>10 February 2020</w:t>
      </w:r>
      <w:r w:rsidRPr="00594970">
        <w:t>.</w:t>
      </w:r>
    </w:p>
    <w:p w14:paraId="5F773935" w14:textId="77777777" w:rsidR="00ED25FA" w:rsidRPr="00594970" w:rsidRDefault="00ED25FA" w:rsidP="008B044A">
      <w:pPr>
        <w:rPr>
          <w:u w:val="single"/>
        </w:rPr>
      </w:pPr>
      <w:r w:rsidRPr="00594970">
        <w:rPr>
          <w:u w:val="single"/>
        </w:rPr>
        <w:t>Standard file-naming convention</w:t>
      </w:r>
    </w:p>
    <w:p w14:paraId="08F24493" w14:textId="77777777" w:rsidR="00ED25FA" w:rsidRPr="00594970" w:rsidRDefault="00ED25FA" w:rsidP="005C2636">
      <w:r w:rsidRPr="00594970">
        <w:t xml:space="preserve">Portfolios should follow a consistent file-naming convention for electronic copies of the PAES as outlined below to aid file comprehension and retrieval for readers who download the documents, and to remove the confusion that occurs when files are not clearly named or numbered. </w:t>
      </w:r>
    </w:p>
    <w:p w14:paraId="513D74DF" w14:textId="77777777" w:rsidR="00ED25FA" w:rsidRPr="00594970" w:rsidRDefault="00ED25FA" w:rsidP="005C2636">
      <w:r w:rsidRPr="00594970">
        <w:t xml:space="preserve">An example of the recommended convention is: </w:t>
      </w:r>
    </w:p>
    <w:p w14:paraId="0ECCCFCA" w14:textId="77777777" w:rsidR="00ED25FA" w:rsidRPr="00594970" w:rsidRDefault="00ED25FA" w:rsidP="005C2636">
      <w:pPr>
        <w:ind w:left="567"/>
        <w:rPr>
          <w:i/>
        </w:rPr>
      </w:pPr>
      <w:proofErr w:type="spellStart"/>
      <w:r w:rsidRPr="00594970">
        <w:rPr>
          <w:i/>
        </w:rPr>
        <w:t>FinancialYear</w:t>
      </w:r>
      <w:proofErr w:type="spellEnd"/>
      <w:r w:rsidRPr="00594970">
        <w:rPr>
          <w:i/>
        </w:rPr>
        <w:t xml:space="preserve"> + Portfolio + ’PAES’ + a file sequence number (i.e. 01, 02 </w:t>
      </w:r>
      <w:proofErr w:type="spellStart"/>
      <w:r w:rsidRPr="00594970">
        <w:rPr>
          <w:i/>
        </w:rPr>
        <w:t>etc</w:t>
      </w:r>
      <w:proofErr w:type="spellEnd"/>
      <w:r w:rsidRPr="00594970">
        <w:rPr>
          <w:i/>
        </w:rPr>
        <w:t xml:space="preserve">) +Chapter Number (or entity name/acronym, </w:t>
      </w:r>
      <w:proofErr w:type="spellStart"/>
      <w:r w:rsidRPr="00594970">
        <w:rPr>
          <w:i/>
        </w:rPr>
        <w:t>etc</w:t>
      </w:r>
      <w:proofErr w:type="spellEnd"/>
      <w:r w:rsidRPr="00594970">
        <w:rPr>
          <w:i/>
        </w:rPr>
        <w:t>)</w:t>
      </w:r>
    </w:p>
    <w:p w14:paraId="624C3E37" w14:textId="77777777" w:rsidR="00ED25FA" w:rsidRPr="00594970" w:rsidRDefault="00ED25FA" w:rsidP="005C2636">
      <w:r w:rsidRPr="00594970">
        <w:t>Examples would be:</w:t>
      </w:r>
    </w:p>
    <w:p w14:paraId="4E8BBFD2" w14:textId="11B99BB6" w:rsidR="00ED25FA" w:rsidRPr="00594970" w:rsidRDefault="00ED25FA" w:rsidP="00ED25FA">
      <w:pPr>
        <w:ind w:left="567"/>
      </w:pPr>
      <w:r w:rsidRPr="00594970">
        <w:t>201</w:t>
      </w:r>
      <w:r w:rsidR="00700BF8" w:rsidRPr="00594970">
        <w:t>9-20</w:t>
      </w:r>
      <w:r w:rsidRPr="00594970">
        <w:t>_Finance_PAES_01_Parts_A_and_B</w:t>
      </w:r>
    </w:p>
    <w:p w14:paraId="624AB893" w14:textId="3307BF7B" w:rsidR="00ED25FA" w:rsidRPr="00594970" w:rsidRDefault="006F665C" w:rsidP="005C2636">
      <w:pPr>
        <w:tabs>
          <w:tab w:val="left" w:pos="5466"/>
        </w:tabs>
        <w:ind w:left="567"/>
      </w:pPr>
      <w:r w:rsidRPr="00594970">
        <w:t>201</w:t>
      </w:r>
      <w:r w:rsidR="00700BF8" w:rsidRPr="00594970">
        <w:t>9-20</w:t>
      </w:r>
      <w:r w:rsidR="00ED25FA" w:rsidRPr="00594970">
        <w:t>_Finance_PAES_10_ABC</w:t>
      </w:r>
      <w:r w:rsidR="00696FC2" w:rsidRPr="00594970">
        <w:tab/>
      </w:r>
    </w:p>
    <w:p w14:paraId="6797BEB6" w14:textId="4B49AAB3" w:rsidR="00ED25FA" w:rsidRPr="00594970" w:rsidRDefault="006F665C" w:rsidP="005C2636">
      <w:pPr>
        <w:ind w:left="567"/>
      </w:pPr>
      <w:r w:rsidRPr="00594970">
        <w:t>201</w:t>
      </w:r>
      <w:r w:rsidR="00700BF8" w:rsidRPr="00594970">
        <w:t>9-20</w:t>
      </w:r>
      <w:r w:rsidR="00ED25FA" w:rsidRPr="00594970">
        <w:t>_Health_PAES_05_Outcome3</w:t>
      </w:r>
    </w:p>
    <w:p w14:paraId="0D0DF693" w14:textId="77777777" w:rsidR="00ED25FA" w:rsidRPr="00594970" w:rsidRDefault="00ED25FA" w:rsidP="005C2636">
      <w:pPr>
        <w:rPr>
          <w:i/>
        </w:rPr>
      </w:pPr>
      <w:r w:rsidRPr="00594970">
        <w:rPr>
          <w:b/>
          <w:i/>
        </w:rPr>
        <w:t>Note:</w:t>
      </w:r>
      <w:r w:rsidRPr="00594970">
        <w:rPr>
          <w:i/>
        </w:rPr>
        <w:t xml:space="preserve"> The file sequence number simply indicates which file would be read first, second, third et cetera if the document was read like a book. Naming the files in this way means that the order of files downloaded into a sub-directory would be the same order as the order of presentation of chapters in the PAES.</w:t>
      </w:r>
    </w:p>
    <w:p w14:paraId="6BB9289C" w14:textId="77777777" w:rsidR="00ED25FA" w:rsidRPr="00594970" w:rsidRDefault="00ED25FA" w:rsidP="005C2636">
      <w:r w:rsidRPr="00594970">
        <w:t>This would result in the electronic files being listed in the same order as the printed chapters, and therefore easier and more intuitive navigation for those accessing the files.</w:t>
      </w:r>
    </w:p>
    <w:p w14:paraId="3957E641" w14:textId="77777777" w:rsidR="00257A4F" w:rsidRPr="00594970" w:rsidRDefault="00ED25FA" w:rsidP="005C2636">
      <w:pPr>
        <w:rPr>
          <w:u w:val="single"/>
        </w:rPr>
      </w:pPr>
      <w:r w:rsidRPr="00594970">
        <w:rPr>
          <w:u w:val="single"/>
        </w:rPr>
        <w:lastRenderedPageBreak/>
        <w:t>Open Government Initiative – publication on data.gov.au</w:t>
      </w:r>
    </w:p>
    <w:p w14:paraId="4E474A93" w14:textId="1C178E5F" w:rsidR="00257A4F" w:rsidRPr="00594970" w:rsidRDefault="00257A4F" w:rsidP="005C2636">
      <w:r w:rsidRPr="00594970">
        <w:t xml:space="preserve">As part of the Government’s Open Government initiative to increase Budget transparency, portfolio departments are now required to provide a copy of finalised PAES tables for publication on </w:t>
      </w:r>
      <w:r w:rsidRPr="00594970">
        <w:rPr>
          <w:u w:val="single"/>
        </w:rPr>
        <w:t>data.gov.au</w:t>
      </w:r>
      <w:r w:rsidR="005718ED" w:rsidRPr="00594970">
        <w:t>. Portfolio departments have the option for using Creative Commons BY 4.0. The Department of Finance templates</w:t>
      </w:r>
      <w:r w:rsidR="005569DA" w:rsidRPr="00594970">
        <w:t xml:space="preserve"> by default</w:t>
      </w:r>
      <w:r w:rsidR="005718ED" w:rsidRPr="00594970">
        <w:t xml:space="preserve"> use Creative Commons BY 3.0. This was confirmed by Department of Treasury who sought legal advice in continuing to use Creative Commons BY 3.0.</w:t>
      </w:r>
      <w:r w:rsidRPr="00594970">
        <w:t xml:space="preserve"> </w:t>
      </w:r>
    </w:p>
    <w:p w14:paraId="49235215" w14:textId="77777777" w:rsidR="00257A4F" w:rsidRPr="00594970" w:rsidRDefault="00257A4F" w:rsidP="005C2636">
      <w:r w:rsidRPr="00594970">
        <w:t xml:space="preserve">The PAES tables, as received from portfolios, will be published on </w:t>
      </w:r>
      <w:r w:rsidRPr="00594970">
        <w:rPr>
          <w:u w:val="single"/>
        </w:rPr>
        <w:t>data.gov.au</w:t>
      </w:r>
      <w:r w:rsidRPr="00594970">
        <w:t xml:space="preserve"> in Excel workbook format, with a separate workbook for each entity. </w:t>
      </w:r>
    </w:p>
    <w:p w14:paraId="6B10BE14" w14:textId="77777777" w:rsidR="00257A4F" w:rsidRPr="00594970" w:rsidRDefault="00257A4F" w:rsidP="005C2636">
      <w:r w:rsidRPr="00594970">
        <w:t xml:space="preserve">The collection of PAES financial tables will be published in machine readable format to assist those who wish to analyse the financial information. </w:t>
      </w:r>
    </w:p>
    <w:p w14:paraId="7C58E5EB" w14:textId="77777777" w:rsidR="00257A4F" w:rsidRPr="00594970" w:rsidRDefault="00257A4F" w:rsidP="005C2636">
      <w:r w:rsidRPr="00594970">
        <w:t xml:space="preserve">The following financial tables with headings and footnotes will be published on </w:t>
      </w:r>
      <w:r w:rsidRPr="00594970">
        <w:rPr>
          <w:u w:val="single"/>
        </w:rPr>
        <w:t>data.gov.au</w:t>
      </w:r>
      <w:r w:rsidRPr="00594970">
        <w:t>:</w:t>
      </w:r>
    </w:p>
    <w:p w14:paraId="797974DC" w14:textId="4EBDA2E9" w:rsidR="00257A4F" w:rsidRPr="00594970" w:rsidRDefault="00257A4F" w:rsidP="008B044A">
      <w:pPr>
        <w:pStyle w:val="ListBullet2"/>
      </w:pPr>
      <w:r w:rsidRPr="00594970">
        <w:t>Table 1.1: Entity resource statement</w:t>
      </w:r>
    </w:p>
    <w:p w14:paraId="43850BF1" w14:textId="35266FCF" w:rsidR="00257A4F" w:rsidRPr="00594970" w:rsidRDefault="00257A4F" w:rsidP="008B044A">
      <w:pPr>
        <w:pStyle w:val="ListBullet2"/>
      </w:pPr>
      <w:r w:rsidRPr="00594970">
        <w:t xml:space="preserve">Table 1.2: Entity </w:t>
      </w:r>
      <w:r w:rsidR="00F360D8" w:rsidRPr="00594970">
        <w:t>2019-20</w:t>
      </w:r>
      <w:r w:rsidRPr="00594970">
        <w:t xml:space="preserve"> measures since Budget</w:t>
      </w:r>
    </w:p>
    <w:p w14:paraId="6227E54E" w14:textId="1E9C39AF" w:rsidR="00257A4F" w:rsidRPr="00594970" w:rsidRDefault="00257A4F" w:rsidP="008B044A">
      <w:pPr>
        <w:pStyle w:val="ListBullet2"/>
      </w:pPr>
      <w:r w:rsidRPr="00594970">
        <w:t>Table 2.X.1: Budgeted Expenses for Outcome X</w:t>
      </w:r>
    </w:p>
    <w:p w14:paraId="2F94C97D" w14:textId="6A5DAE1C" w:rsidR="00257A4F" w:rsidRPr="00594970" w:rsidRDefault="00257A4F" w:rsidP="008B044A">
      <w:pPr>
        <w:pStyle w:val="ListBullet2"/>
      </w:pPr>
      <w:r w:rsidRPr="00594970">
        <w:t>Table 2.X.2: Program components</w:t>
      </w:r>
    </w:p>
    <w:p w14:paraId="7A028651" w14:textId="26ED6993" w:rsidR="00257A4F" w:rsidRPr="00594970" w:rsidRDefault="00257A4F" w:rsidP="008B044A">
      <w:pPr>
        <w:pStyle w:val="ListBullet2"/>
      </w:pPr>
      <w:r w:rsidRPr="00594970">
        <w:t>Table 3.1: Estimates of special account flows and balances</w:t>
      </w:r>
    </w:p>
    <w:p w14:paraId="4DE7BD52" w14:textId="5050FE80" w:rsidR="00257A4F" w:rsidRPr="00594970" w:rsidRDefault="00257A4F" w:rsidP="008B044A">
      <w:pPr>
        <w:pStyle w:val="ListBullet2"/>
      </w:pPr>
      <w:r w:rsidRPr="00594970">
        <w:t>Tables 3.2 to 3.6: Departmental budgeted financial statements</w:t>
      </w:r>
    </w:p>
    <w:p w14:paraId="4E56E235" w14:textId="4E4048CB" w:rsidR="00257A4F" w:rsidRPr="00594970" w:rsidRDefault="00257A4F" w:rsidP="008B044A">
      <w:pPr>
        <w:pStyle w:val="ListBullet2"/>
      </w:pPr>
      <w:r w:rsidRPr="00594970">
        <w:t>Tables 3.7 to 3.12: Administered budgeted financial statements</w:t>
      </w:r>
    </w:p>
    <w:p w14:paraId="4D6434CB" w14:textId="77777777" w:rsidR="00257A4F" w:rsidRPr="00594970" w:rsidRDefault="00257A4F" w:rsidP="005C2636">
      <w:r w:rsidRPr="00594970">
        <w:t>Where an entity prepares two or more sets of tables, (for example Departmental Budgeted Financial Statements consolidated and non-consolidated), these tables should be included and clearly marked.</w:t>
      </w:r>
    </w:p>
    <w:p w14:paraId="184A3D38" w14:textId="5441A982" w:rsidR="00257A4F" w:rsidRPr="00594970" w:rsidRDefault="00257A4F" w:rsidP="005C2636">
      <w:pPr>
        <w:rPr>
          <w:b/>
        </w:rPr>
      </w:pPr>
      <w:r w:rsidRPr="00594970">
        <w:t>As PAES information is under embargo until tabled in Parliament, portfolio departments are to coordinate and collate each portfolio entity’s financial tables and footnotes and send the</w:t>
      </w:r>
      <w:r w:rsidR="00602840">
        <w:t xml:space="preserve">m to Finance either via CabNet </w:t>
      </w:r>
      <w:r w:rsidRPr="00594970">
        <w:t xml:space="preserve">or Protected-rated email to </w:t>
      </w:r>
      <w:hyperlink r:id="rId37" w:history="1">
        <w:r w:rsidRPr="00594970">
          <w:rPr>
            <w:rStyle w:val="Hyperlink"/>
          </w:rPr>
          <w:t>Budget_Framework@finance.gov.au</w:t>
        </w:r>
      </w:hyperlink>
      <w:r w:rsidRPr="00594970">
        <w:t xml:space="preserve"> by </w:t>
      </w:r>
      <w:r w:rsidR="0023251E" w:rsidRPr="00594970">
        <w:rPr>
          <w:b/>
        </w:rPr>
        <w:t xml:space="preserve">COB </w:t>
      </w:r>
      <w:r w:rsidR="00322D8C" w:rsidRPr="00594970">
        <w:rPr>
          <w:b/>
        </w:rPr>
        <w:t>Monday, 1</w:t>
      </w:r>
      <w:r w:rsidR="00F360D8" w:rsidRPr="00594970">
        <w:rPr>
          <w:b/>
        </w:rPr>
        <w:t>0</w:t>
      </w:r>
      <w:r w:rsidR="00221335" w:rsidRPr="00594970">
        <w:rPr>
          <w:b/>
        </w:rPr>
        <w:t xml:space="preserve"> February</w:t>
      </w:r>
      <w:r w:rsidR="005F4B4A" w:rsidRPr="00594970">
        <w:rPr>
          <w:b/>
        </w:rPr>
        <w:t xml:space="preserve"> 20</w:t>
      </w:r>
      <w:r w:rsidR="00F360D8" w:rsidRPr="00594970">
        <w:rPr>
          <w:b/>
        </w:rPr>
        <w:t>20</w:t>
      </w:r>
      <w:r w:rsidR="006F665C" w:rsidRPr="00594970">
        <w:rPr>
          <w:b/>
        </w:rPr>
        <w:t>.</w:t>
      </w:r>
    </w:p>
    <w:p w14:paraId="731B4F47" w14:textId="4135314B" w:rsidR="00257A4F" w:rsidRPr="00594970" w:rsidRDefault="00257A4F" w:rsidP="008B044A">
      <w:r w:rsidRPr="00594970">
        <w:t xml:space="preserve">To check whether your entity has protected-rated email, please refer to the </w:t>
      </w:r>
      <w:r w:rsidR="00921F42" w:rsidRPr="00594970">
        <w:t xml:space="preserve">GovLink </w:t>
      </w:r>
      <w:r w:rsidRPr="00594970">
        <w:t xml:space="preserve">user list: </w:t>
      </w:r>
      <w:hyperlink r:id="rId38" w:history="1">
        <w:r w:rsidR="00F360D8" w:rsidRPr="00594970">
          <w:rPr>
            <w:rStyle w:val="Hyperlink"/>
            <w:rFonts w:cstheme="minorBidi"/>
          </w:rPr>
          <w:t>http://govlink.sge.net/Home.aspx</w:t>
        </w:r>
      </w:hyperlink>
      <w:r w:rsidR="00F360D8" w:rsidRPr="00594970">
        <w:rPr>
          <w:rStyle w:val="Hyperlink"/>
          <w:rFonts w:cstheme="minorBidi"/>
        </w:rPr>
        <w:t xml:space="preserve"> </w:t>
      </w:r>
      <w:r w:rsidRPr="00594970">
        <w:t xml:space="preserve">(click on </w:t>
      </w:r>
      <w:r w:rsidR="00921F42" w:rsidRPr="00594970">
        <w:t xml:space="preserve">the </w:t>
      </w:r>
      <w:r w:rsidRPr="00594970">
        <w:rPr>
          <w:i/>
        </w:rPr>
        <w:t>User List</w:t>
      </w:r>
      <w:r w:rsidRPr="00594970">
        <w:t xml:space="preserve"> to view </w:t>
      </w:r>
      <w:r w:rsidR="00921F42" w:rsidRPr="00594970">
        <w:t xml:space="preserve">the </w:t>
      </w:r>
      <w:r w:rsidRPr="00594970">
        <w:t>list</w:t>
      </w:r>
      <w:r w:rsidR="00921F42" w:rsidRPr="00594970">
        <w:t xml:space="preserve"> of organisations currently using the GovLink network</w:t>
      </w:r>
      <w:r w:rsidRPr="00594970">
        <w:t>)</w:t>
      </w:r>
      <w:r w:rsidR="00BC4CD5" w:rsidRPr="00594970">
        <w:t>.</w:t>
      </w:r>
    </w:p>
    <w:p w14:paraId="6AAA533F" w14:textId="20FCE3FA" w:rsidR="00F360D8" w:rsidRPr="00594970" w:rsidRDefault="00257A4F" w:rsidP="008B044A">
      <w:r w:rsidRPr="00594970">
        <w:t>Portfolio departments must undertake the following procedures prior to sending the financial tables to Finance:</w:t>
      </w:r>
    </w:p>
    <w:p w14:paraId="28BAA646" w14:textId="65EEB397" w:rsidR="00F360D8" w:rsidRPr="00594970" w:rsidRDefault="00257A4F" w:rsidP="000137C6">
      <w:pPr>
        <w:pStyle w:val="ListNumber2"/>
        <w:numPr>
          <w:ilvl w:val="0"/>
          <w:numId w:val="25"/>
        </w:numPr>
      </w:pPr>
      <w:r w:rsidRPr="00594970">
        <w:t>Tables should be in one Excel workbook per entity</w:t>
      </w:r>
      <w:r w:rsidR="00D61671" w:rsidRPr="00594970">
        <w:t>.</w:t>
      </w:r>
    </w:p>
    <w:p w14:paraId="60D6D032" w14:textId="0C439998" w:rsidR="00F360D8" w:rsidRPr="00594970" w:rsidRDefault="00257A4F" w:rsidP="000137C6">
      <w:pPr>
        <w:pStyle w:val="ListNumber2"/>
      </w:pPr>
      <w:r w:rsidRPr="00594970">
        <w:t>Tables are presented as text and figures</w:t>
      </w:r>
      <w:r w:rsidR="00D61671" w:rsidRPr="00594970">
        <w:t>.</w:t>
      </w:r>
    </w:p>
    <w:p w14:paraId="26F7D9A7" w14:textId="18681B89" w:rsidR="00F360D8" w:rsidRPr="00594970" w:rsidRDefault="00257A4F" w:rsidP="000137C6">
      <w:pPr>
        <w:pStyle w:val="ListNumber2"/>
      </w:pPr>
      <w:r w:rsidRPr="00594970">
        <w:t>All cells should be copied and pasted as 'values', i.e. all formulas should be removed</w:t>
      </w:r>
      <w:r w:rsidR="00D61671" w:rsidRPr="00594970">
        <w:t>.</w:t>
      </w:r>
    </w:p>
    <w:p w14:paraId="7558CFB9" w14:textId="6CF51CE6" w:rsidR="00F360D8" w:rsidRPr="00594970" w:rsidRDefault="00F360D8" w:rsidP="000137C6">
      <w:pPr>
        <w:pStyle w:val="ListNumber2"/>
      </w:pPr>
      <w:r w:rsidRPr="00594970">
        <w:t>Links to other workbooks should be broken / removed and tables should be provided as text and figures, not as pictures</w:t>
      </w:r>
      <w:r w:rsidR="00D61671" w:rsidRPr="00594970">
        <w:t>.</w:t>
      </w:r>
    </w:p>
    <w:p w14:paraId="7D627556" w14:textId="1262A45C" w:rsidR="00F360D8" w:rsidRPr="00594970" w:rsidRDefault="00F360D8" w:rsidP="000137C6">
      <w:pPr>
        <w:pStyle w:val="ListNumber2"/>
      </w:pPr>
      <w:r w:rsidRPr="00594970">
        <w:t>All hidden and working sheets, as well as cell comments, should be removed</w:t>
      </w:r>
      <w:r w:rsidR="00D61671" w:rsidRPr="00594970">
        <w:t>.</w:t>
      </w:r>
    </w:p>
    <w:p w14:paraId="59DD5F57" w14:textId="6D481A30" w:rsidR="00F360D8" w:rsidRPr="00594970" w:rsidRDefault="00F360D8" w:rsidP="000137C6">
      <w:pPr>
        <w:pStyle w:val="ListNumber2"/>
      </w:pPr>
      <w:r w:rsidRPr="00594970">
        <w:t>All hidden rows and columns should be removed</w:t>
      </w:r>
      <w:r w:rsidR="00D61671" w:rsidRPr="00594970">
        <w:t>.</w:t>
      </w:r>
    </w:p>
    <w:p w14:paraId="2B9FCD95" w14:textId="02218932" w:rsidR="00F360D8" w:rsidRPr="00594970" w:rsidRDefault="00F360D8" w:rsidP="000137C6">
      <w:pPr>
        <w:pStyle w:val="ListNumber2"/>
      </w:pPr>
      <w:r w:rsidRPr="00594970">
        <w:lastRenderedPageBreak/>
        <w:t>All passwords should be removed from the files</w:t>
      </w:r>
      <w:r w:rsidR="00D61671" w:rsidRPr="00594970">
        <w:t>.</w:t>
      </w:r>
    </w:p>
    <w:p w14:paraId="63BE6243" w14:textId="73640308" w:rsidR="00F360D8" w:rsidRPr="00594970" w:rsidRDefault="00F360D8" w:rsidP="000137C6">
      <w:pPr>
        <w:pStyle w:val="ListNumber2"/>
      </w:pPr>
      <w:r w:rsidRPr="00594970">
        <w:t>Footnotes should be pasted as text below the relevant tables, not as pictures</w:t>
      </w:r>
      <w:r w:rsidR="00D61671" w:rsidRPr="00594970">
        <w:t>.</w:t>
      </w:r>
    </w:p>
    <w:p w14:paraId="23D178B7" w14:textId="1CC1C0BE" w:rsidR="00F360D8" w:rsidRPr="00594970" w:rsidRDefault="00F360D8" w:rsidP="000137C6">
      <w:pPr>
        <w:pStyle w:val="ListNumber2"/>
      </w:pPr>
      <w:r w:rsidRPr="00594970">
        <w:t>If required, updated files, as a result of a corrigendum, must be provided to Finance</w:t>
      </w:r>
      <w:r w:rsidR="00560D74" w:rsidRPr="00594970">
        <w:t>.</w:t>
      </w:r>
    </w:p>
    <w:p w14:paraId="2FF8729E" w14:textId="77777777" w:rsidR="00257A4F" w:rsidRPr="00594970" w:rsidRDefault="00257A4F" w:rsidP="008F1514">
      <w:r w:rsidRPr="00594970">
        <w:t>Finance will review the files and ensure they meet the above requirements and return files to Portfolios for</w:t>
      </w:r>
      <w:r w:rsidR="00260256" w:rsidRPr="00594970">
        <w:t xml:space="preserve"> immediate</w:t>
      </w:r>
      <w:r w:rsidRPr="00594970">
        <w:t xml:space="preserve"> amendment if required, prior to publication on </w:t>
      </w:r>
      <w:r w:rsidRPr="00594970">
        <w:rPr>
          <w:u w:val="single"/>
        </w:rPr>
        <w:t>data.gov.au</w:t>
      </w:r>
      <w:r w:rsidRPr="00594970">
        <w:t xml:space="preserve">.  </w:t>
      </w:r>
    </w:p>
    <w:p w14:paraId="7FB5B393" w14:textId="77777777" w:rsidR="00257A4F" w:rsidRPr="00594970" w:rsidRDefault="00257A4F" w:rsidP="008F1514">
      <w:r w:rsidRPr="00594970">
        <w:t>It is the portfolio departments’ responsibility to check the integrity of the data provided in each table and that it matches the published PAES.</w:t>
      </w:r>
    </w:p>
    <w:p w14:paraId="78B70563" w14:textId="30B0EDD4" w:rsidR="00257A4F" w:rsidRPr="00594970" w:rsidRDefault="00257A4F" w:rsidP="008F1514">
      <w:r w:rsidRPr="00594970">
        <w:t xml:space="preserve">For information on </w:t>
      </w:r>
      <w:r w:rsidRPr="00594970">
        <w:rPr>
          <w:u w:val="single"/>
        </w:rPr>
        <w:t>data.gov.au</w:t>
      </w:r>
      <w:r w:rsidRPr="00594970">
        <w:t xml:space="preserve"> or the Open Government initiative, please email </w:t>
      </w:r>
      <w:hyperlink r:id="rId39" w:history="1">
        <w:r w:rsidRPr="00594970">
          <w:rPr>
            <w:rStyle w:val="Hyperlink"/>
          </w:rPr>
          <w:t>data@pmc.gov.au</w:t>
        </w:r>
      </w:hyperlink>
      <w:r w:rsidRPr="00594970">
        <w:t>.</w:t>
      </w:r>
    </w:p>
    <w:p w14:paraId="1D0DF8B4" w14:textId="1125CA26" w:rsidR="00E07A2A" w:rsidRPr="00594970" w:rsidRDefault="00E07A2A" w:rsidP="00F31EC9">
      <w:pPr>
        <w:pStyle w:val="Heading2"/>
      </w:pPr>
      <w:bookmarkStart w:id="78" w:name="_Toc26963559"/>
      <w:r w:rsidRPr="00594970">
        <w:t>Use of ISBN/ISSN number</w:t>
      </w:r>
      <w:bookmarkEnd w:id="78"/>
    </w:p>
    <w:p w14:paraId="0C847BA1" w14:textId="5E259D2B" w:rsidR="00E07A2A" w:rsidRPr="00594970" w:rsidRDefault="00E07A2A" w:rsidP="008F1514">
      <w:r w:rsidRPr="00594970">
        <w:t xml:space="preserve">The ISSN number is for a full set of documents whilst the ISBN is for a partial set of documents. Not every portfolio is required to produce a PAES but </w:t>
      </w:r>
      <w:r w:rsidR="00544E58" w:rsidRPr="00594970">
        <w:t>all portfolios</w:t>
      </w:r>
      <w:r w:rsidRPr="00594970">
        <w:t xml:space="preserve"> are required to produce a PB</w:t>
      </w:r>
      <w:r w:rsidR="008043B7" w:rsidRPr="00594970">
        <w:t xml:space="preserve"> </w:t>
      </w:r>
      <w:r w:rsidRPr="00594970">
        <w:t>S</w:t>
      </w:r>
      <w:r w:rsidR="008043B7" w:rsidRPr="00594970">
        <w:t>tatements</w:t>
      </w:r>
      <w:r w:rsidRPr="00594970">
        <w:t xml:space="preserve"> as they require an annual appropriation. Therefore, ISBN is assigned for PAES and ISSN is assigned for PB</w:t>
      </w:r>
      <w:r w:rsidR="008043B7" w:rsidRPr="00594970">
        <w:t xml:space="preserve"> </w:t>
      </w:r>
      <w:r w:rsidRPr="00594970">
        <w:t>S</w:t>
      </w:r>
      <w:r w:rsidR="008043B7" w:rsidRPr="00594970">
        <w:t>tatements</w:t>
      </w:r>
      <w:r w:rsidRPr="00594970">
        <w:t>.</w:t>
      </w:r>
    </w:p>
    <w:p w14:paraId="3C8687BF" w14:textId="77777777" w:rsidR="00257A4F" w:rsidRPr="00594970" w:rsidRDefault="00257A4F">
      <w:pPr>
        <w:suppressAutoHyphens w:val="0"/>
        <w:spacing w:before="0" w:after="120" w:line="440" w:lineRule="atLeast"/>
      </w:pPr>
      <w:r w:rsidRPr="00594970">
        <w:br w:type="page"/>
      </w:r>
    </w:p>
    <w:p w14:paraId="1012794A" w14:textId="77777777" w:rsidR="00257A4F" w:rsidRPr="00594970" w:rsidRDefault="00996E28" w:rsidP="004A02E5">
      <w:pPr>
        <w:pStyle w:val="Heading1Numbered"/>
      </w:pPr>
      <w:bookmarkStart w:id="79" w:name="_bookmark25"/>
      <w:bookmarkStart w:id="80" w:name="_Toc26963560"/>
      <w:bookmarkEnd w:id="79"/>
      <w:r w:rsidRPr="00594970">
        <w:lastRenderedPageBreak/>
        <w:t xml:space="preserve">Section 1 - </w:t>
      </w:r>
      <w:r w:rsidR="00257A4F" w:rsidRPr="00594970">
        <w:t>Portfolio Overview</w:t>
      </w:r>
      <w:bookmarkEnd w:id="80"/>
    </w:p>
    <w:p w14:paraId="2FC3C9A0" w14:textId="77777777" w:rsidR="00EC06A8" w:rsidRPr="00594970" w:rsidRDefault="00EC06A8" w:rsidP="008F1514">
      <w:r w:rsidRPr="00594970">
        <w:t>The Portfolio Overview section is compulsory for entities to include as part of PAES and must present a clear picture to Pa</w:t>
      </w:r>
      <w:r w:rsidR="00260256" w:rsidRPr="00594970">
        <w:t>rliament of the changes at the p</w:t>
      </w:r>
      <w:r w:rsidRPr="00594970">
        <w:t>ortfolio level, since Budget.</w:t>
      </w:r>
    </w:p>
    <w:p w14:paraId="051ACC61" w14:textId="77777777" w:rsidR="00EC06A8" w:rsidRPr="00594970" w:rsidRDefault="00EC06A8" w:rsidP="008F1514">
      <w:r w:rsidRPr="00594970">
        <w:t>A brief overview, significant variations and measures across the portfolio should also be included, along with the portfolio structure and outcomes diagram (Figure 1).</w:t>
      </w:r>
    </w:p>
    <w:p w14:paraId="701F6320" w14:textId="5144919B" w:rsidR="00EC06A8" w:rsidRPr="00594970" w:rsidRDefault="00EC06A8" w:rsidP="00184F37">
      <w:pPr>
        <w:pStyle w:val="ListBullet2"/>
        <w:rPr>
          <w:u w:val="single"/>
        </w:rPr>
      </w:pPr>
      <w:r w:rsidRPr="00594970">
        <w:rPr>
          <w:u w:val="single"/>
        </w:rPr>
        <w:t>Components of the Portfolio Overview</w:t>
      </w:r>
    </w:p>
    <w:p w14:paraId="7F2AC42C" w14:textId="77777777" w:rsidR="00EC06A8" w:rsidRPr="00594970" w:rsidRDefault="00EC06A8" w:rsidP="008F1514">
      <w:pPr>
        <w:pStyle w:val="ListBullet2"/>
      </w:pPr>
      <w:r w:rsidRPr="00594970">
        <w:t>Portfolio Overview (Minister and Portfolio responsibilities)</w:t>
      </w:r>
    </w:p>
    <w:p w14:paraId="26B4CE70" w14:textId="77777777" w:rsidR="00EC06A8" w:rsidRPr="00594970" w:rsidRDefault="00EC06A8" w:rsidP="008F1514">
      <w:pPr>
        <w:pStyle w:val="ListBullet2"/>
      </w:pPr>
      <w:r w:rsidRPr="00594970">
        <w:t>Portfolio Structure and Outcomes</w:t>
      </w:r>
    </w:p>
    <w:p w14:paraId="01605B4F" w14:textId="77777777" w:rsidR="00EC06A8" w:rsidRPr="00594970" w:rsidRDefault="00EC06A8" w:rsidP="008F1514">
      <w:pPr>
        <w:pStyle w:val="ListBullet2"/>
      </w:pPr>
      <w:r w:rsidRPr="00594970">
        <w:t>Figure 1: Portfolio Structure and Outcomes</w:t>
      </w:r>
    </w:p>
    <w:p w14:paraId="34028883" w14:textId="77777777" w:rsidR="00EC06A8" w:rsidRPr="00594970" w:rsidRDefault="00EC06A8" w:rsidP="008F1514">
      <w:r w:rsidRPr="00594970">
        <w:t>The Portfolio Overview section provides the reader with an overview of the portfolio and its entities, and variations since Budget at a strategic and high level. Specifics should be left to the relevant entity’s section.</w:t>
      </w:r>
    </w:p>
    <w:p w14:paraId="75A4B837" w14:textId="550E0BF0" w:rsidR="00EC06A8" w:rsidRPr="00594970" w:rsidRDefault="00EC06A8" w:rsidP="008F1514">
      <w:r w:rsidRPr="00594970">
        <w:t>Any significant changes to the Portfolio’s environment or its responsibilities since</w:t>
      </w:r>
      <w:r w:rsidRPr="00594970">
        <w:rPr>
          <w:rFonts w:ascii="Cambria" w:eastAsia="Cambria" w:hAnsi="Cambria" w:cs="Times New Roman"/>
        </w:rPr>
        <w:t xml:space="preserve"> </w:t>
      </w:r>
      <w:r w:rsidRPr="00594970">
        <w:t xml:space="preserve">the </w:t>
      </w:r>
      <w:r w:rsidR="00642D25" w:rsidRPr="00594970">
        <w:br/>
      </w:r>
      <w:r w:rsidR="004568AF" w:rsidRPr="00594970">
        <w:t>2019-20</w:t>
      </w:r>
      <w:r w:rsidRPr="00594970">
        <w:t xml:space="preserve"> Budget which are being funded through Appropriations Bills 3 and 4 should also be outlined here, including new entities as covered by the PGPA Act 2013 or any outcome changes.</w:t>
      </w:r>
    </w:p>
    <w:p w14:paraId="4B3C09BF" w14:textId="14D5FB26" w:rsidR="00EC06A8" w:rsidRPr="00594970" w:rsidRDefault="00EC06A8" w:rsidP="008F1514">
      <w:r w:rsidRPr="00594970">
        <w:t xml:space="preserve">Entities should also include a link to the Portfolio Overview included in their PB Statement along the lines of: ‘A full outline of the </w:t>
      </w:r>
      <w:proofErr w:type="spellStart"/>
      <w:r w:rsidRPr="00594970">
        <w:t>xxxxx’s</w:t>
      </w:r>
      <w:proofErr w:type="spellEnd"/>
      <w:r w:rsidRPr="00594970">
        <w:t xml:space="preserve"> Portfolio Overview can be found in the </w:t>
      </w:r>
      <w:r w:rsidR="004568AF" w:rsidRPr="00594970">
        <w:t>2019-20</w:t>
      </w:r>
      <w:r w:rsidRPr="00594970">
        <w:t xml:space="preserve"> Portfolio Budget Statement.</w:t>
      </w:r>
    </w:p>
    <w:tbl>
      <w:tblPr>
        <w:tblStyle w:val="TableGrid"/>
        <w:tblW w:w="0" w:type="auto"/>
        <w:tblLook w:val="04A0" w:firstRow="1" w:lastRow="0" w:firstColumn="1" w:lastColumn="0" w:noHBand="0" w:noVBand="1"/>
      </w:tblPr>
      <w:tblGrid>
        <w:gridCol w:w="9060"/>
      </w:tblGrid>
      <w:tr w:rsidR="00EC06A8" w:rsidRPr="00594970" w14:paraId="7DBC60A7" w14:textId="77777777" w:rsidTr="00EC06A8">
        <w:tc>
          <w:tcPr>
            <w:tcW w:w="9060" w:type="dxa"/>
            <w:shd w:val="clear" w:color="auto" w:fill="DDF3FA"/>
          </w:tcPr>
          <w:p w14:paraId="35AFFD05" w14:textId="77777777" w:rsidR="00EC06A8" w:rsidRPr="00594970" w:rsidRDefault="00EC06A8" w:rsidP="00EC06A8">
            <w:r w:rsidRPr="00594970">
              <w:t>When updating this section refer to:</w:t>
            </w:r>
          </w:p>
          <w:p w14:paraId="3B8A776B" w14:textId="77777777" w:rsidR="00EC06A8" w:rsidRPr="00594970" w:rsidRDefault="00EC06A8" w:rsidP="007054A1">
            <w:pPr>
              <w:pStyle w:val="ListBullet2"/>
            </w:pPr>
            <w:r w:rsidRPr="00594970">
              <w:t>Recent or significant announcements or policy decisions taken since Budget;</w:t>
            </w:r>
          </w:p>
          <w:p w14:paraId="4A140C1A" w14:textId="77777777" w:rsidR="00EC06A8" w:rsidRPr="00594970" w:rsidRDefault="00EC06A8" w:rsidP="007054A1">
            <w:pPr>
              <w:pStyle w:val="ListBullet2"/>
            </w:pPr>
            <w:r w:rsidRPr="00594970">
              <w:t>Ministerial Statements by Portfolio Minister;</w:t>
            </w:r>
          </w:p>
          <w:p w14:paraId="7E211F2D" w14:textId="77777777" w:rsidR="00EC06A8" w:rsidRPr="00594970" w:rsidRDefault="00EC06A8" w:rsidP="007054A1">
            <w:pPr>
              <w:pStyle w:val="ListBullet2"/>
            </w:pPr>
            <w:r w:rsidRPr="00594970">
              <w:t>Major new government policy or legislation affecting the portfolio and the intended results and impacts; and</w:t>
            </w:r>
          </w:p>
          <w:p w14:paraId="57B60A77" w14:textId="77777777" w:rsidR="00EC06A8" w:rsidRPr="00594970" w:rsidRDefault="00EC06A8" w:rsidP="007054A1">
            <w:pPr>
              <w:pStyle w:val="ListBullet2"/>
            </w:pPr>
            <w:r w:rsidRPr="00594970">
              <w:t>Any similar information disclosed in the previous Annual Report.</w:t>
            </w:r>
          </w:p>
        </w:tc>
      </w:tr>
    </w:tbl>
    <w:p w14:paraId="3ED4D650" w14:textId="77777777" w:rsidR="00EC06A8" w:rsidRPr="00594970" w:rsidRDefault="00EC06A8" w:rsidP="00F31EC9">
      <w:pPr>
        <w:pStyle w:val="Heading2"/>
      </w:pPr>
      <w:bookmarkStart w:id="81" w:name="Portfolio_Structure_and_Outcomes"/>
      <w:bookmarkStart w:id="82" w:name="_bookmark26"/>
      <w:bookmarkStart w:id="83" w:name="_Toc26963561"/>
      <w:bookmarkEnd w:id="81"/>
      <w:bookmarkEnd w:id="82"/>
      <w:r w:rsidRPr="00594970">
        <w:t>Portfolio Structure and Outcomes</w:t>
      </w:r>
      <w:bookmarkEnd w:id="83"/>
    </w:p>
    <w:p w14:paraId="062E876B" w14:textId="77777777" w:rsidR="00EC06A8" w:rsidRPr="00594970" w:rsidRDefault="00EC06A8" w:rsidP="00026D6D">
      <w:r w:rsidRPr="00594970">
        <w:t>The template for this figure can be found in the “Figure 1” tab of the Excel Tables workbook (available from CBMS User Reference Material in CBMS).</w:t>
      </w:r>
    </w:p>
    <w:p w14:paraId="420DCADE" w14:textId="092049E7" w:rsidR="00EC06A8" w:rsidRPr="00594970" w:rsidRDefault="00EC06A8" w:rsidP="00026D6D">
      <w:r w:rsidRPr="00594970">
        <w:t xml:space="preserve">This figure </w:t>
      </w:r>
      <w:r w:rsidR="00260256" w:rsidRPr="00594970">
        <w:t xml:space="preserve">is to provide the reader with a diagrammatic presentation of the portfolio structure and the responsible Minister(s). </w:t>
      </w:r>
      <w:r w:rsidRPr="00594970">
        <w:t>It should clearly indicate the names and titles of the Ministers, the portfolio department(s) and Secretary, and the other portfolio entities and their Chief Executive Officers (CEOs), as well as the outc</w:t>
      </w:r>
      <w:r w:rsidR="00026D6D" w:rsidRPr="00594970">
        <w:t>ome statements for each entity.</w:t>
      </w:r>
    </w:p>
    <w:p w14:paraId="262C8CED" w14:textId="77777777" w:rsidR="00EC06A8" w:rsidRPr="00594970" w:rsidRDefault="00EC06A8" w:rsidP="00026D6D">
      <w:r w:rsidRPr="00594970">
        <w:t>The diagram provides readers with a single glance view of the portfolio’s outcomes and the most senior responsible officials by entity, whether they are Secretaries, CEOs, Commissioners, Chairs, etc.</w:t>
      </w:r>
    </w:p>
    <w:p w14:paraId="6735D6F0" w14:textId="77777777" w:rsidR="00EC06A8" w:rsidRPr="00594970" w:rsidRDefault="00EC06A8" w:rsidP="00026D6D">
      <w:r w:rsidRPr="00594970">
        <w:lastRenderedPageBreak/>
        <w:t>Non-corporate Commonwealth entities, corporate Commonwealth entities and Commonwealth companies in the General Government Sector are to be included.</w:t>
      </w:r>
    </w:p>
    <w:p w14:paraId="2D800C4D" w14:textId="632D8CD7" w:rsidR="00EC06A8" w:rsidRPr="00594970" w:rsidRDefault="00EC06A8" w:rsidP="005C2636">
      <w:pPr>
        <w:rPr>
          <w:rFonts w:cstheme="minorHAnsi"/>
          <w:i/>
        </w:rPr>
      </w:pPr>
      <w:r w:rsidRPr="00594970">
        <w:rPr>
          <w:rFonts w:cstheme="minorHAnsi"/>
          <w:b/>
          <w:i/>
        </w:rPr>
        <w:t>Important Note:</w:t>
      </w:r>
      <w:r w:rsidRPr="00594970">
        <w:rPr>
          <w:rFonts w:eastAsia="Cambria" w:cstheme="minorHAnsi"/>
          <w:i/>
        </w:rPr>
        <w:t xml:space="preserve"> </w:t>
      </w:r>
      <w:r w:rsidRPr="00594970">
        <w:rPr>
          <w:rFonts w:cstheme="minorHAnsi"/>
          <w:i/>
        </w:rPr>
        <w:t xml:space="preserve"> </w:t>
      </w:r>
      <w:r w:rsidRPr="00594970">
        <w:rPr>
          <w:rFonts w:eastAsia="Cambria" w:cstheme="minorHAnsi"/>
          <w:i/>
        </w:rPr>
        <w:t xml:space="preserve">Entities are to report their Outcomes Statements as they appeared in their </w:t>
      </w:r>
      <w:r w:rsidR="004568AF" w:rsidRPr="00594970">
        <w:rPr>
          <w:rFonts w:cstheme="minorHAnsi"/>
          <w:i/>
        </w:rPr>
        <w:t>2019-20</w:t>
      </w:r>
      <w:r w:rsidRPr="00594970">
        <w:rPr>
          <w:rFonts w:eastAsia="Cambria" w:cstheme="minorHAnsi"/>
          <w:i/>
        </w:rPr>
        <w:t xml:space="preserve"> PB Statements, unless the Outcomes have changed by either approval of the Finance Minister or through a MOG. This ensures consistency of reporting through the</w:t>
      </w:r>
      <w:r w:rsidRPr="00594970">
        <w:rPr>
          <w:rFonts w:cstheme="minorHAnsi"/>
          <w:i/>
        </w:rPr>
        <w:t xml:space="preserve"> </w:t>
      </w:r>
      <w:r w:rsidR="00642D25" w:rsidRPr="00594970">
        <w:rPr>
          <w:rFonts w:cstheme="minorHAnsi"/>
          <w:i/>
        </w:rPr>
        <w:br/>
      </w:r>
      <w:r w:rsidR="004568AF" w:rsidRPr="00594970">
        <w:rPr>
          <w:rFonts w:cstheme="minorHAnsi"/>
          <w:i/>
        </w:rPr>
        <w:t>2019-20</w:t>
      </w:r>
      <w:r w:rsidRPr="00594970">
        <w:rPr>
          <w:rFonts w:cstheme="minorHAnsi"/>
          <w:i/>
        </w:rPr>
        <w:t xml:space="preserve"> Budget year and consistency between the PAES and Outcomes listed in the Appropriation Bills for Additional Estimates. Where there are approved changes, entities should ensure changes are reflected appropriately in their PAES by way of explanatory footnotes.</w:t>
      </w:r>
    </w:p>
    <w:p w14:paraId="7C2070ED" w14:textId="77777777" w:rsidR="00EC06A8" w:rsidRPr="00594970" w:rsidRDefault="00EC06A8">
      <w:pPr>
        <w:suppressAutoHyphens w:val="0"/>
        <w:spacing w:before="0" w:after="120" w:line="440" w:lineRule="atLeast"/>
      </w:pPr>
      <w:r w:rsidRPr="00594970">
        <w:br w:type="page"/>
      </w:r>
    </w:p>
    <w:p w14:paraId="039935CD" w14:textId="44835343" w:rsidR="00EC06A8" w:rsidRPr="00594970" w:rsidRDefault="00EC06A8" w:rsidP="00F31EC9">
      <w:pPr>
        <w:pStyle w:val="Heading1Numbered"/>
        <w:rPr>
          <w:rFonts w:eastAsia="Times New Roman"/>
        </w:rPr>
      </w:pPr>
      <w:bookmarkStart w:id="84" w:name="Entity_Outcomes_and_Planned_Performance"/>
      <w:bookmarkStart w:id="85" w:name="_bookmark27"/>
      <w:bookmarkStart w:id="86" w:name="_Toc26963562"/>
      <w:bookmarkEnd w:id="84"/>
      <w:bookmarkEnd w:id="85"/>
      <w:r w:rsidRPr="00594970">
        <w:rPr>
          <w:rFonts w:eastAsia="Times New Roman"/>
        </w:rPr>
        <w:lastRenderedPageBreak/>
        <w:t xml:space="preserve">Entity </w:t>
      </w:r>
      <w:r w:rsidRPr="00594970">
        <w:t>Outcomes</w:t>
      </w:r>
      <w:r w:rsidRPr="00594970">
        <w:rPr>
          <w:rFonts w:eastAsia="Times New Roman"/>
        </w:rPr>
        <w:t xml:space="preserve"> and Planned Performance</w:t>
      </w:r>
      <w:bookmarkEnd w:id="86"/>
    </w:p>
    <w:p w14:paraId="68B19C03" w14:textId="10954704" w:rsidR="00EC06A8" w:rsidRPr="00594970" w:rsidRDefault="0031433C" w:rsidP="00F31EC9">
      <w:pPr>
        <w:pStyle w:val="Heading2"/>
      </w:pPr>
      <w:bookmarkStart w:id="87" w:name="_bookmark28"/>
      <w:bookmarkStart w:id="88" w:name="_Toc26963563"/>
      <w:bookmarkEnd w:id="87"/>
      <w:r w:rsidRPr="00594970">
        <w:t>Section</w:t>
      </w:r>
      <w:r w:rsidRPr="00594970">
        <w:rPr>
          <w:rFonts w:eastAsia="Times New Roman"/>
        </w:rPr>
        <w:t xml:space="preserve"> 1: Entity </w:t>
      </w:r>
      <w:r w:rsidR="003F7CAA" w:rsidRPr="00594970">
        <w:rPr>
          <w:rFonts w:eastAsia="Times New Roman"/>
        </w:rPr>
        <w:t>O</w:t>
      </w:r>
      <w:r w:rsidRPr="00594970">
        <w:rPr>
          <w:rFonts w:eastAsia="Times New Roman"/>
        </w:rPr>
        <w:t xml:space="preserve">verview and </w:t>
      </w:r>
      <w:r w:rsidR="003F7CAA" w:rsidRPr="00594970">
        <w:rPr>
          <w:rFonts w:eastAsia="Times New Roman"/>
        </w:rPr>
        <w:t>R</w:t>
      </w:r>
      <w:r w:rsidR="00EC06A8" w:rsidRPr="00594970">
        <w:rPr>
          <w:rFonts w:eastAsia="Times New Roman"/>
        </w:rPr>
        <w:t>esources</w:t>
      </w:r>
      <w:bookmarkEnd w:id="88"/>
    </w:p>
    <w:p w14:paraId="00BB170E" w14:textId="77777777" w:rsidR="00EC06A8" w:rsidRPr="00594970" w:rsidRDefault="00EC06A8" w:rsidP="005C2636">
      <w:r w:rsidRPr="00594970">
        <w:t>The Entity Overview and Resources section is to articulate a complete picture of each entity’s strategic direction and resources at additional estimates.</w:t>
      </w:r>
    </w:p>
    <w:p w14:paraId="24702025" w14:textId="77777777" w:rsidR="00EC06A8" w:rsidRPr="00594970" w:rsidRDefault="00EC06A8" w:rsidP="005C2636">
      <w:r w:rsidRPr="00594970">
        <w:t>The section contains five components: the Strategic Direction Statement, the Entity Resource Statement, Entity Measures Table, Additional Estimates and Variations, and Breakdown of Additional Estimates by Appropriation Bill. Together these sections link entity strategy with the resources available.</w:t>
      </w:r>
    </w:p>
    <w:p w14:paraId="422CB986" w14:textId="77777777" w:rsidR="00EC06A8" w:rsidRPr="00594970" w:rsidRDefault="0031433C" w:rsidP="005C2636">
      <w:pPr>
        <w:rPr>
          <w:u w:val="single"/>
        </w:rPr>
      </w:pPr>
      <w:r w:rsidRPr="00594970">
        <w:rPr>
          <w:u w:val="single"/>
        </w:rPr>
        <w:t xml:space="preserve">Parts of Section 1: Entity </w:t>
      </w:r>
      <w:r w:rsidR="003F7CAA" w:rsidRPr="00594970">
        <w:rPr>
          <w:u w:val="single"/>
        </w:rPr>
        <w:t>o</w:t>
      </w:r>
      <w:r w:rsidRPr="00594970">
        <w:rPr>
          <w:u w:val="single"/>
        </w:rPr>
        <w:t>verview and r</w:t>
      </w:r>
      <w:r w:rsidR="00EC06A8" w:rsidRPr="00594970">
        <w:rPr>
          <w:u w:val="single"/>
        </w:rPr>
        <w:t>esources</w:t>
      </w:r>
    </w:p>
    <w:p w14:paraId="5BFAA185" w14:textId="77777777" w:rsidR="00EC06A8" w:rsidRPr="00594970" w:rsidRDefault="00EC06A8" w:rsidP="00184F37">
      <w:pPr>
        <w:pStyle w:val="ListBullet2"/>
      </w:pPr>
      <w:r w:rsidRPr="00594970">
        <w:t>Strategic Direction</w:t>
      </w:r>
      <w:r w:rsidR="0031433C" w:rsidRPr="00594970">
        <w:t xml:space="preserve"> Statement</w:t>
      </w:r>
    </w:p>
    <w:p w14:paraId="39134B27" w14:textId="77777777" w:rsidR="00EC06A8" w:rsidRPr="00594970" w:rsidRDefault="00EC06A8" w:rsidP="00184F37">
      <w:pPr>
        <w:pStyle w:val="ListBullet2"/>
      </w:pPr>
      <w:r w:rsidRPr="00594970">
        <w:t>1.2 Entity Resource Statement</w:t>
      </w:r>
    </w:p>
    <w:p w14:paraId="36DD7889" w14:textId="77777777" w:rsidR="00EC06A8" w:rsidRPr="00594970" w:rsidRDefault="00EC06A8" w:rsidP="00184F37">
      <w:pPr>
        <w:ind w:left="1440"/>
      </w:pPr>
      <w:r w:rsidRPr="00594970">
        <w:t>(Table 1.1: Entity Resource Statement)</w:t>
      </w:r>
    </w:p>
    <w:p w14:paraId="6965E59A" w14:textId="77777777" w:rsidR="00EC06A8" w:rsidRPr="00594970" w:rsidRDefault="00EC06A8" w:rsidP="00184F37">
      <w:pPr>
        <w:pStyle w:val="ListBullet2"/>
      </w:pPr>
      <w:r w:rsidRPr="00594970">
        <w:t>1.3 Entity Measure Table</w:t>
      </w:r>
    </w:p>
    <w:p w14:paraId="2421438E" w14:textId="77777777" w:rsidR="00EC06A8" w:rsidRPr="00594970" w:rsidRDefault="00EC06A8" w:rsidP="00184F37">
      <w:pPr>
        <w:ind w:left="1440"/>
      </w:pPr>
      <w:r w:rsidRPr="00594970">
        <w:t>(Table 1.2: Measures Table)</w:t>
      </w:r>
    </w:p>
    <w:p w14:paraId="2B295583" w14:textId="7F43470E" w:rsidR="00EC06A8" w:rsidRPr="00594970" w:rsidRDefault="00EC06A8" w:rsidP="00184F37">
      <w:pPr>
        <w:pStyle w:val="ListBullet2"/>
      </w:pPr>
      <w:r w:rsidRPr="00594970">
        <w:t>1.4 Additional estimates, resourci</w:t>
      </w:r>
      <w:r w:rsidR="00A003F7" w:rsidRPr="00594970">
        <w:t xml:space="preserve">ng and variations since the </w:t>
      </w:r>
      <w:r w:rsidR="00B770EC" w:rsidRPr="00594970">
        <w:t>2019-20</w:t>
      </w:r>
      <w:r w:rsidRPr="00594970">
        <w:t xml:space="preserve"> Budget </w:t>
      </w:r>
    </w:p>
    <w:p w14:paraId="6BC23B88" w14:textId="77777777" w:rsidR="00EC06A8" w:rsidRPr="00594970" w:rsidRDefault="00EC06A8" w:rsidP="00184F37">
      <w:pPr>
        <w:ind w:left="1440"/>
      </w:pPr>
      <w:r w:rsidRPr="00594970">
        <w:t>(Table 1.3: Variations to Appropriations)</w:t>
      </w:r>
    </w:p>
    <w:p w14:paraId="1572D269" w14:textId="77777777" w:rsidR="00EC06A8" w:rsidRPr="00594970" w:rsidRDefault="00EC06A8" w:rsidP="00184F37">
      <w:pPr>
        <w:pStyle w:val="ListBullet2"/>
      </w:pPr>
      <w:r w:rsidRPr="00594970">
        <w:t>1.5 Breakdown of Additional Estimates by Appropriation Bill</w:t>
      </w:r>
    </w:p>
    <w:p w14:paraId="77FE509A" w14:textId="77777777" w:rsidR="00EC06A8" w:rsidRPr="00594970" w:rsidRDefault="00EC06A8" w:rsidP="00184F37">
      <w:pPr>
        <w:ind w:left="1440"/>
      </w:pPr>
      <w:r w:rsidRPr="00594970">
        <w:t>(Table 1.4: Appropriation Bill (No. 3))</w:t>
      </w:r>
    </w:p>
    <w:p w14:paraId="78E5A2EE" w14:textId="77777777" w:rsidR="00107215" w:rsidRPr="00594970" w:rsidRDefault="00EC06A8" w:rsidP="00184F37">
      <w:pPr>
        <w:ind w:left="1440"/>
      </w:pPr>
      <w:r w:rsidRPr="00594970">
        <w:t>(Table 1.5: Appropriation Bill (No. 4))</w:t>
      </w:r>
    </w:p>
    <w:p w14:paraId="05CE5857" w14:textId="77777777" w:rsidR="00107215" w:rsidRPr="00594970" w:rsidRDefault="00107215" w:rsidP="00F31EC9">
      <w:pPr>
        <w:pStyle w:val="Heading2"/>
      </w:pPr>
      <w:bookmarkStart w:id="89" w:name="Strategic_Direction_Statement"/>
      <w:bookmarkStart w:id="90" w:name="_bookmark29"/>
      <w:bookmarkStart w:id="91" w:name="_Toc26963564"/>
      <w:bookmarkEnd w:id="89"/>
      <w:bookmarkEnd w:id="90"/>
      <w:r w:rsidRPr="00594970">
        <w:t>Strategic Direction Statement</w:t>
      </w:r>
      <w:bookmarkEnd w:id="91"/>
    </w:p>
    <w:p w14:paraId="581FAD36" w14:textId="77777777" w:rsidR="00107215" w:rsidRPr="00594970" w:rsidRDefault="00107215" w:rsidP="005C2636">
      <w:r w:rsidRPr="00594970">
        <w:t xml:space="preserve">The Strategic Direction Statement should update the entity’s goals as at Additional Estimates, noting any </w:t>
      </w:r>
      <w:r w:rsidR="0031433C" w:rsidRPr="00594970">
        <w:t xml:space="preserve">key </w:t>
      </w:r>
      <w:r w:rsidRPr="00594970">
        <w:t xml:space="preserve">variations </w:t>
      </w:r>
      <w:r w:rsidR="0031433C" w:rsidRPr="00594970">
        <w:t xml:space="preserve">since </w:t>
      </w:r>
      <w:r w:rsidRPr="00594970">
        <w:t>the Budget.  The statement, in accord with the statement authored at Budget, is to set the course for the entity for the remainder of the financial year, identifying any new functions or measures allocated to the entity, and any significant challenges which will impact on the entity’s performance against its outcome over the year.</w:t>
      </w:r>
    </w:p>
    <w:p w14:paraId="5244E5E1" w14:textId="77777777" w:rsidR="00107215" w:rsidRPr="00594970" w:rsidRDefault="00107215" w:rsidP="005C2636">
      <w:r w:rsidRPr="00594970">
        <w:t xml:space="preserve">These strategies can be drawn from: </w:t>
      </w:r>
    </w:p>
    <w:p w14:paraId="3833CCD8" w14:textId="5309E20A" w:rsidR="00107215" w:rsidRPr="00594970" w:rsidRDefault="00107215" w:rsidP="00184F37">
      <w:pPr>
        <w:pStyle w:val="ListBullet2"/>
      </w:pPr>
      <w:r w:rsidRPr="00594970">
        <w:t xml:space="preserve">Updated entity business plans and performance goals for the year </w:t>
      </w:r>
    </w:p>
    <w:p w14:paraId="364647B9" w14:textId="2F1BE421" w:rsidR="00107215" w:rsidRPr="00594970" w:rsidRDefault="00107215" w:rsidP="00184F37">
      <w:pPr>
        <w:pStyle w:val="ListBullet2"/>
      </w:pPr>
      <w:r w:rsidRPr="00594970">
        <w:t>Recent Ministerial Statements about the entity’s agenda</w:t>
      </w:r>
    </w:p>
    <w:p w14:paraId="413A4219" w14:textId="40F4883F" w:rsidR="00107215" w:rsidRPr="00594970" w:rsidRDefault="00107215" w:rsidP="00184F37">
      <w:pPr>
        <w:pStyle w:val="ListBullet2"/>
      </w:pPr>
      <w:r w:rsidRPr="00594970">
        <w:t>Significant Additional Estimates measure packages affecting the entity</w:t>
      </w:r>
    </w:p>
    <w:p w14:paraId="1BF81DDD" w14:textId="77777777" w:rsidR="00107215" w:rsidRPr="00594970" w:rsidRDefault="00107215" w:rsidP="005C2636"/>
    <w:p w14:paraId="189E5A2A" w14:textId="77777777" w:rsidR="00107215" w:rsidRPr="00594970" w:rsidRDefault="00107215" w:rsidP="00184F37">
      <w:r w:rsidRPr="00594970">
        <w:lastRenderedPageBreak/>
        <w:t>Where an entity only has minimal changes due to additional esti</w:t>
      </w:r>
      <w:r w:rsidR="0031433C" w:rsidRPr="00594970">
        <w:t xml:space="preserve">mates, the Strategic Direction </w:t>
      </w:r>
      <w:r w:rsidR="003F7CAA" w:rsidRPr="00594970">
        <w:t>S</w:t>
      </w:r>
      <w:r w:rsidRPr="00594970">
        <w:t>tatement should be brief but is still required to be included for PAES, as a change has been made.</w:t>
      </w:r>
    </w:p>
    <w:p w14:paraId="0DF5BD8D" w14:textId="001BA5B1" w:rsidR="00107215" w:rsidRPr="00594970" w:rsidRDefault="00107215" w:rsidP="00184F37">
      <w:r w:rsidRPr="00594970">
        <w:t xml:space="preserve">Entities should also include a link back to the Strategic Direction Statement included in their PB Statement along the lines of: ‘A full outline of </w:t>
      </w:r>
      <w:proofErr w:type="spellStart"/>
      <w:r w:rsidRPr="00594970">
        <w:t>xxxxx’s</w:t>
      </w:r>
      <w:proofErr w:type="spellEnd"/>
      <w:r w:rsidRPr="00594970">
        <w:t xml:space="preserve"> Strategic Di</w:t>
      </w:r>
      <w:r w:rsidR="00A003F7" w:rsidRPr="00594970">
        <w:t xml:space="preserve">rection can be found in the </w:t>
      </w:r>
      <w:r w:rsidR="00B770EC" w:rsidRPr="00594970">
        <w:t>2019-20</w:t>
      </w:r>
      <w:r w:rsidRPr="00594970">
        <w:t xml:space="preserve"> PB Statements.’</w:t>
      </w:r>
    </w:p>
    <w:p w14:paraId="277577DB" w14:textId="77777777" w:rsidR="00107215" w:rsidRPr="00594970" w:rsidRDefault="00107215" w:rsidP="00184F37">
      <w:r w:rsidRPr="00594970">
        <w:t>Entities should keep the Strategic Direction Statement to 1-2 pages.</w:t>
      </w:r>
    </w:p>
    <w:p w14:paraId="3CFA21F2" w14:textId="77777777" w:rsidR="00107215" w:rsidRPr="00594970" w:rsidRDefault="00107215" w:rsidP="00F31EC9">
      <w:pPr>
        <w:pStyle w:val="Heading2"/>
      </w:pPr>
      <w:bookmarkStart w:id="92" w:name="Entity_Resource_Statement"/>
      <w:bookmarkStart w:id="93" w:name="_bookmark30"/>
      <w:bookmarkStart w:id="94" w:name="_Toc26963565"/>
      <w:bookmarkEnd w:id="92"/>
      <w:bookmarkEnd w:id="93"/>
      <w:r w:rsidRPr="00594970">
        <w:t>Entity Resource Statement</w:t>
      </w:r>
      <w:bookmarkEnd w:id="94"/>
    </w:p>
    <w:p w14:paraId="62F51847" w14:textId="5B5F199D" w:rsidR="00107215" w:rsidRPr="00594970" w:rsidRDefault="00107215" w:rsidP="005C2636">
      <w:r w:rsidRPr="00594970">
        <w:t>The template for this table can be found in the ‘Table 1.1” tab of the Excel Tables workbook (available from CBMS User Reference Material in CBMS). There is a template for non-corporate Commonwealth entities and a template for corporate Commonwealth entities and Commonwealth companies.</w:t>
      </w:r>
    </w:p>
    <w:p w14:paraId="6FB1540D" w14:textId="77777777" w:rsidR="00107215" w:rsidRPr="00594970" w:rsidRDefault="00107215" w:rsidP="005C2636">
      <w:r w:rsidRPr="00594970">
        <w:t xml:space="preserve">The Entity Resource Statement consolidates </w:t>
      </w:r>
      <w:r w:rsidRPr="00594970">
        <w:rPr>
          <w:u w:val="single"/>
        </w:rPr>
        <w:t>all the resources available to the entity over the Budget year</w:t>
      </w:r>
      <w:r w:rsidRPr="00594970">
        <w:t xml:space="preserve"> in a single table, including the total estimate at Budget and any variations or additional estimates since the </w:t>
      </w:r>
      <w:r w:rsidR="003F7CAA" w:rsidRPr="00594970">
        <w:t>publication of the PB Statement</w:t>
      </w:r>
      <w:r w:rsidRPr="00594970">
        <w:t>. It provides a breakdown of these resources by funding source, and includes undrawn and unspent amounts from prior years as well as the balances of special accounts, but excludes amounts subject to quarantine or reduction.</w:t>
      </w:r>
    </w:p>
    <w:p w14:paraId="00F26505" w14:textId="77777777" w:rsidR="00107215" w:rsidRPr="00594970" w:rsidRDefault="00107215" w:rsidP="005C2636">
      <w:r w:rsidRPr="00594970">
        <w:t>The table also provides:</w:t>
      </w:r>
    </w:p>
    <w:p w14:paraId="6E1A32AD" w14:textId="77777777" w:rsidR="00107215" w:rsidRPr="00594970" w:rsidRDefault="00107215" w:rsidP="00184F37">
      <w:pPr>
        <w:pStyle w:val="ListBullet2"/>
      </w:pPr>
      <w:r w:rsidRPr="00594970">
        <w:t>The balances and estimated receipts of Special Accounts to increase the transparency of entity resources and to fully demonstrate all available resources.</w:t>
      </w:r>
    </w:p>
    <w:p w14:paraId="7E170A16" w14:textId="77777777" w:rsidR="00107215" w:rsidRPr="00594970" w:rsidRDefault="003F7CAA" w:rsidP="00184F37">
      <w:pPr>
        <w:pStyle w:val="ListBullet2"/>
      </w:pPr>
      <w:r w:rsidRPr="00594970">
        <w:t>A total estimate</w:t>
      </w:r>
      <w:r w:rsidR="00107215" w:rsidRPr="00594970">
        <w:t xml:space="preserve"> of Average Staffing Level (ASL) for the entity – this total should equal ASL figures published for each outcome in Table 2.X.1 (Budgeted expenses for Outcome X).</w:t>
      </w:r>
    </w:p>
    <w:p w14:paraId="54EAE14E" w14:textId="77777777" w:rsidR="00107215" w:rsidRPr="00594970" w:rsidRDefault="00107215" w:rsidP="005C2636">
      <w:r w:rsidRPr="00594970">
        <w:t>The third party payments box provides additional visibility of the transactions and relationships between entities.</w:t>
      </w:r>
    </w:p>
    <w:p w14:paraId="51D25C27" w14:textId="43C89457" w:rsidR="0012658F" w:rsidRPr="00594970" w:rsidRDefault="00107215" w:rsidP="005C2636">
      <w:r w:rsidRPr="00594970">
        <w:t xml:space="preserve">The “Actual Available Appropriation” column shows the total amount available to the entity </w:t>
      </w:r>
      <w:r w:rsidR="00B50B7C" w:rsidRPr="00594970">
        <w:t>at the end of</w:t>
      </w:r>
      <w:r w:rsidRPr="00594970">
        <w:t xml:space="preserve"> the </w:t>
      </w:r>
      <w:r w:rsidR="001F081A" w:rsidRPr="00594970">
        <w:t xml:space="preserve">2018-19 </w:t>
      </w:r>
      <w:r w:rsidRPr="00594970">
        <w:t>financial year, as published in their annual report</w:t>
      </w:r>
      <w:r w:rsidR="009F5BEB" w:rsidRPr="00594970">
        <w:t xml:space="preserve"> and reported in CBMS</w:t>
      </w:r>
      <w:r w:rsidRPr="00594970">
        <w:t>.</w:t>
      </w:r>
    </w:p>
    <w:p w14:paraId="77A35F3A" w14:textId="46343DC3" w:rsidR="003550B8" w:rsidRPr="00594970" w:rsidRDefault="0012658F" w:rsidP="00184F37">
      <w:pPr>
        <w:pStyle w:val="ListBullet2"/>
      </w:pPr>
      <w:r w:rsidRPr="00594970">
        <w:rPr>
          <w:u w:val="single"/>
        </w:rPr>
        <w:t>Footnote (k)</w:t>
      </w:r>
      <w:r w:rsidRPr="00594970">
        <w:t xml:space="preserve"> in the template must be completed by entities that have proposed appropriations through Appropriation Bill (No. 4) for ‘Payments to States, ACT, NT and local government’. This additional information must include the particular purposes to which the payments to the States, ACT, NT and local government will be directed (including a breakdown of proposed amounts by State/Territory), where the terms and condition</w:t>
      </w:r>
      <w:r w:rsidR="00855D03" w:rsidRPr="00594970">
        <w:t>s</w:t>
      </w:r>
      <w:r w:rsidRPr="00594970">
        <w:t>, and the programs guidelines can be found, and the statutory or other provisions under which the terms and conditions are made.</w:t>
      </w:r>
      <w:bookmarkStart w:id="95" w:name="Prior_Year_Annual_Appropriation_Balances"/>
      <w:bookmarkStart w:id="96" w:name="_bookmark31"/>
      <w:bookmarkEnd w:id="95"/>
      <w:bookmarkEnd w:id="96"/>
    </w:p>
    <w:p w14:paraId="233548D2" w14:textId="67BA7D4C" w:rsidR="003550B8" w:rsidRPr="00594970" w:rsidRDefault="003550B8" w:rsidP="000137C6">
      <w:pPr>
        <w:pStyle w:val="Bullet1"/>
      </w:pPr>
      <w:r w:rsidRPr="00594970">
        <w:br w:type="page"/>
      </w:r>
    </w:p>
    <w:p w14:paraId="18728042" w14:textId="406613BA" w:rsidR="00107215" w:rsidRPr="00594970" w:rsidRDefault="00107215">
      <w:pPr>
        <w:pStyle w:val="Heading3"/>
      </w:pPr>
      <w:bookmarkStart w:id="97" w:name="_Toc26963566"/>
      <w:r w:rsidRPr="00594970">
        <w:lastRenderedPageBreak/>
        <w:t>Prior Year Annual Appropriation Balances</w:t>
      </w:r>
      <w:bookmarkEnd w:id="97"/>
    </w:p>
    <w:p w14:paraId="30C2D2E9" w14:textId="78973D82" w:rsidR="00140F10" w:rsidRPr="00594970" w:rsidRDefault="00140F10" w:rsidP="00184F37">
      <w:r w:rsidRPr="00594970">
        <w:t xml:space="preserve">From 2014-15 onwards, the annual Appropriation Acts include an automatic repeal </w:t>
      </w:r>
      <w:r w:rsidR="00987BE3" w:rsidRPr="00594970">
        <w:t>mechanism</w:t>
      </w:r>
      <w:r w:rsidRPr="00594970">
        <w:t>, where the</w:t>
      </w:r>
      <w:r w:rsidR="00225C6E" w:rsidRPr="00594970">
        <w:t>y are automatically extinguished after three years</w:t>
      </w:r>
      <w:r w:rsidRPr="00594970">
        <w:t xml:space="preserve">. For example, all </w:t>
      </w:r>
      <w:r w:rsidR="001F081A" w:rsidRPr="00594970">
        <w:t>2016</w:t>
      </w:r>
      <w:r w:rsidR="00225C6E" w:rsidRPr="00594970">
        <w:t>-1</w:t>
      </w:r>
      <w:r w:rsidR="001F081A" w:rsidRPr="00594970">
        <w:t>7</w:t>
      </w:r>
      <w:r w:rsidRPr="00594970">
        <w:t xml:space="preserve"> </w:t>
      </w:r>
      <w:r w:rsidR="00225C6E" w:rsidRPr="00594970">
        <w:t>A</w:t>
      </w:r>
      <w:r w:rsidRPr="00594970">
        <w:t>nnual Appropriation Acts extinguished on 1 July 20</w:t>
      </w:r>
      <w:r w:rsidR="001F081A" w:rsidRPr="00594970">
        <w:t>19</w:t>
      </w:r>
      <w:r w:rsidR="00883999" w:rsidRPr="00594970">
        <w:t xml:space="preserve">, and Appropriation Acts for </w:t>
      </w:r>
      <w:r w:rsidR="001F081A" w:rsidRPr="00594970">
        <w:t>2019</w:t>
      </w:r>
      <w:r w:rsidR="00225C6E" w:rsidRPr="00594970">
        <w:t>-</w:t>
      </w:r>
      <w:r w:rsidR="001F081A" w:rsidRPr="00594970">
        <w:t xml:space="preserve">20 </w:t>
      </w:r>
      <w:r w:rsidR="00883999" w:rsidRPr="00594970">
        <w:t>will self-extinguish after three years on 1 July 20</w:t>
      </w:r>
      <w:r w:rsidR="00225C6E" w:rsidRPr="00594970">
        <w:t>2</w:t>
      </w:r>
      <w:r w:rsidR="001F081A" w:rsidRPr="00594970">
        <w:t>2</w:t>
      </w:r>
      <w:r w:rsidR="00184F37" w:rsidRPr="00594970">
        <w:t>.</w:t>
      </w:r>
    </w:p>
    <w:p w14:paraId="3D220F89" w14:textId="77777777" w:rsidR="00107215" w:rsidRPr="00594970" w:rsidRDefault="00107215" w:rsidP="00184F37">
      <w:r w:rsidRPr="00594970">
        <w:t>Amounts which have been extinguished, withheld under section 51 of the PGPA Act or administratively quarantined should be excluded from the calculation of prior year balances for the purposes of the Entity resource statement.</w:t>
      </w:r>
    </w:p>
    <w:p w14:paraId="5EBAD1E9" w14:textId="77777777" w:rsidR="00107215" w:rsidRPr="00594970" w:rsidRDefault="00107215" w:rsidP="00184F37">
      <w:r w:rsidRPr="00594970">
        <w:t>Under the PGPA Act, the Minister for Finance is able to withhold amounts under section 51. These withheld amounts should not be recognised as appropriations in Table 1.1 nor in the financial statements.</w:t>
      </w:r>
    </w:p>
    <w:p w14:paraId="4013BB00" w14:textId="0EA0A0DB" w:rsidR="00107215" w:rsidRPr="00594970" w:rsidRDefault="00107215" w:rsidP="00184F37">
      <w:r w:rsidRPr="00594970">
        <w:t>For information on how to reflect s</w:t>
      </w:r>
      <w:r w:rsidR="008602DD" w:rsidRPr="00594970">
        <w:t xml:space="preserve">ection </w:t>
      </w:r>
      <w:r w:rsidRPr="00594970">
        <w:t>51 withholdings in the financial statements, please see RMG 125 Commonwealth Entities Financial Statements Guide, available on the Finance website at:</w:t>
      </w:r>
      <w:r w:rsidR="002F725F" w:rsidRPr="00594970">
        <w:t xml:space="preserve"> </w:t>
      </w:r>
      <w:hyperlink r:id="rId40" w:history="1">
        <w:r w:rsidR="002F725F" w:rsidRPr="00594970">
          <w:rPr>
            <w:rStyle w:val="Hyperlink"/>
            <w:rFonts w:cstheme="minorBidi"/>
          </w:rPr>
          <w:t>http://www.finance.gov.au/resource-management/reporting-accounting/financial-reporting/</w:t>
        </w:r>
      </w:hyperlink>
      <w:r w:rsidRPr="00594970">
        <w:t>.</w:t>
      </w:r>
    </w:p>
    <w:p w14:paraId="3BC5FB59" w14:textId="77777777" w:rsidR="00107215" w:rsidRPr="00594970" w:rsidRDefault="00107215">
      <w:pPr>
        <w:pStyle w:val="Heading3"/>
      </w:pPr>
      <w:bookmarkStart w:id="98" w:name="_bookmark32"/>
      <w:bookmarkStart w:id="99" w:name="_Toc26963567"/>
      <w:bookmarkEnd w:id="98"/>
      <w:r w:rsidRPr="00594970">
        <w:t>Sources of Information</w:t>
      </w:r>
      <w:bookmarkEnd w:id="99"/>
    </w:p>
    <w:p w14:paraId="35485CC6" w14:textId="77777777" w:rsidR="006016DE" w:rsidRPr="00594970" w:rsidRDefault="0074034B" w:rsidP="00E97CDC">
      <w:r w:rsidRPr="00594970">
        <w:t xml:space="preserve">New CBMS functionality for </w:t>
      </w:r>
      <w:r w:rsidR="00A24AFF" w:rsidRPr="00594970">
        <w:t xml:space="preserve">the preparation of </w:t>
      </w:r>
      <w:r w:rsidRPr="00594970">
        <w:t>Section 1 PAES tables is in progress</w:t>
      </w:r>
      <w:r w:rsidR="00A24AFF" w:rsidRPr="00594970">
        <w:t>.</w:t>
      </w:r>
      <w:r w:rsidR="006016DE" w:rsidRPr="00594970">
        <w:t xml:space="preserve"> Finance will inform </w:t>
      </w:r>
      <w:r w:rsidR="00BA6A36" w:rsidRPr="00594970">
        <w:t xml:space="preserve">portfolio budget teams and </w:t>
      </w:r>
      <w:r w:rsidR="00A24AFF" w:rsidRPr="00594970">
        <w:t xml:space="preserve">CBMS users by email when these tables are </w:t>
      </w:r>
      <w:r w:rsidR="006016DE" w:rsidRPr="00594970">
        <w:t xml:space="preserve">available to be used.  </w:t>
      </w:r>
    </w:p>
    <w:p w14:paraId="341BF0CC" w14:textId="5B262EFB" w:rsidR="00107215" w:rsidRPr="00594970" w:rsidRDefault="00107215" w:rsidP="00E97CDC">
      <w:r w:rsidRPr="00594970">
        <w:t xml:space="preserve">Entities are required to complete Table 1.1 Entity Resource Statement for their PAES. The data is to be updated on the same basis as applied in the </w:t>
      </w:r>
      <w:r w:rsidR="000B6C27" w:rsidRPr="00594970">
        <w:t>2019-20</w:t>
      </w:r>
      <w:r w:rsidRPr="00594970">
        <w:t xml:space="preserve"> PB Statement.</w:t>
      </w:r>
    </w:p>
    <w:p w14:paraId="2EF185EC" w14:textId="77777777" w:rsidR="00107215" w:rsidRPr="00594970" w:rsidRDefault="00107215" w:rsidP="003514C5">
      <w:pPr>
        <w:pStyle w:val="ListBullet2"/>
      </w:pPr>
      <w:r w:rsidRPr="00594970">
        <w:t xml:space="preserve">The majority of the information can be sourced by running the following </w:t>
      </w:r>
      <w:r w:rsidR="006016DE" w:rsidRPr="00594970">
        <w:t xml:space="preserve">operational </w:t>
      </w:r>
      <w:r w:rsidRPr="00594970">
        <w:t>reports from CBMS:</w:t>
      </w:r>
      <w:r w:rsidR="008602DD" w:rsidRPr="00594970">
        <w:t xml:space="preserve"> </w:t>
      </w:r>
    </w:p>
    <w:p w14:paraId="02AB70FA" w14:textId="56CD3535" w:rsidR="00107215" w:rsidRPr="00594970" w:rsidRDefault="00107215" w:rsidP="003514C5">
      <w:pPr>
        <w:pStyle w:val="ListBullet3BlueCBMSReportsPath"/>
      </w:pPr>
      <w:r w:rsidRPr="00594970">
        <w:t xml:space="preserve">Reports </w:t>
      </w:r>
      <w:r w:rsidR="00327649" w:rsidRPr="00594970">
        <w:t xml:space="preserve"> </w:t>
      </w:r>
      <w:r w:rsidR="00327649" w:rsidRPr="00594970">
        <w:sym w:font="Wingdings" w:char="F0E0"/>
      </w:r>
      <w:r w:rsidRPr="00594970">
        <w:t xml:space="preserve"> CBMS Reporting </w:t>
      </w:r>
      <w:r w:rsidR="00A247BD" w:rsidRPr="00594970">
        <w:t xml:space="preserve"> </w:t>
      </w:r>
      <w:r w:rsidR="00A247BD" w:rsidRPr="00594970">
        <w:sym w:font="Wingdings" w:char="F0E0"/>
      </w:r>
      <w:r w:rsidRPr="00594970">
        <w:t xml:space="preserve"> </w:t>
      </w:r>
      <w:r w:rsidR="00A247BD" w:rsidRPr="00594970">
        <w:t xml:space="preserve"> </w:t>
      </w:r>
      <w:r w:rsidRPr="00594970">
        <w:t xml:space="preserve">Statutory Reports </w:t>
      </w:r>
      <w:r w:rsidR="00A247BD" w:rsidRPr="00594970">
        <w:t xml:space="preserve"> </w:t>
      </w:r>
      <w:r w:rsidR="00A247BD" w:rsidRPr="00594970">
        <w:sym w:font="Wingdings" w:char="F0E0"/>
      </w:r>
      <w:r w:rsidR="00A247BD" w:rsidRPr="00594970">
        <w:t xml:space="preserve"> </w:t>
      </w:r>
      <w:r w:rsidRPr="00594970">
        <w:t xml:space="preserve"> Appropriation Bills </w:t>
      </w:r>
      <w:r w:rsidR="00A247BD" w:rsidRPr="00594970">
        <w:t xml:space="preserve"> </w:t>
      </w:r>
      <w:r w:rsidR="00A247BD" w:rsidRPr="00594970">
        <w:sym w:font="Wingdings" w:char="F0E0"/>
      </w:r>
      <w:r w:rsidRPr="00594970">
        <w:t xml:space="preserve"> </w:t>
      </w:r>
      <w:r w:rsidR="00A247BD" w:rsidRPr="00594970">
        <w:t xml:space="preserve"> </w:t>
      </w:r>
      <w:r w:rsidRPr="00594970">
        <w:t xml:space="preserve">Additional Estimates Bills </w:t>
      </w:r>
      <w:r w:rsidR="00A247BD" w:rsidRPr="00594970">
        <w:t xml:space="preserve"> </w:t>
      </w:r>
      <w:r w:rsidR="00A247BD" w:rsidRPr="00594970">
        <w:sym w:font="Wingdings" w:char="F0E0"/>
      </w:r>
      <w:r w:rsidR="00A247BD" w:rsidRPr="00594970">
        <w:t xml:space="preserve"> </w:t>
      </w:r>
      <w:r w:rsidRPr="00594970">
        <w:t xml:space="preserve"> Appropriatio</w:t>
      </w:r>
      <w:r w:rsidR="00A57737" w:rsidRPr="00594970">
        <w:t>n Bill 3 (</w:t>
      </w:r>
      <w:r w:rsidRPr="00594970">
        <w:t>“Portfolio S</w:t>
      </w:r>
      <w:r w:rsidR="00A57737" w:rsidRPr="00594970">
        <w:t>ummary and Detail” report</w:t>
      </w:r>
      <w:r w:rsidRPr="00594970">
        <w:t>)</w:t>
      </w:r>
      <w:r w:rsidR="00386C91" w:rsidRPr="00594970">
        <w:t>.</w:t>
      </w:r>
    </w:p>
    <w:p w14:paraId="0619C9D1" w14:textId="7B5FCE8F" w:rsidR="00107215" w:rsidRPr="00594970" w:rsidRDefault="00107215" w:rsidP="003514C5">
      <w:pPr>
        <w:pStyle w:val="ListBullet3BlueCBMSReportsPath"/>
      </w:pPr>
      <w:r w:rsidRPr="00594970">
        <w:t xml:space="preserve">Reports </w:t>
      </w:r>
      <w:r w:rsidR="00A247BD" w:rsidRPr="00594970">
        <w:t xml:space="preserve"> </w:t>
      </w:r>
      <w:r w:rsidR="00A247BD" w:rsidRPr="00594970">
        <w:sym w:font="Wingdings" w:char="F0E0"/>
      </w:r>
      <w:r w:rsidR="00A247BD" w:rsidRPr="00594970">
        <w:t xml:space="preserve">  </w:t>
      </w:r>
      <w:r w:rsidRPr="00594970">
        <w:t xml:space="preserve">CBMS Reporting </w:t>
      </w:r>
      <w:r w:rsidR="00A247BD" w:rsidRPr="00594970">
        <w:t xml:space="preserve"> </w:t>
      </w:r>
      <w:r w:rsidR="00A247BD" w:rsidRPr="00594970">
        <w:sym w:font="Wingdings" w:char="F0E0"/>
      </w:r>
      <w:r w:rsidRPr="00594970">
        <w:t xml:space="preserve"> Statutory Reports </w:t>
      </w:r>
      <w:r w:rsidR="00A247BD" w:rsidRPr="00594970">
        <w:t xml:space="preserve"> </w:t>
      </w:r>
      <w:r w:rsidR="00A247BD" w:rsidRPr="00594970">
        <w:sym w:font="Wingdings" w:char="F0E0"/>
      </w:r>
      <w:r w:rsidR="00A247BD" w:rsidRPr="00594970">
        <w:t xml:space="preserve">  </w:t>
      </w:r>
      <w:r w:rsidRPr="00594970">
        <w:t xml:space="preserve">Appropriation Bills </w:t>
      </w:r>
      <w:r w:rsidR="00A247BD" w:rsidRPr="00594970">
        <w:t xml:space="preserve"> </w:t>
      </w:r>
      <w:r w:rsidR="00A247BD" w:rsidRPr="00594970">
        <w:sym w:font="Wingdings" w:char="F0E0"/>
      </w:r>
      <w:r w:rsidRPr="00594970">
        <w:t xml:space="preserve"> </w:t>
      </w:r>
      <w:r w:rsidR="00A247BD" w:rsidRPr="00594970">
        <w:t xml:space="preserve"> </w:t>
      </w:r>
      <w:r w:rsidRPr="00594970">
        <w:t xml:space="preserve">Additional Estimates Bills </w:t>
      </w:r>
      <w:r w:rsidR="00A247BD" w:rsidRPr="00594970">
        <w:t xml:space="preserve"> </w:t>
      </w:r>
      <w:r w:rsidR="00A247BD" w:rsidRPr="00594970">
        <w:sym w:font="Wingdings" w:char="F0E0"/>
      </w:r>
      <w:r w:rsidRPr="00594970">
        <w:t xml:space="preserve"> </w:t>
      </w:r>
      <w:r w:rsidR="00A247BD" w:rsidRPr="00594970">
        <w:t xml:space="preserve"> </w:t>
      </w:r>
      <w:r w:rsidRPr="00594970">
        <w:t>Appropriation Bill 4 (“Portfolio Summary and Detail”</w:t>
      </w:r>
      <w:r w:rsidR="00A57737" w:rsidRPr="00594970">
        <w:t xml:space="preserve"> report</w:t>
      </w:r>
      <w:r w:rsidRPr="00594970">
        <w:t>)</w:t>
      </w:r>
      <w:r w:rsidR="00386C91" w:rsidRPr="00594970">
        <w:t>.</w:t>
      </w:r>
    </w:p>
    <w:p w14:paraId="266003BD" w14:textId="2861789E" w:rsidR="00107215" w:rsidRPr="00594970" w:rsidRDefault="00107215" w:rsidP="003514C5">
      <w:pPr>
        <w:pStyle w:val="ListBullet3BlueCBMSReportsPath"/>
      </w:pPr>
      <w:r w:rsidRPr="00594970">
        <w:t xml:space="preserve">Reports </w:t>
      </w:r>
      <w:r w:rsidR="00A247BD" w:rsidRPr="00594970">
        <w:t xml:space="preserve"> </w:t>
      </w:r>
      <w:r w:rsidR="00A247BD" w:rsidRPr="00594970">
        <w:sym w:font="Wingdings" w:char="F0E0"/>
      </w:r>
      <w:r w:rsidRPr="00594970">
        <w:t xml:space="preserve"> </w:t>
      </w:r>
      <w:r w:rsidR="00A247BD" w:rsidRPr="00594970">
        <w:t xml:space="preserve"> </w:t>
      </w:r>
      <w:r w:rsidRPr="00594970">
        <w:t xml:space="preserve">CBMS Reporting </w:t>
      </w:r>
      <w:r w:rsidR="00A247BD" w:rsidRPr="00594970">
        <w:t xml:space="preserve"> </w:t>
      </w:r>
      <w:r w:rsidR="00A247BD" w:rsidRPr="00594970">
        <w:sym w:font="Wingdings" w:char="F0E0"/>
      </w:r>
      <w:r w:rsidR="00A247BD" w:rsidRPr="00594970">
        <w:t xml:space="preserve"> </w:t>
      </w:r>
      <w:r w:rsidRPr="00594970">
        <w:t xml:space="preserve"> Operational Reports </w:t>
      </w:r>
      <w:r w:rsidR="00A247BD" w:rsidRPr="00594970">
        <w:t xml:space="preserve"> </w:t>
      </w:r>
      <w:r w:rsidR="00A247BD" w:rsidRPr="00594970">
        <w:sym w:font="Wingdings" w:char="F0E0"/>
      </w:r>
      <w:r w:rsidRPr="00594970">
        <w:t xml:space="preserve"> </w:t>
      </w:r>
      <w:r w:rsidR="00A247BD" w:rsidRPr="00594970">
        <w:t xml:space="preserve"> </w:t>
      </w:r>
      <w:r w:rsidRPr="00594970">
        <w:t xml:space="preserve">Estimates </w:t>
      </w:r>
      <w:r w:rsidR="00A247BD" w:rsidRPr="00594970">
        <w:t xml:space="preserve"> </w:t>
      </w:r>
      <w:r w:rsidR="00A247BD" w:rsidRPr="00594970">
        <w:sym w:font="Wingdings" w:char="F0E0"/>
      </w:r>
      <w:r w:rsidR="00A247BD" w:rsidRPr="00594970">
        <w:t xml:space="preserve">  </w:t>
      </w:r>
      <w:r w:rsidRPr="00594970">
        <w:t xml:space="preserve">Annual Estimates </w:t>
      </w:r>
      <w:r w:rsidR="00A247BD" w:rsidRPr="00594970">
        <w:t xml:space="preserve"> </w:t>
      </w:r>
      <w:r w:rsidR="00A247BD" w:rsidRPr="00594970">
        <w:sym w:font="Wingdings" w:char="F0E0"/>
      </w:r>
      <w:r w:rsidR="00A247BD" w:rsidRPr="00594970">
        <w:t xml:space="preserve">  </w:t>
      </w:r>
      <w:r w:rsidRPr="00594970">
        <w:t>AE.OR.09 Annual Estimates Special Accounts Report</w:t>
      </w:r>
      <w:r w:rsidR="00386C91" w:rsidRPr="00594970">
        <w:t>.</w:t>
      </w:r>
    </w:p>
    <w:p w14:paraId="4C7C2598" w14:textId="26937531" w:rsidR="00107215" w:rsidRPr="00594970" w:rsidRDefault="00107215" w:rsidP="003514C5">
      <w:pPr>
        <w:pStyle w:val="ListBullet3BlueCBMSReportsPath"/>
      </w:pPr>
      <w:r w:rsidRPr="00594970">
        <w:t xml:space="preserve">Reports </w:t>
      </w:r>
      <w:r w:rsidR="00A247BD" w:rsidRPr="00594970">
        <w:t xml:space="preserve"> </w:t>
      </w:r>
      <w:r w:rsidR="00A247BD" w:rsidRPr="00594970">
        <w:sym w:font="Wingdings" w:char="F0E0"/>
      </w:r>
      <w:r w:rsidR="00A247BD" w:rsidRPr="00594970">
        <w:t xml:space="preserve">  </w:t>
      </w:r>
      <w:r w:rsidRPr="00594970">
        <w:t xml:space="preserve">CBMS Reporting </w:t>
      </w:r>
      <w:r w:rsidR="00A247BD" w:rsidRPr="00594970">
        <w:t xml:space="preserve"> </w:t>
      </w:r>
      <w:r w:rsidR="00A247BD" w:rsidRPr="00594970">
        <w:sym w:font="Wingdings" w:char="F0E0"/>
      </w:r>
      <w:r w:rsidR="00A247BD" w:rsidRPr="00594970">
        <w:t xml:space="preserve">  </w:t>
      </w:r>
      <w:r w:rsidRPr="00594970">
        <w:t xml:space="preserve">Operational Reports </w:t>
      </w:r>
      <w:r w:rsidR="00A247BD" w:rsidRPr="00594970">
        <w:t xml:space="preserve"> </w:t>
      </w:r>
      <w:r w:rsidR="00A247BD" w:rsidRPr="00594970">
        <w:sym w:font="Wingdings" w:char="F0E0"/>
      </w:r>
      <w:r w:rsidR="00A247BD" w:rsidRPr="00594970">
        <w:t xml:space="preserve">  </w:t>
      </w:r>
      <w:r w:rsidRPr="00594970">
        <w:t xml:space="preserve">Cash Management </w:t>
      </w:r>
      <w:r w:rsidR="00A247BD" w:rsidRPr="00594970">
        <w:t xml:space="preserve"> </w:t>
      </w:r>
      <w:r w:rsidR="00A247BD" w:rsidRPr="00594970">
        <w:sym w:font="Wingdings" w:char="F0E0"/>
      </w:r>
      <w:r w:rsidR="00A247BD" w:rsidRPr="00594970">
        <w:t xml:space="preserve">  </w:t>
      </w:r>
      <w:r w:rsidRPr="00594970">
        <w:t xml:space="preserve">Cash Operational Reports </w:t>
      </w:r>
      <w:r w:rsidR="00A247BD" w:rsidRPr="00594970">
        <w:t xml:space="preserve"> </w:t>
      </w:r>
      <w:r w:rsidR="00A247BD" w:rsidRPr="00594970">
        <w:sym w:font="Wingdings" w:char="F0E0"/>
      </w:r>
      <w:r w:rsidR="00A247BD" w:rsidRPr="00594970">
        <w:t xml:space="preserve">  </w:t>
      </w:r>
      <w:r w:rsidRPr="00594970">
        <w:t>CM.OR.010 Appropriation Balances Report</w:t>
      </w:r>
      <w:r w:rsidR="00386C91" w:rsidRPr="00594970">
        <w:t>.</w:t>
      </w:r>
    </w:p>
    <w:p w14:paraId="51BB0ECC" w14:textId="094E70C7" w:rsidR="00107215" w:rsidRPr="00594970" w:rsidRDefault="00107215" w:rsidP="003514C5">
      <w:pPr>
        <w:pStyle w:val="ListBullet3BlueCBMSReportsPath"/>
      </w:pPr>
      <w:r w:rsidRPr="00594970">
        <w:t xml:space="preserve">Reports </w:t>
      </w:r>
      <w:r w:rsidR="00327649" w:rsidRPr="00594970">
        <w:t xml:space="preserve"> </w:t>
      </w:r>
      <w:r w:rsidR="00327649" w:rsidRPr="00594970">
        <w:sym w:font="Wingdings" w:char="F0E0"/>
      </w:r>
      <w:r w:rsidRPr="00594970">
        <w:t xml:space="preserve"> </w:t>
      </w:r>
      <w:r w:rsidR="00327649" w:rsidRPr="00594970">
        <w:t xml:space="preserve"> </w:t>
      </w:r>
      <w:r w:rsidRPr="00594970">
        <w:t xml:space="preserve">CBMS Reporting </w:t>
      </w:r>
      <w:r w:rsidR="00327649" w:rsidRPr="00594970">
        <w:t xml:space="preserve"> </w:t>
      </w:r>
      <w:r w:rsidR="00327649" w:rsidRPr="00594970">
        <w:sym w:font="Wingdings" w:char="F0E0"/>
      </w:r>
      <w:r w:rsidRPr="00594970">
        <w:t xml:space="preserve"> </w:t>
      </w:r>
      <w:r w:rsidR="00327649" w:rsidRPr="00594970">
        <w:t xml:space="preserve"> </w:t>
      </w:r>
      <w:r w:rsidRPr="00594970">
        <w:t xml:space="preserve">Operational Reports </w:t>
      </w:r>
      <w:r w:rsidR="00327649" w:rsidRPr="00594970">
        <w:t xml:space="preserve"> </w:t>
      </w:r>
      <w:r w:rsidR="00327649" w:rsidRPr="00594970">
        <w:sym w:font="Wingdings" w:char="F0E0"/>
      </w:r>
      <w:r w:rsidR="00327649" w:rsidRPr="00594970">
        <w:t xml:space="preserve"> </w:t>
      </w:r>
      <w:r w:rsidRPr="00594970">
        <w:t xml:space="preserve"> Estimates </w:t>
      </w:r>
      <w:r w:rsidR="00327649" w:rsidRPr="00594970">
        <w:t xml:space="preserve"> </w:t>
      </w:r>
      <w:r w:rsidR="00327649" w:rsidRPr="00594970">
        <w:sym w:font="Wingdings" w:char="F0E0"/>
      </w:r>
      <w:r w:rsidR="00327649" w:rsidRPr="00594970">
        <w:t xml:space="preserve"> </w:t>
      </w:r>
      <w:r w:rsidRPr="00594970">
        <w:t xml:space="preserve"> Annual Estimates </w:t>
      </w:r>
      <w:r w:rsidR="00327649" w:rsidRPr="00594970">
        <w:t xml:space="preserve"> </w:t>
      </w:r>
      <w:r w:rsidR="00327649" w:rsidRPr="00594970">
        <w:sym w:font="Wingdings" w:char="F0E0"/>
      </w:r>
      <w:r w:rsidR="00327649" w:rsidRPr="00594970">
        <w:t xml:space="preserve"> </w:t>
      </w:r>
      <w:r w:rsidRPr="00594970">
        <w:t xml:space="preserve"> AE.OR.13 Annual Estimates Detail Listing AEIFRS Report (PBF)</w:t>
      </w:r>
      <w:r w:rsidR="00386C91" w:rsidRPr="00594970">
        <w:t>.</w:t>
      </w:r>
    </w:p>
    <w:p w14:paraId="103390B6" w14:textId="533C3EF1" w:rsidR="00107215" w:rsidRPr="00594970" w:rsidRDefault="00107215" w:rsidP="003514C5">
      <w:pPr>
        <w:pStyle w:val="ListBullet3BlueCBMSReportsPath"/>
      </w:pPr>
      <w:r w:rsidRPr="00594970">
        <w:t xml:space="preserve">Reports </w:t>
      </w:r>
      <w:r w:rsidR="00327649" w:rsidRPr="00594970">
        <w:t xml:space="preserve"> </w:t>
      </w:r>
      <w:r w:rsidR="00327649" w:rsidRPr="00594970">
        <w:sym w:font="Wingdings" w:char="F0E0"/>
      </w:r>
      <w:r w:rsidRPr="00594970">
        <w:t xml:space="preserve"> CBMS Reporting </w:t>
      </w:r>
      <w:r w:rsidR="00327649" w:rsidRPr="00594970">
        <w:t xml:space="preserve"> </w:t>
      </w:r>
      <w:r w:rsidR="00327649" w:rsidRPr="00594970">
        <w:sym w:font="Wingdings" w:char="F0E0"/>
      </w:r>
      <w:r w:rsidR="00327649" w:rsidRPr="00594970">
        <w:t xml:space="preserve"> </w:t>
      </w:r>
      <w:r w:rsidRPr="00594970">
        <w:t xml:space="preserve"> Operational Reports </w:t>
      </w:r>
      <w:r w:rsidR="00327649" w:rsidRPr="00594970">
        <w:t xml:space="preserve"> </w:t>
      </w:r>
      <w:r w:rsidR="00327649" w:rsidRPr="00594970">
        <w:sym w:font="Wingdings" w:char="F0E0"/>
      </w:r>
      <w:r w:rsidR="00327649" w:rsidRPr="00594970">
        <w:t xml:space="preserve"> </w:t>
      </w:r>
      <w:r w:rsidRPr="00594970">
        <w:t xml:space="preserve"> Actuals </w:t>
      </w:r>
      <w:r w:rsidR="00327649" w:rsidRPr="00594970">
        <w:t xml:space="preserve"> </w:t>
      </w:r>
      <w:r w:rsidR="00327649" w:rsidRPr="00594970">
        <w:sym w:font="Wingdings" w:char="F0E0"/>
      </w:r>
      <w:r w:rsidR="00327649" w:rsidRPr="00594970">
        <w:t xml:space="preserve"> </w:t>
      </w:r>
      <w:r w:rsidRPr="00594970">
        <w:t xml:space="preserve"> Annual Actuals </w:t>
      </w:r>
      <w:r w:rsidR="00327649" w:rsidRPr="00594970">
        <w:t xml:space="preserve"> </w:t>
      </w:r>
      <w:r w:rsidR="00327649" w:rsidRPr="00594970">
        <w:sym w:font="Wingdings" w:char="F0E0"/>
      </w:r>
      <w:r w:rsidR="00327649" w:rsidRPr="00594970">
        <w:t xml:space="preserve"> </w:t>
      </w:r>
      <w:r w:rsidRPr="00594970">
        <w:t xml:space="preserve"> AE.OR.07 Annual Actuals Detail Listing AEIFRS Report (PBF)</w:t>
      </w:r>
      <w:r w:rsidR="00386C91" w:rsidRPr="00594970">
        <w:t>.</w:t>
      </w:r>
    </w:p>
    <w:p w14:paraId="25435F79" w14:textId="301E0E7A" w:rsidR="00107215" w:rsidRPr="00594970" w:rsidRDefault="00107215" w:rsidP="003514C5">
      <w:pPr>
        <w:pStyle w:val="ListBullet3BlueCBMSReportsPath"/>
      </w:pPr>
      <w:r w:rsidRPr="00594970">
        <w:t xml:space="preserve">Reports </w:t>
      </w:r>
      <w:r w:rsidR="00327649" w:rsidRPr="00594970">
        <w:t xml:space="preserve"> </w:t>
      </w:r>
      <w:r w:rsidR="00327649" w:rsidRPr="00594970">
        <w:sym w:font="Wingdings" w:char="F0E0"/>
      </w:r>
      <w:r w:rsidR="00327649" w:rsidRPr="00594970">
        <w:t xml:space="preserve"> </w:t>
      </w:r>
      <w:r w:rsidRPr="00594970">
        <w:t xml:space="preserve"> CBMS Reporting </w:t>
      </w:r>
      <w:r w:rsidR="00327649" w:rsidRPr="00594970">
        <w:t xml:space="preserve"> </w:t>
      </w:r>
      <w:r w:rsidR="00327649" w:rsidRPr="00594970">
        <w:sym w:font="Wingdings" w:char="F0E0"/>
      </w:r>
      <w:r w:rsidR="00327649" w:rsidRPr="00594970">
        <w:t xml:space="preserve"> </w:t>
      </w:r>
      <w:r w:rsidRPr="00594970">
        <w:t xml:space="preserve"> Operational Reports </w:t>
      </w:r>
      <w:r w:rsidR="00327649" w:rsidRPr="00594970">
        <w:t xml:space="preserve"> </w:t>
      </w:r>
      <w:r w:rsidR="00327649" w:rsidRPr="00594970">
        <w:sym w:font="Wingdings" w:char="F0E0"/>
      </w:r>
      <w:r w:rsidR="00327649" w:rsidRPr="00594970">
        <w:t xml:space="preserve"> </w:t>
      </w:r>
      <w:r w:rsidRPr="00594970">
        <w:t xml:space="preserve"> Estimates </w:t>
      </w:r>
      <w:r w:rsidR="00327649" w:rsidRPr="00594970">
        <w:t xml:space="preserve"> </w:t>
      </w:r>
      <w:r w:rsidR="00327649" w:rsidRPr="00594970">
        <w:sym w:font="Wingdings" w:char="F0E0"/>
      </w:r>
      <w:r w:rsidR="00327649" w:rsidRPr="00594970">
        <w:t xml:space="preserve"> </w:t>
      </w:r>
      <w:r w:rsidRPr="00594970">
        <w:t xml:space="preserve"> Annual Estimates </w:t>
      </w:r>
      <w:r w:rsidR="00327649" w:rsidRPr="00594970">
        <w:t xml:space="preserve"> </w:t>
      </w:r>
      <w:r w:rsidR="00327649" w:rsidRPr="00594970">
        <w:sym w:font="Wingdings" w:char="F0E0"/>
      </w:r>
      <w:r w:rsidR="00327649" w:rsidRPr="00594970">
        <w:t xml:space="preserve"> </w:t>
      </w:r>
      <w:r w:rsidRPr="00594970">
        <w:t xml:space="preserve"> AE.OR.10 Appropriation Bill – Actual Available Appropriations (AAA) Report – select the current financial year only to get the “Actual available </w:t>
      </w:r>
      <w:r w:rsidRPr="00594970">
        <w:lastRenderedPageBreak/>
        <w:t>appropriation” figure available on that day. This amount may not include Advances to the Minister for Finance</w:t>
      </w:r>
      <w:r w:rsidR="00386C91" w:rsidRPr="00594970">
        <w:t>.</w:t>
      </w:r>
    </w:p>
    <w:p w14:paraId="24B27821" w14:textId="77777777" w:rsidR="00107215" w:rsidRPr="00594970" w:rsidRDefault="00107215" w:rsidP="003514C5">
      <w:pPr>
        <w:pStyle w:val="ListBullet2"/>
      </w:pPr>
      <w:r w:rsidRPr="00594970">
        <w:t>The “prior year appropriation” rows should reflect unspent/undrawn appropriations available at the start of the financial year (i.e. the closing balance of the previous year).</w:t>
      </w:r>
    </w:p>
    <w:p w14:paraId="6DB7554A" w14:textId="3F6D96D5" w:rsidR="00107215" w:rsidRPr="00594970" w:rsidRDefault="00107215" w:rsidP="003514C5">
      <w:pPr>
        <w:pStyle w:val="ListBullet2"/>
      </w:pPr>
      <w:r w:rsidRPr="00594970">
        <w:t xml:space="preserve">For the “Actual available appropriation” column, this will be the closing unspent appropriation balance from the entity’s </w:t>
      </w:r>
      <w:r w:rsidR="000B6C27" w:rsidRPr="00594970">
        <w:t>2018</w:t>
      </w:r>
      <w:r w:rsidR="00A21479" w:rsidRPr="00594970">
        <w:t>-1</w:t>
      </w:r>
      <w:r w:rsidR="000B6C27" w:rsidRPr="00594970">
        <w:t>9</w:t>
      </w:r>
      <w:r w:rsidRPr="00594970">
        <w:t xml:space="preserve"> annual report.</w:t>
      </w:r>
    </w:p>
    <w:p w14:paraId="6E121C3C" w14:textId="4EA415E8" w:rsidR="00107215" w:rsidRPr="00594970" w:rsidRDefault="00107215" w:rsidP="003514C5">
      <w:pPr>
        <w:pStyle w:val="ListBullet2"/>
      </w:pPr>
      <w:r w:rsidRPr="00594970">
        <w:t xml:space="preserve">For the “Estimate as at Budget </w:t>
      </w:r>
      <w:r w:rsidR="000B6C27" w:rsidRPr="00594970">
        <w:t>2019</w:t>
      </w:r>
      <w:r w:rsidR="00A21479" w:rsidRPr="00594970">
        <w:t>-</w:t>
      </w:r>
      <w:r w:rsidR="000B6C27" w:rsidRPr="00594970">
        <w:t>20</w:t>
      </w:r>
      <w:r w:rsidRPr="00594970">
        <w:t xml:space="preserve">” column, this will be the </w:t>
      </w:r>
      <w:r w:rsidR="00B50B7C" w:rsidRPr="00594970">
        <w:t xml:space="preserve">estimated </w:t>
      </w:r>
      <w:r w:rsidRPr="00594970">
        <w:t xml:space="preserve">closing unspent appropriation balance as at the end of the </w:t>
      </w:r>
      <w:r w:rsidR="000B6C27" w:rsidRPr="00594970">
        <w:t>2019</w:t>
      </w:r>
      <w:r w:rsidR="00A21479" w:rsidRPr="00594970">
        <w:t>-</w:t>
      </w:r>
      <w:r w:rsidR="000B6C27" w:rsidRPr="00594970">
        <w:t>20</w:t>
      </w:r>
      <w:r w:rsidRPr="00594970">
        <w:t xml:space="preserve"> year.</w:t>
      </w:r>
    </w:p>
    <w:p w14:paraId="47D21DA3" w14:textId="77777777" w:rsidR="00107215" w:rsidRPr="00594970" w:rsidRDefault="00107215" w:rsidP="003514C5">
      <w:pPr>
        <w:pStyle w:val="ListBullet2"/>
      </w:pPr>
      <w:r w:rsidRPr="00594970">
        <w:t xml:space="preserve">Entities can check unspent, undrawn balances by running the Appropriation Balances Report from CBMS. The “Available Balance” column shows the amount available to the entity, with the “Hard Limit” lines showing the total Appropriations amounts for Outcomes or Programs. </w:t>
      </w:r>
    </w:p>
    <w:p w14:paraId="2410E2CB" w14:textId="07E957B3" w:rsidR="000044B2" w:rsidRPr="00594970" w:rsidRDefault="00107215" w:rsidP="003514C5">
      <w:pPr>
        <w:pStyle w:val="ListBullet2"/>
      </w:pPr>
      <w:r w:rsidRPr="00594970">
        <w:t>Total available appropriation balance can be calculated by adding the Hard Limit lines for the relevant Program or Outcome for all financial years.</w:t>
      </w:r>
    </w:p>
    <w:p w14:paraId="257D06A8" w14:textId="017AE3E7" w:rsidR="00107215" w:rsidRPr="00594970" w:rsidRDefault="00107215" w:rsidP="003514C5">
      <w:pPr>
        <w:pStyle w:val="ListBullet3BlueCBMSReportsPath"/>
      </w:pPr>
      <w:r w:rsidRPr="00594970">
        <w:t xml:space="preserve">Reports </w:t>
      </w:r>
      <w:r w:rsidR="00327649" w:rsidRPr="00594970">
        <w:t xml:space="preserve"> </w:t>
      </w:r>
      <w:r w:rsidR="00327649" w:rsidRPr="00594970">
        <w:sym w:font="Wingdings" w:char="F0E0"/>
      </w:r>
      <w:r w:rsidR="00327649" w:rsidRPr="00594970">
        <w:t xml:space="preserve"> </w:t>
      </w:r>
      <w:r w:rsidRPr="00594970">
        <w:t xml:space="preserve"> CBMS Reporting </w:t>
      </w:r>
      <w:r w:rsidR="00327649" w:rsidRPr="00594970">
        <w:t xml:space="preserve"> </w:t>
      </w:r>
      <w:r w:rsidR="00327649" w:rsidRPr="00594970">
        <w:sym w:font="Wingdings" w:char="F0E0"/>
      </w:r>
      <w:r w:rsidR="00327649" w:rsidRPr="00594970">
        <w:t xml:space="preserve"> </w:t>
      </w:r>
      <w:r w:rsidRPr="00594970">
        <w:t xml:space="preserve"> Operational Reports </w:t>
      </w:r>
      <w:r w:rsidR="00327649" w:rsidRPr="00594970">
        <w:sym w:font="Wingdings" w:char="F0E0"/>
      </w:r>
      <w:r w:rsidR="00327649" w:rsidRPr="00594970">
        <w:t xml:space="preserve"> </w:t>
      </w:r>
      <w:r w:rsidRPr="00594970">
        <w:t xml:space="preserve"> Cash Management </w:t>
      </w:r>
      <w:r w:rsidR="00327649" w:rsidRPr="00594970">
        <w:t xml:space="preserve"> </w:t>
      </w:r>
      <w:r w:rsidR="00327649" w:rsidRPr="00594970">
        <w:sym w:font="Wingdings" w:char="F0E0"/>
      </w:r>
      <w:r w:rsidR="00327649" w:rsidRPr="00594970">
        <w:t xml:space="preserve"> </w:t>
      </w:r>
      <w:r w:rsidRPr="00594970">
        <w:t xml:space="preserve"> Cash Operational Reports</w:t>
      </w:r>
      <w:r w:rsidR="00327649" w:rsidRPr="00594970">
        <w:t xml:space="preserve"> </w:t>
      </w:r>
      <w:r w:rsidRPr="00594970">
        <w:t xml:space="preserve"> </w:t>
      </w:r>
      <w:r w:rsidR="00327649" w:rsidRPr="00594970">
        <w:sym w:font="Wingdings" w:char="F0E0"/>
      </w:r>
      <w:r w:rsidR="00327649" w:rsidRPr="00594970">
        <w:t xml:space="preserve"> </w:t>
      </w:r>
      <w:r w:rsidRPr="00594970">
        <w:t xml:space="preserve"> CM.OR.010 Appropriation Balances Report</w:t>
      </w:r>
      <w:r w:rsidR="00386C91" w:rsidRPr="00594970">
        <w:t>.</w:t>
      </w:r>
    </w:p>
    <w:p w14:paraId="48752FED" w14:textId="77777777" w:rsidR="00107215" w:rsidRPr="00594970" w:rsidRDefault="00107215" w:rsidP="003514C5">
      <w:pPr>
        <w:pStyle w:val="ListBullet2"/>
      </w:pPr>
      <w:r w:rsidRPr="00594970">
        <w:t>Where there are unspent appropriations available for administered expenses, equity injections, and Administered Assets a</w:t>
      </w:r>
      <w:r w:rsidR="00B50B7C" w:rsidRPr="00594970">
        <w:t>nd Liabilities, they should</w:t>
      </w:r>
      <w:r w:rsidRPr="00594970">
        <w:t xml:space="preserve"> be shown in Table 1.1 as a separate line item.</w:t>
      </w:r>
    </w:p>
    <w:p w14:paraId="52BC6938" w14:textId="77777777" w:rsidR="00107215" w:rsidRPr="00594970" w:rsidRDefault="00107215" w:rsidP="003514C5">
      <w:pPr>
        <w:pStyle w:val="ListBullet2"/>
      </w:pPr>
      <w:r w:rsidRPr="00594970">
        <w:t xml:space="preserve">The </w:t>
      </w:r>
      <w:r w:rsidRPr="00594970">
        <w:rPr>
          <w:u w:val="single"/>
        </w:rPr>
        <w:t>“Departmental appropriation”</w:t>
      </w:r>
      <w:r w:rsidRPr="00594970">
        <w:t xml:space="preserve"> row should reflect the amount appropriated to the entity in the relevant year. This figure will be made up of:</w:t>
      </w:r>
    </w:p>
    <w:p w14:paraId="211D662F" w14:textId="39764AA0" w:rsidR="00107215" w:rsidRPr="00594970" w:rsidRDefault="00107215" w:rsidP="003514C5">
      <w:pPr>
        <w:pStyle w:val="ListBullet3"/>
      </w:pPr>
      <w:r w:rsidRPr="00594970">
        <w:t>Amounts appropriated through Appropri</w:t>
      </w:r>
      <w:r w:rsidR="00386C91" w:rsidRPr="00594970">
        <w:t>ation Acts (Nos. 1, and Bill 3)</w:t>
      </w:r>
    </w:p>
    <w:p w14:paraId="2E32AB67" w14:textId="6A056908" w:rsidR="00107215" w:rsidRPr="00594970" w:rsidRDefault="00107215" w:rsidP="003514C5">
      <w:pPr>
        <w:pStyle w:val="ListBullet3"/>
      </w:pPr>
      <w:r w:rsidRPr="00594970">
        <w:t>+ Advances to the Minister for Finance (AFM)</w:t>
      </w:r>
    </w:p>
    <w:p w14:paraId="6ABEB7B2" w14:textId="22ABE297" w:rsidR="00107215" w:rsidRPr="00594970" w:rsidRDefault="00107215" w:rsidP="003514C5">
      <w:pPr>
        <w:pStyle w:val="ListBullet3"/>
      </w:pPr>
      <w:r w:rsidRPr="00594970">
        <w:t>+/- section 75 transfers as a result of Machinery of Government changes</w:t>
      </w:r>
      <w:r w:rsidR="00486EA2" w:rsidRPr="00594970">
        <w:t>:</w:t>
      </w:r>
    </w:p>
    <w:p w14:paraId="023D3E38" w14:textId="6E72CF8E" w:rsidR="00107215" w:rsidRPr="00594970" w:rsidRDefault="00486EA2" w:rsidP="003514C5">
      <w:pPr>
        <w:pStyle w:val="ListBullet4"/>
      </w:pPr>
      <w:r w:rsidRPr="00594970">
        <w:t>A</w:t>
      </w:r>
      <w:r w:rsidR="00107215" w:rsidRPr="00594970">
        <w:t>dministrative quarantines made by Finance</w:t>
      </w:r>
    </w:p>
    <w:p w14:paraId="5076F7CE" w14:textId="45917FCF" w:rsidR="00107215" w:rsidRPr="00594970" w:rsidRDefault="00107215" w:rsidP="003514C5">
      <w:pPr>
        <w:pStyle w:val="ListBullet4"/>
      </w:pPr>
      <w:r w:rsidRPr="00594970">
        <w:t>any withholdings under s51 of the PGPA Act (such as for foreign exchange movements, savings measures, movement of funds and reallocations)</w:t>
      </w:r>
    </w:p>
    <w:p w14:paraId="7F0D74CA" w14:textId="77777777" w:rsidR="00107215" w:rsidRPr="00594970" w:rsidRDefault="00107215" w:rsidP="003514C5">
      <w:pPr>
        <w:pStyle w:val="ListBullet2"/>
      </w:pPr>
      <w:r w:rsidRPr="00594970">
        <w:t xml:space="preserve">Amounts under the </w:t>
      </w:r>
      <w:r w:rsidRPr="00594970">
        <w:rPr>
          <w:u w:val="single"/>
        </w:rPr>
        <w:t>“Actual Available Appropriation</w:t>
      </w:r>
      <w:r w:rsidRPr="00594970">
        <w:t>” column can be sourced by running the AAA Report (which provides an estimate at a point in time) and including any amounts yet to be appropriated, e.g. amounts through Appropriation Bill (No. 3) and Advances to the Minister for Finance.</w:t>
      </w:r>
    </w:p>
    <w:p w14:paraId="42467593" w14:textId="269774CF" w:rsidR="000114D6" w:rsidRPr="00594970" w:rsidRDefault="000114D6" w:rsidP="003514C5">
      <w:pPr>
        <w:pStyle w:val="ListBullet3"/>
      </w:pPr>
      <w:r w:rsidRPr="00594970">
        <w:t>This amount can also be sourced from the Appropr</w:t>
      </w:r>
      <w:r w:rsidR="00A21479" w:rsidRPr="00594970">
        <w:t xml:space="preserve">iation note of the entity’s </w:t>
      </w:r>
      <w:r w:rsidR="00322636" w:rsidRPr="00594970">
        <w:t>2018-19</w:t>
      </w:r>
      <w:r w:rsidRPr="00594970">
        <w:t xml:space="preserve"> annual report, under the “Appropriations applied” column.</w:t>
      </w:r>
    </w:p>
    <w:p w14:paraId="38A65431" w14:textId="673904C6" w:rsidR="000044B2" w:rsidRPr="00594970" w:rsidRDefault="000114D6" w:rsidP="003514C5">
      <w:pPr>
        <w:pStyle w:val="ListBullet2"/>
      </w:pPr>
      <w:r w:rsidRPr="00594970">
        <w:t xml:space="preserve">The </w:t>
      </w:r>
      <w:r w:rsidRPr="00594970">
        <w:rPr>
          <w:u w:val="single"/>
        </w:rPr>
        <w:t xml:space="preserve">"s74 </w:t>
      </w:r>
      <w:r w:rsidR="003133F6" w:rsidRPr="00594970">
        <w:rPr>
          <w:u w:val="single"/>
        </w:rPr>
        <w:t>External Revenue</w:t>
      </w:r>
      <w:r w:rsidRPr="00594970">
        <w:t>" row should reflect the entity's forecast</w:t>
      </w:r>
      <w:r w:rsidR="005C51D2">
        <w:t>ed</w:t>
      </w:r>
      <w:r w:rsidRPr="00594970">
        <w:t xml:space="preserve"> Receipts from Independent Sources. </w:t>
      </w:r>
      <w:r w:rsidR="00DC0675" w:rsidRPr="00594970">
        <w:t xml:space="preserve">For information on how figures in the </w:t>
      </w:r>
      <w:r w:rsidR="000B0941" w:rsidRPr="00594970">
        <w:t>Entity</w:t>
      </w:r>
      <w:r w:rsidR="00DC0675" w:rsidRPr="00594970">
        <w:t xml:space="preserve"> Resourcing Table, including, External Revenue, are calculated, please see the </w:t>
      </w:r>
      <w:r w:rsidR="00DC0675" w:rsidRPr="00594970">
        <w:rPr>
          <w:i/>
        </w:rPr>
        <w:t xml:space="preserve">‘Quick Reference Guides – BP4’, </w:t>
      </w:r>
      <w:r w:rsidR="00DC0675" w:rsidRPr="00594970">
        <w:t>available from CBMS</w:t>
      </w:r>
      <w:r w:rsidR="000044B2" w:rsidRPr="00594970">
        <w:t>.</w:t>
      </w:r>
    </w:p>
    <w:p w14:paraId="48B392D3" w14:textId="14734034" w:rsidR="000044B2" w:rsidRPr="00594970" w:rsidRDefault="00DC0675" w:rsidP="003514C5">
      <w:pPr>
        <w:pStyle w:val="ListBullet3BlueCBMSReportsPath"/>
      </w:pPr>
      <w:r w:rsidRPr="00594970">
        <w:t xml:space="preserve">User Reference Material </w:t>
      </w:r>
      <w:r w:rsidR="000044B2" w:rsidRPr="00594970">
        <w:sym w:font="Wingdings" w:char="F0E0"/>
      </w:r>
      <w:r w:rsidRPr="00594970">
        <w:t xml:space="preserve"> 09. Reference Material – CBMS </w:t>
      </w:r>
      <w:r w:rsidR="000044B2" w:rsidRPr="00594970">
        <w:sym w:font="Wingdings" w:char="F0E0"/>
      </w:r>
      <w:r w:rsidRPr="00594970">
        <w:t xml:space="preserve"> Annual Estimates</w:t>
      </w:r>
    </w:p>
    <w:p w14:paraId="24195C8D" w14:textId="3F56FD5B" w:rsidR="000114D6" w:rsidRPr="00594970" w:rsidRDefault="00DC0675" w:rsidP="003514C5">
      <w:pPr>
        <w:pStyle w:val="ListBullet2"/>
      </w:pPr>
      <w:r w:rsidRPr="00594970">
        <w:t>Alternatively, t</w:t>
      </w:r>
      <w:r w:rsidR="000114D6" w:rsidRPr="00594970">
        <w:t xml:space="preserve">hese figures should be sourced from the </w:t>
      </w:r>
      <w:r w:rsidR="00AA256A" w:rsidRPr="00594970">
        <w:t xml:space="preserve">following </w:t>
      </w:r>
      <w:r w:rsidR="00A57737" w:rsidRPr="00594970">
        <w:t>report</w:t>
      </w:r>
      <w:r w:rsidR="00AA256A" w:rsidRPr="00594970">
        <w:t>s</w:t>
      </w:r>
      <w:r w:rsidR="000114D6" w:rsidRPr="00594970">
        <w:t xml:space="preserve"> from CBMS</w:t>
      </w:r>
      <w:r w:rsidR="00AA256A" w:rsidRPr="00594970">
        <w:t>:</w:t>
      </w:r>
    </w:p>
    <w:p w14:paraId="6A15E464" w14:textId="77777777" w:rsidR="00104E81" w:rsidRPr="00594970" w:rsidRDefault="00A57737" w:rsidP="003514C5">
      <w:pPr>
        <w:pStyle w:val="ListBullet3BlueCBMSReportsPath"/>
      </w:pPr>
      <w:r w:rsidRPr="00594970">
        <w:t xml:space="preserve">Reports </w:t>
      </w:r>
      <w:r w:rsidR="00327649" w:rsidRPr="00594970">
        <w:t xml:space="preserve"> </w:t>
      </w:r>
      <w:r w:rsidR="00327649" w:rsidRPr="00594970">
        <w:sym w:font="Wingdings" w:char="F0E0"/>
      </w:r>
      <w:r w:rsidR="00327649" w:rsidRPr="00594970">
        <w:t xml:space="preserve"> </w:t>
      </w:r>
      <w:r w:rsidRPr="00594970">
        <w:t xml:space="preserve"> CBMS Reporting </w:t>
      </w:r>
      <w:r w:rsidR="00327649" w:rsidRPr="00594970">
        <w:t xml:space="preserve"> </w:t>
      </w:r>
      <w:r w:rsidR="00327649" w:rsidRPr="00594970">
        <w:sym w:font="Wingdings" w:char="F0E0"/>
      </w:r>
      <w:r w:rsidR="00327649" w:rsidRPr="00594970">
        <w:t xml:space="preserve"> </w:t>
      </w:r>
      <w:r w:rsidRPr="00594970">
        <w:t xml:space="preserve"> Operational Reports </w:t>
      </w:r>
      <w:r w:rsidR="00327649" w:rsidRPr="00594970">
        <w:t xml:space="preserve"> </w:t>
      </w:r>
      <w:r w:rsidR="00327649" w:rsidRPr="00594970">
        <w:sym w:font="Wingdings" w:char="F0E0"/>
      </w:r>
      <w:r w:rsidR="00327649" w:rsidRPr="00594970">
        <w:t xml:space="preserve"> </w:t>
      </w:r>
      <w:r w:rsidRPr="00594970">
        <w:t xml:space="preserve"> Estimates </w:t>
      </w:r>
      <w:r w:rsidR="00327649" w:rsidRPr="00594970">
        <w:t xml:space="preserve"> </w:t>
      </w:r>
      <w:r w:rsidR="00327649" w:rsidRPr="00594970">
        <w:sym w:font="Wingdings" w:char="F0E0"/>
      </w:r>
      <w:r w:rsidR="00327649" w:rsidRPr="00594970">
        <w:t xml:space="preserve"> </w:t>
      </w:r>
      <w:r w:rsidRPr="00594970">
        <w:t xml:space="preserve"> </w:t>
      </w:r>
      <w:r w:rsidR="001C5F5D" w:rsidRPr="00594970">
        <w:t>Annual estimates</w:t>
      </w:r>
      <w:r w:rsidR="00327649" w:rsidRPr="00594970">
        <w:t xml:space="preserve">  </w:t>
      </w:r>
      <w:r w:rsidR="00327649" w:rsidRPr="00594970">
        <w:sym w:font="Wingdings" w:char="F0E0"/>
      </w:r>
      <w:r w:rsidR="00327649" w:rsidRPr="00594970">
        <w:t xml:space="preserve"> </w:t>
      </w:r>
      <w:r w:rsidRPr="00594970">
        <w:t xml:space="preserve"> </w:t>
      </w:r>
      <w:r w:rsidR="009E3805" w:rsidRPr="00594970">
        <w:t xml:space="preserve">AE.OR.17 </w:t>
      </w:r>
      <w:r w:rsidR="001C5F5D" w:rsidRPr="00594970">
        <w:t>Agency Resourcing QA report</w:t>
      </w:r>
      <w:r w:rsidR="00104E81" w:rsidRPr="00594970">
        <w:t xml:space="preserve"> </w:t>
      </w:r>
    </w:p>
    <w:p w14:paraId="7C004005" w14:textId="07425FE8" w:rsidR="00A57737" w:rsidRPr="00594970" w:rsidRDefault="00104E81" w:rsidP="003514C5">
      <w:pPr>
        <w:pStyle w:val="ListBullet3BlueCBMSReportsPath"/>
      </w:pPr>
      <w:r w:rsidRPr="00594970">
        <w:t>Note: check the “Receipts” columns in the Agency Resourcing QA report</w:t>
      </w:r>
    </w:p>
    <w:p w14:paraId="230D6821" w14:textId="1EC64F55" w:rsidR="00AA256A" w:rsidRPr="00594970" w:rsidRDefault="00AA256A" w:rsidP="003514C5">
      <w:pPr>
        <w:pStyle w:val="ListBullet3BlueCBMSReportsPath"/>
      </w:pPr>
      <w:r w:rsidRPr="00594970">
        <w:lastRenderedPageBreak/>
        <w:t xml:space="preserve">Reports </w:t>
      </w:r>
      <w:r w:rsidRPr="00594970">
        <w:sym w:font="Wingdings" w:char="F0E0"/>
      </w:r>
      <w:r w:rsidRPr="00594970">
        <w:t xml:space="preserve">  CBMS Reporting  </w:t>
      </w:r>
      <w:r w:rsidRPr="00594970">
        <w:sym w:font="Wingdings" w:char="F0E0"/>
      </w:r>
      <w:r w:rsidRPr="00594970">
        <w:t xml:space="preserve">  Operational Reports  </w:t>
      </w:r>
      <w:r w:rsidRPr="00594970">
        <w:sym w:font="Wingdings" w:char="F0E0"/>
      </w:r>
      <w:r w:rsidRPr="00594970">
        <w:t xml:space="preserve">  Estimates  </w:t>
      </w:r>
      <w:r w:rsidRPr="00594970">
        <w:sym w:font="Wingdings" w:char="F0E0"/>
      </w:r>
      <w:r w:rsidRPr="00594970">
        <w:t xml:space="preserve">  Annual estimates  </w:t>
      </w:r>
      <w:r w:rsidRPr="00594970">
        <w:sym w:font="Wingdings" w:char="F0E0"/>
      </w:r>
      <w:r w:rsidRPr="00594970">
        <w:t xml:space="preserve">  AE.OR.16 Appropriation by Outcome</w:t>
      </w:r>
    </w:p>
    <w:p w14:paraId="30A505DD" w14:textId="18660493" w:rsidR="000114D6" w:rsidRPr="00594970" w:rsidRDefault="000114D6" w:rsidP="003514C5">
      <w:pPr>
        <w:pStyle w:val="ListBullet2"/>
      </w:pPr>
      <w:r w:rsidRPr="00594970">
        <w:t xml:space="preserve">The </w:t>
      </w:r>
      <w:r w:rsidRPr="00594970">
        <w:rPr>
          <w:u w:val="single"/>
        </w:rPr>
        <w:t>"Administered appropriations"</w:t>
      </w:r>
      <w:r w:rsidRPr="00594970">
        <w:t xml:space="preserve"> rows should be taken from the Appropriation Bill 3 </w:t>
      </w:r>
      <w:r w:rsidR="001A0C9C" w:rsidRPr="00594970">
        <w:t xml:space="preserve">and 4 </w:t>
      </w:r>
      <w:r w:rsidR="009E3805" w:rsidRPr="00594970">
        <w:t>“</w:t>
      </w:r>
      <w:r w:rsidR="00322636" w:rsidRPr="00594970">
        <w:t>P</w:t>
      </w:r>
      <w:r w:rsidR="009E3805" w:rsidRPr="00594970">
        <w:t>ortfolio Summary and Detail”</w:t>
      </w:r>
      <w:r w:rsidR="007A524F" w:rsidRPr="00594970">
        <w:t xml:space="preserve"> </w:t>
      </w:r>
      <w:r w:rsidRPr="00594970">
        <w:t>report from CBMS and match the "outcome" and "payments to corporate entities" splits outlined in the Bill.</w:t>
      </w:r>
    </w:p>
    <w:p w14:paraId="45DEC77A" w14:textId="77777777" w:rsidR="000114D6" w:rsidRPr="00594970" w:rsidRDefault="000114D6" w:rsidP="003514C5">
      <w:pPr>
        <w:pStyle w:val="ListBullet3"/>
      </w:pPr>
      <w:r w:rsidRPr="00594970">
        <w:t xml:space="preserve">For portfolio departments, the Appropriation Bill 3 and 4 reports should be run at the portfolio rather than entity level. </w:t>
      </w:r>
    </w:p>
    <w:p w14:paraId="789230AA" w14:textId="1CCA4536" w:rsidR="0076232D" w:rsidRPr="00594970" w:rsidRDefault="000114D6" w:rsidP="003514C5">
      <w:pPr>
        <w:pStyle w:val="ListBullet3"/>
      </w:pPr>
      <w:r w:rsidRPr="00594970">
        <w:t>Amounts under the "Actual Available Appropriation" column can be sourced by running the AAA Report (which provides a point-in-time figure) and including any amounts yet to be appropriated, e.g. amounts through Appropriation Bill (No. 3) and Advances to the Finance Minister.</w:t>
      </w:r>
    </w:p>
    <w:p w14:paraId="11EEB0BA" w14:textId="7205BBF3" w:rsidR="000114D6" w:rsidRPr="00594970" w:rsidRDefault="000114D6" w:rsidP="003514C5">
      <w:pPr>
        <w:pStyle w:val="ListBullet4"/>
      </w:pPr>
      <w:r w:rsidRPr="00594970">
        <w:t xml:space="preserve">This amount can also be sourced from the Appropriation note of the entity's </w:t>
      </w:r>
      <w:r w:rsidR="00447651" w:rsidRPr="00594970">
        <w:t>2018-19</w:t>
      </w:r>
      <w:r w:rsidRPr="00594970">
        <w:t xml:space="preserve"> annual report, under the "Appropriations applied" column.</w:t>
      </w:r>
    </w:p>
    <w:p w14:paraId="0CFE8226" w14:textId="77777777" w:rsidR="000114D6" w:rsidRPr="00594970" w:rsidRDefault="000114D6" w:rsidP="003514C5">
      <w:pPr>
        <w:pStyle w:val="ListBullet2"/>
      </w:pPr>
      <w:r w:rsidRPr="00594970">
        <w:t xml:space="preserve">The </w:t>
      </w:r>
      <w:r w:rsidRPr="00594970">
        <w:rPr>
          <w:u w:val="single"/>
        </w:rPr>
        <w:t>"Departmental/Administered Capital Budget"</w:t>
      </w:r>
      <w:r w:rsidRPr="00594970">
        <w:t xml:space="preserve"> figures should be sourced from the Capital Budget Statement (choose either Departmental or Administered - figures will be recorded against "9170000 - Capital Budget - Bill 1 (DCB)").</w:t>
      </w:r>
    </w:p>
    <w:p w14:paraId="1AD3B696" w14:textId="77777777" w:rsidR="000114D6" w:rsidRPr="00594970" w:rsidRDefault="000114D6" w:rsidP="003514C5">
      <w:pPr>
        <w:pStyle w:val="ListBullet2"/>
      </w:pPr>
      <w:r w:rsidRPr="00594970">
        <w:t xml:space="preserve">The </w:t>
      </w:r>
      <w:r w:rsidRPr="00594970">
        <w:rPr>
          <w:u w:val="single"/>
        </w:rPr>
        <w:t>"Annual Appropriations - other services"</w:t>
      </w:r>
      <w:r w:rsidRPr="00594970">
        <w:t xml:space="preserve"> rows should be taken from the Appropriation Bill 4</w:t>
      </w:r>
      <w:r w:rsidR="009E3805" w:rsidRPr="00594970">
        <w:t xml:space="preserve"> “portfolio Summary and Detail”</w:t>
      </w:r>
      <w:r w:rsidRPr="00594970">
        <w:t xml:space="preserve"> report from CBMS.</w:t>
      </w:r>
    </w:p>
    <w:p w14:paraId="4710569C" w14:textId="77777777" w:rsidR="000114D6" w:rsidRPr="00594970" w:rsidRDefault="000114D6" w:rsidP="003514C5">
      <w:pPr>
        <w:pStyle w:val="ListBullet3"/>
      </w:pPr>
      <w:r w:rsidRPr="00594970">
        <w:t xml:space="preserve">For portfolio departments, the Appropriation Bill 4 report should be run at the portfolio rather than entity level. </w:t>
      </w:r>
    </w:p>
    <w:p w14:paraId="58D76866" w14:textId="77777777" w:rsidR="000114D6" w:rsidRPr="00594970" w:rsidRDefault="000114D6" w:rsidP="003514C5">
      <w:pPr>
        <w:pStyle w:val="ListBullet3"/>
      </w:pPr>
      <w:r w:rsidRPr="00594970">
        <w:t>Amounts under the "Estimated Actual" column can be sourced by running the AAA Report (which provides a point-in-time figure) and including any amounts yet to be appropriated, e.g. amounts through Appropriation Bill (No. 3) and Advances to the Finance Minister.</w:t>
      </w:r>
    </w:p>
    <w:p w14:paraId="5ACD0711" w14:textId="536B33D9" w:rsidR="000114D6" w:rsidRPr="00594970" w:rsidRDefault="000114D6" w:rsidP="003514C5">
      <w:pPr>
        <w:pStyle w:val="ListBullet2"/>
      </w:pPr>
      <w:r w:rsidRPr="00594970">
        <w:t xml:space="preserve">The </w:t>
      </w:r>
      <w:r w:rsidRPr="00594970">
        <w:rPr>
          <w:u w:val="single"/>
        </w:rPr>
        <w:t>"Payments to corporate entities"</w:t>
      </w:r>
      <w:r w:rsidRPr="00594970">
        <w:t xml:space="preserve"> rows should be sourced from the </w:t>
      </w:r>
      <w:r w:rsidR="00752F6A" w:rsidRPr="00594970">
        <w:br/>
      </w:r>
      <w:r w:rsidRPr="00594970">
        <w:t>Appropriation Act 1 and Bill 3</w:t>
      </w:r>
      <w:r w:rsidR="005C29E5" w:rsidRPr="00594970">
        <w:t>,</w:t>
      </w:r>
      <w:r w:rsidRPr="00594970">
        <w:t xml:space="preserve"> and Act 2 and Bill 4 </w:t>
      </w:r>
      <w:r w:rsidR="00F3595D" w:rsidRPr="00594970">
        <w:t>“P</w:t>
      </w:r>
      <w:r w:rsidR="009E3805" w:rsidRPr="00594970">
        <w:t xml:space="preserve">ortfolio Summary and Detail” </w:t>
      </w:r>
      <w:r w:rsidRPr="00594970">
        <w:t>reports.</w:t>
      </w:r>
    </w:p>
    <w:p w14:paraId="0694F43E" w14:textId="77777777" w:rsidR="0012658F" w:rsidRPr="00594970" w:rsidRDefault="0012658F" w:rsidP="003514C5">
      <w:pPr>
        <w:pStyle w:val="ListBullet2"/>
      </w:pPr>
      <w:r w:rsidRPr="00594970">
        <w:t xml:space="preserve">Entities that have proposed appropriations through Appropriation Bill (No. 4) for </w:t>
      </w:r>
      <w:r w:rsidRPr="00594970">
        <w:rPr>
          <w:u w:val="single"/>
        </w:rPr>
        <w:t>‘Payments to States, ACT, NT and local government’</w:t>
      </w:r>
      <w:r w:rsidRPr="00594970">
        <w:t xml:space="preserve"> must include additional information in a </w:t>
      </w:r>
      <w:r w:rsidRPr="00594970">
        <w:rPr>
          <w:u w:val="single"/>
        </w:rPr>
        <w:t>mandatory</w:t>
      </w:r>
      <w:r w:rsidRPr="00594970">
        <w:t xml:space="preserve"> footnote to Table 1.1 Entity Resourcing Statement.</w:t>
      </w:r>
    </w:p>
    <w:p w14:paraId="0C69DBD5" w14:textId="79942D54" w:rsidR="000114D6" w:rsidRPr="00594970" w:rsidRDefault="000114D6" w:rsidP="003514C5">
      <w:pPr>
        <w:pStyle w:val="ListBullet2"/>
      </w:pPr>
      <w:r w:rsidRPr="00594970">
        <w:t>The "</w:t>
      </w:r>
      <w:r w:rsidRPr="00594970">
        <w:rPr>
          <w:u w:val="single"/>
        </w:rPr>
        <w:t>Special Appropriations</w:t>
      </w:r>
      <w:r w:rsidRPr="00594970">
        <w:t>" rows should reflect expenses expected to be incurred in relation to special appropriations. These figures should be an update of the figures published in B</w:t>
      </w:r>
      <w:r w:rsidR="006F0CBA" w:rsidRPr="00594970">
        <w:t xml:space="preserve">udget </w:t>
      </w:r>
      <w:r w:rsidRPr="00594970">
        <w:t>P</w:t>
      </w:r>
      <w:r w:rsidR="006F0CBA" w:rsidRPr="00594970">
        <w:t>aper</w:t>
      </w:r>
      <w:r w:rsidRPr="00594970">
        <w:t xml:space="preserve"> 4 (in both the Special Appropriations table and also the Entity Resource Table), and be recorded against the "Special Appropriation" appropriation type in CBMS. Special Appropriations should be reported as an aggregate in Table 1.1, with details of the special appropriations reported in Table 2.X.1 (Budgeted expenses for Outcome X).</w:t>
      </w:r>
    </w:p>
    <w:p w14:paraId="542342AF" w14:textId="77777777" w:rsidR="000114D6" w:rsidRPr="00594970" w:rsidRDefault="000114D6" w:rsidP="003514C5">
      <w:pPr>
        <w:pStyle w:val="ListBullet2"/>
      </w:pPr>
      <w:r w:rsidRPr="00594970">
        <w:t>The "</w:t>
      </w:r>
      <w:r w:rsidRPr="00594970">
        <w:rPr>
          <w:u w:val="single"/>
        </w:rPr>
        <w:t>Special Accounts</w:t>
      </w:r>
      <w:r w:rsidRPr="00594970">
        <w:t>" rows should reflect the opening balances and receipts for all special accounts managed by the entity. These figures should be drawn from the Special Accounts report from CBMS. Special public moneys held in "Services for Other Entities and Trust Moneys" (SOETM) accounts should be excluded from this figure as they do not constitute funds available to the entity. Details of special accounts will also be reported in Table 2.X.1 (Budgeted expenses for Outcome X) and Special Account Flows Table 3.1.</w:t>
      </w:r>
    </w:p>
    <w:p w14:paraId="7C80E4BD" w14:textId="26513C9A" w:rsidR="000114D6" w:rsidRPr="00594970" w:rsidRDefault="000114D6" w:rsidP="003514C5">
      <w:pPr>
        <w:pStyle w:val="ListBullet2"/>
      </w:pPr>
      <w:r w:rsidRPr="00594970">
        <w:t>The "</w:t>
      </w:r>
      <w:r w:rsidRPr="00594970">
        <w:rPr>
          <w:u w:val="single"/>
        </w:rPr>
        <w:t>Average Staffing Level</w:t>
      </w:r>
      <w:r w:rsidRPr="00594970">
        <w:t xml:space="preserve">" should reflect changes to ASL since the </w:t>
      </w:r>
      <w:r w:rsidR="006F0CBA" w:rsidRPr="00594970">
        <w:t>2019-20</w:t>
      </w:r>
      <w:r w:rsidRPr="00594970">
        <w:t xml:space="preserve"> Budget and report total entity ASL figures. These should match the totals shown at the bottom of the </w:t>
      </w:r>
      <w:r w:rsidRPr="00594970">
        <w:lastRenderedPageBreak/>
        <w:t>outcome expense tables (Table 2.X.1)</w:t>
      </w:r>
      <w:r w:rsidR="005C29E5" w:rsidRPr="00594970">
        <w:t xml:space="preserve"> </w:t>
      </w:r>
      <w:r w:rsidRPr="00594970">
        <w:t>(if all outcomes are reported). If unsure please discuss with Finance</w:t>
      </w:r>
      <w:r w:rsidR="00447651" w:rsidRPr="00594970">
        <w:t>.</w:t>
      </w:r>
    </w:p>
    <w:p w14:paraId="77D41D91" w14:textId="77777777" w:rsidR="000114D6" w:rsidRPr="00594970" w:rsidRDefault="000114D6" w:rsidP="003514C5">
      <w:pPr>
        <w:pStyle w:val="ListBullet2"/>
      </w:pPr>
      <w:r w:rsidRPr="00594970">
        <w:t>The "</w:t>
      </w:r>
      <w:r w:rsidRPr="00594970">
        <w:rPr>
          <w:u w:val="single"/>
        </w:rPr>
        <w:t>Third Party Payments</w:t>
      </w:r>
      <w:r w:rsidRPr="00594970">
        <w:t xml:space="preserve">" information will be drawn from entities' own records and should be agreed with the relevant entities. These figures should be prepared on a consistent basis with the rest of Table 1.1, i.e. using resourcing/appropriations transferred figures, and the reader should be able to reconcile figures between entities. </w:t>
      </w:r>
    </w:p>
    <w:p w14:paraId="16951774" w14:textId="158E94EC" w:rsidR="0076232D" w:rsidRPr="00594970" w:rsidRDefault="000114D6" w:rsidP="003514C5">
      <w:pPr>
        <w:pStyle w:val="ListBullet3"/>
      </w:pPr>
      <w:r w:rsidRPr="00594970">
        <w:t>This sub-table should only be prepared by those entities which:</w:t>
      </w:r>
    </w:p>
    <w:p w14:paraId="16A0A4C1" w14:textId="19F3E553" w:rsidR="0076232D" w:rsidRPr="00594970" w:rsidRDefault="005C29E5" w:rsidP="003514C5">
      <w:pPr>
        <w:pStyle w:val="ListBullet4"/>
      </w:pPr>
      <w:r w:rsidRPr="00594970">
        <w:t>are material entities</w:t>
      </w:r>
      <w:r w:rsidR="000114D6" w:rsidRPr="00594970">
        <w:t xml:space="preserve"> </w:t>
      </w:r>
      <w:r w:rsidRPr="00594970">
        <w:t xml:space="preserve">and </w:t>
      </w:r>
      <w:r w:rsidR="000114D6" w:rsidRPr="00594970">
        <w:t>have total third party payments of $10</w:t>
      </w:r>
      <w:r w:rsidRPr="00594970">
        <w:t xml:space="preserve"> million or more in a year; </w:t>
      </w:r>
      <w:r w:rsidR="000114D6" w:rsidRPr="00594970">
        <w:t>or</w:t>
      </w:r>
      <w:r w:rsidR="0076232D" w:rsidRPr="00594970">
        <w:tab/>
      </w:r>
    </w:p>
    <w:p w14:paraId="7FACCF60" w14:textId="3CB14E7C" w:rsidR="0076232D" w:rsidRPr="00594970" w:rsidRDefault="000114D6" w:rsidP="003514C5">
      <w:pPr>
        <w:pStyle w:val="ListBullet4"/>
      </w:pPr>
      <w:proofErr w:type="gramStart"/>
      <w:r w:rsidRPr="00594970">
        <w:t>have</w:t>
      </w:r>
      <w:proofErr w:type="gramEnd"/>
      <w:r w:rsidRPr="00594970">
        <w:t xml:space="preserve"> third party payments totalling more than 25 per cent of their total resourcing.</w:t>
      </w:r>
    </w:p>
    <w:p w14:paraId="0DF55C9D" w14:textId="77777777" w:rsidR="000114D6" w:rsidRPr="00594970" w:rsidRDefault="000114D6" w:rsidP="003514C5">
      <w:pPr>
        <w:pStyle w:val="ListBullet2"/>
      </w:pPr>
      <w:r w:rsidRPr="00594970">
        <w:t>This sub-table is intended to show the types and materiality of inter-entity transfers of resourcing. Figures shown will be a sub-set of the total resourcing shown in the top section of Table 1.1.</w:t>
      </w:r>
    </w:p>
    <w:p w14:paraId="18EEBA85" w14:textId="42DFCEE3" w:rsidR="000114D6" w:rsidRPr="00594970" w:rsidRDefault="000114D6" w:rsidP="003514C5">
      <w:pPr>
        <w:pStyle w:val="ListBullet3"/>
      </w:pPr>
      <w:r w:rsidRPr="00594970">
        <w:rPr>
          <w:u w:val="single"/>
        </w:rPr>
        <w:t>"Payments made on behalf of another entity"</w:t>
      </w:r>
      <w:r w:rsidRPr="00594970">
        <w:t xml:space="preserve"> occur where an entity accesses another entity's appropriations to pay recipients or external par</w:t>
      </w:r>
      <w:r w:rsidR="00AB479A" w:rsidRPr="00594970">
        <w:t xml:space="preserve">ties on behalf </w:t>
      </w:r>
      <w:r w:rsidR="00752F6A" w:rsidRPr="00594970">
        <w:t xml:space="preserve">of </w:t>
      </w:r>
      <w:r w:rsidR="00AB479A" w:rsidRPr="00594970">
        <w:t>the other entity. F</w:t>
      </w:r>
      <w:r w:rsidRPr="00594970">
        <w:t>or example, the Department of Human Services (DHS) would show the amount of appropriations it draws upon to pay income support recipients on behalf of policy departments, such as the Department of Social Services (DSS).</w:t>
      </w:r>
    </w:p>
    <w:p w14:paraId="19763EBC" w14:textId="7C210028" w:rsidR="000114D6" w:rsidRPr="00594970" w:rsidRDefault="000114D6" w:rsidP="003514C5">
      <w:pPr>
        <w:pStyle w:val="ListBullet3"/>
      </w:pPr>
      <w:r w:rsidRPr="00594970">
        <w:rPr>
          <w:u w:val="single"/>
        </w:rPr>
        <w:t>"Payments made by other entities on behalf of the entity"</w:t>
      </w:r>
      <w:r w:rsidRPr="00594970">
        <w:t xml:space="preserve"> are those payments which have been outsourced to another entity to administer, for example, DSS would disclose the appropriations being drawn upon by DHS to pay income support recipients. </w:t>
      </w:r>
    </w:p>
    <w:p w14:paraId="68517189" w14:textId="191000AF" w:rsidR="000114D6" w:rsidRPr="00594970" w:rsidRDefault="000114D6" w:rsidP="003514C5">
      <w:pPr>
        <w:pStyle w:val="ListBullet3"/>
      </w:pPr>
      <w:r w:rsidRPr="00594970">
        <w:rPr>
          <w:u w:val="single"/>
        </w:rPr>
        <w:t>"Payments made to other entities for the provision of services"</w:t>
      </w:r>
      <w:r w:rsidRPr="00594970">
        <w:t xml:space="preserve"> are amounts paid to other entities for contracted services, for example, for shared/corporate services. </w:t>
      </w:r>
    </w:p>
    <w:p w14:paraId="177D7A4D" w14:textId="15F700AF" w:rsidR="000114D6" w:rsidRPr="00594970" w:rsidRDefault="000114D6" w:rsidP="003514C5">
      <w:pPr>
        <w:pStyle w:val="ListBullet3"/>
      </w:pPr>
      <w:r w:rsidRPr="00594970">
        <w:rPr>
          <w:u w:val="single"/>
        </w:rPr>
        <w:t>"Receipts received from other entities for the provision of services"</w:t>
      </w:r>
      <w:r w:rsidRPr="00594970">
        <w:t xml:space="preserve"> are amounts received where the entity provides services to another entity, for example, for the provision of shared/corporate services. </w:t>
      </w:r>
    </w:p>
    <w:p w14:paraId="43C9942B" w14:textId="3FE1FB83" w:rsidR="000114D6" w:rsidRPr="00594970" w:rsidRDefault="000114D6" w:rsidP="003514C5">
      <w:pPr>
        <w:pStyle w:val="ListBullet3"/>
      </w:pPr>
      <w:r w:rsidRPr="00594970">
        <w:rPr>
          <w:u w:val="single"/>
        </w:rPr>
        <w:t>"Payments made to corporate entities within the portfolio"</w:t>
      </w:r>
      <w:r w:rsidRPr="00594970">
        <w:t xml:space="preserve"> provides a breakdown </w:t>
      </w:r>
      <w:r w:rsidR="00C854B1" w:rsidRPr="00594970">
        <w:t xml:space="preserve">by entity </w:t>
      </w:r>
      <w:r w:rsidRPr="00594970">
        <w:t>of payments (from all appropriation sources) made by portfolio departments to each corporate entity in the portfolio - figures shown here should include amounts disclosed as "payments to corporate entities" in the Appropriation Bills. These amounts should be consistent with any figures reported in Table 2.X.1.</w:t>
      </w:r>
    </w:p>
    <w:p w14:paraId="2746184E" w14:textId="77777777" w:rsidR="000114D6" w:rsidRPr="00594970" w:rsidRDefault="000114D6" w:rsidP="005C2636">
      <w:pPr>
        <w:rPr>
          <w:i/>
        </w:rPr>
      </w:pPr>
      <w:r w:rsidRPr="00594970">
        <w:rPr>
          <w:b/>
          <w:i/>
        </w:rPr>
        <w:t>Note:</w:t>
      </w:r>
      <w:r w:rsidRPr="00594970">
        <w:rPr>
          <w:i/>
        </w:rPr>
        <w:t xml:space="preserve"> Only additional Appropriations (i.e. not reductions in appropriations) are shown in the Appropriation Bills, and therefore should be shown in the Entity Resource Statement. This aligns with the purpose of the Entity Resource Statement, to show the total available resources rather than the expected expenditure.  </w:t>
      </w:r>
    </w:p>
    <w:p w14:paraId="471F2447" w14:textId="77777777" w:rsidR="000114D6" w:rsidRPr="00594970" w:rsidRDefault="000114D6" w:rsidP="005C2636">
      <w:pPr>
        <w:rPr>
          <w:i/>
        </w:rPr>
      </w:pPr>
      <w:r w:rsidRPr="00594970">
        <w:rPr>
          <w:i/>
        </w:rPr>
        <w:t>Special Appropriation figures are to be updated to reflect any changes to estimated expenses for the Budget year.</w:t>
      </w:r>
    </w:p>
    <w:p w14:paraId="03E9C436" w14:textId="60C43472" w:rsidR="000114D6" w:rsidRPr="00594970" w:rsidRDefault="000114D6" w:rsidP="00F31EC9">
      <w:pPr>
        <w:pStyle w:val="Heading2"/>
      </w:pPr>
      <w:bookmarkStart w:id="100" w:name="Entity_Measure_Table"/>
      <w:bookmarkStart w:id="101" w:name="_bookmark33"/>
      <w:bookmarkStart w:id="102" w:name="_Toc26963568"/>
      <w:bookmarkEnd w:id="100"/>
      <w:bookmarkEnd w:id="101"/>
      <w:r w:rsidRPr="00594970">
        <w:lastRenderedPageBreak/>
        <w:t>Entity Measure</w:t>
      </w:r>
      <w:r w:rsidR="00AB0DBD" w:rsidRPr="00594970">
        <w:t>s</w:t>
      </w:r>
      <w:r w:rsidRPr="00594970">
        <w:t xml:space="preserve"> Table</w:t>
      </w:r>
      <w:bookmarkEnd w:id="102"/>
    </w:p>
    <w:p w14:paraId="3A18FCFF" w14:textId="6E37DA71" w:rsidR="000114D6" w:rsidRPr="00594970" w:rsidRDefault="000114D6" w:rsidP="005C2636">
      <w:r w:rsidRPr="00594970">
        <w:t>The Measures section highlights new government decisions taken since Budget. It includes measure</w:t>
      </w:r>
      <w:r w:rsidR="00AB0DBD" w:rsidRPr="00594970">
        <w:t>s</w:t>
      </w:r>
      <w:r w:rsidRPr="00594970">
        <w:t xml:space="preserve"> title</w:t>
      </w:r>
      <w:r w:rsidR="00C854B1" w:rsidRPr="00594970">
        <w:t>s and estimates from the current</w:t>
      </w:r>
      <w:r w:rsidRPr="00594970">
        <w:t xml:space="preserve"> Budget and forward years. Measures indicate the Government’s new expense, revenue and capital measures for the years ahead.</w:t>
      </w:r>
    </w:p>
    <w:p w14:paraId="6BAE9102" w14:textId="791CC0C3" w:rsidR="000114D6" w:rsidRPr="00594970" w:rsidRDefault="000114D6" w:rsidP="005C2636">
      <w:r w:rsidRPr="00594970">
        <w:t>The measure</w:t>
      </w:r>
      <w:r w:rsidR="00AB0DBD" w:rsidRPr="00594970">
        <w:t>s</w:t>
      </w:r>
      <w:r w:rsidRPr="00594970">
        <w:t xml:space="preserve"> titles and the Budget and forward estimate figures included in this table </w:t>
      </w:r>
      <w:r w:rsidRPr="00594970">
        <w:rPr>
          <w:b/>
        </w:rPr>
        <w:t>must match</w:t>
      </w:r>
      <w:r w:rsidRPr="00594970">
        <w:t xml:space="preserve"> t</w:t>
      </w:r>
      <w:r w:rsidR="00466142" w:rsidRPr="00594970">
        <w:t xml:space="preserve">he figures published in the </w:t>
      </w:r>
      <w:r w:rsidR="00C02202" w:rsidRPr="00594970">
        <w:t>2019-20</w:t>
      </w:r>
      <w:r w:rsidRPr="00594970">
        <w:t xml:space="preserve"> MYEFO or Budget publication – a list of final measures titles and figures will be provided to AAUs. MYEFO is an authoritative document, whereas the PAES explain Appropriation Bills. All measures that have a resource impact (positive or negative) must be listed in the measures table. If a measure has no resource impact but the details would aid Parliament’s understanding of the government initiative, entities may wish to consider including the details in their measures table.</w:t>
      </w:r>
    </w:p>
    <w:p w14:paraId="22FDF9C8" w14:textId="77777777" w:rsidR="000114D6" w:rsidRPr="00594970" w:rsidRDefault="000114D6" w:rsidP="005C2636">
      <w:r w:rsidRPr="00594970">
        <w:t>The title for cross portfolio measures should be the same in each PAES affected by the measure. Where the entity is not the lead entity, i.e. the measure description appears under another portfolio in MYEFO, a footnote must be included to reference the lead portfolio to enable a clear connection to the measure description in the MYEFO measures section.</w:t>
      </w:r>
    </w:p>
    <w:p w14:paraId="04643178" w14:textId="2E9F46EE" w:rsidR="000114D6" w:rsidRPr="00594970" w:rsidRDefault="000114D6" w:rsidP="005C2636">
      <w:r w:rsidRPr="00594970">
        <w:t>In the PAES, entities are to list the program(s) within which the measure</w:t>
      </w:r>
      <w:r w:rsidR="00AB0DBD" w:rsidRPr="00594970">
        <w:t>s</w:t>
      </w:r>
      <w:r w:rsidRPr="00594970">
        <w:t xml:space="preserve"> will be implemented. If there are too many programs, entities are to list the outcomes affected. This provides the reader with further organisational context for the measure</w:t>
      </w:r>
      <w:r w:rsidR="00AB0DBD" w:rsidRPr="00594970">
        <w:t>s</w:t>
      </w:r>
      <w:r w:rsidRPr="00594970">
        <w:t xml:space="preserve"> and provides a link between the measure</w:t>
      </w:r>
      <w:r w:rsidR="00AB0DBD" w:rsidRPr="00594970">
        <w:t>s</w:t>
      </w:r>
      <w:r w:rsidRPr="00594970">
        <w:t xml:space="preserve"> and the related performance information in Section Two of the PB Statement / PAES.</w:t>
      </w:r>
    </w:p>
    <w:p w14:paraId="12CA8AD5" w14:textId="5F1BF13F" w:rsidR="000114D6" w:rsidRPr="00594970" w:rsidRDefault="000114D6" w:rsidP="005C2636">
      <w:r w:rsidRPr="00594970">
        <w:t>Where there are MOG changes, the gaining entity should publish any new measures relating to the function(s) being gained.</w:t>
      </w:r>
    </w:p>
    <w:p w14:paraId="099F700D" w14:textId="27E8FE4B" w:rsidR="000114D6" w:rsidRPr="00594970" w:rsidRDefault="000114D6" w:rsidP="005C2636">
      <w:pPr>
        <w:rPr>
          <w:i/>
        </w:rPr>
      </w:pPr>
      <w:r w:rsidRPr="00594970">
        <w:rPr>
          <w:b/>
          <w:i/>
        </w:rPr>
        <w:t xml:space="preserve">Note: </w:t>
      </w:r>
      <w:r w:rsidRPr="00594970">
        <w:rPr>
          <w:i/>
        </w:rPr>
        <w:t xml:space="preserve">If decisions are taken after MYEFO, and are included in Appropriation Bill Nos. 3 and 4 as part of the </w:t>
      </w:r>
      <w:r w:rsidR="00D64A45" w:rsidRPr="00594970">
        <w:rPr>
          <w:i/>
        </w:rPr>
        <w:t xml:space="preserve">additional </w:t>
      </w:r>
      <w:r w:rsidRPr="00594970">
        <w:rPr>
          <w:i/>
        </w:rPr>
        <w:t xml:space="preserve">estimates update, they are still to be included in the </w:t>
      </w:r>
      <w:r w:rsidR="003C48D3" w:rsidRPr="00594970">
        <w:rPr>
          <w:i/>
        </w:rPr>
        <w:t xml:space="preserve">Table 1.2 Entity 2019-20 </w:t>
      </w:r>
      <w:r w:rsidRPr="00594970">
        <w:rPr>
          <w:i/>
        </w:rPr>
        <w:t xml:space="preserve">measures </w:t>
      </w:r>
      <w:r w:rsidR="003C48D3" w:rsidRPr="00594970">
        <w:rPr>
          <w:i/>
        </w:rPr>
        <w:t>since Budget</w:t>
      </w:r>
      <w:r w:rsidRPr="00594970">
        <w:rPr>
          <w:i/>
        </w:rPr>
        <w:t>.  The full measure description and title will not be published until the 201</w:t>
      </w:r>
      <w:r w:rsidR="00466142" w:rsidRPr="00594970">
        <w:rPr>
          <w:i/>
        </w:rPr>
        <w:t>9-20</w:t>
      </w:r>
      <w:r w:rsidRPr="00594970">
        <w:rPr>
          <w:i/>
        </w:rPr>
        <w:t xml:space="preserve"> Budget Paper No.</w:t>
      </w:r>
      <w:r w:rsidR="00A73559" w:rsidRPr="00594970">
        <w:rPr>
          <w:i/>
        </w:rPr>
        <w:t xml:space="preserve"> </w:t>
      </w:r>
      <w:r w:rsidRPr="00594970">
        <w:rPr>
          <w:i/>
        </w:rPr>
        <w:t>2 is available.</w:t>
      </w:r>
    </w:p>
    <w:p w14:paraId="4BE2E753" w14:textId="5EC0A4B2" w:rsidR="00B75E83" w:rsidRPr="00594970" w:rsidRDefault="003658FD" w:rsidP="00F31EC9">
      <w:pPr>
        <w:pStyle w:val="Heading3"/>
      </w:pPr>
      <w:bookmarkStart w:id="103" w:name="_Toc26963569"/>
      <w:r w:rsidRPr="00594970">
        <w:t xml:space="preserve">Appropriation Bill 1 and 2 - </w:t>
      </w:r>
      <w:r w:rsidR="00DD6207" w:rsidRPr="00594970">
        <w:t>2019 Pre-election Economic and Fiscal Outlook (PEFO)</w:t>
      </w:r>
      <w:r w:rsidR="009C0A9C" w:rsidRPr="00594970">
        <w:t>,</w:t>
      </w:r>
      <w:r w:rsidR="00DD6207" w:rsidRPr="00594970">
        <w:t xml:space="preserve"> </w:t>
      </w:r>
      <w:r w:rsidR="00B75E83" w:rsidRPr="00594970">
        <w:t>Election Commitments</w:t>
      </w:r>
      <w:r w:rsidR="009C0A9C" w:rsidRPr="00594970">
        <w:t xml:space="preserve"> </w:t>
      </w:r>
      <w:r w:rsidR="00143AEF" w:rsidRPr="00594970">
        <w:t>I</w:t>
      </w:r>
      <w:r w:rsidR="009C0A9C" w:rsidRPr="00594970">
        <w:t xml:space="preserve">ncluding a </w:t>
      </w:r>
      <w:r w:rsidR="00143AEF" w:rsidRPr="00594970">
        <w:t>C</w:t>
      </w:r>
      <w:r w:rsidR="009C0A9C" w:rsidRPr="00594970">
        <w:t>ross</w:t>
      </w:r>
      <w:r w:rsidR="00143AEF" w:rsidRPr="00594970">
        <w:t>-P</w:t>
      </w:r>
      <w:r w:rsidR="009C0A9C" w:rsidRPr="00594970">
        <w:t xml:space="preserve">ortfolio </w:t>
      </w:r>
      <w:r w:rsidR="00143AEF" w:rsidRPr="00594970">
        <w:t>S</w:t>
      </w:r>
      <w:r w:rsidR="009C0A9C" w:rsidRPr="00594970">
        <w:t xml:space="preserve">avings </w:t>
      </w:r>
      <w:r w:rsidR="00143AEF" w:rsidRPr="00594970">
        <w:t>M</w:t>
      </w:r>
      <w:r w:rsidR="009C0A9C" w:rsidRPr="00594970">
        <w:t>easure</w:t>
      </w:r>
      <w:bookmarkEnd w:id="103"/>
    </w:p>
    <w:p w14:paraId="356DB93E" w14:textId="10064AAA" w:rsidR="00B86765" w:rsidRPr="00594970" w:rsidRDefault="00B86765" w:rsidP="00B86765">
      <w:r w:rsidRPr="00594970">
        <w:t xml:space="preserve">Due to the timing of </w:t>
      </w:r>
      <w:r w:rsidR="00425FA5" w:rsidRPr="00594970">
        <w:t xml:space="preserve">the </w:t>
      </w:r>
      <w:r w:rsidRPr="00594970">
        <w:t xml:space="preserve">2019-20 Budget, the </w:t>
      </w:r>
      <w:r w:rsidR="008B011F" w:rsidRPr="00594970">
        <w:t>2019 Federal E</w:t>
      </w:r>
      <w:r w:rsidRPr="00594970">
        <w:t xml:space="preserve">lection, </w:t>
      </w:r>
      <w:r w:rsidR="00DD6207" w:rsidRPr="00594970">
        <w:t>PEFO and</w:t>
      </w:r>
      <w:r w:rsidRPr="00594970">
        <w:t xml:space="preserve"> Election Commitments </w:t>
      </w:r>
      <w:r w:rsidR="00EB551F" w:rsidRPr="00594970">
        <w:t xml:space="preserve">including the Government’s cross-portfolio Savings Efficiency Dividend </w:t>
      </w:r>
      <w:r w:rsidRPr="00594970">
        <w:t>announced after the delivery of the 2019-20 Budget</w:t>
      </w:r>
      <w:r w:rsidR="00AB0DBD" w:rsidRPr="00594970">
        <w:t>,</w:t>
      </w:r>
      <w:r w:rsidRPr="00594970">
        <w:t xml:space="preserve"> </w:t>
      </w:r>
      <w:r w:rsidR="00012002" w:rsidRPr="00594970">
        <w:t xml:space="preserve">a number of </w:t>
      </w:r>
      <w:r w:rsidR="00464607" w:rsidRPr="00594970">
        <w:t xml:space="preserve">the </w:t>
      </w:r>
      <w:r w:rsidR="00012002" w:rsidRPr="00594970">
        <w:t xml:space="preserve">decisions </w:t>
      </w:r>
      <w:r w:rsidR="00EB551F" w:rsidRPr="00594970">
        <w:t xml:space="preserve">were </w:t>
      </w:r>
      <w:r w:rsidRPr="00594970">
        <w:t xml:space="preserve">not reported </w:t>
      </w:r>
      <w:r w:rsidR="00E152B4" w:rsidRPr="00594970">
        <w:t xml:space="preserve">to Parliament </w:t>
      </w:r>
      <w:r w:rsidR="00DD6207" w:rsidRPr="00594970">
        <w:t>as part of</w:t>
      </w:r>
      <w:r w:rsidRPr="00594970">
        <w:t xml:space="preserve"> </w:t>
      </w:r>
      <w:r w:rsidR="00464607" w:rsidRPr="00594970">
        <w:t xml:space="preserve">a </w:t>
      </w:r>
      <w:r w:rsidRPr="00594970">
        <w:t>PB</w:t>
      </w:r>
      <w:r w:rsidR="00464607" w:rsidRPr="00594970">
        <w:t xml:space="preserve"> </w:t>
      </w:r>
      <w:r w:rsidR="00E152B4" w:rsidRPr="00594970">
        <w:t>S</w:t>
      </w:r>
      <w:r w:rsidRPr="00594970">
        <w:t>tatement.</w:t>
      </w:r>
    </w:p>
    <w:p w14:paraId="183200E1" w14:textId="4B695069" w:rsidR="00976EC2" w:rsidRPr="00594970" w:rsidRDefault="00B86765" w:rsidP="005C2636">
      <w:r w:rsidRPr="00594970">
        <w:t>You may recall t</w:t>
      </w:r>
      <w:r w:rsidR="0053514A" w:rsidRPr="00594970">
        <w:t xml:space="preserve">he </w:t>
      </w:r>
      <w:r w:rsidR="007D31F3" w:rsidRPr="00594970">
        <w:rPr>
          <w:i/>
        </w:rPr>
        <w:t xml:space="preserve">Supply </w:t>
      </w:r>
      <w:r w:rsidR="00762CE3" w:rsidRPr="00594970">
        <w:rPr>
          <w:i/>
        </w:rPr>
        <w:t>Act</w:t>
      </w:r>
      <w:r w:rsidR="00976EC2" w:rsidRPr="00594970">
        <w:rPr>
          <w:i/>
        </w:rPr>
        <w:t xml:space="preserve">s </w:t>
      </w:r>
      <w:r w:rsidR="00F46684" w:rsidRPr="00594970">
        <w:rPr>
          <w:i/>
        </w:rPr>
        <w:t>(No.</w:t>
      </w:r>
      <w:r w:rsidR="00762CE3" w:rsidRPr="00594970">
        <w:rPr>
          <w:i/>
        </w:rPr>
        <w:t>1 and 2</w:t>
      </w:r>
      <w:r w:rsidR="00F46684" w:rsidRPr="00594970">
        <w:rPr>
          <w:i/>
        </w:rPr>
        <w:t>)</w:t>
      </w:r>
      <w:r w:rsidR="00762CE3" w:rsidRPr="00594970">
        <w:rPr>
          <w:i/>
        </w:rPr>
        <w:t xml:space="preserve"> </w:t>
      </w:r>
      <w:r w:rsidR="00976EC2" w:rsidRPr="00594970">
        <w:rPr>
          <w:i/>
        </w:rPr>
        <w:t>2019-20</w:t>
      </w:r>
      <w:r w:rsidR="00976EC2" w:rsidRPr="00594970">
        <w:t xml:space="preserve"> </w:t>
      </w:r>
      <w:r w:rsidR="007D31F3" w:rsidRPr="00594970">
        <w:t xml:space="preserve">were </w:t>
      </w:r>
      <w:r w:rsidR="00762CE3" w:rsidRPr="00594970">
        <w:t>utilised to fund 5/12</w:t>
      </w:r>
      <w:r w:rsidR="00762CE3" w:rsidRPr="00594970">
        <w:rPr>
          <w:vertAlign w:val="superscript"/>
        </w:rPr>
        <w:t>ths</w:t>
      </w:r>
      <w:r w:rsidR="00762CE3" w:rsidRPr="00594970">
        <w:t xml:space="preserve"> of the estimated Annual Appropriations </w:t>
      </w:r>
      <w:r w:rsidR="00F46684" w:rsidRPr="00594970">
        <w:t xml:space="preserve">required </w:t>
      </w:r>
      <w:r w:rsidR="00762CE3" w:rsidRPr="00594970">
        <w:t>for the ordinary annual services of the Gover</w:t>
      </w:r>
      <w:r w:rsidRPr="00594970">
        <w:t>nment whilst t</w:t>
      </w:r>
      <w:r w:rsidR="00762CE3" w:rsidRPr="00594970">
        <w:t xml:space="preserve">he remaining </w:t>
      </w:r>
      <w:r w:rsidR="00976EC2" w:rsidRPr="00594970">
        <w:t>7/12</w:t>
      </w:r>
      <w:r w:rsidR="00976EC2" w:rsidRPr="00594970">
        <w:rPr>
          <w:vertAlign w:val="superscript"/>
        </w:rPr>
        <w:t>ths</w:t>
      </w:r>
      <w:r w:rsidR="00976EC2" w:rsidRPr="00594970">
        <w:t xml:space="preserve"> were appropriated on </w:t>
      </w:r>
      <w:r w:rsidR="00F46684" w:rsidRPr="00594970">
        <w:t xml:space="preserve">12 November 2019 through </w:t>
      </w:r>
      <w:r w:rsidR="00F46684" w:rsidRPr="00594970">
        <w:rPr>
          <w:i/>
        </w:rPr>
        <w:t>Appropriation Bills (No.</w:t>
      </w:r>
      <w:r w:rsidR="00AB0DBD" w:rsidRPr="00594970">
        <w:rPr>
          <w:i/>
        </w:rPr>
        <w:t xml:space="preserve"> </w:t>
      </w:r>
      <w:r w:rsidR="00F46684" w:rsidRPr="00594970">
        <w:rPr>
          <w:i/>
        </w:rPr>
        <w:t>1 and 2) 2019-20</w:t>
      </w:r>
      <w:r w:rsidR="00F46684" w:rsidRPr="00594970">
        <w:t>.</w:t>
      </w:r>
    </w:p>
    <w:p w14:paraId="38C04478" w14:textId="3B6EC483" w:rsidR="0053514A" w:rsidRPr="00594970" w:rsidRDefault="00CA1DFE" w:rsidP="0053514A">
      <w:r w:rsidRPr="00594970">
        <w:t>T</w:t>
      </w:r>
      <w:r w:rsidR="00DD6207" w:rsidRPr="00594970">
        <w:t>he PEFO was reported as</w:t>
      </w:r>
      <w:r w:rsidR="00B32090">
        <w:t xml:space="preserve"> a</w:t>
      </w:r>
      <w:r w:rsidR="00DD6207" w:rsidRPr="00594970">
        <w:t xml:space="preserve"> separate Economic Statement in April 2019, whilst t</w:t>
      </w:r>
      <w:r w:rsidR="00B86765" w:rsidRPr="00594970">
        <w:t>he Government’s</w:t>
      </w:r>
      <w:r w:rsidR="008441BA" w:rsidRPr="00594970">
        <w:t xml:space="preserve"> Election Commitments were reported in </w:t>
      </w:r>
      <w:r w:rsidR="008441BA" w:rsidRPr="00594970">
        <w:rPr>
          <w:u w:val="single"/>
        </w:rPr>
        <w:t>Appendix A</w:t>
      </w:r>
      <w:r w:rsidR="008441BA" w:rsidRPr="00594970">
        <w:t xml:space="preserve"> of </w:t>
      </w:r>
      <w:r w:rsidR="0053514A" w:rsidRPr="00594970">
        <w:t xml:space="preserve">the </w:t>
      </w:r>
      <w:r w:rsidR="0053514A" w:rsidRPr="00594970">
        <w:rPr>
          <w:i/>
        </w:rPr>
        <w:t xml:space="preserve">Explanatory </w:t>
      </w:r>
      <w:r w:rsidR="0053514A" w:rsidRPr="00594970">
        <w:rPr>
          <w:i/>
        </w:rPr>
        <w:lastRenderedPageBreak/>
        <w:t>Memorandum to the Appropriations Bills (No.</w:t>
      </w:r>
      <w:r w:rsidR="00AB0DBD" w:rsidRPr="00594970">
        <w:rPr>
          <w:i/>
        </w:rPr>
        <w:t xml:space="preserve"> </w:t>
      </w:r>
      <w:r w:rsidR="0053514A" w:rsidRPr="00594970">
        <w:rPr>
          <w:i/>
        </w:rPr>
        <w:t>1 and 2) 2019-20</w:t>
      </w:r>
      <w:r w:rsidR="00A475E7" w:rsidRPr="00594970">
        <w:rPr>
          <w:i/>
        </w:rPr>
        <w:t xml:space="preserve"> </w:t>
      </w:r>
      <w:r w:rsidR="00A475E7" w:rsidRPr="00594970">
        <w:t>assented on the 11</w:t>
      </w:r>
      <w:r w:rsidR="006C1510" w:rsidRPr="00594970">
        <w:t> </w:t>
      </w:r>
      <w:r w:rsidR="00A475E7" w:rsidRPr="00594970">
        <w:t>November</w:t>
      </w:r>
      <w:r w:rsidR="006C1510" w:rsidRPr="00594970">
        <w:t> </w:t>
      </w:r>
      <w:r w:rsidR="00A475E7" w:rsidRPr="00594970">
        <w:t>2019</w:t>
      </w:r>
      <w:r w:rsidR="0053514A" w:rsidRPr="00594970">
        <w:t>.</w:t>
      </w:r>
    </w:p>
    <w:p w14:paraId="6D2577B0" w14:textId="789B7F29" w:rsidR="0053514A" w:rsidRPr="00594970" w:rsidRDefault="0053514A" w:rsidP="005C2636">
      <w:r w:rsidRPr="00594970">
        <w:t>Even though the</w:t>
      </w:r>
      <w:r w:rsidR="00DD6207" w:rsidRPr="00594970">
        <w:t xml:space="preserve"> PEFO and</w:t>
      </w:r>
      <w:r w:rsidRPr="00594970">
        <w:t xml:space="preserve"> Election Commitments</w:t>
      </w:r>
      <w:r w:rsidR="00B32090">
        <w:t xml:space="preserve"> were</w:t>
      </w:r>
      <w:r w:rsidRPr="00594970">
        <w:rPr>
          <w:i/>
        </w:rPr>
        <w:t xml:space="preserve"> </w:t>
      </w:r>
      <w:r w:rsidR="00CA1DFE" w:rsidRPr="00594970">
        <w:t xml:space="preserve">reported in the Estimates Memorandum </w:t>
      </w:r>
      <w:r w:rsidR="00DE6C4C" w:rsidRPr="00594970">
        <w:t xml:space="preserve">accompanying </w:t>
      </w:r>
      <w:r w:rsidR="00280FF9" w:rsidRPr="00594970">
        <w:rPr>
          <w:i/>
        </w:rPr>
        <w:t xml:space="preserve">Appropriations Acts </w:t>
      </w:r>
      <w:r w:rsidR="00DD6207" w:rsidRPr="00594970">
        <w:rPr>
          <w:i/>
        </w:rPr>
        <w:t>(No.</w:t>
      </w:r>
      <w:r w:rsidR="00AB0DBD" w:rsidRPr="00594970">
        <w:rPr>
          <w:i/>
        </w:rPr>
        <w:t xml:space="preserve"> </w:t>
      </w:r>
      <w:r w:rsidR="00280FF9" w:rsidRPr="00594970">
        <w:rPr>
          <w:i/>
        </w:rPr>
        <w:t>1</w:t>
      </w:r>
      <w:r w:rsidR="00DD6207" w:rsidRPr="00594970">
        <w:rPr>
          <w:i/>
        </w:rPr>
        <w:t xml:space="preserve"> and 2) </w:t>
      </w:r>
      <w:r w:rsidR="00E41179" w:rsidRPr="00594970">
        <w:rPr>
          <w:i/>
        </w:rPr>
        <w:t>2019-20</w:t>
      </w:r>
      <w:r w:rsidR="00280FF9" w:rsidRPr="00594970">
        <w:t xml:space="preserve">, </w:t>
      </w:r>
      <w:r w:rsidR="00E41179" w:rsidRPr="00594970">
        <w:t xml:space="preserve">they still need to be reported in </w:t>
      </w:r>
      <w:r w:rsidR="00B86765" w:rsidRPr="00594970">
        <w:t>a PB Statement.  The next opportunity an entity has to report the</w:t>
      </w:r>
      <w:r w:rsidR="00EC45DC" w:rsidRPr="00594970">
        <w:t xml:space="preserve">se </w:t>
      </w:r>
      <w:r w:rsidR="00DD6207" w:rsidRPr="00594970">
        <w:t xml:space="preserve">measures </w:t>
      </w:r>
      <w:r w:rsidR="00B86765" w:rsidRPr="00594970">
        <w:t>will be in the</w:t>
      </w:r>
      <w:r w:rsidR="00DD6207" w:rsidRPr="00594970">
        <w:t>ir</w:t>
      </w:r>
      <w:r w:rsidR="00B86765" w:rsidRPr="00594970">
        <w:t xml:space="preserve"> </w:t>
      </w:r>
      <w:r w:rsidR="00EC45DC" w:rsidRPr="00594970">
        <w:t xml:space="preserve">2019-20 </w:t>
      </w:r>
      <w:r w:rsidR="00E41179" w:rsidRPr="00594970">
        <w:t>PAES</w:t>
      </w:r>
      <w:r w:rsidR="00AD078A" w:rsidRPr="00594970">
        <w:t xml:space="preserve"> </w:t>
      </w:r>
      <w:r w:rsidR="00AD078A" w:rsidRPr="00594970">
        <w:rPr>
          <w:i/>
        </w:rPr>
        <w:t>Table 1.2 Entity 2019-20 measures since Budget</w:t>
      </w:r>
      <w:r w:rsidR="00DD6207" w:rsidRPr="00594970">
        <w:t xml:space="preserve">, where they </w:t>
      </w:r>
      <w:r w:rsidR="00AD078A" w:rsidRPr="00594970">
        <w:t xml:space="preserve">require an appropriation </w:t>
      </w:r>
      <w:r w:rsidR="0055483D" w:rsidRPr="00594970">
        <w:t xml:space="preserve">under </w:t>
      </w:r>
      <w:r w:rsidR="00AD078A" w:rsidRPr="00594970">
        <w:t>Bills 3 and 4</w:t>
      </w:r>
      <w:r w:rsidR="00B86765" w:rsidRPr="00594970">
        <w:t>.</w:t>
      </w:r>
    </w:p>
    <w:p w14:paraId="3CA6662B" w14:textId="53065584" w:rsidR="00255967" w:rsidRPr="00594970" w:rsidRDefault="00E65470">
      <w:r w:rsidRPr="00594970">
        <w:t xml:space="preserve">Since </w:t>
      </w:r>
      <w:r w:rsidR="008D3CA8" w:rsidRPr="00594970">
        <w:t xml:space="preserve">the PEFO and </w:t>
      </w:r>
      <w:r w:rsidRPr="00594970">
        <w:t>Election Commitment</w:t>
      </w:r>
      <w:r w:rsidR="008D3CA8" w:rsidRPr="00594970">
        <w:t xml:space="preserve"> measures</w:t>
      </w:r>
      <w:r w:rsidRPr="00594970">
        <w:t xml:space="preserve"> </w:t>
      </w:r>
      <w:r w:rsidR="008D3CA8" w:rsidRPr="00594970">
        <w:t xml:space="preserve">are to </w:t>
      </w:r>
      <w:r w:rsidRPr="00594970">
        <w:t xml:space="preserve">be reported </w:t>
      </w:r>
      <w:r w:rsidR="00EC45DC" w:rsidRPr="00594970">
        <w:t>in</w:t>
      </w:r>
      <w:r w:rsidR="0029754E" w:rsidRPr="00594970">
        <w:t xml:space="preserve"> </w:t>
      </w:r>
      <w:r w:rsidRPr="00594970">
        <w:t>PAES</w:t>
      </w:r>
      <w:r w:rsidR="0029754E" w:rsidRPr="00594970">
        <w:t xml:space="preserve"> Table 1.2</w:t>
      </w:r>
      <w:r w:rsidR="008D3CA8" w:rsidRPr="00594970">
        <w:t xml:space="preserve">, but do not </w:t>
      </w:r>
      <w:r w:rsidRPr="00594970">
        <w:t xml:space="preserve">impact the </w:t>
      </w:r>
      <w:r w:rsidR="001F7F0E" w:rsidRPr="00594970">
        <w:t xml:space="preserve">overall </w:t>
      </w:r>
      <w:r w:rsidRPr="00594970">
        <w:t xml:space="preserve">level </w:t>
      </w:r>
      <w:r w:rsidR="00F07450" w:rsidRPr="00594970">
        <w:t xml:space="preserve">the </w:t>
      </w:r>
      <w:r w:rsidRPr="00594970">
        <w:t>resourcing received by</w:t>
      </w:r>
      <w:r w:rsidR="00D2017D" w:rsidRPr="00594970">
        <w:t xml:space="preserve"> the</w:t>
      </w:r>
      <w:r w:rsidRPr="00594970">
        <w:t xml:space="preserve"> entit</w:t>
      </w:r>
      <w:r w:rsidR="00D2017D" w:rsidRPr="00594970">
        <w:t>y</w:t>
      </w:r>
      <w:r w:rsidRPr="00594970">
        <w:t xml:space="preserve"> </w:t>
      </w:r>
      <w:r w:rsidR="00F07450" w:rsidRPr="00594970">
        <w:t xml:space="preserve">through </w:t>
      </w:r>
      <w:r w:rsidRPr="00594970">
        <w:t xml:space="preserve">Appropriation Bills 3 and 4, </w:t>
      </w:r>
      <w:r w:rsidR="00F07450" w:rsidRPr="00594970">
        <w:t>new footnote</w:t>
      </w:r>
      <w:r w:rsidR="0055483D" w:rsidRPr="00594970">
        <w:t>s</w:t>
      </w:r>
      <w:r w:rsidR="00F07450" w:rsidRPr="00594970">
        <w:t xml:space="preserve"> </w:t>
      </w:r>
      <w:r w:rsidR="00255967" w:rsidRPr="00594970">
        <w:t>“</w:t>
      </w:r>
      <w:r w:rsidR="0044510B" w:rsidRPr="00594970">
        <w:t>(d)</w:t>
      </w:r>
      <w:r w:rsidR="00255967" w:rsidRPr="00594970">
        <w:t>”</w:t>
      </w:r>
      <w:r w:rsidR="0044510B" w:rsidRPr="00594970">
        <w:t xml:space="preserve"> </w:t>
      </w:r>
      <w:r w:rsidR="00CA1DFE" w:rsidRPr="00594970">
        <w:t xml:space="preserve">and “(e)” </w:t>
      </w:r>
      <w:r w:rsidR="0055483D" w:rsidRPr="00594970">
        <w:t>were</w:t>
      </w:r>
      <w:r w:rsidR="00F07450" w:rsidRPr="00594970">
        <w:t xml:space="preserve"> </w:t>
      </w:r>
      <w:r w:rsidR="008D3CA8" w:rsidRPr="00594970">
        <w:t xml:space="preserve">created </w:t>
      </w:r>
      <w:r w:rsidR="0044510B" w:rsidRPr="00594970">
        <w:t>for entities to use</w:t>
      </w:r>
      <w:r w:rsidR="008D3CA8" w:rsidRPr="00594970">
        <w:t>.</w:t>
      </w:r>
    </w:p>
    <w:p w14:paraId="0EC959DE" w14:textId="2E39CB7B" w:rsidR="00C80BA7" w:rsidRPr="00594970" w:rsidRDefault="0029754E">
      <w:r w:rsidRPr="00594970">
        <w:t>E</w:t>
      </w:r>
      <w:r w:rsidR="0044510B" w:rsidRPr="00594970">
        <w:t xml:space="preserve">ntities </w:t>
      </w:r>
      <w:r w:rsidRPr="00594970">
        <w:t xml:space="preserve">will need </w:t>
      </w:r>
      <w:r w:rsidR="0044510B" w:rsidRPr="00594970">
        <w:t xml:space="preserve">to apply </w:t>
      </w:r>
      <w:r w:rsidR="00940833" w:rsidRPr="00594970">
        <w:t xml:space="preserve">either of the </w:t>
      </w:r>
      <w:r w:rsidR="00255967" w:rsidRPr="00594970">
        <w:t xml:space="preserve">following </w:t>
      </w:r>
      <w:r w:rsidR="0044510B" w:rsidRPr="00594970">
        <w:t>footnote</w:t>
      </w:r>
      <w:r w:rsidR="005A6EE7" w:rsidRPr="00594970">
        <w:t>s</w:t>
      </w:r>
      <w:r w:rsidR="0044510B" w:rsidRPr="00594970">
        <w:t xml:space="preserve"> against </w:t>
      </w:r>
      <w:r w:rsidR="0055483D" w:rsidRPr="00594970">
        <w:t xml:space="preserve">their </w:t>
      </w:r>
      <w:r w:rsidR="008D3CA8" w:rsidRPr="00594970">
        <w:t xml:space="preserve">PEFO and </w:t>
      </w:r>
      <w:r w:rsidR="0055483D" w:rsidRPr="00594970">
        <w:t xml:space="preserve">/ or </w:t>
      </w:r>
      <w:r w:rsidR="00255967" w:rsidRPr="00594970">
        <w:t xml:space="preserve">Election Commitment </w:t>
      </w:r>
      <w:r w:rsidR="008D3CA8" w:rsidRPr="00594970">
        <w:t>measure</w:t>
      </w:r>
      <w:r w:rsidR="0055483D" w:rsidRPr="00594970">
        <w:t>s</w:t>
      </w:r>
      <w:r w:rsidR="008D3CA8" w:rsidRPr="00594970">
        <w:t xml:space="preserve"> </w:t>
      </w:r>
      <w:r w:rsidR="0055483D" w:rsidRPr="00594970">
        <w:t xml:space="preserve">they report </w:t>
      </w:r>
      <w:r w:rsidR="008D3CA8" w:rsidRPr="00594970">
        <w:t>in their measure table</w:t>
      </w:r>
      <w:r w:rsidR="00255967" w:rsidRPr="00594970">
        <w:t>:</w:t>
      </w:r>
    </w:p>
    <w:p w14:paraId="7F651F7F" w14:textId="5F137BF0" w:rsidR="00940833" w:rsidRPr="00594970" w:rsidRDefault="00940833" w:rsidP="004D23FA">
      <w:pPr>
        <w:pStyle w:val="CBMSReportPath"/>
        <w:ind w:left="720"/>
      </w:pPr>
      <w:r w:rsidRPr="00594970">
        <w:t>“(d</w:t>
      </w:r>
      <w:proofErr w:type="gramStart"/>
      <w:r w:rsidRPr="00594970">
        <w:t>)</w:t>
      </w:r>
      <w:r w:rsidR="0055483D" w:rsidRPr="00594970">
        <w:t xml:space="preserve"> </w:t>
      </w:r>
      <w:r w:rsidRPr="00594970">
        <w:t xml:space="preserve"> Measure</w:t>
      </w:r>
      <w:proofErr w:type="gramEnd"/>
      <w:r w:rsidRPr="00594970">
        <w:t xml:space="preserve"> relates to a commitment identified </w:t>
      </w:r>
      <w:r w:rsidR="000642CD" w:rsidRPr="00594970">
        <w:t>under</w:t>
      </w:r>
      <w:r w:rsidR="00FB1237" w:rsidRPr="00594970">
        <w:t xml:space="preserve"> </w:t>
      </w:r>
      <w:r w:rsidR="00FB1237" w:rsidRPr="00594970">
        <w:rPr>
          <w:u w:val="single"/>
        </w:rPr>
        <w:t>Appendix B</w:t>
      </w:r>
      <w:r w:rsidR="00FB1237" w:rsidRPr="00594970">
        <w:t xml:space="preserve"> included </w:t>
      </w:r>
      <w:r w:rsidR="00281551" w:rsidRPr="00594970">
        <w:t xml:space="preserve">with </w:t>
      </w:r>
      <w:r w:rsidR="000642CD" w:rsidRPr="00594970">
        <w:t>the</w:t>
      </w:r>
      <w:r w:rsidRPr="00594970">
        <w:t xml:space="preserve"> 2019</w:t>
      </w:r>
      <w:r w:rsidR="00281551" w:rsidRPr="00594970">
        <w:t> </w:t>
      </w:r>
      <w:r w:rsidRPr="00594970">
        <w:t>PEFO</w:t>
      </w:r>
      <w:r w:rsidR="00281551" w:rsidRPr="00594970">
        <w:t> </w:t>
      </w:r>
      <w:r w:rsidRPr="00594970">
        <w:t>economic statement.”</w:t>
      </w:r>
    </w:p>
    <w:p w14:paraId="6797FDD6" w14:textId="278935E0" w:rsidR="000E1250" w:rsidRPr="00594970" w:rsidRDefault="000E1250" w:rsidP="00F31EC9">
      <w:pPr>
        <w:ind w:left="1440"/>
      </w:pPr>
      <w:r w:rsidRPr="00594970">
        <w:t>Or where appropriate</w:t>
      </w:r>
      <w:r w:rsidR="00AB0DBD" w:rsidRPr="00594970">
        <w:t>:</w:t>
      </w:r>
    </w:p>
    <w:p w14:paraId="5B8D72BA" w14:textId="5E6E475C" w:rsidR="00EC45DC" w:rsidRPr="00594970" w:rsidRDefault="00EC45DC" w:rsidP="004D23FA">
      <w:pPr>
        <w:pStyle w:val="CBMSReportPath"/>
        <w:ind w:left="720"/>
      </w:pPr>
      <w:r w:rsidRPr="00594970">
        <w:t>“(</w:t>
      </w:r>
      <w:r w:rsidR="00940833" w:rsidRPr="00594970">
        <w:t>e</w:t>
      </w:r>
      <w:proofErr w:type="gramStart"/>
      <w:r w:rsidRPr="00594970">
        <w:t>)  Measure</w:t>
      </w:r>
      <w:proofErr w:type="gramEnd"/>
      <w:r w:rsidRPr="00594970">
        <w:t xml:space="preserve"> relates to an Election Commitment identified </w:t>
      </w:r>
      <w:r w:rsidR="00281551" w:rsidRPr="00594970">
        <w:t xml:space="preserve">under </w:t>
      </w:r>
      <w:r w:rsidRPr="00594970">
        <w:rPr>
          <w:u w:val="single"/>
        </w:rPr>
        <w:t>Appendix A</w:t>
      </w:r>
      <w:r w:rsidRPr="00594970">
        <w:t xml:space="preserve"> included </w:t>
      </w:r>
      <w:r w:rsidR="00281551" w:rsidRPr="00594970">
        <w:t>with</w:t>
      </w:r>
      <w:r w:rsidRPr="00594970">
        <w:t xml:space="preserve"> the Explanatory Memorandum to the 2019-20 Appropriation Bills 1 and</w:t>
      </w:r>
      <w:r w:rsidR="009C0A9C" w:rsidRPr="00594970">
        <w:t xml:space="preserve"> </w:t>
      </w:r>
      <w:r w:rsidRPr="00594970">
        <w:t>2.</w:t>
      </w:r>
      <w:r w:rsidR="00A937D5" w:rsidRPr="00594970">
        <w:t>”</w:t>
      </w:r>
    </w:p>
    <w:p w14:paraId="241F660C" w14:textId="47B47F45" w:rsidR="000E1250" w:rsidRPr="00594970" w:rsidRDefault="00CA0170" w:rsidP="000E1250">
      <w:pPr>
        <w:rPr>
          <w:i/>
        </w:rPr>
      </w:pPr>
      <w:r w:rsidRPr="00594970">
        <w:rPr>
          <w:i/>
          <w:u w:val="single"/>
        </w:rPr>
        <w:t>Note:</w:t>
      </w:r>
      <w:r w:rsidRPr="00594970">
        <w:rPr>
          <w:i/>
        </w:rPr>
        <w:t xml:space="preserve"> </w:t>
      </w:r>
      <w:r w:rsidR="000E1250" w:rsidRPr="00594970">
        <w:rPr>
          <w:i/>
        </w:rPr>
        <w:t xml:space="preserve">Entities impacted by the reporting of PEFO commitments can be identified by referring to </w:t>
      </w:r>
      <w:r w:rsidR="000E1250" w:rsidRPr="00594970">
        <w:rPr>
          <w:i/>
          <w:u w:val="single"/>
        </w:rPr>
        <w:t>Appendix B</w:t>
      </w:r>
      <w:r w:rsidR="000E1250" w:rsidRPr="00594970">
        <w:rPr>
          <w:i/>
        </w:rPr>
        <w:t xml:space="preserve"> </w:t>
      </w:r>
      <w:r w:rsidR="00937A46" w:rsidRPr="00594970">
        <w:rPr>
          <w:i/>
        </w:rPr>
        <w:t xml:space="preserve">included as part of the </w:t>
      </w:r>
      <w:r w:rsidR="000E1250" w:rsidRPr="00594970">
        <w:rPr>
          <w:i/>
        </w:rPr>
        <w:t>Pre-election Economic and Fiscal Outlook 2019.</w:t>
      </w:r>
    </w:p>
    <w:p w14:paraId="247552E7" w14:textId="299E09B6" w:rsidR="00C41618" w:rsidRPr="00594970" w:rsidRDefault="000F1925" w:rsidP="00C41618">
      <w:pPr>
        <w:rPr>
          <w:i/>
        </w:rPr>
      </w:pPr>
      <w:r w:rsidRPr="00594970">
        <w:rPr>
          <w:i/>
        </w:rPr>
        <w:t xml:space="preserve">Where </w:t>
      </w:r>
      <w:r w:rsidR="000E1250" w:rsidRPr="00594970">
        <w:rPr>
          <w:i/>
        </w:rPr>
        <w:t>e</w:t>
      </w:r>
      <w:r w:rsidR="000B312E" w:rsidRPr="00594970">
        <w:rPr>
          <w:i/>
        </w:rPr>
        <w:t xml:space="preserve">ntities </w:t>
      </w:r>
      <w:r w:rsidRPr="00594970">
        <w:rPr>
          <w:i/>
        </w:rPr>
        <w:t xml:space="preserve">are </w:t>
      </w:r>
      <w:r w:rsidR="0090743F" w:rsidRPr="00594970">
        <w:rPr>
          <w:i/>
        </w:rPr>
        <w:t>impacted by the reporting of Election Commitments</w:t>
      </w:r>
      <w:r w:rsidRPr="00594970">
        <w:rPr>
          <w:i/>
        </w:rPr>
        <w:t xml:space="preserve">, they can be </w:t>
      </w:r>
      <w:r w:rsidR="000B312E" w:rsidRPr="00594970">
        <w:rPr>
          <w:i/>
        </w:rPr>
        <w:t xml:space="preserve">identified </w:t>
      </w:r>
      <w:r w:rsidR="00937A46" w:rsidRPr="00594970">
        <w:rPr>
          <w:i/>
        </w:rPr>
        <w:t>from</w:t>
      </w:r>
      <w:r w:rsidR="000B312E" w:rsidRPr="00594970">
        <w:rPr>
          <w:i/>
        </w:rPr>
        <w:t xml:space="preserve"> </w:t>
      </w:r>
      <w:r w:rsidR="000B312E" w:rsidRPr="00594970">
        <w:rPr>
          <w:i/>
          <w:u w:val="single"/>
        </w:rPr>
        <w:t>Appendix A</w:t>
      </w:r>
      <w:r w:rsidR="00B11BEA" w:rsidRPr="00594970">
        <w:rPr>
          <w:i/>
        </w:rPr>
        <w:t xml:space="preserve"> </w:t>
      </w:r>
      <w:r w:rsidR="00937A46" w:rsidRPr="00594970">
        <w:rPr>
          <w:i/>
        </w:rPr>
        <w:t xml:space="preserve">included in the </w:t>
      </w:r>
      <w:r w:rsidR="00B11BEA" w:rsidRPr="00594970">
        <w:rPr>
          <w:i/>
        </w:rPr>
        <w:t>Explanatory Memorandum to the Appropriation Bills (No. 1</w:t>
      </w:r>
      <w:r w:rsidR="00C41618" w:rsidRPr="00594970">
        <w:rPr>
          <w:i/>
        </w:rPr>
        <w:t xml:space="preserve"> and 2</w:t>
      </w:r>
      <w:r w:rsidR="006C5047" w:rsidRPr="00594970">
        <w:rPr>
          <w:i/>
        </w:rPr>
        <w:t>) 2019</w:t>
      </w:r>
      <w:r w:rsidR="006C5047" w:rsidRPr="00594970">
        <w:rPr>
          <w:i/>
        </w:rPr>
        <w:noBreakHyphen/>
      </w:r>
      <w:r w:rsidR="00B11BEA" w:rsidRPr="00594970">
        <w:rPr>
          <w:i/>
        </w:rPr>
        <w:t>2020</w:t>
      </w:r>
      <w:r w:rsidR="000E1250" w:rsidRPr="00594970">
        <w:rPr>
          <w:i/>
        </w:rPr>
        <w:t>.</w:t>
      </w:r>
    </w:p>
    <w:p w14:paraId="4CBA5413" w14:textId="62C6EDB8" w:rsidR="00AA211E" w:rsidRPr="00594970" w:rsidRDefault="00AA211E" w:rsidP="007F5ACA">
      <w:pPr>
        <w:pStyle w:val="Heading3"/>
      </w:pPr>
      <w:bookmarkStart w:id="104" w:name="_Toc26963570"/>
      <w:r w:rsidRPr="00594970">
        <w:t>Measure</w:t>
      </w:r>
      <w:r w:rsidR="00C41618" w:rsidRPr="00594970">
        <w:t>’</w:t>
      </w:r>
      <w:r w:rsidRPr="00594970">
        <w:t xml:space="preserve">s Table Totals </w:t>
      </w:r>
      <w:r w:rsidR="00255967" w:rsidRPr="00594970">
        <w:t xml:space="preserve">the reporting of </w:t>
      </w:r>
      <w:r w:rsidR="00C845FC" w:rsidRPr="00594970">
        <w:t xml:space="preserve">PEFO, </w:t>
      </w:r>
      <w:r w:rsidRPr="00594970">
        <w:t>Election Commitments and Efficiency Dividend</w:t>
      </w:r>
      <w:bookmarkEnd w:id="104"/>
    </w:p>
    <w:p w14:paraId="2C53D005" w14:textId="58C27127" w:rsidR="00AA211E" w:rsidRPr="00594970" w:rsidRDefault="00AA211E" w:rsidP="00AA211E">
      <w:r w:rsidRPr="00594970">
        <w:t xml:space="preserve">Budget officers need to be mindful that whilst the table’s totals include their </w:t>
      </w:r>
      <w:r w:rsidR="00C845FC" w:rsidRPr="00594970">
        <w:t xml:space="preserve">PEFO, </w:t>
      </w:r>
      <w:r w:rsidRPr="00594970">
        <w:t>Election Commitments</w:t>
      </w:r>
      <w:r w:rsidRPr="00594970">
        <w:rPr>
          <w:i/>
        </w:rPr>
        <w:t xml:space="preserve"> </w:t>
      </w:r>
      <w:r w:rsidRPr="00594970">
        <w:t xml:space="preserve">and their Savings Efficiency Dividend </w:t>
      </w:r>
      <w:r w:rsidR="00C845FC" w:rsidRPr="00594970">
        <w:t xml:space="preserve">measures </w:t>
      </w:r>
      <w:r w:rsidRPr="00594970">
        <w:t>applied against Appropriation Bill</w:t>
      </w:r>
      <w:r w:rsidR="00DC5794" w:rsidRPr="00594970">
        <w:t xml:space="preserve">s </w:t>
      </w:r>
      <w:r w:rsidRPr="00594970">
        <w:t>1</w:t>
      </w:r>
      <w:r w:rsidR="00455556" w:rsidRPr="00594970">
        <w:t> and 2</w:t>
      </w:r>
      <w:r w:rsidRPr="00594970">
        <w:t xml:space="preserve">, </w:t>
      </w:r>
      <w:r w:rsidR="00C41618" w:rsidRPr="00594970">
        <w:t xml:space="preserve">these </w:t>
      </w:r>
      <w:r w:rsidR="00455556" w:rsidRPr="00594970">
        <w:t xml:space="preserve">measures </w:t>
      </w:r>
      <w:r w:rsidRPr="00594970">
        <w:rPr>
          <w:u w:val="single"/>
        </w:rPr>
        <w:t>will not</w:t>
      </w:r>
      <w:r w:rsidRPr="00594970">
        <w:t xml:space="preserve"> impact </w:t>
      </w:r>
      <w:r w:rsidR="00C41618" w:rsidRPr="00594970">
        <w:t>the</w:t>
      </w:r>
      <w:r w:rsidR="00C845FC" w:rsidRPr="00594970">
        <w:t>ir</w:t>
      </w:r>
      <w:r w:rsidRPr="00594970">
        <w:t xml:space="preserve"> entity’s overall level of resourcing received </w:t>
      </w:r>
      <w:r w:rsidR="00455556" w:rsidRPr="00594970">
        <w:t xml:space="preserve">under </w:t>
      </w:r>
      <w:r w:rsidRPr="00594970">
        <w:t>Appropriations Bills 3 and 4.</w:t>
      </w:r>
    </w:p>
    <w:p w14:paraId="13CF91B3" w14:textId="7251583B" w:rsidR="00BC1C4D" w:rsidRPr="00594970" w:rsidRDefault="00FC09AF" w:rsidP="005E4C14">
      <w:r w:rsidRPr="00594970">
        <w:t xml:space="preserve">Where </w:t>
      </w:r>
      <w:r w:rsidR="00C845FC" w:rsidRPr="00594970">
        <w:t xml:space="preserve">an </w:t>
      </w:r>
      <w:r w:rsidRPr="00594970">
        <w:t xml:space="preserve">entity received funding for </w:t>
      </w:r>
      <w:r w:rsidR="00C845FC" w:rsidRPr="00594970">
        <w:t xml:space="preserve">PEFO, </w:t>
      </w:r>
      <w:r w:rsidRPr="00594970">
        <w:t xml:space="preserve">Election Commitments and / or has had an Appropriation Bill 1 Savings Efficiency Dividend applied </w:t>
      </w:r>
      <w:r w:rsidR="008E5048" w:rsidRPr="00594970">
        <w:t xml:space="preserve">to </w:t>
      </w:r>
      <w:r w:rsidRPr="00594970">
        <w:t xml:space="preserve">their </w:t>
      </w:r>
      <w:r w:rsidR="008E5048" w:rsidRPr="00594970">
        <w:t>entity</w:t>
      </w:r>
      <w:r w:rsidR="0049167F" w:rsidRPr="00594970">
        <w:t>,</w:t>
      </w:r>
      <w:r w:rsidR="008E5048" w:rsidRPr="00594970">
        <w:t xml:space="preserve"> </w:t>
      </w:r>
      <w:r w:rsidR="00043436" w:rsidRPr="00594970">
        <w:t>a footnote will need to be added</w:t>
      </w:r>
      <w:r w:rsidR="005E4C14" w:rsidRPr="00594970">
        <w:t xml:space="preserve"> against the totals impacted by these measures. The footnote is intended to highlight to users</w:t>
      </w:r>
      <w:r w:rsidR="00BC1C4D" w:rsidRPr="00594970">
        <w:t xml:space="preserve"> </w:t>
      </w:r>
      <w:r w:rsidR="005E4C14" w:rsidRPr="00594970">
        <w:t>when the</w:t>
      </w:r>
      <w:r w:rsidR="00DC5794" w:rsidRPr="00594970">
        <w:t xml:space="preserve"> entity</w:t>
      </w:r>
      <w:r w:rsidR="005E4C14" w:rsidRPr="00594970">
        <w:t xml:space="preserve"> actually received their resourcing</w:t>
      </w:r>
      <w:r w:rsidR="004B739B" w:rsidRPr="00594970">
        <w:t xml:space="preserve"> for these particular subset of measures</w:t>
      </w:r>
      <w:r w:rsidR="00BC1C4D" w:rsidRPr="00594970">
        <w:t>:</w:t>
      </w:r>
    </w:p>
    <w:p w14:paraId="29CC0023" w14:textId="35B2D734" w:rsidR="008E5048" w:rsidRPr="00594970" w:rsidRDefault="00043436" w:rsidP="00F422D0">
      <w:pPr>
        <w:pStyle w:val="CBMSReportPath"/>
        <w:ind w:left="720"/>
      </w:pPr>
      <w:r w:rsidRPr="00594970">
        <w:t>“(</w:t>
      </w:r>
      <w:r w:rsidR="00DC5794" w:rsidRPr="00594970">
        <w:t>f</w:t>
      </w:r>
      <w:r w:rsidRPr="00594970">
        <w:t xml:space="preserve">) Total includes </w:t>
      </w:r>
      <w:r w:rsidR="00425FA5" w:rsidRPr="00594970">
        <w:t xml:space="preserve">PEFO decisions, </w:t>
      </w:r>
      <w:r w:rsidRPr="00594970">
        <w:t xml:space="preserve">Election Commitments </w:t>
      </w:r>
      <w:r w:rsidR="00380D42" w:rsidRPr="00594970">
        <w:t xml:space="preserve">including </w:t>
      </w:r>
      <w:r w:rsidRPr="00594970">
        <w:t>the Savings Efficiency Dividend applied against 2019-20 Appropriation Acts 1 and 2.</w:t>
      </w:r>
      <w:r w:rsidR="007F5ACA" w:rsidRPr="00594970">
        <w:t>”</w:t>
      </w:r>
    </w:p>
    <w:p w14:paraId="449A52D4" w14:textId="28F6C4D4" w:rsidR="000114D6" w:rsidRPr="00594970" w:rsidRDefault="000114D6" w:rsidP="007F5ACA">
      <w:pPr>
        <w:pStyle w:val="Heading3"/>
      </w:pPr>
      <w:bookmarkStart w:id="105" w:name="_Toc26963571"/>
      <w:r w:rsidRPr="00594970">
        <w:lastRenderedPageBreak/>
        <w:t xml:space="preserve">MYEFO </w:t>
      </w:r>
      <w:r w:rsidR="00B75E83" w:rsidRPr="00594970">
        <w:t>M</w:t>
      </w:r>
      <w:r w:rsidRPr="00594970">
        <w:t>easures</w:t>
      </w:r>
      <w:bookmarkEnd w:id="105"/>
    </w:p>
    <w:p w14:paraId="115244D7" w14:textId="053BFF38" w:rsidR="000114D6" w:rsidRPr="00594970" w:rsidRDefault="000114D6" w:rsidP="005C2636">
      <w:r w:rsidRPr="00594970">
        <w:t xml:space="preserve">If a measure was published in the </w:t>
      </w:r>
      <w:r w:rsidR="003C48D3" w:rsidRPr="00594970">
        <w:t>2019-20</w:t>
      </w:r>
      <w:r w:rsidRPr="00594970">
        <w:t xml:space="preserve"> MYEFO, it should be included in the Measures table with the full measure title and financials.</w:t>
      </w:r>
    </w:p>
    <w:p w14:paraId="1C27A979" w14:textId="77777777" w:rsidR="006016DE" w:rsidRPr="00594970" w:rsidRDefault="006016DE" w:rsidP="000137C6">
      <w:pPr>
        <w:pStyle w:val="Bullet1"/>
      </w:pPr>
      <w:r w:rsidRPr="00594970">
        <w:t>To check the data for new measures, entities are to run the following report in CBMS:</w:t>
      </w:r>
    </w:p>
    <w:p w14:paraId="389D57BB" w14:textId="69FD2E7E" w:rsidR="006016DE" w:rsidRPr="00594970" w:rsidRDefault="006016DE" w:rsidP="00F422D0">
      <w:pPr>
        <w:pStyle w:val="CBMSReportPath"/>
        <w:ind w:left="720"/>
      </w:pPr>
      <w:r w:rsidRPr="00594970">
        <w:t xml:space="preserve">Reports </w:t>
      </w:r>
      <w:r w:rsidR="00327649" w:rsidRPr="00594970">
        <w:t xml:space="preserve"> </w:t>
      </w:r>
      <w:r w:rsidR="00327649" w:rsidRPr="00594970">
        <w:sym w:font="Wingdings" w:char="F0E0"/>
      </w:r>
      <w:r w:rsidR="00327649" w:rsidRPr="00594970">
        <w:t xml:space="preserve">  </w:t>
      </w:r>
      <w:r w:rsidRPr="00594970">
        <w:t>Operational Reports</w:t>
      </w:r>
      <w:r w:rsidR="00327649" w:rsidRPr="00594970">
        <w:t xml:space="preserve"> </w:t>
      </w:r>
      <w:r w:rsidRPr="00594970">
        <w:t xml:space="preserve"> </w:t>
      </w:r>
      <w:r w:rsidR="00327649" w:rsidRPr="00594970">
        <w:sym w:font="Wingdings" w:char="F0E0"/>
      </w:r>
      <w:r w:rsidR="00327649" w:rsidRPr="00594970">
        <w:t xml:space="preserve">  </w:t>
      </w:r>
      <w:r w:rsidRPr="00594970">
        <w:t xml:space="preserve">Estimates </w:t>
      </w:r>
      <w:r w:rsidR="00327649" w:rsidRPr="00594970">
        <w:t xml:space="preserve"> </w:t>
      </w:r>
      <w:r w:rsidR="00327649" w:rsidRPr="00594970">
        <w:sym w:font="Wingdings" w:char="F0E0"/>
      </w:r>
      <w:r w:rsidR="00327649" w:rsidRPr="00594970">
        <w:t xml:space="preserve">  </w:t>
      </w:r>
      <w:r w:rsidRPr="00594970">
        <w:t xml:space="preserve">Annual Estimates </w:t>
      </w:r>
      <w:r w:rsidR="00327649" w:rsidRPr="00594970">
        <w:t xml:space="preserve"> </w:t>
      </w:r>
      <w:r w:rsidR="00327649" w:rsidRPr="00594970">
        <w:sym w:font="Wingdings" w:char="F0E0"/>
      </w:r>
      <w:r w:rsidR="00327649" w:rsidRPr="00594970">
        <w:t xml:space="preserve">  </w:t>
      </w:r>
      <w:r w:rsidRPr="00594970">
        <w:t>AE.OR.19 Annual Estimates Detail Listing GFS Report (PBF)</w:t>
      </w:r>
    </w:p>
    <w:p w14:paraId="073B736F" w14:textId="1B02FA63" w:rsidR="00C71F04" w:rsidRPr="00594970" w:rsidRDefault="00C71F04" w:rsidP="005C2636">
      <w:r w:rsidRPr="00594970">
        <w:t xml:space="preserve">Measure codes are initiated in CBMS by AAUs, which pre-populates the title, decision and authority for the measure. </w:t>
      </w:r>
      <w:r w:rsidR="00BF0917" w:rsidRPr="00594970">
        <w:t xml:space="preserve">Measure figures are to be reported on a fiscal basis as this is the basis on which Budget Paper No. 2 and MYEFO are prepared. </w:t>
      </w:r>
    </w:p>
    <w:p w14:paraId="0EC81C47" w14:textId="5C4C7404" w:rsidR="00BF0917" w:rsidRPr="00594970" w:rsidRDefault="00C71F04" w:rsidP="005C2636">
      <w:r w:rsidRPr="00594970">
        <w:t xml:space="preserve">Measures should be presented and </w:t>
      </w:r>
      <w:r w:rsidR="00C77C95" w:rsidRPr="00594970">
        <w:t>reconcile</w:t>
      </w:r>
      <w:r w:rsidRPr="00594970">
        <w:t xml:space="preserve"> to the figures as per the final list provided by Finance to the portfolio. </w:t>
      </w:r>
      <w:r w:rsidR="00BF0917" w:rsidRPr="00594970">
        <w:t>Entities should check regularly with the relevant AAU to ensure accuracy.</w:t>
      </w:r>
    </w:p>
    <w:p w14:paraId="274F5672" w14:textId="77777777" w:rsidR="00C71F04" w:rsidRPr="00594970" w:rsidRDefault="00C71F04" w:rsidP="007F5ACA">
      <w:pPr>
        <w:pStyle w:val="Heading3"/>
      </w:pPr>
      <w:bookmarkStart w:id="106" w:name="_Toc26963572"/>
      <w:r w:rsidRPr="00594970">
        <w:t>Decision Taken But Not Yet Announced</w:t>
      </w:r>
      <w:bookmarkEnd w:id="106"/>
    </w:p>
    <w:p w14:paraId="557288D1" w14:textId="6B399DA5" w:rsidR="003B2598" w:rsidRPr="00594970" w:rsidRDefault="003B2598" w:rsidP="003B2598">
      <w:r w:rsidRPr="00594970">
        <w:t xml:space="preserve">The reporting of “Decision Taken </w:t>
      </w:r>
      <w:proofErr w:type="gramStart"/>
      <w:r w:rsidRPr="00594970">
        <w:t>But</w:t>
      </w:r>
      <w:proofErr w:type="gramEnd"/>
      <w:r w:rsidRPr="00594970">
        <w:t xml:space="preserve"> Not Yet Announced” (DTBNYA) largely depends on the timing for when the decision will be publicly announced:</w:t>
      </w:r>
    </w:p>
    <w:p w14:paraId="29B42730" w14:textId="702C3DDA" w:rsidR="000114D6" w:rsidRPr="00594970" w:rsidRDefault="000114D6" w:rsidP="00F422D0">
      <w:pPr>
        <w:pStyle w:val="ListBullet2"/>
      </w:pPr>
      <w:r w:rsidRPr="00594970">
        <w:t xml:space="preserve">If a measure was included in MYEFO or Budget as a DTBNYA, but is to be publically announced prior to the tabling of the PAES, the full measure title and financials should be included in the </w:t>
      </w:r>
      <w:r w:rsidR="003C48D3" w:rsidRPr="00594970">
        <w:t xml:space="preserve">Table 1.2: Entity 2019-20 </w:t>
      </w:r>
      <w:r w:rsidRPr="00594970">
        <w:t>Measures</w:t>
      </w:r>
      <w:r w:rsidR="003C48D3" w:rsidRPr="00594970">
        <w:t xml:space="preserve"> since Budget</w:t>
      </w:r>
      <w:r w:rsidRPr="00594970">
        <w:t xml:space="preserve"> and also Table 1.3: Additional estimates, and</w:t>
      </w:r>
      <w:r w:rsidR="003C48D3" w:rsidRPr="00594970">
        <w:t xml:space="preserve"> other</w:t>
      </w:r>
      <w:r w:rsidRPr="00594970">
        <w:t xml:space="preserve"> variations to outcomes since the </w:t>
      </w:r>
      <w:r w:rsidR="003C48D3" w:rsidRPr="00594970">
        <w:t>2019-20</w:t>
      </w:r>
      <w:r w:rsidRPr="00594970">
        <w:t xml:space="preserve"> Budget.</w:t>
      </w:r>
    </w:p>
    <w:p w14:paraId="7F5012C2" w14:textId="5B0D4AC7" w:rsidR="000114D6" w:rsidRPr="00594970" w:rsidRDefault="000114D6" w:rsidP="00F422D0">
      <w:pPr>
        <w:pStyle w:val="ListBullet2"/>
      </w:pPr>
      <w:r w:rsidRPr="00594970">
        <w:t xml:space="preserve">If the DTBNYA measure will not be publically announced prior to the tabling of the PAES, the financials should be included as part of the DTBNYA total line at the bottom of the </w:t>
      </w:r>
      <w:r w:rsidR="00EF3F50" w:rsidRPr="00594970">
        <w:t xml:space="preserve">Table 1.2 </w:t>
      </w:r>
      <w:r w:rsidRPr="00594970">
        <w:t>Measures table.</w:t>
      </w:r>
    </w:p>
    <w:p w14:paraId="3DEC90C4" w14:textId="77777777" w:rsidR="00FB5E85" w:rsidRPr="00594970" w:rsidRDefault="00FB5E85" w:rsidP="007F5ACA">
      <w:pPr>
        <w:pStyle w:val="Heading3"/>
      </w:pPr>
      <w:bookmarkStart w:id="107" w:name="_Toc26963573"/>
      <w:r w:rsidRPr="00594970">
        <w:t>Amounts in the Contingency Reserve</w:t>
      </w:r>
      <w:bookmarkEnd w:id="107"/>
    </w:p>
    <w:p w14:paraId="4A4E257F" w14:textId="79122E70" w:rsidR="003B2598" w:rsidRPr="00594970" w:rsidRDefault="00863E5B" w:rsidP="005C2636">
      <w:r w:rsidRPr="00594970">
        <w:t xml:space="preserve">Amounts in the contingency reserve </w:t>
      </w:r>
      <w:r w:rsidR="00210341" w:rsidRPr="00594970">
        <w:t xml:space="preserve">(CR) </w:t>
      </w:r>
      <w:r w:rsidR="00210341" w:rsidRPr="00594970">
        <w:rPr>
          <w:u w:val="single"/>
        </w:rPr>
        <w:t>must not</w:t>
      </w:r>
      <w:r w:rsidR="00210341" w:rsidRPr="00594970">
        <w:t xml:space="preserve"> be entered as estimates in </w:t>
      </w:r>
      <w:r w:rsidR="0045767B" w:rsidRPr="00594970">
        <w:t>C</w:t>
      </w:r>
      <w:r w:rsidR="00210341" w:rsidRPr="00594970">
        <w:t>BM</w:t>
      </w:r>
      <w:r w:rsidR="0045767B" w:rsidRPr="00594970">
        <w:t>S</w:t>
      </w:r>
      <w:r w:rsidR="00210341" w:rsidRPr="00594970">
        <w:t xml:space="preserve"> </w:t>
      </w:r>
      <w:r w:rsidR="003B2598" w:rsidRPr="00594970">
        <w:t xml:space="preserve">against </w:t>
      </w:r>
      <w:r w:rsidR="00210341" w:rsidRPr="00594970">
        <w:t>the relevant entity, whether they are intended to be appropriated as annual or special appropriations</w:t>
      </w:r>
      <w:r w:rsidR="00E57EC3" w:rsidRPr="00594970">
        <w:t>, or special accounts</w:t>
      </w:r>
      <w:r w:rsidR="00210341" w:rsidRPr="00594970">
        <w:t>.</w:t>
      </w:r>
    </w:p>
    <w:p w14:paraId="377A8572" w14:textId="1961F87D" w:rsidR="00D76B7E" w:rsidRPr="00594970" w:rsidRDefault="00210341" w:rsidP="005C2636">
      <w:r w:rsidRPr="00594970">
        <w:t>While in the CR, the</w:t>
      </w:r>
      <w:r w:rsidR="0045767B" w:rsidRPr="00594970">
        <w:t>y</w:t>
      </w:r>
      <w:r w:rsidRPr="00594970">
        <w:t xml:space="preserve"> are not </w:t>
      </w:r>
      <w:r w:rsidR="0045767B" w:rsidRPr="00594970">
        <w:t xml:space="preserve">considered to be </w:t>
      </w:r>
      <w:r w:rsidRPr="00594970">
        <w:t>appropriated amounts and are not reported in PAES</w:t>
      </w:r>
      <w:r w:rsidR="009113EA" w:rsidRPr="00594970">
        <w:t>.</w:t>
      </w:r>
    </w:p>
    <w:p w14:paraId="725E42DF" w14:textId="77777777" w:rsidR="000114D6" w:rsidRPr="00594970" w:rsidRDefault="000114D6" w:rsidP="007F5ACA">
      <w:pPr>
        <w:pStyle w:val="Heading3"/>
      </w:pPr>
      <w:bookmarkStart w:id="108" w:name="_Toc26963574"/>
      <w:r w:rsidRPr="00594970">
        <w:t>Measures with indicative costs</w:t>
      </w:r>
      <w:bookmarkEnd w:id="108"/>
    </w:p>
    <w:p w14:paraId="00647729" w14:textId="3A424841" w:rsidR="000114D6" w:rsidRPr="00594970" w:rsidRDefault="000114D6" w:rsidP="00F422D0">
      <w:r w:rsidRPr="00594970">
        <w:t>Where measures are published in an economic statement with indicative costs, these measures should be listed in Table 1.2</w:t>
      </w:r>
      <w:r w:rsidR="00EF3F50" w:rsidRPr="00594970">
        <w:t xml:space="preserve"> Measures</w:t>
      </w:r>
      <w:r w:rsidRPr="00594970">
        <w:t xml:space="preserve"> where costs for each affected entity are known.</w:t>
      </w:r>
    </w:p>
    <w:p w14:paraId="293C1BD7" w14:textId="13985E5B" w:rsidR="000114D6" w:rsidRPr="00594970" w:rsidRDefault="000114D6" w:rsidP="00F422D0">
      <w:r w:rsidRPr="00594970">
        <w:t>Once final costs have been agreed, entities may republish the measure in Table 1.2 of the PAES or PB Statements, and include a footnote stating that the measure was previously published in BP No. 2 /MYEFO / the relevant economic statement and the costs shown are now final.</w:t>
      </w:r>
    </w:p>
    <w:p w14:paraId="0204C693" w14:textId="39D76BB9" w:rsidR="000114D6" w:rsidRPr="00594970" w:rsidRDefault="000114D6" w:rsidP="00F422D0">
      <w:r w:rsidRPr="00594970">
        <w:lastRenderedPageBreak/>
        <w:t>For cross-portfolio measures where final costs have now been agreed for each entity, the measure should be listed in Table 1.2 with the final agreed costs, with a footnote noting that it is a cross-portfolio measure previously published in BP No. 2 / MYEFO / the relevant economic statement, and naming the lead entity.</w:t>
      </w:r>
      <w:r w:rsidR="005F50B0" w:rsidRPr="00594970">
        <w:t xml:space="preserve"> </w:t>
      </w:r>
    </w:p>
    <w:p w14:paraId="0C42B180" w14:textId="1D86E79C" w:rsidR="000114D6" w:rsidRPr="00594970" w:rsidRDefault="000114D6" w:rsidP="007F5ACA">
      <w:pPr>
        <w:pStyle w:val="Heading3"/>
      </w:pPr>
      <w:bookmarkStart w:id="109" w:name="_Toc26963575"/>
      <w:r w:rsidRPr="00594970">
        <w:t>Post-MYEFO measures</w:t>
      </w:r>
      <w:bookmarkEnd w:id="109"/>
    </w:p>
    <w:p w14:paraId="1B59EAF5" w14:textId="77777777" w:rsidR="000114D6" w:rsidRPr="00594970" w:rsidRDefault="000114D6" w:rsidP="00F422D0">
      <w:r w:rsidRPr="00594970">
        <w:t>If the measure will be announced prior to the tabling of the PAES, the measure should also be included in the Measures table with the full measure title and financials.</w:t>
      </w:r>
    </w:p>
    <w:p w14:paraId="639773AC" w14:textId="77777777" w:rsidR="000114D6" w:rsidRPr="00594970" w:rsidRDefault="000114D6" w:rsidP="00F422D0">
      <w:r w:rsidRPr="00594970">
        <w:t xml:space="preserve">If the measure will </w:t>
      </w:r>
      <w:r w:rsidRPr="00594970">
        <w:rPr>
          <w:u w:val="single"/>
        </w:rPr>
        <w:t>not</w:t>
      </w:r>
      <w:r w:rsidRPr="00594970">
        <w:t xml:space="preserve"> be announced prior to the tabling of the PAES, the measure should be included as part of the DTBNYA total line.</w:t>
      </w:r>
    </w:p>
    <w:p w14:paraId="443D6FF1" w14:textId="6C4DBBD2" w:rsidR="000114D6" w:rsidRPr="00594970" w:rsidRDefault="000114D6" w:rsidP="00F422D0">
      <w:r w:rsidRPr="00594970">
        <w:t>In addition to the above, some measures may not be reported where the decisio</w:t>
      </w:r>
      <w:r w:rsidR="00D35A85" w:rsidRPr="00594970">
        <w:t xml:space="preserve">n is to be announced in the </w:t>
      </w:r>
      <w:r w:rsidR="007D5EA2" w:rsidRPr="00594970">
        <w:t>2020-21</w:t>
      </w:r>
      <w:r w:rsidRPr="00594970">
        <w:t xml:space="preserve"> Budget.</w:t>
      </w:r>
    </w:p>
    <w:p w14:paraId="7EE18577" w14:textId="7D2B4938" w:rsidR="000114D6" w:rsidRPr="00594970" w:rsidRDefault="00CF5B14" w:rsidP="00F31EC9">
      <w:pPr>
        <w:pStyle w:val="Heading2"/>
      </w:pPr>
      <w:bookmarkStart w:id="110" w:name="Additional_Estimates_and_other_Variation"/>
      <w:bookmarkStart w:id="111" w:name="_bookmark34"/>
      <w:bookmarkStart w:id="112" w:name="_Toc26963576"/>
      <w:bookmarkEnd w:id="110"/>
      <w:bookmarkEnd w:id="111"/>
      <w:r w:rsidRPr="00594970">
        <w:t>Additional Estimates and o</w:t>
      </w:r>
      <w:r w:rsidR="00F20C00" w:rsidRPr="00594970">
        <w:t xml:space="preserve">ther Variations since the </w:t>
      </w:r>
      <w:r w:rsidR="004A273D" w:rsidRPr="00594970">
        <w:t>2019-20</w:t>
      </w:r>
      <w:r w:rsidR="00D002DB" w:rsidRPr="00594970">
        <w:t xml:space="preserve"> Budget</w:t>
      </w:r>
      <w:bookmarkEnd w:id="112"/>
    </w:p>
    <w:p w14:paraId="2CCA1F8A" w14:textId="3E72AA3D" w:rsidR="00D002DB" w:rsidRPr="00594970" w:rsidRDefault="00D002DB" w:rsidP="005C2636">
      <w:r w:rsidRPr="00594970">
        <w:t xml:space="preserve">The </w:t>
      </w:r>
      <w:r w:rsidR="004A273D" w:rsidRPr="00594970">
        <w:t>v</w:t>
      </w:r>
      <w:r w:rsidRPr="00594970">
        <w:t xml:space="preserve">ariations to Appropriations and Measures since the </w:t>
      </w:r>
      <w:r w:rsidR="004A273D" w:rsidRPr="00594970">
        <w:t>2019-20</w:t>
      </w:r>
      <w:r w:rsidRPr="00594970">
        <w:t xml:space="preserve"> Budget table (</w:t>
      </w:r>
      <w:r w:rsidR="004A273D" w:rsidRPr="00594970">
        <w:t>T</w:t>
      </w:r>
      <w:r w:rsidRPr="00594970">
        <w:t xml:space="preserve">able 1.3) </w:t>
      </w:r>
      <w:r w:rsidR="00DF38B8" w:rsidRPr="00594970">
        <w:t xml:space="preserve">shows </w:t>
      </w:r>
      <w:r w:rsidRPr="00594970">
        <w:t xml:space="preserve">new measures </w:t>
      </w:r>
      <w:r w:rsidR="00A44C9A" w:rsidRPr="00594970">
        <w:t>and</w:t>
      </w:r>
      <w:r w:rsidRPr="00594970">
        <w:t xml:space="preserve"> other program variations (non</w:t>
      </w:r>
      <w:r w:rsidR="004A273D" w:rsidRPr="00594970">
        <w:t>-</w:t>
      </w:r>
      <w:r w:rsidRPr="00594970">
        <w:t>measures) that affect an entity’s appropriations.  It shows variations to Outcomes from:</w:t>
      </w:r>
    </w:p>
    <w:p w14:paraId="6128CDF8" w14:textId="4FF9A8B2" w:rsidR="00D002DB" w:rsidRPr="00594970" w:rsidRDefault="00D002DB" w:rsidP="00F422D0">
      <w:pPr>
        <w:pStyle w:val="ListBullet2"/>
      </w:pPr>
      <w:r w:rsidRPr="00594970">
        <w:t>Measures</w:t>
      </w:r>
    </w:p>
    <w:p w14:paraId="75727EF4" w14:textId="37C999E5" w:rsidR="00D002DB" w:rsidRPr="00594970" w:rsidRDefault="00D002DB" w:rsidP="00F422D0">
      <w:pPr>
        <w:pStyle w:val="ListBullet2"/>
      </w:pPr>
      <w:r w:rsidRPr="00594970">
        <w:t>Movement of Funds</w:t>
      </w:r>
    </w:p>
    <w:p w14:paraId="447D4B01" w14:textId="4C21A8E1" w:rsidR="00D002DB" w:rsidRPr="00594970" w:rsidRDefault="00D002DB" w:rsidP="00F422D0">
      <w:pPr>
        <w:pStyle w:val="ListBullet2"/>
      </w:pPr>
      <w:r w:rsidRPr="00594970">
        <w:t>Parameter Changes</w:t>
      </w:r>
    </w:p>
    <w:p w14:paraId="077F8721" w14:textId="42588C8A" w:rsidR="00D002DB" w:rsidRPr="00594970" w:rsidRDefault="00D002DB" w:rsidP="00F422D0">
      <w:pPr>
        <w:pStyle w:val="ListBullet2"/>
      </w:pPr>
      <w:r w:rsidRPr="00594970">
        <w:t>Reclassifications / reallocations / other variations</w:t>
      </w:r>
    </w:p>
    <w:p w14:paraId="426FADEB" w14:textId="5A146AF0" w:rsidR="00D002DB" w:rsidRPr="00594970" w:rsidRDefault="00D002DB" w:rsidP="00F422D0">
      <w:pPr>
        <w:pStyle w:val="ListBullet2"/>
      </w:pPr>
      <w:r w:rsidRPr="00594970">
        <w:t>Transfers between Departments</w:t>
      </w:r>
    </w:p>
    <w:p w14:paraId="4B3CE506" w14:textId="77777777" w:rsidR="00D002DB" w:rsidRPr="00594970" w:rsidRDefault="00D002DB" w:rsidP="005C2636">
      <w:r w:rsidRPr="00594970">
        <w:t>Where Table 1.2 shows measures by type (i.e. revenue, expense and capital) and on a fiscal balance basis, Table 1.3 demonstrates the total resourcing impact on entity resourcing by outcome.</w:t>
      </w:r>
    </w:p>
    <w:p w14:paraId="7A2AFF07" w14:textId="21015836" w:rsidR="00D002DB" w:rsidRPr="00594970" w:rsidRDefault="00D002DB" w:rsidP="005C2636">
      <w:r w:rsidRPr="00594970">
        <w:t xml:space="preserve">Table 1.3 shows variations (both increases and decreases) to appropriation estimates resulting from measures taken since the </w:t>
      </w:r>
      <w:r w:rsidR="004A273D" w:rsidRPr="00594970">
        <w:t>2019-20</w:t>
      </w:r>
      <w:r w:rsidRPr="00594970">
        <w:t xml:space="preserve"> Budget. The table shows the impact in terms of entity outcomes and programs. Decreases in estimates are to be shown in brackets ().</w:t>
      </w:r>
    </w:p>
    <w:p w14:paraId="5E86A64E" w14:textId="77777777" w:rsidR="00D002DB" w:rsidRPr="00594970" w:rsidRDefault="00D002DB" w:rsidP="005C2636">
      <w:r w:rsidRPr="00594970">
        <w:t>Entities are required to indicate the type of variation in the title (e.g. parameter adjustment). Where there are movements of a similar type, these may not be grouped together; the positive and negative impacts should be shown separately in order to be as transparent as possible.</w:t>
      </w:r>
    </w:p>
    <w:p w14:paraId="6EA6D46D" w14:textId="77777777" w:rsidR="00D002DB" w:rsidRPr="00594970" w:rsidRDefault="00D002DB" w:rsidP="005C2636">
      <w:r w:rsidRPr="00594970">
        <w:t>Entities are to indicate the program impacted. If the entity has changed its programs in Section Two: Outcomes and Planned Performance, then the revised programs should be used. If no changes have occurred, entities are to use the programs reported at Budget.</w:t>
      </w:r>
    </w:p>
    <w:p w14:paraId="11304E7D" w14:textId="77777777" w:rsidR="00D002DB" w:rsidRPr="00594970" w:rsidRDefault="00D002DB" w:rsidP="005C2636">
      <w:r w:rsidRPr="00594970">
        <w:t>For each Outcome and by appropriation type, entities are required to total the net impact of measures. The net impact can be negative.</w:t>
      </w:r>
    </w:p>
    <w:p w14:paraId="053FD2AD" w14:textId="77777777" w:rsidR="00D002DB" w:rsidRPr="00594970" w:rsidRDefault="00D002DB" w:rsidP="005C2636">
      <w:r w:rsidRPr="00594970">
        <w:lastRenderedPageBreak/>
        <w:t>Where a measure has both an administered and departmental impact, it is important that entities use the same title so that the full impact of the measure can be identified (and reconciled with Table 1.2).</w:t>
      </w:r>
    </w:p>
    <w:p w14:paraId="7C81F256" w14:textId="79359859" w:rsidR="00D002DB" w:rsidRPr="00594970" w:rsidRDefault="00D002DB" w:rsidP="005C2636">
      <w:r w:rsidRPr="00594970">
        <w:t xml:space="preserve">Other variations (i.e. all other estimates that are not measures) </w:t>
      </w:r>
      <w:r w:rsidR="00C137D2" w:rsidRPr="00594970">
        <w:t xml:space="preserve">will come from </w:t>
      </w:r>
      <w:r w:rsidR="00CB4243" w:rsidRPr="00594970">
        <w:t>C</w:t>
      </w:r>
      <w:r w:rsidR="00C137D2" w:rsidRPr="00594970">
        <w:t>B</w:t>
      </w:r>
      <w:r w:rsidRPr="00594970">
        <w:t>M</w:t>
      </w:r>
      <w:r w:rsidR="00CB4243" w:rsidRPr="00594970">
        <w:t>S</w:t>
      </w:r>
      <w:r w:rsidRPr="00594970">
        <w:t xml:space="preserve"> adjustments to entity estimates. Variations could be aggregated by category, e.g. indexation, efficiency dividend, movement of funds, etc.</w:t>
      </w:r>
    </w:p>
    <w:p w14:paraId="203AD5FD" w14:textId="1BF1E9EE" w:rsidR="00D002DB" w:rsidRPr="00594970" w:rsidRDefault="00D002DB" w:rsidP="005C2636">
      <w:pPr>
        <w:rPr>
          <w:i/>
        </w:rPr>
      </w:pPr>
      <w:r w:rsidRPr="00594970">
        <w:rPr>
          <w:b/>
          <w:i/>
        </w:rPr>
        <w:t>Note:</w:t>
      </w:r>
      <w:r w:rsidRPr="00594970">
        <w:rPr>
          <w:i/>
        </w:rPr>
        <w:t xml:space="preserve"> If decisions are ta</w:t>
      </w:r>
      <w:r w:rsidR="00D64A45" w:rsidRPr="00594970">
        <w:rPr>
          <w:i/>
        </w:rPr>
        <w:t>ken after MYEFO or the additional</w:t>
      </w:r>
      <w:r w:rsidRPr="00594970">
        <w:rPr>
          <w:i/>
        </w:rPr>
        <w:t xml:space="preserve"> estimates update, but are not included in Appropriation Bill Nos. 3 and 4 they should not to be included in Table 1.3. The funding for these decisions will appear in the next set of Appropriation Bills (whether they are the </w:t>
      </w:r>
      <w:r w:rsidR="001749AD" w:rsidRPr="00594970">
        <w:rPr>
          <w:i/>
        </w:rPr>
        <w:t>2019-20</w:t>
      </w:r>
      <w:r w:rsidRPr="00594970">
        <w:rPr>
          <w:i/>
        </w:rPr>
        <w:t xml:space="preserve"> Supplementary Additional Estimates Bills or the Budget Bills for </w:t>
      </w:r>
      <w:r w:rsidR="001749AD" w:rsidRPr="00594970">
        <w:rPr>
          <w:i/>
        </w:rPr>
        <w:t>2020-21</w:t>
      </w:r>
      <w:r w:rsidRPr="00594970">
        <w:rPr>
          <w:i/>
        </w:rPr>
        <w:t>).</w:t>
      </w:r>
    </w:p>
    <w:p w14:paraId="0C30116C" w14:textId="77777777" w:rsidR="00D002DB" w:rsidRPr="00594970" w:rsidRDefault="00D002DB" w:rsidP="005C2636">
      <w:pPr>
        <w:rPr>
          <w:b/>
        </w:rPr>
      </w:pPr>
      <w:r w:rsidRPr="00594970">
        <w:rPr>
          <w:b/>
        </w:rPr>
        <w:t>In all cases, the measures titles (Table 1.2) must match the measures details provided by Finance before PAES can be printed.</w:t>
      </w:r>
    </w:p>
    <w:p w14:paraId="7B0C6FD4" w14:textId="77777777" w:rsidR="00D002DB" w:rsidRPr="00594970" w:rsidRDefault="00D002DB" w:rsidP="00F31EC9">
      <w:pPr>
        <w:pStyle w:val="Heading2"/>
      </w:pPr>
      <w:bookmarkStart w:id="113" w:name="Breakdown_of_Additional_Estimates_by_App"/>
      <w:bookmarkStart w:id="114" w:name="_bookmark35"/>
      <w:bookmarkStart w:id="115" w:name="_Toc26963577"/>
      <w:bookmarkEnd w:id="113"/>
      <w:bookmarkEnd w:id="114"/>
      <w:r w:rsidRPr="00594970">
        <w:t>Breakdown of Additional Estimates by Appropriation Bill</w:t>
      </w:r>
      <w:bookmarkEnd w:id="115"/>
    </w:p>
    <w:p w14:paraId="272B1F0A" w14:textId="2AA809AF" w:rsidR="00D002DB" w:rsidRPr="00594970" w:rsidRDefault="00D002DB" w:rsidP="005C2636">
      <w:r w:rsidRPr="00594970">
        <w:t>Tables 1.4 and 1.5 provide a breakdown of the Appropriation Bills by outcome and administered and departmental</w:t>
      </w:r>
      <w:r w:rsidR="007D4653" w:rsidRPr="00594970">
        <w:t xml:space="preserve"> appropriation type for the </w:t>
      </w:r>
      <w:r w:rsidR="001749AD" w:rsidRPr="00594970">
        <w:t>2019-20</w:t>
      </w:r>
      <w:r w:rsidRPr="00594970">
        <w:t xml:space="preserve"> Budget year. They indicate the total impact of both measures and other variations on the resourcing of an entity through the annual Appropriation Bills. The ‘Additional Estimates’ column matches the figures in Appropriation Bill Nos. 3 and 4.</w:t>
      </w:r>
    </w:p>
    <w:p w14:paraId="3C528266" w14:textId="03BB457A" w:rsidR="00D002DB" w:rsidRPr="00594970" w:rsidRDefault="00C137D2" w:rsidP="005C2636">
      <w:r w:rsidRPr="00594970">
        <w:t xml:space="preserve">The </w:t>
      </w:r>
      <w:r w:rsidR="00D002DB" w:rsidRPr="00594970">
        <w:t>table provides a breakdown of the appropriations by outcome and administered and departmental items for the Budget year. It shows the appropriation made available in the prior year (</w:t>
      </w:r>
      <w:r w:rsidR="001749AD" w:rsidRPr="00594970">
        <w:t>2018-19</w:t>
      </w:r>
      <w:r w:rsidR="00D002DB" w:rsidRPr="00594970">
        <w:t>) as a comparator figure.</w:t>
      </w:r>
    </w:p>
    <w:p w14:paraId="08FAB996" w14:textId="6499DF95" w:rsidR="00D002DB" w:rsidRPr="00594970" w:rsidRDefault="00D002DB" w:rsidP="005C2636">
      <w:r w:rsidRPr="00594970">
        <w:t xml:space="preserve">The </w:t>
      </w:r>
      <w:r w:rsidR="001749AD" w:rsidRPr="00594970">
        <w:t>2019-20</w:t>
      </w:r>
      <w:r w:rsidRPr="00594970">
        <w:t xml:space="preserve"> Budget figures are found in the </w:t>
      </w:r>
      <w:r w:rsidR="001749AD" w:rsidRPr="00594970">
        <w:t>2019-20</w:t>
      </w:r>
      <w:r w:rsidRPr="00594970">
        <w:t xml:space="preserve"> PB Statements, Appropriation Acts and Budget Papers.</w:t>
      </w:r>
    </w:p>
    <w:p w14:paraId="15AE6A50" w14:textId="237C26BA" w:rsidR="00D002DB" w:rsidRPr="00594970" w:rsidRDefault="00D002DB" w:rsidP="005C2636">
      <w:r w:rsidRPr="00594970">
        <w:t xml:space="preserve">The </w:t>
      </w:r>
      <w:r w:rsidR="001749AD" w:rsidRPr="00594970">
        <w:t>2019-20</w:t>
      </w:r>
      <w:r w:rsidRPr="00594970">
        <w:t xml:space="preserve"> revised figures equal the Budget figures +/- the impact of additional estimates or reductions in estimates. The Additiona</w:t>
      </w:r>
      <w:r w:rsidR="007D4653" w:rsidRPr="00594970">
        <w:t xml:space="preserve">l and Reduced estimates for </w:t>
      </w:r>
      <w:r w:rsidR="001749AD" w:rsidRPr="00594970">
        <w:t>2019-20</w:t>
      </w:r>
      <w:r w:rsidRPr="00594970">
        <w:t xml:space="preserve"> will reconcile to the ‘net impact’ lines in Tables 1.3.</w:t>
      </w:r>
    </w:p>
    <w:p w14:paraId="5F314917" w14:textId="77777777" w:rsidR="00D002DB" w:rsidRPr="00594970" w:rsidRDefault="00D002DB" w:rsidP="005C2636">
      <w:r w:rsidRPr="00594970">
        <w:t>For Table 1.5: Appropriation Bill No. 4, lines that are not required should be deleted.</w:t>
      </w:r>
    </w:p>
    <w:p w14:paraId="22175555" w14:textId="30090848" w:rsidR="00D002DB" w:rsidRPr="00594970" w:rsidRDefault="00D002DB" w:rsidP="005C2636">
      <w:pPr>
        <w:rPr>
          <w:rFonts w:cstheme="minorHAnsi"/>
          <w:i/>
        </w:rPr>
      </w:pPr>
      <w:r w:rsidRPr="00594970">
        <w:rPr>
          <w:rFonts w:cstheme="minorHAnsi"/>
          <w:b/>
          <w:i/>
        </w:rPr>
        <w:t>Note:</w:t>
      </w:r>
      <w:r w:rsidRPr="00594970">
        <w:rPr>
          <w:rFonts w:eastAsia="Cambria" w:cstheme="minorHAnsi"/>
          <w:i/>
        </w:rPr>
        <w:t xml:space="preserve"> Although both Additional Estimates and reductions in estimates are included in Tables</w:t>
      </w:r>
      <w:r w:rsidRPr="00594970">
        <w:rPr>
          <w:rFonts w:cstheme="minorHAnsi"/>
          <w:i/>
        </w:rPr>
        <w:t xml:space="preserve"> 1.4 and 1.5, only net additional appropriations appear in the Appropriation Bills. </w:t>
      </w:r>
    </w:p>
    <w:p w14:paraId="24CB4D8F" w14:textId="77777777" w:rsidR="00D002DB" w:rsidRPr="00594970" w:rsidRDefault="00D002DB" w:rsidP="005C2636">
      <w:r w:rsidRPr="00594970">
        <w:t xml:space="preserve">Information for these tables can be sourced using the Appropriation Bill 3 and Appropriation Bill 4 reports from CBMS. Figures in Tables 1.4 and 1.5 should match figures published in these reports and CFO’s sign-off on the Appropriation Bills provided to your Finance AAU. </w:t>
      </w:r>
    </w:p>
    <w:p w14:paraId="6CEE90D5" w14:textId="77777777" w:rsidR="00D002DB" w:rsidRPr="00594970" w:rsidRDefault="00D002DB">
      <w:pPr>
        <w:suppressAutoHyphens w:val="0"/>
        <w:spacing w:before="0" w:after="120" w:line="440" w:lineRule="atLeast"/>
      </w:pPr>
      <w:r w:rsidRPr="00594970">
        <w:br w:type="page"/>
      </w:r>
    </w:p>
    <w:p w14:paraId="17373E95" w14:textId="77777777" w:rsidR="00D002DB" w:rsidRPr="00594970" w:rsidRDefault="00D002DB" w:rsidP="004A02E5">
      <w:pPr>
        <w:pStyle w:val="Heading1"/>
      </w:pPr>
      <w:bookmarkStart w:id="116" w:name="_bookmark36"/>
      <w:bookmarkStart w:id="117" w:name="_Toc26963578"/>
      <w:bookmarkEnd w:id="116"/>
      <w:r w:rsidRPr="00594970">
        <w:lastRenderedPageBreak/>
        <w:t>Section 2: Revisions to Entity Outcomes and Planned Performance</w:t>
      </w:r>
      <w:bookmarkEnd w:id="117"/>
    </w:p>
    <w:tbl>
      <w:tblPr>
        <w:tblStyle w:val="TableGrid"/>
        <w:tblW w:w="0" w:type="auto"/>
        <w:tblLook w:val="04A0" w:firstRow="1" w:lastRow="0" w:firstColumn="1" w:lastColumn="0" w:noHBand="0" w:noVBand="1"/>
      </w:tblPr>
      <w:tblGrid>
        <w:gridCol w:w="9060"/>
      </w:tblGrid>
      <w:tr w:rsidR="00D002DB" w:rsidRPr="00594970" w14:paraId="72F77CA4" w14:textId="77777777" w:rsidTr="00D440F3">
        <w:tc>
          <w:tcPr>
            <w:tcW w:w="9060" w:type="dxa"/>
            <w:shd w:val="clear" w:color="auto" w:fill="DDF3FA"/>
          </w:tcPr>
          <w:p w14:paraId="0EF2DD62" w14:textId="4C55A348" w:rsidR="00D002DB" w:rsidRPr="00594970" w:rsidRDefault="00D002DB" w:rsidP="00D440F3">
            <w:pPr>
              <w:spacing w:before="120" w:after="120"/>
            </w:pPr>
            <w:r w:rsidRPr="00594970">
              <w:t>For queries regarding performance reporting in the PAES, please contact the Performance Reporting and Planning Branch in Finance (</w:t>
            </w:r>
            <w:hyperlink r:id="rId41" w:history="1">
              <w:r w:rsidR="007E676E" w:rsidRPr="00E454D2">
                <w:rPr>
                  <w:rStyle w:val="Hyperlink"/>
                </w:rPr>
                <w:t>PGPA</w:t>
              </w:r>
              <w:r w:rsidR="007E676E" w:rsidRPr="00E454D2">
                <w:rPr>
                  <w:rStyle w:val="Hyperlink"/>
                  <w:rFonts w:cstheme="minorBidi"/>
                </w:rPr>
                <w:t>@finance.gov.au</w:t>
              </w:r>
            </w:hyperlink>
            <w:r w:rsidRPr="00594970">
              <w:t>) or (02) 6215 3130.</w:t>
            </w:r>
          </w:p>
          <w:p w14:paraId="1623B585" w14:textId="77777777" w:rsidR="00D002DB" w:rsidRPr="00594970" w:rsidRDefault="00D002DB" w:rsidP="00D440F3">
            <w:pPr>
              <w:spacing w:before="120" w:after="120"/>
            </w:pPr>
            <w:r w:rsidRPr="00594970">
              <w:t>For advice on changing outcome statements or programs, please contact your Agency Advice Unit in Finance in the first instance.</w:t>
            </w:r>
          </w:p>
        </w:tc>
      </w:tr>
    </w:tbl>
    <w:p w14:paraId="3F783F25" w14:textId="3E3F6C46" w:rsidR="00BA79C0" w:rsidRPr="00594970" w:rsidRDefault="00BA79C0" w:rsidP="00F31EC9">
      <w:bookmarkStart w:id="118" w:name="Performance_Information"/>
      <w:bookmarkStart w:id="119" w:name="_bookmark37"/>
      <w:bookmarkEnd w:id="118"/>
      <w:bookmarkEnd w:id="119"/>
      <w:r w:rsidRPr="00594970">
        <w:t xml:space="preserve">This section provides advice </w:t>
      </w:r>
      <w:r w:rsidR="00596691" w:rsidRPr="00594970">
        <w:t xml:space="preserve">on how to </w:t>
      </w:r>
      <w:r w:rsidRPr="00594970">
        <w:t xml:space="preserve">report </w:t>
      </w:r>
      <w:r w:rsidR="00C146BD" w:rsidRPr="00594970">
        <w:rPr>
          <w:i/>
        </w:rPr>
        <w:t xml:space="preserve">Budgeted Expenses and Performance </w:t>
      </w:r>
      <w:proofErr w:type="gramStart"/>
      <w:r w:rsidR="00C146BD" w:rsidRPr="00594970">
        <w:rPr>
          <w:i/>
        </w:rPr>
        <w:t>For</w:t>
      </w:r>
      <w:proofErr w:type="gramEnd"/>
      <w:r w:rsidR="00C146BD" w:rsidRPr="00594970">
        <w:rPr>
          <w:i/>
        </w:rPr>
        <w:t xml:space="preserve"> Outcome X</w:t>
      </w:r>
      <w:r w:rsidR="00C146BD" w:rsidRPr="00594970">
        <w:t xml:space="preserve"> section </w:t>
      </w:r>
      <w:r w:rsidR="00596691" w:rsidRPr="00594970">
        <w:t>and on how to construct Table 2.x Budgeted expenses for Outcome x.</w:t>
      </w:r>
      <w:r w:rsidR="00C146BD" w:rsidRPr="00594970">
        <w:t xml:space="preserve"> </w:t>
      </w:r>
    </w:p>
    <w:p w14:paraId="1B758ACE" w14:textId="06B6753D" w:rsidR="00D440F3" w:rsidRPr="00594970" w:rsidRDefault="00D440F3" w:rsidP="00F31EC9">
      <w:pPr>
        <w:pStyle w:val="Heading2"/>
      </w:pPr>
      <w:bookmarkStart w:id="120" w:name="_Toc26963579"/>
      <w:r w:rsidRPr="00594970">
        <w:t>Performance Information</w:t>
      </w:r>
      <w:bookmarkEnd w:id="120"/>
    </w:p>
    <w:p w14:paraId="075AB19E" w14:textId="2CB40C9B" w:rsidR="00D440F3" w:rsidRPr="00594970" w:rsidRDefault="00D440F3" w:rsidP="005C2636">
      <w:r w:rsidRPr="00594970">
        <w:t>This section is to be used by entities to describe the results they plan to achieve with the resources provided for new programs, or materially changed existing programs, resulting fr</w:t>
      </w:r>
      <w:r w:rsidR="0088527F" w:rsidRPr="00594970">
        <w:t xml:space="preserve">om decisions made since the </w:t>
      </w:r>
      <w:r w:rsidR="0081523D" w:rsidRPr="00594970">
        <w:t>2019-20</w:t>
      </w:r>
      <w:r w:rsidRPr="00594970">
        <w:t xml:space="preserve"> Budget. </w:t>
      </w:r>
    </w:p>
    <w:p w14:paraId="28F44BA0" w14:textId="77777777" w:rsidR="00D440F3" w:rsidRPr="00594970" w:rsidRDefault="00D440F3" w:rsidP="00F31EC9">
      <w:pPr>
        <w:pStyle w:val="Heading2"/>
      </w:pPr>
      <w:bookmarkStart w:id="121" w:name="Finance_Secretary_Direction"/>
      <w:bookmarkStart w:id="122" w:name="_bookmark38"/>
      <w:bookmarkStart w:id="123" w:name="_Toc26963580"/>
      <w:bookmarkEnd w:id="121"/>
      <w:bookmarkEnd w:id="122"/>
      <w:r w:rsidRPr="00594970">
        <w:t>Finance Secretary Direction</w:t>
      </w:r>
      <w:bookmarkEnd w:id="123"/>
    </w:p>
    <w:p w14:paraId="3F05F9DD" w14:textId="2EB59A64" w:rsidR="00D440F3" w:rsidRPr="00594970" w:rsidRDefault="00D440F3" w:rsidP="005C2636">
      <w:r w:rsidRPr="00594970">
        <w:t xml:space="preserve">The requirements for reporting program performance in PB Statements are set out in a direction issued by the Finance Secretary under subsection 36(3) of the </w:t>
      </w:r>
      <w:r w:rsidRPr="00594970">
        <w:rPr>
          <w:i/>
        </w:rPr>
        <w:t>Public Governance, Performance and Accountability Act 2013</w:t>
      </w:r>
      <w:r w:rsidRPr="00594970">
        <w:t xml:space="preserve"> (the PGPA Act) available at </w:t>
      </w:r>
      <w:hyperlink r:id="rId42" w:history="1">
        <w:r w:rsidRPr="00594970">
          <w:rPr>
            <w:rStyle w:val="Hyperlink"/>
            <w:rFonts w:cstheme="minorBidi"/>
          </w:rPr>
          <w:t>http://www.finance.gov.au/resource-management/performance</w:t>
        </w:r>
      </w:hyperlink>
      <w:r w:rsidRPr="00594970">
        <w:t xml:space="preserve">.  This direction sets out the mandatory minimum requirements for performance information to be included in PB Statements, and the links that this information has to corporate plans and annual performance statements.  Section 36(3) of the PGPA Act requires the accountable authorities of all entities to comply with this direction. </w:t>
      </w:r>
    </w:p>
    <w:p w14:paraId="78BE3A6F" w14:textId="77777777" w:rsidR="00D440F3" w:rsidRPr="00594970" w:rsidRDefault="00D440F3" w:rsidP="00F31EC9">
      <w:pPr>
        <w:pStyle w:val="Heading2"/>
      </w:pPr>
      <w:bookmarkStart w:id="124" w:name="Presentation_of_Performance_Information"/>
      <w:bookmarkStart w:id="125" w:name="_bookmark39"/>
      <w:bookmarkStart w:id="126" w:name="_Toc26963581"/>
      <w:bookmarkEnd w:id="124"/>
      <w:bookmarkEnd w:id="125"/>
      <w:r w:rsidRPr="00594970">
        <w:t>Presentation of Performance Information</w:t>
      </w:r>
      <w:bookmarkEnd w:id="126"/>
    </w:p>
    <w:p w14:paraId="34D49E80" w14:textId="4CB4BCBE" w:rsidR="00D440F3" w:rsidRPr="00594970" w:rsidRDefault="00D440F3" w:rsidP="005C2636">
      <w:r w:rsidRPr="00594970">
        <w:t>Explanation of how to present performance information in PAES can be found at Sec</w:t>
      </w:r>
      <w:r w:rsidR="00DA344E" w:rsidRPr="00594970">
        <w:t xml:space="preserve">tion 5 of the </w:t>
      </w:r>
      <w:r w:rsidR="00E6356E" w:rsidRPr="00594970">
        <w:t>2019-20 PB</w:t>
      </w:r>
      <w:r w:rsidR="008043B7" w:rsidRPr="00594970">
        <w:t xml:space="preserve"> </w:t>
      </w:r>
      <w:r w:rsidR="00E6356E" w:rsidRPr="00594970">
        <w:t>S</w:t>
      </w:r>
      <w:r w:rsidR="008043B7" w:rsidRPr="00594970">
        <w:t>tatements</w:t>
      </w:r>
      <w:r w:rsidR="00E6356E" w:rsidRPr="00594970">
        <w:t xml:space="preserve"> </w:t>
      </w:r>
      <w:r w:rsidRPr="00594970">
        <w:t>Guide</w:t>
      </w:r>
      <w:r w:rsidR="00E6356E" w:rsidRPr="00594970">
        <w:t>.</w:t>
      </w:r>
    </w:p>
    <w:p w14:paraId="5BD156CF" w14:textId="77777777" w:rsidR="00D440F3" w:rsidRPr="00594970" w:rsidRDefault="001A518F" w:rsidP="005C2636">
      <w:pPr>
        <w:rPr>
          <w:i/>
        </w:rPr>
      </w:pPr>
      <w:r w:rsidRPr="00594970">
        <w:t>When developing performance information, e</w:t>
      </w:r>
      <w:r w:rsidR="00D440F3" w:rsidRPr="00594970">
        <w:t xml:space="preserve">ntities are referred to </w:t>
      </w:r>
      <w:r w:rsidR="00D440F3" w:rsidRPr="00594970">
        <w:rPr>
          <w:i/>
        </w:rPr>
        <w:t>RMG 131 – Developing good performance information</w:t>
      </w:r>
      <w:r w:rsidR="00A70D68" w:rsidRPr="00594970">
        <w:t xml:space="preserve"> and the associated </w:t>
      </w:r>
      <w:r w:rsidR="00D440F3" w:rsidRPr="00594970">
        <w:t>Quick Reference Guide</w:t>
      </w:r>
      <w:r w:rsidR="00A70D68" w:rsidRPr="00594970">
        <w:rPr>
          <w:i/>
        </w:rPr>
        <w:t>.</w:t>
      </w:r>
      <w:r w:rsidR="00D440F3" w:rsidRPr="00594970">
        <w:rPr>
          <w:i/>
        </w:rPr>
        <w:t xml:space="preserve"> </w:t>
      </w:r>
    </w:p>
    <w:p w14:paraId="4F458883" w14:textId="3DC9AAF7" w:rsidR="00D440F3" w:rsidRPr="00594970" w:rsidRDefault="00A95EBC" w:rsidP="00F31EC9">
      <w:pPr>
        <w:pStyle w:val="Heading2"/>
      </w:pPr>
      <w:bookmarkStart w:id="127" w:name="Outcome_and_Program_table_and_Average_St"/>
      <w:bookmarkStart w:id="128" w:name="_bookmark40"/>
      <w:bookmarkStart w:id="129" w:name="_Toc26963582"/>
      <w:bookmarkEnd w:id="127"/>
      <w:bookmarkEnd w:id="128"/>
      <w:r w:rsidRPr="00594970">
        <w:t xml:space="preserve">Table 2.x Budgeted Expenses for </w:t>
      </w:r>
      <w:r w:rsidR="00D13D71" w:rsidRPr="00594970">
        <w:t xml:space="preserve">Outcome </w:t>
      </w:r>
      <w:r w:rsidR="003013FE" w:rsidRPr="00594970">
        <w:t xml:space="preserve">x </w:t>
      </w:r>
      <w:r w:rsidR="00BA79C0" w:rsidRPr="00594970">
        <w:t xml:space="preserve">- </w:t>
      </w:r>
      <w:r w:rsidRPr="00594970">
        <w:t xml:space="preserve">reporting of </w:t>
      </w:r>
      <w:r w:rsidR="00D440F3" w:rsidRPr="00594970">
        <w:t>Average Staffing Levels</w:t>
      </w:r>
      <w:bookmarkEnd w:id="129"/>
    </w:p>
    <w:p w14:paraId="7CB91C0A" w14:textId="77777777" w:rsidR="003550B8" w:rsidRPr="00594970" w:rsidRDefault="00C64A17" w:rsidP="000137C6">
      <w:pPr>
        <w:pStyle w:val="Bullet1"/>
        <w:numPr>
          <w:ilvl w:val="0"/>
          <w:numId w:val="0"/>
        </w:numPr>
      </w:pPr>
      <w:r w:rsidRPr="00594970">
        <w:t xml:space="preserve">Entities </w:t>
      </w:r>
      <w:r w:rsidR="003550B8" w:rsidRPr="00594970">
        <w:t>will need to derive their:</w:t>
      </w:r>
    </w:p>
    <w:p w14:paraId="7D817003" w14:textId="2434AD36" w:rsidR="003550B8" w:rsidRPr="000137C6" w:rsidRDefault="003550B8" w:rsidP="000137C6">
      <w:pPr>
        <w:pStyle w:val="ListNumber2"/>
        <w:numPr>
          <w:ilvl w:val="0"/>
          <w:numId w:val="26"/>
        </w:numPr>
      </w:pPr>
      <w:r w:rsidRPr="000137C6">
        <w:t>Administered and Department</w:t>
      </w:r>
      <w:r w:rsidR="00E6356E" w:rsidRPr="000137C6">
        <w:t>al</w:t>
      </w:r>
      <w:r w:rsidRPr="000137C6">
        <w:t xml:space="preserve"> components for a program where reporting these under a single program</w:t>
      </w:r>
      <w:r w:rsidR="00D20A43">
        <w:t>.</w:t>
      </w:r>
    </w:p>
    <w:p w14:paraId="56CC3ADC" w14:textId="7199AE44" w:rsidR="00C64A17" w:rsidRPr="000137C6" w:rsidRDefault="00D20A43" w:rsidP="000137C6">
      <w:pPr>
        <w:pStyle w:val="ListNumber2"/>
      </w:pPr>
      <w:r>
        <w:t>P</w:t>
      </w:r>
      <w:r w:rsidR="003550B8" w:rsidRPr="000137C6">
        <w:t>rogram splits by appropriation types</w:t>
      </w:r>
      <w:r>
        <w:t>.</w:t>
      </w:r>
    </w:p>
    <w:p w14:paraId="7CACCE3D" w14:textId="7976CAFF" w:rsidR="00D440F3" w:rsidRPr="00594970" w:rsidRDefault="00D440F3" w:rsidP="005C2636">
      <w:r w:rsidRPr="00594970">
        <w:lastRenderedPageBreak/>
        <w:t>ASL figures across all outcomes should be discussed with Finance and match the figures to be published at the bottom of Table 1.1: Entity resource statement</w:t>
      </w:r>
      <w:r w:rsidR="00E6356E" w:rsidRPr="00594970">
        <w:t>.</w:t>
      </w:r>
      <w:r w:rsidRPr="00594970">
        <w:t xml:space="preserve"> </w:t>
      </w:r>
      <w:r w:rsidR="00AD1CEF" w:rsidRPr="00594970">
        <w:t>For the latest guidance on ASL</w:t>
      </w:r>
      <w:r w:rsidR="00A26E02" w:rsidRPr="00594970">
        <w:t xml:space="preserve"> refer to EM 201</w:t>
      </w:r>
      <w:r w:rsidR="00D50DE5" w:rsidRPr="00594970">
        <w:t>8</w:t>
      </w:r>
      <w:r w:rsidR="00A26E02" w:rsidRPr="00594970">
        <w:t>/</w:t>
      </w:r>
      <w:r w:rsidR="00D50DE5" w:rsidRPr="00594970">
        <w:t>24</w:t>
      </w:r>
      <w:r w:rsidR="00A26E02" w:rsidRPr="00594970">
        <w:t xml:space="preserve"> – </w:t>
      </w:r>
      <w:r w:rsidR="00A26E02" w:rsidRPr="00594970">
        <w:rPr>
          <w:i/>
        </w:rPr>
        <w:t>201</w:t>
      </w:r>
      <w:r w:rsidR="00D50DE5" w:rsidRPr="00594970">
        <w:rPr>
          <w:i/>
        </w:rPr>
        <w:t>7</w:t>
      </w:r>
      <w:r w:rsidR="00A26E02" w:rsidRPr="00594970">
        <w:rPr>
          <w:i/>
        </w:rPr>
        <w:t>/1</w:t>
      </w:r>
      <w:r w:rsidR="00D50DE5" w:rsidRPr="00594970">
        <w:rPr>
          <w:i/>
        </w:rPr>
        <w:t>8</w:t>
      </w:r>
      <w:r w:rsidR="00A26E02" w:rsidRPr="00594970">
        <w:rPr>
          <w:i/>
        </w:rPr>
        <w:t xml:space="preserve"> Actual </w:t>
      </w:r>
      <w:r w:rsidR="007D5EA2" w:rsidRPr="00594970">
        <w:rPr>
          <w:i/>
        </w:rPr>
        <w:t>A</w:t>
      </w:r>
      <w:r w:rsidR="00A26E02" w:rsidRPr="00594970">
        <w:rPr>
          <w:i/>
        </w:rPr>
        <w:t>verage Staffing levels</w:t>
      </w:r>
      <w:r w:rsidR="00A26E02" w:rsidRPr="00594970">
        <w:t xml:space="preserve"> and </w:t>
      </w:r>
      <w:r w:rsidR="00A26E02" w:rsidRPr="00594970">
        <w:br/>
        <w:t xml:space="preserve">EM </w:t>
      </w:r>
      <w:r w:rsidR="00166576" w:rsidRPr="00594970">
        <w:t>2019/36</w:t>
      </w:r>
      <w:r w:rsidRPr="00594970">
        <w:t xml:space="preserve"> </w:t>
      </w:r>
      <w:r w:rsidR="00A26E02" w:rsidRPr="00594970">
        <w:t>–</w:t>
      </w:r>
      <w:r w:rsidR="00166576" w:rsidRPr="00594970">
        <w:t xml:space="preserve">Average Staffing Level (ASL) – Policy Proposals Portfolio Caps </w:t>
      </w:r>
      <w:r w:rsidRPr="00594970">
        <w:t>for more information regard</w:t>
      </w:r>
      <w:r w:rsidR="00A70D68" w:rsidRPr="00594970">
        <w:t>ing the definition of ASL.  A</w:t>
      </w:r>
      <w:r w:rsidRPr="00594970">
        <w:t xml:space="preserve">n Estimates Memorandum on </w:t>
      </w:r>
      <w:r w:rsidR="00D50DE5" w:rsidRPr="00594970">
        <w:t xml:space="preserve">the January </w:t>
      </w:r>
      <w:r w:rsidR="00166576" w:rsidRPr="00594970">
        <w:t xml:space="preserve">2020 </w:t>
      </w:r>
      <w:r w:rsidRPr="00594970">
        <w:t xml:space="preserve">ASL </w:t>
      </w:r>
      <w:r w:rsidR="00D50DE5" w:rsidRPr="00594970">
        <w:t xml:space="preserve">update / </w:t>
      </w:r>
      <w:r w:rsidRPr="00594970">
        <w:t>data collection will be issued shortly.</w:t>
      </w:r>
    </w:p>
    <w:p w14:paraId="0D6DE122" w14:textId="5A2F47FE" w:rsidR="00B273FD" w:rsidRPr="00594970" w:rsidRDefault="00A95EBC" w:rsidP="00F31EC9">
      <w:pPr>
        <w:pStyle w:val="Heading2"/>
      </w:pPr>
      <w:bookmarkStart w:id="130" w:name="_Toc26963583"/>
      <w:r w:rsidRPr="00594970">
        <w:t xml:space="preserve">Table 2.x Budgeted Expenses for Outcome </w:t>
      </w:r>
      <w:r w:rsidR="003013FE" w:rsidRPr="00594970">
        <w:t xml:space="preserve">x </w:t>
      </w:r>
      <w:r w:rsidR="00BA79C0" w:rsidRPr="00594970">
        <w:t xml:space="preserve">- </w:t>
      </w:r>
      <w:r w:rsidRPr="00594970">
        <w:t xml:space="preserve">reporting </w:t>
      </w:r>
      <w:r w:rsidR="006A2B41" w:rsidRPr="00594970">
        <w:t xml:space="preserve">of AASB16 </w:t>
      </w:r>
      <w:r w:rsidR="00922B72" w:rsidRPr="00594970">
        <w:rPr>
          <w:i/>
        </w:rPr>
        <w:t>Leases</w:t>
      </w:r>
      <w:bookmarkEnd w:id="130"/>
    </w:p>
    <w:p w14:paraId="7CE618F2" w14:textId="5C756D6D" w:rsidR="008A7669" w:rsidRPr="00594970" w:rsidRDefault="006A2B41" w:rsidP="00F31EC9">
      <w:r w:rsidRPr="00594970">
        <w:t xml:space="preserve">There is no change to the presentation of </w:t>
      </w:r>
      <w:r w:rsidR="00486D8A" w:rsidRPr="00594970">
        <w:rPr>
          <w:i/>
        </w:rPr>
        <w:t>Table 2.x</w:t>
      </w:r>
      <w:r w:rsidRPr="00594970">
        <w:rPr>
          <w:i/>
        </w:rPr>
        <w:t xml:space="preserve"> Budget</w:t>
      </w:r>
      <w:r w:rsidR="00585789" w:rsidRPr="00594970">
        <w:rPr>
          <w:i/>
        </w:rPr>
        <w:t>ed</w:t>
      </w:r>
      <w:r w:rsidRPr="00594970">
        <w:rPr>
          <w:i/>
        </w:rPr>
        <w:t xml:space="preserve"> Expenses</w:t>
      </w:r>
      <w:r w:rsidR="00FA2339" w:rsidRPr="00594970">
        <w:rPr>
          <w:i/>
        </w:rPr>
        <w:t xml:space="preserve"> </w:t>
      </w:r>
      <w:r w:rsidR="00486D8A" w:rsidRPr="00594970">
        <w:rPr>
          <w:i/>
        </w:rPr>
        <w:t>for Outcome x</w:t>
      </w:r>
      <w:r w:rsidRPr="00594970">
        <w:t xml:space="preserve"> as a result of AASB</w:t>
      </w:r>
      <w:r w:rsidR="00FA2339" w:rsidRPr="00594970">
        <w:t xml:space="preserve"> </w:t>
      </w:r>
      <w:r w:rsidRPr="00594970">
        <w:t xml:space="preserve">16 </w:t>
      </w:r>
      <w:r w:rsidR="00FA2339" w:rsidRPr="00594970">
        <w:rPr>
          <w:i/>
        </w:rPr>
        <w:t>Leases</w:t>
      </w:r>
      <w:r w:rsidRPr="00594970">
        <w:t xml:space="preserve">. However, there are </w:t>
      </w:r>
      <w:r w:rsidR="0018502A" w:rsidRPr="00594970">
        <w:t>impacts</w:t>
      </w:r>
      <w:r w:rsidRPr="00594970">
        <w:t xml:space="preserve"> </w:t>
      </w:r>
      <w:r w:rsidR="00486D8A" w:rsidRPr="00594970">
        <w:t>in</w:t>
      </w:r>
      <w:r w:rsidRPr="00594970">
        <w:t xml:space="preserve"> the composition of </w:t>
      </w:r>
      <w:r w:rsidR="00585789" w:rsidRPr="00594970">
        <w:t xml:space="preserve">the </w:t>
      </w:r>
      <w:r w:rsidR="0018502A" w:rsidRPr="00594970">
        <w:t xml:space="preserve">program expenditure </w:t>
      </w:r>
      <w:r w:rsidR="00513BA7" w:rsidRPr="00594970">
        <w:t xml:space="preserve">reported by </w:t>
      </w:r>
      <w:r w:rsidR="00486D8A" w:rsidRPr="00594970">
        <w:t>the table.</w:t>
      </w:r>
    </w:p>
    <w:p w14:paraId="717583E4" w14:textId="3080A599" w:rsidR="00752F6A" w:rsidRPr="00594970" w:rsidRDefault="00752F6A" w:rsidP="00752F6A">
      <w:pPr>
        <w:pStyle w:val="Heading3"/>
      </w:pPr>
      <w:bookmarkStart w:id="131" w:name="_Toc26963584"/>
      <w:r w:rsidRPr="00594970">
        <w:t xml:space="preserve">Interest and Depreciation of ROU </w:t>
      </w:r>
      <w:r w:rsidR="00FB21C0">
        <w:t xml:space="preserve">Assets </w:t>
      </w:r>
      <w:r w:rsidRPr="00594970">
        <w:t>reported as part of</w:t>
      </w:r>
      <w:r w:rsidR="00A95EBC" w:rsidRPr="00594970">
        <w:t xml:space="preserve"> </w:t>
      </w:r>
      <w:r w:rsidRPr="00594970">
        <w:t>Departmental Appropriation Expense</w:t>
      </w:r>
      <w:r w:rsidR="00A95EBC" w:rsidRPr="00594970">
        <w:t>s</w:t>
      </w:r>
      <w:bookmarkEnd w:id="131"/>
    </w:p>
    <w:p w14:paraId="10219286" w14:textId="455D848F" w:rsidR="00B0758E" w:rsidRPr="00080D89" w:rsidRDefault="00B0758E" w:rsidP="00F31EC9">
      <w:r w:rsidRPr="00594970">
        <w:t xml:space="preserve">There are </w:t>
      </w:r>
      <w:r w:rsidR="00080D89">
        <w:t>three</w:t>
      </w:r>
      <w:r w:rsidRPr="00594970">
        <w:t xml:space="preserve"> main leasing components that are required to be </w:t>
      </w:r>
      <w:r w:rsidR="00080D89">
        <w:t xml:space="preserve">calculated and </w:t>
      </w:r>
      <w:r w:rsidRPr="00594970">
        <w:t xml:space="preserve">included as part of the table’s derivation they are the </w:t>
      </w:r>
      <w:r w:rsidRPr="00594970">
        <w:rPr>
          <w:i/>
        </w:rPr>
        <w:t>Interest on ROU</w:t>
      </w:r>
      <w:r w:rsidR="00080D89">
        <w:rPr>
          <w:i/>
        </w:rPr>
        <w:t>,</w:t>
      </w:r>
      <w:r w:rsidRPr="00594970">
        <w:t xml:space="preserve"> </w:t>
      </w:r>
      <w:r w:rsidRPr="00594970">
        <w:rPr>
          <w:i/>
        </w:rPr>
        <w:t>Depreciation of ROU</w:t>
      </w:r>
      <w:r w:rsidR="00080D89">
        <w:t xml:space="preserve"> and the </w:t>
      </w:r>
      <w:r w:rsidR="00080D89">
        <w:rPr>
          <w:i/>
        </w:rPr>
        <w:t>Credit applied to rental supplier expenses</w:t>
      </w:r>
      <w:r w:rsidR="00080D89">
        <w:t>.</w:t>
      </w:r>
    </w:p>
    <w:p w14:paraId="19573838" w14:textId="61807F83" w:rsidR="004359F5" w:rsidRPr="00594970" w:rsidRDefault="004359F5" w:rsidP="006B060B">
      <w:r w:rsidRPr="00594970">
        <w:t>Th</w:t>
      </w:r>
      <w:r w:rsidR="00B275A5" w:rsidRPr="00594970">
        <w:t>e following leas</w:t>
      </w:r>
      <w:r w:rsidR="006D1911">
        <w:t>ing components will be included in the</w:t>
      </w:r>
      <w:r w:rsidR="006D1911" w:rsidRPr="006D1911">
        <w:t xml:space="preserve"> </w:t>
      </w:r>
      <w:r w:rsidR="006D1911" w:rsidRPr="000137C6">
        <w:t>Departmental appropriation expenses</w:t>
      </w:r>
      <w:r w:rsidR="006D1911">
        <w:t xml:space="preserve"> line</w:t>
      </w:r>
      <w:r w:rsidRPr="00594970">
        <w:t>:</w:t>
      </w:r>
    </w:p>
    <w:p w14:paraId="0F95EB1E" w14:textId="35E48B1C" w:rsidR="00710090" w:rsidRPr="00594970" w:rsidRDefault="00710090" w:rsidP="000137C6">
      <w:r w:rsidRPr="00594970">
        <w:rPr>
          <w:i/>
          <w:color w:val="0070C0"/>
        </w:rPr>
        <w:t>Interest on Right of Use</w:t>
      </w:r>
      <w:r w:rsidR="00FB21C0">
        <w:rPr>
          <w:i/>
          <w:color w:val="0070C0"/>
        </w:rPr>
        <w:t xml:space="preserve"> Assets</w:t>
      </w:r>
      <w:r w:rsidRPr="00594970">
        <w:rPr>
          <w:i/>
          <w:color w:val="0070C0"/>
        </w:rPr>
        <w:t xml:space="preserve"> </w:t>
      </w:r>
      <w:r w:rsidR="004F7582" w:rsidRPr="00594970">
        <w:rPr>
          <w:i/>
          <w:color w:val="0070C0"/>
        </w:rPr>
        <w:t>-</w:t>
      </w:r>
      <w:r w:rsidRPr="00594970">
        <w:t xml:space="preserve"> </w:t>
      </w:r>
      <w:r w:rsidR="00B275A5" w:rsidRPr="00594970">
        <w:t xml:space="preserve">as the account is reported as part of the Comprehensive Income Statement this needs to be reported as part of the </w:t>
      </w:r>
      <w:r w:rsidRPr="00594970">
        <w:t>‘Departmental appropriation expenses’</w:t>
      </w:r>
      <w:r w:rsidR="00B275A5" w:rsidRPr="00594970">
        <w:t>.</w:t>
      </w:r>
    </w:p>
    <w:p w14:paraId="683FC8CD" w14:textId="3FBED6EF" w:rsidR="000137C6" w:rsidRDefault="00B0758E" w:rsidP="000137C6">
      <w:r w:rsidRPr="00594970">
        <w:rPr>
          <w:i/>
          <w:color w:val="0070C0"/>
        </w:rPr>
        <w:t xml:space="preserve">Depreciation/amortisation of </w:t>
      </w:r>
      <w:r w:rsidRPr="00173D1B">
        <w:rPr>
          <w:i/>
          <w:color w:val="0070C0"/>
        </w:rPr>
        <w:t xml:space="preserve">ROU </w:t>
      </w:r>
      <w:r w:rsidR="00173D1B" w:rsidRPr="00173D1B">
        <w:rPr>
          <w:i/>
          <w:color w:val="0070C0"/>
        </w:rPr>
        <w:t>Asset</w:t>
      </w:r>
      <w:r w:rsidR="003F2B75" w:rsidRPr="00594970">
        <w:rPr>
          <w:color w:val="0070C0"/>
        </w:rPr>
        <w:t xml:space="preserve">- </w:t>
      </w:r>
      <w:r w:rsidRPr="00594970">
        <w:t xml:space="preserve">for </w:t>
      </w:r>
      <w:r w:rsidRPr="00594970">
        <w:rPr>
          <w:b/>
          <w:i/>
        </w:rPr>
        <w:t>Non-Corporate Commonwealth</w:t>
      </w:r>
      <w:r w:rsidRPr="00594970">
        <w:rPr>
          <w:b/>
        </w:rPr>
        <w:t xml:space="preserve"> entities</w:t>
      </w:r>
      <w:r w:rsidR="003F2B75" w:rsidRPr="00594970">
        <w:rPr>
          <w:b/>
        </w:rPr>
        <w:t xml:space="preserve"> </w:t>
      </w:r>
      <w:r w:rsidR="003F2B75" w:rsidRPr="00594970">
        <w:t>who receive a DCB</w:t>
      </w:r>
      <w:r w:rsidRPr="00594970">
        <w:t xml:space="preserve">, </w:t>
      </w:r>
      <w:r w:rsidR="00A75019">
        <w:t xml:space="preserve">will need to split their depreciation expenses between ROU and Non-ROU. The latter Non-ROU depreciation will still be reported as </w:t>
      </w:r>
      <w:r w:rsidR="00A75019" w:rsidRPr="00A75019">
        <w:rPr>
          <w:i/>
        </w:rPr>
        <w:t>Expenses not requiring appropriation</w:t>
      </w:r>
      <w:r w:rsidR="00A75019">
        <w:t xml:space="preserve"> and the ROU depreciation included </w:t>
      </w:r>
      <w:r w:rsidR="00B275A5" w:rsidRPr="00594970">
        <w:t xml:space="preserve">as part of </w:t>
      </w:r>
      <w:r w:rsidRPr="00594970">
        <w:t>the</w:t>
      </w:r>
      <w:r w:rsidR="00B275A5" w:rsidRPr="00594970">
        <w:t xml:space="preserve"> entity’s</w:t>
      </w:r>
      <w:r w:rsidR="00A75019">
        <w:t xml:space="preserve"> </w:t>
      </w:r>
      <w:r w:rsidRPr="00A75019">
        <w:rPr>
          <w:i/>
        </w:rPr>
        <w:t>Depa</w:t>
      </w:r>
      <w:r w:rsidR="00A75019" w:rsidRPr="00A75019">
        <w:rPr>
          <w:i/>
        </w:rPr>
        <w:t>rtmental appropriation expenses</w:t>
      </w:r>
      <w:r w:rsidRPr="00594970">
        <w:t>.</w:t>
      </w:r>
      <w:r w:rsidR="002606D6" w:rsidRPr="00594970">
        <w:br/>
      </w:r>
      <w:r w:rsidR="002606D6" w:rsidRPr="00594970">
        <w:br/>
      </w:r>
      <w:r w:rsidR="003F2B75" w:rsidRPr="00594970">
        <w:t>For</w:t>
      </w:r>
      <w:r w:rsidRPr="00594970">
        <w:t xml:space="preserve"> </w:t>
      </w:r>
      <w:r w:rsidRPr="00594970">
        <w:rPr>
          <w:b/>
          <w:i/>
        </w:rPr>
        <w:t>Corporate Commonwealth Entities</w:t>
      </w:r>
      <w:r w:rsidRPr="00594970">
        <w:t xml:space="preserve"> </w:t>
      </w:r>
      <w:r w:rsidR="006D1911">
        <w:t xml:space="preserve">who are </w:t>
      </w:r>
      <w:r w:rsidR="003F2B75" w:rsidRPr="00594970">
        <w:t xml:space="preserve">funded for </w:t>
      </w:r>
      <w:r w:rsidR="007E3EA1" w:rsidRPr="00594970">
        <w:t>d</w:t>
      </w:r>
      <w:r w:rsidR="003F2B75" w:rsidRPr="00594970">
        <w:t xml:space="preserve">epreciation there will be no change in how they </w:t>
      </w:r>
      <w:r w:rsidRPr="00594970">
        <w:t xml:space="preserve">will continue to </w:t>
      </w:r>
      <w:r w:rsidR="00465D31" w:rsidRPr="00594970">
        <w:t xml:space="preserve">report the </w:t>
      </w:r>
      <w:r w:rsidRPr="00594970">
        <w:t xml:space="preserve">Depreciation/Amortisation </w:t>
      </w:r>
      <w:r w:rsidR="00B275A5" w:rsidRPr="00594970">
        <w:t>of ROU</w:t>
      </w:r>
      <w:r w:rsidR="00465D31" w:rsidRPr="00594970">
        <w:t xml:space="preserve"> in </w:t>
      </w:r>
      <w:r w:rsidR="006D1911">
        <w:t xml:space="preserve">their program table as they should already </w:t>
      </w:r>
      <w:r w:rsidR="00A75019">
        <w:t xml:space="preserve">report this as part of their </w:t>
      </w:r>
      <w:r w:rsidR="00465D31" w:rsidRPr="00A75019">
        <w:rPr>
          <w:i/>
        </w:rPr>
        <w:t>Depa</w:t>
      </w:r>
      <w:r w:rsidR="00A75019" w:rsidRPr="00A75019">
        <w:rPr>
          <w:i/>
        </w:rPr>
        <w:t>rtmental appropriation expenses</w:t>
      </w:r>
      <w:r w:rsidR="00465D31" w:rsidRPr="00594970">
        <w:t>.</w:t>
      </w:r>
    </w:p>
    <w:p w14:paraId="3BAE6440" w14:textId="703E6065" w:rsidR="003B5AF5" w:rsidRPr="00080D89" w:rsidRDefault="003B5AF5" w:rsidP="000137C6">
      <w:r w:rsidRPr="003B5AF5">
        <w:rPr>
          <w:i/>
          <w:color w:val="0070C0"/>
        </w:rPr>
        <w:t xml:space="preserve">Credit applied to rental </w:t>
      </w:r>
      <w:r w:rsidR="000D227F">
        <w:rPr>
          <w:i/>
          <w:color w:val="0070C0"/>
        </w:rPr>
        <w:t xml:space="preserve">/ </w:t>
      </w:r>
      <w:r w:rsidRPr="003B5AF5">
        <w:rPr>
          <w:i/>
          <w:color w:val="0070C0"/>
        </w:rPr>
        <w:t xml:space="preserve">supplier expenses </w:t>
      </w:r>
      <w:r w:rsidR="00080D89">
        <w:rPr>
          <w:i/>
          <w:color w:val="0070C0"/>
        </w:rPr>
        <w:t>-</w:t>
      </w:r>
      <w:r w:rsidRPr="003B5AF5">
        <w:rPr>
          <w:i/>
        </w:rPr>
        <w:t xml:space="preserve"> </w:t>
      </w:r>
      <w:r w:rsidR="00080D89">
        <w:t>upon transition</w:t>
      </w:r>
      <w:r w:rsidR="00A55406">
        <w:t xml:space="preserve">ing to the new standard AASB 16 </w:t>
      </w:r>
      <w:r w:rsidR="00A55406" w:rsidRPr="00A55406">
        <w:rPr>
          <w:i/>
        </w:rPr>
        <w:t>Leases</w:t>
      </w:r>
      <w:r w:rsidR="006D1911">
        <w:rPr>
          <w:i/>
        </w:rPr>
        <w:t>,</w:t>
      </w:r>
      <w:r w:rsidR="00080D89">
        <w:t xml:space="preserve"> entities were required to </w:t>
      </w:r>
      <w:r w:rsidR="006D1911">
        <w:t>reduce</w:t>
      </w:r>
      <w:r w:rsidR="00F83D32">
        <w:t xml:space="preserve"> their rental / supplier </w:t>
      </w:r>
      <w:r w:rsidR="006D1911">
        <w:t>expenses</w:t>
      </w:r>
      <w:r w:rsidR="00A55406">
        <w:t xml:space="preserve"> </w:t>
      </w:r>
      <w:r w:rsidR="006E08DE">
        <w:t xml:space="preserve">in order to debit their </w:t>
      </w:r>
      <w:r w:rsidR="00080D89" w:rsidRPr="006E08DE">
        <w:rPr>
          <w:i/>
        </w:rPr>
        <w:t>Interest on ROU</w:t>
      </w:r>
      <w:r w:rsidR="00080D89">
        <w:t xml:space="preserve"> and </w:t>
      </w:r>
      <w:r w:rsidR="00F83D32" w:rsidRPr="00456A4C">
        <w:rPr>
          <w:i/>
        </w:rPr>
        <w:t xml:space="preserve">Principal repayment </w:t>
      </w:r>
      <w:r w:rsidR="00F83D32">
        <w:t>component of their lease expenses. As appro</w:t>
      </w:r>
      <w:r w:rsidR="006D1911">
        <w:t xml:space="preserve">priations have not changed and </w:t>
      </w:r>
      <w:r w:rsidR="006D1911" w:rsidRPr="006D1911">
        <w:rPr>
          <w:i/>
        </w:rPr>
        <w:t>D</w:t>
      </w:r>
      <w:r w:rsidR="00F83D32" w:rsidRPr="006D1911">
        <w:rPr>
          <w:i/>
        </w:rPr>
        <w:t>epreciation on ROU assets</w:t>
      </w:r>
      <w:r w:rsidR="00F83D32">
        <w:t xml:space="preserve"> is a new program expense item, the </w:t>
      </w:r>
      <w:r w:rsidR="00456A4C">
        <w:t xml:space="preserve">components of the </w:t>
      </w:r>
      <w:r w:rsidR="00F83D32">
        <w:t>program expense table</w:t>
      </w:r>
      <w:r w:rsidR="00456A4C">
        <w:t xml:space="preserve"> will need to be adjusted to reduce the impact </w:t>
      </w:r>
      <w:r w:rsidR="006D1911">
        <w:t xml:space="preserve">that lease has on the </w:t>
      </w:r>
      <w:r w:rsidR="006D1911" w:rsidRPr="00A75019">
        <w:rPr>
          <w:i/>
        </w:rPr>
        <w:t>Departmental appropriation expenses</w:t>
      </w:r>
      <w:r w:rsidR="006D1911">
        <w:t xml:space="preserve"> line item.</w:t>
      </w:r>
    </w:p>
    <w:p w14:paraId="71D3F57C" w14:textId="77777777" w:rsidR="00A75019" w:rsidRDefault="00A75019" w:rsidP="000137C6">
      <w:pPr>
        <w:pStyle w:val="ListBullet2"/>
      </w:pPr>
    </w:p>
    <w:p w14:paraId="45208F59" w14:textId="77777777" w:rsidR="009C0262" w:rsidRDefault="009C0262">
      <w:pPr>
        <w:suppressAutoHyphens w:val="0"/>
        <w:spacing w:before="0" w:after="120" w:line="440" w:lineRule="atLeast"/>
      </w:pPr>
      <w:r>
        <w:br w:type="page"/>
      </w:r>
    </w:p>
    <w:p w14:paraId="3BAA2328" w14:textId="1301BF9C" w:rsidR="000137C6" w:rsidRDefault="000137C6" w:rsidP="000137C6">
      <w:pPr>
        <w:pStyle w:val="ListBullet2"/>
      </w:pPr>
      <w:r w:rsidRPr="00594970">
        <w:lastRenderedPageBreak/>
        <w:t xml:space="preserve">The rationale for </w:t>
      </w:r>
      <w:r>
        <w:t>not changing the program table is twofold:</w:t>
      </w:r>
    </w:p>
    <w:p w14:paraId="0913809D" w14:textId="501D4840" w:rsidR="000137C6" w:rsidRDefault="000137C6" w:rsidP="00D20A43">
      <w:pPr>
        <w:pStyle w:val="ListNumber2"/>
        <w:numPr>
          <w:ilvl w:val="0"/>
          <w:numId w:val="27"/>
        </w:numPr>
      </w:pPr>
      <w:r>
        <w:t xml:space="preserve">the program expenses table </w:t>
      </w:r>
      <w:r w:rsidR="00A75019" w:rsidRPr="00A75019">
        <w:rPr>
          <w:i/>
        </w:rPr>
        <w:t>Departmental program expenditure</w:t>
      </w:r>
      <w:r w:rsidR="00A75019">
        <w:t xml:space="preserve"> total(s)</w:t>
      </w:r>
      <w:r>
        <w:t xml:space="preserve"> reported must reconcile to </w:t>
      </w:r>
      <w:r w:rsidR="00456A4C">
        <w:t xml:space="preserve">total expenses as </w:t>
      </w:r>
      <w:r>
        <w:t>reported in</w:t>
      </w:r>
      <w:r w:rsidR="00456A4C">
        <w:t xml:space="preserve"> the entity’s</w:t>
      </w:r>
      <w:r>
        <w:t xml:space="preserve"> comprehensive income statement in CBMS;   and</w:t>
      </w:r>
    </w:p>
    <w:p w14:paraId="6B11E447" w14:textId="0A47EAD4" w:rsidR="000137C6" w:rsidRDefault="000137C6" w:rsidP="00D20A43">
      <w:pPr>
        <w:pStyle w:val="ListNumber2"/>
        <w:numPr>
          <w:ilvl w:val="0"/>
          <w:numId w:val="27"/>
        </w:numPr>
      </w:pPr>
      <w:r>
        <w:t>to achieve this</w:t>
      </w:r>
      <w:r w:rsidR="00456A4C">
        <w:t>,</w:t>
      </w:r>
      <w:r>
        <w:t xml:space="preserve"> the most consistent way across government to report </w:t>
      </w:r>
      <w:r w:rsidRPr="00456A4C">
        <w:rPr>
          <w:i/>
        </w:rPr>
        <w:t>Depreciation on ROU assets</w:t>
      </w:r>
      <w:r>
        <w:t xml:space="preserve"> is to include this as part of the </w:t>
      </w:r>
      <w:r w:rsidRPr="00A75019">
        <w:rPr>
          <w:i/>
        </w:rPr>
        <w:t>Departmental appropriation expenses</w:t>
      </w:r>
      <w:r>
        <w:t xml:space="preserve"> </w:t>
      </w:r>
      <w:r w:rsidR="00A75019">
        <w:t xml:space="preserve">line item </w:t>
      </w:r>
      <w:r>
        <w:t xml:space="preserve">rather than </w:t>
      </w:r>
      <w:r w:rsidRPr="00D20A43">
        <w:rPr>
          <w:i/>
        </w:rPr>
        <w:t>Expenses not requiring appropriation in the Budget Year</w:t>
      </w:r>
      <w:r>
        <w:t xml:space="preserve"> as entities are still appropriated for the rental expenses/payments through appropriation Bill 1 ordinary annual services.</w:t>
      </w:r>
    </w:p>
    <w:p w14:paraId="5FF391F7" w14:textId="122565B2" w:rsidR="004A2056" w:rsidRDefault="007E3EA1" w:rsidP="006B060B">
      <w:r w:rsidRPr="00594970">
        <w:t>An</w:t>
      </w:r>
      <w:r w:rsidR="00223148" w:rsidRPr="00594970">
        <w:t xml:space="preserve"> illustrative example </w:t>
      </w:r>
      <w:r w:rsidRPr="00594970">
        <w:t xml:space="preserve">has been provided </w:t>
      </w:r>
      <w:r w:rsidR="00C72ECF" w:rsidRPr="00594970">
        <w:t>below to</w:t>
      </w:r>
      <w:r w:rsidRPr="00594970">
        <w:t xml:space="preserve"> </w:t>
      </w:r>
      <w:r w:rsidR="00C72ECF" w:rsidRPr="00594970">
        <w:t>demonstrate</w:t>
      </w:r>
      <w:r w:rsidRPr="00594970">
        <w:t xml:space="preserve"> </w:t>
      </w:r>
      <w:r w:rsidR="00223148" w:rsidRPr="00594970">
        <w:t xml:space="preserve">how </w:t>
      </w:r>
      <w:r w:rsidR="00A17555">
        <w:t>to calculate depreciation appropriation expenses in the Budgeted expenses by outcome table.</w:t>
      </w:r>
    </w:p>
    <w:p w14:paraId="57F1BFDA" w14:textId="6AF9B2CA" w:rsidR="00293F77" w:rsidRPr="00456A4C" w:rsidRDefault="00F32A62" w:rsidP="002606D6">
      <w:pPr>
        <w:rPr>
          <w:b/>
          <w:i/>
          <w:color w:val="FF0000"/>
        </w:rPr>
      </w:pPr>
      <w:r w:rsidRPr="00456A4C">
        <w:rPr>
          <w:b/>
          <w:i/>
          <w:color w:val="FF0000"/>
          <w:u w:val="single"/>
        </w:rPr>
        <w:t>Note:</w:t>
      </w:r>
      <w:r w:rsidRPr="00456A4C">
        <w:rPr>
          <w:b/>
          <w:i/>
          <w:color w:val="FF0000"/>
        </w:rPr>
        <w:t xml:space="preserve"> The text highlighted in </w:t>
      </w:r>
      <w:r w:rsidRPr="00456A4C">
        <w:rPr>
          <w:b/>
          <w:i/>
          <w:color w:val="FF0000"/>
          <w:u w:val="dotted"/>
          <w:shd w:val="clear" w:color="auto" w:fill="FFE68F" w:themeFill="accent4" w:themeFillTint="66"/>
        </w:rPr>
        <w:t>Pale Yellow</w:t>
      </w:r>
      <w:r w:rsidRPr="00456A4C">
        <w:rPr>
          <w:b/>
          <w:i/>
          <w:color w:val="FF0000"/>
        </w:rPr>
        <w:t xml:space="preserve"> </w:t>
      </w:r>
      <w:r w:rsidR="00080D89" w:rsidRPr="00456A4C">
        <w:rPr>
          <w:b/>
          <w:i/>
          <w:color w:val="FF0000"/>
        </w:rPr>
        <w:t xml:space="preserve">and in </w:t>
      </w:r>
      <w:r w:rsidR="00080D89" w:rsidRPr="00456A4C">
        <w:rPr>
          <w:b/>
          <w:i/>
          <w:color w:val="FF0000"/>
          <w:u w:val="dotted"/>
          <w:shd w:val="clear" w:color="auto" w:fill="CCECFF"/>
        </w:rPr>
        <w:t>Pale Blue</w:t>
      </w:r>
      <w:r w:rsidR="00080D89" w:rsidRPr="00456A4C">
        <w:rPr>
          <w:b/>
          <w:i/>
          <w:color w:val="FF0000"/>
        </w:rPr>
        <w:t xml:space="preserve"> </w:t>
      </w:r>
      <w:r w:rsidRPr="00456A4C">
        <w:rPr>
          <w:b/>
          <w:i/>
          <w:color w:val="FF0000"/>
        </w:rPr>
        <w:t xml:space="preserve">below </w:t>
      </w:r>
      <w:r w:rsidR="004D2D58" w:rsidRPr="00456A4C">
        <w:rPr>
          <w:b/>
          <w:i/>
          <w:color w:val="FF0000"/>
        </w:rPr>
        <w:t xml:space="preserve">are intended to </w:t>
      </w:r>
      <w:r w:rsidRPr="00456A4C">
        <w:rPr>
          <w:b/>
          <w:i/>
          <w:color w:val="FF0000"/>
        </w:rPr>
        <w:t xml:space="preserve">show how the </w:t>
      </w:r>
      <w:r w:rsidR="004D2D58" w:rsidRPr="00456A4C">
        <w:rPr>
          <w:b/>
          <w:i/>
          <w:color w:val="FF0000"/>
        </w:rPr>
        <w:t xml:space="preserve">Departmental </w:t>
      </w:r>
      <w:r w:rsidRPr="00456A4C">
        <w:rPr>
          <w:b/>
          <w:i/>
          <w:color w:val="FF0000"/>
        </w:rPr>
        <w:t>appropriat</w:t>
      </w:r>
      <w:r w:rsidR="004D2D58" w:rsidRPr="00456A4C">
        <w:rPr>
          <w:b/>
          <w:i/>
          <w:color w:val="FF0000"/>
        </w:rPr>
        <w:t>ion expenses</w:t>
      </w:r>
      <w:r w:rsidRPr="00456A4C">
        <w:rPr>
          <w:b/>
          <w:i/>
          <w:color w:val="FF0000"/>
        </w:rPr>
        <w:t xml:space="preserve"> </w:t>
      </w:r>
      <w:r w:rsidR="00456A4C">
        <w:rPr>
          <w:b/>
          <w:i/>
          <w:color w:val="FF0000"/>
        </w:rPr>
        <w:t xml:space="preserve">line item </w:t>
      </w:r>
      <w:r w:rsidR="00683B32">
        <w:rPr>
          <w:b/>
          <w:i/>
          <w:color w:val="FF0000"/>
        </w:rPr>
        <w:t>is</w:t>
      </w:r>
      <w:r w:rsidRPr="00456A4C">
        <w:rPr>
          <w:b/>
          <w:i/>
          <w:color w:val="FF0000"/>
        </w:rPr>
        <w:t xml:space="preserve"> </w:t>
      </w:r>
      <w:r w:rsidR="00223148" w:rsidRPr="00456A4C">
        <w:rPr>
          <w:b/>
          <w:i/>
          <w:color w:val="FF0000"/>
        </w:rPr>
        <w:t>derived</w:t>
      </w:r>
      <w:r w:rsidR="00C72ECF" w:rsidRPr="00456A4C">
        <w:rPr>
          <w:b/>
          <w:i/>
          <w:color w:val="FF0000"/>
        </w:rPr>
        <w:t xml:space="preserve">, </w:t>
      </w:r>
      <w:r w:rsidR="00C72ECF" w:rsidRPr="00456A4C">
        <w:rPr>
          <w:b/>
          <w:i/>
          <w:color w:val="FF0000"/>
          <w:u w:val="single"/>
        </w:rPr>
        <w:t>t</w:t>
      </w:r>
      <w:r w:rsidRPr="00456A4C">
        <w:rPr>
          <w:b/>
          <w:i/>
          <w:color w:val="FF0000"/>
          <w:u w:val="single"/>
        </w:rPr>
        <w:t xml:space="preserve">hey are not intended to be published as distinct </w:t>
      </w:r>
      <w:r w:rsidR="004D2D58" w:rsidRPr="00456A4C">
        <w:rPr>
          <w:b/>
          <w:i/>
          <w:color w:val="FF0000"/>
          <w:u w:val="single"/>
        </w:rPr>
        <w:t xml:space="preserve">separate </w:t>
      </w:r>
      <w:r w:rsidRPr="00456A4C">
        <w:rPr>
          <w:b/>
          <w:i/>
          <w:color w:val="FF0000"/>
          <w:u w:val="single"/>
        </w:rPr>
        <w:t>line-items</w:t>
      </w:r>
      <w:r w:rsidRPr="00456A4C">
        <w:rPr>
          <w:b/>
          <w:i/>
          <w:color w:val="FF0000"/>
        </w:rPr>
        <w:t>.</w:t>
      </w:r>
    </w:p>
    <w:p w14:paraId="3DC1A5FF" w14:textId="77777777" w:rsidR="009B5D12" w:rsidRPr="00594970" w:rsidRDefault="009B5D12" w:rsidP="002606D6"/>
    <w:tbl>
      <w:tblPr>
        <w:tblW w:w="9057" w:type="dxa"/>
        <w:tblLook w:val="04A0" w:firstRow="1" w:lastRow="0" w:firstColumn="1" w:lastColumn="0" w:noHBand="0" w:noVBand="1"/>
      </w:tblPr>
      <w:tblGrid>
        <w:gridCol w:w="3529"/>
        <w:gridCol w:w="1134"/>
        <w:gridCol w:w="1019"/>
        <w:gridCol w:w="1137"/>
        <w:gridCol w:w="1134"/>
        <w:gridCol w:w="1104"/>
      </w:tblGrid>
      <w:tr w:rsidR="00FC7481" w:rsidRPr="00594970" w14:paraId="69D8AB0C" w14:textId="77777777" w:rsidTr="00456A4C">
        <w:trPr>
          <w:trHeight w:val="357"/>
        </w:trPr>
        <w:tc>
          <w:tcPr>
            <w:tcW w:w="9057" w:type="dxa"/>
            <w:gridSpan w:val="6"/>
            <w:tcBorders>
              <w:top w:val="single" w:sz="12" w:space="0" w:color="auto"/>
              <w:left w:val="single" w:sz="12" w:space="0" w:color="auto"/>
              <w:bottom w:val="nil"/>
              <w:right w:val="single" w:sz="12" w:space="0" w:color="auto"/>
            </w:tcBorders>
            <w:shd w:val="clear" w:color="000000" w:fill="FFFFFF"/>
            <w:noWrap/>
            <w:vAlign w:val="center"/>
            <w:hideMark/>
          </w:tcPr>
          <w:p w14:paraId="10D8D7BA" w14:textId="5221B920" w:rsidR="00FC7481" w:rsidRPr="00594970" w:rsidRDefault="00FC7481" w:rsidP="00BC34A4">
            <w:pPr>
              <w:suppressAutoHyphens w:val="0"/>
              <w:spacing w:before="0" w:after="0" w:line="240" w:lineRule="auto"/>
              <w:rPr>
                <w:rFonts w:ascii="Arial" w:eastAsia="Times New Roman" w:hAnsi="Arial" w:cs="Arial"/>
                <w:b/>
                <w:bCs/>
                <w:color w:val="000000"/>
                <w:sz w:val="28"/>
                <w:szCs w:val="28"/>
                <w:lang w:eastAsia="en-AU"/>
              </w:rPr>
            </w:pPr>
            <w:r w:rsidRPr="00594970">
              <w:rPr>
                <w:rFonts w:ascii="Arial" w:eastAsia="Times New Roman" w:hAnsi="Arial" w:cs="Arial"/>
                <w:b/>
                <w:bCs/>
                <w:color w:val="000000"/>
                <w:sz w:val="28"/>
                <w:szCs w:val="28"/>
                <w:lang w:eastAsia="en-AU"/>
              </w:rPr>
              <w:t>Program Table 2.x Budgeted expenses by outcome</w:t>
            </w:r>
          </w:p>
        </w:tc>
      </w:tr>
      <w:tr w:rsidR="00FC7481" w:rsidRPr="00594970" w14:paraId="1DF92379" w14:textId="77777777" w:rsidTr="00070550">
        <w:trPr>
          <w:trHeight w:val="306"/>
        </w:trPr>
        <w:tc>
          <w:tcPr>
            <w:tcW w:w="3529" w:type="dxa"/>
            <w:tcBorders>
              <w:top w:val="nil"/>
              <w:left w:val="single" w:sz="12" w:space="0" w:color="auto"/>
              <w:bottom w:val="nil"/>
              <w:right w:val="nil"/>
            </w:tcBorders>
            <w:shd w:val="clear" w:color="000000" w:fill="FFFFFF"/>
            <w:noWrap/>
            <w:hideMark/>
          </w:tcPr>
          <w:p w14:paraId="3826D934" w14:textId="030AA199" w:rsidR="00BC34A4" w:rsidRPr="00594970" w:rsidRDefault="00BC34A4" w:rsidP="00BC34A4">
            <w:pPr>
              <w:suppressAutoHyphens w:val="0"/>
              <w:spacing w:before="0" w:after="0" w:line="240" w:lineRule="auto"/>
              <w:rPr>
                <w:rFonts w:ascii="Arial" w:eastAsia="Times New Roman" w:hAnsi="Arial" w:cs="Arial"/>
                <w:color w:val="000000"/>
                <w:lang w:eastAsia="en-AU"/>
              </w:rPr>
            </w:pPr>
          </w:p>
        </w:tc>
        <w:tc>
          <w:tcPr>
            <w:tcW w:w="1134" w:type="dxa"/>
            <w:tcBorders>
              <w:top w:val="nil"/>
              <w:left w:val="nil"/>
              <w:bottom w:val="single" w:sz="8" w:space="0" w:color="auto"/>
              <w:right w:val="nil"/>
            </w:tcBorders>
            <w:shd w:val="clear" w:color="000000" w:fill="FFFFFF"/>
            <w:vAlign w:val="center"/>
            <w:hideMark/>
          </w:tcPr>
          <w:p w14:paraId="456784AB" w14:textId="7D0FB218" w:rsidR="00BC34A4" w:rsidRPr="00594970" w:rsidRDefault="00BC34A4" w:rsidP="00BC34A4">
            <w:pPr>
              <w:suppressAutoHyphens w:val="0"/>
              <w:spacing w:before="0" w:after="0" w:line="240" w:lineRule="auto"/>
              <w:rPr>
                <w:rFonts w:ascii="Arial" w:eastAsia="Times New Roman" w:hAnsi="Arial" w:cs="Arial"/>
                <w:color w:val="000000"/>
                <w:lang w:eastAsia="en-AU"/>
              </w:rPr>
            </w:pPr>
          </w:p>
        </w:tc>
        <w:tc>
          <w:tcPr>
            <w:tcW w:w="1019" w:type="dxa"/>
            <w:tcBorders>
              <w:top w:val="nil"/>
              <w:left w:val="nil"/>
              <w:bottom w:val="single" w:sz="8" w:space="0" w:color="auto"/>
              <w:right w:val="nil"/>
            </w:tcBorders>
            <w:shd w:val="clear" w:color="000000" w:fill="FFFFFF"/>
            <w:noWrap/>
            <w:vAlign w:val="center"/>
            <w:hideMark/>
          </w:tcPr>
          <w:p w14:paraId="2F5979BA" w14:textId="15EEFB6E" w:rsidR="00BC34A4" w:rsidRPr="00594970" w:rsidRDefault="00BC34A4" w:rsidP="00BC34A4">
            <w:pPr>
              <w:suppressAutoHyphens w:val="0"/>
              <w:spacing w:before="0" w:after="0" w:line="240" w:lineRule="auto"/>
              <w:rPr>
                <w:rFonts w:ascii="Arial" w:eastAsia="Times New Roman" w:hAnsi="Arial" w:cs="Arial"/>
                <w:color w:val="000000"/>
                <w:lang w:eastAsia="en-AU"/>
              </w:rPr>
            </w:pPr>
          </w:p>
        </w:tc>
        <w:tc>
          <w:tcPr>
            <w:tcW w:w="1137" w:type="dxa"/>
            <w:tcBorders>
              <w:top w:val="nil"/>
              <w:left w:val="nil"/>
              <w:bottom w:val="single" w:sz="8" w:space="0" w:color="auto"/>
              <w:right w:val="nil"/>
            </w:tcBorders>
            <w:shd w:val="clear" w:color="000000" w:fill="FFFFFF"/>
            <w:noWrap/>
            <w:vAlign w:val="center"/>
            <w:hideMark/>
          </w:tcPr>
          <w:p w14:paraId="169F93BD" w14:textId="252F8388" w:rsidR="00BC34A4" w:rsidRPr="00594970" w:rsidRDefault="00BC34A4" w:rsidP="00BC34A4">
            <w:pPr>
              <w:suppressAutoHyphens w:val="0"/>
              <w:spacing w:before="0" w:after="0" w:line="240" w:lineRule="auto"/>
              <w:rPr>
                <w:rFonts w:ascii="Arial" w:eastAsia="Times New Roman" w:hAnsi="Arial" w:cs="Arial"/>
                <w:color w:val="000000"/>
                <w:lang w:eastAsia="en-AU"/>
              </w:rPr>
            </w:pPr>
          </w:p>
        </w:tc>
        <w:tc>
          <w:tcPr>
            <w:tcW w:w="1134" w:type="dxa"/>
            <w:tcBorders>
              <w:top w:val="nil"/>
              <w:left w:val="nil"/>
              <w:bottom w:val="single" w:sz="8" w:space="0" w:color="auto"/>
              <w:right w:val="nil"/>
            </w:tcBorders>
            <w:shd w:val="clear" w:color="000000" w:fill="FFFFFF"/>
            <w:noWrap/>
            <w:vAlign w:val="center"/>
            <w:hideMark/>
          </w:tcPr>
          <w:p w14:paraId="02F371DC" w14:textId="7E8F1C1D" w:rsidR="00BC34A4" w:rsidRPr="00594970" w:rsidRDefault="00BC34A4" w:rsidP="00BC34A4">
            <w:pPr>
              <w:suppressAutoHyphens w:val="0"/>
              <w:spacing w:before="0" w:after="0" w:line="240" w:lineRule="auto"/>
              <w:rPr>
                <w:rFonts w:ascii="Arial" w:eastAsia="Times New Roman" w:hAnsi="Arial" w:cs="Arial"/>
                <w:color w:val="000000"/>
                <w:lang w:eastAsia="en-AU"/>
              </w:rPr>
            </w:pPr>
          </w:p>
        </w:tc>
        <w:tc>
          <w:tcPr>
            <w:tcW w:w="1104" w:type="dxa"/>
            <w:tcBorders>
              <w:top w:val="nil"/>
              <w:left w:val="nil"/>
              <w:bottom w:val="single" w:sz="8" w:space="0" w:color="auto"/>
              <w:right w:val="single" w:sz="12" w:space="0" w:color="auto"/>
            </w:tcBorders>
            <w:shd w:val="clear" w:color="000000" w:fill="FFFFFF"/>
            <w:noWrap/>
            <w:vAlign w:val="center"/>
            <w:hideMark/>
          </w:tcPr>
          <w:p w14:paraId="5063C13D" w14:textId="4CE63D5C" w:rsidR="00BC34A4" w:rsidRPr="00594970" w:rsidRDefault="00BC34A4" w:rsidP="00BC34A4">
            <w:pPr>
              <w:suppressAutoHyphens w:val="0"/>
              <w:spacing w:before="0" w:after="0" w:line="240" w:lineRule="auto"/>
              <w:rPr>
                <w:rFonts w:ascii="Arial" w:eastAsia="Times New Roman" w:hAnsi="Arial" w:cs="Arial"/>
                <w:color w:val="000000"/>
                <w:lang w:eastAsia="en-AU"/>
              </w:rPr>
            </w:pPr>
          </w:p>
        </w:tc>
      </w:tr>
      <w:tr w:rsidR="00FC7481" w:rsidRPr="00594970" w14:paraId="7122FF80" w14:textId="77777777" w:rsidTr="00070550">
        <w:trPr>
          <w:trHeight w:val="311"/>
        </w:trPr>
        <w:tc>
          <w:tcPr>
            <w:tcW w:w="3529" w:type="dxa"/>
            <w:tcBorders>
              <w:top w:val="nil"/>
              <w:left w:val="single" w:sz="12" w:space="0" w:color="auto"/>
              <w:bottom w:val="nil"/>
              <w:right w:val="single" w:sz="8" w:space="0" w:color="auto"/>
            </w:tcBorders>
            <w:shd w:val="clear" w:color="000000" w:fill="FFFFFF"/>
            <w:noWrap/>
            <w:hideMark/>
          </w:tcPr>
          <w:p w14:paraId="79D2890F" w14:textId="48D529BB" w:rsidR="00BC34A4" w:rsidRPr="00594970" w:rsidRDefault="00BC34A4" w:rsidP="00BC34A4">
            <w:pPr>
              <w:suppressAutoHyphens w:val="0"/>
              <w:spacing w:before="0" w:after="0" w:line="240" w:lineRule="auto"/>
              <w:rPr>
                <w:rFonts w:ascii="Arial" w:eastAsia="Times New Roman" w:hAnsi="Arial" w:cs="Arial"/>
                <w:color w:val="000000"/>
                <w:lang w:eastAsia="en-AU"/>
              </w:rPr>
            </w:pPr>
          </w:p>
        </w:tc>
        <w:tc>
          <w:tcPr>
            <w:tcW w:w="1134" w:type="dxa"/>
            <w:tcBorders>
              <w:top w:val="nil"/>
              <w:left w:val="nil"/>
              <w:bottom w:val="nil"/>
              <w:right w:val="single" w:sz="8" w:space="0" w:color="auto"/>
            </w:tcBorders>
            <w:shd w:val="clear" w:color="000000" w:fill="FFFFFF"/>
            <w:vAlign w:val="center"/>
            <w:hideMark/>
          </w:tcPr>
          <w:p w14:paraId="1CE0F5D1" w14:textId="77777777" w:rsidR="00BC34A4" w:rsidRPr="00594970" w:rsidRDefault="00BC34A4" w:rsidP="00BC34A4">
            <w:pPr>
              <w:suppressAutoHyphens w:val="0"/>
              <w:spacing w:before="0" w:after="0" w:line="240" w:lineRule="auto"/>
              <w:jc w:val="right"/>
              <w:rPr>
                <w:rFonts w:ascii="Arial" w:eastAsia="Times New Roman" w:hAnsi="Arial" w:cs="Arial"/>
                <w:b/>
                <w:bCs/>
                <w:color w:val="000000"/>
                <w:sz w:val="16"/>
                <w:szCs w:val="16"/>
                <w:lang w:eastAsia="en-AU"/>
              </w:rPr>
            </w:pPr>
            <w:r w:rsidRPr="00594970">
              <w:rPr>
                <w:rFonts w:ascii="Arial" w:eastAsia="Times New Roman" w:hAnsi="Arial" w:cs="Arial"/>
                <w:b/>
                <w:bCs/>
                <w:color w:val="000000"/>
                <w:sz w:val="16"/>
                <w:szCs w:val="16"/>
                <w:lang w:eastAsia="en-AU"/>
              </w:rPr>
              <w:t>2018-19</w:t>
            </w:r>
          </w:p>
        </w:tc>
        <w:tc>
          <w:tcPr>
            <w:tcW w:w="1019" w:type="dxa"/>
            <w:tcBorders>
              <w:top w:val="nil"/>
              <w:left w:val="nil"/>
              <w:bottom w:val="nil"/>
              <w:right w:val="single" w:sz="8" w:space="0" w:color="auto"/>
            </w:tcBorders>
            <w:shd w:val="clear" w:color="000000" w:fill="FFFFFF"/>
            <w:vAlign w:val="center"/>
            <w:hideMark/>
          </w:tcPr>
          <w:p w14:paraId="7D432605" w14:textId="77777777" w:rsidR="00BC34A4" w:rsidRPr="00594970" w:rsidRDefault="00BC34A4" w:rsidP="00BC34A4">
            <w:pPr>
              <w:suppressAutoHyphens w:val="0"/>
              <w:spacing w:before="0" w:after="0" w:line="240" w:lineRule="auto"/>
              <w:jc w:val="right"/>
              <w:rPr>
                <w:rFonts w:ascii="Arial" w:eastAsia="Times New Roman" w:hAnsi="Arial" w:cs="Arial"/>
                <w:b/>
                <w:bCs/>
                <w:color w:val="000000"/>
                <w:sz w:val="16"/>
                <w:szCs w:val="16"/>
                <w:lang w:eastAsia="en-AU"/>
              </w:rPr>
            </w:pPr>
            <w:r w:rsidRPr="00594970">
              <w:rPr>
                <w:rFonts w:ascii="Arial" w:eastAsia="Times New Roman" w:hAnsi="Arial" w:cs="Arial"/>
                <w:b/>
                <w:bCs/>
                <w:color w:val="000000"/>
                <w:sz w:val="16"/>
                <w:szCs w:val="16"/>
                <w:lang w:eastAsia="en-AU"/>
              </w:rPr>
              <w:t>2019-20</w:t>
            </w:r>
          </w:p>
        </w:tc>
        <w:tc>
          <w:tcPr>
            <w:tcW w:w="1137" w:type="dxa"/>
            <w:tcBorders>
              <w:top w:val="nil"/>
              <w:left w:val="nil"/>
              <w:bottom w:val="nil"/>
              <w:right w:val="single" w:sz="8" w:space="0" w:color="auto"/>
            </w:tcBorders>
            <w:shd w:val="clear" w:color="000000" w:fill="FFFFFF"/>
            <w:vAlign w:val="center"/>
            <w:hideMark/>
          </w:tcPr>
          <w:p w14:paraId="14167884" w14:textId="77777777" w:rsidR="00BC34A4" w:rsidRPr="00594970" w:rsidRDefault="00BC34A4" w:rsidP="00BC34A4">
            <w:pPr>
              <w:suppressAutoHyphens w:val="0"/>
              <w:spacing w:before="0" w:after="0" w:line="240" w:lineRule="auto"/>
              <w:jc w:val="right"/>
              <w:rPr>
                <w:rFonts w:ascii="Arial" w:eastAsia="Times New Roman" w:hAnsi="Arial" w:cs="Arial"/>
                <w:b/>
                <w:bCs/>
                <w:color w:val="000000"/>
                <w:sz w:val="16"/>
                <w:szCs w:val="16"/>
                <w:lang w:eastAsia="en-AU"/>
              </w:rPr>
            </w:pPr>
            <w:r w:rsidRPr="00594970">
              <w:rPr>
                <w:rFonts w:ascii="Arial" w:eastAsia="Times New Roman" w:hAnsi="Arial" w:cs="Arial"/>
                <w:b/>
                <w:bCs/>
                <w:color w:val="000000"/>
                <w:sz w:val="16"/>
                <w:szCs w:val="16"/>
                <w:lang w:eastAsia="en-AU"/>
              </w:rPr>
              <w:t>2020-21</w:t>
            </w:r>
          </w:p>
        </w:tc>
        <w:tc>
          <w:tcPr>
            <w:tcW w:w="1134" w:type="dxa"/>
            <w:tcBorders>
              <w:top w:val="nil"/>
              <w:left w:val="nil"/>
              <w:bottom w:val="nil"/>
              <w:right w:val="single" w:sz="8" w:space="0" w:color="auto"/>
            </w:tcBorders>
            <w:shd w:val="clear" w:color="000000" w:fill="FFFFFF"/>
            <w:vAlign w:val="center"/>
            <w:hideMark/>
          </w:tcPr>
          <w:p w14:paraId="3D1A2C9B" w14:textId="77777777" w:rsidR="00BC34A4" w:rsidRPr="00594970" w:rsidRDefault="00BC34A4" w:rsidP="00BC34A4">
            <w:pPr>
              <w:suppressAutoHyphens w:val="0"/>
              <w:spacing w:before="0" w:after="0" w:line="240" w:lineRule="auto"/>
              <w:jc w:val="right"/>
              <w:rPr>
                <w:rFonts w:ascii="Arial" w:eastAsia="Times New Roman" w:hAnsi="Arial" w:cs="Arial"/>
                <w:b/>
                <w:bCs/>
                <w:color w:val="000000"/>
                <w:sz w:val="16"/>
                <w:szCs w:val="16"/>
                <w:lang w:eastAsia="en-AU"/>
              </w:rPr>
            </w:pPr>
            <w:r w:rsidRPr="00594970">
              <w:rPr>
                <w:rFonts w:ascii="Arial" w:eastAsia="Times New Roman" w:hAnsi="Arial" w:cs="Arial"/>
                <w:b/>
                <w:bCs/>
                <w:color w:val="000000"/>
                <w:sz w:val="16"/>
                <w:szCs w:val="16"/>
                <w:lang w:eastAsia="en-AU"/>
              </w:rPr>
              <w:t>2021-22</w:t>
            </w:r>
          </w:p>
        </w:tc>
        <w:tc>
          <w:tcPr>
            <w:tcW w:w="1104" w:type="dxa"/>
            <w:tcBorders>
              <w:top w:val="nil"/>
              <w:left w:val="nil"/>
              <w:bottom w:val="nil"/>
              <w:right w:val="single" w:sz="12" w:space="0" w:color="auto"/>
            </w:tcBorders>
            <w:shd w:val="clear" w:color="000000" w:fill="FFFFFF"/>
            <w:vAlign w:val="center"/>
            <w:hideMark/>
          </w:tcPr>
          <w:p w14:paraId="302E092E" w14:textId="77777777" w:rsidR="00BC34A4" w:rsidRPr="00594970" w:rsidRDefault="00BC34A4" w:rsidP="00BC34A4">
            <w:pPr>
              <w:suppressAutoHyphens w:val="0"/>
              <w:spacing w:before="0" w:after="0" w:line="240" w:lineRule="auto"/>
              <w:jc w:val="right"/>
              <w:rPr>
                <w:rFonts w:ascii="Arial" w:eastAsia="Times New Roman" w:hAnsi="Arial" w:cs="Arial"/>
                <w:b/>
                <w:bCs/>
                <w:color w:val="000000"/>
                <w:sz w:val="16"/>
                <w:szCs w:val="16"/>
                <w:lang w:eastAsia="en-AU"/>
              </w:rPr>
            </w:pPr>
            <w:r w:rsidRPr="00594970">
              <w:rPr>
                <w:rFonts w:ascii="Arial" w:eastAsia="Times New Roman" w:hAnsi="Arial" w:cs="Arial"/>
                <w:b/>
                <w:bCs/>
                <w:color w:val="000000"/>
                <w:sz w:val="16"/>
                <w:szCs w:val="16"/>
                <w:lang w:eastAsia="en-AU"/>
              </w:rPr>
              <w:t>2021-22</w:t>
            </w:r>
          </w:p>
        </w:tc>
      </w:tr>
      <w:tr w:rsidR="00FC7481" w:rsidRPr="00594970" w14:paraId="7619811F" w14:textId="77777777" w:rsidTr="00070550">
        <w:trPr>
          <w:trHeight w:val="293"/>
        </w:trPr>
        <w:tc>
          <w:tcPr>
            <w:tcW w:w="3529" w:type="dxa"/>
            <w:tcBorders>
              <w:top w:val="nil"/>
              <w:left w:val="single" w:sz="12" w:space="0" w:color="auto"/>
              <w:bottom w:val="nil"/>
              <w:right w:val="single" w:sz="8" w:space="0" w:color="auto"/>
            </w:tcBorders>
            <w:shd w:val="clear" w:color="000000" w:fill="FFFFFF"/>
            <w:noWrap/>
            <w:hideMark/>
          </w:tcPr>
          <w:p w14:paraId="66B0D0E0" w14:textId="3EEB5296" w:rsidR="00BC34A4" w:rsidRPr="00594970" w:rsidRDefault="00BC34A4" w:rsidP="00BC34A4">
            <w:pPr>
              <w:suppressAutoHyphens w:val="0"/>
              <w:spacing w:before="0" w:after="0" w:line="240" w:lineRule="auto"/>
              <w:rPr>
                <w:rFonts w:ascii="Arial" w:eastAsia="Times New Roman" w:hAnsi="Arial" w:cs="Arial"/>
                <w:color w:val="000000"/>
                <w:lang w:eastAsia="en-AU"/>
              </w:rPr>
            </w:pPr>
          </w:p>
        </w:tc>
        <w:tc>
          <w:tcPr>
            <w:tcW w:w="1134" w:type="dxa"/>
            <w:tcBorders>
              <w:top w:val="nil"/>
              <w:left w:val="nil"/>
              <w:bottom w:val="nil"/>
              <w:right w:val="single" w:sz="8" w:space="0" w:color="auto"/>
            </w:tcBorders>
            <w:shd w:val="clear" w:color="000000" w:fill="FFFFFF"/>
            <w:vAlign w:val="center"/>
            <w:hideMark/>
          </w:tcPr>
          <w:p w14:paraId="284A197D" w14:textId="77777777" w:rsidR="00BC34A4" w:rsidRPr="00594970" w:rsidRDefault="00BC34A4" w:rsidP="00BC34A4">
            <w:pPr>
              <w:suppressAutoHyphens w:val="0"/>
              <w:spacing w:before="0" w:after="0" w:line="240" w:lineRule="auto"/>
              <w:jc w:val="right"/>
              <w:rPr>
                <w:rFonts w:ascii="Arial" w:eastAsia="Times New Roman" w:hAnsi="Arial" w:cs="Arial"/>
                <w:b/>
                <w:bCs/>
                <w:color w:val="000000"/>
                <w:sz w:val="16"/>
                <w:szCs w:val="16"/>
                <w:lang w:eastAsia="en-AU"/>
              </w:rPr>
            </w:pPr>
            <w:r w:rsidRPr="00594970">
              <w:rPr>
                <w:rFonts w:ascii="Arial" w:eastAsia="Times New Roman" w:hAnsi="Arial" w:cs="Arial"/>
                <w:b/>
                <w:bCs/>
                <w:color w:val="000000"/>
                <w:sz w:val="16"/>
                <w:szCs w:val="16"/>
                <w:lang w:eastAsia="en-AU"/>
              </w:rPr>
              <w:t>Actual</w:t>
            </w:r>
          </w:p>
        </w:tc>
        <w:tc>
          <w:tcPr>
            <w:tcW w:w="1019" w:type="dxa"/>
            <w:tcBorders>
              <w:top w:val="nil"/>
              <w:left w:val="nil"/>
              <w:bottom w:val="nil"/>
              <w:right w:val="single" w:sz="8" w:space="0" w:color="auto"/>
            </w:tcBorders>
            <w:shd w:val="clear" w:color="000000" w:fill="FFFFFF"/>
            <w:vAlign w:val="center"/>
            <w:hideMark/>
          </w:tcPr>
          <w:p w14:paraId="3DC08A68" w14:textId="77777777" w:rsidR="00BC34A4" w:rsidRPr="00594970" w:rsidRDefault="00BC34A4" w:rsidP="00BC34A4">
            <w:pPr>
              <w:suppressAutoHyphens w:val="0"/>
              <w:spacing w:before="0" w:after="0" w:line="240" w:lineRule="auto"/>
              <w:jc w:val="right"/>
              <w:rPr>
                <w:rFonts w:ascii="Arial" w:eastAsia="Times New Roman" w:hAnsi="Arial" w:cs="Arial"/>
                <w:b/>
                <w:bCs/>
                <w:color w:val="000000"/>
                <w:sz w:val="16"/>
                <w:szCs w:val="16"/>
                <w:lang w:eastAsia="en-AU"/>
              </w:rPr>
            </w:pPr>
            <w:r w:rsidRPr="00594970">
              <w:rPr>
                <w:rFonts w:ascii="Arial" w:eastAsia="Times New Roman" w:hAnsi="Arial" w:cs="Arial"/>
                <w:b/>
                <w:bCs/>
                <w:color w:val="000000"/>
                <w:sz w:val="16"/>
                <w:szCs w:val="16"/>
                <w:lang w:eastAsia="en-AU"/>
              </w:rPr>
              <w:t>Revised</w:t>
            </w:r>
          </w:p>
        </w:tc>
        <w:tc>
          <w:tcPr>
            <w:tcW w:w="1137" w:type="dxa"/>
            <w:tcBorders>
              <w:top w:val="nil"/>
              <w:left w:val="nil"/>
              <w:bottom w:val="nil"/>
              <w:right w:val="single" w:sz="8" w:space="0" w:color="auto"/>
            </w:tcBorders>
            <w:shd w:val="clear" w:color="000000" w:fill="FFFFFF"/>
            <w:vAlign w:val="center"/>
            <w:hideMark/>
          </w:tcPr>
          <w:p w14:paraId="1E8A81E3" w14:textId="77777777" w:rsidR="00BC34A4" w:rsidRPr="00594970" w:rsidRDefault="00BC34A4" w:rsidP="00BC34A4">
            <w:pPr>
              <w:suppressAutoHyphens w:val="0"/>
              <w:spacing w:before="0" w:after="0" w:line="240" w:lineRule="auto"/>
              <w:jc w:val="right"/>
              <w:rPr>
                <w:rFonts w:ascii="Arial" w:eastAsia="Times New Roman" w:hAnsi="Arial" w:cs="Arial"/>
                <w:b/>
                <w:bCs/>
                <w:color w:val="000000"/>
                <w:sz w:val="16"/>
                <w:szCs w:val="16"/>
                <w:lang w:eastAsia="en-AU"/>
              </w:rPr>
            </w:pPr>
            <w:r w:rsidRPr="00594970">
              <w:rPr>
                <w:rFonts w:ascii="Arial" w:eastAsia="Times New Roman" w:hAnsi="Arial" w:cs="Arial"/>
                <w:b/>
                <w:bCs/>
                <w:color w:val="000000"/>
                <w:sz w:val="16"/>
                <w:szCs w:val="16"/>
                <w:lang w:eastAsia="en-AU"/>
              </w:rPr>
              <w:t>Forward</w:t>
            </w:r>
          </w:p>
        </w:tc>
        <w:tc>
          <w:tcPr>
            <w:tcW w:w="1134" w:type="dxa"/>
            <w:tcBorders>
              <w:top w:val="nil"/>
              <w:left w:val="nil"/>
              <w:bottom w:val="nil"/>
              <w:right w:val="single" w:sz="8" w:space="0" w:color="auto"/>
            </w:tcBorders>
            <w:shd w:val="clear" w:color="000000" w:fill="FFFFFF"/>
            <w:vAlign w:val="center"/>
            <w:hideMark/>
          </w:tcPr>
          <w:p w14:paraId="42A5AD98" w14:textId="77777777" w:rsidR="00BC34A4" w:rsidRPr="00594970" w:rsidRDefault="00BC34A4" w:rsidP="00BC34A4">
            <w:pPr>
              <w:suppressAutoHyphens w:val="0"/>
              <w:spacing w:before="0" w:after="0" w:line="240" w:lineRule="auto"/>
              <w:jc w:val="right"/>
              <w:rPr>
                <w:rFonts w:ascii="Arial" w:eastAsia="Times New Roman" w:hAnsi="Arial" w:cs="Arial"/>
                <w:b/>
                <w:bCs/>
                <w:color w:val="000000"/>
                <w:sz w:val="16"/>
                <w:szCs w:val="16"/>
                <w:lang w:eastAsia="en-AU"/>
              </w:rPr>
            </w:pPr>
            <w:r w:rsidRPr="00594970">
              <w:rPr>
                <w:rFonts w:ascii="Arial" w:eastAsia="Times New Roman" w:hAnsi="Arial" w:cs="Arial"/>
                <w:b/>
                <w:bCs/>
                <w:color w:val="000000"/>
                <w:sz w:val="16"/>
                <w:szCs w:val="16"/>
                <w:lang w:eastAsia="en-AU"/>
              </w:rPr>
              <w:t>Forward</w:t>
            </w:r>
          </w:p>
        </w:tc>
        <w:tc>
          <w:tcPr>
            <w:tcW w:w="1104" w:type="dxa"/>
            <w:tcBorders>
              <w:top w:val="nil"/>
              <w:left w:val="nil"/>
              <w:bottom w:val="nil"/>
              <w:right w:val="single" w:sz="12" w:space="0" w:color="auto"/>
            </w:tcBorders>
            <w:shd w:val="clear" w:color="000000" w:fill="FFFFFF"/>
            <w:vAlign w:val="center"/>
            <w:hideMark/>
          </w:tcPr>
          <w:p w14:paraId="690168AC" w14:textId="77777777" w:rsidR="00BC34A4" w:rsidRPr="00594970" w:rsidRDefault="00BC34A4" w:rsidP="00BC34A4">
            <w:pPr>
              <w:suppressAutoHyphens w:val="0"/>
              <w:spacing w:before="0" w:after="0" w:line="240" w:lineRule="auto"/>
              <w:jc w:val="right"/>
              <w:rPr>
                <w:rFonts w:ascii="Arial" w:eastAsia="Times New Roman" w:hAnsi="Arial" w:cs="Arial"/>
                <w:b/>
                <w:bCs/>
                <w:color w:val="000000"/>
                <w:sz w:val="16"/>
                <w:szCs w:val="16"/>
                <w:lang w:eastAsia="en-AU"/>
              </w:rPr>
            </w:pPr>
            <w:r w:rsidRPr="00594970">
              <w:rPr>
                <w:rFonts w:ascii="Arial" w:eastAsia="Times New Roman" w:hAnsi="Arial" w:cs="Arial"/>
                <w:b/>
                <w:bCs/>
                <w:color w:val="000000"/>
                <w:sz w:val="16"/>
                <w:szCs w:val="16"/>
                <w:lang w:eastAsia="en-AU"/>
              </w:rPr>
              <w:t>Forward</w:t>
            </w:r>
          </w:p>
        </w:tc>
      </w:tr>
      <w:tr w:rsidR="00FC7481" w:rsidRPr="00594970" w14:paraId="2B6231BF" w14:textId="77777777" w:rsidTr="00070550">
        <w:trPr>
          <w:trHeight w:val="293"/>
        </w:trPr>
        <w:tc>
          <w:tcPr>
            <w:tcW w:w="3529" w:type="dxa"/>
            <w:tcBorders>
              <w:top w:val="nil"/>
              <w:left w:val="single" w:sz="12" w:space="0" w:color="auto"/>
              <w:bottom w:val="nil"/>
              <w:right w:val="single" w:sz="8" w:space="0" w:color="auto"/>
            </w:tcBorders>
            <w:shd w:val="clear" w:color="000000" w:fill="FFFFFF"/>
            <w:noWrap/>
            <w:hideMark/>
          </w:tcPr>
          <w:p w14:paraId="4B7B7F04" w14:textId="7F878427" w:rsidR="00BC34A4" w:rsidRPr="00594970" w:rsidRDefault="00BC34A4" w:rsidP="00BC34A4">
            <w:pPr>
              <w:suppressAutoHyphens w:val="0"/>
              <w:spacing w:before="0" w:after="0" w:line="240" w:lineRule="auto"/>
              <w:rPr>
                <w:rFonts w:ascii="Arial" w:eastAsia="Times New Roman" w:hAnsi="Arial" w:cs="Arial"/>
                <w:color w:val="000000"/>
                <w:lang w:eastAsia="en-AU"/>
              </w:rPr>
            </w:pPr>
          </w:p>
        </w:tc>
        <w:tc>
          <w:tcPr>
            <w:tcW w:w="1134" w:type="dxa"/>
            <w:tcBorders>
              <w:top w:val="nil"/>
              <w:left w:val="nil"/>
              <w:bottom w:val="nil"/>
              <w:right w:val="single" w:sz="8" w:space="0" w:color="auto"/>
            </w:tcBorders>
            <w:shd w:val="clear" w:color="000000" w:fill="FFFFFF"/>
            <w:vAlign w:val="center"/>
            <w:hideMark/>
          </w:tcPr>
          <w:p w14:paraId="5BC4A6ED" w14:textId="77777777" w:rsidR="00BC34A4" w:rsidRPr="00594970" w:rsidRDefault="00BC34A4" w:rsidP="00BC34A4">
            <w:pPr>
              <w:suppressAutoHyphens w:val="0"/>
              <w:spacing w:before="0" w:after="0" w:line="240" w:lineRule="auto"/>
              <w:jc w:val="right"/>
              <w:rPr>
                <w:rFonts w:ascii="Arial" w:eastAsia="Times New Roman" w:hAnsi="Arial" w:cs="Arial"/>
                <w:b/>
                <w:bCs/>
                <w:color w:val="000000"/>
                <w:sz w:val="16"/>
                <w:szCs w:val="16"/>
                <w:lang w:eastAsia="en-AU"/>
              </w:rPr>
            </w:pPr>
            <w:r w:rsidRPr="00594970">
              <w:rPr>
                <w:rFonts w:ascii="Arial" w:eastAsia="Times New Roman" w:hAnsi="Arial" w:cs="Arial"/>
                <w:b/>
                <w:bCs/>
                <w:color w:val="000000"/>
                <w:sz w:val="16"/>
                <w:szCs w:val="16"/>
                <w:lang w:eastAsia="en-AU"/>
              </w:rPr>
              <w:t>Expenses *</w:t>
            </w:r>
          </w:p>
        </w:tc>
        <w:tc>
          <w:tcPr>
            <w:tcW w:w="1019" w:type="dxa"/>
            <w:tcBorders>
              <w:top w:val="nil"/>
              <w:left w:val="nil"/>
              <w:bottom w:val="nil"/>
              <w:right w:val="single" w:sz="8" w:space="0" w:color="auto"/>
            </w:tcBorders>
            <w:shd w:val="clear" w:color="000000" w:fill="FFFFFF"/>
            <w:vAlign w:val="center"/>
            <w:hideMark/>
          </w:tcPr>
          <w:p w14:paraId="2244B036" w14:textId="77777777" w:rsidR="00BC34A4" w:rsidRPr="00594970" w:rsidRDefault="00BC34A4" w:rsidP="00BC34A4">
            <w:pPr>
              <w:suppressAutoHyphens w:val="0"/>
              <w:spacing w:before="0" w:after="0" w:line="240" w:lineRule="auto"/>
              <w:jc w:val="right"/>
              <w:rPr>
                <w:rFonts w:ascii="Arial" w:eastAsia="Times New Roman" w:hAnsi="Arial" w:cs="Arial"/>
                <w:b/>
                <w:bCs/>
                <w:color w:val="000000"/>
                <w:sz w:val="16"/>
                <w:szCs w:val="16"/>
                <w:lang w:eastAsia="en-AU"/>
              </w:rPr>
            </w:pPr>
            <w:r w:rsidRPr="00594970">
              <w:rPr>
                <w:rFonts w:ascii="Arial" w:eastAsia="Times New Roman" w:hAnsi="Arial" w:cs="Arial"/>
                <w:b/>
                <w:bCs/>
                <w:color w:val="000000"/>
                <w:sz w:val="16"/>
                <w:szCs w:val="16"/>
                <w:lang w:eastAsia="en-AU"/>
              </w:rPr>
              <w:t>estimated</w:t>
            </w:r>
          </w:p>
        </w:tc>
        <w:tc>
          <w:tcPr>
            <w:tcW w:w="1137" w:type="dxa"/>
            <w:tcBorders>
              <w:top w:val="nil"/>
              <w:left w:val="nil"/>
              <w:bottom w:val="nil"/>
              <w:right w:val="single" w:sz="8" w:space="0" w:color="auto"/>
            </w:tcBorders>
            <w:shd w:val="clear" w:color="000000" w:fill="FFFFFF"/>
            <w:vAlign w:val="center"/>
            <w:hideMark/>
          </w:tcPr>
          <w:p w14:paraId="4028C07D" w14:textId="77777777" w:rsidR="00BC34A4" w:rsidRPr="00594970" w:rsidRDefault="00BC34A4" w:rsidP="00BC34A4">
            <w:pPr>
              <w:suppressAutoHyphens w:val="0"/>
              <w:spacing w:before="0" w:after="0" w:line="240" w:lineRule="auto"/>
              <w:jc w:val="right"/>
              <w:rPr>
                <w:rFonts w:ascii="Arial" w:eastAsia="Times New Roman" w:hAnsi="Arial" w:cs="Arial"/>
                <w:b/>
                <w:bCs/>
                <w:color w:val="000000"/>
                <w:sz w:val="16"/>
                <w:szCs w:val="16"/>
                <w:lang w:eastAsia="en-AU"/>
              </w:rPr>
            </w:pPr>
            <w:r w:rsidRPr="00594970">
              <w:rPr>
                <w:rFonts w:ascii="Arial" w:eastAsia="Times New Roman" w:hAnsi="Arial" w:cs="Arial"/>
                <w:b/>
                <w:bCs/>
                <w:color w:val="000000"/>
                <w:sz w:val="16"/>
                <w:szCs w:val="16"/>
                <w:lang w:eastAsia="en-AU"/>
              </w:rPr>
              <w:t>estimated</w:t>
            </w:r>
          </w:p>
        </w:tc>
        <w:tc>
          <w:tcPr>
            <w:tcW w:w="1134" w:type="dxa"/>
            <w:tcBorders>
              <w:top w:val="nil"/>
              <w:left w:val="nil"/>
              <w:bottom w:val="nil"/>
              <w:right w:val="single" w:sz="8" w:space="0" w:color="auto"/>
            </w:tcBorders>
            <w:shd w:val="clear" w:color="000000" w:fill="FFFFFF"/>
            <w:vAlign w:val="center"/>
            <w:hideMark/>
          </w:tcPr>
          <w:p w14:paraId="766D5013" w14:textId="77777777" w:rsidR="00BC34A4" w:rsidRPr="00594970" w:rsidRDefault="00BC34A4" w:rsidP="00BC34A4">
            <w:pPr>
              <w:suppressAutoHyphens w:val="0"/>
              <w:spacing w:before="0" w:after="0" w:line="240" w:lineRule="auto"/>
              <w:jc w:val="right"/>
              <w:rPr>
                <w:rFonts w:ascii="Arial" w:eastAsia="Times New Roman" w:hAnsi="Arial" w:cs="Arial"/>
                <w:b/>
                <w:bCs/>
                <w:color w:val="000000"/>
                <w:sz w:val="16"/>
                <w:szCs w:val="16"/>
                <w:lang w:eastAsia="en-AU"/>
              </w:rPr>
            </w:pPr>
            <w:r w:rsidRPr="00594970">
              <w:rPr>
                <w:rFonts w:ascii="Arial" w:eastAsia="Times New Roman" w:hAnsi="Arial" w:cs="Arial"/>
                <w:b/>
                <w:bCs/>
                <w:color w:val="000000"/>
                <w:sz w:val="16"/>
                <w:szCs w:val="16"/>
                <w:lang w:eastAsia="en-AU"/>
              </w:rPr>
              <w:t>estimated</w:t>
            </w:r>
          </w:p>
        </w:tc>
        <w:tc>
          <w:tcPr>
            <w:tcW w:w="1104" w:type="dxa"/>
            <w:tcBorders>
              <w:top w:val="nil"/>
              <w:left w:val="nil"/>
              <w:bottom w:val="nil"/>
              <w:right w:val="single" w:sz="12" w:space="0" w:color="auto"/>
            </w:tcBorders>
            <w:shd w:val="clear" w:color="000000" w:fill="FFFFFF"/>
            <w:vAlign w:val="center"/>
            <w:hideMark/>
          </w:tcPr>
          <w:p w14:paraId="5AA5F2D8" w14:textId="77777777" w:rsidR="00BC34A4" w:rsidRPr="00594970" w:rsidRDefault="00BC34A4" w:rsidP="00BC34A4">
            <w:pPr>
              <w:suppressAutoHyphens w:val="0"/>
              <w:spacing w:before="0" w:after="0" w:line="240" w:lineRule="auto"/>
              <w:jc w:val="right"/>
              <w:rPr>
                <w:rFonts w:ascii="Arial" w:eastAsia="Times New Roman" w:hAnsi="Arial" w:cs="Arial"/>
                <w:b/>
                <w:bCs/>
                <w:color w:val="000000"/>
                <w:sz w:val="16"/>
                <w:szCs w:val="16"/>
                <w:lang w:eastAsia="en-AU"/>
              </w:rPr>
            </w:pPr>
            <w:r w:rsidRPr="00594970">
              <w:rPr>
                <w:rFonts w:ascii="Arial" w:eastAsia="Times New Roman" w:hAnsi="Arial" w:cs="Arial"/>
                <w:b/>
                <w:bCs/>
                <w:color w:val="000000"/>
                <w:sz w:val="16"/>
                <w:szCs w:val="16"/>
                <w:lang w:eastAsia="en-AU"/>
              </w:rPr>
              <w:t>estimated</w:t>
            </w:r>
          </w:p>
        </w:tc>
      </w:tr>
      <w:tr w:rsidR="00FC7481" w:rsidRPr="00594970" w14:paraId="49DE3032" w14:textId="77777777" w:rsidTr="00070550">
        <w:trPr>
          <w:trHeight w:val="306"/>
        </w:trPr>
        <w:tc>
          <w:tcPr>
            <w:tcW w:w="3529" w:type="dxa"/>
            <w:tcBorders>
              <w:top w:val="nil"/>
              <w:left w:val="single" w:sz="12" w:space="0" w:color="auto"/>
              <w:bottom w:val="single" w:sz="8" w:space="0" w:color="auto"/>
              <w:right w:val="single" w:sz="8" w:space="0" w:color="auto"/>
            </w:tcBorders>
            <w:shd w:val="clear" w:color="000000" w:fill="FFFFFF"/>
            <w:noWrap/>
            <w:hideMark/>
          </w:tcPr>
          <w:p w14:paraId="711B27BA" w14:textId="11921063" w:rsidR="00BC34A4" w:rsidRPr="00594970" w:rsidRDefault="00BC34A4" w:rsidP="00BC34A4">
            <w:pPr>
              <w:suppressAutoHyphens w:val="0"/>
              <w:spacing w:before="0" w:after="0" w:line="240" w:lineRule="auto"/>
              <w:rPr>
                <w:rFonts w:ascii="Arial" w:eastAsia="Times New Roman" w:hAnsi="Arial" w:cs="Arial"/>
                <w:color w:val="000000"/>
                <w:lang w:eastAsia="en-AU"/>
              </w:rPr>
            </w:pPr>
          </w:p>
        </w:tc>
        <w:tc>
          <w:tcPr>
            <w:tcW w:w="1134" w:type="dxa"/>
            <w:tcBorders>
              <w:top w:val="nil"/>
              <w:left w:val="nil"/>
              <w:bottom w:val="single" w:sz="8" w:space="0" w:color="auto"/>
              <w:right w:val="single" w:sz="8" w:space="0" w:color="auto"/>
            </w:tcBorders>
            <w:shd w:val="clear" w:color="000000" w:fill="FFFFFF"/>
            <w:vAlign w:val="center"/>
            <w:hideMark/>
          </w:tcPr>
          <w:p w14:paraId="39D00561" w14:textId="4FACDAC1" w:rsidR="00BC34A4" w:rsidRPr="00594970" w:rsidRDefault="00BC34A4" w:rsidP="00BE6438">
            <w:pPr>
              <w:suppressAutoHyphens w:val="0"/>
              <w:spacing w:before="0" w:after="0" w:line="240" w:lineRule="auto"/>
              <w:rPr>
                <w:rFonts w:ascii="Arial" w:eastAsia="Times New Roman" w:hAnsi="Arial" w:cs="Arial"/>
                <w:b/>
                <w:bCs/>
                <w:color w:val="000000"/>
                <w:sz w:val="16"/>
                <w:szCs w:val="16"/>
                <w:lang w:eastAsia="en-AU"/>
              </w:rPr>
            </w:pPr>
          </w:p>
        </w:tc>
        <w:tc>
          <w:tcPr>
            <w:tcW w:w="1019" w:type="dxa"/>
            <w:tcBorders>
              <w:top w:val="nil"/>
              <w:left w:val="nil"/>
              <w:bottom w:val="single" w:sz="8" w:space="0" w:color="auto"/>
              <w:right w:val="single" w:sz="8" w:space="0" w:color="auto"/>
            </w:tcBorders>
            <w:shd w:val="clear" w:color="000000" w:fill="FFFFFF"/>
            <w:vAlign w:val="center"/>
            <w:hideMark/>
          </w:tcPr>
          <w:p w14:paraId="7C6B28FC" w14:textId="77777777" w:rsidR="00BC34A4" w:rsidRPr="00594970" w:rsidRDefault="00BC34A4" w:rsidP="00BC34A4">
            <w:pPr>
              <w:suppressAutoHyphens w:val="0"/>
              <w:spacing w:before="0" w:after="0" w:line="240" w:lineRule="auto"/>
              <w:jc w:val="right"/>
              <w:rPr>
                <w:rFonts w:ascii="Arial" w:eastAsia="Times New Roman" w:hAnsi="Arial" w:cs="Arial"/>
                <w:b/>
                <w:bCs/>
                <w:color w:val="000000"/>
                <w:sz w:val="16"/>
                <w:szCs w:val="16"/>
                <w:lang w:eastAsia="en-AU"/>
              </w:rPr>
            </w:pPr>
            <w:r w:rsidRPr="00594970">
              <w:rPr>
                <w:rFonts w:ascii="Arial" w:eastAsia="Times New Roman" w:hAnsi="Arial" w:cs="Arial"/>
                <w:b/>
                <w:bCs/>
                <w:color w:val="000000"/>
                <w:sz w:val="16"/>
                <w:szCs w:val="16"/>
                <w:lang w:eastAsia="en-AU"/>
              </w:rPr>
              <w:t>expenses</w:t>
            </w:r>
          </w:p>
        </w:tc>
        <w:tc>
          <w:tcPr>
            <w:tcW w:w="1137" w:type="dxa"/>
            <w:tcBorders>
              <w:top w:val="nil"/>
              <w:left w:val="nil"/>
              <w:bottom w:val="single" w:sz="8" w:space="0" w:color="auto"/>
              <w:right w:val="single" w:sz="8" w:space="0" w:color="auto"/>
            </w:tcBorders>
            <w:shd w:val="clear" w:color="000000" w:fill="FFFFFF"/>
            <w:vAlign w:val="center"/>
            <w:hideMark/>
          </w:tcPr>
          <w:p w14:paraId="36104814" w14:textId="77777777" w:rsidR="00BC34A4" w:rsidRPr="00594970" w:rsidRDefault="00BC34A4" w:rsidP="00BC34A4">
            <w:pPr>
              <w:suppressAutoHyphens w:val="0"/>
              <w:spacing w:before="0" w:after="0" w:line="240" w:lineRule="auto"/>
              <w:jc w:val="right"/>
              <w:rPr>
                <w:rFonts w:ascii="Arial" w:eastAsia="Times New Roman" w:hAnsi="Arial" w:cs="Arial"/>
                <w:b/>
                <w:bCs/>
                <w:color w:val="000000"/>
                <w:sz w:val="16"/>
                <w:szCs w:val="16"/>
                <w:lang w:eastAsia="en-AU"/>
              </w:rPr>
            </w:pPr>
            <w:r w:rsidRPr="00594970">
              <w:rPr>
                <w:rFonts w:ascii="Arial" w:eastAsia="Times New Roman" w:hAnsi="Arial" w:cs="Arial"/>
                <w:b/>
                <w:bCs/>
                <w:color w:val="000000"/>
                <w:sz w:val="16"/>
                <w:szCs w:val="16"/>
                <w:lang w:eastAsia="en-AU"/>
              </w:rPr>
              <w:t>expenses</w:t>
            </w:r>
          </w:p>
        </w:tc>
        <w:tc>
          <w:tcPr>
            <w:tcW w:w="1134" w:type="dxa"/>
            <w:tcBorders>
              <w:top w:val="nil"/>
              <w:left w:val="nil"/>
              <w:bottom w:val="single" w:sz="8" w:space="0" w:color="auto"/>
              <w:right w:val="single" w:sz="8" w:space="0" w:color="auto"/>
            </w:tcBorders>
            <w:shd w:val="clear" w:color="000000" w:fill="FFFFFF"/>
            <w:vAlign w:val="center"/>
            <w:hideMark/>
          </w:tcPr>
          <w:p w14:paraId="29A9FCE9" w14:textId="77777777" w:rsidR="00BC34A4" w:rsidRPr="00594970" w:rsidRDefault="00BC34A4" w:rsidP="00BC34A4">
            <w:pPr>
              <w:suppressAutoHyphens w:val="0"/>
              <w:spacing w:before="0" w:after="0" w:line="240" w:lineRule="auto"/>
              <w:jc w:val="right"/>
              <w:rPr>
                <w:rFonts w:ascii="Arial" w:eastAsia="Times New Roman" w:hAnsi="Arial" w:cs="Arial"/>
                <w:b/>
                <w:bCs/>
                <w:color w:val="000000"/>
                <w:sz w:val="16"/>
                <w:szCs w:val="16"/>
                <w:lang w:eastAsia="en-AU"/>
              </w:rPr>
            </w:pPr>
            <w:r w:rsidRPr="00594970">
              <w:rPr>
                <w:rFonts w:ascii="Arial" w:eastAsia="Times New Roman" w:hAnsi="Arial" w:cs="Arial"/>
                <w:b/>
                <w:bCs/>
                <w:color w:val="000000"/>
                <w:sz w:val="16"/>
                <w:szCs w:val="16"/>
                <w:lang w:eastAsia="en-AU"/>
              </w:rPr>
              <w:t>expenses</w:t>
            </w:r>
          </w:p>
        </w:tc>
        <w:tc>
          <w:tcPr>
            <w:tcW w:w="1104" w:type="dxa"/>
            <w:tcBorders>
              <w:top w:val="nil"/>
              <w:left w:val="nil"/>
              <w:bottom w:val="single" w:sz="8" w:space="0" w:color="auto"/>
              <w:right w:val="single" w:sz="12" w:space="0" w:color="auto"/>
            </w:tcBorders>
            <w:shd w:val="clear" w:color="000000" w:fill="FFFFFF"/>
            <w:vAlign w:val="center"/>
            <w:hideMark/>
          </w:tcPr>
          <w:p w14:paraId="795841B8" w14:textId="77777777" w:rsidR="00BC34A4" w:rsidRPr="00594970" w:rsidRDefault="00BC34A4" w:rsidP="00BC34A4">
            <w:pPr>
              <w:suppressAutoHyphens w:val="0"/>
              <w:spacing w:before="0" w:after="0" w:line="240" w:lineRule="auto"/>
              <w:jc w:val="right"/>
              <w:rPr>
                <w:rFonts w:ascii="Arial" w:eastAsia="Times New Roman" w:hAnsi="Arial" w:cs="Arial"/>
                <w:b/>
                <w:bCs/>
                <w:color w:val="000000"/>
                <w:sz w:val="16"/>
                <w:szCs w:val="16"/>
                <w:lang w:eastAsia="en-AU"/>
              </w:rPr>
            </w:pPr>
            <w:r w:rsidRPr="00594970">
              <w:rPr>
                <w:rFonts w:ascii="Arial" w:eastAsia="Times New Roman" w:hAnsi="Arial" w:cs="Arial"/>
                <w:b/>
                <w:bCs/>
                <w:color w:val="000000"/>
                <w:sz w:val="16"/>
                <w:szCs w:val="16"/>
                <w:lang w:eastAsia="en-AU"/>
              </w:rPr>
              <w:t>expenses</w:t>
            </w:r>
          </w:p>
        </w:tc>
      </w:tr>
      <w:tr w:rsidR="00FC7481" w:rsidRPr="00594970" w14:paraId="59BEC02C" w14:textId="77777777" w:rsidTr="004E5122">
        <w:trPr>
          <w:trHeight w:val="306"/>
        </w:trPr>
        <w:tc>
          <w:tcPr>
            <w:tcW w:w="9057" w:type="dxa"/>
            <w:gridSpan w:val="6"/>
            <w:tcBorders>
              <w:top w:val="nil"/>
              <w:left w:val="single" w:sz="12" w:space="0" w:color="auto"/>
              <w:bottom w:val="single" w:sz="8" w:space="0" w:color="auto"/>
              <w:right w:val="single" w:sz="12" w:space="0" w:color="auto"/>
            </w:tcBorders>
            <w:shd w:val="clear" w:color="000000" w:fill="D9D9D9"/>
            <w:noWrap/>
            <w:vAlign w:val="center"/>
            <w:hideMark/>
          </w:tcPr>
          <w:p w14:paraId="53FAB1FA" w14:textId="77777777" w:rsidR="00FC7481" w:rsidRPr="00594970" w:rsidRDefault="00FC7481" w:rsidP="00FC7481">
            <w:pPr>
              <w:suppressAutoHyphens w:val="0"/>
              <w:spacing w:before="0" w:after="0" w:line="240" w:lineRule="auto"/>
              <w:rPr>
                <w:rFonts w:ascii="Arial" w:eastAsia="Times New Roman" w:hAnsi="Arial" w:cs="Arial"/>
                <w:b/>
                <w:bCs/>
                <w:color w:val="000000"/>
                <w:sz w:val="18"/>
                <w:szCs w:val="18"/>
                <w:lang w:eastAsia="en-AU"/>
              </w:rPr>
            </w:pPr>
            <w:r w:rsidRPr="00594970">
              <w:rPr>
                <w:rFonts w:ascii="Arial" w:eastAsia="Times New Roman" w:hAnsi="Arial" w:cs="Arial"/>
                <w:b/>
                <w:bCs/>
                <w:color w:val="000000"/>
                <w:sz w:val="18"/>
                <w:szCs w:val="18"/>
                <w:lang w:eastAsia="en-AU"/>
              </w:rPr>
              <w:t>Program 1.x (insert program name here)</w:t>
            </w:r>
          </w:p>
          <w:p w14:paraId="2E60FC60" w14:textId="14998250" w:rsidR="00FC7481" w:rsidRPr="00594970" w:rsidRDefault="00FC7481" w:rsidP="00FC7481">
            <w:pPr>
              <w:suppressAutoHyphens w:val="0"/>
              <w:spacing w:before="0" w:after="0" w:line="240" w:lineRule="auto"/>
              <w:rPr>
                <w:rFonts w:ascii="Arial" w:eastAsia="Times New Roman" w:hAnsi="Arial" w:cs="Arial"/>
                <w:b/>
                <w:bCs/>
                <w:color w:val="000000"/>
                <w:sz w:val="18"/>
                <w:szCs w:val="18"/>
                <w:lang w:eastAsia="en-AU"/>
              </w:rPr>
            </w:pPr>
          </w:p>
        </w:tc>
      </w:tr>
      <w:tr w:rsidR="00FC7481" w:rsidRPr="00594970" w14:paraId="540C1C2F" w14:textId="77777777" w:rsidTr="00EB5C08">
        <w:trPr>
          <w:trHeight w:val="293"/>
        </w:trPr>
        <w:tc>
          <w:tcPr>
            <w:tcW w:w="3529" w:type="dxa"/>
            <w:tcBorders>
              <w:top w:val="nil"/>
              <w:left w:val="single" w:sz="12" w:space="0" w:color="auto"/>
              <w:bottom w:val="nil"/>
              <w:right w:val="single" w:sz="8" w:space="0" w:color="auto"/>
            </w:tcBorders>
            <w:shd w:val="clear" w:color="auto" w:fill="auto"/>
            <w:noWrap/>
            <w:hideMark/>
          </w:tcPr>
          <w:p w14:paraId="05DF34E6" w14:textId="77777777" w:rsidR="00BC34A4" w:rsidRPr="00594970" w:rsidRDefault="00BC34A4" w:rsidP="00EB5C08">
            <w:pPr>
              <w:suppressAutoHyphens w:val="0"/>
              <w:spacing w:before="0" w:after="0" w:line="240" w:lineRule="auto"/>
              <w:rPr>
                <w:rFonts w:ascii="Arial" w:eastAsia="Times New Roman" w:hAnsi="Arial" w:cs="Arial"/>
                <w:b/>
                <w:bCs/>
                <w:color w:val="000000"/>
                <w:sz w:val="18"/>
                <w:szCs w:val="18"/>
                <w:lang w:eastAsia="en-AU"/>
              </w:rPr>
            </w:pPr>
            <w:r w:rsidRPr="00594970">
              <w:rPr>
                <w:rFonts w:ascii="Arial" w:eastAsia="Times New Roman" w:hAnsi="Arial" w:cs="Arial"/>
                <w:b/>
                <w:bCs/>
                <w:color w:val="000000"/>
                <w:sz w:val="18"/>
                <w:szCs w:val="18"/>
                <w:lang w:eastAsia="en-AU"/>
              </w:rPr>
              <w:t>Departmental expenses</w:t>
            </w:r>
          </w:p>
        </w:tc>
        <w:tc>
          <w:tcPr>
            <w:tcW w:w="1134" w:type="dxa"/>
            <w:tcBorders>
              <w:top w:val="nil"/>
              <w:left w:val="nil"/>
              <w:bottom w:val="nil"/>
              <w:right w:val="single" w:sz="8" w:space="0" w:color="auto"/>
            </w:tcBorders>
            <w:shd w:val="clear" w:color="auto" w:fill="auto"/>
          </w:tcPr>
          <w:p w14:paraId="5EFD1805" w14:textId="57B16A27" w:rsidR="00BC34A4" w:rsidRPr="00594970" w:rsidRDefault="00BC34A4" w:rsidP="00EB5C08">
            <w:pPr>
              <w:suppressAutoHyphens w:val="0"/>
              <w:spacing w:before="0" w:after="0" w:line="240" w:lineRule="auto"/>
              <w:jc w:val="right"/>
              <w:rPr>
                <w:rFonts w:ascii="Arial" w:eastAsia="Times New Roman" w:hAnsi="Arial" w:cs="Arial"/>
                <w:color w:val="000000"/>
                <w:sz w:val="18"/>
                <w:szCs w:val="18"/>
                <w:lang w:eastAsia="en-AU"/>
              </w:rPr>
            </w:pPr>
          </w:p>
        </w:tc>
        <w:tc>
          <w:tcPr>
            <w:tcW w:w="1019" w:type="dxa"/>
            <w:tcBorders>
              <w:top w:val="nil"/>
              <w:left w:val="nil"/>
              <w:bottom w:val="nil"/>
              <w:right w:val="single" w:sz="8" w:space="0" w:color="auto"/>
            </w:tcBorders>
            <w:shd w:val="clear" w:color="000000" w:fill="FFFFFF"/>
            <w:noWrap/>
          </w:tcPr>
          <w:p w14:paraId="2E8F680F" w14:textId="26885855" w:rsidR="00BC34A4" w:rsidRPr="00594970" w:rsidRDefault="00BC34A4" w:rsidP="00EB5C08">
            <w:pPr>
              <w:suppressAutoHyphens w:val="0"/>
              <w:spacing w:before="0" w:after="0" w:line="240" w:lineRule="auto"/>
              <w:jc w:val="right"/>
              <w:rPr>
                <w:rFonts w:ascii="Arial" w:eastAsia="Times New Roman" w:hAnsi="Arial" w:cs="Arial"/>
                <w:color w:val="000000"/>
                <w:sz w:val="18"/>
                <w:szCs w:val="18"/>
                <w:lang w:eastAsia="en-AU"/>
              </w:rPr>
            </w:pPr>
          </w:p>
        </w:tc>
        <w:tc>
          <w:tcPr>
            <w:tcW w:w="1137" w:type="dxa"/>
            <w:tcBorders>
              <w:top w:val="nil"/>
              <w:left w:val="nil"/>
              <w:bottom w:val="nil"/>
              <w:right w:val="single" w:sz="8" w:space="0" w:color="auto"/>
            </w:tcBorders>
            <w:shd w:val="clear" w:color="000000" w:fill="FFFFFF"/>
            <w:noWrap/>
          </w:tcPr>
          <w:p w14:paraId="4E97E509" w14:textId="6DDF31DA" w:rsidR="00BC34A4" w:rsidRPr="00594970" w:rsidRDefault="00BC34A4" w:rsidP="00EB5C08">
            <w:pPr>
              <w:suppressAutoHyphens w:val="0"/>
              <w:spacing w:before="0" w:after="0" w:line="240" w:lineRule="auto"/>
              <w:jc w:val="right"/>
              <w:rPr>
                <w:rFonts w:ascii="Arial" w:eastAsia="Times New Roman" w:hAnsi="Arial" w:cs="Arial"/>
                <w:color w:val="000000"/>
                <w:sz w:val="18"/>
                <w:szCs w:val="18"/>
                <w:lang w:eastAsia="en-AU"/>
              </w:rPr>
            </w:pPr>
          </w:p>
        </w:tc>
        <w:tc>
          <w:tcPr>
            <w:tcW w:w="1134" w:type="dxa"/>
            <w:tcBorders>
              <w:top w:val="nil"/>
              <w:left w:val="nil"/>
              <w:bottom w:val="nil"/>
              <w:right w:val="single" w:sz="8" w:space="0" w:color="auto"/>
            </w:tcBorders>
            <w:shd w:val="clear" w:color="000000" w:fill="FFFFFF"/>
            <w:noWrap/>
          </w:tcPr>
          <w:p w14:paraId="343A5F17" w14:textId="2F8A760A" w:rsidR="00BC34A4" w:rsidRPr="00594970" w:rsidRDefault="00BC34A4" w:rsidP="00EB5C08">
            <w:pPr>
              <w:suppressAutoHyphens w:val="0"/>
              <w:spacing w:before="0" w:after="0" w:line="240" w:lineRule="auto"/>
              <w:jc w:val="right"/>
              <w:rPr>
                <w:rFonts w:ascii="Arial" w:eastAsia="Times New Roman" w:hAnsi="Arial" w:cs="Arial"/>
                <w:color w:val="000000"/>
                <w:sz w:val="18"/>
                <w:szCs w:val="18"/>
                <w:lang w:eastAsia="en-AU"/>
              </w:rPr>
            </w:pPr>
          </w:p>
        </w:tc>
        <w:tc>
          <w:tcPr>
            <w:tcW w:w="1104" w:type="dxa"/>
            <w:tcBorders>
              <w:top w:val="nil"/>
              <w:left w:val="nil"/>
              <w:bottom w:val="nil"/>
              <w:right w:val="single" w:sz="12" w:space="0" w:color="auto"/>
            </w:tcBorders>
            <w:shd w:val="clear" w:color="000000" w:fill="FFFFFF"/>
            <w:noWrap/>
          </w:tcPr>
          <w:p w14:paraId="3E5EC082" w14:textId="0973838D" w:rsidR="00BC34A4" w:rsidRPr="00594970" w:rsidRDefault="00BC34A4" w:rsidP="00EB5C08">
            <w:pPr>
              <w:suppressAutoHyphens w:val="0"/>
              <w:spacing w:before="0" w:after="0" w:line="240" w:lineRule="auto"/>
              <w:jc w:val="right"/>
              <w:rPr>
                <w:rFonts w:ascii="Arial" w:eastAsia="Times New Roman" w:hAnsi="Arial" w:cs="Arial"/>
                <w:bCs/>
                <w:color w:val="000000"/>
                <w:sz w:val="18"/>
                <w:szCs w:val="18"/>
                <w:lang w:eastAsia="en-AU"/>
              </w:rPr>
            </w:pPr>
          </w:p>
        </w:tc>
      </w:tr>
      <w:tr w:rsidR="00EB5C08" w:rsidRPr="00594970" w14:paraId="15BF5280" w14:textId="77777777" w:rsidTr="00EB5C08">
        <w:trPr>
          <w:trHeight w:val="293"/>
        </w:trPr>
        <w:tc>
          <w:tcPr>
            <w:tcW w:w="3529" w:type="dxa"/>
            <w:tcBorders>
              <w:top w:val="nil"/>
              <w:left w:val="single" w:sz="12" w:space="0" w:color="auto"/>
              <w:bottom w:val="nil"/>
              <w:right w:val="single" w:sz="8" w:space="0" w:color="auto"/>
            </w:tcBorders>
            <w:shd w:val="clear" w:color="000000" w:fill="FFFFFF"/>
            <w:noWrap/>
            <w:hideMark/>
          </w:tcPr>
          <w:p w14:paraId="6FA2128F" w14:textId="77777777" w:rsidR="00EB5C08" w:rsidRPr="00594970" w:rsidRDefault="00EB5C08" w:rsidP="00EB5C08">
            <w:pPr>
              <w:suppressAutoHyphens w:val="0"/>
              <w:spacing w:before="0" w:after="0" w:line="240" w:lineRule="auto"/>
              <w:rPr>
                <w:rFonts w:ascii="Arial" w:eastAsia="Times New Roman" w:hAnsi="Arial" w:cs="Arial"/>
                <w:color w:val="000000"/>
                <w:sz w:val="18"/>
                <w:szCs w:val="18"/>
                <w:lang w:eastAsia="en-AU"/>
              </w:rPr>
            </w:pPr>
            <w:r w:rsidRPr="00594970">
              <w:rPr>
                <w:rFonts w:ascii="Arial" w:eastAsia="Times New Roman" w:hAnsi="Arial" w:cs="Arial"/>
                <w:color w:val="000000"/>
                <w:sz w:val="18"/>
                <w:szCs w:val="18"/>
                <w:lang w:eastAsia="en-AU"/>
              </w:rPr>
              <w:t>Departmental appropriation expenses *</w:t>
            </w:r>
          </w:p>
        </w:tc>
        <w:tc>
          <w:tcPr>
            <w:tcW w:w="1134" w:type="dxa"/>
            <w:tcBorders>
              <w:top w:val="nil"/>
              <w:left w:val="nil"/>
              <w:bottom w:val="nil"/>
              <w:right w:val="single" w:sz="8" w:space="0" w:color="auto"/>
            </w:tcBorders>
            <w:shd w:val="clear" w:color="000000" w:fill="FFFFFF"/>
            <w:hideMark/>
          </w:tcPr>
          <w:p w14:paraId="37AEEFD6" w14:textId="4805E9D6" w:rsidR="00EB5C08" w:rsidRPr="00DD4374" w:rsidRDefault="00EB5C08" w:rsidP="00EB5C08">
            <w:pPr>
              <w:suppressAutoHyphens w:val="0"/>
              <w:spacing w:before="0" w:after="0" w:line="240" w:lineRule="auto"/>
              <w:jc w:val="right"/>
              <w:rPr>
                <w:rFonts w:eastAsia="Times New Roman" w:cstheme="minorHAnsi"/>
                <w:color w:val="000000"/>
                <w:sz w:val="18"/>
                <w:szCs w:val="18"/>
                <w:lang w:eastAsia="en-AU"/>
              </w:rPr>
            </w:pPr>
            <w:r w:rsidRPr="00DD4374">
              <w:rPr>
                <w:rFonts w:eastAsia="Times New Roman" w:cstheme="minorHAnsi"/>
                <w:color w:val="000000"/>
                <w:sz w:val="18"/>
                <w:szCs w:val="18"/>
                <w:lang w:eastAsia="en-AU"/>
              </w:rPr>
              <w:t>5,600</w:t>
            </w:r>
          </w:p>
        </w:tc>
        <w:tc>
          <w:tcPr>
            <w:tcW w:w="1019" w:type="dxa"/>
            <w:tcBorders>
              <w:top w:val="nil"/>
              <w:left w:val="nil"/>
              <w:bottom w:val="nil"/>
              <w:right w:val="single" w:sz="8" w:space="0" w:color="auto"/>
            </w:tcBorders>
            <w:shd w:val="clear" w:color="000000" w:fill="FFFFFF"/>
            <w:noWrap/>
            <w:hideMark/>
          </w:tcPr>
          <w:p w14:paraId="4D33B032" w14:textId="399FB47F" w:rsidR="00EB5C08" w:rsidRPr="00DD4374" w:rsidRDefault="00EB5C08" w:rsidP="00EB5C08">
            <w:pPr>
              <w:suppressAutoHyphens w:val="0"/>
              <w:spacing w:before="0" w:after="0" w:line="240" w:lineRule="auto"/>
              <w:jc w:val="right"/>
              <w:rPr>
                <w:rFonts w:eastAsia="Times New Roman" w:cstheme="minorHAnsi"/>
                <w:color w:val="000000"/>
                <w:sz w:val="18"/>
                <w:szCs w:val="18"/>
                <w:lang w:eastAsia="en-AU"/>
              </w:rPr>
            </w:pPr>
            <w:r w:rsidRPr="00DD4374">
              <w:rPr>
                <w:rFonts w:cstheme="minorHAnsi"/>
                <w:sz w:val="18"/>
                <w:szCs w:val="18"/>
              </w:rPr>
              <w:t>5,770</w:t>
            </w:r>
          </w:p>
        </w:tc>
        <w:tc>
          <w:tcPr>
            <w:tcW w:w="1137" w:type="dxa"/>
            <w:tcBorders>
              <w:top w:val="nil"/>
              <w:left w:val="nil"/>
              <w:bottom w:val="nil"/>
              <w:right w:val="single" w:sz="8" w:space="0" w:color="auto"/>
            </w:tcBorders>
            <w:shd w:val="clear" w:color="000000" w:fill="FFFFFF"/>
            <w:noWrap/>
            <w:hideMark/>
          </w:tcPr>
          <w:p w14:paraId="52FB44A1" w14:textId="24417050" w:rsidR="00EB5C08" w:rsidRPr="00DD4374" w:rsidRDefault="00EB5C08" w:rsidP="00EB5C08">
            <w:pPr>
              <w:suppressAutoHyphens w:val="0"/>
              <w:spacing w:before="0" w:after="0" w:line="240" w:lineRule="auto"/>
              <w:jc w:val="right"/>
              <w:rPr>
                <w:rFonts w:eastAsia="Times New Roman" w:cstheme="minorHAnsi"/>
                <w:color w:val="000000"/>
                <w:sz w:val="18"/>
                <w:szCs w:val="18"/>
                <w:lang w:eastAsia="en-AU"/>
              </w:rPr>
            </w:pPr>
            <w:r w:rsidRPr="00DD4374">
              <w:rPr>
                <w:rFonts w:cstheme="minorHAnsi"/>
                <w:sz w:val="18"/>
                <w:szCs w:val="18"/>
              </w:rPr>
              <w:t>6,010</w:t>
            </w:r>
          </w:p>
        </w:tc>
        <w:tc>
          <w:tcPr>
            <w:tcW w:w="1134" w:type="dxa"/>
            <w:tcBorders>
              <w:top w:val="nil"/>
              <w:left w:val="nil"/>
              <w:bottom w:val="nil"/>
              <w:right w:val="single" w:sz="8" w:space="0" w:color="auto"/>
            </w:tcBorders>
            <w:shd w:val="clear" w:color="000000" w:fill="FFFFFF"/>
            <w:noWrap/>
            <w:hideMark/>
          </w:tcPr>
          <w:p w14:paraId="0C84C5DC" w14:textId="765E27E0" w:rsidR="00EB5C08" w:rsidRPr="00DD4374" w:rsidRDefault="00EB5C08" w:rsidP="00EB5C08">
            <w:pPr>
              <w:suppressAutoHyphens w:val="0"/>
              <w:spacing w:before="0" w:after="0" w:line="240" w:lineRule="auto"/>
              <w:jc w:val="right"/>
              <w:rPr>
                <w:rFonts w:eastAsia="Times New Roman" w:cstheme="minorHAnsi"/>
                <w:color w:val="000000"/>
                <w:sz w:val="18"/>
                <w:szCs w:val="18"/>
                <w:lang w:eastAsia="en-AU"/>
              </w:rPr>
            </w:pPr>
            <w:r w:rsidRPr="00DD4374">
              <w:rPr>
                <w:rFonts w:cstheme="minorHAnsi"/>
                <w:sz w:val="18"/>
                <w:szCs w:val="18"/>
              </w:rPr>
              <w:t>6,100</w:t>
            </w:r>
          </w:p>
        </w:tc>
        <w:tc>
          <w:tcPr>
            <w:tcW w:w="1104" w:type="dxa"/>
            <w:tcBorders>
              <w:top w:val="nil"/>
              <w:left w:val="nil"/>
              <w:bottom w:val="nil"/>
              <w:right w:val="single" w:sz="12" w:space="0" w:color="auto"/>
            </w:tcBorders>
            <w:shd w:val="clear" w:color="000000" w:fill="FFFFFF"/>
            <w:noWrap/>
            <w:hideMark/>
          </w:tcPr>
          <w:p w14:paraId="5CA73594" w14:textId="70F7C3C0" w:rsidR="00EB5C08" w:rsidRPr="00DD4374" w:rsidRDefault="00EB5C08" w:rsidP="00EB5C08">
            <w:pPr>
              <w:suppressAutoHyphens w:val="0"/>
              <w:spacing w:before="0" w:after="0" w:line="240" w:lineRule="auto"/>
              <w:jc w:val="right"/>
              <w:rPr>
                <w:rFonts w:eastAsia="Times New Roman" w:cstheme="minorHAnsi"/>
                <w:color w:val="000000"/>
                <w:sz w:val="18"/>
                <w:szCs w:val="18"/>
                <w:lang w:eastAsia="en-AU"/>
              </w:rPr>
            </w:pPr>
            <w:r w:rsidRPr="00DD4374">
              <w:rPr>
                <w:rFonts w:cstheme="minorHAnsi"/>
                <w:sz w:val="18"/>
                <w:szCs w:val="18"/>
              </w:rPr>
              <w:t>6,285</w:t>
            </w:r>
          </w:p>
        </w:tc>
      </w:tr>
      <w:tr w:rsidR="00FC7481" w:rsidRPr="00594970" w14:paraId="02109946" w14:textId="77777777" w:rsidTr="00B23A46">
        <w:trPr>
          <w:trHeight w:val="293"/>
        </w:trPr>
        <w:tc>
          <w:tcPr>
            <w:tcW w:w="3529" w:type="dxa"/>
            <w:tcBorders>
              <w:top w:val="nil"/>
              <w:left w:val="single" w:sz="12" w:space="0" w:color="auto"/>
              <w:bottom w:val="nil"/>
              <w:right w:val="single" w:sz="8" w:space="0" w:color="auto"/>
            </w:tcBorders>
            <w:shd w:val="clear" w:color="auto" w:fill="FFE68F" w:themeFill="accent4" w:themeFillTint="66"/>
            <w:noWrap/>
            <w:hideMark/>
          </w:tcPr>
          <w:p w14:paraId="67CCA2E8" w14:textId="28FA6653" w:rsidR="00BC34A4" w:rsidRPr="00B23A46" w:rsidRDefault="00B23A46" w:rsidP="00B23A46">
            <w:pPr>
              <w:suppressAutoHyphens w:val="0"/>
              <w:spacing w:before="0" w:after="0" w:line="240" w:lineRule="auto"/>
              <w:ind w:firstLineChars="100" w:firstLine="180"/>
              <w:rPr>
                <w:rFonts w:ascii="Arial" w:hAnsi="Arial" w:cs="Arial"/>
                <w:color w:val="0070C0"/>
                <w:sz w:val="18"/>
                <w:szCs w:val="18"/>
                <w:u w:val="single"/>
              </w:rPr>
            </w:pPr>
            <w:r w:rsidRPr="00B23A46">
              <w:rPr>
                <w:rFonts w:ascii="Arial" w:hAnsi="Arial" w:cs="Arial"/>
                <w:color w:val="0070C0"/>
                <w:sz w:val="18"/>
                <w:szCs w:val="18"/>
                <w:u w:val="single"/>
              </w:rPr>
              <w:t>Consists of:</w:t>
            </w:r>
          </w:p>
        </w:tc>
        <w:tc>
          <w:tcPr>
            <w:tcW w:w="1134" w:type="dxa"/>
            <w:tcBorders>
              <w:top w:val="nil"/>
              <w:left w:val="nil"/>
              <w:bottom w:val="nil"/>
              <w:right w:val="single" w:sz="8" w:space="0" w:color="auto"/>
            </w:tcBorders>
            <w:shd w:val="clear" w:color="auto" w:fill="FFE68F" w:themeFill="accent4" w:themeFillTint="66"/>
          </w:tcPr>
          <w:p w14:paraId="30929724" w14:textId="1C9ACB6D" w:rsidR="00BC34A4" w:rsidRPr="00DD4374" w:rsidRDefault="00BC34A4" w:rsidP="00EB5C08">
            <w:pPr>
              <w:suppressAutoHyphens w:val="0"/>
              <w:spacing w:before="0" w:after="0" w:line="240" w:lineRule="auto"/>
              <w:jc w:val="right"/>
              <w:rPr>
                <w:rFonts w:eastAsia="Times New Roman" w:cstheme="minorHAnsi"/>
                <w:color w:val="000000"/>
                <w:sz w:val="18"/>
                <w:szCs w:val="18"/>
                <w:lang w:eastAsia="en-AU"/>
              </w:rPr>
            </w:pPr>
          </w:p>
        </w:tc>
        <w:tc>
          <w:tcPr>
            <w:tcW w:w="1019" w:type="dxa"/>
            <w:tcBorders>
              <w:top w:val="nil"/>
              <w:left w:val="nil"/>
              <w:bottom w:val="nil"/>
              <w:right w:val="single" w:sz="8" w:space="0" w:color="auto"/>
            </w:tcBorders>
            <w:shd w:val="clear" w:color="auto" w:fill="FFE68F" w:themeFill="accent4" w:themeFillTint="66"/>
            <w:noWrap/>
          </w:tcPr>
          <w:p w14:paraId="02BD1966" w14:textId="237A0EE9" w:rsidR="00BC34A4" w:rsidRPr="00DD4374" w:rsidRDefault="00BC34A4" w:rsidP="00EB5C08">
            <w:pPr>
              <w:suppressAutoHyphens w:val="0"/>
              <w:spacing w:before="0" w:after="0" w:line="240" w:lineRule="auto"/>
              <w:jc w:val="right"/>
              <w:rPr>
                <w:rFonts w:eastAsia="Times New Roman" w:cstheme="minorHAnsi"/>
                <w:color w:val="000000"/>
                <w:sz w:val="18"/>
                <w:szCs w:val="18"/>
                <w:lang w:eastAsia="en-AU"/>
              </w:rPr>
            </w:pPr>
          </w:p>
        </w:tc>
        <w:tc>
          <w:tcPr>
            <w:tcW w:w="1137" w:type="dxa"/>
            <w:tcBorders>
              <w:top w:val="nil"/>
              <w:left w:val="nil"/>
              <w:bottom w:val="nil"/>
              <w:right w:val="single" w:sz="8" w:space="0" w:color="auto"/>
            </w:tcBorders>
            <w:shd w:val="clear" w:color="auto" w:fill="FFE68F" w:themeFill="accent4" w:themeFillTint="66"/>
            <w:noWrap/>
          </w:tcPr>
          <w:p w14:paraId="2B83FEF3" w14:textId="2F13BE58" w:rsidR="00BC34A4" w:rsidRPr="00DD4374" w:rsidRDefault="00BC34A4" w:rsidP="00EB5C08">
            <w:pPr>
              <w:suppressAutoHyphens w:val="0"/>
              <w:spacing w:before="0" w:after="0" w:line="240" w:lineRule="auto"/>
              <w:jc w:val="right"/>
              <w:rPr>
                <w:rFonts w:eastAsia="Times New Roman" w:cstheme="minorHAnsi"/>
                <w:color w:val="000000"/>
                <w:sz w:val="18"/>
                <w:szCs w:val="18"/>
                <w:lang w:eastAsia="en-AU"/>
              </w:rPr>
            </w:pPr>
          </w:p>
        </w:tc>
        <w:tc>
          <w:tcPr>
            <w:tcW w:w="1134" w:type="dxa"/>
            <w:tcBorders>
              <w:top w:val="nil"/>
              <w:left w:val="nil"/>
              <w:bottom w:val="nil"/>
              <w:right w:val="single" w:sz="8" w:space="0" w:color="auto"/>
            </w:tcBorders>
            <w:shd w:val="clear" w:color="auto" w:fill="FFE68F" w:themeFill="accent4" w:themeFillTint="66"/>
            <w:noWrap/>
          </w:tcPr>
          <w:p w14:paraId="01D88028" w14:textId="75F76612" w:rsidR="00BC34A4" w:rsidRPr="00DD4374" w:rsidRDefault="00BC34A4" w:rsidP="00EB5C08">
            <w:pPr>
              <w:suppressAutoHyphens w:val="0"/>
              <w:spacing w:before="0" w:after="0" w:line="240" w:lineRule="auto"/>
              <w:jc w:val="right"/>
              <w:rPr>
                <w:rFonts w:eastAsia="Times New Roman" w:cstheme="minorHAnsi"/>
                <w:color w:val="000000"/>
                <w:sz w:val="18"/>
                <w:szCs w:val="18"/>
                <w:lang w:eastAsia="en-AU"/>
              </w:rPr>
            </w:pPr>
          </w:p>
        </w:tc>
        <w:tc>
          <w:tcPr>
            <w:tcW w:w="1104" w:type="dxa"/>
            <w:tcBorders>
              <w:top w:val="nil"/>
              <w:left w:val="nil"/>
              <w:bottom w:val="nil"/>
              <w:right w:val="single" w:sz="12" w:space="0" w:color="auto"/>
            </w:tcBorders>
            <w:shd w:val="clear" w:color="auto" w:fill="FFE68F" w:themeFill="accent4" w:themeFillTint="66"/>
            <w:noWrap/>
          </w:tcPr>
          <w:p w14:paraId="69B93AC5" w14:textId="7F8D976E" w:rsidR="00BC34A4" w:rsidRPr="00DD4374" w:rsidRDefault="00BC34A4" w:rsidP="00EB5C08">
            <w:pPr>
              <w:suppressAutoHyphens w:val="0"/>
              <w:spacing w:before="0" w:after="0" w:line="240" w:lineRule="auto"/>
              <w:jc w:val="right"/>
              <w:rPr>
                <w:rFonts w:eastAsia="Times New Roman" w:cstheme="minorHAnsi"/>
                <w:color w:val="000000"/>
                <w:sz w:val="18"/>
                <w:szCs w:val="18"/>
                <w:lang w:eastAsia="en-AU"/>
              </w:rPr>
            </w:pPr>
          </w:p>
        </w:tc>
      </w:tr>
      <w:tr w:rsidR="00EB5C08" w:rsidRPr="00594970" w14:paraId="04394436" w14:textId="77777777" w:rsidTr="00EB5C08">
        <w:trPr>
          <w:trHeight w:val="293"/>
        </w:trPr>
        <w:tc>
          <w:tcPr>
            <w:tcW w:w="3529" w:type="dxa"/>
            <w:tcBorders>
              <w:top w:val="nil"/>
              <w:left w:val="single" w:sz="12" w:space="0" w:color="auto"/>
              <w:bottom w:val="nil"/>
              <w:right w:val="single" w:sz="8" w:space="0" w:color="auto"/>
            </w:tcBorders>
            <w:shd w:val="clear" w:color="000000" w:fill="FFE68F"/>
            <w:hideMark/>
          </w:tcPr>
          <w:p w14:paraId="51D4C6A7" w14:textId="77777777" w:rsidR="00EB5C08" w:rsidRPr="00594970" w:rsidRDefault="00EB5C08" w:rsidP="00EB5C08">
            <w:pPr>
              <w:suppressAutoHyphens w:val="0"/>
              <w:spacing w:before="0" w:after="0" w:line="240" w:lineRule="auto"/>
              <w:ind w:left="299"/>
              <w:rPr>
                <w:rFonts w:ascii="Arial" w:eastAsia="Times New Roman" w:hAnsi="Arial" w:cs="Arial"/>
                <w:color w:val="0070C0"/>
                <w:sz w:val="18"/>
                <w:szCs w:val="18"/>
                <w:lang w:eastAsia="en-AU"/>
              </w:rPr>
            </w:pPr>
            <w:r w:rsidRPr="00594970">
              <w:rPr>
                <w:rFonts w:ascii="Arial" w:eastAsia="Times New Roman" w:hAnsi="Arial" w:cs="Arial"/>
                <w:color w:val="0070C0"/>
                <w:sz w:val="18"/>
                <w:szCs w:val="18"/>
                <w:lang w:eastAsia="en-AU"/>
              </w:rPr>
              <w:t>Other Expenses</w:t>
            </w:r>
          </w:p>
        </w:tc>
        <w:tc>
          <w:tcPr>
            <w:tcW w:w="1134" w:type="dxa"/>
            <w:tcBorders>
              <w:top w:val="nil"/>
              <w:left w:val="nil"/>
              <w:bottom w:val="nil"/>
              <w:right w:val="single" w:sz="8" w:space="0" w:color="auto"/>
            </w:tcBorders>
            <w:shd w:val="clear" w:color="000000" w:fill="FFE68F"/>
            <w:hideMark/>
          </w:tcPr>
          <w:p w14:paraId="6AD5E5A9" w14:textId="4544FC49" w:rsidR="00EB5C08" w:rsidRPr="00DD4374" w:rsidRDefault="00EB5C08" w:rsidP="00EB5C08">
            <w:pPr>
              <w:suppressAutoHyphens w:val="0"/>
              <w:spacing w:before="0" w:after="0" w:line="240" w:lineRule="auto"/>
              <w:jc w:val="right"/>
              <w:rPr>
                <w:rFonts w:eastAsia="Times New Roman" w:cstheme="minorHAnsi"/>
                <w:color w:val="0070C0"/>
                <w:sz w:val="18"/>
                <w:szCs w:val="18"/>
                <w:lang w:eastAsia="en-AU"/>
              </w:rPr>
            </w:pPr>
            <w:r w:rsidRPr="00DD4374">
              <w:rPr>
                <w:rFonts w:eastAsia="Times New Roman" w:cstheme="minorHAnsi"/>
                <w:color w:val="0070C0"/>
                <w:sz w:val="18"/>
                <w:szCs w:val="18"/>
                <w:lang w:eastAsia="en-AU"/>
              </w:rPr>
              <w:t>5,600</w:t>
            </w:r>
          </w:p>
        </w:tc>
        <w:tc>
          <w:tcPr>
            <w:tcW w:w="1019" w:type="dxa"/>
            <w:tcBorders>
              <w:top w:val="nil"/>
              <w:left w:val="nil"/>
              <w:bottom w:val="nil"/>
              <w:right w:val="single" w:sz="8" w:space="0" w:color="auto"/>
            </w:tcBorders>
            <w:shd w:val="clear" w:color="000000" w:fill="FFE68F"/>
            <w:noWrap/>
            <w:hideMark/>
          </w:tcPr>
          <w:p w14:paraId="2AD871F1" w14:textId="33E69DAD" w:rsidR="00EB5C08" w:rsidRPr="00DD4374" w:rsidRDefault="00EB5C08" w:rsidP="00EB5C08">
            <w:pPr>
              <w:suppressAutoHyphens w:val="0"/>
              <w:spacing w:before="0" w:after="0" w:line="240" w:lineRule="auto"/>
              <w:jc w:val="right"/>
              <w:rPr>
                <w:rFonts w:eastAsia="Times New Roman" w:cstheme="minorHAnsi"/>
                <w:color w:val="0070C0"/>
                <w:sz w:val="18"/>
                <w:szCs w:val="18"/>
                <w:lang w:eastAsia="en-AU"/>
              </w:rPr>
            </w:pPr>
            <w:r w:rsidRPr="00DD4374">
              <w:rPr>
                <w:rFonts w:cstheme="minorHAnsi"/>
                <w:color w:val="0070C0"/>
                <w:sz w:val="18"/>
                <w:szCs w:val="18"/>
              </w:rPr>
              <w:t>5,750</w:t>
            </w:r>
          </w:p>
        </w:tc>
        <w:tc>
          <w:tcPr>
            <w:tcW w:w="1137" w:type="dxa"/>
            <w:tcBorders>
              <w:top w:val="nil"/>
              <w:left w:val="nil"/>
              <w:bottom w:val="nil"/>
              <w:right w:val="single" w:sz="8" w:space="0" w:color="auto"/>
            </w:tcBorders>
            <w:shd w:val="clear" w:color="000000" w:fill="FFE68F"/>
            <w:noWrap/>
            <w:hideMark/>
          </w:tcPr>
          <w:p w14:paraId="4C97F39B" w14:textId="5CB59A77" w:rsidR="00EB5C08" w:rsidRPr="00DD4374" w:rsidRDefault="00EB5C08" w:rsidP="00EB5C08">
            <w:pPr>
              <w:suppressAutoHyphens w:val="0"/>
              <w:spacing w:before="0" w:after="0" w:line="240" w:lineRule="auto"/>
              <w:jc w:val="right"/>
              <w:rPr>
                <w:rFonts w:eastAsia="Times New Roman" w:cstheme="minorHAnsi"/>
                <w:color w:val="0070C0"/>
                <w:sz w:val="18"/>
                <w:szCs w:val="18"/>
                <w:lang w:eastAsia="en-AU"/>
              </w:rPr>
            </w:pPr>
            <w:r w:rsidRPr="00DD4374">
              <w:rPr>
                <w:rFonts w:cstheme="minorHAnsi"/>
                <w:color w:val="0070C0"/>
                <w:sz w:val="18"/>
                <w:szCs w:val="18"/>
              </w:rPr>
              <w:t>6,000</w:t>
            </w:r>
          </w:p>
        </w:tc>
        <w:tc>
          <w:tcPr>
            <w:tcW w:w="1134" w:type="dxa"/>
            <w:tcBorders>
              <w:top w:val="nil"/>
              <w:left w:val="nil"/>
              <w:bottom w:val="nil"/>
              <w:right w:val="single" w:sz="8" w:space="0" w:color="auto"/>
            </w:tcBorders>
            <w:shd w:val="clear" w:color="000000" w:fill="FFE68F"/>
            <w:noWrap/>
            <w:hideMark/>
          </w:tcPr>
          <w:p w14:paraId="7C695EF7" w14:textId="4748D7C5" w:rsidR="00EB5C08" w:rsidRPr="00DD4374" w:rsidRDefault="00EB5C08" w:rsidP="00EB5C08">
            <w:pPr>
              <w:suppressAutoHyphens w:val="0"/>
              <w:spacing w:before="0" w:after="0" w:line="240" w:lineRule="auto"/>
              <w:jc w:val="right"/>
              <w:rPr>
                <w:rFonts w:eastAsia="Times New Roman" w:cstheme="minorHAnsi"/>
                <w:color w:val="0070C0"/>
                <w:sz w:val="18"/>
                <w:szCs w:val="18"/>
                <w:lang w:eastAsia="en-AU"/>
              </w:rPr>
            </w:pPr>
            <w:r w:rsidRPr="00DD4374">
              <w:rPr>
                <w:rFonts w:cstheme="minorHAnsi"/>
                <w:color w:val="0070C0"/>
                <w:sz w:val="18"/>
                <w:szCs w:val="18"/>
              </w:rPr>
              <w:t>6,100</w:t>
            </w:r>
          </w:p>
        </w:tc>
        <w:tc>
          <w:tcPr>
            <w:tcW w:w="1104" w:type="dxa"/>
            <w:tcBorders>
              <w:top w:val="nil"/>
              <w:left w:val="nil"/>
              <w:bottom w:val="nil"/>
              <w:right w:val="single" w:sz="12" w:space="0" w:color="auto"/>
            </w:tcBorders>
            <w:shd w:val="clear" w:color="000000" w:fill="FFE68F"/>
            <w:noWrap/>
            <w:hideMark/>
          </w:tcPr>
          <w:p w14:paraId="716D2BE1" w14:textId="6C5E4FC0" w:rsidR="00EB5C08" w:rsidRPr="00DD4374" w:rsidRDefault="00EB5C08" w:rsidP="00EB5C08">
            <w:pPr>
              <w:suppressAutoHyphens w:val="0"/>
              <w:spacing w:before="0" w:after="0" w:line="240" w:lineRule="auto"/>
              <w:jc w:val="right"/>
              <w:rPr>
                <w:rFonts w:eastAsia="Times New Roman" w:cstheme="minorHAnsi"/>
                <w:color w:val="0070C0"/>
                <w:sz w:val="18"/>
                <w:szCs w:val="18"/>
                <w:lang w:eastAsia="en-AU"/>
              </w:rPr>
            </w:pPr>
            <w:r w:rsidRPr="00DD4374">
              <w:rPr>
                <w:rFonts w:cstheme="minorHAnsi"/>
                <w:color w:val="0070C0"/>
                <w:sz w:val="18"/>
                <w:szCs w:val="18"/>
              </w:rPr>
              <w:t>6,300</w:t>
            </w:r>
          </w:p>
        </w:tc>
      </w:tr>
      <w:tr w:rsidR="00EB5C08" w:rsidRPr="00594970" w14:paraId="23BE8F8E" w14:textId="77777777" w:rsidTr="00EB5C08">
        <w:trPr>
          <w:trHeight w:val="293"/>
        </w:trPr>
        <w:tc>
          <w:tcPr>
            <w:tcW w:w="3529" w:type="dxa"/>
            <w:tcBorders>
              <w:top w:val="nil"/>
              <w:left w:val="single" w:sz="12" w:space="0" w:color="auto"/>
              <w:bottom w:val="nil"/>
              <w:right w:val="single" w:sz="8" w:space="0" w:color="auto"/>
            </w:tcBorders>
            <w:shd w:val="clear" w:color="000000" w:fill="FFE68F"/>
            <w:hideMark/>
          </w:tcPr>
          <w:p w14:paraId="23FA8DA2" w14:textId="36D928AC" w:rsidR="00EB5C08" w:rsidRPr="00594970" w:rsidRDefault="00970967" w:rsidP="00EB5C08">
            <w:pPr>
              <w:suppressAutoHyphens w:val="0"/>
              <w:spacing w:before="0" w:after="0" w:line="240" w:lineRule="auto"/>
              <w:ind w:left="299"/>
              <w:rPr>
                <w:rFonts w:ascii="Arial" w:eastAsia="Times New Roman" w:hAnsi="Arial" w:cs="Arial"/>
                <w:color w:val="0070C0"/>
                <w:sz w:val="18"/>
                <w:szCs w:val="18"/>
                <w:lang w:eastAsia="en-AU"/>
              </w:rPr>
            </w:pPr>
            <w:r>
              <w:rPr>
                <w:rFonts w:ascii="Arial" w:eastAsia="Times New Roman" w:hAnsi="Arial" w:cs="Arial"/>
                <w:color w:val="0070C0"/>
                <w:sz w:val="18"/>
                <w:szCs w:val="18"/>
                <w:lang w:eastAsia="en-AU"/>
              </w:rPr>
              <w:t>Interest on RO</w:t>
            </w:r>
            <w:r w:rsidR="00EB5C08" w:rsidRPr="00594970">
              <w:rPr>
                <w:rFonts w:ascii="Arial" w:eastAsia="Times New Roman" w:hAnsi="Arial" w:cs="Arial"/>
                <w:color w:val="0070C0"/>
                <w:sz w:val="18"/>
                <w:szCs w:val="18"/>
                <w:lang w:eastAsia="en-AU"/>
              </w:rPr>
              <w:t>U a/c (2422020)</w:t>
            </w:r>
          </w:p>
        </w:tc>
        <w:tc>
          <w:tcPr>
            <w:tcW w:w="1134" w:type="dxa"/>
            <w:tcBorders>
              <w:top w:val="nil"/>
              <w:left w:val="nil"/>
              <w:bottom w:val="nil"/>
              <w:right w:val="single" w:sz="8" w:space="0" w:color="auto"/>
            </w:tcBorders>
            <w:shd w:val="clear" w:color="000000" w:fill="FFE68F"/>
            <w:hideMark/>
          </w:tcPr>
          <w:p w14:paraId="5E18344D" w14:textId="77777777" w:rsidR="00EB5C08" w:rsidRPr="00DD4374" w:rsidRDefault="00EB5C08" w:rsidP="00EB5C08">
            <w:pPr>
              <w:suppressAutoHyphens w:val="0"/>
              <w:spacing w:before="0" w:after="0" w:line="240" w:lineRule="auto"/>
              <w:jc w:val="right"/>
              <w:rPr>
                <w:rFonts w:eastAsia="Times New Roman" w:cstheme="minorHAnsi"/>
                <w:color w:val="0070C0"/>
                <w:sz w:val="18"/>
                <w:szCs w:val="18"/>
                <w:lang w:eastAsia="en-AU"/>
              </w:rPr>
            </w:pPr>
            <w:r w:rsidRPr="00DD4374">
              <w:rPr>
                <w:rFonts w:eastAsia="Times New Roman" w:cstheme="minorHAnsi"/>
                <w:color w:val="0070C0"/>
                <w:sz w:val="18"/>
                <w:szCs w:val="18"/>
                <w:lang w:eastAsia="en-AU"/>
              </w:rPr>
              <w:t xml:space="preserve">-- </w:t>
            </w:r>
          </w:p>
        </w:tc>
        <w:tc>
          <w:tcPr>
            <w:tcW w:w="1019" w:type="dxa"/>
            <w:tcBorders>
              <w:top w:val="nil"/>
              <w:left w:val="nil"/>
              <w:bottom w:val="nil"/>
              <w:right w:val="single" w:sz="8" w:space="0" w:color="auto"/>
            </w:tcBorders>
            <w:shd w:val="clear" w:color="000000" w:fill="FFE68F"/>
            <w:noWrap/>
            <w:hideMark/>
          </w:tcPr>
          <w:p w14:paraId="619B4D81" w14:textId="10957820" w:rsidR="00EB5C08" w:rsidRPr="00DD4374" w:rsidRDefault="00EB5C08" w:rsidP="00EB5C08">
            <w:pPr>
              <w:suppressAutoHyphens w:val="0"/>
              <w:spacing w:before="0" w:after="0" w:line="240" w:lineRule="auto"/>
              <w:jc w:val="right"/>
              <w:rPr>
                <w:rFonts w:eastAsia="Times New Roman" w:cstheme="minorHAnsi"/>
                <w:color w:val="0070C0"/>
                <w:sz w:val="18"/>
                <w:szCs w:val="18"/>
                <w:lang w:eastAsia="en-AU"/>
              </w:rPr>
            </w:pPr>
            <w:r w:rsidRPr="00DD4374">
              <w:rPr>
                <w:rFonts w:cstheme="minorHAnsi"/>
                <w:color w:val="0070C0"/>
                <w:sz w:val="18"/>
                <w:szCs w:val="18"/>
              </w:rPr>
              <w:t>16</w:t>
            </w:r>
          </w:p>
        </w:tc>
        <w:tc>
          <w:tcPr>
            <w:tcW w:w="1137" w:type="dxa"/>
            <w:tcBorders>
              <w:top w:val="nil"/>
              <w:left w:val="nil"/>
              <w:bottom w:val="nil"/>
              <w:right w:val="single" w:sz="8" w:space="0" w:color="auto"/>
            </w:tcBorders>
            <w:shd w:val="clear" w:color="000000" w:fill="FFE68F"/>
            <w:noWrap/>
            <w:hideMark/>
          </w:tcPr>
          <w:p w14:paraId="1DF93E68" w14:textId="71726405" w:rsidR="00EB5C08" w:rsidRPr="00DD4374" w:rsidRDefault="00EB5C08" w:rsidP="00EB5C08">
            <w:pPr>
              <w:suppressAutoHyphens w:val="0"/>
              <w:spacing w:before="0" w:after="0" w:line="240" w:lineRule="auto"/>
              <w:jc w:val="right"/>
              <w:rPr>
                <w:rFonts w:eastAsia="Times New Roman" w:cstheme="minorHAnsi"/>
                <w:color w:val="0070C0"/>
                <w:sz w:val="18"/>
                <w:szCs w:val="18"/>
                <w:lang w:eastAsia="en-AU"/>
              </w:rPr>
            </w:pPr>
            <w:r w:rsidRPr="00DD4374">
              <w:rPr>
                <w:rFonts w:cstheme="minorHAnsi"/>
                <w:color w:val="0070C0"/>
                <w:sz w:val="18"/>
                <w:szCs w:val="18"/>
              </w:rPr>
              <w:t>14</w:t>
            </w:r>
          </w:p>
        </w:tc>
        <w:tc>
          <w:tcPr>
            <w:tcW w:w="1134" w:type="dxa"/>
            <w:tcBorders>
              <w:top w:val="nil"/>
              <w:left w:val="nil"/>
              <w:bottom w:val="nil"/>
              <w:right w:val="single" w:sz="8" w:space="0" w:color="auto"/>
            </w:tcBorders>
            <w:shd w:val="clear" w:color="000000" w:fill="FFE68F"/>
            <w:noWrap/>
            <w:hideMark/>
          </w:tcPr>
          <w:p w14:paraId="7DDBEEE0" w14:textId="180C255D" w:rsidR="00EB5C08" w:rsidRPr="00DD4374" w:rsidRDefault="00EB5C08" w:rsidP="00EB5C08">
            <w:pPr>
              <w:suppressAutoHyphens w:val="0"/>
              <w:spacing w:before="0" w:after="0" w:line="240" w:lineRule="auto"/>
              <w:jc w:val="right"/>
              <w:rPr>
                <w:rFonts w:eastAsia="Times New Roman" w:cstheme="minorHAnsi"/>
                <w:color w:val="0070C0"/>
                <w:sz w:val="18"/>
                <w:szCs w:val="18"/>
                <w:lang w:eastAsia="en-AU"/>
              </w:rPr>
            </w:pPr>
            <w:r w:rsidRPr="00DD4374">
              <w:rPr>
                <w:rFonts w:cstheme="minorHAnsi"/>
                <w:color w:val="0070C0"/>
                <w:sz w:val="18"/>
                <w:szCs w:val="18"/>
              </w:rPr>
              <w:t>12</w:t>
            </w:r>
          </w:p>
        </w:tc>
        <w:tc>
          <w:tcPr>
            <w:tcW w:w="1104" w:type="dxa"/>
            <w:tcBorders>
              <w:top w:val="nil"/>
              <w:left w:val="nil"/>
              <w:bottom w:val="nil"/>
              <w:right w:val="single" w:sz="12" w:space="0" w:color="auto"/>
            </w:tcBorders>
            <w:shd w:val="clear" w:color="000000" w:fill="FFE68F"/>
            <w:noWrap/>
            <w:hideMark/>
          </w:tcPr>
          <w:p w14:paraId="7967F212" w14:textId="5BC1C0A8" w:rsidR="00EB5C08" w:rsidRPr="00DD4374" w:rsidRDefault="00EB5C08" w:rsidP="00EB5C08">
            <w:pPr>
              <w:suppressAutoHyphens w:val="0"/>
              <w:spacing w:before="0" w:after="0" w:line="240" w:lineRule="auto"/>
              <w:jc w:val="right"/>
              <w:rPr>
                <w:rFonts w:eastAsia="Times New Roman" w:cstheme="minorHAnsi"/>
                <w:color w:val="0070C0"/>
                <w:sz w:val="18"/>
                <w:szCs w:val="18"/>
                <w:lang w:eastAsia="en-AU"/>
              </w:rPr>
            </w:pPr>
            <w:r w:rsidRPr="00DD4374">
              <w:rPr>
                <w:rFonts w:cstheme="minorHAnsi"/>
                <w:color w:val="0070C0"/>
                <w:sz w:val="18"/>
                <w:szCs w:val="18"/>
              </w:rPr>
              <w:t>10</w:t>
            </w:r>
          </w:p>
        </w:tc>
      </w:tr>
      <w:tr w:rsidR="00EB5C08" w:rsidRPr="00594970" w14:paraId="4B8BD8F5" w14:textId="77777777" w:rsidTr="00EB5C08">
        <w:trPr>
          <w:trHeight w:val="293"/>
        </w:trPr>
        <w:tc>
          <w:tcPr>
            <w:tcW w:w="3529" w:type="dxa"/>
            <w:tcBorders>
              <w:top w:val="nil"/>
              <w:left w:val="single" w:sz="12" w:space="0" w:color="auto"/>
              <w:bottom w:val="nil"/>
              <w:right w:val="single" w:sz="8" w:space="0" w:color="auto"/>
            </w:tcBorders>
            <w:shd w:val="clear" w:color="000000" w:fill="FFE68F"/>
            <w:hideMark/>
          </w:tcPr>
          <w:p w14:paraId="60960D88" w14:textId="6AAA0AFB" w:rsidR="00EB5C08" w:rsidRPr="00594970" w:rsidRDefault="00EB5C08" w:rsidP="004E5122">
            <w:pPr>
              <w:suppressAutoHyphens w:val="0"/>
              <w:spacing w:before="0" w:after="0" w:line="240" w:lineRule="auto"/>
              <w:ind w:left="299"/>
              <w:rPr>
                <w:rFonts w:ascii="Arial" w:eastAsia="Times New Roman" w:hAnsi="Arial" w:cs="Arial"/>
                <w:color w:val="0070C0"/>
                <w:sz w:val="18"/>
                <w:szCs w:val="18"/>
                <w:lang w:eastAsia="en-AU"/>
              </w:rPr>
            </w:pPr>
            <w:r w:rsidRPr="00594970">
              <w:rPr>
                <w:rFonts w:ascii="Arial" w:eastAsia="Times New Roman" w:hAnsi="Arial" w:cs="Arial"/>
                <w:color w:val="0070C0"/>
                <w:sz w:val="18"/>
                <w:szCs w:val="18"/>
                <w:lang w:eastAsia="en-AU"/>
              </w:rPr>
              <w:t>Depreciation o</w:t>
            </w:r>
            <w:r w:rsidR="004E5122">
              <w:rPr>
                <w:rFonts w:ascii="Arial" w:eastAsia="Times New Roman" w:hAnsi="Arial" w:cs="Arial"/>
                <w:color w:val="0070C0"/>
                <w:sz w:val="18"/>
                <w:szCs w:val="18"/>
                <w:lang w:eastAsia="en-AU"/>
              </w:rPr>
              <w:t>n</w:t>
            </w:r>
            <w:r w:rsidRPr="00594970">
              <w:rPr>
                <w:rFonts w:ascii="Arial" w:eastAsia="Times New Roman" w:hAnsi="Arial" w:cs="Arial"/>
                <w:color w:val="0070C0"/>
                <w:sz w:val="18"/>
                <w:szCs w:val="18"/>
                <w:lang w:eastAsia="en-AU"/>
              </w:rPr>
              <w:t xml:space="preserve"> ROU</w:t>
            </w:r>
          </w:p>
        </w:tc>
        <w:tc>
          <w:tcPr>
            <w:tcW w:w="1134" w:type="dxa"/>
            <w:tcBorders>
              <w:top w:val="nil"/>
              <w:left w:val="nil"/>
              <w:bottom w:val="nil"/>
              <w:right w:val="single" w:sz="8" w:space="0" w:color="auto"/>
            </w:tcBorders>
            <w:shd w:val="clear" w:color="000000" w:fill="FFE68F"/>
            <w:hideMark/>
          </w:tcPr>
          <w:p w14:paraId="7791F72A" w14:textId="77777777" w:rsidR="00EB5C08" w:rsidRPr="00DD4374" w:rsidRDefault="00EB5C08" w:rsidP="00EB5C08">
            <w:pPr>
              <w:suppressAutoHyphens w:val="0"/>
              <w:spacing w:before="0" w:after="0" w:line="240" w:lineRule="auto"/>
              <w:jc w:val="right"/>
              <w:rPr>
                <w:rFonts w:eastAsia="Times New Roman" w:cstheme="minorHAnsi"/>
                <w:color w:val="0070C0"/>
                <w:sz w:val="18"/>
                <w:szCs w:val="18"/>
                <w:lang w:eastAsia="en-AU"/>
              </w:rPr>
            </w:pPr>
            <w:r w:rsidRPr="00DD4374">
              <w:rPr>
                <w:rFonts w:eastAsia="Times New Roman" w:cstheme="minorHAnsi"/>
                <w:color w:val="0070C0"/>
                <w:sz w:val="18"/>
                <w:szCs w:val="18"/>
                <w:lang w:eastAsia="en-AU"/>
              </w:rPr>
              <w:t xml:space="preserve">-- </w:t>
            </w:r>
          </w:p>
        </w:tc>
        <w:tc>
          <w:tcPr>
            <w:tcW w:w="1019" w:type="dxa"/>
            <w:tcBorders>
              <w:top w:val="nil"/>
              <w:left w:val="nil"/>
              <w:bottom w:val="nil"/>
              <w:right w:val="single" w:sz="8" w:space="0" w:color="auto"/>
            </w:tcBorders>
            <w:shd w:val="clear" w:color="000000" w:fill="FFE68F"/>
            <w:noWrap/>
            <w:hideMark/>
          </w:tcPr>
          <w:p w14:paraId="35C40184" w14:textId="6EBDDB8D" w:rsidR="00EB5C08" w:rsidRPr="00DD4374" w:rsidRDefault="00EB5C08" w:rsidP="00EB5C08">
            <w:pPr>
              <w:suppressAutoHyphens w:val="0"/>
              <w:spacing w:before="0" w:after="0" w:line="240" w:lineRule="auto"/>
              <w:jc w:val="right"/>
              <w:rPr>
                <w:rFonts w:eastAsia="Times New Roman" w:cstheme="minorHAnsi"/>
                <w:color w:val="0070C0"/>
                <w:sz w:val="18"/>
                <w:szCs w:val="18"/>
                <w:lang w:eastAsia="en-AU"/>
              </w:rPr>
            </w:pPr>
            <w:r w:rsidRPr="00DD4374">
              <w:rPr>
                <w:rFonts w:cstheme="minorHAnsi"/>
                <w:color w:val="0070C0"/>
                <w:sz w:val="18"/>
                <w:szCs w:val="18"/>
              </w:rPr>
              <w:t>380</w:t>
            </w:r>
          </w:p>
        </w:tc>
        <w:tc>
          <w:tcPr>
            <w:tcW w:w="1137" w:type="dxa"/>
            <w:tcBorders>
              <w:top w:val="nil"/>
              <w:left w:val="nil"/>
              <w:bottom w:val="nil"/>
              <w:right w:val="single" w:sz="8" w:space="0" w:color="auto"/>
            </w:tcBorders>
            <w:shd w:val="clear" w:color="000000" w:fill="FFE68F"/>
            <w:noWrap/>
            <w:hideMark/>
          </w:tcPr>
          <w:p w14:paraId="3B7AF726" w14:textId="0A1AB812" w:rsidR="00EB5C08" w:rsidRPr="00DD4374" w:rsidRDefault="00EB5C08" w:rsidP="00EB5C08">
            <w:pPr>
              <w:suppressAutoHyphens w:val="0"/>
              <w:spacing w:before="0" w:after="0" w:line="240" w:lineRule="auto"/>
              <w:jc w:val="right"/>
              <w:rPr>
                <w:rFonts w:eastAsia="Times New Roman" w:cstheme="minorHAnsi"/>
                <w:color w:val="0070C0"/>
                <w:sz w:val="18"/>
                <w:szCs w:val="18"/>
                <w:lang w:eastAsia="en-AU"/>
              </w:rPr>
            </w:pPr>
            <w:r w:rsidRPr="00DD4374">
              <w:rPr>
                <w:rFonts w:cstheme="minorHAnsi"/>
                <w:color w:val="0070C0"/>
                <w:sz w:val="18"/>
                <w:szCs w:val="18"/>
              </w:rPr>
              <w:t>380</w:t>
            </w:r>
          </w:p>
        </w:tc>
        <w:tc>
          <w:tcPr>
            <w:tcW w:w="1134" w:type="dxa"/>
            <w:tcBorders>
              <w:top w:val="nil"/>
              <w:left w:val="nil"/>
              <w:bottom w:val="nil"/>
              <w:right w:val="single" w:sz="8" w:space="0" w:color="auto"/>
            </w:tcBorders>
            <w:shd w:val="clear" w:color="000000" w:fill="FFE68F"/>
            <w:noWrap/>
            <w:hideMark/>
          </w:tcPr>
          <w:p w14:paraId="7768509B" w14:textId="28F81880" w:rsidR="00EB5C08" w:rsidRPr="00DD4374" w:rsidRDefault="00EB5C08" w:rsidP="00EB5C08">
            <w:pPr>
              <w:suppressAutoHyphens w:val="0"/>
              <w:spacing w:before="0" w:after="0" w:line="240" w:lineRule="auto"/>
              <w:jc w:val="right"/>
              <w:rPr>
                <w:rFonts w:eastAsia="Times New Roman" w:cstheme="minorHAnsi"/>
                <w:color w:val="0070C0"/>
                <w:sz w:val="18"/>
                <w:szCs w:val="18"/>
                <w:lang w:eastAsia="en-AU"/>
              </w:rPr>
            </w:pPr>
            <w:r w:rsidRPr="00DD4374">
              <w:rPr>
                <w:rFonts w:cstheme="minorHAnsi"/>
                <w:color w:val="0070C0"/>
                <w:sz w:val="18"/>
                <w:szCs w:val="18"/>
              </w:rPr>
              <w:t>380</w:t>
            </w:r>
          </w:p>
        </w:tc>
        <w:tc>
          <w:tcPr>
            <w:tcW w:w="1104" w:type="dxa"/>
            <w:tcBorders>
              <w:top w:val="nil"/>
              <w:left w:val="nil"/>
              <w:bottom w:val="nil"/>
              <w:right w:val="single" w:sz="12" w:space="0" w:color="auto"/>
            </w:tcBorders>
            <w:shd w:val="clear" w:color="000000" w:fill="FFE68F"/>
            <w:noWrap/>
            <w:hideMark/>
          </w:tcPr>
          <w:p w14:paraId="77E94869" w14:textId="6E53B61E" w:rsidR="00EB5C08" w:rsidRPr="00DD4374" w:rsidRDefault="00EB5C08" w:rsidP="00EB5C08">
            <w:pPr>
              <w:suppressAutoHyphens w:val="0"/>
              <w:spacing w:before="0" w:after="0" w:line="240" w:lineRule="auto"/>
              <w:jc w:val="right"/>
              <w:rPr>
                <w:rFonts w:eastAsia="Times New Roman" w:cstheme="minorHAnsi"/>
                <w:color w:val="0070C0"/>
                <w:sz w:val="18"/>
                <w:szCs w:val="18"/>
                <w:lang w:eastAsia="en-AU"/>
              </w:rPr>
            </w:pPr>
            <w:r w:rsidRPr="00DD4374">
              <w:rPr>
                <w:rFonts w:cstheme="minorHAnsi"/>
                <w:color w:val="0070C0"/>
                <w:sz w:val="18"/>
                <w:szCs w:val="18"/>
              </w:rPr>
              <w:t>380</w:t>
            </w:r>
          </w:p>
        </w:tc>
      </w:tr>
      <w:tr w:rsidR="00EB5C08" w:rsidRPr="00594970" w14:paraId="299E46E3" w14:textId="77777777" w:rsidTr="00EB5C08">
        <w:trPr>
          <w:trHeight w:val="293"/>
        </w:trPr>
        <w:tc>
          <w:tcPr>
            <w:tcW w:w="3529" w:type="dxa"/>
            <w:tcBorders>
              <w:top w:val="nil"/>
              <w:left w:val="single" w:sz="12" w:space="0" w:color="auto"/>
              <w:bottom w:val="nil"/>
              <w:right w:val="single" w:sz="8" w:space="0" w:color="auto"/>
            </w:tcBorders>
            <w:shd w:val="clear" w:color="auto" w:fill="CCECFF"/>
          </w:tcPr>
          <w:p w14:paraId="08255F74" w14:textId="0FFC81AD" w:rsidR="00EB5C08" w:rsidRPr="00594970" w:rsidRDefault="000D227F" w:rsidP="003B5AF5">
            <w:pPr>
              <w:suppressAutoHyphens w:val="0"/>
              <w:spacing w:before="0" w:after="0" w:line="240" w:lineRule="auto"/>
              <w:ind w:left="299"/>
              <w:rPr>
                <w:rFonts w:ascii="Arial" w:eastAsia="Times New Roman" w:hAnsi="Arial" w:cs="Arial"/>
                <w:color w:val="0070C0"/>
                <w:sz w:val="18"/>
                <w:szCs w:val="18"/>
                <w:lang w:eastAsia="en-AU"/>
              </w:rPr>
            </w:pPr>
            <w:r w:rsidRPr="000D227F">
              <w:rPr>
                <w:rFonts w:ascii="Arial" w:eastAsia="Times New Roman" w:hAnsi="Arial" w:cs="Arial"/>
                <w:color w:val="0070C0"/>
                <w:sz w:val="18"/>
                <w:szCs w:val="18"/>
                <w:lang w:eastAsia="en-AU"/>
              </w:rPr>
              <w:t>Credit applied to rental supplier expenses (rental payments)</w:t>
            </w:r>
          </w:p>
        </w:tc>
        <w:tc>
          <w:tcPr>
            <w:tcW w:w="1134" w:type="dxa"/>
            <w:tcBorders>
              <w:top w:val="nil"/>
              <w:left w:val="nil"/>
              <w:bottom w:val="nil"/>
              <w:right w:val="single" w:sz="8" w:space="0" w:color="auto"/>
            </w:tcBorders>
            <w:shd w:val="clear" w:color="auto" w:fill="CCECFF"/>
          </w:tcPr>
          <w:p w14:paraId="1CCBA5CE" w14:textId="2C79B082" w:rsidR="00EB5C08" w:rsidRPr="00DD4374" w:rsidRDefault="00293308" w:rsidP="00EB5C08">
            <w:pPr>
              <w:suppressAutoHyphens w:val="0"/>
              <w:spacing w:before="0" w:after="0" w:line="240" w:lineRule="auto"/>
              <w:jc w:val="right"/>
              <w:rPr>
                <w:rFonts w:eastAsia="Times New Roman" w:cstheme="minorHAnsi"/>
                <w:color w:val="0070C0"/>
                <w:sz w:val="18"/>
                <w:szCs w:val="18"/>
                <w:lang w:eastAsia="en-AU"/>
              </w:rPr>
            </w:pPr>
            <w:r>
              <w:rPr>
                <w:rFonts w:eastAsia="Times New Roman" w:cstheme="minorHAnsi"/>
                <w:color w:val="0070C0"/>
                <w:sz w:val="18"/>
                <w:szCs w:val="18"/>
                <w:lang w:eastAsia="en-AU"/>
              </w:rPr>
              <w:t xml:space="preserve">-- </w:t>
            </w:r>
          </w:p>
        </w:tc>
        <w:tc>
          <w:tcPr>
            <w:tcW w:w="1019" w:type="dxa"/>
            <w:tcBorders>
              <w:top w:val="nil"/>
              <w:left w:val="nil"/>
              <w:bottom w:val="nil"/>
              <w:right w:val="single" w:sz="8" w:space="0" w:color="auto"/>
            </w:tcBorders>
            <w:shd w:val="clear" w:color="auto" w:fill="CCECFF"/>
            <w:noWrap/>
          </w:tcPr>
          <w:p w14:paraId="4BA4A04F" w14:textId="1ED46D2A" w:rsidR="00EB5C08" w:rsidRPr="00DD4374" w:rsidRDefault="00EB5C08" w:rsidP="00EB5C08">
            <w:pPr>
              <w:suppressAutoHyphens w:val="0"/>
              <w:spacing w:before="0" w:after="0" w:line="240" w:lineRule="auto"/>
              <w:jc w:val="right"/>
              <w:rPr>
                <w:rFonts w:cstheme="minorHAnsi"/>
                <w:color w:val="FF0000"/>
                <w:sz w:val="18"/>
                <w:szCs w:val="18"/>
              </w:rPr>
            </w:pPr>
            <w:r w:rsidRPr="00DD4374">
              <w:rPr>
                <w:rFonts w:cstheme="minorHAnsi"/>
                <w:color w:val="FF0000"/>
                <w:sz w:val="18"/>
                <w:szCs w:val="18"/>
              </w:rPr>
              <w:t>-376</w:t>
            </w:r>
          </w:p>
        </w:tc>
        <w:tc>
          <w:tcPr>
            <w:tcW w:w="1137" w:type="dxa"/>
            <w:tcBorders>
              <w:top w:val="nil"/>
              <w:left w:val="nil"/>
              <w:bottom w:val="nil"/>
              <w:right w:val="single" w:sz="8" w:space="0" w:color="auto"/>
            </w:tcBorders>
            <w:shd w:val="clear" w:color="auto" w:fill="CCECFF"/>
            <w:noWrap/>
          </w:tcPr>
          <w:p w14:paraId="05A6D3B0" w14:textId="566C999B" w:rsidR="00EB5C08" w:rsidRPr="00DD4374" w:rsidRDefault="00EB5C08" w:rsidP="00EB5C08">
            <w:pPr>
              <w:suppressAutoHyphens w:val="0"/>
              <w:spacing w:before="0" w:after="0" w:line="240" w:lineRule="auto"/>
              <w:jc w:val="right"/>
              <w:rPr>
                <w:rFonts w:cstheme="minorHAnsi"/>
                <w:color w:val="FF0000"/>
                <w:sz w:val="18"/>
                <w:szCs w:val="18"/>
              </w:rPr>
            </w:pPr>
            <w:r w:rsidRPr="00DD4374">
              <w:rPr>
                <w:rFonts w:cstheme="minorHAnsi"/>
                <w:color w:val="FF0000"/>
                <w:sz w:val="18"/>
                <w:szCs w:val="18"/>
              </w:rPr>
              <w:t>-384</w:t>
            </w:r>
          </w:p>
        </w:tc>
        <w:tc>
          <w:tcPr>
            <w:tcW w:w="1134" w:type="dxa"/>
            <w:tcBorders>
              <w:top w:val="nil"/>
              <w:left w:val="nil"/>
              <w:bottom w:val="nil"/>
              <w:right w:val="single" w:sz="8" w:space="0" w:color="auto"/>
            </w:tcBorders>
            <w:shd w:val="clear" w:color="auto" w:fill="CCECFF"/>
            <w:noWrap/>
          </w:tcPr>
          <w:p w14:paraId="6C13CA5F" w14:textId="1F4DB5BD" w:rsidR="00EB5C08" w:rsidRPr="00DD4374" w:rsidRDefault="00EB5C08" w:rsidP="00EB5C08">
            <w:pPr>
              <w:suppressAutoHyphens w:val="0"/>
              <w:spacing w:before="0" w:after="0" w:line="240" w:lineRule="auto"/>
              <w:jc w:val="right"/>
              <w:rPr>
                <w:rFonts w:cstheme="minorHAnsi"/>
                <w:color w:val="FF0000"/>
                <w:sz w:val="18"/>
                <w:szCs w:val="18"/>
              </w:rPr>
            </w:pPr>
            <w:r w:rsidRPr="00DD4374">
              <w:rPr>
                <w:rFonts w:cstheme="minorHAnsi"/>
                <w:color w:val="FF0000"/>
                <w:sz w:val="18"/>
                <w:szCs w:val="18"/>
              </w:rPr>
              <w:t>-392</w:t>
            </w:r>
          </w:p>
        </w:tc>
        <w:tc>
          <w:tcPr>
            <w:tcW w:w="1104" w:type="dxa"/>
            <w:tcBorders>
              <w:top w:val="nil"/>
              <w:left w:val="nil"/>
              <w:bottom w:val="nil"/>
              <w:right w:val="single" w:sz="12" w:space="0" w:color="auto"/>
            </w:tcBorders>
            <w:shd w:val="clear" w:color="auto" w:fill="CCECFF"/>
            <w:noWrap/>
          </w:tcPr>
          <w:p w14:paraId="4E478AA2" w14:textId="0341D2C1" w:rsidR="00EB5C08" w:rsidRPr="00DD4374" w:rsidRDefault="00EB5C08" w:rsidP="00EB5C08">
            <w:pPr>
              <w:suppressAutoHyphens w:val="0"/>
              <w:spacing w:before="0" w:after="0" w:line="240" w:lineRule="auto"/>
              <w:jc w:val="right"/>
              <w:rPr>
                <w:rFonts w:cstheme="minorHAnsi"/>
                <w:color w:val="FF0000"/>
                <w:sz w:val="18"/>
                <w:szCs w:val="18"/>
              </w:rPr>
            </w:pPr>
            <w:r w:rsidRPr="00DD4374">
              <w:rPr>
                <w:rFonts w:cstheme="minorHAnsi"/>
                <w:color w:val="FF0000"/>
                <w:sz w:val="18"/>
                <w:szCs w:val="18"/>
              </w:rPr>
              <w:t>-405</w:t>
            </w:r>
          </w:p>
        </w:tc>
      </w:tr>
      <w:tr w:rsidR="00FC7481" w:rsidRPr="00594970" w14:paraId="0F27738D" w14:textId="77777777" w:rsidTr="00EB5C08">
        <w:trPr>
          <w:trHeight w:val="293"/>
        </w:trPr>
        <w:tc>
          <w:tcPr>
            <w:tcW w:w="3529" w:type="dxa"/>
            <w:tcBorders>
              <w:top w:val="nil"/>
              <w:left w:val="single" w:sz="12" w:space="0" w:color="auto"/>
              <w:bottom w:val="nil"/>
              <w:right w:val="single" w:sz="8" w:space="0" w:color="auto"/>
            </w:tcBorders>
            <w:shd w:val="clear" w:color="000000" w:fill="FFFFFF"/>
            <w:hideMark/>
          </w:tcPr>
          <w:p w14:paraId="4F0F0FBC" w14:textId="0CDF94EA" w:rsidR="00BC34A4" w:rsidRPr="00594970" w:rsidRDefault="00BC34A4" w:rsidP="00EB5C08">
            <w:pPr>
              <w:suppressAutoHyphens w:val="0"/>
              <w:spacing w:before="0" w:after="0" w:line="240" w:lineRule="auto"/>
              <w:rPr>
                <w:rFonts w:ascii="Arial" w:eastAsia="Times New Roman" w:hAnsi="Arial" w:cs="Arial"/>
                <w:sz w:val="18"/>
                <w:szCs w:val="18"/>
                <w:lang w:eastAsia="en-AU"/>
              </w:rPr>
            </w:pPr>
          </w:p>
        </w:tc>
        <w:tc>
          <w:tcPr>
            <w:tcW w:w="1134" w:type="dxa"/>
            <w:tcBorders>
              <w:top w:val="nil"/>
              <w:left w:val="nil"/>
              <w:bottom w:val="nil"/>
              <w:right w:val="single" w:sz="8" w:space="0" w:color="auto"/>
            </w:tcBorders>
            <w:shd w:val="clear" w:color="000000" w:fill="FFFFFF"/>
          </w:tcPr>
          <w:p w14:paraId="0FDB8C3F" w14:textId="5E7F8CB6" w:rsidR="00BC34A4" w:rsidRPr="00DD4374" w:rsidRDefault="00BC34A4" w:rsidP="00EB5C08">
            <w:pPr>
              <w:suppressAutoHyphens w:val="0"/>
              <w:spacing w:before="0" w:after="0" w:line="240" w:lineRule="auto"/>
              <w:jc w:val="right"/>
              <w:rPr>
                <w:rFonts w:eastAsia="Times New Roman" w:cstheme="minorHAnsi"/>
                <w:sz w:val="18"/>
                <w:szCs w:val="18"/>
                <w:lang w:eastAsia="en-AU"/>
              </w:rPr>
            </w:pPr>
          </w:p>
        </w:tc>
        <w:tc>
          <w:tcPr>
            <w:tcW w:w="1019" w:type="dxa"/>
            <w:tcBorders>
              <w:top w:val="nil"/>
              <w:left w:val="nil"/>
              <w:bottom w:val="nil"/>
              <w:right w:val="single" w:sz="8" w:space="0" w:color="auto"/>
            </w:tcBorders>
            <w:shd w:val="clear" w:color="000000" w:fill="FFFFFF"/>
            <w:noWrap/>
          </w:tcPr>
          <w:p w14:paraId="74A00468" w14:textId="69E0573C" w:rsidR="00BC34A4" w:rsidRPr="00DD4374" w:rsidRDefault="00BC34A4" w:rsidP="00EB5C08">
            <w:pPr>
              <w:suppressAutoHyphens w:val="0"/>
              <w:spacing w:before="0" w:after="0" w:line="240" w:lineRule="auto"/>
              <w:jc w:val="right"/>
              <w:rPr>
                <w:rFonts w:eastAsia="Times New Roman" w:cstheme="minorHAnsi"/>
                <w:sz w:val="18"/>
                <w:szCs w:val="18"/>
                <w:lang w:eastAsia="en-AU"/>
              </w:rPr>
            </w:pPr>
          </w:p>
        </w:tc>
        <w:tc>
          <w:tcPr>
            <w:tcW w:w="1137" w:type="dxa"/>
            <w:tcBorders>
              <w:top w:val="nil"/>
              <w:left w:val="nil"/>
              <w:bottom w:val="nil"/>
              <w:right w:val="single" w:sz="8" w:space="0" w:color="auto"/>
            </w:tcBorders>
            <w:shd w:val="clear" w:color="000000" w:fill="FFFFFF"/>
            <w:noWrap/>
          </w:tcPr>
          <w:p w14:paraId="39D5FA79" w14:textId="77F76B67" w:rsidR="00BC34A4" w:rsidRPr="00DD4374" w:rsidRDefault="00BC34A4" w:rsidP="00EB5C08">
            <w:pPr>
              <w:suppressAutoHyphens w:val="0"/>
              <w:spacing w:before="0" w:after="0" w:line="240" w:lineRule="auto"/>
              <w:jc w:val="right"/>
              <w:rPr>
                <w:rFonts w:eastAsia="Times New Roman" w:cstheme="minorHAnsi"/>
                <w:sz w:val="18"/>
                <w:szCs w:val="18"/>
                <w:lang w:eastAsia="en-AU"/>
              </w:rPr>
            </w:pPr>
          </w:p>
        </w:tc>
        <w:tc>
          <w:tcPr>
            <w:tcW w:w="1134" w:type="dxa"/>
            <w:tcBorders>
              <w:top w:val="nil"/>
              <w:left w:val="nil"/>
              <w:bottom w:val="nil"/>
              <w:right w:val="single" w:sz="8" w:space="0" w:color="auto"/>
            </w:tcBorders>
            <w:shd w:val="clear" w:color="000000" w:fill="FFFFFF"/>
            <w:noWrap/>
          </w:tcPr>
          <w:p w14:paraId="60F6D4FD" w14:textId="244B4DE1" w:rsidR="00BC34A4" w:rsidRPr="00DD4374" w:rsidRDefault="00BC34A4" w:rsidP="00EB5C08">
            <w:pPr>
              <w:suppressAutoHyphens w:val="0"/>
              <w:spacing w:before="0" w:after="0" w:line="240" w:lineRule="auto"/>
              <w:jc w:val="right"/>
              <w:rPr>
                <w:rFonts w:eastAsia="Times New Roman" w:cstheme="minorHAnsi"/>
                <w:sz w:val="18"/>
                <w:szCs w:val="18"/>
                <w:lang w:eastAsia="en-AU"/>
              </w:rPr>
            </w:pPr>
          </w:p>
        </w:tc>
        <w:tc>
          <w:tcPr>
            <w:tcW w:w="1104" w:type="dxa"/>
            <w:tcBorders>
              <w:top w:val="nil"/>
              <w:left w:val="nil"/>
              <w:bottom w:val="nil"/>
              <w:right w:val="single" w:sz="12" w:space="0" w:color="auto"/>
            </w:tcBorders>
            <w:shd w:val="clear" w:color="000000" w:fill="FFFFFF"/>
            <w:noWrap/>
          </w:tcPr>
          <w:p w14:paraId="7855D05D" w14:textId="526FC0FB" w:rsidR="00BC34A4" w:rsidRPr="00DD4374" w:rsidRDefault="00BC34A4" w:rsidP="00EB5C08">
            <w:pPr>
              <w:suppressAutoHyphens w:val="0"/>
              <w:spacing w:before="0" w:after="0" w:line="240" w:lineRule="auto"/>
              <w:jc w:val="right"/>
              <w:rPr>
                <w:rFonts w:eastAsia="Times New Roman" w:cstheme="minorHAnsi"/>
                <w:sz w:val="18"/>
                <w:szCs w:val="18"/>
                <w:lang w:eastAsia="en-AU"/>
              </w:rPr>
            </w:pPr>
          </w:p>
        </w:tc>
      </w:tr>
      <w:tr w:rsidR="00FC7481" w:rsidRPr="00594970" w14:paraId="1B175F15" w14:textId="77777777" w:rsidTr="00EB5C08">
        <w:trPr>
          <w:trHeight w:val="293"/>
        </w:trPr>
        <w:tc>
          <w:tcPr>
            <w:tcW w:w="3529" w:type="dxa"/>
            <w:tcBorders>
              <w:top w:val="nil"/>
              <w:left w:val="single" w:sz="12" w:space="0" w:color="auto"/>
              <w:bottom w:val="nil"/>
              <w:right w:val="single" w:sz="8" w:space="0" w:color="auto"/>
            </w:tcBorders>
            <w:shd w:val="clear" w:color="000000" w:fill="FFFFFF"/>
            <w:noWrap/>
            <w:hideMark/>
          </w:tcPr>
          <w:p w14:paraId="7788B41F" w14:textId="77777777" w:rsidR="00BC34A4" w:rsidRPr="00594970" w:rsidRDefault="00BC34A4" w:rsidP="00EB5C08">
            <w:pPr>
              <w:suppressAutoHyphens w:val="0"/>
              <w:spacing w:before="0" w:after="0" w:line="240" w:lineRule="auto"/>
              <w:rPr>
                <w:rFonts w:ascii="Arial" w:eastAsia="Times New Roman" w:hAnsi="Arial" w:cs="Arial"/>
                <w:sz w:val="18"/>
                <w:szCs w:val="18"/>
                <w:lang w:eastAsia="en-AU"/>
              </w:rPr>
            </w:pPr>
            <w:r w:rsidRPr="00594970">
              <w:rPr>
                <w:rFonts w:ascii="Arial" w:eastAsia="Times New Roman" w:hAnsi="Arial" w:cs="Arial"/>
                <w:sz w:val="18"/>
                <w:szCs w:val="18"/>
                <w:lang w:eastAsia="en-AU"/>
              </w:rPr>
              <w:t>s74 External Revenue</w:t>
            </w:r>
          </w:p>
        </w:tc>
        <w:tc>
          <w:tcPr>
            <w:tcW w:w="1134" w:type="dxa"/>
            <w:tcBorders>
              <w:top w:val="nil"/>
              <w:left w:val="nil"/>
              <w:bottom w:val="nil"/>
              <w:right w:val="single" w:sz="8" w:space="0" w:color="auto"/>
            </w:tcBorders>
            <w:shd w:val="clear" w:color="000000" w:fill="FFFFFF"/>
            <w:hideMark/>
          </w:tcPr>
          <w:p w14:paraId="5273098A" w14:textId="77777777" w:rsidR="00BC34A4" w:rsidRPr="00DD4374" w:rsidRDefault="00BC34A4" w:rsidP="00EB5C08">
            <w:pPr>
              <w:suppressAutoHyphens w:val="0"/>
              <w:spacing w:before="0" w:after="0" w:line="240" w:lineRule="auto"/>
              <w:jc w:val="right"/>
              <w:rPr>
                <w:rFonts w:eastAsia="Times New Roman" w:cstheme="minorHAnsi"/>
                <w:sz w:val="18"/>
                <w:szCs w:val="18"/>
                <w:lang w:eastAsia="en-AU"/>
              </w:rPr>
            </w:pPr>
            <w:r w:rsidRPr="00DD4374">
              <w:rPr>
                <w:rFonts w:eastAsia="Times New Roman" w:cstheme="minorHAnsi"/>
                <w:sz w:val="18"/>
                <w:szCs w:val="18"/>
                <w:lang w:eastAsia="en-AU"/>
              </w:rPr>
              <w:t>30</w:t>
            </w:r>
          </w:p>
        </w:tc>
        <w:tc>
          <w:tcPr>
            <w:tcW w:w="1019" w:type="dxa"/>
            <w:tcBorders>
              <w:top w:val="nil"/>
              <w:left w:val="nil"/>
              <w:bottom w:val="nil"/>
              <w:right w:val="single" w:sz="8" w:space="0" w:color="auto"/>
            </w:tcBorders>
            <w:shd w:val="clear" w:color="000000" w:fill="FFFFFF"/>
            <w:noWrap/>
            <w:hideMark/>
          </w:tcPr>
          <w:p w14:paraId="2241CBC6" w14:textId="77777777" w:rsidR="00BC34A4" w:rsidRPr="00DD4374" w:rsidRDefault="00BC34A4" w:rsidP="00EB5C08">
            <w:pPr>
              <w:suppressAutoHyphens w:val="0"/>
              <w:spacing w:before="0" w:after="0" w:line="240" w:lineRule="auto"/>
              <w:jc w:val="right"/>
              <w:rPr>
                <w:rFonts w:eastAsia="Times New Roman" w:cstheme="minorHAnsi"/>
                <w:sz w:val="18"/>
                <w:szCs w:val="18"/>
                <w:lang w:eastAsia="en-AU"/>
              </w:rPr>
            </w:pPr>
            <w:r w:rsidRPr="00DD4374">
              <w:rPr>
                <w:rFonts w:eastAsia="Times New Roman" w:cstheme="minorHAnsi"/>
                <w:sz w:val="18"/>
                <w:szCs w:val="18"/>
                <w:lang w:eastAsia="en-AU"/>
              </w:rPr>
              <w:t>30</w:t>
            </w:r>
          </w:p>
        </w:tc>
        <w:tc>
          <w:tcPr>
            <w:tcW w:w="1137" w:type="dxa"/>
            <w:tcBorders>
              <w:top w:val="nil"/>
              <w:left w:val="nil"/>
              <w:bottom w:val="nil"/>
              <w:right w:val="single" w:sz="8" w:space="0" w:color="auto"/>
            </w:tcBorders>
            <w:shd w:val="clear" w:color="000000" w:fill="FFFFFF"/>
            <w:noWrap/>
            <w:hideMark/>
          </w:tcPr>
          <w:p w14:paraId="51334033" w14:textId="77777777" w:rsidR="00BC34A4" w:rsidRPr="00DD4374" w:rsidRDefault="00BC34A4" w:rsidP="00EB5C08">
            <w:pPr>
              <w:suppressAutoHyphens w:val="0"/>
              <w:spacing w:before="0" w:after="0" w:line="240" w:lineRule="auto"/>
              <w:jc w:val="right"/>
              <w:rPr>
                <w:rFonts w:eastAsia="Times New Roman" w:cstheme="minorHAnsi"/>
                <w:sz w:val="18"/>
                <w:szCs w:val="18"/>
                <w:lang w:eastAsia="en-AU"/>
              </w:rPr>
            </w:pPr>
            <w:r w:rsidRPr="00DD4374">
              <w:rPr>
                <w:rFonts w:eastAsia="Times New Roman" w:cstheme="minorHAnsi"/>
                <w:sz w:val="18"/>
                <w:szCs w:val="18"/>
                <w:lang w:eastAsia="en-AU"/>
              </w:rPr>
              <w:t>30</w:t>
            </w:r>
          </w:p>
        </w:tc>
        <w:tc>
          <w:tcPr>
            <w:tcW w:w="1134" w:type="dxa"/>
            <w:tcBorders>
              <w:top w:val="nil"/>
              <w:left w:val="nil"/>
              <w:bottom w:val="nil"/>
              <w:right w:val="single" w:sz="8" w:space="0" w:color="auto"/>
            </w:tcBorders>
            <w:shd w:val="clear" w:color="000000" w:fill="FFFFFF"/>
            <w:noWrap/>
            <w:hideMark/>
          </w:tcPr>
          <w:p w14:paraId="3632B321" w14:textId="77777777" w:rsidR="00BC34A4" w:rsidRPr="00DD4374" w:rsidRDefault="00BC34A4" w:rsidP="00EB5C08">
            <w:pPr>
              <w:suppressAutoHyphens w:val="0"/>
              <w:spacing w:before="0" w:after="0" w:line="240" w:lineRule="auto"/>
              <w:jc w:val="right"/>
              <w:rPr>
                <w:rFonts w:eastAsia="Times New Roman" w:cstheme="minorHAnsi"/>
                <w:sz w:val="18"/>
                <w:szCs w:val="18"/>
                <w:lang w:eastAsia="en-AU"/>
              </w:rPr>
            </w:pPr>
            <w:r w:rsidRPr="00DD4374">
              <w:rPr>
                <w:rFonts w:eastAsia="Times New Roman" w:cstheme="minorHAnsi"/>
                <w:sz w:val="18"/>
                <w:szCs w:val="18"/>
                <w:lang w:eastAsia="en-AU"/>
              </w:rPr>
              <w:t>30</w:t>
            </w:r>
          </w:p>
        </w:tc>
        <w:tc>
          <w:tcPr>
            <w:tcW w:w="1104" w:type="dxa"/>
            <w:tcBorders>
              <w:top w:val="nil"/>
              <w:left w:val="nil"/>
              <w:bottom w:val="nil"/>
              <w:right w:val="single" w:sz="12" w:space="0" w:color="auto"/>
            </w:tcBorders>
            <w:shd w:val="clear" w:color="000000" w:fill="FFFFFF"/>
            <w:noWrap/>
            <w:hideMark/>
          </w:tcPr>
          <w:p w14:paraId="520EC138" w14:textId="77777777" w:rsidR="00BC34A4" w:rsidRPr="00DD4374" w:rsidRDefault="00BC34A4" w:rsidP="00EB5C08">
            <w:pPr>
              <w:suppressAutoHyphens w:val="0"/>
              <w:spacing w:before="0" w:after="0" w:line="240" w:lineRule="auto"/>
              <w:jc w:val="right"/>
              <w:rPr>
                <w:rFonts w:eastAsia="Times New Roman" w:cstheme="minorHAnsi"/>
                <w:sz w:val="18"/>
                <w:szCs w:val="18"/>
                <w:lang w:eastAsia="en-AU"/>
              </w:rPr>
            </w:pPr>
            <w:r w:rsidRPr="00DD4374">
              <w:rPr>
                <w:rFonts w:eastAsia="Times New Roman" w:cstheme="minorHAnsi"/>
                <w:sz w:val="18"/>
                <w:szCs w:val="18"/>
                <w:lang w:eastAsia="en-AU"/>
              </w:rPr>
              <w:t>30</w:t>
            </w:r>
          </w:p>
        </w:tc>
      </w:tr>
      <w:tr w:rsidR="00FC7481" w:rsidRPr="00594970" w14:paraId="25AD4944" w14:textId="77777777" w:rsidTr="00EB5C08">
        <w:trPr>
          <w:trHeight w:val="293"/>
        </w:trPr>
        <w:tc>
          <w:tcPr>
            <w:tcW w:w="3529" w:type="dxa"/>
            <w:tcBorders>
              <w:top w:val="nil"/>
              <w:left w:val="single" w:sz="12" w:space="0" w:color="auto"/>
              <w:bottom w:val="nil"/>
              <w:right w:val="single" w:sz="8" w:space="0" w:color="auto"/>
            </w:tcBorders>
            <w:shd w:val="clear" w:color="000000" w:fill="FFFFFF"/>
            <w:hideMark/>
          </w:tcPr>
          <w:p w14:paraId="6AA76505" w14:textId="77777777" w:rsidR="00BC34A4" w:rsidRPr="00594970" w:rsidRDefault="00BC34A4" w:rsidP="00EB5C08">
            <w:pPr>
              <w:suppressAutoHyphens w:val="0"/>
              <w:spacing w:before="0" w:after="0" w:line="240" w:lineRule="auto"/>
              <w:ind w:firstLineChars="100" w:firstLine="180"/>
              <w:rPr>
                <w:rFonts w:ascii="Arial" w:eastAsia="Times New Roman" w:hAnsi="Arial" w:cs="Arial"/>
                <w:sz w:val="18"/>
                <w:szCs w:val="18"/>
                <w:lang w:eastAsia="en-AU"/>
              </w:rPr>
            </w:pPr>
            <w:r w:rsidRPr="00594970">
              <w:rPr>
                <w:rFonts w:ascii="Arial" w:eastAsia="Times New Roman" w:hAnsi="Arial" w:cs="Arial"/>
                <w:sz w:val="18"/>
                <w:szCs w:val="18"/>
                <w:lang w:eastAsia="en-AU"/>
              </w:rPr>
              <w:t> </w:t>
            </w:r>
          </w:p>
        </w:tc>
        <w:tc>
          <w:tcPr>
            <w:tcW w:w="1134" w:type="dxa"/>
            <w:tcBorders>
              <w:top w:val="nil"/>
              <w:left w:val="nil"/>
              <w:bottom w:val="nil"/>
              <w:right w:val="single" w:sz="8" w:space="0" w:color="auto"/>
            </w:tcBorders>
            <w:shd w:val="clear" w:color="000000" w:fill="FFFFFF"/>
          </w:tcPr>
          <w:p w14:paraId="32DB5A17" w14:textId="40F1D9C3" w:rsidR="00BC34A4" w:rsidRPr="00DD4374" w:rsidRDefault="00BC34A4" w:rsidP="00EB5C08">
            <w:pPr>
              <w:suppressAutoHyphens w:val="0"/>
              <w:spacing w:before="0" w:after="0" w:line="240" w:lineRule="auto"/>
              <w:jc w:val="right"/>
              <w:rPr>
                <w:rFonts w:eastAsia="Times New Roman" w:cstheme="minorHAnsi"/>
                <w:sz w:val="18"/>
                <w:szCs w:val="18"/>
                <w:lang w:eastAsia="en-AU"/>
              </w:rPr>
            </w:pPr>
          </w:p>
        </w:tc>
        <w:tc>
          <w:tcPr>
            <w:tcW w:w="1019" w:type="dxa"/>
            <w:tcBorders>
              <w:top w:val="nil"/>
              <w:left w:val="nil"/>
              <w:bottom w:val="nil"/>
              <w:right w:val="single" w:sz="8" w:space="0" w:color="auto"/>
            </w:tcBorders>
            <w:shd w:val="clear" w:color="000000" w:fill="FFFFFF"/>
            <w:noWrap/>
          </w:tcPr>
          <w:p w14:paraId="241C0610" w14:textId="7B4FD6D6" w:rsidR="00BC34A4" w:rsidRPr="00DD4374" w:rsidRDefault="00BC34A4" w:rsidP="00EB5C08">
            <w:pPr>
              <w:suppressAutoHyphens w:val="0"/>
              <w:spacing w:before="0" w:after="0" w:line="240" w:lineRule="auto"/>
              <w:jc w:val="right"/>
              <w:rPr>
                <w:rFonts w:eastAsia="Times New Roman" w:cstheme="minorHAnsi"/>
                <w:sz w:val="18"/>
                <w:szCs w:val="18"/>
                <w:lang w:eastAsia="en-AU"/>
              </w:rPr>
            </w:pPr>
          </w:p>
        </w:tc>
        <w:tc>
          <w:tcPr>
            <w:tcW w:w="1137" w:type="dxa"/>
            <w:tcBorders>
              <w:top w:val="nil"/>
              <w:left w:val="nil"/>
              <w:bottom w:val="nil"/>
              <w:right w:val="single" w:sz="8" w:space="0" w:color="auto"/>
            </w:tcBorders>
            <w:shd w:val="clear" w:color="000000" w:fill="FFFFFF"/>
            <w:noWrap/>
          </w:tcPr>
          <w:p w14:paraId="62216841" w14:textId="48D7010B" w:rsidR="00BC34A4" w:rsidRPr="00DD4374" w:rsidRDefault="00BC34A4" w:rsidP="00EB5C08">
            <w:pPr>
              <w:suppressAutoHyphens w:val="0"/>
              <w:spacing w:before="0" w:after="0" w:line="240" w:lineRule="auto"/>
              <w:jc w:val="right"/>
              <w:rPr>
                <w:rFonts w:eastAsia="Times New Roman" w:cstheme="minorHAnsi"/>
                <w:sz w:val="18"/>
                <w:szCs w:val="18"/>
                <w:lang w:eastAsia="en-AU"/>
              </w:rPr>
            </w:pPr>
          </w:p>
        </w:tc>
        <w:tc>
          <w:tcPr>
            <w:tcW w:w="1134" w:type="dxa"/>
            <w:tcBorders>
              <w:top w:val="nil"/>
              <w:left w:val="nil"/>
              <w:bottom w:val="nil"/>
              <w:right w:val="single" w:sz="8" w:space="0" w:color="auto"/>
            </w:tcBorders>
            <w:shd w:val="clear" w:color="000000" w:fill="FFFFFF"/>
            <w:noWrap/>
          </w:tcPr>
          <w:p w14:paraId="36A97AA7" w14:textId="7F99C2E6" w:rsidR="00BC34A4" w:rsidRPr="00DD4374" w:rsidRDefault="00BC34A4" w:rsidP="00EB5C08">
            <w:pPr>
              <w:suppressAutoHyphens w:val="0"/>
              <w:spacing w:before="0" w:after="0" w:line="240" w:lineRule="auto"/>
              <w:jc w:val="right"/>
              <w:rPr>
                <w:rFonts w:eastAsia="Times New Roman" w:cstheme="minorHAnsi"/>
                <w:sz w:val="18"/>
                <w:szCs w:val="18"/>
                <w:lang w:eastAsia="en-AU"/>
              </w:rPr>
            </w:pPr>
          </w:p>
        </w:tc>
        <w:tc>
          <w:tcPr>
            <w:tcW w:w="1104" w:type="dxa"/>
            <w:tcBorders>
              <w:top w:val="nil"/>
              <w:left w:val="nil"/>
              <w:bottom w:val="nil"/>
              <w:right w:val="single" w:sz="12" w:space="0" w:color="auto"/>
            </w:tcBorders>
            <w:shd w:val="clear" w:color="000000" w:fill="FFFFFF"/>
            <w:noWrap/>
          </w:tcPr>
          <w:p w14:paraId="1ED327DF" w14:textId="65657080" w:rsidR="00BC34A4" w:rsidRPr="00DD4374" w:rsidRDefault="00BC34A4" w:rsidP="00EB5C08">
            <w:pPr>
              <w:suppressAutoHyphens w:val="0"/>
              <w:spacing w:before="0" w:after="0" w:line="240" w:lineRule="auto"/>
              <w:jc w:val="right"/>
              <w:rPr>
                <w:rFonts w:eastAsia="Times New Roman" w:cstheme="minorHAnsi"/>
                <w:sz w:val="18"/>
                <w:szCs w:val="18"/>
                <w:lang w:eastAsia="en-AU"/>
              </w:rPr>
            </w:pPr>
          </w:p>
        </w:tc>
      </w:tr>
      <w:tr w:rsidR="00FC7481" w:rsidRPr="00594970" w14:paraId="4D25C0E4" w14:textId="77777777" w:rsidTr="00EB5C08">
        <w:trPr>
          <w:trHeight w:val="459"/>
        </w:trPr>
        <w:tc>
          <w:tcPr>
            <w:tcW w:w="3529" w:type="dxa"/>
            <w:tcBorders>
              <w:top w:val="nil"/>
              <w:left w:val="single" w:sz="12" w:space="0" w:color="auto"/>
              <w:bottom w:val="nil"/>
              <w:right w:val="single" w:sz="8" w:space="0" w:color="auto"/>
            </w:tcBorders>
            <w:shd w:val="clear" w:color="000000" w:fill="FFFFFF"/>
            <w:hideMark/>
          </w:tcPr>
          <w:p w14:paraId="03E07279" w14:textId="77777777" w:rsidR="00BC34A4" w:rsidRPr="00594970" w:rsidRDefault="00BC34A4" w:rsidP="00EB5C08">
            <w:pPr>
              <w:suppressAutoHyphens w:val="0"/>
              <w:spacing w:before="0" w:after="0" w:line="240" w:lineRule="auto"/>
              <w:rPr>
                <w:rFonts w:ascii="Arial" w:eastAsia="Times New Roman" w:hAnsi="Arial" w:cs="Arial"/>
                <w:color w:val="000000"/>
                <w:sz w:val="18"/>
                <w:szCs w:val="18"/>
                <w:lang w:eastAsia="en-AU"/>
              </w:rPr>
            </w:pPr>
            <w:r w:rsidRPr="00594970">
              <w:rPr>
                <w:rFonts w:ascii="Arial" w:eastAsia="Times New Roman" w:hAnsi="Arial" w:cs="Arial"/>
                <w:color w:val="000000"/>
                <w:sz w:val="18"/>
                <w:szCs w:val="18"/>
                <w:lang w:eastAsia="en-AU"/>
              </w:rPr>
              <w:t>Expenses not requiring appropriation in the Budget Year</w:t>
            </w:r>
          </w:p>
        </w:tc>
        <w:tc>
          <w:tcPr>
            <w:tcW w:w="1134" w:type="dxa"/>
            <w:tcBorders>
              <w:top w:val="nil"/>
              <w:left w:val="nil"/>
              <w:bottom w:val="nil"/>
              <w:right w:val="single" w:sz="8" w:space="0" w:color="auto"/>
            </w:tcBorders>
            <w:shd w:val="clear" w:color="000000" w:fill="FFFFFF"/>
            <w:hideMark/>
          </w:tcPr>
          <w:p w14:paraId="54944B58" w14:textId="77777777" w:rsidR="00BC34A4" w:rsidRPr="00DD4374" w:rsidRDefault="00BC34A4" w:rsidP="00EB5C08">
            <w:pPr>
              <w:suppressAutoHyphens w:val="0"/>
              <w:spacing w:before="0" w:after="0" w:line="240" w:lineRule="auto"/>
              <w:jc w:val="right"/>
              <w:rPr>
                <w:rFonts w:eastAsia="Times New Roman" w:cstheme="minorHAnsi"/>
                <w:color w:val="000000"/>
                <w:sz w:val="18"/>
                <w:szCs w:val="18"/>
                <w:lang w:eastAsia="en-AU"/>
              </w:rPr>
            </w:pPr>
            <w:r w:rsidRPr="00DD4374">
              <w:rPr>
                <w:rFonts w:eastAsia="Times New Roman" w:cstheme="minorHAnsi"/>
                <w:color w:val="000000"/>
                <w:sz w:val="18"/>
                <w:szCs w:val="18"/>
                <w:lang w:eastAsia="en-AU"/>
              </w:rPr>
              <w:t>100</w:t>
            </w:r>
          </w:p>
        </w:tc>
        <w:tc>
          <w:tcPr>
            <w:tcW w:w="1019" w:type="dxa"/>
            <w:tcBorders>
              <w:top w:val="nil"/>
              <w:left w:val="nil"/>
              <w:bottom w:val="nil"/>
              <w:right w:val="single" w:sz="8" w:space="0" w:color="auto"/>
            </w:tcBorders>
            <w:shd w:val="clear" w:color="000000" w:fill="FFFFFF"/>
            <w:noWrap/>
            <w:hideMark/>
          </w:tcPr>
          <w:p w14:paraId="581B626F" w14:textId="77777777" w:rsidR="00BC34A4" w:rsidRPr="00DD4374" w:rsidRDefault="00BC34A4" w:rsidP="00EB5C08">
            <w:pPr>
              <w:suppressAutoHyphens w:val="0"/>
              <w:spacing w:before="0" w:after="0" w:line="240" w:lineRule="auto"/>
              <w:jc w:val="right"/>
              <w:rPr>
                <w:rFonts w:eastAsia="Times New Roman" w:cstheme="minorHAnsi"/>
                <w:color w:val="000000"/>
                <w:sz w:val="18"/>
                <w:szCs w:val="18"/>
                <w:lang w:eastAsia="en-AU"/>
              </w:rPr>
            </w:pPr>
            <w:r w:rsidRPr="00DD4374">
              <w:rPr>
                <w:rFonts w:eastAsia="Times New Roman" w:cstheme="minorHAnsi"/>
                <w:color w:val="000000"/>
                <w:sz w:val="18"/>
                <w:szCs w:val="18"/>
                <w:lang w:eastAsia="en-AU"/>
              </w:rPr>
              <w:t>100</w:t>
            </w:r>
          </w:p>
        </w:tc>
        <w:tc>
          <w:tcPr>
            <w:tcW w:w="1137" w:type="dxa"/>
            <w:tcBorders>
              <w:top w:val="nil"/>
              <w:left w:val="nil"/>
              <w:bottom w:val="nil"/>
              <w:right w:val="single" w:sz="8" w:space="0" w:color="auto"/>
            </w:tcBorders>
            <w:shd w:val="clear" w:color="000000" w:fill="FFFFFF"/>
            <w:noWrap/>
            <w:hideMark/>
          </w:tcPr>
          <w:p w14:paraId="2D9C12A5" w14:textId="77777777" w:rsidR="00BC34A4" w:rsidRPr="00DD4374" w:rsidRDefault="00BC34A4" w:rsidP="00EB5C08">
            <w:pPr>
              <w:suppressAutoHyphens w:val="0"/>
              <w:spacing w:before="0" w:after="0" w:line="240" w:lineRule="auto"/>
              <w:jc w:val="right"/>
              <w:rPr>
                <w:rFonts w:eastAsia="Times New Roman" w:cstheme="minorHAnsi"/>
                <w:color w:val="000000"/>
                <w:sz w:val="18"/>
                <w:szCs w:val="18"/>
                <w:lang w:eastAsia="en-AU"/>
              </w:rPr>
            </w:pPr>
            <w:r w:rsidRPr="00DD4374">
              <w:rPr>
                <w:rFonts w:eastAsia="Times New Roman" w:cstheme="minorHAnsi"/>
                <w:color w:val="000000"/>
                <w:sz w:val="18"/>
                <w:szCs w:val="18"/>
                <w:lang w:eastAsia="en-AU"/>
              </w:rPr>
              <w:t>100</w:t>
            </w:r>
          </w:p>
        </w:tc>
        <w:tc>
          <w:tcPr>
            <w:tcW w:w="1134" w:type="dxa"/>
            <w:tcBorders>
              <w:top w:val="nil"/>
              <w:left w:val="nil"/>
              <w:bottom w:val="nil"/>
              <w:right w:val="single" w:sz="8" w:space="0" w:color="auto"/>
            </w:tcBorders>
            <w:shd w:val="clear" w:color="000000" w:fill="FFFFFF"/>
            <w:noWrap/>
            <w:hideMark/>
          </w:tcPr>
          <w:p w14:paraId="57840102" w14:textId="77777777" w:rsidR="00BC34A4" w:rsidRPr="00DD4374" w:rsidRDefault="00BC34A4" w:rsidP="00EB5C08">
            <w:pPr>
              <w:suppressAutoHyphens w:val="0"/>
              <w:spacing w:before="0" w:after="0" w:line="240" w:lineRule="auto"/>
              <w:jc w:val="right"/>
              <w:rPr>
                <w:rFonts w:eastAsia="Times New Roman" w:cstheme="minorHAnsi"/>
                <w:color w:val="000000"/>
                <w:sz w:val="18"/>
                <w:szCs w:val="18"/>
                <w:lang w:eastAsia="en-AU"/>
              </w:rPr>
            </w:pPr>
            <w:r w:rsidRPr="00DD4374">
              <w:rPr>
                <w:rFonts w:eastAsia="Times New Roman" w:cstheme="minorHAnsi"/>
                <w:color w:val="000000"/>
                <w:sz w:val="18"/>
                <w:szCs w:val="18"/>
                <w:lang w:eastAsia="en-AU"/>
              </w:rPr>
              <w:t>100</w:t>
            </w:r>
          </w:p>
        </w:tc>
        <w:tc>
          <w:tcPr>
            <w:tcW w:w="1104" w:type="dxa"/>
            <w:tcBorders>
              <w:top w:val="nil"/>
              <w:left w:val="nil"/>
              <w:bottom w:val="nil"/>
              <w:right w:val="single" w:sz="12" w:space="0" w:color="auto"/>
            </w:tcBorders>
            <w:shd w:val="clear" w:color="000000" w:fill="FFFFFF"/>
            <w:noWrap/>
            <w:hideMark/>
          </w:tcPr>
          <w:p w14:paraId="7E2784FC" w14:textId="77777777" w:rsidR="00BC34A4" w:rsidRPr="00DD4374" w:rsidRDefault="00BC34A4" w:rsidP="00EB5C08">
            <w:pPr>
              <w:suppressAutoHyphens w:val="0"/>
              <w:spacing w:before="0" w:after="0" w:line="240" w:lineRule="auto"/>
              <w:jc w:val="right"/>
              <w:rPr>
                <w:rFonts w:eastAsia="Times New Roman" w:cstheme="minorHAnsi"/>
                <w:color w:val="000000"/>
                <w:sz w:val="18"/>
                <w:szCs w:val="18"/>
                <w:lang w:eastAsia="en-AU"/>
              </w:rPr>
            </w:pPr>
            <w:r w:rsidRPr="00DD4374">
              <w:rPr>
                <w:rFonts w:eastAsia="Times New Roman" w:cstheme="minorHAnsi"/>
                <w:color w:val="000000"/>
                <w:sz w:val="18"/>
                <w:szCs w:val="18"/>
                <w:lang w:eastAsia="en-AU"/>
              </w:rPr>
              <w:t>100</w:t>
            </w:r>
          </w:p>
        </w:tc>
      </w:tr>
      <w:tr w:rsidR="00FC7481" w:rsidRPr="00594970" w14:paraId="3249A8EE" w14:textId="77777777" w:rsidTr="006D77C5">
        <w:trPr>
          <w:trHeight w:val="293"/>
        </w:trPr>
        <w:tc>
          <w:tcPr>
            <w:tcW w:w="3529" w:type="dxa"/>
            <w:tcBorders>
              <w:top w:val="nil"/>
              <w:left w:val="single" w:sz="12" w:space="0" w:color="auto"/>
              <w:bottom w:val="nil"/>
              <w:right w:val="single" w:sz="8" w:space="0" w:color="auto"/>
            </w:tcBorders>
            <w:shd w:val="clear" w:color="auto" w:fill="FFE68F" w:themeFill="accent4" w:themeFillTint="66"/>
            <w:hideMark/>
          </w:tcPr>
          <w:p w14:paraId="3C65C2B8" w14:textId="77777777" w:rsidR="00BC34A4" w:rsidRPr="006D77C5" w:rsidRDefault="00BC34A4" w:rsidP="00EB5C08">
            <w:pPr>
              <w:suppressAutoHyphens w:val="0"/>
              <w:spacing w:before="0" w:after="0" w:line="240" w:lineRule="auto"/>
              <w:ind w:firstLineChars="100" w:firstLine="180"/>
              <w:rPr>
                <w:rFonts w:ascii="Arial" w:eastAsia="Times New Roman" w:hAnsi="Arial" w:cs="Arial"/>
                <w:color w:val="0070C0"/>
                <w:sz w:val="18"/>
                <w:szCs w:val="18"/>
                <w:u w:val="single"/>
                <w:lang w:eastAsia="en-AU"/>
              </w:rPr>
            </w:pPr>
            <w:r w:rsidRPr="006D77C5">
              <w:rPr>
                <w:rFonts w:ascii="Arial" w:eastAsia="Times New Roman" w:hAnsi="Arial" w:cs="Arial"/>
                <w:color w:val="0070C0"/>
                <w:sz w:val="18"/>
                <w:szCs w:val="18"/>
                <w:u w:val="single"/>
                <w:lang w:eastAsia="en-AU"/>
              </w:rPr>
              <w:t>Consists of:</w:t>
            </w:r>
          </w:p>
        </w:tc>
        <w:tc>
          <w:tcPr>
            <w:tcW w:w="1134" w:type="dxa"/>
            <w:tcBorders>
              <w:top w:val="nil"/>
              <w:left w:val="nil"/>
              <w:bottom w:val="nil"/>
              <w:right w:val="single" w:sz="8" w:space="0" w:color="auto"/>
            </w:tcBorders>
            <w:shd w:val="clear" w:color="auto" w:fill="FFE68F" w:themeFill="accent4" w:themeFillTint="66"/>
          </w:tcPr>
          <w:p w14:paraId="26EBE928" w14:textId="64622FB0" w:rsidR="00BC34A4" w:rsidRPr="006D77C5" w:rsidRDefault="00BC34A4" w:rsidP="00EB5C08">
            <w:pPr>
              <w:suppressAutoHyphens w:val="0"/>
              <w:spacing w:before="0" w:after="0" w:line="240" w:lineRule="auto"/>
              <w:jc w:val="right"/>
              <w:rPr>
                <w:rFonts w:eastAsia="Times New Roman" w:cstheme="minorHAnsi"/>
                <w:color w:val="0070C0"/>
                <w:sz w:val="18"/>
                <w:szCs w:val="18"/>
                <w:lang w:eastAsia="en-AU"/>
              </w:rPr>
            </w:pPr>
          </w:p>
        </w:tc>
        <w:tc>
          <w:tcPr>
            <w:tcW w:w="1019" w:type="dxa"/>
            <w:tcBorders>
              <w:top w:val="nil"/>
              <w:left w:val="nil"/>
              <w:bottom w:val="nil"/>
              <w:right w:val="single" w:sz="8" w:space="0" w:color="auto"/>
            </w:tcBorders>
            <w:shd w:val="clear" w:color="auto" w:fill="FFE68F" w:themeFill="accent4" w:themeFillTint="66"/>
            <w:noWrap/>
          </w:tcPr>
          <w:p w14:paraId="435C74FA" w14:textId="6370405E" w:rsidR="00BC34A4" w:rsidRPr="006D77C5" w:rsidRDefault="00BC34A4" w:rsidP="00EB5C08">
            <w:pPr>
              <w:suppressAutoHyphens w:val="0"/>
              <w:spacing w:before="0" w:after="0" w:line="240" w:lineRule="auto"/>
              <w:jc w:val="right"/>
              <w:rPr>
                <w:rFonts w:eastAsia="Times New Roman" w:cstheme="minorHAnsi"/>
                <w:color w:val="0070C0"/>
                <w:sz w:val="18"/>
                <w:szCs w:val="18"/>
                <w:lang w:eastAsia="en-AU"/>
              </w:rPr>
            </w:pPr>
          </w:p>
        </w:tc>
        <w:tc>
          <w:tcPr>
            <w:tcW w:w="1137" w:type="dxa"/>
            <w:tcBorders>
              <w:top w:val="nil"/>
              <w:left w:val="nil"/>
              <w:bottom w:val="nil"/>
              <w:right w:val="single" w:sz="8" w:space="0" w:color="auto"/>
            </w:tcBorders>
            <w:shd w:val="clear" w:color="auto" w:fill="FFE68F" w:themeFill="accent4" w:themeFillTint="66"/>
            <w:noWrap/>
          </w:tcPr>
          <w:p w14:paraId="4D0085AB" w14:textId="647E7C37" w:rsidR="00BC34A4" w:rsidRPr="006D77C5" w:rsidRDefault="00BC34A4" w:rsidP="00EB5C08">
            <w:pPr>
              <w:suppressAutoHyphens w:val="0"/>
              <w:spacing w:before="0" w:after="0" w:line="240" w:lineRule="auto"/>
              <w:jc w:val="right"/>
              <w:rPr>
                <w:rFonts w:eastAsia="Times New Roman" w:cstheme="minorHAnsi"/>
                <w:color w:val="0070C0"/>
                <w:sz w:val="18"/>
                <w:szCs w:val="18"/>
                <w:lang w:eastAsia="en-AU"/>
              </w:rPr>
            </w:pPr>
          </w:p>
        </w:tc>
        <w:tc>
          <w:tcPr>
            <w:tcW w:w="1134" w:type="dxa"/>
            <w:tcBorders>
              <w:top w:val="nil"/>
              <w:left w:val="nil"/>
              <w:bottom w:val="nil"/>
              <w:right w:val="single" w:sz="8" w:space="0" w:color="auto"/>
            </w:tcBorders>
            <w:shd w:val="clear" w:color="auto" w:fill="FFE68F" w:themeFill="accent4" w:themeFillTint="66"/>
            <w:noWrap/>
          </w:tcPr>
          <w:p w14:paraId="2814CBB6" w14:textId="07946F4C" w:rsidR="00BC34A4" w:rsidRPr="006D77C5" w:rsidRDefault="00BC34A4" w:rsidP="00EB5C08">
            <w:pPr>
              <w:suppressAutoHyphens w:val="0"/>
              <w:spacing w:before="0" w:after="0" w:line="240" w:lineRule="auto"/>
              <w:jc w:val="right"/>
              <w:rPr>
                <w:rFonts w:eastAsia="Times New Roman" w:cstheme="minorHAnsi"/>
                <w:color w:val="0070C0"/>
                <w:sz w:val="18"/>
                <w:szCs w:val="18"/>
                <w:lang w:eastAsia="en-AU"/>
              </w:rPr>
            </w:pPr>
          </w:p>
        </w:tc>
        <w:tc>
          <w:tcPr>
            <w:tcW w:w="1104" w:type="dxa"/>
            <w:tcBorders>
              <w:top w:val="nil"/>
              <w:left w:val="nil"/>
              <w:bottom w:val="nil"/>
              <w:right w:val="single" w:sz="12" w:space="0" w:color="auto"/>
            </w:tcBorders>
            <w:shd w:val="clear" w:color="auto" w:fill="FFE68F" w:themeFill="accent4" w:themeFillTint="66"/>
            <w:noWrap/>
          </w:tcPr>
          <w:p w14:paraId="40D7CFBF" w14:textId="741292BE" w:rsidR="00BC34A4" w:rsidRPr="006D77C5" w:rsidRDefault="00BC34A4" w:rsidP="00EB5C08">
            <w:pPr>
              <w:suppressAutoHyphens w:val="0"/>
              <w:spacing w:before="0" w:after="0" w:line="240" w:lineRule="auto"/>
              <w:jc w:val="right"/>
              <w:rPr>
                <w:rFonts w:eastAsia="Times New Roman" w:cstheme="minorHAnsi"/>
                <w:color w:val="0070C0"/>
                <w:sz w:val="18"/>
                <w:szCs w:val="18"/>
                <w:lang w:eastAsia="en-AU"/>
              </w:rPr>
            </w:pPr>
          </w:p>
        </w:tc>
      </w:tr>
      <w:tr w:rsidR="00EB5C08" w:rsidRPr="00594970" w14:paraId="24B5E571" w14:textId="77777777" w:rsidTr="006D77C5">
        <w:trPr>
          <w:trHeight w:val="306"/>
        </w:trPr>
        <w:tc>
          <w:tcPr>
            <w:tcW w:w="3529" w:type="dxa"/>
            <w:tcBorders>
              <w:top w:val="nil"/>
              <w:left w:val="single" w:sz="12" w:space="0" w:color="auto"/>
              <w:bottom w:val="nil"/>
              <w:right w:val="single" w:sz="8" w:space="0" w:color="auto"/>
            </w:tcBorders>
            <w:shd w:val="clear" w:color="auto" w:fill="FFE68F" w:themeFill="accent4" w:themeFillTint="66"/>
            <w:hideMark/>
          </w:tcPr>
          <w:p w14:paraId="4EE2846F" w14:textId="77777777" w:rsidR="00EB5C08" w:rsidRPr="006D77C5" w:rsidRDefault="00EB5C08" w:rsidP="00EB5C08">
            <w:pPr>
              <w:suppressAutoHyphens w:val="0"/>
              <w:spacing w:before="0" w:after="0" w:line="240" w:lineRule="auto"/>
              <w:ind w:firstLineChars="200" w:firstLine="360"/>
              <w:rPr>
                <w:rFonts w:ascii="Arial" w:eastAsia="Times New Roman" w:hAnsi="Arial" w:cs="Arial"/>
                <w:color w:val="0070C0"/>
                <w:sz w:val="18"/>
                <w:szCs w:val="18"/>
                <w:lang w:eastAsia="en-AU"/>
              </w:rPr>
            </w:pPr>
            <w:r w:rsidRPr="006D77C5">
              <w:rPr>
                <w:rFonts w:ascii="Arial" w:eastAsia="Times New Roman" w:hAnsi="Arial" w:cs="Arial"/>
                <w:color w:val="0070C0"/>
                <w:sz w:val="18"/>
                <w:szCs w:val="18"/>
                <w:lang w:eastAsia="en-AU"/>
              </w:rPr>
              <w:t>Other Depreciation</w:t>
            </w:r>
          </w:p>
        </w:tc>
        <w:tc>
          <w:tcPr>
            <w:tcW w:w="1134" w:type="dxa"/>
            <w:tcBorders>
              <w:top w:val="nil"/>
              <w:left w:val="nil"/>
              <w:bottom w:val="single" w:sz="8" w:space="0" w:color="auto"/>
              <w:right w:val="single" w:sz="8" w:space="0" w:color="auto"/>
            </w:tcBorders>
            <w:shd w:val="clear" w:color="auto" w:fill="FFE68F" w:themeFill="accent4" w:themeFillTint="66"/>
            <w:hideMark/>
          </w:tcPr>
          <w:p w14:paraId="62FF6539" w14:textId="568B112C" w:rsidR="00EB5C08" w:rsidRPr="006D77C5" w:rsidRDefault="00EB5C08" w:rsidP="00EB5C08">
            <w:pPr>
              <w:suppressAutoHyphens w:val="0"/>
              <w:spacing w:before="0" w:after="0" w:line="240" w:lineRule="auto"/>
              <w:jc w:val="right"/>
              <w:rPr>
                <w:rFonts w:eastAsia="Times New Roman" w:cstheme="minorHAnsi"/>
                <w:color w:val="0070C0"/>
                <w:sz w:val="18"/>
                <w:szCs w:val="18"/>
                <w:lang w:eastAsia="en-AU"/>
              </w:rPr>
            </w:pPr>
            <w:r w:rsidRPr="006D77C5">
              <w:rPr>
                <w:rFonts w:eastAsia="Times New Roman" w:cstheme="minorHAnsi"/>
                <w:color w:val="0070C0"/>
                <w:sz w:val="18"/>
                <w:szCs w:val="18"/>
                <w:lang w:eastAsia="en-AU"/>
              </w:rPr>
              <w:t>100</w:t>
            </w:r>
          </w:p>
        </w:tc>
        <w:tc>
          <w:tcPr>
            <w:tcW w:w="1019" w:type="dxa"/>
            <w:tcBorders>
              <w:top w:val="nil"/>
              <w:left w:val="nil"/>
              <w:bottom w:val="single" w:sz="8" w:space="0" w:color="auto"/>
              <w:right w:val="single" w:sz="8" w:space="0" w:color="auto"/>
            </w:tcBorders>
            <w:shd w:val="clear" w:color="auto" w:fill="FFE68F" w:themeFill="accent4" w:themeFillTint="66"/>
            <w:noWrap/>
            <w:hideMark/>
          </w:tcPr>
          <w:p w14:paraId="7ADB1FCF" w14:textId="77777777" w:rsidR="00EB5C08" w:rsidRPr="006D77C5" w:rsidRDefault="00EB5C08" w:rsidP="00EB5C08">
            <w:pPr>
              <w:suppressAutoHyphens w:val="0"/>
              <w:spacing w:before="0" w:after="0" w:line="240" w:lineRule="auto"/>
              <w:jc w:val="right"/>
              <w:rPr>
                <w:rFonts w:eastAsia="Times New Roman" w:cstheme="minorHAnsi"/>
                <w:color w:val="0070C0"/>
                <w:sz w:val="18"/>
                <w:szCs w:val="18"/>
                <w:lang w:eastAsia="en-AU"/>
              </w:rPr>
            </w:pPr>
            <w:r w:rsidRPr="006D77C5">
              <w:rPr>
                <w:rFonts w:eastAsia="Times New Roman" w:cstheme="minorHAnsi"/>
                <w:color w:val="0070C0"/>
                <w:sz w:val="18"/>
                <w:szCs w:val="18"/>
                <w:lang w:eastAsia="en-AU"/>
              </w:rPr>
              <w:t>100</w:t>
            </w:r>
          </w:p>
        </w:tc>
        <w:tc>
          <w:tcPr>
            <w:tcW w:w="1137" w:type="dxa"/>
            <w:tcBorders>
              <w:top w:val="nil"/>
              <w:left w:val="nil"/>
              <w:bottom w:val="single" w:sz="8" w:space="0" w:color="auto"/>
              <w:right w:val="single" w:sz="8" w:space="0" w:color="auto"/>
            </w:tcBorders>
            <w:shd w:val="clear" w:color="auto" w:fill="FFE68F" w:themeFill="accent4" w:themeFillTint="66"/>
            <w:noWrap/>
            <w:hideMark/>
          </w:tcPr>
          <w:p w14:paraId="43603BD0" w14:textId="77777777" w:rsidR="00EB5C08" w:rsidRPr="006D77C5" w:rsidRDefault="00EB5C08" w:rsidP="00EB5C08">
            <w:pPr>
              <w:suppressAutoHyphens w:val="0"/>
              <w:spacing w:before="0" w:after="0" w:line="240" w:lineRule="auto"/>
              <w:jc w:val="right"/>
              <w:rPr>
                <w:rFonts w:eastAsia="Times New Roman" w:cstheme="minorHAnsi"/>
                <w:color w:val="0070C0"/>
                <w:sz w:val="18"/>
                <w:szCs w:val="18"/>
                <w:lang w:eastAsia="en-AU"/>
              </w:rPr>
            </w:pPr>
            <w:r w:rsidRPr="006D77C5">
              <w:rPr>
                <w:rFonts w:eastAsia="Times New Roman" w:cstheme="minorHAnsi"/>
                <w:color w:val="0070C0"/>
                <w:sz w:val="18"/>
                <w:szCs w:val="18"/>
                <w:lang w:eastAsia="en-AU"/>
              </w:rPr>
              <w:t>100</w:t>
            </w:r>
          </w:p>
        </w:tc>
        <w:tc>
          <w:tcPr>
            <w:tcW w:w="1134" w:type="dxa"/>
            <w:tcBorders>
              <w:top w:val="nil"/>
              <w:left w:val="nil"/>
              <w:bottom w:val="single" w:sz="8" w:space="0" w:color="auto"/>
              <w:right w:val="single" w:sz="8" w:space="0" w:color="auto"/>
            </w:tcBorders>
            <w:shd w:val="clear" w:color="auto" w:fill="FFE68F" w:themeFill="accent4" w:themeFillTint="66"/>
            <w:noWrap/>
            <w:hideMark/>
          </w:tcPr>
          <w:p w14:paraId="5DE37EE4" w14:textId="77777777" w:rsidR="00EB5C08" w:rsidRPr="006D77C5" w:rsidRDefault="00EB5C08" w:rsidP="00EB5C08">
            <w:pPr>
              <w:suppressAutoHyphens w:val="0"/>
              <w:spacing w:before="0" w:after="0" w:line="240" w:lineRule="auto"/>
              <w:jc w:val="right"/>
              <w:rPr>
                <w:rFonts w:eastAsia="Times New Roman" w:cstheme="minorHAnsi"/>
                <w:color w:val="0070C0"/>
                <w:sz w:val="18"/>
                <w:szCs w:val="18"/>
                <w:lang w:eastAsia="en-AU"/>
              </w:rPr>
            </w:pPr>
            <w:r w:rsidRPr="006D77C5">
              <w:rPr>
                <w:rFonts w:eastAsia="Times New Roman" w:cstheme="minorHAnsi"/>
                <w:color w:val="0070C0"/>
                <w:sz w:val="18"/>
                <w:szCs w:val="18"/>
                <w:lang w:eastAsia="en-AU"/>
              </w:rPr>
              <w:t>100</w:t>
            </w:r>
          </w:p>
        </w:tc>
        <w:tc>
          <w:tcPr>
            <w:tcW w:w="1104" w:type="dxa"/>
            <w:tcBorders>
              <w:top w:val="nil"/>
              <w:left w:val="nil"/>
              <w:bottom w:val="single" w:sz="8" w:space="0" w:color="auto"/>
              <w:right w:val="single" w:sz="12" w:space="0" w:color="auto"/>
            </w:tcBorders>
            <w:shd w:val="clear" w:color="auto" w:fill="FFE68F" w:themeFill="accent4" w:themeFillTint="66"/>
            <w:noWrap/>
            <w:hideMark/>
          </w:tcPr>
          <w:p w14:paraId="7B87D2FB" w14:textId="77777777" w:rsidR="00EB5C08" w:rsidRPr="006D77C5" w:rsidRDefault="00EB5C08" w:rsidP="00EB5C08">
            <w:pPr>
              <w:suppressAutoHyphens w:val="0"/>
              <w:spacing w:before="0" w:after="0" w:line="240" w:lineRule="auto"/>
              <w:jc w:val="right"/>
              <w:rPr>
                <w:rFonts w:eastAsia="Times New Roman" w:cstheme="minorHAnsi"/>
                <w:color w:val="0070C0"/>
                <w:sz w:val="18"/>
                <w:szCs w:val="18"/>
                <w:lang w:eastAsia="en-AU"/>
              </w:rPr>
            </w:pPr>
            <w:r w:rsidRPr="006D77C5">
              <w:rPr>
                <w:rFonts w:eastAsia="Times New Roman" w:cstheme="minorHAnsi"/>
                <w:color w:val="0070C0"/>
                <w:sz w:val="18"/>
                <w:szCs w:val="18"/>
                <w:lang w:eastAsia="en-AU"/>
              </w:rPr>
              <w:t>100</w:t>
            </w:r>
          </w:p>
        </w:tc>
      </w:tr>
      <w:tr w:rsidR="00EB5C08" w:rsidRPr="00594970" w14:paraId="6740E5AE" w14:textId="77777777" w:rsidTr="00EB5C08">
        <w:trPr>
          <w:trHeight w:val="306"/>
        </w:trPr>
        <w:tc>
          <w:tcPr>
            <w:tcW w:w="3529" w:type="dxa"/>
            <w:tcBorders>
              <w:top w:val="nil"/>
              <w:left w:val="single" w:sz="12" w:space="0" w:color="auto"/>
              <w:bottom w:val="nil"/>
              <w:right w:val="single" w:sz="8" w:space="0" w:color="auto"/>
            </w:tcBorders>
            <w:shd w:val="clear" w:color="000000" w:fill="FFFFFF"/>
            <w:noWrap/>
            <w:hideMark/>
          </w:tcPr>
          <w:p w14:paraId="712FD612" w14:textId="77777777" w:rsidR="00EB5C08" w:rsidRPr="00594970" w:rsidRDefault="00EB5C08" w:rsidP="00EB5C08">
            <w:pPr>
              <w:suppressAutoHyphens w:val="0"/>
              <w:spacing w:before="0" w:after="0" w:line="240" w:lineRule="auto"/>
              <w:rPr>
                <w:rFonts w:ascii="Arial" w:eastAsia="Times New Roman" w:hAnsi="Arial" w:cs="Arial"/>
                <w:b/>
                <w:bCs/>
                <w:color w:val="000000"/>
                <w:sz w:val="18"/>
                <w:szCs w:val="18"/>
                <w:lang w:eastAsia="en-AU"/>
              </w:rPr>
            </w:pPr>
            <w:r w:rsidRPr="00594970">
              <w:rPr>
                <w:rFonts w:ascii="Arial" w:eastAsia="Times New Roman" w:hAnsi="Arial" w:cs="Arial"/>
                <w:b/>
                <w:bCs/>
                <w:color w:val="000000"/>
                <w:sz w:val="18"/>
                <w:szCs w:val="18"/>
                <w:lang w:eastAsia="en-AU"/>
              </w:rPr>
              <w:t>Departmental program expenditure</w:t>
            </w:r>
          </w:p>
        </w:tc>
        <w:tc>
          <w:tcPr>
            <w:tcW w:w="1134" w:type="dxa"/>
            <w:tcBorders>
              <w:top w:val="nil"/>
              <w:left w:val="nil"/>
              <w:bottom w:val="double" w:sz="6" w:space="0" w:color="auto"/>
              <w:right w:val="single" w:sz="8" w:space="0" w:color="auto"/>
            </w:tcBorders>
            <w:shd w:val="clear" w:color="000000" w:fill="FFFFFF"/>
            <w:hideMark/>
          </w:tcPr>
          <w:p w14:paraId="53346F51" w14:textId="77777777" w:rsidR="00EB5C08" w:rsidRPr="00DD4374" w:rsidRDefault="00EB5C08" w:rsidP="00EB5C08">
            <w:pPr>
              <w:suppressAutoHyphens w:val="0"/>
              <w:spacing w:before="0" w:after="0" w:line="240" w:lineRule="auto"/>
              <w:jc w:val="right"/>
              <w:rPr>
                <w:rFonts w:eastAsia="Times New Roman" w:cstheme="minorHAnsi"/>
                <w:b/>
                <w:bCs/>
                <w:color w:val="000000"/>
                <w:sz w:val="18"/>
                <w:szCs w:val="18"/>
                <w:lang w:eastAsia="en-AU"/>
              </w:rPr>
            </w:pPr>
            <w:r w:rsidRPr="00DD4374">
              <w:rPr>
                <w:rFonts w:eastAsia="Times New Roman" w:cstheme="minorHAnsi"/>
                <w:b/>
                <w:bCs/>
                <w:color w:val="000000"/>
                <w:sz w:val="18"/>
                <w:szCs w:val="18"/>
                <w:lang w:eastAsia="en-AU"/>
              </w:rPr>
              <w:t>5,730</w:t>
            </w:r>
          </w:p>
        </w:tc>
        <w:tc>
          <w:tcPr>
            <w:tcW w:w="1019" w:type="dxa"/>
            <w:tcBorders>
              <w:top w:val="nil"/>
              <w:left w:val="nil"/>
              <w:bottom w:val="double" w:sz="6" w:space="0" w:color="auto"/>
              <w:right w:val="single" w:sz="8" w:space="0" w:color="auto"/>
            </w:tcBorders>
            <w:shd w:val="clear" w:color="000000" w:fill="FFFFFF"/>
            <w:hideMark/>
          </w:tcPr>
          <w:p w14:paraId="1D9F5D28" w14:textId="063077D9" w:rsidR="00EB5C08" w:rsidRPr="00DD4374" w:rsidRDefault="00EB5C08" w:rsidP="00EB5C08">
            <w:pPr>
              <w:suppressAutoHyphens w:val="0"/>
              <w:spacing w:before="0" w:after="0" w:line="240" w:lineRule="auto"/>
              <w:jc w:val="right"/>
              <w:rPr>
                <w:rFonts w:eastAsia="Times New Roman" w:cstheme="minorHAnsi"/>
                <w:b/>
                <w:bCs/>
                <w:color w:val="000000"/>
                <w:sz w:val="18"/>
                <w:szCs w:val="18"/>
                <w:lang w:eastAsia="en-AU"/>
              </w:rPr>
            </w:pPr>
            <w:r w:rsidRPr="00DD4374">
              <w:rPr>
                <w:rFonts w:cstheme="minorHAnsi"/>
                <w:b/>
                <w:sz w:val="18"/>
                <w:szCs w:val="18"/>
              </w:rPr>
              <w:t>5,900</w:t>
            </w:r>
          </w:p>
        </w:tc>
        <w:tc>
          <w:tcPr>
            <w:tcW w:w="1137" w:type="dxa"/>
            <w:tcBorders>
              <w:top w:val="nil"/>
              <w:left w:val="nil"/>
              <w:bottom w:val="double" w:sz="6" w:space="0" w:color="auto"/>
              <w:right w:val="single" w:sz="8" w:space="0" w:color="auto"/>
            </w:tcBorders>
            <w:shd w:val="clear" w:color="000000" w:fill="FFFFFF"/>
            <w:hideMark/>
          </w:tcPr>
          <w:p w14:paraId="05C57C23" w14:textId="1C0C62E7" w:rsidR="00EB5C08" w:rsidRPr="00DD4374" w:rsidRDefault="00EB5C08" w:rsidP="00EB5C08">
            <w:pPr>
              <w:suppressAutoHyphens w:val="0"/>
              <w:spacing w:before="0" w:after="0" w:line="240" w:lineRule="auto"/>
              <w:jc w:val="right"/>
              <w:rPr>
                <w:rFonts w:eastAsia="Times New Roman" w:cstheme="minorHAnsi"/>
                <w:b/>
                <w:bCs/>
                <w:color w:val="000000"/>
                <w:sz w:val="18"/>
                <w:szCs w:val="18"/>
                <w:lang w:eastAsia="en-AU"/>
              </w:rPr>
            </w:pPr>
            <w:r w:rsidRPr="00DD4374">
              <w:rPr>
                <w:rFonts w:cstheme="minorHAnsi"/>
                <w:b/>
                <w:sz w:val="18"/>
                <w:szCs w:val="18"/>
              </w:rPr>
              <w:t>6,140</w:t>
            </w:r>
          </w:p>
        </w:tc>
        <w:tc>
          <w:tcPr>
            <w:tcW w:w="1134" w:type="dxa"/>
            <w:tcBorders>
              <w:top w:val="nil"/>
              <w:left w:val="nil"/>
              <w:bottom w:val="double" w:sz="6" w:space="0" w:color="auto"/>
              <w:right w:val="single" w:sz="8" w:space="0" w:color="auto"/>
            </w:tcBorders>
            <w:shd w:val="clear" w:color="000000" w:fill="FFFFFF"/>
            <w:hideMark/>
          </w:tcPr>
          <w:p w14:paraId="0437EB76" w14:textId="4A98E586" w:rsidR="00EB5C08" w:rsidRPr="00DD4374" w:rsidRDefault="00EB5C08" w:rsidP="00EB5C08">
            <w:pPr>
              <w:suppressAutoHyphens w:val="0"/>
              <w:spacing w:before="0" w:after="0" w:line="240" w:lineRule="auto"/>
              <w:jc w:val="right"/>
              <w:rPr>
                <w:rFonts w:eastAsia="Times New Roman" w:cstheme="minorHAnsi"/>
                <w:b/>
                <w:bCs/>
                <w:color w:val="000000"/>
                <w:sz w:val="18"/>
                <w:szCs w:val="18"/>
                <w:lang w:eastAsia="en-AU"/>
              </w:rPr>
            </w:pPr>
            <w:r w:rsidRPr="00DD4374">
              <w:rPr>
                <w:rFonts w:cstheme="minorHAnsi"/>
                <w:b/>
                <w:sz w:val="18"/>
                <w:szCs w:val="18"/>
              </w:rPr>
              <w:t>6,230</w:t>
            </w:r>
          </w:p>
        </w:tc>
        <w:tc>
          <w:tcPr>
            <w:tcW w:w="1104" w:type="dxa"/>
            <w:tcBorders>
              <w:top w:val="nil"/>
              <w:left w:val="nil"/>
              <w:bottom w:val="double" w:sz="6" w:space="0" w:color="auto"/>
              <w:right w:val="single" w:sz="12" w:space="0" w:color="auto"/>
            </w:tcBorders>
            <w:shd w:val="clear" w:color="000000" w:fill="FFFFFF"/>
            <w:hideMark/>
          </w:tcPr>
          <w:p w14:paraId="7050CFCD" w14:textId="2A5F4245" w:rsidR="00EB5C08" w:rsidRPr="00DD4374" w:rsidRDefault="00EB5C08" w:rsidP="00EB5C08">
            <w:pPr>
              <w:suppressAutoHyphens w:val="0"/>
              <w:spacing w:before="0" w:after="0" w:line="240" w:lineRule="auto"/>
              <w:jc w:val="right"/>
              <w:rPr>
                <w:rFonts w:eastAsia="Times New Roman" w:cstheme="minorHAnsi"/>
                <w:b/>
                <w:bCs/>
                <w:color w:val="000000"/>
                <w:sz w:val="18"/>
                <w:szCs w:val="18"/>
                <w:lang w:eastAsia="en-AU"/>
              </w:rPr>
            </w:pPr>
            <w:r w:rsidRPr="00DD4374">
              <w:rPr>
                <w:rFonts w:cstheme="minorHAnsi"/>
                <w:b/>
                <w:sz w:val="18"/>
                <w:szCs w:val="18"/>
              </w:rPr>
              <w:t>6,415</w:t>
            </w:r>
          </w:p>
        </w:tc>
      </w:tr>
      <w:tr w:rsidR="00FC7481" w:rsidRPr="00594970" w14:paraId="6CACAA4A" w14:textId="77777777" w:rsidTr="00070550">
        <w:trPr>
          <w:trHeight w:val="306"/>
        </w:trPr>
        <w:tc>
          <w:tcPr>
            <w:tcW w:w="3529" w:type="dxa"/>
            <w:tcBorders>
              <w:top w:val="nil"/>
              <w:left w:val="single" w:sz="12" w:space="0" w:color="auto"/>
              <w:bottom w:val="nil"/>
              <w:right w:val="nil"/>
            </w:tcBorders>
            <w:shd w:val="clear" w:color="000000" w:fill="FFFFFF"/>
            <w:noWrap/>
            <w:hideMark/>
          </w:tcPr>
          <w:p w14:paraId="3FB827F1" w14:textId="674C71DD" w:rsidR="00BC34A4" w:rsidRPr="00594970" w:rsidRDefault="00BC34A4" w:rsidP="00BC34A4">
            <w:pPr>
              <w:suppressAutoHyphens w:val="0"/>
              <w:spacing w:before="0" w:after="0" w:line="240" w:lineRule="auto"/>
              <w:rPr>
                <w:rFonts w:ascii="Arial" w:eastAsia="Times New Roman" w:hAnsi="Arial" w:cs="Arial"/>
                <w:color w:val="000000"/>
                <w:lang w:eastAsia="en-AU"/>
              </w:rPr>
            </w:pPr>
          </w:p>
        </w:tc>
        <w:tc>
          <w:tcPr>
            <w:tcW w:w="1134" w:type="dxa"/>
            <w:tcBorders>
              <w:top w:val="nil"/>
              <w:left w:val="nil"/>
              <w:bottom w:val="nil"/>
              <w:right w:val="nil"/>
            </w:tcBorders>
            <w:shd w:val="clear" w:color="000000" w:fill="FFFFFF"/>
            <w:vAlign w:val="center"/>
          </w:tcPr>
          <w:p w14:paraId="16E11954" w14:textId="73945AD2" w:rsidR="00BC34A4" w:rsidRPr="00594970" w:rsidRDefault="00BC34A4" w:rsidP="00BC34A4">
            <w:pPr>
              <w:suppressAutoHyphens w:val="0"/>
              <w:spacing w:before="0" w:after="0" w:line="240" w:lineRule="auto"/>
              <w:rPr>
                <w:rFonts w:ascii="Arial" w:eastAsia="Times New Roman" w:hAnsi="Arial" w:cs="Arial"/>
                <w:color w:val="000000"/>
                <w:sz w:val="18"/>
                <w:szCs w:val="18"/>
                <w:lang w:eastAsia="en-AU"/>
              </w:rPr>
            </w:pPr>
          </w:p>
        </w:tc>
        <w:tc>
          <w:tcPr>
            <w:tcW w:w="1019" w:type="dxa"/>
            <w:tcBorders>
              <w:top w:val="nil"/>
              <w:left w:val="nil"/>
              <w:bottom w:val="nil"/>
              <w:right w:val="nil"/>
            </w:tcBorders>
            <w:shd w:val="clear" w:color="000000" w:fill="FFFFFF"/>
            <w:noWrap/>
          </w:tcPr>
          <w:p w14:paraId="549557A6" w14:textId="76DF678C" w:rsidR="00BC34A4" w:rsidRPr="00594970" w:rsidRDefault="00BC34A4" w:rsidP="00BC34A4">
            <w:pPr>
              <w:suppressAutoHyphens w:val="0"/>
              <w:spacing w:before="0" w:after="0" w:line="240" w:lineRule="auto"/>
              <w:rPr>
                <w:rFonts w:ascii="Arial" w:eastAsia="Times New Roman" w:hAnsi="Arial" w:cs="Arial"/>
                <w:color w:val="000000"/>
                <w:lang w:eastAsia="en-AU"/>
              </w:rPr>
            </w:pPr>
          </w:p>
        </w:tc>
        <w:tc>
          <w:tcPr>
            <w:tcW w:w="1137" w:type="dxa"/>
            <w:tcBorders>
              <w:top w:val="nil"/>
              <w:left w:val="nil"/>
              <w:bottom w:val="nil"/>
              <w:right w:val="nil"/>
            </w:tcBorders>
            <w:shd w:val="clear" w:color="000000" w:fill="FFFFFF"/>
            <w:noWrap/>
          </w:tcPr>
          <w:p w14:paraId="005054A0" w14:textId="6EEC35F8" w:rsidR="00BC34A4" w:rsidRPr="00594970" w:rsidRDefault="00BC34A4" w:rsidP="00BC34A4">
            <w:pPr>
              <w:suppressAutoHyphens w:val="0"/>
              <w:spacing w:before="0" w:after="0" w:line="240" w:lineRule="auto"/>
              <w:rPr>
                <w:rFonts w:ascii="Arial" w:eastAsia="Times New Roman" w:hAnsi="Arial" w:cs="Arial"/>
                <w:color w:val="000000"/>
                <w:lang w:eastAsia="en-AU"/>
              </w:rPr>
            </w:pPr>
          </w:p>
        </w:tc>
        <w:tc>
          <w:tcPr>
            <w:tcW w:w="1134" w:type="dxa"/>
            <w:tcBorders>
              <w:top w:val="nil"/>
              <w:left w:val="nil"/>
              <w:bottom w:val="nil"/>
              <w:right w:val="nil"/>
            </w:tcBorders>
            <w:shd w:val="clear" w:color="000000" w:fill="FFFFFF"/>
            <w:noWrap/>
          </w:tcPr>
          <w:p w14:paraId="24CB1F05" w14:textId="31D90D9E" w:rsidR="00BC34A4" w:rsidRPr="00594970" w:rsidRDefault="00BC34A4" w:rsidP="00BC34A4">
            <w:pPr>
              <w:suppressAutoHyphens w:val="0"/>
              <w:spacing w:before="0" w:after="0" w:line="240" w:lineRule="auto"/>
              <w:rPr>
                <w:rFonts w:ascii="Arial" w:eastAsia="Times New Roman" w:hAnsi="Arial" w:cs="Arial"/>
                <w:color w:val="000000"/>
                <w:lang w:eastAsia="en-AU"/>
              </w:rPr>
            </w:pPr>
          </w:p>
        </w:tc>
        <w:tc>
          <w:tcPr>
            <w:tcW w:w="1104" w:type="dxa"/>
            <w:tcBorders>
              <w:top w:val="nil"/>
              <w:left w:val="nil"/>
              <w:bottom w:val="nil"/>
              <w:right w:val="single" w:sz="12" w:space="0" w:color="auto"/>
            </w:tcBorders>
            <w:shd w:val="clear" w:color="000000" w:fill="FFFFFF"/>
            <w:noWrap/>
          </w:tcPr>
          <w:p w14:paraId="1F71D2B2" w14:textId="4870FE50" w:rsidR="00BC34A4" w:rsidRPr="00594970" w:rsidRDefault="00BC34A4" w:rsidP="00BC34A4">
            <w:pPr>
              <w:suppressAutoHyphens w:val="0"/>
              <w:spacing w:before="0" w:after="0" w:line="240" w:lineRule="auto"/>
              <w:rPr>
                <w:rFonts w:ascii="Arial" w:eastAsia="Times New Roman" w:hAnsi="Arial" w:cs="Arial"/>
                <w:color w:val="000000"/>
                <w:lang w:eastAsia="en-AU"/>
              </w:rPr>
            </w:pPr>
          </w:p>
        </w:tc>
      </w:tr>
      <w:tr w:rsidR="00BC34A4" w:rsidRPr="00594970" w14:paraId="246B8AEC" w14:textId="77777777" w:rsidTr="00456A4C">
        <w:trPr>
          <w:trHeight w:val="293"/>
        </w:trPr>
        <w:tc>
          <w:tcPr>
            <w:tcW w:w="9057" w:type="dxa"/>
            <w:gridSpan w:val="6"/>
            <w:tcBorders>
              <w:top w:val="nil"/>
              <w:left w:val="single" w:sz="12" w:space="0" w:color="auto"/>
              <w:right w:val="single" w:sz="12" w:space="0" w:color="auto"/>
            </w:tcBorders>
            <w:shd w:val="clear" w:color="000000" w:fill="FFFFFF"/>
            <w:noWrap/>
            <w:vAlign w:val="center"/>
            <w:hideMark/>
          </w:tcPr>
          <w:p w14:paraId="370DB87E" w14:textId="77777777" w:rsidR="00BC34A4" w:rsidRPr="00594970" w:rsidRDefault="00BC34A4" w:rsidP="00BC34A4">
            <w:pPr>
              <w:suppressAutoHyphens w:val="0"/>
              <w:spacing w:before="0" w:after="0" w:line="240" w:lineRule="auto"/>
              <w:rPr>
                <w:rFonts w:ascii="Arial" w:eastAsia="Times New Roman" w:hAnsi="Arial" w:cs="Arial"/>
                <w:b/>
                <w:bCs/>
                <w:i/>
                <w:iCs/>
                <w:color w:val="000000"/>
                <w:sz w:val="18"/>
                <w:szCs w:val="18"/>
                <w:lang w:eastAsia="en-AU"/>
              </w:rPr>
            </w:pPr>
            <w:r w:rsidRPr="00594970">
              <w:rPr>
                <w:rFonts w:ascii="Arial" w:eastAsia="Times New Roman" w:hAnsi="Arial" w:cs="Arial"/>
                <w:b/>
                <w:bCs/>
                <w:i/>
                <w:iCs/>
                <w:color w:val="000000"/>
                <w:sz w:val="18"/>
                <w:szCs w:val="18"/>
                <w:lang w:eastAsia="en-AU"/>
              </w:rPr>
              <w:t>*</w:t>
            </w:r>
            <w:r w:rsidRPr="00594970">
              <w:rPr>
                <w:rFonts w:ascii="Arial" w:eastAsia="Times New Roman" w:hAnsi="Arial" w:cs="Arial"/>
                <w:i/>
                <w:iCs/>
                <w:color w:val="000000"/>
                <w:sz w:val="18"/>
                <w:szCs w:val="18"/>
                <w:lang w:eastAsia="en-AU"/>
              </w:rPr>
              <w:t xml:space="preserve"> Reporting as per the new accounting standard AASB16 Leases came into effect for Commonwealth entities from 1 July 2019.</w:t>
            </w:r>
          </w:p>
        </w:tc>
      </w:tr>
      <w:tr w:rsidR="00FC7481" w:rsidRPr="00594970" w14:paraId="79B66147" w14:textId="77777777" w:rsidTr="00070550">
        <w:trPr>
          <w:trHeight w:val="357"/>
        </w:trPr>
        <w:tc>
          <w:tcPr>
            <w:tcW w:w="3529" w:type="dxa"/>
            <w:tcBorders>
              <w:top w:val="nil"/>
              <w:left w:val="single" w:sz="12" w:space="0" w:color="auto"/>
              <w:bottom w:val="single" w:sz="12" w:space="0" w:color="auto"/>
              <w:right w:val="nil"/>
            </w:tcBorders>
            <w:shd w:val="clear" w:color="000000" w:fill="FFFFFF"/>
            <w:noWrap/>
            <w:vAlign w:val="center"/>
            <w:hideMark/>
          </w:tcPr>
          <w:p w14:paraId="4CBD4EB5" w14:textId="77777777" w:rsidR="00BC34A4" w:rsidRPr="00594970" w:rsidRDefault="00BC34A4" w:rsidP="00BC34A4">
            <w:pPr>
              <w:suppressAutoHyphens w:val="0"/>
              <w:spacing w:before="0" w:after="0" w:line="240" w:lineRule="auto"/>
              <w:rPr>
                <w:rFonts w:ascii="Arial" w:eastAsia="Times New Roman" w:hAnsi="Arial" w:cs="Arial"/>
                <w:color w:val="000000"/>
                <w:sz w:val="18"/>
                <w:szCs w:val="18"/>
                <w:lang w:eastAsia="en-AU"/>
              </w:rPr>
            </w:pPr>
            <w:r w:rsidRPr="00594970">
              <w:rPr>
                <w:rFonts w:ascii="Arial" w:eastAsia="Times New Roman" w:hAnsi="Arial" w:cs="Arial"/>
                <w:color w:val="000000"/>
                <w:sz w:val="18"/>
                <w:szCs w:val="18"/>
                <w:lang w:eastAsia="en-AU"/>
              </w:rPr>
              <w:t> </w:t>
            </w:r>
          </w:p>
        </w:tc>
        <w:tc>
          <w:tcPr>
            <w:tcW w:w="1134" w:type="dxa"/>
            <w:tcBorders>
              <w:top w:val="nil"/>
              <w:left w:val="nil"/>
              <w:bottom w:val="single" w:sz="12" w:space="0" w:color="auto"/>
              <w:right w:val="nil"/>
            </w:tcBorders>
            <w:shd w:val="clear" w:color="000000" w:fill="FFFFFF"/>
            <w:vAlign w:val="center"/>
          </w:tcPr>
          <w:p w14:paraId="158160D4" w14:textId="39A4A5AB" w:rsidR="00BC34A4" w:rsidRPr="00594970" w:rsidRDefault="00BC34A4" w:rsidP="00BC34A4">
            <w:pPr>
              <w:suppressAutoHyphens w:val="0"/>
              <w:spacing w:before="0" w:after="0" w:line="240" w:lineRule="auto"/>
              <w:rPr>
                <w:rFonts w:ascii="Arial" w:eastAsia="Times New Roman" w:hAnsi="Arial" w:cs="Arial"/>
                <w:color w:val="000000"/>
                <w:sz w:val="18"/>
                <w:szCs w:val="18"/>
                <w:lang w:eastAsia="en-AU"/>
              </w:rPr>
            </w:pPr>
          </w:p>
        </w:tc>
        <w:tc>
          <w:tcPr>
            <w:tcW w:w="1019" w:type="dxa"/>
            <w:tcBorders>
              <w:top w:val="nil"/>
              <w:left w:val="nil"/>
              <w:bottom w:val="single" w:sz="12" w:space="0" w:color="auto"/>
              <w:right w:val="nil"/>
            </w:tcBorders>
            <w:shd w:val="clear" w:color="000000" w:fill="FFFFFF"/>
            <w:noWrap/>
            <w:vAlign w:val="center"/>
          </w:tcPr>
          <w:p w14:paraId="1F6C6E26" w14:textId="25BC08A7" w:rsidR="00BC34A4" w:rsidRPr="00594970" w:rsidRDefault="00BC34A4" w:rsidP="00BC34A4">
            <w:pPr>
              <w:suppressAutoHyphens w:val="0"/>
              <w:spacing w:before="0" w:after="0" w:line="240" w:lineRule="auto"/>
              <w:rPr>
                <w:rFonts w:ascii="Arial" w:eastAsia="Times New Roman" w:hAnsi="Arial" w:cs="Arial"/>
                <w:color w:val="000000"/>
                <w:sz w:val="18"/>
                <w:szCs w:val="18"/>
                <w:lang w:eastAsia="en-AU"/>
              </w:rPr>
            </w:pPr>
          </w:p>
        </w:tc>
        <w:tc>
          <w:tcPr>
            <w:tcW w:w="1137" w:type="dxa"/>
            <w:tcBorders>
              <w:top w:val="nil"/>
              <w:left w:val="nil"/>
              <w:bottom w:val="single" w:sz="12" w:space="0" w:color="auto"/>
              <w:right w:val="nil"/>
            </w:tcBorders>
            <w:shd w:val="clear" w:color="000000" w:fill="FFFFFF"/>
            <w:noWrap/>
            <w:vAlign w:val="center"/>
          </w:tcPr>
          <w:p w14:paraId="1DCA6613" w14:textId="238E50BC" w:rsidR="00BC34A4" w:rsidRPr="00594970" w:rsidRDefault="00BC34A4" w:rsidP="00BC34A4">
            <w:pPr>
              <w:suppressAutoHyphens w:val="0"/>
              <w:spacing w:before="0" w:after="0" w:line="240" w:lineRule="auto"/>
              <w:rPr>
                <w:rFonts w:ascii="Arial" w:eastAsia="Times New Roman" w:hAnsi="Arial" w:cs="Arial"/>
                <w:color w:val="000000"/>
                <w:sz w:val="18"/>
                <w:szCs w:val="18"/>
                <w:lang w:eastAsia="en-AU"/>
              </w:rPr>
            </w:pPr>
          </w:p>
        </w:tc>
        <w:tc>
          <w:tcPr>
            <w:tcW w:w="1134" w:type="dxa"/>
            <w:tcBorders>
              <w:top w:val="nil"/>
              <w:left w:val="nil"/>
              <w:bottom w:val="single" w:sz="12" w:space="0" w:color="auto"/>
              <w:right w:val="nil"/>
            </w:tcBorders>
            <w:shd w:val="clear" w:color="000000" w:fill="FFFFFF"/>
            <w:noWrap/>
            <w:vAlign w:val="center"/>
          </w:tcPr>
          <w:p w14:paraId="78BA9834" w14:textId="652DA7E1" w:rsidR="00BC34A4" w:rsidRPr="00594970" w:rsidRDefault="00BC34A4" w:rsidP="00BC34A4">
            <w:pPr>
              <w:suppressAutoHyphens w:val="0"/>
              <w:spacing w:before="0" w:after="0" w:line="240" w:lineRule="auto"/>
              <w:rPr>
                <w:rFonts w:ascii="Arial" w:eastAsia="Times New Roman" w:hAnsi="Arial" w:cs="Arial"/>
                <w:color w:val="000000"/>
                <w:sz w:val="18"/>
                <w:szCs w:val="18"/>
                <w:lang w:eastAsia="en-AU"/>
              </w:rPr>
            </w:pPr>
          </w:p>
        </w:tc>
        <w:tc>
          <w:tcPr>
            <w:tcW w:w="1104" w:type="dxa"/>
            <w:tcBorders>
              <w:top w:val="nil"/>
              <w:left w:val="nil"/>
              <w:bottom w:val="single" w:sz="12" w:space="0" w:color="auto"/>
              <w:right w:val="single" w:sz="12" w:space="0" w:color="auto"/>
            </w:tcBorders>
            <w:shd w:val="clear" w:color="000000" w:fill="FFFFFF"/>
            <w:noWrap/>
            <w:vAlign w:val="center"/>
          </w:tcPr>
          <w:p w14:paraId="296DF0AA" w14:textId="03FB9271" w:rsidR="00BC34A4" w:rsidRPr="00594970" w:rsidRDefault="00BC34A4" w:rsidP="00BC34A4">
            <w:pPr>
              <w:suppressAutoHyphens w:val="0"/>
              <w:spacing w:before="0" w:after="0" w:line="240" w:lineRule="auto"/>
              <w:rPr>
                <w:rFonts w:ascii="Arial" w:eastAsia="Times New Roman" w:hAnsi="Arial" w:cs="Arial"/>
                <w:color w:val="000000"/>
                <w:sz w:val="18"/>
                <w:szCs w:val="18"/>
                <w:lang w:eastAsia="en-AU"/>
              </w:rPr>
            </w:pPr>
          </w:p>
        </w:tc>
      </w:tr>
    </w:tbl>
    <w:p w14:paraId="410B4009" w14:textId="08F8A47B" w:rsidR="005911F7" w:rsidRPr="00594970" w:rsidRDefault="00293F77" w:rsidP="002454A5">
      <w:pPr>
        <w:pStyle w:val="Heading2"/>
      </w:pPr>
      <w:bookmarkStart w:id="132" w:name="_Toc26351482"/>
      <w:bookmarkStart w:id="133" w:name="_Toc26353922"/>
      <w:bookmarkStart w:id="134" w:name="_Toc26351483"/>
      <w:bookmarkStart w:id="135" w:name="_Toc26353923"/>
      <w:bookmarkStart w:id="136" w:name="_Toc26351484"/>
      <w:bookmarkStart w:id="137" w:name="_Toc26353924"/>
      <w:bookmarkEnd w:id="132"/>
      <w:bookmarkEnd w:id="133"/>
      <w:bookmarkEnd w:id="134"/>
      <w:bookmarkEnd w:id="135"/>
      <w:bookmarkEnd w:id="136"/>
      <w:bookmarkEnd w:id="137"/>
      <w:r w:rsidRPr="00594970">
        <w:br w:type="page"/>
      </w:r>
      <w:bookmarkStart w:id="138" w:name="_Toc26963585"/>
      <w:r w:rsidR="005911F7" w:rsidRPr="00594970">
        <w:lastRenderedPageBreak/>
        <w:t>Sources of Information</w:t>
      </w:r>
      <w:bookmarkEnd w:id="138"/>
    </w:p>
    <w:p w14:paraId="1FBE8643" w14:textId="45F99A63" w:rsidR="005911F7" w:rsidRPr="00594970" w:rsidRDefault="00F112D6" w:rsidP="005C2636">
      <w:r w:rsidRPr="00594970">
        <w:t>CBMS contains a system generated report</w:t>
      </w:r>
      <w:r w:rsidR="002567AF" w:rsidRPr="00594970">
        <w:t>s</w:t>
      </w:r>
      <w:r w:rsidRPr="00594970">
        <w:t xml:space="preserve"> for Section 2 PAES Budgeted Expenses by Outcomes for NCCEs and CCEs.</w:t>
      </w:r>
    </w:p>
    <w:p w14:paraId="3A10964D" w14:textId="082013AD" w:rsidR="00EA667F" w:rsidRPr="00594970" w:rsidRDefault="0078345B" w:rsidP="005C2636">
      <w:r w:rsidRPr="00594970">
        <w:t>These tables derive total program expenditure as either Administered or Departmental</w:t>
      </w:r>
      <w:r w:rsidR="00EA667F" w:rsidRPr="00594970">
        <w:t>, t</w:t>
      </w:r>
      <w:r w:rsidRPr="00594970">
        <w:t>hey cannot report</w:t>
      </w:r>
      <w:r w:rsidR="00EA667F" w:rsidRPr="00594970">
        <w:t>:</w:t>
      </w:r>
    </w:p>
    <w:p w14:paraId="55E6DFD4" w14:textId="4AC08CBA" w:rsidR="0078345B" w:rsidRPr="00594970" w:rsidRDefault="0078345B" w:rsidP="006B060B">
      <w:pPr>
        <w:pStyle w:val="ListBullet2"/>
      </w:pPr>
      <w:proofErr w:type="gramStart"/>
      <w:r w:rsidRPr="00594970">
        <w:t>both</w:t>
      </w:r>
      <w:proofErr w:type="gramEnd"/>
      <w:r w:rsidRPr="00594970">
        <w:t xml:space="preserve"> Administered and Departmental components together under a single CBMS </w:t>
      </w:r>
      <w:r w:rsidR="00EA667F" w:rsidRPr="00594970">
        <w:t>program; or</w:t>
      </w:r>
      <w:r w:rsidR="00444F58">
        <w:t xml:space="preserve"> </w:t>
      </w:r>
      <w:r w:rsidRPr="00594970">
        <w:t>split expenditure by appropriation type</w:t>
      </w:r>
      <w:r w:rsidR="00EA667F" w:rsidRPr="00594970">
        <w:t xml:space="preserve">s, this is because CBMS does not collect </w:t>
      </w:r>
      <w:r w:rsidR="00FC2AA9" w:rsidRPr="00594970">
        <w:t xml:space="preserve">information </w:t>
      </w:r>
      <w:r w:rsidR="00EA667F" w:rsidRPr="00594970">
        <w:t>for these types of splits</w:t>
      </w:r>
      <w:r w:rsidRPr="00594970">
        <w:t>.</w:t>
      </w:r>
    </w:p>
    <w:p w14:paraId="5AD2E057" w14:textId="57E3A298" w:rsidR="00EA667F" w:rsidRPr="00594970" w:rsidRDefault="00D12D41" w:rsidP="006B060B">
      <w:r>
        <w:t>Entities</w:t>
      </w:r>
      <w:r w:rsidRPr="00594970">
        <w:t xml:space="preserve"> </w:t>
      </w:r>
      <w:r w:rsidR="00EA667F" w:rsidRPr="00594970">
        <w:t>will need to continue to derive the splits for Administered and Departmental</w:t>
      </w:r>
      <w:r w:rsidR="00FC2AA9" w:rsidRPr="00594970">
        <w:t xml:space="preserve"> program components</w:t>
      </w:r>
      <w:r w:rsidR="00EA667F" w:rsidRPr="00594970">
        <w:t>; and</w:t>
      </w:r>
      <w:r w:rsidR="000F6BD4" w:rsidRPr="00594970">
        <w:t xml:space="preserve"> </w:t>
      </w:r>
      <w:r w:rsidR="00EA667F" w:rsidRPr="00594970">
        <w:t>expenditure by appropriations types themselves.</w:t>
      </w:r>
    </w:p>
    <w:p w14:paraId="24B89C49" w14:textId="77777777" w:rsidR="00444F58" w:rsidRDefault="00EA667F" w:rsidP="006B060B">
      <w:r w:rsidRPr="00594970">
        <w:t>The</w:t>
      </w:r>
      <w:r w:rsidR="002567AF" w:rsidRPr="00594970">
        <w:t>se</w:t>
      </w:r>
      <w:r w:rsidRPr="00594970">
        <w:t xml:space="preserve"> </w:t>
      </w:r>
      <w:r w:rsidR="00FC2AA9" w:rsidRPr="00594970">
        <w:t xml:space="preserve">reports </w:t>
      </w:r>
      <w:r w:rsidR="005C7C74" w:rsidRPr="00594970">
        <w:t xml:space="preserve">will be useful as an </w:t>
      </w:r>
      <w:r w:rsidR="002567AF" w:rsidRPr="00594970">
        <w:t xml:space="preserve">aid for </w:t>
      </w:r>
      <w:r w:rsidR="005C7C74" w:rsidRPr="00594970">
        <w:t>error</w:t>
      </w:r>
      <w:r w:rsidR="002567AF" w:rsidRPr="00594970">
        <w:t>-</w:t>
      </w:r>
      <w:r w:rsidR="005C7C74" w:rsidRPr="00594970">
        <w:t>checking</w:t>
      </w:r>
      <w:r w:rsidR="002567AF" w:rsidRPr="00594970">
        <w:t xml:space="preserve"> purposes.  They</w:t>
      </w:r>
      <w:r w:rsidR="005C7C74" w:rsidRPr="00594970">
        <w:t xml:space="preserve"> enable the comparing of </w:t>
      </w:r>
      <w:r w:rsidRPr="00594970">
        <w:t xml:space="preserve">your </w:t>
      </w:r>
      <w:r w:rsidR="000B0941" w:rsidRPr="00594970">
        <w:t>entity</w:t>
      </w:r>
      <w:r w:rsidR="002567AF" w:rsidRPr="00594970">
        <w:t xml:space="preserve">'s </w:t>
      </w:r>
      <w:r w:rsidRPr="00594970">
        <w:t xml:space="preserve">reported </w:t>
      </w:r>
      <w:r w:rsidR="005C7C74" w:rsidRPr="00594970">
        <w:t xml:space="preserve">PAES </w:t>
      </w:r>
      <w:r w:rsidRPr="00594970">
        <w:t xml:space="preserve">program </w:t>
      </w:r>
      <w:r w:rsidR="00FC2AA9" w:rsidRPr="00594970">
        <w:t xml:space="preserve">expenditure </w:t>
      </w:r>
      <w:r w:rsidRPr="00594970">
        <w:t xml:space="preserve">totals </w:t>
      </w:r>
      <w:r w:rsidR="005C7C74" w:rsidRPr="00594970">
        <w:t xml:space="preserve">against </w:t>
      </w:r>
      <w:r w:rsidR="00AC62B9" w:rsidRPr="00594970">
        <w:t xml:space="preserve">with </w:t>
      </w:r>
      <w:r w:rsidR="005C7C74" w:rsidRPr="00594970">
        <w:t xml:space="preserve">what </w:t>
      </w:r>
      <w:r w:rsidR="002567AF" w:rsidRPr="00594970">
        <w:t xml:space="preserve">has been entered into </w:t>
      </w:r>
      <w:r w:rsidR="00920766" w:rsidRPr="00594970">
        <w:t>CBMS.</w:t>
      </w:r>
    </w:p>
    <w:p w14:paraId="50EB215F" w14:textId="1418B700" w:rsidR="007245AF" w:rsidRPr="00594970" w:rsidRDefault="007245AF" w:rsidP="006B060B">
      <w:r w:rsidRPr="00594970">
        <w:t xml:space="preserve">The system generated </w:t>
      </w:r>
      <w:r w:rsidR="00920766" w:rsidRPr="00594970">
        <w:t>reports are</w:t>
      </w:r>
      <w:r w:rsidRPr="00594970">
        <w:t xml:space="preserve"> located at:</w:t>
      </w:r>
    </w:p>
    <w:p w14:paraId="10EB4828" w14:textId="71435374" w:rsidR="000F6BD4" w:rsidRPr="00594970" w:rsidRDefault="007245AF" w:rsidP="006B060B">
      <w:pPr>
        <w:pStyle w:val="CBMSReportPath"/>
      </w:pPr>
      <w:r w:rsidRPr="00594970">
        <w:t xml:space="preserve">Reports  </w:t>
      </w:r>
      <w:r w:rsidRPr="00594970">
        <w:sym w:font="Wingdings" w:char="F0E0"/>
      </w:r>
      <w:r w:rsidRPr="00594970">
        <w:t xml:space="preserve"> CBMS Reporting </w:t>
      </w:r>
      <w:r w:rsidRPr="00594970">
        <w:sym w:font="Wingdings" w:char="F0E0"/>
      </w:r>
      <w:r w:rsidRPr="00594970">
        <w:t xml:space="preserve">  Statutory Reports  </w:t>
      </w:r>
      <w:r w:rsidRPr="00594970">
        <w:sym w:font="Wingdings" w:char="F0E0"/>
      </w:r>
      <w:r w:rsidRPr="00594970">
        <w:t xml:space="preserve">  PAES Reports  </w:t>
      </w:r>
      <w:r w:rsidRPr="00594970">
        <w:sym w:font="Wingdings" w:char="F0E0"/>
      </w:r>
      <w:r w:rsidRPr="00594970">
        <w:t xml:space="preserve"> Table </w:t>
      </w:r>
      <w:r w:rsidR="00473049" w:rsidRPr="00594970">
        <w:t>2</w:t>
      </w:r>
      <w:r w:rsidRPr="00594970">
        <w:t>.</w:t>
      </w:r>
      <w:r w:rsidR="006B6E6B" w:rsidRPr="00594970">
        <w:t xml:space="preserve">1 </w:t>
      </w:r>
    </w:p>
    <w:p w14:paraId="239B1080" w14:textId="095F90A5" w:rsidR="005911F7" w:rsidRPr="00594970" w:rsidRDefault="005911F7" w:rsidP="00B275C4"/>
    <w:p w14:paraId="7CADA967" w14:textId="77777777" w:rsidR="00447E0A" w:rsidRPr="00594970" w:rsidRDefault="00447E0A" w:rsidP="00B275C4">
      <w:pPr>
        <w:rPr>
          <w:rFonts w:asciiTheme="majorHAnsi" w:eastAsiaTheme="majorEastAsia" w:hAnsiTheme="majorHAnsi" w:cstheme="majorBidi"/>
          <w:color w:val="1C1C1C" w:themeColor="text2"/>
          <w:sz w:val="40"/>
          <w:szCs w:val="28"/>
        </w:rPr>
      </w:pPr>
      <w:bookmarkStart w:id="139" w:name="_bookmark41"/>
      <w:bookmarkEnd w:id="139"/>
      <w:r w:rsidRPr="00594970">
        <w:br w:type="page"/>
      </w:r>
    </w:p>
    <w:p w14:paraId="3DB1B4E0" w14:textId="5BE64264" w:rsidR="00D440F3" w:rsidRPr="00594970" w:rsidRDefault="00D440F3" w:rsidP="004A02E5">
      <w:pPr>
        <w:pStyle w:val="Heading1"/>
      </w:pPr>
      <w:bookmarkStart w:id="140" w:name="_Toc26963586"/>
      <w:r w:rsidRPr="00594970">
        <w:lastRenderedPageBreak/>
        <w:t>Section 3: Special Account Flows and Budgeted Financial Statements</w:t>
      </w:r>
      <w:bookmarkEnd w:id="140"/>
    </w:p>
    <w:p w14:paraId="6574C938" w14:textId="709D0230" w:rsidR="00D440F3" w:rsidRPr="00594970" w:rsidRDefault="00D440F3" w:rsidP="005C2636">
      <w:r w:rsidRPr="00594970">
        <w:t xml:space="preserve">The Budgeted Financial Statements section of the PAES provide a financial update of the entity’s operations over the </w:t>
      </w:r>
      <w:r w:rsidR="004B6F0B" w:rsidRPr="00594970">
        <w:t>2019-20</w:t>
      </w:r>
      <w:r w:rsidRPr="00594970">
        <w:t xml:space="preserve"> Budget and three forward years. </w:t>
      </w:r>
    </w:p>
    <w:p w14:paraId="4C584CFF" w14:textId="436DD0BE" w:rsidR="00D440F3" w:rsidRPr="00594970" w:rsidRDefault="00D440F3" w:rsidP="005C2636">
      <w:r w:rsidRPr="00594970">
        <w:t xml:space="preserve">Entities should, to the extent that is possible in an Estimates context, be consistent in preparing their Budgeted Financial Statements, applying the same accounting assumptions and processes that they used at Budget and expect to use in preparing the financial statement to be included in the </w:t>
      </w:r>
      <w:r w:rsidR="004B6F0B" w:rsidRPr="00594970">
        <w:t>2019-20</w:t>
      </w:r>
      <w:r w:rsidRPr="00594970">
        <w:t xml:space="preserve"> Annual Report.</w:t>
      </w:r>
    </w:p>
    <w:p w14:paraId="728EC2CD" w14:textId="07F0BCA2" w:rsidR="00D440F3" w:rsidRPr="00594970" w:rsidRDefault="00D440F3" w:rsidP="005C2636">
      <w:r w:rsidRPr="00594970">
        <w:t xml:space="preserve">Entities are to refer to, and follow, the Financial Reporting Rule (FRR) and related reporting guidance available at: </w:t>
      </w:r>
      <w:hyperlink r:id="rId43" w:history="1">
        <w:r w:rsidR="004B6F0B" w:rsidRPr="00594970">
          <w:rPr>
            <w:rStyle w:val="Hyperlink"/>
          </w:rPr>
          <w:t>https://www.finance.gov.au/financial-reporting-and-accounting-policy/</w:t>
        </w:r>
      </w:hyperlink>
      <w:r w:rsidR="004B6F0B" w:rsidRPr="00594970">
        <w:t>.</w:t>
      </w:r>
    </w:p>
    <w:p w14:paraId="0C2D4E16" w14:textId="77777777" w:rsidR="00D440F3" w:rsidRPr="00594970" w:rsidRDefault="00D440F3" w:rsidP="005C2636">
      <w:pPr>
        <w:rPr>
          <w:rFonts w:cstheme="minorHAnsi"/>
          <w:i/>
        </w:rPr>
      </w:pPr>
      <w:r w:rsidRPr="00594970">
        <w:rPr>
          <w:rFonts w:cstheme="minorHAnsi"/>
          <w:b/>
          <w:i/>
        </w:rPr>
        <w:t>Note:</w:t>
      </w:r>
      <w:r w:rsidRPr="00594970">
        <w:rPr>
          <w:rFonts w:cstheme="minorHAnsi"/>
          <w:i/>
        </w:rPr>
        <w:t xml:space="preserve"> Under AASB 1055 – Budgeting Reporting, major variances between an entities annual financial statements and original budget amounts require explanation.  Revised budget information contained in PAES may assist in articulating any end of year variances with the ANAO.</w:t>
      </w:r>
    </w:p>
    <w:p w14:paraId="41194668" w14:textId="1B435899" w:rsidR="00D440F3" w:rsidRPr="00594970" w:rsidRDefault="00D440F3" w:rsidP="005C2636">
      <w:r w:rsidRPr="00594970">
        <w:t xml:space="preserve">This applies to both the departmental and administered financial statements. </w:t>
      </w:r>
    </w:p>
    <w:p w14:paraId="616EAE30" w14:textId="203C0F49" w:rsidR="00D440F3" w:rsidRPr="00594970" w:rsidRDefault="00D440F3" w:rsidP="00F31EC9">
      <w:pPr>
        <w:suppressAutoHyphens w:val="0"/>
        <w:spacing w:before="0" w:after="120" w:line="440" w:lineRule="atLeast"/>
        <w:rPr>
          <w:u w:val="single"/>
        </w:rPr>
      </w:pPr>
      <w:r w:rsidRPr="00594970">
        <w:rPr>
          <w:u w:val="single"/>
        </w:rPr>
        <w:t>Parts of Section 3: Special Account flows and budgeted financial statements</w:t>
      </w:r>
    </w:p>
    <w:p w14:paraId="6E1D5B80" w14:textId="20374C30" w:rsidR="00D440F3" w:rsidRPr="00594970" w:rsidRDefault="00D440F3" w:rsidP="006B060B">
      <w:pPr>
        <w:pStyle w:val="ListBullet2"/>
      </w:pPr>
      <w:r w:rsidRPr="00594970">
        <w:t>Special Account Flows</w:t>
      </w:r>
    </w:p>
    <w:p w14:paraId="3F3BFE5A" w14:textId="77777777" w:rsidR="00D440F3" w:rsidRPr="00594970" w:rsidRDefault="00D440F3" w:rsidP="006B060B">
      <w:pPr>
        <w:pStyle w:val="ListBullet4"/>
      </w:pPr>
      <w:r w:rsidRPr="00594970">
        <w:t>Table 3.1:  Special Account flows and balances</w:t>
      </w:r>
    </w:p>
    <w:p w14:paraId="6E978777" w14:textId="2AB1A89B" w:rsidR="00D440F3" w:rsidRPr="00594970" w:rsidRDefault="00D440F3" w:rsidP="006B060B">
      <w:pPr>
        <w:pStyle w:val="ListBullet2"/>
      </w:pPr>
      <w:r w:rsidRPr="00594970">
        <w:t>Budgeted Financial Statements</w:t>
      </w:r>
    </w:p>
    <w:p w14:paraId="4634CAB4" w14:textId="77777777" w:rsidR="00D440F3" w:rsidRPr="00594970" w:rsidRDefault="00D440F3" w:rsidP="006B060B">
      <w:pPr>
        <w:ind w:left="641"/>
        <w:rPr>
          <w:u w:val="single"/>
        </w:rPr>
      </w:pPr>
      <w:r w:rsidRPr="00594970">
        <w:rPr>
          <w:u w:val="single"/>
        </w:rPr>
        <w:t>Departmental</w:t>
      </w:r>
    </w:p>
    <w:p w14:paraId="72513993" w14:textId="797EAD08" w:rsidR="00D440F3" w:rsidRPr="00594970" w:rsidRDefault="007E2E3E" w:rsidP="006B060B">
      <w:pPr>
        <w:ind w:left="1208"/>
      </w:pPr>
      <w:r w:rsidRPr="00594970">
        <w:t>Table 3.2:  Comprehensive income s</w:t>
      </w:r>
      <w:r w:rsidR="00D440F3" w:rsidRPr="00594970">
        <w:t>tatement</w:t>
      </w:r>
    </w:p>
    <w:p w14:paraId="311AA29B" w14:textId="06A72F2F" w:rsidR="00D440F3" w:rsidRPr="00594970" w:rsidRDefault="00D440F3" w:rsidP="006B060B">
      <w:pPr>
        <w:ind w:left="1208"/>
      </w:pPr>
      <w:r w:rsidRPr="00594970">
        <w:t>Table 3.3:  Budgeted balance sheet</w:t>
      </w:r>
    </w:p>
    <w:p w14:paraId="65DCE4DB" w14:textId="56C9CBA1" w:rsidR="00D440F3" w:rsidRPr="00594970" w:rsidRDefault="00D440F3" w:rsidP="006B060B">
      <w:pPr>
        <w:ind w:left="1208"/>
      </w:pPr>
      <w:r w:rsidRPr="00594970">
        <w:t>Table</w:t>
      </w:r>
      <w:r w:rsidR="00D23462" w:rsidRPr="00594970">
        <w:t xml:space="preserve"> </w:t>
      </w:r>
      <w:r w:rsidRPr="00594970">
        <w:t>3.4:  Statement of changes in equity</w:t>
      </w:r>
    </w:p>
    <w:p w14:paraId="66448983" w14:textId="77777777" w:rsidR="00D440F3" w:rsidRPr="00594970" w:rsidRDefault="00D440F3" w:rsidP="006B060B">
      <w:pPr>
        <w:ind w:left="1208"/>
      </w:pPr>
      <w:r w:rsidRPr="00594970">
        <w:t>Table 3.5:  Statement of cash flows</w:t>
      </w:r>
    </w:p>
    <w:p w14:paraId="6E5C4C44" w14:textId="1695CA1D" w:rsidR="00D440F3" w:rsidRPr="00594970" w:rsidRDefault="00D440F3" w:rsidP="006B060B">
      <w:pPr>
        <w:ind w:left="1208"/>
      </w:pPr>
      <w:r w:rsidRPr="00594970">
        <w:t>Table 3.6:  Capital budget statement</w:t>
      </w:r>
    </w:p>
    <w:p w14:paraId="65E6B933" w14:textId="77777777" w:rsidR="00D440F3" w:rsidRPr="00594970" w:rsidRDefault="00D440F3" w:rsidP="006B060B">
      <w:pPr>
        <w:ind w:left="1208"/>
      </w:pPr>
      <w:r w:rsidRPr="00594970">
        <w:t>Table 3.7:  Statement of asset movements</w:t>
      </w:r>
    </w:p>
    <w:p w14:paraId="2FF5AE0F" w14:textId="77777777" w:rsidR="00C64A17" w:rsidRPr="00594970" w:rsidRDefault="00C64A17" w:rsidP="006B060B">
      <w:pPr>
        <w:spacing w:before="0"/>
        <w:ind w:left="641"/>
        <w:rPr>
          <w:u w:val="single"/>
        </w:rPr>
      </w:pPr>
    </w:p>
    <w:p w14:paraId="7F234B63" w14:textId="77777777" w:rsidR="00D440F3" w:rsidRPr="00594970" w:rsidRDefault="00D440F3" w:rsidP="006B060B">
      <w:pPr>
        <w:spacing w:before="0" w:line="240" w:lineRule="auto"/>
        <w:ind w:left="641"/>
        <w:rPr>
          <w:u w:val="single"/>
        </w:rPr>
      </w:pPr>
      <w:r w:rsidRPr="00594970">
        <w:rPr>
          <w:u w:val="single"/>
        </w:rPr>
        <w:t>Administered (where applicable)</w:t>
      </w:r>
    </w:p>
    <w:p w14:paraId="08102249" w14:textId="0B778039" w:rsidR="00D440F3" w:rsidRPr="00594970" w:rsidRDefault="00D440F3" w:rsidP="006B060B">
      <w:pPr>
        <w:spacing w:line="240" w:lineRule="auto"/>
        <w:ind w:left="1208"/>
      </w:pPr>
      <w:r w:rsidRPr="00594970">
        <w:t>Table 3.8:  Schedule of budgeted income and expenses</w:t>
      </w:r>
    </w:p>
    <w:p w14:paraId="6DFFEDCF" w14:textId="027EBB57" w:rsidR="00D440F3" w:rsidRPr="00594970" w:rsidRDefault="00D440F3" w:rsidP="006B060B">
      <w:pPr>
        <w:spacing w:line="240" w:lineRule="auto"/>
        <w:ind w:left="1208"/>
      </w:pPr>
      <w:r w:rsidRPr="00594970">
        <w:t>Table 3.9:  Schedule of budgeted assets and liabilities</w:t>
      </w:r>
    </w:p>
    <w:p w14:paraId="0E530D3F" w14:textId="77777777" w:rsidR="00D440F3" w:rsidRPr="00594970" w:rsidRDefault="00D440F3" w:rsidP="006B060B">
      <w:pPr>
        <w:spacing w:line="240" w:lineRule="auto"/>
        <w:ind w:left="1208"/>
      </w:pPr>
      <w:r w:rsidRPr="00594970">
        <w:t>Table 3.10:  Schedule of budgeted cash flows</w:t>
      </w:r>
    </w:p>
    <w:p w14:paraId="232FE4DB" w14:textId="52E5A7A9" w:rsidR="00D440F3" w:rsidRPr="00594970" w:rsidRDefault="00D440F3" w:rsidP="006B060B">
      <w:pPr>
        <w:spacing w:line="240" w:lineRule="auto"/>
        <w:ind w:left="1208"/>
      </w:pPr>
      <w:r w:rsidRPr="00594970">
        <w:t>Table 3.11:  Capital budget statement</w:t>
      </w:r>
    </w:p>
    <w:p w14:paraId="7F6B7D85" w14:textId="77777777" w:rsidR="00D440F3" w:rsidRPr="00594970" w:rsidRDefault="00D440F3" w:rsidP="006B060B">
      <w:pPr>
        <w:spacing w:line="240" w:lineRule="auto"/>
        <w:ind w:left="1208"/>
      </w:pPr>
      <w:r w:rsidRPr="00594970">
        <w:t>Table 3.12:  Statement of asset movements</w:t>
      </w:r>
    </w:p>
    <w:p w14:paraId="59BB60F5" w14:textId="77777777" w:rsidR="00D440F3" w:rsidRPr="00594970" w:rsidRDefault="00D440F3" w:rsidP="00F31EC9">
      <w:pPr>
        <w:pStyle w:val="Heading2"/>
      </w:pPr>
      <w:bookmarkStart w:id="141" w:name="Special_Account_Flows"/>
      <w:bookmarkStart w:id="142" w:name="_bookmark42"/>
      <w:bookmarkStart w:id="143" w:name="_Toc26963587"/>
      <w:bookmarkEnd w:id="141"/>
      <w:bookmarkEnd w:id="142"/>
      <w:r w:rsidRPr="00594970">
        <w:lastRenderedPageBreak/>
        <w:t>Special Account Flows</w:t>
      </w:r>
      <w:bookmarkEnd w:id="143"/>
    </w:p>
    <w:p w14:paraId="04838AC6" w14:textId="77777777" w:rsidR="003A4CC0" w:rsidRPr="00594970" w:rsidRDefault="00D440F3" w:rsidP="006B060B">
      <w:r w:rsidRPr="00594970">
        <w:rPr>
          <w:i/>
        </w:rPr>
        <w:t>Table 3.1 Special Accounts</w:t>
      </w:r>
      <w:r w:rsidRPr="00594970">
        <w:t xml:space="preserve"> is required to be published for PAES as there is no equivalent budget documentation produced, (such as Budget Paper 4 in May each year), that provides this information. </w:t>
      </w:r>
    </w:p>
    <w:p w14:paraId="49251285" w14:textId="77777777" w:rsidR="006B060B" w:rsidRPr="00594970" w:rsidRDefault="00D91AD2" w:rsidP="006B060B">
      <w:pPr>
        <w:pStyle w:val="ListBullet2"/>
      </w:pPr>
      <w:r w:rsidRPr="00594970">
        <w:t>Entities can run a new (system generated) PAES Table 3.1 – ‘Estimates of special account flows and balances’ from CBMS</w:t>
      </w:r>
      <w:r w:rsidR="001C12D1" w:rsidRPr="00594970">
        <w:t xml:space="preserve"> to complete this table.</w:t>
      </w:r>
      <w:r w:rsidRPr="00594970">
        <w:t xml:space="preserve"> This new functionality can be </w:t>
      </w:r>
      <w:r w:rsidR="00353900" w:rsidRPr="00594970">
        <w:t>accessed</w:t>
      </w:r>
      <w:r w:rsidRPr="00594970">
        <w:t xml:space="preserve"> through:</w:t>
      </w:r>
    </w:p>
    <w:p w14:paraId="5FAABCA3" w14:textId="4ACD82F0" w:rsidR="00D91AD2" w:rsidRPr="00594970" w:rsidRDefault="00D91AD2" w:rsidP="006B060B">
      <w:pPr>
        <w:pStyle w:val="CBMSReportPath"/>
        <w:ind w:left="641"/>
      </w:pPr>
      <w:r w:rsidRPr="00594970">
        <w:t>Reports &gt; CBMS Reporting &gt; Statutory Reports &gt; PAES</w:t>
      </w:r>
      <w:r w:rsidR="00DC5B38" w:rsidRPr="00594970">
        <w:t xml:space="preserve"> </w:t>
      </w:r>
      <w:r w:rsidR="00A40A7F" w:rsidRPr="00594970">
        <w:t>&gt;</w:t>
      </w:r>
      <w:r w:rsidR="00D23462" w:rsidRPr="00594970">
        <w:t xml:space="preserve"> </w:t>
      </w:r>
      <w:r w:rsidR="00DC5B38" w:rsidRPr="00594970">
        <w:t>PAES.T3.01</w:t>
      </w:r>
    </w:p>
    <w:p w14:paraId="1F2EDF26" w14:textId="361BEBCA" w:rsidR="00D26A02" w:rsidRPr="00594970" w:rsidRDefault="00D26A02" w:rsidP="005C2636">
      <w:pPr>
        <w:spacing w:before="120"/>
      </w:pPr>
      <w:r w:rsidRPr="00594970">
        <w:t>The report in CBMS no longer displays special accounts that have been deactivated in the system. Entities are to reinstate special accounts that sunset in the current year (2019-20) an</w:t>
      </w:r>
      <w:r w:rsidR="00B944CD" w:rsidRPr="00594970">
        <w:t>d the previous year (2018-19)</w:t>
      </w:r>
      <w:r w:rsidRPr="00594970">
        <w:t xml:space="preserve">. </w:t>
      </w:r>
      <w:r w:rsidR="00045810" w:rsidRPr="00594970">
        <w:t xml:space="preserve">Future enhancements are planned to </w:t>
      </w:r>
      <w:r w:rsidR="00B944CD" w:rsidRPr="00594970">
        <w:t>introduce time-</w:t>
      </w:r>
      <w:r w:rsidR="00045810" w:rsidRPr="00594970">
        <w:t xml:space="preserve">slice for the report to enable the figures in accounts be displayed in the year that it is active. </w:t>
      </w:r>
      <w:r w:rsidR="00B944CD" w:rsidRPr="00594970">
        <w:t>For example, figures will display in the previous year when it was active but nil amount</w:t>
      </w:r>
      <w:r w:rsidR="00613446" w:rsidRPr="00594970">
        <w:t>s</w:t>
      </w:r>
      <w:r w:rsidR="00B944CD" w:rsidRPr="00594970">
        <w:t xml:space="preserve"> in the current year when the account was deactivated.</w:t>
      </w:r>
    </w:p>
    <w:p w14:paraId="341395FA" w14:textId="39DAEFD0" w:rsidR="00D440F3" w:rsidRPr="00594970" w:rsidRDefault="00D440F3" w:rsidP="005C2636">
      <w:pPr>
        <w:spacing w:before="120"/>
      </w:pPr>
      <w:r w:rsidRPr="00594970">
        <w:t>Special Accounts are a mechanism through which entities can set aside funds for a specific purpose. As such, it is important that the reporting and accountability mechanisms are robust to ensure probity of use.</w:t>
      </w:r>
    </w:p>
    <w:p w14:paraId="6E6D6CB6" w14:textId="51C80DE7" w:rsidR="00D440F3" w:rsidRPr="00594970" w:rsidRDefault="00D440F3" w:rsidP="005C2636">
      <w:pPr>
        <w:spacing w:before="120"/>
      </w:pPr>
      <w:r w:rsidRPr="00594970">
        <w:t>The purpose of the Special Account</w:t>
      </w:r>
      <w:r w:rsidR="00613446" w:rsidRPr="00594970">
        <w:t>s</w:t>
      </w:r>
      <w:r w:rsidRPr="00594970">
        <w:t xml:space="preserve"> table is to provide more detail on the expected flows in </w:t>
      </w:r>
      <w:r w:rsidR="00613446" w:rsidRPr="00594970">
        <w:t xml:space="preserve">the </w:t>
      </w:r>
      <w:r w:rsidRPr="00594970">
        <w:t>entity</w:t>
      </w:r>
      <w:r w:rsidR="00613446" w:rsidRPr="00594970">
        <w:t>’s</w:t>
      </w:r>
      <w:r w:rsidRPr="00594970">
        <w:t xml:space="preserve"> Special Accounts over the budget year, including the estimated payments which will be made from the account and adjustments which are expected over the budget year. Accounts which hold ‘special public moneys’, such as Services for Other Entities and Trust Moneys Special Accounts (SOETM) do not constitute funds available to the entity and therefore will not appear in the Entity Resource Statement (Table 1.1), but are still </w:t>
      </w:r>
      <w:r w:rsidRPr="00594970">
        <w:rPr>
          <w:u w:val="single"/>
        </w:rPr>
        <w:t>required to be reported</w:t>
      </w:r>
      <w:r w:rsidRPr="00594970">
        <w:t xml:space="preserve"> in this section. </w:t>
      </w:r>
    </w:p>
    <w:p w14:paraId="76F07A99" w14:textId="67F865B9" w:rsidR="00D440F3" w:rsidRPr="00594970" w:rsidRDefault="00D440F3" w:rsidP="006B060B">
      <w:r w:rsidRPr="00594970">
        <w:t>When including Special Account information, entities should identify the full title of the legislation or legislative instrument which authorised the creation of each Special Account.</w:t>
      </w:r>
      <w:r w:rsidR="00613446" w:rsidRPr="00594970">
        <w:t xml:space="preserve"> </w:t>
      </w:r>
      <w:r w:rsidRPr="00594970">
        <w:t>These are set up by two means, either:</w:t>
      </w:r>
    </w:p>
    <w:p w14:paraId="029C42C9" w14:textId="77777777" w:rsidR="00D440F3" w:rsidRPr="00594970" w:rsidRDefault="00D440F3" w:rsidP="006B060B">
      <w:pPr>
        <w:pStyle w:val="ListBullet2"/>
      </w:pPr>
      <w:r w:rsidRPr="00594970">
        <w:t>in enabling primary legislation, as recognised under section 80 of the PGPA Act, in which case the full legislative title and the appropriate section(s) need to be included; or</w:t>
      </w:r>
    </w:p>
    <w:p w14:paraId="3FBACE98" w14:textId="77777777" w:rsidR="00D440F3" w:rsidRPr="00594970" w:rsidRDefault="00D440F3" w:rsidP="006B060B">
      <w:pPr>
        <w:pStyle w:val="ListBullet2"/>
      </w:pPr>
      <w:proofErr w:type="gramStart"/>
      <w:r w:rsidRPr="00594970">
        <w:t>through</w:t>
      </w:r>
      <w:proofErr w:type="gramEnd"/>
      <w:r w:rsidRPr="00594970">
        <w:t xml:space="preserve"> a determination by the Finance Minister under section 78 of the PGPA Act, in which case include the title of and the determination number of the legislative instrument.</w:t>
      </w:r>
    </w:p>
    <w:p w14:paraId="7C947230" w14:textId="77777777" w:rsidR="00D440F3" w:rsidRPr="00594970" w:rsidRDefault="00D440F3" w:rsidP="005C2636">
      <w:pPr>
        <w:spacing w:before="120"/>
      </w:pPr>
      <w:r w:rsidRPr="00594970">
        <w:t>As some titles will be too long to include neatly in Table 3.1, entities can use short titles and include an Acts glossary or footnote to detail the full title of the enabling legislation.</w:t>
      </w:r>
    </w:p>
    <w:p w14:paraId="65ED8B87" w14:textId="77777777" w:rsidR="00D440F3" w:rsidRPr="00594970" w:rsidRDefault="00D440F3" w:rsidP="005C2636">
      <w:pPr>
        <w:spacing w:before="120"/>
      </w:pPr>
      <w:r w:rsidRPr="00594970">
        <w:t>Entities may require lower level information from their own FMIS, however the figures in CBMS are the authoritative figures used for the consolidation of the whole of government accounts and therefore any data from entity FMIS must reconcile with the CBMS figures.</w:t>
      </w:r>
    </w:p>
    <w:p w14:paraId="650EB00E" w14:textId="3F635774" w:rsidR="00D440F3" w:rsidRPr="00594970" w:rsidRDefault="00D440F3" w:rsidP="005C2636">
      <w:pPr>
        <w:spacing w:before="120"/>
      </w:pPr>
      <w:r w:rsidRPr="00594970">
        <w:t>Entities are to provide a comparator line below each Special Acc</w:t>
      </w:r>
      <w:r w:rsidR="00367331" w:rsidRPr="00594970">
        <w:t xml:space="preserve">ount with the corresponding </w:t>
      </w:r>
      <w:r w:rsidR="00083E88" w:rsidRPr="00594970">
        <w:t>2018-19</w:t>
      </w:r>
      <w:r w:rsidRPr="00594970">
        <w:t xml:space="preserve"> figure.</w:t>
      </w:r>
    </w:p>
    <w:p w14:paraId="4A8983F1" w14:textId="2CF99524" w:rsidR="00D440F3" w:rsidRPr="00594970" w:rsidRDefault="00D440F3" w:rsidP="005C2636">
      <w:pPr>
        <w:spacing w:before="120"/>
      </w:pPr>
      <w:r w:rsidRPr="00594970">
        <w:t xml:space="preserve">The opening balance for </w:t>
      </w:r>
      <w:r w:rsidR="00083E88" w:rsidRPr="00594970">
        <w:t>2019-20</w:t>
      </w:r>
      <w:r w:rsidRPr="00594970">
        <w:t xml:space="preserve"> will be an actual figure as reported for the closing balance in entity’s </w:t>
      </w:r>
      <w:r w:rsidR="00083E88" w:rsidRPr="00594970">
        <w:t>2018-19</w:t>
      </w:r>
      <w:r w:rsidRPr="00594970">
        <w:t xml:space="preserve"> Annual Report Financi</w:t>
      </w:r>
      <w:r w:rsidR="00EE43B1" w:rsidRPr="00594970">
        <w:t>al Statements: Special Accounts.</w:t>
      </w:r>
    </w:p>
    <w:p w14:paraId="1897A399" w14:textId="77777777" w:rsidR="00D440F3" w:rsidRPr="00594970" w:rsidRDefault="00D440F3" w:rsidP="005C2636">
      <w:pPr>
        <w:rPr>
          <w:i/>
        </w:rPr>
      </w:pPr>
      <w:r w:rsidRPr="00594970">
        <w:rPr>
          <w:b/>
          <w:i/>
        </w:rPr>
        <w:lastRenderedPageBreak/>
        <w:t>Note:</w:t>
      </w:r>
      <w:r w:rsidRPr="00594970">
        <w:rPr>
          <w:i/>
        </w:rPr>
        <w:t xml:space="preserve"> The estimated opening balance for forward estimates will equal the estimated closing balance for the previous year’s transactions</w:t>
      </w:r>
      <w:r w:rsidR="000432AA" w:rsidRPr="00594970">
        <w:rPr>
          <w:i/>
        </w:rPr>
        <w:t>.</w:t>
      </w:r>
    </w:p>
    <w:p w14:paraId="0C6BDF67" w14:textId="77777777" w:rsidR="00D440F3" w:rsidRPr="00594970" w:rsidRDefault="00D440F3" w:rsidP="005C2636">
      <w:pPr>
        <w:rPr>
          <w:i/>
        </w:rPr>
      </w:pPr>
      <w:r w:rsidRPr="00594970">
        <w:rPr>
          <w:i/>
        </w:rPr>
        <w:t xml:space="preserve">The interest equivalency payments data should be consistent between both the FMIS of the entities and the journal entries in CBMS. </w:t>
      </w:r>
    </w:p>
    <w:p w14:paraId="6A29CCEF" w14:textId="39813F36" w:rsidR="00D440F3" w:rsidRPr="00594970" w:rsidRDefault="00D440F3" w:rsidP="005C2636">
      <w:r w:rsidRPr="00594970">
        <w:t xml:space="preserve">Refer to the most recent Estimates Memorandum on special accounts and </w:t>
      </w:r>
      <w:r w:rsidR="00476496" w:rsidRPr="00594970">
        <w:t xml:space="preserve">Resource Management </w:t>
      </w:r>
      <w:r w:rsidR="00671AEC" w:rsidRPr="00594970">
        <w:t>Guide to appropriations</w:t>
      </w:r>
      <w:r w:rsidR="006E5D7D" w:rsidRPr="00594970">
        <w:t xml:space="preserve"> </w:t>
      </w:r>
      <w:r w:rsidR="00671AEC" w:rsidRPr="00594970">
        <w:t>RMG 100</w:t>
      </w:r>
      <w:r w:rsidR="00476496" w:rsidRPr="00594970">
        <w:br/>
        <w:t>(</w:t>
      </w:r>
      <w:hyperlink r:id="rId44" w:history="1">
        <w:r w:rsidR="006E5D7D" w:rsidRPr="00594970">
          <w:rPr>
            <w:rStyle w:val="Hyperlink"/>
            <w:rFonts w:cstheme="minorBidi"/>
          </w:rPr>
          <w:t>https://www.finance.gov.au/publications/resource-management-guides-rmgs/guide-appropriations-rmg-100</w:t>
        </w:r>
      </w:hyperlink>
      <w:r w:rsidR="00476496" w:rsidRPr="00594970">
        <w:t>)</w:t>
      </w:r>
      <w:r w:rsidR="006E5D7D" w:rsidRPr="00594970">
        <w:t>.</w:t>
      </w:r>
    </w:p>
    <w:p w14:paraId="23402E1C" w14:textId="77777777" w:rsidR="00D440F3" w:rsidRPr="00594970" w:rsidRDefault="00D440F3" w:rsidP="00F31EC9">
      <w:pPr>
        <w:pStyle w:val="Heading2"/>
      </w:pPr>
      <w:bookmarkStart w:id="144" w:name="Budgeted_Financial_Statements"/>
      <w:bookmarkStart w:id="145" w:name="_bookmark43"/>
      <w:bookmarkStart w:id="146" w:name="_Toc26963588"/>
      <w:bookmarkEnd w:id="144"/>
      <w:bookmarkEnd w:id="145"/>
      <w:r w:rsidRPr="00594970">
        <w:t>Budgeted Financial Statements</w:t>
      </w:r>
      <w:bookmarkEnd w:id="146"/>
    </w:p>
    <w:p w14:paraId="70359BB8" w14:textId="153CB9C1" w:rsidR="00593CD8" w:rsidRPr="00594970" w:rsidRDefault="00D440F3" w:rsidP="005C2636">
      <w:r w:rsidRPr="00594970">
        <w:t>The financial statements (Tables 3.2 to 3.12) conclude each entity’s PAES and provide readers with an update on financial movements for the Budget year and three forward years, particularly as a result of changes in appropriations/resourcing and new measures. They also include actual data f</w:t>
      </w:r>
      <w:r w:rsidR="00EE43B1" w:rsidRPr="00594970">
        <w:t xml:space="preserve">or the comparator year </w:t>
      </w:r>
      <w:r w:rsidR="00F607F1" w:rsidRPr="00594970">
        <w:t>2018-19</w:t>
      </w:r>
      <w:r w:rsidR="00F3595D" w:rsidRPr="00594970">
        <w:t xml:space="preserve"> which was </w:t>
      </w:r>
      <w:r w:rsidRPr="00594970">
        <w:t>published in entity Annual Reports</w:t>
      </w:r>
      <w:r w:rsidR="00F3595D" w:rsidRPr="00594970">
        <w:t xml:space="preserve"> and reported in CBMS for preparation of the Consolidated Financial Statements (CFS data</w:t>
      </w:r>
      <w:r w:rsidRPr="00594970">
        <w:t>).</w:t>
      </w:r>
    </w:p>
    <w:p w14:paraId="53A3E0D9" w14:textId="55AEE4D9" w:rsidR="00D440F3" w:rsidRPr="00594970" w:rsidRDefault="002D5F0B" w:rsidP="00D440F3">
      <w:r w:rsidRPr="00594970">
        <w:t xml:space="preserve">Entities enter their Annual Actuals data in the Final Budget Outcome (FBO) round. Annual Actuals data is then copied to the CFS round which is the basis for the comparator year </w:t>
      </w:r>
      <w:r w:rsidR="00F607F1" w:rsidRPr="00594970">
        <w:t>2018-19</w:t>
      </w:r>
      <w:r w:rsidRPr="00594970">
        <w:t>. Changes to entity data in the CFS round is only required if there are material adjustments to the FBO.</w:t>
      </w:r>
    </w:p>
    <w:p w14:paraId="50F5BA2D" w14:textId="318E3A77" w:rsidR="00D440F3" w:rsidRPr="00594970" w:rsidRDefault="00D440F3" w:rsidP="005C2636">
      <w:r w:rsidRPr="00594970">
        <w:t>Entities should, to the extent that it is possible in an estimates context, be consistent in preparing their Budgeted Financial Statements, applying the same accounting assumptions and processes that they used at Budget and expect to use in preparing the financial stat</w:t>
      </w:r>
      <w:r w:rsidR="00EE43B1" w:rsidRPr="00594970">
        <w:t xml:space="preserve">ement to be included in the </w:t>
      </w:r>
      <w:r w:rsidR="00F607F1" w:rsidRPr="00594970">
        <w:t>2019-20</w:t>
      </w:r>
      <w:r w:rsidRPr="00594970">
        <w:t xml:space="preserve"> Annual Report.</w:t>
      </w:r>
    </w:p>
    <w:p w14:paraId="7DF425EA" w14:textId="2E62C27A" w:rsidR="00D440F3" w:rsidRPr="00594970" w:rsidRDefault="00D440F3" w:rsidP="005C2636">
      <w:r w:rsidRPr="00594970">
        <w:t xml:space="preserve">Entities are to refer to, and follow the FRR and related reporting guidance available at: </w:t>
      </w:r>
      <w:hyperlink r:id="rId45" w:history="1">
        <w:r w:rsidR="006E5D7D" w:rsidRPr="00594970">
          <w:rPr>
            <w:rStyle w:val="Hyperlink"/>
            <w:rFonts w:cstheme="minorBidi"/>
          </w:rPr>
          <w:t>https://www.finance.gov.au/government/financial-reporting-accounting-policy</w:t>
        </w:r>
      </w:hyperlink>
    </w:p>
    <w:p w14:paraId="59D188DE" w14:textId="374B7005" w:rsidR="00D440F3" w:rsidRPr="00594970" w:rsidRDefault="00D440F3" w:rsidP="00F31EC9">
      <w:pPr>
        <w:pStyle w:val="Heading2"/>
      </w:pPr>
      <w:bookmarkStart w:id="147" w:name="Sources_of_Information"/>
      <w:bookmarkStart w:id="148" w:name="_bookmark44"/>
      <w:bookmarkStart w:id="149" w:name="_Toc26963589"/>
      <w:bookmarkEnd w:id="147"/>
      <w:bookmarkEnd w:id="148"/>
      <w:r w:rsidRPr="00594970">
        <w:t>Sources of Information</w:t>
      </w:r>
      <w:bookmarkEnd w:id="149"/>
    </w:p>
    <w:p w14:paraId="567C92D9" w14:textId="14F90AB3" w:rsidR="00796DCD" w:rsidRPr="00594970" w:rsidRDefault="003C0C99" w:rsidP="006B060B">
      <w:r w:rsidRPr="00594970">
        <w:t xml:space="preserve">CBMS </w:t>
      </w:r>
      <w:r w:rsidR="00FB0F5B" w:rsidRPr="00594970">
        <w:t xml:space="preserve">contains </w:t>
      </w:r>
      <w:r w:rsidR="00AB479A" w:rsidRPr="00594970">
        <w:t>system generated</w:t>
      </w:r>
      <w:r w:rsidR="00796DCD" w:rsidRPr="00594970">
        <w:t xml:space="preserve"> </w:t>
      </w:r>
      <w:r w:rsidR="00FB0F5B" w:rsidRPr="00594970">
        <w:t xml:space="preserve">reports for </w:t>
      </w:r>
      <w:r w:rsidR="00796DCD" w:rsidRPr="00594970">
        <w:t>Section 3</w:t>
      </w:r>
      <w:r w:rsidR="00D440F3" w:rsidRPr="00594970">
        <w:t xml:space="preserve"> PAES </w:t>
      </w:r>
      <w:r w:rsidR="008459B1" w:rsidRPr="00594970">
        <w:t xml:space="preserve">Financial Statement </w:t>
      </w:r>
      <w:r w:rsidR="00D440F3" w:rsidRPr="00594970">
        <w:t>tables</w:t>
      </w:r>
      <w:r w:rsidR="00FB0F5B" w:rsidRPr="00594970">
        <w:t>. They</w:t>
      </w:r>
      <w:r w:rsidR="00D440F3" w:rsidRPr="00594970">
        <w:t xml:space="preserve"> </w:t>
      </w:r>
      <w:r w:rsidRPr="00594970">
        <w:t xml:space="preserve">are available for use by </w:t>
      </w:r>
      <w:r w:rsidR="00F615D8" w:rsidRPr="00594970">
        <w:t>entit</w:t>
      </w:r>
      <w:r w:rsidRPr="00594970">
        <w:t>ies who are required to prepare a PAES statement.</w:t>
      </w:r>
      <w:r w:rsidR="00A90121" w:rsidRPr="00594970">
        <w:t xml:space="preserve"> The tables </w:t>
      </w:r>
      <w:r w:rsidR="006D5B52" w:rsidRPr="00594970">
        <w:t xml:space="preserve">represent </w:t>
      </w:r>
      <w:r w:rsidR="00A90121" w:rsidRPr="00594970">
        <w:t xml:space="preserve">generic statements and offer a good starting </w:t>
      </w:r>
      <w:r w:rsidRPr="00594970">
        <w:t xml:space="preserve">point in </w:t>
      </w:r>
      <w:r w:rsidR="00A90121" w:rsidRPr="00594970">
        <w:t>deriv</w:t>
      </w:r>
      <w:r w:rsidR="006D5B52" w:rsidRPr="00594970">
        <w:t>ing</w:t>
      </w:r>
      <w:r w:rsidR="00A90121" w:rsidRPr="00594970">
        <w:t xml:space="preserve"> the numbers </w:t>
      </w:r>
      <w:r w:rsidR="006D5B52" w:rsidRPr="00594970">
        <w:t xml:space="preserve">that are </w:t>
      </w:r>
      <w:r w:rsidR="00FB0F5B" w:rsidRPr="00594970">
        <w:t xml:space="preserve">intended </w:t>
      </w:r>
      <w:r w:rsidR="006D5B52" w:rsidRPr="00594970">
        <w:t>to be repor</w:t>
      </w:r>
      <w:r w:rsidR="00FB0F5B" w:rsidRPr="00594970">
        <w:t>ted</w:t>
      </w:r>
      <w:r w:rsidR="006D5B52" w:rsidRPr="00594970">
        <w:t>.</w:t>
      </w:r>
    </w:p>
    <w:p w14:paraId="041A85BF" w14:textId="6FABCB1A" w:rsidR="00D440F3" w:rsidRPr="00594970" w:rsidRDefault="00D71792" w:rsidP="006B060B">
      <w:pPr>
        <w:pStyle w:val="CBMSReportPath"/>
        <w:ind w:left="720"/>
      </w:pPr>
      <w:r w:rsidRPr="00594970">
        <w:t xml:space="preserve">Reports </w:t>
      </w:r>
      <w:r w:rsidR="008459B1" w:rsidRPr="00594970">
        <w:t xml:space="preserve"> </w:t>
      </w:r>
      <w:r w:rsidR="008459B1" w:rsidRPr="00594970">
        <w:sym w:font="Wingdings" w:char="F0E0"/>
      </w:r>
      <w:r w:rsidR="008459B1" w:rsidRPr="00594970">
        <w:t xml:space="preserve"> </w:t>
      </w:r>
      <w:r w:rsidR="00D440F3" w:rsidRPr="00594970">
        <w:t xml:space="preserve">CBMS Reporting </w:t>
      </w:r>
      <w:r w:rsidR="008459B1" w:rsidRPr="00594970">
        <w:sym w:font="Wingdings" w:char="F0E0"/>
      </w:r>
      <w:r w:rsidR="008459B1" w:rsidRPr="00594970">
        <w:t xml:space="preserve"> </w:t>
      </w:r>
      <w:r w:rsidR="00D440F3" w:rsidRPr="00594970">
        <w:t xml:space="preserve"> Statutory Reports </w:t>
      </w:r>
      <w:r w:rsidR="008459B1" w:rsidRPr="00594970">
        <w:t xml:space="preserve"> </w:t>
      </w:r>
      <w:r w:rsidR="008459B1" w:rsidRPr="00594970">
        <w:sym w:font="Wingdings" w:char="F0E0"/>
      </w:r>
      <w:r w:rsidR="008459B1" w:rsidRPr="00594970">
        <w:t xml:space="preserve"> </w:t>
      </w:r>
      <w:r w:rsidR="00D440F3" w:rsidRPr="00594970">
        <w:t xml:space="preserve"> PAES </w:t>
      </w:r>
      <w:r w:rsidR="008459B1" w:rsidRPr="00594970">
        <w:sym w:font="Wingdings" w:char="F0E0"/>
      </w:r>
      <w:r w:rsidR="00A40A7F" w:rsidRPr="00594970">
        <w:t xml:space="preserve"> Table 3.</w:t>
      </w:r>
      <w:r w:rsidR="008459B1" w:rsidRPr="00594970">
        <w:t>x</w:t>
      </w:r>
      <w:r w:rsidR="00A40A7F" w:rsidRPr="00594970">
        <w:t xml:space="preserve"> </w:t>
      </w:r>
    </w:p>
    <w:p w14:paraId="0889ADFB" w14:textId="77777777" w:rsidR="003C0C99" w:rsidRPr="00594970" w:rsidRDefault="00D20057" w:rsidP="006B060B">
      <w:r w:rsidRPr="00594970">
        <w:t xml:space="preserve">Entities are encouraged </w:t>
      </w:r>
      <w:r w:rsidR="00796DCD" w:rsidRPr="00594970">
        <w:t xml:space="preserve">to use these reports (PAES T3.2 to PAES T3.12) and become familiar with their use to improve entity processes </w:t>
      </w:r>
      <w:r w:rsidR="00D91AD2" w:rsidRPr="00594970">
        <w:t>in checking and completing their PAES tables.</w:t>
      </w:r>
    </w:p>
    <w:p w14:paraId="40CA71B5" w14:textId="77777777" w:rsidR="006B060B" w:rsidRPr="00594970" w:rsidRDefault="006A1C06" w:rsidP="006B060B">
      <w:r w:rsidRPr="00594970">
        <w:t>Documentation is available that describes the m</w:t>
      </w:r>
      <w:r w:rsidR="003C0C99" w:rsidRPr="00594970">
        <w:t xml:space="preserve">appings </w:t>
      </w:r>
      <w:r w:rsidRPr="00594970">
        <w:t xml:space="preserve">for </w:t>
      </w:r>
      <w:r w:rsidR="003C0C99" w:rsidRPr="00594970">
        <w:t xml:space="preserve">how </w:t>
      </w:r>
      <w:r w:rsidRPr="00594970">
        <w:t xml:space="preserve">the </w:t>
      </w:r>
      <w:r w:rsidR="003C0C99" w:rsidRPr="00594970">
        <w:t>data flow</w:t>
      </w:r>
      <w:r w:rsidRPr="00594970">
        <w:t>s</w:t>
      </w:r>
      <w:r w:rsidR="003C0C99" w:rsidRPr="00594970">
        <w:t xml:space="preserve"> through each of the tables derived by CBMS. They are available through a link located on the CBMS landing page title CBMS User Reference Material under the following path:</w:t>
      </w:r>
    </w:p>
    <w:p w14:paraId="706CE561" w14:textId="77777777" w:rsidR="006B060B" w:rsidRPr="00594970" w:rsidRDefault="0009781E" w:rsidP="006B060B">
      <w:pPr>
        <w:pStyle w:val="CBMSReportPath"/>
      </w:pPr>
      <w:r w:rsidRPr="00594970">
        <w:lastRenderedPageBreak/>
        <w:t xml:space="preserve">CBMS User Reference Material </w:t>
      </w:r>
      <w:r w:rsidR="008459B1" w:rsidRPr="00594970">
        <w:t xml:space="preserve"> </w:t>
      </w:r>
      <w:r w:rsidR="003C0C99" w:rsidRPr="00594970">
        <w:sym w:font="Wingdings" w:char="F0E0"/>
      </w:r>
      <w:r w:rsidR="003C0C99" w:rsidRPr="00594970">
        <w:t xml:space="preserve"> </w:t>
      </w:r>
      <w:r w:rsidRPr="00594970">
        <w:t xml:space="preserve"> 09. Reference Material – CBMS </w:t>
      </w:r>
      <w:r w:rsidR="003C0C99" w:rsidRPr="00594970">
        <w:sym w:font="Wingdings" w:char="F0E0"/>
      </w:r>
      <w:r w:rsidRPr="00594970">
        <w:t xml:space="preserve"> </w:t>
      </w:r>
      <w:r w:rsidR="008459B1" w:rsidRPr="00594970">
        <w:t xml:space="preserve"> </w:t>
      </w:r>
      <w:r w:rsidRPr="00594970">
        <w:t xml:space="preserve">Annual Estimates </w:t>
      </w:r>
      <w:r w:rsidR="003C0C99" w:rsidRPr="00594970">
        <w:sym w:font="Wingdings" w:char="F0E0"/>
      </w:r>
      <w:r w:rsidRPr="00594970">
        <w:t xml:space="preserve"> </w:t>
      </w:r>
      <w:r w:rsidR="008459B1" w:rsidRPr="00594970">
        <w:t xml:space="preserve"> </w:t>
      </w:r>
      <w:r w:rsidRPr="00594970">
        <w:t>PBS, PAES &amp; PSAES Mappings</w:t>
      </w:r>
    </w:p>
    <w:p w14:paraId="61E535A2" w14:textId="23C8FBB4" w:rsidR="00D20057" w:rsidRPr="00594970" w:rsidRDefault="003C0C99" w:rsidP="006114D5">
      <w:pPr>
        <w:rPr>
          <w:i/>
        </w:rPr>
      </w:pPr>
      <w:r w:rsidRPr="00594970">
        <w:rPr>
          <w:noProof/>
          <w:lang w:eastAsia="en-AU"/>
        </w:rPr>
        <w:drawing>
          <wp:inline distT="0" distB="0" distL="0" distR="0" wp14:anchorId="08B480EB" wp14:editId="0FC26B13">
            <wp:extent cx="5759450" cy="1196340"/>
            <wp:effectExtent l="19050" t="19050" r="12700" b="228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1196340"/>
                    </a:xfrm>
                    <a:prstGeom prst="rect">
                      <a:avLst/>
                    </a:prstGeom>
                    <a:ln>
                      <a:solidFill>
                        <a:schemeClr val="tx1"/>
                      </a:solidFill>
                    </a:ln>
                  </pic:spPr>
                </pic:pic>
              </a:graphicData>
            </a:graphic>
          </wp:inline>
        </w:drawing>
      </w:r>
      <w:r w:rsidRPr="00594970">
        <w:br/>
      </w:r>
    </w:p>
    <w:p w14:paraId="3147624B" w14:textId="5A52441A" w:rsidR="00A24AFF" w:rsidRPr="00594970" w:rsidRDefault="00A24AFF" w:rsidP="000137C6">
      <w:pPr>
        <w:pStyle w:val="Bullet1"/>
      </w:pPr>
      <w:r w:rsidRPr="00594970">
        <w:t xml:space="preserve">Entities </w:t>
      </w:r>
      <w:r w:rsidRPr="00594970">
        <w:rPr>
          <w:u w:val="single"/>
        </w:rPr>
        <w:t xml:space="preserve">must </w:t>
      </w:r>
      <w:r w:rsidR="005D06C1" w:rsidRPr="00594970">
        <w:rPr>
          <w:u w:val="single"/>
        </w:rPr>
        <w:t xml:space="preserve">continue to </w:t>
      </w:r>
      <w:r w:rsidRPr="00594970">
        <w:rPr>
          <w:u w:val="single"/>
        </w:rPr>
        <w:t>use</w:t>
      </w:r>
      <w:r w:rsidRPr="00594970">
        <w:t xml:space="preserve"> the Excel templates in </w:t>
      </w:r>
      <w:r w:rsidRPr="00594970">
        <w:rPr>
          <w:u w:val="single"/>
        </w:rPr>
        <w:t xml:space="preserve">Attachment </w:t>
      </w:r>
      <w:r w:rsidR="00561318" w:rsidRPr="00594970">
        <w:rPr>
          <w:u w:val="single"/>
        </w:rPr>
        <w:t>G</w:t>
      </w:r>
      <w:r w:rsidRPr="00594970">
        <w:t xml:space="preserve"> (to the EM) to prepare their PAES document for publication</w:t>
      </w:r>
      <w:r w:rsidR="005D06C1" w:rsidRPr="00594970">
        <w:t xml:space="preserve"> purposes</w:t>
      </w:r>
      <w:r w:rsidRPr="00594970">
        <w:t>.</w:t>
      </w:r>
    </w:p>
    <w:p w14:paraId="1A9293F1" w14:textId="77777777" w:rsidR="00D440F3" w:rsidRPr="00594970" w:rsidRDefault="00CE6232" w:rsidP="005C2636">
      <w:r w:rsidRPr="00594970">
        <w:t>Information for these tables should</w:t>
      </w:r>
      <w:r w:rsidR="00D440F3" w:rsidRPr="00594970">
        <w:t xml:space="preserve"> </w:t>
      </w:r>
      <w:r w:rsidRPr="00594970">
        <w:t xml:space="preserve">also </w:t>
      </w:r>
      <w:r w:rsidR="00D440F3" w:rsidRPr="00594970">
        <w:t xml:space="preserve">be sourced </w:t>
      </w:r>
      <w:r w:rsidR="003A4D91" w:rsidRPr="00594970">
        <w:t>and cross-checked</w:t>
      </w:r>
      <w:r w:rsidR="00D91AD2" w:rsidRPr="00594970">
        <w:t xml:space="preserve"> </w:t>
      </w:r>
      <w:r w:rsidR="00D440F3" w:rsidRPr="00594970">
        <w:t xml:space="preserve">from the following CBMS </w:t>
      </w:r>
      <w:r w:rsidR="00D91AD2" w:rsidRPr="00594970">
        <w:t xml:space="preserve">operational </w:t>
      </w:r>
      <w:r w:rsidR="00D440F3" w:rsidRPr="00594970">
        <w:t>reports:</w:t>
      </w:r>
    </w:p>
    <w:p w14:paraId="04423CFA" w14:textId="616AADF3" w:rsidR="00D440F3" w:rsidRPr="00594970" w:rsidRDefault="00D71792" w:rsidP="000137C6">
      <w:pPr>
        <w:pStyle w:val="Bullet1"/>
      </w:pPr>
      <w:r w:rsidRPr="00594970">
        <w:t xml:space="preserve">Reports </w:t>
      </w:r>
      <w:r w:rsidR="00593CD8" w:rsidRPr="00594970">
        <w:t xml:space="preserve"> </w:t>
      </w:r>
      <w:r w:rsidR="00593CD8" w:rsidRPr="00594970">
        <w:sym w:font="Wingdings" w:char="F0E0"/>
      </w:r>
      <w:r w:rsidR="00593CD8" w:rsidRPr="00594970">
        <w:t xml:space="preserve"> </w:t>
      </w:r>
      <w:r w:rsidR="00D440F3" w:rsidRPr="00594970">
        <w:t xml:space="preserve"> CBMS Reporting </w:t>
      </w:r>
      <w:r w:rsidR="00593CD8" w:rsidRPr="00594970">
        <w:t xml:space="preserve"> </w:t>
      </w:r>
      <w:r w:rsidR="00593CD8" w:rsidRPr="00594970">
        <w:sym w:font="Wingdings" w:char="F0E0"/>
      </w:r>
      <w:r w:rsidR="00593CD8" w:rsidRPr="00594970">
        <w:t xml:space="preserve"> </w:t>
      </w:r>
      <w:r w:rsidR="00D440F3" w:rsidRPr="00594970">
        <w:t xml:space="preserve"> Operational Reports </w:t>
      </w:r>
      <w:r w:rsidR="00593CD8" w:rsidRPr="00594970">
        <w:t xml:space="preserve"> </w:t>
      </w:r>
      <w:r w:rsidR="00593CD8" w:rsidRPr="00594970">
        <w:sym w:font="Wingdings" w:char="F0E0"/>
      </w:r>
      <w:r w:rsidR="00593CD8" w:rsidRPr="00594970">
        <w:t xml:space="preserve"> </w:t>
      </w:r>
      <w:r w:rsidR="00D440F3" w:rsidRPr="00594970">
        <w:t xml:space="preserve"> Estimates </w:t>
      </w:r>
      <w:r w:rsidR="00593CD8" w:rsidRPr="00594970">
        <w:t xml:space="preserve"> </w:t>
      </w:r>
      <w:r w:rsidR="00593CD8" w:rsidRPr="00594970">
        <w:sym w:font="Wingdings" w:char="F0E0"/>
      </w:r>
      <w:r w:rsidR="00593CD8" w:rsidRPr="00594970">
        <w:t xml:space="preserve"> </w:t>
      </w:r>
      <w:r w:rsidR="00D440F3" w:rsidRPr="00594970">
        <w:t xml:space="preserve"> Annual Estimates</w:t>
      </w:r>
      <w:r w:rsidR="00593CD8" w:rsidRPr="00594970">
        <w:t xml:space="preserve"> </w:t>
      </w:r>
      <w:r w:rsidR="00D440F3" w:rsidRPr="00594970">
        <w:t xml:space="preserve"> </w:t>
      </w:r>
      <w:r w:rsidR="00593CD8" w:rsidRPr="00594970">
        <w:sym w:font="Wingdings" w:char="F0E0"/>
      </w:r>
      <w:r w:rsidR="00593CD8" w:rsidRPr="00594970">
        <w:t xml:space="preserve"> </w:t>
      </w:r>
      <w:r w:rsidR="00D440F3" w:rsidRPr="00594970">
        <w:t xml:space="preserve"> AE.OR.01 Annual Estimates Financial Statements</w:t>
      </w:r>
    </w:p>
    <w:p w14:paraId="7C29EDAD" w14:textId="513B3335" w:rsidR="00D440F3" w:rsidRPr="00594970" w:rsidRDefault="00CE6232" w:rsidP="000137C6">
      <w:pPr>
        <w:pStyle w:val="Bullet1"/>
      </w:pPr>
      <w:r w:rsidRPr="00594970">
        <w:rPr>
          <w:b/>
        </w:rPr>
        <w:t>Note</w:t>
      </w:r>
      <w:r w:rsidR="00155ED2" w:rsidRPr="00594970">
        <w:rPr>
          <w:b/>
        </w:rPr>
        <w:t>:</w:t>
      </w:r>
      <w:r w:rsidRPr="00594970">
        <w:t xml:space="preserve"> that all Account H</w:t>
      </w:r>
      <w:r w:rsidR="00D440F3" w:rsidRPr="00594970">
        <w:t>ierarchies should be expanded (by right clicking on one of th</w:t>
      </w:r>
      <w:r w:rsidRPr="00594970">
        <w:t>e</w:t>
      </w:r>
      <w:r w:rsidR="000E0CD9" w:rsidRPr="00594970">
        <w:t xml:space="preserve"> </w:t>
      </w:r>
      <w:r w:rsidRPr="00594970">
        <w:t>Account H</w:t>
      </w:r>
      <w:r w:rsidR="00D440F3" w:rsidRPr="00594970">
        <w:t xml:space="preserve">ierarchy items and selecting Hierarchical Navigation &gt; All &gt; Expand all hierarchies) prior to </w:t>
      </w:r>
      <w:r w:rsidR="00692786" w:rsidRPr="00594970">
        <w:t xml:space="preserve">exporting </w:t>
      </w:r>
      <w:r w:rsidR="00D440F3" w:rsidRPr="00594970">
        <w:t>reports</w:t>
      </w:r>
      <w:r w:rsidR="00EE43B1" w:rsidRPr="00594970">
        <w:t>.</w:t>
      </w:r>
    </w:p>
    <w:p w14:paraId="405F8C38" w14:textId="2E77E5EA" w:rsidR="00D440F3" w:rsidRPr="00594970" w:rsidRDefault="00D71792" w:rsidP="000137C6">
      <w:pPr>
        <w:pStyle w:val="Bullet1"/>
      </w:pPr>
      <w:r w:rsidRPr="00594970">
        <w:t xml:space="preserve">Reports </w:t>
      </w:r>
      <w:r w:rsidR="00593CD8" w:rsidRPr="00594970">
        <w:t xml:space="preserve"> </w:t>
      </w:r>
      <w:r w:rsidR="00593CD8" w:rsidRPr="00594970">
        <w:sym w:font="Wingdings" w:char="F0E0"/>
      </w:r>
      <w:r w:rsidR="00593CD8" w:rsidRPr="00594970">
        <w:t xml:space="preserve"> </w:t>
      </w:r>
      <w:r w:rsidR="00D440F3" w:rsidRPr="00594970">
        <w:t xml:space="preserve"> CBMS Reporting </w:t>
      </w:r>
      <w:r w:rsidR="00593CD8" w:rsidRPr="00594970">
        <w:t xml:space="preserve"> </w:t>
      </w:r>
      <w:r w:rsidR="00593CD8" w:rsidRPr="00594970">
        <w:sym w:font="Wingdings" w:char="F0E0"/>
      </w:r>
      <w:r w:rsidR="00D440F3" w:rsidRPr="00594970">
        <w:t xml:space="preserve"> </w:t>
      </w:r>
      <w:r w:rsidR="00593CD8" w:rsidRPr="00594970">
        <w:t xml:space="preserve"> </w:t>
      </w:r>
      <w:r w:rsidR="00D440F3" w:rsidRPr="00594970">
        <w:t xml:space="preserve">Operational Reports </w:t>
      </w:r>
      <w:r w:rsidR="00593CD8" w:rsidRPr="00594970">
        <w:t xml:space="preserve"> </w:t>
      </w:r>
      <w:r w:rsidR="00593CD8" w:rsidRPr="00594970">
        <w:sym w:font="Wingdings" w:char="F0E0"/>
      </w:r>
      <w:r w:rsidR="00593CD8" w:rsidRPr="00594970">
        <w:t xml:space="preserve"> </w:t>
      </w:r>
      <w:r w:rsidR="00D440F3" w:rsidRPr="00594970">
        <w:t xml:space="preserve"> Estimates </w:t>
      </w:r>
      <w:r w:rsidR="00593CD8" w:rsidRPr="00594970">
        <w:t xml:space="preserve"> </w:t>
      </w:r>
      <w:r w:rsidR="00593CD8" w:rsidRPr="00594970">
        <w:sym w:font="Wingdings" w:char="F0E0"/>
      </w:r>
      <w:r w:rsidR="00593CD8" w:rsidRPr="00594970">
        <w:t xml:space="preserve"> </w:t>
      </w:r>
      <w:r w:rsidR="00D440F3" w:rsidRPr="00594970">
        <w:t xml:space="preserve"> Annual Estimates </w:t>
      </w:r>
      <w:r w:rsidR="00593CD8" w:rsidRPr="00594970">
        <w:t xml:space="preserve"> </w:t>
      </w:r>
      <w:r w:rsidR="00593CD8" w:rsidRPr="00594970">
        <w:sym w:font="Wingdings" w:char="F0E0"/>
      </w:r>
      <w:r w:rsidR="00593CD8" w:rsidRPr="00594970">
        <w:t xml:space="preserve"> </w:t>
      </w:r>
      <w:r w:rsidR="00D440F3" w:rsidRPr="00594970">
        <w:t xml:space="preserve"> AE.OR.02 Annual Estimates</w:t>
      </w:r>
      <w:r w:rsidR="00692786" w:rsidRPr="00594970">
        <w:t xml:space="preserve"> Assets</w:t>
      </w:r>
      <w:r w:rsidR="00D440F3" w:rsidRPr="00594970">
        <w:t xml:space="preserve"> and Equity Report</w:t>
      </w:r>
    </w:p>
    <w:p w14:paraId="2C9323C6" w14:textId="08B66D52" w:rsidR="00D440F3" w:rsidRPr="00594970" w:rsidRDefault="00D71792" w:rsidP="000137C6">
      <w:pPr>
        <w:pStyle w:val="Bullet1"/>
      </w:pPr>
      <w:r w:rsidRPr="00594970">
        <w:t xml:space="preserve">Reports </w:t>
      </w:r>
      <w:r w:rsidR="00593CD8" w:rsidRPr="00594970">
        <w:t xml:space="preserve"> </w:t>
      </w:r>
      <w:r w:rsidR="00593CD8" w:rsidRPr="00594970">
        <w:sym w:font="Wingdings" w:char="F0E0"/>
      </w:r>
      <w:r w:rsidR="00593CD8" w:rsidRPr="00594970">
        <w:t xml:space="preserve"> </w:t>
      </w:r>
      <w:r w:rsidR="00D440F3" w:rsidRPr="00594970">
        <w:t xml:space="preserve"> CBMS Reporting </w:t>
      </w:r>
      <w:r w:rsidR="00593CD8" w:rsidRPr="00594970">
        <w:t xml:space="preserve"> </w:t>
      </w:r>
      <w:r w:rsidR="00593CD8" w:rsidRPr="00594970">
        <w:sym w:font="Wingdings" w:char="F0E0"/>
      </w:r>
      <w:r w:rsidR="00D440F3" w:rsidRPr="00594970">
        <w:t xml:space="preserve"> </w:t>
      </w:r>
      <w:r w:rsidR="00593CD8" w:rsidRPr="00594970">
        <w:t xml:space="preserve"> </w:t>
      </w:r>
      <w:r w:rsidR="00D440F3" w:rsidRPr="00594970">
        <w:t xml:space="preserve">Operational Reports </w:t>
      </w:r>
      <w:r w:rsidR="00593CD8" w:rsidRPr="00594970">
        <w:t xml:space="preserve"> </w:t>
      </w:r>
      <w:r w:rsidR="00593CD8" w:rsidRPr="00594970">
        <w:sym w:font="Wingdings" w:char="F0E0"/>
      </w:r>
      <w:r w:rsidR="00593CD8" w:rsidRPr="00594970">
        <w:t xml:space="preserve"> </w:t>
      </w:r>
      <w:r w:rsidR="00D440F3" w:rsidRPr="00594970">
        <w:t xml:space="preserve"> Estimates </w:t>
      </w:r>
      <w:r w:rsidR="00593CD8" w:rsidRPr="00594970">
        <w:t xml:space="preserve"> </w:t>
      </w:r>
      <w:r w:rsidR="00593CD8" w:rsidRPr="00594970">
        <w:sym w:font="Wingdings" w:char="F0E0"/>
      </w:r>
      <w:r w:rsidR="00593CD8" w:rsidRPr="00594970">
        <w:t xml:space="preserve"> </w:t>
      </w:r>
      <w:r w:rsidR="00D440F3" w:rsidRPr="00594970">
        <w:t xml:space="preserve"> Annual Estimates </w:t>
      </w:r>
      <w:r w:rsidR="00593CD8" w:rsidRPr="00594970">
        <w:t xml:space="preserve"> </w:t>
      </w:r>
      <w:r w:rsidR="00593CD8" w:rsidRPr="00594970">
        <w:sym w:font="Wingdings" w:char="F0E0"/>
      </w:r>
      <w:r w:rsidR="00593CD8" w:rsidRPr="00594970">
        <w:t xml:space="preserve"> </w:t>
      </w:r>
      <w:r w:rsidR="00D440F3" w:rsidRPr="00594970">
        <w:t xml:space="preserve"> AE.OR.06 </w:t>
      </w:r>
      <w:r w:rsidR="00692786" w:rsidRPr="00594970">
        <w:t xml:space="preserve">Annual Estimates </w:t>
      </w:r>
      <w:r w:rsidR="00D440F3" w:rsidRPr="00594970">
        <w:t>Capital Budget Statement Report</w:t>
      </w:r>
    </w:p>
    <w:p w14:paraId="598C918B" w14:textId="77777777" w:rsidR="00B9612C" w:rsidRPr="00594970" w:rsidRDefault="00B9612C" w:rsidP="00F31EC9"/>
    <w:p w14:paraId="356FD695" w14:textId="77777777" w:rsidR="00297F37" w:rsidRPr="00594970" w:rsidRDefault="00297F37" w:rsidP="00F31EC9">
      <w:pPr>
        <w:rPr>
          <w:rFonts w:asciiTheme="majorHAnsi" w:eastAsiaTheme="majorEastAsia" w:hAnsiTheme="majorHAnsi" w:cstheme="majorBidi"/>
          <w:bCs/>
          <w:color w:val="1C1C1C" w:themeColor="text2"/>
        </w:rPr>
      </w:pPr>
      <w:bookmarkStart w:id="150" w:name="Contacts"/>
      <w:bookmarkStart w:id="151" w:name="_bookmark45"/>
      <w:bookmarkEnd w:id="150"/>
      <w:bookmarkEnd w:id="151"/>
      <w:r w:rsidRPr="00594970">
        <w:br w:type="page"/>
      </w:r>
    </w:p>
    <w:p w14:paraId="1066907A" w14:textId="089ACB24" w:rsidR="00D440F3" w:rsidRPr="00594970" w:rsidRDefault="00D440F3" w:rsidP="004A02E5">
      <w:pPr>
        <w:pStyle w:val="Heading1"/>
      </w:pPr>
      <w:bookmarkStart w:id="152" w:name="_Toc26963590"/>
      <w:r w:rsidRPr="00594970">
        <w:lastRenderedPageBreak/>
        <w:t>Contacts</w:t>
      </w:r>
      <w:bookmarkEnd w:id="152"/>
    </w:p>
    <w:p w14:paraId="49C1474D" w14:textId="77777777" w:rsidR="00D440F3" w:rsidRPr="00594970" w:rsidRDefault="00D440F3" w:rsidP="005C2636">
      <w:pPr>
        <w:rPr>
          <w:u w:val="single"/>
        </w:rPr>
      </w:pPr>
      <w:r w:rsidRPr="00594970">
        <w:rPr>
          <w:u w:val="single"/>
        </w:rPr>
        <w:t>Department of Finance</w:t>
      </w:r>
    </w:p>
    <w:p w14:paraId="2441DA9C" w14:textId="7C07EF43" w:rsidR="00D440F3" w:rsidRPr="00594970" w:rsidRDefault="00D440F3" w:rsidP="005C2636">
      <w:r w:rsidRPr="00594970">
        <w:t xml:space="preserve">In the first instance, entities </w:t>
      </w:r>
      <w:r w:rsidR="00D71792" w:rsidRPr="00594970">
        <w:t xml:space="preserve">with enquiries </w:t>
      </w:r>
      <w:r w:rsidRPr="00594970">
        <w:t>should contact the</w:t>
      </w:r>
      <w:r w:rsidR="00B20F11" w:rsidRPr="00594970">
        <w:t>ir</w:t>
      </w:r>
      <w:r w:rsidRPr="00594970">
        <w:t xml:space="preserve"> relevant AAU.</w:t>
      </w:r>
    </w:p>
    <w:p w14:paraId="0E6FCA1C" w14:textId="77777777" w:rsidR="00D440F3" w:rsidRPr="00594970" w:rsidRDefault="00D440F3" w:rsidP="005C2636">
      <w:r w:rsidRPr="00594970">
        <w:t>For guidance on the preparation of the PAES (except for performance-related information), entities should contact the Budget Reporting and Framework Team:</w:t>
      </w:r>
    </w:p>
    <w:p w14:paraId="71A9427A" w14:textId="39709279" w:rsidR="00E53BB9" w:rsidRPr="00594970" w:rsidRDefault="001859E7" w:rsidP="006114D5">
      <w:hyperlink r:id="rId46" w:history="1">
        <w:r w:rsidR="00E53BB9" w:rsidRPr="00594970">
          <w:rPr>
            <w:rStyle w:val="Hyperlink"/>
          </w:rPr>
          <w:t>Budget_Framework@finance.gov.au</w:t>
        </w:r>
      </w:hyperlink>
      <w:r w:rsidR="00E53BB9" w:rsidRPr="00594970">
        <w:t xml:space="preserve"> </w:t>
      </w:r>
      <w:r w:rsidR="00D60341" w:rsidRPr="00594970">
        <w:t xml:space="preserve">  </w:t>
      </w:r>
      <w:r w:rsidR="00E53BB9" w:rsidRPr="00594970">
        <w:t>(emails rated up to Protected)</w:t>
      </w:r>
    </w:p>
    <w:p w14:paraId="3A148487" w14:textId="39705506" w:rsidR="00B20F11" w:rsidRPr="00594970" w:rsidRDefault="00B20F11" w:rsidP="006114D5">
      <w:r w:rsidRPr="00594970">
        <w:tab/>
      </w:r>
      <w:r w:rsidRPr="00594970">
        <w:tab/>
        <w:t>(02) 6215 3209</w:t>
      </w:r>
    </w:p>
    <w:p w14:paraId="1AF41531" w14:textId="2D336699" w:rsidR="00D440F3" w:rsidRPr="00594970" w:rsidRDefault="00EE43B1" w:rsidP="006114D5">
      <w:r w:rsidRPr="00594970">
        <w:tab/>
      </w:r>
      <w:r w:rsidR="00EC2C15" w:rsidRPr="00594970">
        <w:tab/>
      </w:r>
      <w:r w:rsidR="00B20F11" w:rsidRPr="00594970">
        <w:t xml:space="preserve">(02) 6215 </w:t>
      </w:r>
      <w:r w:rsidRPr="00594970">
        <w:t>3094</w:t>
      </w:r>
    </w:p>
    <w:p w14:paraId="723B3C11" w14:textId="7C7C0F2B" w:rsidR="00E53BB9" w:rsidRPr="00594970" w:rsidRDefault="00E53BB9" w:rsidP="005C2636">
      <w:r w:rsidRPr="00594970">
        <w:t>For guidance on performance information and annual performance statements (Section 2 of the PAES; excluding Table 2.x.1 and 2.x.2), corporate plans and annual reports</w:t>
      </w:r>
      <w:r w:rsidR="000A4208" w:rsidRPr="00594970">
        <w:t>,</w:t>
      </w:r>
      <w:r w:rsidRPr="00594970">
        <w:t xml:space="preserve"> entities should contact the </w:t>
      </w:r>
      <w:r w:rsidR="00055C84" w:rsidRPr="00594970">
        <w:t>Accountability and Reporting</w:t>
      </w:r>
      <w:r w:rsidRPr="00594970">
        <w:t xml:space="preserve"> Branch (</w:t>
      </w:r>
      <w:hyperlink r:id="rId47" w:history="1">
        <w:r w:rsidR="007E676E" w:rsidRPr="00E454D2">
          <w:rPr>
            <w:rStyle w:val="Hyperlink"/>
          </w:rPr>
          <w:t>PGPA@finance.gov.au</w:t>
        </w:r>
      </w:hyperlink>
      <w:r w:rsidRPr="00594970">
        <w:t>) or</w:t>
      </w:r>
      <w:r w:rsidR="004572F4" w:rsidRPr="00594970">
        <w:t xml:space="preserve"> </w:t>
      </w:r>
      <w:r w:rsidRPr="00594970">
        <w:t>(02) 6215 3130.</w:t>
      </w:r>
    </w:p>
    <w:p w14:paraId="5A7C6946" w14:textId="701AF57A" w:rsidR="00E53BB9" w:rsidRPr="00594970" w:rsidRDefault="00E53BB9" w:rsidP="005C2636">
      <w:r w:rsidRPr="00594970">
        <w:t>For guidance on the production of the Appropriation Bills, including the CFO sign-off process and outcome changes, entities should contact the Annual Appropriation Team (</w:t>
      </w:r>
      <w:hyperlink r:id="rId48" w:history="1">
        <w:r w:rsidR="00807B83" w:rsidRPr="00594970">
          <w:rPr>
            <w:rStyle w:val="Hyperlink"/>
            <w:rFonts w:cstheme="minorBidi"/>
          </w:rPr>
          <w:t>annual.appropriations@finance.gov.au</w:t>
        </w:r>
      </w:hyperlink>
      <w:r w:rsidR="00807B83" w:rsidRPr="00594970">
        <w:rPr>
          <w:u w:color="0070C0"/>
        </w:rPr>
        <w:t xml:space="preserve">) </w:t>
      </w:r>
      <w:r w:rsidRPr="00594970">
        <w:t xml:space="preserve">or (02) 6215 </w:t>
      </w:r>
      <w:r w:rsidR="00EE43B1" w:rsidRPr="00594970">
        <w:t>1758</w:t>
      </w:r>
      <w:r w:rsidRPr="00594970">
        <w:t xml:space="preserve"> or (02) 6215 3804.</w:t>
      </w:r>
    </w:p>
    <w:p w14:paraId="4EF17FD6" w14:textId="19CA3D68" w:rsidR="00E53BB9" w:rsidRPr="00594970" w:rsidRDefault="00E53BB9" w:rsidP="005C2636">
      <w:r w:rsidRPr="00594970">
        <w:t xml:space="preserve">For guidance </w:t>
      </w:r>
      <w:r w:rsidR="00413CAC" w:rsidRPr="00594970">
        <w:t xml:space="preserve">on </w:t>
      </w:r>
      <w:r w:rsidRPr="00594970">
        <w:t xml:space="preserve">ASL reporting, entities should contact </w:t>
      </w:r>
      <w:r w:rsidR="00413CAC" w:rsidRPr="00594970">
        <w:t>the Budget Analysis and Policy Branch (</w:t>
      </w:r>
      <w:hyperlink r:id="rId49" w:history="1">
        <w:r w:rsidR="00413CAC" w:rsidRPr="00594970">
          <w:rPr>
            <w:rStyle w:val="Hyperlink"/>
            <w:rFonts w:cstheme="minorBidi"/>
          </w:rPr>
          <w:t>asl@finance.gov.au</w:t>
        </w:r>
      </w:hyperlink>
      <w:r w:rsidR="00413CAC" w:rsidRPr="00594970">
        <w:t xml:space="preserve">) or </w:t>
      </w:r>
      <w:r w:rsidR="00A40A7F" w:rsidRPr="00594970">
        <w:t xml:space="preserve">(02) 6215 </w:t>
      </w:r>
      <w:r w:rsidR="00413CAC" w:rsidRPr="00594970">
        <w:t>1969.</w:t>
      </w:r>
    </w:p>
    <w:p w14:paraId="2C6E5F09" w14:textId="03924F43" w:rsidR="00E53BB9" w:rsidRPr="00594970" w:rsidRDefault="00E53BB9" w:rsidP="005C2636">
      <w:r w:rsidRPr="00594970">
        <w:t>For guidance on Cash Management or withholdings/quarantines, entities should contact the Official Public Account Administration and Banking Team</w:t>
      </w:r>
      <w:r w:rsidR="000E0CD9" w:rsidRPr="00594970">
        <w:t xml:space="preserve"> (</w:t>
      </w:r>
      <w:hyperlink r:id="rId50" w:history="1">
        <w:r w:rsidR="000E0CD9" w:rsidRPr="00594970">
          <w:rPr>
            <w:rStyle w:val="Hyperlink"/>
          </w:rPr>
          <w:t>OPAAdmin@finance.gov.au</w:t>
        </w:r>
      </w:hyperlink>
      <w:r w:rsidR="000E0CD9" w:rsidRPr="00594970">
        <w:rPr>
          <w:rStyle w:val="Hyperlink"/>
        </w:rPr>
        <w:t>)</w:t>
      </w:r>
      <w:r w:rsidRPr="00594970">
        <w:t xml:space="preserve"> </w:t>
      </w:r>
      <w:r w:rsidR="000E0CD9" w:rsidRPr="00594970">
        <w:t>or</w:t>
      </w:r>
      <w:r w:rsidRPr="00594970">
        <w:t xml:space="preserve"> (02) 6215 3660.</w:t>
      </w:r>
    </w:p>
    <w:p w14:paraId="48B71771" w14:textId="77777777" w:rsidR="00E53BB9" w:rsidRPr="00594970" w:rsidRDefault="00E53BB9" w:rsidP="005C2636"/>
    <w:p w14:paraId="330B211E" w14:textId="77777777" w:rsidR="00E53BB9" w:rsidRPr="00594970" w:rsidRDefault="00E53BB9" w:rsidP="005C2636">
      <w:pPr>
        <w:rPr>
          <w:u w:val="single"/>
        </w:rPr>
      </w:pPr>
      <w:r w:rsidRPr="00594970">
        <w:rPr>
          <w:u w:val="single"/>
        </w:rPr>
        <w:t>Treasury</w:t>
      </w:r>
    </w:p>
    <w:p w14:paraId="6E01C0EF" w14:textId="50678551" w:rsidR="00E53BB9" w:rsidRPr="00594970" w:rsidRDefault="00E53BB9" w:rsidP="00E53BB9">
      <w:r w:rsidRPr="00594970">
        <w:t>Treasury can assist with document formatting issues and with uploading to Budget.gov.au</w:t>
      </w:r>
      <w:r w:rsidR="000A4208" w:rsidRPr="00594970">
        <w:t>.</w:t>
      </w:r>
    </w:p>
    <w:p w14:paraId="5453778D" w14:textId="1EF76B6C" w:rsidR="00E53BB9" w:rsidRPr="00594970" w:rsidRDefault="00E53BB9" w:rsidP="005C2636">
      <w:r w:rsidRPr="00594970">
        <w:t>Publications team</w:t>
      </w:r>
      <w:r w:rsidRPr="00594970">
        <w:tab/>
      </w:r>
      <w:hyperlink r:id="rId51" w:history="1">
        <w:r w:rsidRPr="00594970">
          <w:rPr>
            <w:rStyle w:val="Hyperlink"/>
            <w:rFonts w:cstheme="minorBidi"/>
          </w:rPr>
          <w:t>budgetpublishing@treasury.gov.au</w:t>
        </w:r>
      </w:hyperlink>
      <w:r w:rsidRPr="00594970">
        <w:t xml:space="preserve"> </w:t>
      </w:r>
      <w:r w:rsidR="00EC2C15" w:rsidRPr="00594970">
        <w:tab/>
      </w:r>
      <w:r w:rsidRPr="00594970">
        <w:tab/>
        <w:t>(02) 6263 4000</w:t>
      </w:r>
    </w:p>
    <w:p w14:paraId="1F3AD36B" w14:textId="77777777" w:rsidR="00A24AFF" w:rsidRPr="00594970" w:rsidRDefault="00A24AFF" w:rsidP="005C2636">
      <w:pPr>
        <w:rPr>
          <w:u w:val="single"/>
        </w:rPr>
      </w:pPr>
    </w:p>
    <w:p w14:paraId="664F39F4" w14:textId="77777777" w:rsidR="00297F37" w:rsidRPr="00594970" w:rsidRDefault="00297F37">
      <w:pPr>
        <w:suppressAutoHyphens w:val="0"/>
        <w:spacing w:before="0" w:after="120" w:line="440" w:lineRule="atLeast"/>
        <w:rPr>
          <w:u w:val="single"/>
        </w:rPr>
      </w:pPr>
      <w:r w:rsidRPr="00594970">
        <w:rPr>
          <w:u w:val="single"/>
        </w:rPr>
        <w:br w:type="page"/>
      </w:r>
    </w:p>
    <w:p w14:paraId="2ECD6DB0" w14:textId="5429E551" w:rsidR="00E53BB9" w:rsidRPr="00594970" w:rsidRDefault="00E53BB9" w:rsidP="005C2636">
      <w:pPr>
        <w:rPr>
          <w:u w:val="single"/>
        </w:rPr>
      </w:pPr>
      <w:r w:rsidRPr="00594970">
        <w:rPr>
          <w:u w:val="single"/>
        </w:rPr>
        <w:lastRenderedPageBreak/>
        <w:t>CanPrint</w:t>
      </w:r>
    </w:p>
    <w:p w14:paraId="05CC57AB" w14:textId="77777777" w:rsidR="00E53BB9" w:rsidRPr="00594970" w:rsidRDefault="00E53BB9" w:rsidP="005C2636">
      <w:r w:rsidRPr="00594970">
        <w:t>It is strongly recommended that Portfolio departments contact CanPrint to arrange printing for the PAES.  If printing is carried out ‘in-house’ or with another printer</w:t>
      </w:r>
      <w:r w:rsidR="005A2B0D" w:rsidRPr="00594970">
        <w:t>,</w:t>
      </w:r>
      <w:r w:rsidRPr="00594970">
        <w:t xml:space="preserve"> entities must liaise with Finance to ensure that cover stock, colour and text is consistent w</w:t>
      </w:r>
      <w:r w:rsidR="00BA6FE0" w:rsidRPr="00594970">
        <w:t>ith all other Portfolio departments</w:t>
      </w:r>
      <w:r w:rsidRPr="00594970">
        <w:t xml:space="preserve"> and that the delivery process to Parliament House in coordinated.</w:t>
      </w:r>
    </w:p>
    <w:p w14:paraId="76650218" w14:textId="77777777" w:rsidR="00E53BB9" w:rsidRPr="00594970" w:rsidRDefault="00E53BB9" w:rsidP="005C2636">
      <w:r w:rsidRPr="00594970">
        <w:t>It is the responsibility of each Portfolio departments to arrange the printing and secure freighting of their PAES.</w:t>
      </w:r>
    </w:p>
    <w:p w14:paraId="5FEEB54A" w14:textId="77777777" w:rsidR="00E53BB9" w:rsidRPr="00594970" w:rsidRDefault="007F2E5E" w:rsidP="00E53BB9">
      <w:r w:rsidRPr="00594970">
        <w:br/>
      </w:r>
      <w:r w:rsidR="00E53BB9" w:rsidRPr="00594970">
        <w:t>Contact details for CanPrint Communications Pty Ltd are:</w:t>
      </w:r>
    </w:p>
    <w:p w14:paraId="63ADCC78" w14:textId="25CCFDE6" w:rsidR="00E53BB9" w:rsidRPr="00594970" w:rsidRDefault="00E53BB9" w:rsidP="00E53BB9">
      <w:r w:rsidRPr="00594970">
        <w:tab/>
      </w:r>
      <w:r w:rsidRPr="00594970">
        <w:tab/>
      </w:r>
      <w:r w:rsidR="004572F4" w:rsidRPr="00594970">
        <w:tab/>
      </w:r>
      <w:r w:rsidR="00F54A3A" w:rsidRPr="00594970">
        <w:t>(02) 6295 4427</w:t>
      </w:r>
    </w:p>
    <w:p w14:paraId="1D8A09B6" w14:textId="37758F32" w:rsidR="00E43B37" w:rsidRPr="00594970" w:rsidRDefault="00F54A3A" w:rsidP="00E43B37">
      <w:r w:rsidRPr="00594970">
        <w:tab/>
      </w:r>
      <w:r w:rsidR="001A3C42">
        <w:tab/>
      </w:r>
      <w:r w:rsidR="00E43B37" w:rsidRPr="00594970">
        <w:tab/>
        <w:t>(02) 6295 4438</w:t>
      </w:r>
    </w:p>
    <w:p w14:paraId="53A35718" w14:textId="10DF9532" w:rsidR="00E53BB9" w:rsidRPr="00594970" w:rsidRDefault="00E53BB9" w:rsidP="00E53BB9">
      <w:r w:rsidRPr="00594970">
        <w:t>Address:</w:t>
      </w:r>
      <w:r w:rsidRPr="00594970">
        <w:tab/>
      </w:r>
      <w:r w:rsidRPr="00594970">
        <w:tab/>
      </w:r>
      <w:proofErr w:type="spellStart"/>
      <w:r w:rsidRPr="00594970">
        <w:t>Canprint</w:t>
      </w:r>
      <w:proofErr w:type="spellEnd"/>
      <w:r w:rsidRPr="00594970">
        <w:t xml:space="preserve"> Communications Pty Ltd</w:t>
      </w:r>
    </w:p>
    <w:p w14:paraId="3C51149A" w14:textId="77777777" w:rsidR="00E53BB9" w:rsidRPr="00594970" w:rsidRDefault="00E53BB9" w:rsidP="005C2636">
      <w:pPr>
        <w:ind w:left="2160"/>
      </w:pPr>
      <w:r w:rsidRPr="00594970">
        <w:t xml:space="preserve">16 </w:t>
      </w:r>
      <w:proofErr w:type="spellStart"/>
      <w:r w:rsidRPr="00594970">
        <w:t>Nyrang</w:t>
      </w:r>
      <w:proofErr w:type="spellEnd"/>
      <w:r w:rsidRPr="00594970">
        <w:t xml:space="preserve"> Street</w:t>
      </w:r>
    </w:p>
    <w:p w14:paraId="0D902C78" w14:textId="77777777" w:rsidR="00E53BB9" w:rsidRPr="00594970" w:rsidRDefault="00E53BB9" w:rsidP="005C2636">
      <w:pPr>
        <w:ind w:left="1440" w:firstLine="720"/>
      </w:pPr>
      <w:r w:rsidRPr="00594970">
        <w:t>Fyshwick, ACT 2609</w:t>
      </w:r>
    </w:p>
    <w:p w14:paraId="4B63FE47" w14:textId="3AA8E9BF" w:rsidR="00AD27FA" w:rsidRPr="00594970" w:rsidRDefault="00AD27FA">
      <w:pPr>
        <w:suppressAutoHyphens w:val="0"/>
        <w:spacing w:before="0" w:after="120" w:line="440" w:lineRule="atLeast"/>
        <w:rPr>
          <w:u w:val="single"/>
        </w:rPr>
      </w:pPr>
    </w:p>
    <w:p w14:paraId="561ED769" w14:textId="77777777" w:rsidR="00E53BB9" w:rsidRPr="00594970" w:rsidRDefault="00E53BB9" w:rsidP="005C2636">
      <w:pPr>
        <w:rPr>
          <w:u w:val="single"/>
        </w:rPr>
      </w:pPr>
      <w:r w:rsidRPr="00594970">
        <w:rPr>
          <w:u w:val="single"/>
        </w:rPr>
        <w:t>Senate Table Office</w:t>
      </w:r>
    </w:p>
    <w:p w14:paraId="02E5F435" w14:textId="77777777" w:rsidR="00E53BB9" w:rsidRPr="00594970" w:rsidRDefault="00E53BB9" w:rsidP="005C2636">
      <w:r w:rsidRPr="00594970">
        <w:t>The Senate Table Office receives and distributes PAES to Senators. They also receive PAES on behalf of the House of Representatives and the Parliamentary Library. Their contact details are:</w:t>
      </w:r>
    </w:p>
    <w:p w14:paraId="4AD6535E" w14:textId="1BF22916" w:rsidR="00E53BB9" w:rsidRPr="00594970" w:rsidRDefault="001859E7" w:rsidP="005C2636">
      <w:hyperlink r:id="rId52" w:history="1">
        <w:r w:rsidR="00E53BB9" w:rsidRPr="00594970">
          <w:rPr>
            <w:rStyle w:val="Hyperlink"/>
            <w:rFonts w:cstheme="minorBidi"/>
          </w:rPr>
          <w:t>table.docs@aph.gov.au</w:t>
        </w:r>
      </w:hyperlink>
      <w:r w:rsidR="00E53BB9" w:rsidRPr="00594970">
        <w:t xml:space="preserve">                            </w:t>
      </w:r>
      <w:r w:rsidR="00E53BB9" w:rsidRPr="00594970">
        <w:tab/>
      </w:r>
      <w:r w:rsidR="00E53BB9" w:rsidRPr="00594970">
        <w:tab/>
      </w:r>
      <w:r w:rsidR="00E53BB9" w:rsidRPr="00594970">
        <w:tab/>
      </w:r>
      <w:r w:rsidR="00E53BB9" w:rsidRPr="00594970">
        <w:tab/>
        <w:t>(02) 6277 3037</w:t>
      </w:r>
    </w:p>
    <w:p w14:paraId="61598A2C" w14:textId="77777777" w:rsidR="00E53BB9" w:rsidRPr="00594970" w:rsidRDefault="00E53BB9" w:rsidP="005C2636">
      <w:r w:rsidRPr="00594970">
        <w:t>Address:</w:t>
      </w:r>
      <w:r w:rsidRPr="00594970">
        <w:tab/>
      </w:r>
      <w:r w:rsidRPr="00594970">
        <w:tab/>
        <w:t>Room SG 25</w:t>
      </w:r>
    </w:p>
    <w:p w14:paraId="59115F32" w14:textId="6CC409F2" w:rsidR="00E53BB9" w:rsidRPr="00594970" w:rsidRDefault="00E53BB9" w:rsidP="00E53BB9">
      <w:pPr>
        <w:ind w:left="1440" w:firstLine="720"/>
      </w:pPr>
      <w:r w:rsidRPr="00594970">
        <w:t>Department of the Senate</w:t>
      </w:r>
    </w:p>
    <w:p w14:paraId="0A7DE918" w14:textId="37BE793B" w:rsidR="00E53BB9" w:rsidRPr="00594970" w:rsidRDefault="00E53BB9" w:rsidP="00E53BB9">
      <w:pPr>
        <w:ind w:left="1440" w:firstLine="720"/>
      </w:pPr>
      <w:r w:rsidRPr="00594970">
        <w:t>Parliament House</w:t>
      </w:r>
    </w:p>
    <w:p w14:paraId="1B63EEB9" w14:textId="77777777" w:rsidR="00E53BB9" w:rsidRPr="00486EA2" w:rsidRDefault="00E53BB9" w:rsidP="00E53BB9">
      <w:pPr>
        <w:ind w:left="1440" w:firstLine="720"/>
      </w:pPr>
      <w:r w:rsidRPr="00594970">
        <w:t>Canberra, ACT 2600</w:t>
      </w:r>
    </w:p>
    <w:p w14:paraId="63CA011A" w14:textId="77777777" w:rsidR="005D3E0C" w:rsidRPr="00486EA2" w:rsidRDefault="005D3E0C" w:rsidP="005C2636"/>
    <w:sectPr w:rsidR="005D3E0C" w:rsidRPr="00486EA2" w:rsidSect="0086525E">
      <w:headerReference w:type="default" r:id="rId53"/>
      <w:footerReference w:type="default" r:id="rId54"/>
      <w:pgSz w:w="11906" w:h="16838" w:code="9"/>
      <w:pgMar w:top="1418" w:right="1418" w:bottom="1276" w:left="1418" w:header="567"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D9408" w14:textId="77777777" w:rsidR="00F83D32" w:rsidRDefault="00F83D32" w:rsidP="00EF4574">
      <w:pPr>
        <w:spacing w:before="0" w:after="0" w:line="240" w:lineRule="auto"/>
      </w:pPr>
      <w:r>
        <w:separator/>
      </w:r>
    </w:p>
    <w:p w14:paraId="3CF4EE0B" w14:textId="77777777" w:rsidR="00F83D32" w:rsidRDefault="00F83D32"/>
  </w:endnote>
  <w:endnote w:type="continuationSeparator" w:id="0">
    <w:p w14:paraId="573BF0D4" w14:textId="77777777" w:rsidR="00F83D32" w:rsidRDefault="00F83D32" w:rsidP="00EF4574">
      <w:pPr>
        <w:spacing w:before="0" w:after="0" w:line="240" w:lineRule="auto"/>
      </w:pPr>
      <w:r>
        <w:continuationSeparator/>
      </w:r>
    </w:p>
    <w:p w14:paraId="3192DA65" w14:textId="77777777" w:rsidR="00F83D32" w:rsidRDefault="00F83D32"/>
  </w:endnote>
  <w:endnote w:type="continuationNotice" w:id="1">
    <w:p w14:paraId="179158FD" w14:textId="77777777" w:rsidR="00F83D32" w:rsidRDefault="00F83D32" w:rsidP="0088364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Sans-500">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EB4DD" w14:textId="77777777" w:rsidR="00F83D32" w:rsidRDefault="00F83D32" w:rsidP="005D3E0C">
    <w:pPr>
      <w:pStyle w:val="Footer"/>
      <w:jc w:val="right"/>
      <w:rPr>
        <w:noProof/>
      </w:rPr>
    </w:pPr>
  </w:p>
  <w:sdt>
    <w:sdtPr>
      <w:rPr>
        <w:rStyle w:val="Classification"/>
      </w:rPr>
      <w:alias w:val="Status"/>
      <w:tag w:val=""/>
      <w:id w:val="-417335778"/>
      <w:placeholder>
        <w:docPart w:val="5C4B31DB2C8C4092A163BC9FC728C771"/>
      </w:placeholder>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p w14:paraId="2A5D52FC" w14:textId="77777777" w:rsidR="00F83D32" w:rsidRPr="005C2636" w:rsidRDefault="00F83D32" w:rsidP="005C2636">
        <w:pPr>
          <w:pStyle w:val="Footer"/>
          <w:jc w:val="center"/>
          <w:rPr>
            <w:rStyle w:val="Classification"/>
          </w:rPr>
        </w:pPr>
        <w:r>
          <w:rPr>
            <w:rStyle w:val="Classification"/>
          </w:rPr>
          <w:t>UNCLASSIFIED</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2E8BD" w14:textId="77777777" w:rsidR="00F83D32" w:rsidRDefault="00F83D32">
    <w:pPr>
      <w:pStyle w:val="Footer"/>
    </w:pPr>
  </w:p>
  <w:sdt>
    <w:sdtPr>
      <w:rPr>
        <w:rStyle w:val="Classification"/>
      </w:rPr>
      <w:alias w:val="Status"/>
      <w:tag w:val=""/>
      <w:id w:val="1675842541"/>
      <w:placeholder>
        <w:docPart w:val="85FCF50EFA584C32A9291D76744CD17A"/>
      </w:placeholder>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p w14:paraId="5B1762E4" w14:textId="77777777" w:rsidR="00F83D32" w:rsidRDefault="00F83D32" w:rsidP="000A6A8B">
        <w:pPr>
          <w:pStyle w:val="Footer"/>
          <w:jc w:val="center"/>
          <w:rPr>
            <w:rStyle w:val="Classification"/>
          </w:rPr>
        </w:pPr>
        <w:r>
          <w:rPr>
            <w:rStyle w:val="Classification"/>
          </w:rPr>
          <w:t>UNCLASSIFIED</w:t>
        </w:r>
      </w:p>
    </w:sdtContent>
  </w:sdt>
  <w:p w14:paraId="2B39A291" w14:textId="77777777" w:rsidR="00F83D32" w:rsidRPr="000A6A8B" w:rsidRDefault="00F83D32" w:rsidP="005C263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7C44B" w14:textId="3ADB2F8D" w:rsidR="00F83D32" w:rsidRDefault="00F83D32" w:rsidP="005D3E0C">
    <w:pPr>
      <w:pStyle w:val="Footer"/>
      <w:jc w:val="right"/>
      <w:rPr>
        <w:noProof/>
      </w:rPr>
    </w:pPr>
    <w:r>
      <w:rPr>
        <w:noProof/>
      </w:rPr>
      <w:fldChar w:fldCharType="begin"/>
    </w:r>
    <w:r>
      <w:rPr>
        <w:noProof/>
      </w:rPr>
      <w:instrText xml:space="preserve"> PAGE   \* MERGEFORMAT </w:instrText>
    </w:r>
    <w:r>
      <w:rPr>
        <w:noProof/>
      </w:rPr>
      <w:fldChar w:fldCharType="separate"/>
    </w:r>
    <w:r w:rsidR="001859E7">
      <w:rPr>
        <w:noProof/>
      </w:rPr>
      <w:t>21</w:t>
    </w:r>
    <w:r>
      <w:rPr>
        <w:noProof/>
      </w:rPr>
      <w:fldChar w:fldCharType="end"/>
    </w:r>
  </w:p>
  <w:p w14:paraId="3D924790" w14:textId="77777777" w:rsidR="00F83D32" w:rsidRPr="005C2636" w:rsidRDefault="00F83D32" w:rsidP="005C2636">
    <w:pPr>
      <w:pStyle w:val="Footer"/>
      <w:rPr>
        <w:rStyle w:val="Classificatio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3A34D" w14:textId="213DB111" w:rsidR="00F83D32" w:rsidRDefault="00F83D32" w:rsidP="005C2636">
      <w:pPr>
        <w:pStyle w:val="FootnoteSeparator"/>
      </w:pPr>
    </w:p>
  </w:footnote>
  <w:footnote w:type="continuationSeparator" w:id="0">
    <w:p w14:paraId="182FE8F9" w14:textId="77777777" w:rsidR="00F83D32" w:rsidRDefault="00F83D32" w:rsidP="00EF4574">
      <w:pPr>
        <w:spacing w:before="0" w:after="0" w:line="240" w:lineRule="auto"/>
      </w:pPr>
      <w:r>
        <w:continuationSeparator/>
      </w:r>
    </w:p>
    <w:p w14:paraId="010959F3" w14:textId="77777777" w:rsidR="00F83D32" w:rsidRDefault="00F83D32"/>
  </w:footnote>
  <w:footnote w:type="continuationNotice" w:id="1">
    <w:p w14:paraId="62F0F814" w14:textId="77777777" w:rsidR="00F83D32" w:rsidRDefault="00F83D32" w:rsidP="0088364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CE106" w14:textId="47D43302" w:rsidR="00F83D32" w:rsidRPr="00735972" w:rsidRDefault="00F83D32" w:rsidP="001C7ABE">
    <w:pPr>
      <w:pStyle w:val="Header"/>
      <w:tabs>
        <w:tab w:val="clear" w:pos="4513"/>
        <w:tab w:val="center" w:pos="4535"/>
        <w:tab w:val="left" w:pos="7256"/>
      </w:tabs>
      <w:jc w:val="left"/>
      <w:rPr>
        <w:rStyle w:val="Classification"/>
      </w:rPr>
    </w:pPr>
    <w:r>
      <w:rPr>
        <w:rStyle w:val="Heading3Char"/>
        <w:rFonts w:eastAsiaTheme="minorHAnsi"/>
        <w:b/>
        <w:caps/>
        <w:sz w:val="24"/>
      </w:rPr>
      <w:tab/>
    </w:r>
    <w:sdt>
      <w:sdtPr>
        <w:rPr>
          <w:rStyle w:val="Heading3Char"/>
          <w:rFonts w:eastAsiaTheme="minorHAnsi"/>
          <w:b/>
          <w:caps/>
          <w:sz w:val="24"/>
        </w:rPr>
        <w:alias w:val="Status"/>
        <w:tag w:val=""/>
        <w:id w:val="971095811"/>
        <w:placeholder>
          <w:docPart w:val="A62506F095F64A8DA15CCC83F10457A0"/>
        </w:placeholder>
        <w:dataBinding w:prefixMappings="xmlns:ns0='http://purl.org/dc/elements/1.1/' xmlns:ns1='http://schemas.openxmlformats.org/package/2006/metadata/core-properties' " w:xpath="/ns1:coreProperties[1]/ns1:contentStatus[1]" w:storeItemID="{6C3C8BC8-F283-45AE-878A-BAB7291924A1}"/>
        <w:text/>
      </w:sdtPr>
      <w:sdtEndPr>
        <w:rPr>
          <w:rStyle w:val="Heading3Char"/>
        </w:rPr>
      </w:sdtEndPr>
      <w:sdtContent>
        <w:r w:rsidRPr="00735972">
          <w:rPr>
            <w:rStyle w:val="Heading3Char"/>
            <w:rFonts w:eastAsiaTheme="minorHAnsi"/>
            <w:b/>
            <w:caps/>
            <w:sz w:val="24"/>
          </w:rPr>
          <w:t>UNCLASSIFIED</w:t>
        </w:r>
      </w:sdtContent>
    </w:sdt>
    <w:r>
      <w:rPr>
        <w:rStyle w:val="Heading3Char"/>
        <w:rFonts w:eastAsiaTheme="minorHAnsi"/>
        <w:b/>
        <w:caps/>
        <w:sz w:val="24"/>
      </w:rPr>
      <w:tab/>
    </w:r>
  </w:p>
  <w:p w14:paraId="6A815ED2" w14:textId="7365BFF3" w:rsidR="00F83D32" w:rsidRDefault="00F83D32" w:rsidP="005C2636">
    <w:pPr>
      <w:pStyle w:val="Header"/>
    </w:pPr>
    <w:r>
      <w:rPr>
        <w:noProof/>
        <w:lang w:eastAsia="en-AU"/>
      </w:rPr>
      <w:drawing>
        <wp:anchor distT="0" distB="0" distL="114300" distR="114300" simplePos="0" relativeHeight="251657216" behindDoc="1" locked="0" layoutInCell="1" allowOverlap="1" wp14:anchorId="24D12980" wp14:editId="167A6994">
          <wp:simplePos x="0" y="0"/>
          <wp:positionH relativeFrom="page">
            <wp:posOffset>0</wp:posOffset>
          </wp:positionH>
          <wp:positionV relativeFrom="paragraph">
            <wp:posOffset>-532983</wp:posOffset>
          </wp:positionV>
          <wp:extent cx="7571105" cy="10700820"/>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abel\AppData\Local\Microsoft\Windows\INetCache\Content.Word\Long word cover_blu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1105" cy="10700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EF282" w14:textId="77777777" w:rsidR="00F83D32" w:rsidRDefault="001859E7" w:rsidP="005C2636">
    <w:pPr>
      <w:pStyle w:val="Header"/>
      <w:jc w:val="center"/>
    </w:pPr>
    <w:r>
      <w:rPr>
        <w:noProof/>
      </w:rPr>
      <w:pict w14:anchorId="211D5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0.9pt;margin-top:-28.4pt;width:596.15pt;height:842.95pt;z-index:-251658240;mso-position-horizontal-relative:text;mso-position-vertical-relative:text;mso-width-relative:page;mso-height-relative:page">
          <v:imagedata r:id="rId1" o:title="Long word cover_blue"/>
        </v:shape>
      </w:pict>
    </w:r>
    <w:sdt>
      <w:sdtPr>
        <w:rPr>
          <w:rStyle w:val="Classification"/>
        </w:rPr>
        <w:alias w:val="Status"/>
        <w:tag w:val=""/>
        <w:id w:val="1135987026"/>
        <w:placeholder>
          <w:docPart w:val="9D808996CD2146019246D2031F05F10B"/>
        </w:placeholder>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r w:rsidR="00F83D32">
          <w:rPr>
            <w:rStyle w:val="Classification"/>
          </w:rPr>
          <w:t>UNCLASSIFIED</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C7EF9" w14:textId="77777777" w:rsidR="00F83D32" w:rsidRPr="000A6A8B" w:rsidRDefault="00F83D32" w:rsidP="005D3E0C">
    <w:pPr>
      <w:pStyle w:val="Header"/>
      <w:tabs>
        <w:tab w:val="clear" w:pos="4513"/>
        <w:tab w:val="center" w:pos="4535"/>
        <w:tab w:val="right" w:pos="9070"/>
      </w:tabs>
      <w:jc w:val="center"/>
      <w:rPr>
        <w:rStyle w:val="Classification"/>
      </w:rPr>
    </w:pPr>
  </w:p>
  <w:p w14:paraId="25501670" w14:textId="77777777" w:rsidR="00F83D32" w:rsidRPr="00DB6D69" w:rsidRDefault="00F83D32">
    <w:pPr>
      <w:pStyle w:val="Header"/>
      <w:rPr>
        <w:b/>
      </w:rPr>
    </w:pPr>
    <w:r w:rsidRPr="00DB6D69">
      <w:rPr>
        <w:b/>
      </w:rPr>
      <w:t>Department of Finance</w:t>
    </w:r>
  </w:p>
  <w:p w14:paraId="0C798375" w14:textId="364197AC" w:rsidR="00F83D32" w:rsidRPr="00CD215E" w:rsidRDefault="00F83D32" w:rsidP="005C2636">
    <w:pPr>
      <w:pStyle w:val="Header"/>
      <w:spacing w:after="680"/>
      <w:rPr>
        <w:b/>
        <w:noProof/>
      </w:rPr>
    </w:pPr>
    <w:r>
      <w:rPr>
        <w:b/>
        <w:noProof/>
      </w:rPr>
      <w:t>Guide to preparing the 2019-20 PAES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F82EDA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C40C75F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990E04"/>
    <w:multiLevelType w:val="hybridMultilevel"/>
    <w:tmpl w:val="476E949C"/>
    <w:lvl w:ilvl="0" w:tplc="F93C0D6C">
      <w:start w:val="1"/>
      <w:numFmt w:val="bullet"/>
      <w:pStyle w:val="ListBullet3"/>
      <w:lvlText w:val="»"/>
      <w:lvlJc w:val="left"/>
      <w:pPr>
        <w:ind w:left="1069" w:hanging="360"/>
      </w:pPr>
      <w:rPr>
        <w:rFonts w:ascii="Arial" w:hAnsi="Aria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3" w15:restartNumberingAfterBreak="0">
    <w:nsid w:val="0A2F6B80"/>
    <w:multiLevelType w:val="multilevel"/>
    <w:tmpl w:val="437081D8"/>
    <w:styleLink w:val="Numberedlist"/>
    <w:lvl w:ilvl="0">
      <w:start w:val="1"/>
      <w:numFmt w:val="decimal"/>
      <w:lvlText w:val="%1."/>
      <w:lvlJc w:val="left"/>
      <w:pPr>
        <w:ind w:left="738" w:hanging="284"/>
      </w:pPr>
      <w:rPr>
        <w:rFonts w:hint="default"/>
      </w:rPr>
    </w:lvl>
    <w:lvl w:ilvl="1">
      <w:start w:val="1"/>
      <w:numFmt w:val="lowerLetter"/>
      <w:lvlText w:val="%2."/>
      <w:lvlJc w:val="left"/>
      <w:pPr>
        <w:ind w:left="1022" w:hanging="284"/>
      </w:pPr>
      <w:rPr>
        <w:rFonts w:hint="default"/>
      </w:rPr>
    </w:lvl>
    <w:lvl w:ilvl="2">
      <w:start w:val="1"/>
      <w:numFmt w:val="lowerRoman"/>
      <w:lvlText w:val="%3."/>
      <w:lvlJc w:val="left"/>
      <w:pPr>
        <w:ind w:left="1306" w:hanging="284"/>
      </w:pPr>
      <w:rPr>
        <w:rFonts w:hint="default"/>
      </w:rPr>
    </w:lvl>
    <w:lvl w:ilvl="3">
      <w:start w:val="1"/>
      <w:numFmt w:val="decimal"/>
      <w:lvlText w:val="(%4)"/>
      <w:lvlJc w:val="left"/>
      <w:pPr>
        <w:ind w:left="1590" w:hanging="284"/>
      </w:pPr>
      <w:rPr>
        <w:rFonts w:hint="default"/>
      </w:rPr>
    </w:lvl>
    <w:lvl w:ilvl="4">
      <w:start w:val="1"/>
      <w:numFmt w:val="lowerLetter"/>
      <w:lvlText w:val="(%5)"/>
      <w:lvlJc w:val="left"/>
      <w:pPr>
        <w:ind w:left="1874" w:hanging="284"/>
      </w:pPr>
      <w:rPr>
        <w:rFonts w:hint="default"/>
      </w:rPr>
    </w:lvl>
    <w:lvl w:ilvl="5">
      <w:start w:val="1"/>
      <w:numFmt w:val="lowerRoman"/>
      <w:lvlText w:val="(%6)"/>
      <w:lvlJc w:val="left"/>
      <w:pPr>
        <w:ind w:left="2158" w:hanging="284"/>
      </w:pPr>
      <w:rPr>
        <w:rFonts w:hint="default"/>
      </w:rPr>
    </w:lvl>
    <w:lvl w:ilvl="6">
      <w:start w:val="1"/>
      <w:numFmt w:val="decimal"/>
      <w:lvlText w:val="%7."/>
      <w:lvlJc w:val="left"/>
      <w:pPr>
        <w:ind w:left="2442" w:hanging="284"/>
      </w:pPr>
      <w:rPr>
        <w:rFonts w:hint="default"/>
      </w:rPr>
    </w:lvl>
    <w:lvl w:ilvl="7">
      <w:start w:val="1"/>
      <w:numFmt w:val="lowerLetter"/>
      <w:lvlText w:val="%8."/>
      <w:lvlJc w:val="left"/>
      <w:pPr>
        <w:ind w:left="2726" w:hanging="284"/>
      </w:pPr>
      <w:rPr>
        <w:rFonts w:hint="default"/>
      </w:rPr>
    </w:lvl>
    <w:lvl w:ilvl="8">
      <w:start w:val="1"/>
      <w:numFmt w:val="lowerRoman"/>
      <w:lvlText w:val="%9."/>
      <w:lvlJc w:val="left"/>
      <w:pPr>
        <w:ind w:left="3010" w:hanging="284"/>
      </w:pPr>
      <w:rPr>
        <w:rFonts w:hint="default"/>
      </w:rPr>
    </w:lvl>
  </w:abstractNum>
  <w:abstractNum w:abstractNumId="4" w15:restartNumberingAfterBreak="0">
    <w:nsid w:val="15005505"/>
    <w:multiLevelType w:val="hybridMultilevel"/>
    <w:tmpl w:val="303CD644"/>
    <w:lvl w:ilvl="0" w:tplc="6FD4B27A">
      <w:start w:val="2021"/>
      <w:numFmt w:val="bullet"/>
      <w:pStyle w:val="ListBullet4"/>
      <w:lvlText w:val="-"/>
      <w:lvlJc w:val="left"/>
      <w:pPr>
        <w:ind w:left="142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 w15:restartNumberingAfterBreak="0">
    <w:nsid w:val="174B43FC"/>
    <w:multiLevelType w:val="hybridMultilevel"/>
    <w:tmpl w:val="ECFE81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8522F62"/>
    <w:multiLevelType w:val="multilevel"/>
    <w:tmpl w:val="0C090025"/>
    <w:styleLink w:val="Style2"/>
    <w:lvl w:ilvl="0">
      <w:start w:val="1"/>
      <w:numFmt w:val="decimal"/>
      <w:lvlText w:val="%1"/>
      <w:lvlJc w:val="left"/>
      <w:pPr>
        <w:ind w:left="432" w:hanging="432"/>
      </w:pPr>
      <w:rPr>
        <w:rFonts w:ascii="Times New Roman" w:hAnsi="Times New Roman" w:hint="default"/>
        <w:color w:val="auto"/>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ABF4F2B"/>
    <w:multiLevelType w:val="multilevel"/>
    <w:tmpl w:val="0C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pStyle w:val="Heading2Numbered"/>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15:restartNumberingAfterBreak="0">
    <w:nsid w:val="24F87310"/>
    <w:multiLevelType w:val="hybridMultilevel"/>
    <w:tmpl w:val="C20E293E"/>
    <w:lvl w:ilvl="0" w:tplc="B2D04646">
      <w:start w:val="1"/>
      <w:numFmt w:val="decimal"/>
      <w:pStyle w:val="ListNumber2"/>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76163B4"/>
    <w:multiLevelType w:val="multilevel"/>
    <w:tmpl w:val="85628630"/>
    <w:lvl w:ilvl="0">
      <w:start w:val="1"/>
      <w:numFmt w:val="decimal"/>
      <w:pStyle w:val="Heading1"/>
      <w:lvlText w:val="%1."/>
      <w:lvlJc w:val="left"/>
      <w:pPr>
        <w:ind w:left="432" w:hanging="432"/>
      </w:pPr>
      <w:rPr>
        <w:rFonts w:hint="default"/>
        <w:color w:val="005A77"/>
      </w:rPr>
    </w:lvl>
    <w:lvl w:ilvl="1">
      <w:start w:val="1"/>
      <w:numFmt w:val="decimal"/>
      <w:pStyle w:val="Heading2"/>
      <w:lvlText w:val="%1.%2"/>
      <w:lvlJc w:val="left"/>
      <w:pPr>
        <w:ind w:left="4688" w:hanging="576"/>
      </w:pPr>
      <w:rPr>
        <w:rFonts w:hint="default"/>
      </w:rPr>
    </w:lvl>
    <w:lvl w:ilvl="2">
      <w:start w:val="1"/>
      <w:numFmt w:val="decimal"/>
      <w:pStyle w:val="Heading3"/>
      <w:lvlText w:val="%1.%2.%3"/>
      <w:lvlJc w:val="left"/>
      <w:pPr>
        <w:ind w:left="9793"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28353585"/>
    <w:multiLevelType w:val="hybridMultilevel"/>
    <w:tmpl w:val="13A8548C"/>
    <w:lvl w:ilvl="0" w:tplc="EAC402C2">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7206CFD0">
      <w:start w:val="2021"/>
      <w:numFmt w:val="bullet"/>
      <w:lvlText w:val="-"/>
      <w:lvlJc w:val="left"/>
      <w:pPr>
        <w:ind w:left="2160" w:hanging="36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9B159F"/>
    <w:multiLevelType w:val="multilevel"/>
    <w:tmpl w:val="7AEAE2B8"/>
    <w:styleLink w:val="HeadingsList"/>
    <w:lvl w:ilvl="0">
      <w:start w:val="1"/>
      <w:numFmt w:val="decimal"/>
      <w:lvlText w:val="%1"/>
      <w:lvlJc w:val="left"/>
      <w:pPr>
        <w:ind w:left="567" w:hanging="567"/>
      </w:pPr>
      <w:rPr>
        <w:rFonts w:hint="default"/>
      </w:rPr>
    </w:lvl>
    <w:lvl w:ilvl="1">
      <w:start w:val="1"/>
      <w:numFmt w:val="decimal"/>
      <w:lvlText w:val="%2.1"/>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32191678"/>
    <w:multiLevelType w:val="multilevel"/>
    <w:tmpl w:val="2D5C974E"/>
    <w:styleLink w:val="Style1"/>
    <w:lvl w:ilvl="0">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51957CA0"/>
    <w:multiLevelType w:val="singleLevel"/>
    <w:tmpl w:val="0C09000F"/>
    <w:lvl w:ilvl="0">
      <w:start w:val="1"/>
      <w:numFmt w:val="decimal"/>
      <w:lvlText w:val="%1."/>
      <w:lvlJc w:val="left"/>
      <w:pPr>
        <w:ind w:left="643" w:hanging="360"/>
      </w:pPr>
      <w:rPr>
        <w:rFonts w:hint="default"/>
      </w:rPr>
    </w:lvl>
  </w:abstractNum>
  <w:abstractNum w:abstractNumId="1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5" w15:restartNumberingAfterBreak="0">
    <w:nsid w:val="59CD67E8"/>
    <w:multiLevelType w:val="multilevel"/>
    <w:tmpl w:val="0C090025"/>
    <w:lvl w:ilvl="0">
      <w:start w:val="1"/>
      <w:numFmt w:val="decimal"/>
      <w:pStyle w:val="CoverPage"/>
      <w:lvlText w:val="%1"/>
      <w:lvlJc w:val="left"/>
      <w:pPr>
        <w:ind w:left="432" w:hanging="432"/>
      </w:pPr>
      <w:rPr>
        <w:rFonts w:hint="default"/>
      </w:rPr>
    </w:lvl>
    <w:lvl w:ilvl="1">
      <w:start w:val="1"/>
      <w:numFmt w:val="decimal"/>
      <w:lvlText w:val="%1.%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A583769"/>
    <w:multiLevelType w:val="multilevel"/>
    <w:tmpl w:val="CC465478"/>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2021"/>
      <w:numFmt w:val="bullet"/>
      <w:pStyle w:val="Style3"/>
      <w:lvlText w:val="-"/>
      <w:lvlJc w:val="left"/>
      <w:pPr>
        <w:ind w:left="1136" w:hanging="284"/>
      </w:pPr>
      <w:rPr>
        <w:rFonts w:ascii="Arial" w:eastAsia="Times New Roman" w:hAnsi="Arial" w:cs="Arial"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5FB746CA"/>
    <w:multiLevelType w:val="multilevel"/>
    <w:tmpl w:val="437081D8"/>
    <w:numStyleLink w:val="Numberedlist"/>
  </w:abstractNum>
  <w:abstractNum w:abstractNumId="19" w15:restartNumberingAfterBreak="0">
    <w:nsid w:val="6A0D50B8"/>
    <w:multiLevelType w:val="hybridMultilevel"/>
    <w:tmpl w:val="7DD27650"/>
    <w:lvl w:ilvl="0" w:tplc="79D0C342">
      <w:start w:val="1"/>
      <w:numFmt w:val="bullet"/>
      <w:pStyle w:val="ListBullet1"/>
      <w:lvlText w:val=""/>
      <w:lvlJc w:val="left"/>
      <w:pPr>
        <w:ind w:left="36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20" w15:restartNumberingAfterBreak="0">
    <w:nsid w:val="70153146"/>
    <w:multiLevelType w:val="hybridMultilevel"/>
    <w:tmpl w:val="232CCD92"/>
    <w:lvl w:ilvl="0" w:tplc="7206CFD0">
      <w:start w:val="2021"/>
      <w:numFmt w:val="bullet"/>
      <w:lvlText w:val="-"/>
      <w:lvlJc w:val="left"/>
      <w:pPr>
        <w:ind w:left="1003" w:hanging="360"/>
      </w:pPr>
      <w:rPr>
        <w:rFonts w:ascii="Arial" w:eastAsia="Times New Roman" w:hAnsi="Arial" w:cs="Aria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1" w15:restartNumberingAfterBreak="0">
    <w:nsid w:val="70B111FB"/>
    <w:multiLevelType w:val="multilevel"/>
    <w:tmpl w:val="7AEAE2B8"/>
    <w:numStyleLink w:val="HeadingsList"/>
  </w:abstractNum>
  <w:abstractNum w:abstractNumId="22" w15:restartNumberingAfterBreak="0">
    <w:nsid w:val="73107305"/>
    <w:multiLevelType w:val="multilevel"/>
    <w:tmpl w:val="F6AA636E"/>
    <w:styleLink w:val="BulletsList"/>
    <w:lvl w:ilvl="0">
      <w:start w:val="1"/>
      <w:numFmt w:val="bullet"/>
      <w:lvlText w:val=""/>
      <w:lvlJc w:val="left"/>
      <w:pPr>
        <w:ind w:left="568" w:hanging="284"/>
      </w:pPr>
      <w:rPr>
        <w:rFonts w:ascii="Symbol" w:hAnsi="Symbol" w:hint="default"/>
      </w:rPr>
    </w:lvl>
    <w:lvl w:ilvl="1">
      <w:start w:val="1"/>
      <w:numFmt w:val="bullet"/>
      <w:lvlText w:val="–"/>
      <w:lvlJc w:val="left"/>
      <w:pPr>
        <w:ind w:left="-1700" w:hanging="284"/>
      </w:pPr>
      <w:rPr>
        <w:rFonts w:ascii="Arial" w:hAnsi="Arial" w:hint="default"/>
      </w:rPr>
    </w:lvl>
    <w:lvl w:ilvl="2">
      <w:start w:val="1"/>
      <w:numFmt w:val="bullet"/>
      <w:lvlText w:val="»"/>
      <w:lvlJc w:val="left"/>
      <w:pPr>
        <w:ind w:left="-1416" w:hanging="284"/>
      </w:pPr>
      <w:rPr>
        <w:rFonts w:ascii="Arial" w:hAnsi="Arial" w:hint="default"/>
      </w:rPr>
    </w:lvl>
    <w:lvl w:ilvl="3">
      <w:start w:val="1"/>
      <w:numFmt w:val="decimal"/>
      <w:lvlText w:val="(%4)"/>
      <w:lvlJc w:val="left"/>
      <w:pPr>
        <w:ind w:left="-1132" w:hanging="284"/>
      </w:pPr>
      <w:rPr>
        <w:rFonts w:hint="default"/>
      </w:rPr>
    </w:lvl>
    <w:lvl w:ilvl="4">
      <w:start w:val="1"/>
      <w:numFmt w:val="lowerLetter"/>
      <w:lvlText w:val="(%5)"/>
      <w:lvlJc w:val="left"/>
      <w:pPr>
        <w:ind w:left="-848" w:hanging="284"/>
      </w:pPr>
      <w:rPr>
        <w:rFonts w:hint="default"/>
      </w:rPr>
    </w:lvl>
    <w:lvl w:ilvl="5">
      <w:start w:val="1"/>
      <w:numFmt w:val="lowerRoman"/>
      <w:lvlText w:val="(%6)"/>
      <w:lvlJc w:val="left"/>
      <w:pPr>
        <w:ind w:left="-564" w:hanging="284"/>
      </w:pPr>
      <w:rPr>
        <w:rFonts w:hint="default"/>
      </w:rPr>
    </w:lvl>
    <w:lvl w:ilvl="6">
      <w:start w:val="1"/>
      <w:numFmt w:val="decimal"/>
      <w:lvlText w:val="%7."/>
      <w:lvlJc w:val="left"/>
      <w:pPr>
        <w:ind w:left="-280" w:hanging="284"/>
      </w:pPr>
      <w:rPr>
        <w:rFonts w:hint="default"/>
      </w:rPr>
    </w:lvl>
    <w:lvl w:ilvl="7">
      <w:start w:val="1"/>
      <w:numFmt w:val="lowerLetter"/>
      <w:lvlText w:val="%8."/>
      <w:lvlJc w:val="left"/>
      <w:pPr>
        <w:ind w:left="4" w:hanging="284"/>
      </w:pPr>
      <w:rPr>
        <w:rFonts w:hint="default"/>
      </w:rPr>
    </w:lvl>
    <w:lvl w:ilvl="8">
      <w:start w:val="1"/>
      <w:numFmt w:val="lowerRoman"/>
      <w:lvlText w:val="%9."/>
      <w:lvlJc w:val="left"/>
      <w:pPr>
        <w:ind w:left="288" w:hanging="284"/>
      </w:pPr>
      <w:rPr>
        <w:rFonts w:hint="default"/>
      </w:rPr>
    </w:lvl>
  </w:abstractNum>
  <w:num w:numId="1">
    <w:abstractNumId w:val="22"/>
  </w:num>
  <w:num w:numId="2">
    <w:abstractNumId w:val="3"/>
  </w:num>
  <w:num w:numId="3">
    <w:abstractNumId w:val="11"/>
  </w:num>
  <w:num w:numId="4">
    <w:abstractNumId w:val="14"/>
  </w:num>
  <w:num w:numId="5">
    <w:abstractNumId w:val="17"/>
  </w:num>
  <w:num w:numId="6">
    <w:abstractNumId w:val="1"/>
  </w:num>
  <w:num w:numId="7">
    <w:abstractNumId w:val="0"/>
  </w:num>
  <w:num w:numId="8">
    <w:abstractNumId w:val="8"/>
  </w:num>
  <w:num w:numId="9">
    <w:abstractNumId w:val="18"/>
  </w:num>
  <w:num w:numId="10">
    <w:abstractNumId w:val="7"/>
  </w:num>
  <w:num w:numId="11">
    <w:abstractNumId w:val="12"/>
  </w:num>
  <w:num w:numId="12">
    <w:abstractNumId w:val="21"/>
  </w:num>
  <w:num w:numId="13">
    <w:abstractNumId w:val="9"/>
  </w:num>
  <w:num w:numId="14">
    <w:abstractNumId w:val="6"/>
  </w:num>
  <w:num w:numId="15">
    <w:abstractNumId w:val="15"/>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0"/>
  </w:num>
  <w:num w:numId="19">
    <w:abstractNumId w:val="19"/>
  </w:num>
  <w:num w:numId="20">
    <w:abstractNumId w:val="20"/>
  </w:num>
  <w:num w:numId="21">
    <w:abstractNumId w:val="16"/>
  </w:num>
  <w:num w:numId="22">
    <w:abstractNumId w:val="2"/>
  </w:num>
  <w:num w:numId="23">
    <w:abstractNumId w:val="4"/>
  </w:num>
  <w:num w:numId="24">
    <w:abstractNumId w:val="13"/>
  </w:num>
  <w:num w:numId="25">
    <w:abstractNumId w:val="8"/>
    <w:lvlOverride w:ilvl="0">
      <w:startOverride w:val="1"/>
    </w:lvlOverride>
  </w:num>
  <w:num w:numId="26">
    <w:abstractNumId w:val="8"/>
    <w:lvlOverride w:ilvl="0">
      <w:startOverride w:val="1"/>
    </w:lvlOverride>
  </w:num>
  <w:num w:numId="27">
    <w:abstractNumId w:val="8"/>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0FD"/>
    <w:rsid w:val="0000413A"/>
    <w:rsid w:val="000044B2"/>
    <w:rsid w:val="000114D6"/>
    <w:rsid w:val="00012002"/>
    <w:rsid w:val="000137C6"/>
    <w:rsid w:val="0002067D"/>
    <w:rsid w:val="00020E27"/>
    <w:rsid w:val="00026D6D"/>
    <w:rsid w:val="0002782F"/>
    <w:rsid w:val="000359B7"/>
    <w:rsid w:val="000368CF"/>
    <w:rsid w:val="00037804"/>
    <w:rsid w:val="000432AA"/>
    <w:rsid w:val="00043436"/>
    <w:rsid w:val="00045810"/>
    <w:rsid w:val="00046424"/>
    <w:rsid w:val="00054288"/>
    <w:rsid w:val="0005449F"/>
    <w:rsid w:val="00054E4D"/>
    <w:rsid w:val="00055C84"/>
    <w:rsid w:val="00057530"/>
    <w:rsid w:val="00060073"/>
    <w:rsid w:val="000603C7"/>
    <w:rsid w:val="000615EC"/>
    <w:rsid w:val="00063458"/>
    <w:rsid w:val="000642CD"/>
    <w:rsid w:val="00064413"/>
    <w:rsid w:val="00066BC9"/>
    <w:rsid w:val="00070550"/>
    <w:rsid w:val="00070A85"/>
    <w:rsid w:val="000754C3"/>
    <w:rsid w:val="000761CB"/>
    <w:rsid w:val="000766EF"/>
    <w:rsid w:val="0007735A"/>
    <w:rsid w:val="00080D89"/>
    <w:rsid w:val="000829F4"/>
    <w:rsid w:val="00083E88"/>
    <w:rsid w:val="000859BE"/>
    <w:rsid w:val="0008633C"/>
    <w:rsid w:val="00087BA9"/>
    <w:rsid w:val="0009781E"/>
    <w:rsid w:val="000A4208"/>
    <w:rsid w:val="000A4B30"/>
    <w:rsid w:val="000A5140"/>
    <w:rsid w:val="000A6A8B"/>
    <w:rsid w:val="000B0779"/>
    <w:rsid w:val="000B0941"/>
    <w:rsid w:val="000B312E"/>
    <w:rsid w:val="000B6C27"/>
    <w:rsid w:val="000B7916"/>
    <w:rsid w:val="000C2A48"/>
    <w:rsid w:val="000C32C4"/>
    <w:rsid w:val="000C3DF4"/>
    <w:rsid w:val="000C5F75"/>
    <w:rsid w:val="000C72B2"/>
    <w:rsid w:val="000C73C0"/>
    <w:rsid w:val="000D061C"/>
    <w:rsid w:val="000D0FEA"/>
    <w:rsid w:val="000D227F"/>
    <w:rsid w:val="000D4CBF"/>
    <w:rsid w:val="000D60B1"/>
    <w:rsid w:val="000E0CD9"/>
    <w:rsid w:val="000E1250"/>
    <w:rsid w:val="000E1B1F"/>
    <w:rsid w:val="000F1925"/>
    <w:rsid w:val="000F6BD4"/>
    <w:rsid w:val="000F763B"/>
    <w:rsid w:val="00104DEC"/>
    <w:rsid w:val="00104E81"/>
    <w:rsid w:val="00105929"/>
    <w:rsid w:val="00105DFD"/>
    <w:rsid w:val="00107215"/>
    <w:rsid w:val="0012380C"/>
    <w:rsid w:val="0012658F"/>
    <w:rsid w:val="00126839"/>
    <w:rsid w:val="00127C55"/>
    <w:rsid w:val="00130B7F"/>
    <w:rsid w:val="00136530"/>
    <w:rsid w:val="001374B8"/>
    <w:rsid w:val="00140F10"/>
    <w:rsid w:val="00143AEF"/>
    <w:rsid w:val="00146767"/>
    <w:rsid w:val="00147A2A"/>
    <w:rsid w:val="0015137D"/>
    <w:rsid w:val="00153686"/>
    <w:rsid w:val="001541EA"/>
    <w:rsid w:val="00155ED2"/>
    <w:rsid w:val="0015660F"/>
    <w:rsid w:val="0015671F"/>
    <w:rsid w:val="00156E81"/>
    <w:rsid w:val="001612A4"/>
    <w:rsid w:val="00166576"/>
    <w:rsid w:val="00173D1B"/>
    <w:rsid w:val="001749AD"/>
    <w:rsid w:val="001765C6"/>
    <w:rsid w:val="00177F10"/>
    <w:rsid w:val="00183334"/>
    <w:rsid w:val="00184E0D"/>
    <w:rsid w:val="00184F37"/>
    <w:rsid w:val="0018502A"/>
    <w:rsid w:val="001859E7"/>
    <w:rsid w:val="00191162"/>
    <w:rsid w:val="00191FF0"/>
    <w:rsid w:val="0019458F"/>
    <w:rsid w:val="00195B81"/>
    <w:rsid w:val="001A004E"/>
    <w:rsid w:val="001A0C9C"/>
    <w:rsid w:val="001A3C42"/>
    <w:rsid w:val="001A3E56"/>
    <w:rsid w:val="001A43FA"/>
    <w:rsid w:val="001A518F"/>
    <w:rsid w:val="001A6E36"/>
    <w:rsid w:val="001A7322"/>
    <w:rsid w:val="001B00BF"/>
    <w:rsid w:val="001B1FB7"/>
    <w:rsid w:val="001B335C"/>
    <w:rsid w:val="001C12D1"/>
    <w:rsid w:val="001C2152"/>
    <w:rsid w:val="001C5AA5"/>
    <w:rsid w:val="001C5F5D"/>
    <w:rsid w:val="001C7ABE"/>
    <w:rsid w:val="001C7D57"/>
    <w:rsid w:val="001D2B93"/>
    <w:rsid w:val="001D7EB4"/>
    <w:rsid w:val="001E01F8"/>
    <w:rsid w:val="001E1D53"/>
    <w:rsid w:val="001E1DC0"/>
    <w:rsid w:val="001E3A51"/>
    <w:rsid w:val="001E6277"/>
    <w:rsid w:val="001E7E71"/>
    <w:rsid w:val="001F05DA"/>
    <w:rsid w:val="001F081A"/>
    <w:rsid w:val="001F6A09"/>
    <w:rsid w:val="001F7F0E"/>
    <w:rsid w:val="0020122A"/>
    <w:rsid w:val="002021BF"/>
    <w:rsid w:val="00210341"/>
    <w:rsid w:val="00216096"/>
    <w:rsid w:val="00217101"/>
    <w:rsid w:val="00221335"/>
    <w:rsid w:val="002222AF"/>
    <w:rsid w:val="00223148"/>
    <w:rsid w:val="00225C6E"/>
    <w:rsid w:val="00226BDE"/>
    <w:rsid w:val="0022716C"/>
    <w:rsid w:val="0023251E"/>
    <w:rsid w:val="0024033B"/>
    <w:rsid w:val="002454A5"/>
    <w:rsid w:val="00246C1B"/>
    <w:rsid w:val="00251F0B"/>
    <w:rsid w:val="00255967"/>
    <w:rsid w:val="002567AF"/>
    <w:rsid w:val="00257A4F"/>
    <w:rsid w:val="00260256"/>
    <w:rsid w:val="002606D6"/>
    <w:rsid w:val="00265A36"/>
    <w:rsid w:val="002720AC"/>
    <w:rsid w:val="00280FF9"/>
    <w:rsid w:val="00281551"/>
    <w:rsid w:val="0028602A"/>
    <w:rsid w:val="00293308"/>
    <w:rsid w:val="00293F77"/>
    <w:rsid w:val="0029754E"/>
    <w:rsid w:val="00297F37"/>
    <w:rsid w:val="002A1F9E"/>
    <w:rsid w:val="002A28C9"/>
    <w:rsid w:val="002A3280"/>
    <w:rsid w:val="002A5609"/>
    <w:rsid w:val="002A7790"/>
    <w:rsid w:val="002B554F"/>
    <w:rsid w:val="002B55CD"/>
    <w:rsid w:val="002C0686"/>
    <w:rsid w:val="002C096A"/>
    <w:rsid w:val="002C2ACF"/>
    <w:rsid w:val="002C3A1E"/>
    <w:rsid w:val="002C537B"/>
    <w:rsid w:val="002C582D"/>
    <w:rsid w:val="002C6DAD"/>
    <w:rsid w:val="002C791D"/>
    <w:rsid w:val="002D1B04"/>
    <w:rsid w:val="002D5F0B"/>
    <w:rsid w:val="002D6275"/>
    <w:rsid w:val="002E1656"/>
    <w:rsid w:val="002F180D"/>
    <w:rsid w:val="002F5017"/>
    <w:rsid w:val="002F5403"/>
    <w:rsid w:val="002F725F"/>
    <w:rsid w:val="00301144"/>
    <w:rsid w:val="003013FE"/>
    <w:rsid w:val="003016AA"/>
    <w:rsid w:val="00306760"/>
    <w:rsid w:val="003133F6"/>
    <w:rsid w:val="0031433C"/>
    <w:rsid w:val="003148B7"/>
    <w:rsid w:val="003158C3"/>
    <w:rsid w:val="003165D9"/>
    <w:rsid w:val="00316A81"/>
    <w:rsid w:val="00322636"/>
    <w:rsid w:val="00322D8C"/>
    <w:rsid w:val="003249B9"/>
    <w:rsid w:val="00327157"/>
    <w:rsid w:val="003274CD"/>
    <w:rsid w:val="00327649"/>
    <w:rsid w:val="00335AFC"/>
    <w:rsid w:val="00336FAD"/>
    <w:rsid w:val="003373F0"/>
    <w:rsid w:val="00346B6A"/>
    <w:rsid w:val="0035119D"/>
    <w:rsid w:val="003514C5"/>
    <w:rsid w:val="00353900"/>
    <w:rsid w:val="003550B8"/>
    <w:rsid w:val="003555DF"/>
    <w:rsid w:val="0036107F"/>
    <w:rsid w:val="003658FD"/>
    <w:rsid w:val="00367331"/>
    <w:rsid w:val="00370527"/>
    <w:rsid w:val="00371A5B"/>
    <w:rsid w:val="00374CF3"/>
    <w:rsid w:val="00380D42"/>
    <w:rsid w:val="00381626"/>
    <w:rsid w:val="00382662"/>
    <w:rsid w:val="00384C6E"/>
    <w:rsid w:val="0038683E"/>
    <w:rsid w:val="00386C91"/>
    <w:rsid w:val="00392324"/>
    <w:rsid w:val="00394D4E"/>
    <w:rsid w:val="00396E41"/>
    <w:rsid w:val="003A0B6D"/>
    <w:rsid w:val="003A4CC0"/>
    <w:rsid w:val="003A4D91"/>
    <w:rsid w:val="003A67E7"/>
    <w:rsid w:val="003A71C5"/>
    <w:rsid w:val="003B2598"/>
    <w:rsid w:val="003B4D2C"/>
    <w:rsid w:val="003B4F12"/>
    <w:rsid w:val="003B5AF5"/>
    <w:rsid w:val="003C0C99"/>
    <w:rsid w:val="003C0E5E"/>
    <w:rsid w:val="003C48D3"/>
    <w:rsid w:val="003D27E0"/>
    <w:rsid w:val="003D3E4E"/>
    <w:rsid w:val="003D4CD2"/>
    <w:rsid w:val="003D5476"/>
    <w:rsid w:val="003D61A3"/>
    <w:rsid w:val="003E31D0"/>
    <w:rsid w:val="003E7AD3"/>
    <w:rsid w:val="003F2B75"/>
    <w:rsid w:val="003F41C1"/>
    <w:rsid w:val="003F5990"/>
    <w:rsid w:val="003F6EF9"/>
    <w:rsid w:val="003F7CAA"/>
    <w:rsid w:val="004012E7"/>
    <w:rsid w:val="004036B9"/>
    <w:rsid w:val="004048DD"/>
    <w:rsid w:val="00407E12"/>
    <w:rsid w:val="00412A70"/>
    <w:rsid w:val="00413CAC"/>
    <w:rsid w:val="00415C86"/>
    <w:rsid w:val="00421269"/>
    <w:rsid w:val="00423576"/>
    <w:rsid w:val="00423F31"/>
    <w:rsid w:val="004241C2"/>
    <w:rsid w:val="00425BFE"/>
    <w:rsid w:val="00425FA5"/>
    <w:rsid w:val="00426960"/>
    <w:rsid w:val="00431899"/>
    <w:rsid w:val="00431BDD"/>
    <w:rsid w:val="004340AD"/>
    <w:rsid w:val="004359F5"/>
    <w:rsid w:val="00436090"/>
    <w:rsid w:val="00437D6E"/>
    <w:rsid w:val="004425B1"/>
    <w:rsid w:val="00443F9A"/>
    <w:rsid w:val="00444F58"/>
    <w:rsid w:val="0044510B"/>
    <w:rsid w:val="00446750"/>
    <w:rsid w:val="00447651"/>
    <w:rsid w:val="00447E0A"/>
    <w:rsid w:val="0045126D"/>
    <w:rsid w:val="004514BC"/>
    <w:rsid w:val="00453901"/>
    <w:rsid w:val="004554AA"/>
    <w:rsid w:val="00455556"/>
    <w:rsid w:val="004568AF"/>
    <w:rsid w:val="00456A4C"/>
    <w:rsid w:val="004572F4"/>
    <w:rsid w:val="004574D0"/>
    <w:rsid w:val="0045767B"/>
    <w:rsid w:val="00464607"/>
    <w:rsid w:val="00465D31"/>
    <w:rsid w:val="00466142"/>
    <w:rsid w:val="00471D81"/>
    <w:rsid w:val="00473049"/>
    <w:rsid w:val="00473453"/>
    <w:rsid w:val="00475FA6"/>
    <w:rsid w:val="00476132"/>
    <w:rsid w:val="00476496"/>
    <w:rsid w:val="004765E8"/>
    <w:rsid w:val="0048031A"/>
    <w:rsid w:val="00480439"/>
    <w:rsid w:val="00481AE9"/>
    <w:rsid w:val="00482BF6"/>
    <w:rsid w:val="00486804"/>
    <w:rsid w:val="00486D8A"/>
    <w:rsid w:val="00486EA2"/>
    <w:rsid w:val="00487311"/>
    <w:rsid w:val="0049167F"/>
    <w:rsid w:val="00491DED"/>
    <w:rsid w:val="004946C7"/>
    <w:rsid w:val="00495DF2"/>
    <w:rsid w:val="00495F9E"/>
    <w:rsid w:val="004967B3"/>
    <w:rsid w:val="004977FE"/>
    <w:rsid w:val="004A02E5"/>
    <w:rsid w:val="004A2056"/>
    <w:rsid w:val="004A273D"/>
    <w:rsid w:val="004B0B10"/>
    <w:rsid w:val="004B3775"/>
    <w:rsid w:val="004B3FEA"/>
    <w:rsid w:val="004B5503"/>
    <w:rsid w:val="004B64F0"/>
    <w:rsid w:val="004B6F0B"/>
    <w:rsid w:val="004B739B"/>
    <w:rsid w:val="004C0176"/>
    <w:rsid w:val="004C0F22"/>
    <w:rsid w:val="004C241E"/>
    <w:rsid w:val="004C2A06"/>
    <w:rsid w:val="004D16ED"/>
    <w:rsid w:val="004D1D4F"/>
    <w:rsid w:val="004D23FA"/>
    <w:rsid w:val="004D2D58"/>
    <w:rsid w:val="004E0015"/>
    <w:rsid w:val="004E058F"/>
    <w:rsid w:val="004E3B87"/>
    <w:rsid w:val="004E47F6"/>
    <w:rsid w:val="004E5122"/>
    <w:rsid w:val="004E57CB"/>
    <w:rsid w:val="004E622E"/>
    <w:rsid w:val="004F0635"/>
    <w:rsid w:val="004F7582"/>
    <w:rsid w:val="00505924"/>
    <w:rsid w:val="00506781"/>
    <w:rsid w:val="00510921"/>
    <w:rsid w:val="00510AD3"/>
    <w:rsid w:val="00511F14"/>
    <w:rsid w:val="00513348"/>
    <w:rsid w:val="0051366A"/>
    <w:rsid w:val="00513BA7"/>
    <w:rsid w:val="00517F68"/>
    <w:rsid w:val="00524650"/>
    <w:rsid w:val="0053038B"/>
    <w:rsid w:val="00533968"/>
    <w:rsid w:val="00533B5D"/>
    <w:rsid w:val="0053514A"/>
    <w:rsid w:val="00536B5C"/>
    <w:rsid w:val="00537B66"/>
    <w:rsid w:val="00541F8A"/>
    <w:rsid w:val="00544E58"/>
    <w:rsid w:val="005463B9"/>
    <w:rsid w:val="005468B0"/>
    <w:rsid w:val="005524D8"/>
    <w:rsid w:val="0055483D"/>
    <w:rsid w:val="005569DA"/>
    <w:rsid w:val="005570E8"/>
    <w:rsid w:val="00560D74"/>
    <w:rsid w:val="00561318"/>
    <w:rsid w:val="005718ED"/>
    <w:rsid w:val="00576566"/>
    <w:rsid w:val="005769E7"/>
    <w:rsid w:val="005853F1"/>
    <w:rsid w:val="00585789"/>
    <w:rsid w:val="0058682E"/>
    <w:rsid w:val="005911F7"/>
    <w:rsid w:val="0059276F"/>
    <w:rsid w:val="00593CD8"/>
    <w:rsid w:val="00594970"/>
    <w:rsid w:val="0059606C"/>
    <w:rsid w:val="00596691"/>
    <w:rsid w:val="005970EA"/>
    <w:rsid w:val="00597853"/>
    <w:rsid w:val="005A2B0D"/>
    <w:rsid w:val="005A5409"/>
    <w:rsid w:val="005A5735"/>
    <w:rsid w:val="005A6EE7"/>
    <w:rsid w:val="005C08AC"/>
    <w:rsid w:val="005C2636"/>
    <w:rsid w:val="005C29E5"/>
    <w:rsid w:val="005C37F0"/>
    <w:rsid w:val="005C51D2"/>
    <w:rsid w:val="005C61AC"/>
    <w:rsid w:val="005C7C74"/>
    <w:rsid w:val="005D06C1"/>
    <w:rsid w:val="005D0C74"/>
    <w:rsid w:val="005D2D36"/>
    <w:rsid w:val="005D3E0C"/>
    <w:rsid w:val="005D4474"/>
    <w:rsid w:val="005D4852"/>
    <w:rsid w:val="005D692E"/>
    <w:rsid w:val="005D69CB"/>
    <w:rsid w:val="005D762D"/>
    <w:rsid w:val="005E4C14"/>
    <w:rsid w:val="005F3B67"/>
    <w:rsid w:val="005F4B4A"/>
    <w:rsid w:val="005F50B0"/>
    <w:rsid w:val="005F5855"/>
    <w:rsid w:val="005F66A3"/>
    <w:rsid w:val="005F6C18"/>
    <w:rsid w:val="005F6C36"/>
    <w:rsid w:val="006016DE"/>
    <w:rsid w:val="00602840"/>
    <w:rsid w:val="00607DB9"/>
    <w:rsid w:val="006108C8"/>
    <w:rsid w:val="006114D5"/>
    <w:rsid w:val="00611907"/>
    <w:rsid w:val="00612A43"/>
    <w:rsid w:val="00613446"/>
    <w:rsid w:val="00623BA1"/>
    <w:rsid w:val="00624F40"/>
    <w:rsid w:val="00625D87"/>
    <w:rsid w:val="00626C17"/>
    <w:rsid w:val="00632E61"/>
    <w:rsid w:val="006346BC"/>
    <w:rsid w:val="00642D25"/>
    <w:rsid w:val="00653BEA"/>
    <w:rsid w:val="006622AE"/>
    <w:rsid w:val="00663A36"/>
    <w:rsid w:val="00664C82"/>
    <w:rsid w:val="00666291"/>
    <w:rsid w:val="0066652A"/>
    <w:rsid w:val="00671AEC"/>
    <w:rsid w:val="006745D0"/>
    <w:rsid w:val="00682167"/>
    <w:rsid w:val="00683B32"/>
    <w:rsid w:val="006865DD"/>
    <w:rsid w:val="00692786"/>
    <w:rsid w:val="006952C2"/>
    <w:rsid w:val="00696FC2"/>
    <w:rsid w:val="00697906"/>
    <w:rsid w:val="006A1C06"/>
    <w:rsid w:val="006A2B41"/>
    <w:rsid w:val="006B060B"/>
    <w:rsid w:val="006B3365"/>
    <w:rsid w:val="006B6E6B"/>
    <w:rsid w:val="006B6EF7"/>
    <w:rsid w:val="006C0CAE"/>
    <w:rsid w:val="006C1250"/>
    <w:rsid w:val="006C14E0"/>
    <w:rsid w:val="006C1510"/>
    <w:rsid w:val="006C26B7"/>
    <w:rsid w:val="006C42AF"/>
    <w:rsid w:val="006C4DD1"/>
    <w:rsid w:val="006C5047"/>
    <w:rsid w:val="006C53F7"/>
    <w:rsid w:val="006C6597"/>
    <w:rsid w:val="006C7910"/>
    <w:rsid w:val="006D1911"/>
    <w:rsid w:val="006D20F5"/>
    <w:rsid w:val="006D2732"/>
    <w:rsid w:val="006D3817"/>
    <w:rsid w:val="006D5B52"/>
    <w:rsid w:val="006D77C5"/>
    <w:rsid w:val="006E08DE"/>
    <w:rsid w:val="006E2289"/>
    <w:rsid w:val="006E5D7D"/>
    <w:rsid w:val="006E65A4"/>
    <w:rsid w:val="006F0CBA"/>
    <w:rsid w:val="006F13CC"/>
    <w:rsid w:val="006F1AED"/>
    <w:rsid w:val="006F665C"/>
    <w:rsid w:val="006F768C"/>
    <w:rsid w:val="00700BF8"/>
    <w:rsid w:val="007022AA"/>
    <w:rsid w:val="007028DC"/>
    <w:rsid w:val="00702F68"/>
    <w:rsid w:val="007031CE"/>
    <w:rsid w:val="007054A1"/>
    <w:rsid w:val="00706BD3"/>
    <w:rsid w:val="00710090"/>
    <w:rsid w:val="00711239"/>
    <w:rsid w:val="00711D8E"/>
    <w:rsid w:val="00712672"/>
    <w:rsid w:val="00715D69"/>
    <w:rsid w:val="007232A0"/>
    <w:rsid w:val="007245AF"/>
    <w:rsid w:val="00724719"/>
    <w:rsid w:val="00725FC3"/>
    <w:rsid w:val="007278FD"/>
    <w:rsid w:val="00734E3F"/>
    <w:rsid w:val="007353F3"/>
    <w:rsid w:val="00735972"/>
    <w:rsid w:val="00736985"/>
    <w:rsid w:val="00737A13"/>
    <w:rsid w:val="0074034B"/>
    <w:rsid w:val="007434E6"/>
    <w:rsid w:val="00750E45"/>
    <w:rsid w:val="00752D4F"/>
    <w:rsid w:val="00752F6A"/>
    <w:rsid w:val="0076232D"/>
    <w:rsid w:val="00762CE3"/>
    <w:rsid w:val="00762F3B"/>
    <w:rsid w:val="007767AF"/>
    <w:rsid w:val="0078345B"/>
    <w:rsid w:val="0078473F"/>
    <w:rsid w:val="0078495B"/>
    <w:rsid w:val="0079508B"/>
    <w:rsid w:val="00796DCD"/>
    <w:rsid w:val="007A136D"/>
    <w:rsid w:val="007A524F"/>
    <w:rsid w:val="007A7594"/>
    <w:rsid w:val="007B1D59"/>
    <w:rsid w:val="007B214D"/>
    <w:rsid w:val="007B6200"/>
    <w:rsid w:val="007B7C56"/>
    <w:rsid w:val="007C01EE"/>
    <w:rsid w:val="007C1789"/>
    <w:rsid w:val="007C2066"/>
    <w:rsid w:val="007C52F3"/>
    <w:rsid w:val="007D1294"/>
    <w:rsid w:val="007D21E5"/>
    <w:rsid w:val="007D31F3"/>
    <w:rsid w:val="007D33C8"/>
    <w:rsid w:val="007D4653"/>
    <w:rsid w:val="007D5C47"/>
    <w:rsid w:val="007D5EA2"/>
    <w:rsid w:val="007E2E3E"/>
    <w:rsid w:val="007E2FEC"/>
    <w:rsid w:val="007E3063"/>
    <w:rsid w:val="007E3EA1"/>
    <w:rsid w:val="007E6133"/>
    <w:rsid w:val="007E676E"/>
    <w:rsid w:val="007F2E5E"/>
    <w:rsid w:val="007F4B81"/>
    <w:rsid w:val="007F5ACA"/>
    <w:rsid w:val="007F736B"/>
    <w:rsid w:val="007F7783"/>
    <w:rsid w:val="00800101"/>
    <w:rsid w:val="00800178"/>
    <w:rsid w:val="00800B3C"/>
    <w:rsid w:val="008016D6"/>
    <w:rsid w:val="00801B9F"/>
    <w:rsid w:val="008043B7"/>
    <w:rsid w:val="00807AA0"/>
    <w:rsid w:val="00807B83"/>
    <w:rsid w:val="0081523D"/>
    <w:rsid w:val="008274CF"/>
    <w:rsid w:val="00827F6A"/>
    <w:rsid w:val="008379F3"/>
    <w:rsid w:val="008441BA"/>
    <w:rsid w:val="008459B1"/>
    <w:rsid w:val="008472C1"/>
    <w:rsid w:val="00847F53"/>
    <w:rsid w:val="0085475D"/>
    <w:rsid w:val="00855D03"/>
    <w:rsid w:val="00857F8D"/>
    <w:rsid w:val="008602DD"/>
    <w:rsid w:val="00863153"/>
    <w:rsid w:val="00863E5B"/>
    <w:rsid w:val="0086525E"/>
    <w:rsid w:val="00874672"/>
    <w:rsid w:val="00880B3F"/>
    <w:rsid w:val="00881BA6"/>
    <w:rsid w:val="0088200F"/>
    <w:rsid w:val="00882EAC"/>
    <w:rsid w:val="0088306E"/>
    <w:rsid w:val="00883640"/>
    <w:rsid w:val="00883999"/>
    <w:rsid w:val="0088527F"/>
    <w:rsid w:val="008869E6"/>
    <w:rsid w:val="00887C63"/>
    <w:rsid w:val="00891A2B"/>
    <w:rsid w:val="0089288A"/>
    <w:rsid w:val="00895280"/>
    <w:rsid w:val="0089728B"/>
    <w:rsid w:val="008A00E3"/>
    <w:rsid w:val="008A57B9"/>
    <w:rsid w:val="008A7669"/>
    <w:rsid w:val="008A7FCA"/>
    <w:rsid w:val="008B011F"/>
    <w:rsid w:val="008B044A"/>
    <w:rsid w:val="008B10A7"/>
    <w:rsid w:val="008B4E9B"/>
    <w:rsid w:val="008B5D59"/>
    <w:rsid w:val="008B62C7"/>
    <w:rsid w:val="008C080C"/>
    <w:rsid w:val="008C16B0"/>
    <w:rsid w:val="008C28F9"/>
    <w:rsid w:val="008C3079"/>
    <w:rsid w:val="008C7DE7"/>
    <w:rsid w:val="008D1FF3"/>
    <w:rsid w:val="008D3CA8"/>
    <w:rsid w:val="008D4A99"/>
    <w:rsid w:val="008E11BA"/>
    <w:rsid w:val="008E1B43"/>
    <w:rsid w:val="008E4BCF"/>
    <w:rsid w:val="008E5048"/>
    <w:rsid w:val="008E55E9"/>
    <w:rsid w:val="008E7C7A"/>
    <w:rsid w:val="008F1514"/>
    <w:rsid w:val="008F6115"/>
    <w:rsid w:val="0090309A"/>
    <w:rsid w:val="00904E0E"/>
    <w:rsid w:val="0090743F"/>
    <w:rsid w:val="009103B9"/>
    <w:rsid w:val="009113EA"/>
    <w:rsid w:val="00912664"/>
    <w:rsid w:val="00916510"/>
    <w:rsid w:val="00917A8D"/>
    <w:rsid w:val="00917FA6"/>
    <w:rsid w:val="00920315"/>
    <w:rsid w:val="0092038F"/>
    <w:rsid w:val="00920766"/>
    <w:rsid w:val="00920D36"/>
    <w:rsid w:val="00921F42"/>
    <w:rsid w:val="0092228E"/>
    <w:rsid w:val="00922B72"/>
    <w:rsid w:val="009254C8"/>
    <w:rsid w:val="00927387"/>
    <w:rsid w:val="0093629A"/>
    <w:rsid w:val="00937A46"/>
    <w:rsid w:val="00940833"/>
    <w:rsid w:val="00942104"/>
    <w:rsid w:val="009531C7"/>
    <w:rsid w:val="009653AF"/>
    <w:rsid w:val="00970967"/>
    <w:rsid w:val="00975446"/>
    <w:rsid w:val="00975452"/>
    <w:rsid w:val="00976EC2"/>
    <w:rsid w:val="00987BE3"/>
    <w:rsid w:val="00990498"/>
    <w:rsid w:val="0099224A"/>
    <w:rsid w:val="00994413"/>
    <w:rsid w:val="00995A8A"/>
    <w:rsid w:val="00996E28"/>
    <w:rsid w:val="009A056E"/>
    <w:rsid w:val="009A2DA7"/>
    <w:rsid w:val="009A4BCD"/>
    <w:rsid w:val="009B2A8E"/>
    <w:rsid w:val="009B4D3B"/>
    <w:rsid w:val="009B532D"/>
    <w:rsid w:val="009B5D12"/>
    <w:rsid w:val="009C0262"/>
    <w:rsid w:val="009C0A75"/>
    <w:rsid w:val="009C0A9C"/>
    <w:rsid w:val="009C0D1E"/>
    <w:rsid w:val="009D33AB"/>
    <w:rsid w:val="009D7407"/>
    <w:rsid w:val="009E0866"/>
    <w:rsid w:val="009E2EFE"/>
    <w:rsid w:val="009E3805"/>
    <w:rsid w:val="009E595E"/>
    <w:rsid w:val="009E5C5F"/>
    <w:rsid w:val="009F5BEB"/>
    <w:rsid w:val="00A003F7"/>
    <w:rsid w:val="00A03514"/>
    <w:rsid w:val="00A05F52"/>
    <w:rsid w:val="00A11AB8"/>
    <w:rsid w:val="00A17555"/>
    <w:rsid w:val="00A2092D"/>
    <w:rsid w:val="00A20E8E"/>
    <w:rsid w:val="00A21479"/>
    <w:rsid w:val="00A21FA7"/>
    <w:rsid w:val="00A22079"/>
    <w:rsid w:val="00A23047"/>
    <w:rsid w:val="00A23B4D"/>
    <w:rsid w:val="00A24705"/>
    <w:rsid w:val="00A247BD"/>
    <w:rsid w:val="00A24A62"/>
    <w:rsid w:val="00A24AFF"/>
    <w:rsid w:val="00A26E02"/>
    <w:rsid w:val="00A316FA"/>
    <w:rsid w:val="00A31C9F"/>
    <w:rsid w:val="00A31FC5"/>
    <w:rsid w:val="00A34CF2"/>
    <w:rsid w:val="00A375A3"/>
    <w:rsid w:val="00A40A7F"/>
    <w:rsid w:val="00A417B0"/>
    <w:rsid w:val="00A43456"/>
    <w:rsid w:val="00A44C9A"/>
    <w:rsid w:val="00A463D5"/>
    <w:rsid w:val="00A475E7"/>
    <w:rsid w:val="00A55406"/>
    <w:rsid w:val="00A57737"/>
    <w:rsid w:val="00A67DAA"/>
    <w:rsid w:val="00A70D68"/>
    <w:rsid w:val="00A71338"/>
    <w:rsid w:val="00A71F54"/>
    <w:rsid w:val="00A73559"/>
    <w:rsid w:val="00A75019"/>
    <w:rsid w:val="00A77409"/>
    <w:rsid w:val="00A82B10"/>
    <w:rsid w:val="00A83382"/>
    <w:rsid w:val="00A87386"/>
    <w:rsid w:val="00A879A7"/>
    <w:rsid w:val="00A90121"/>
    <w:rsid w:val="00A937D5"/>
    <w:rsid w:val="00A94B5C"/>
    <w:rsid w:val="00A95219"/>
    <w:rsid w:val="00A95EBC"/>
    <w:rsid w:val="00AA211E"/>
    <w:rsid w:val="00AA256A"/>
    <w:rsid w:val="00AA427D"/>
    <w:rsid w:val="00AA43E7"/>
    <w:rsid w:val="00AA53B2"/>
    <w:rsid w:val="00AB0DBD"/>
    <w:rsid w:val="00AB19CF"/>
    <w:rsid w:val="00AB3C74"/>
    <w:rsid w:val="00AB479A"/>
    <w:rsid w:val="00AC08B3"/>
    <w:rsid w:val="00AC164A"/>
    <w:rsid w:val="00AC3A9F"/>
    <w:rsid w:val="00AC46E0"/>
    <w:rsid w:val="00AC59C4"/>
    <w:rsid w:val="00AC62B9"/>
    <w:rsid w:val="00AC72A9"/>
    <w:rsid w:val="00AD078A"/>
    <w:rsid w:val="00AD1CEF"/>
    <w:rsid w:val="00AD27FA"/>
    <w:rsid w:val="00AD3B40"/>
    <w:rsid w:val="00AD747E"/>
    <w:rsid w:val="00AE15F2"/>
    <w:rsid w:val="00AF2050"/>
    <w:rsid w:val="00AF4F06"/>
    <w:rsid w:val="00B0158D"/>
    <w:rsid w:val="00B0758E"/>
    <w:rsid w:val="00B11BEA"/>
    <w:rsid w:val="00B12B18"/>
    <w:rsid w:val="00B148B6"/>
    <w:rsid w:val="00B1753F"/>
    <w:rsid w:val="00B20CD9"/>
    <w:rsid w:val="00B20F11"/>
    <w:rsid w:val="00B22B23"/>
    <w:rsid w:val="00B23A46"/>
    <w:rsid w:val="00B2665A"/>
    <w:rsid w:val="00B273FD"/>
    <w:rsid w:val="00B275A5"/>
    <w:rsid w:val="00B275C4"/>
    <w:rsid w:val="00B32090"/>
    <w:rsid w:val="00B328A8"/>
    <w:rsid w:val="00B36C33"/>
    <w:rsid w:val="00B42CFC"/>
    <w:rsid w:val="00B453CB"/>
    <w:rsid w:val="00B45E53"/>
    <w:rsid w:val="00B50B7C"/>
    <w:rsid w:val="00B5266D"/>
    <w:rsid w:val="00B55191"/>
    <w:rsid w:val="00B56274"/>
    <w:rsid w:val="00B56900"/>
    <w:rsid w:val="00B60352"/>
    <w:rsid w:val="00B679EE"/>
    <w:rsid w:val="00B72B2D"/>
    <w:rsid w:val="00B75E83"/>
    <w:rsid w:val="00B75F94"/>
    <w:rsid w:val="00B770EC"/>
    <w:rsid w:val="00B86765"/>
    <w:rsid w:val="00B877E1"/>
    <w:rsid w:val="00B9271E"/>
    <w:rsid w:val="00B944CD"/>
    <w:rsid w:val="00B9612C"/>
    <w:rsid w:val="00B979BA"/>
    <w:rsid w:val="00BA6A36"/>
    <w:rsid w:val="00BA6FE0"/>
    <w:rsid w:val="00BA79C0"/>
    <w:rsid w:val="00BB1273"/>
    <w:rsid w:val="00BB1BDF"/>
    <w:rsid w:val="00BB26C5"/>
    <w:rsid w:val="00BB4015"/>
    <w:rsid w:val="00BC1C4D"/>
    <w:rsid w:val="00BC34A4"/>
    <w:rsid w:val="00BC38EC"/>
    <w:rsid w:val="00BC4CD5"/>
    <w:rsid w:val="00BD26D6"/>
    <w:rsid w:val="00BD6B3B"/>
    <w:rsid w:val="00BD6B47"/>
    <w:rsid w:val="00BE25D4"/>
    <w:rsid w:val="00BE6438"/>
    <w:rsid w:val="00BF01DD"/>
    <w:rsid w:val="00BF0917"/>
    <w:rsid w:val="00BF4DE6"/>
    <w:rsid w:val="00C00084"/>
    <w:rsid w:val="00C010D3"/>
    <w:rsid w:val="00C02202"/>
    <w:rsid w:val="00C137D2"/>
    <w:rsid w:val="00C146BD"/>
    <w:rsid w:val="00C219A8"/>
    <w:rsid w:val="00C222CF"/>
    <w:rsid w:val="00C27D7E"/>
    <w:rsid w:val="00C315AA"/>
    <w:rsid w:val="00C32928"/>
    <w:rsid w:val="00C33CD4"/>
    <w:rsid w:val="00C400BD"/>
    <w:rsid w:val="00C41618"/>
    <w:rsid w:val="00C42CDE"/>
    <w:rsid w:val="00C46199"/>
    <w:rsid w:val="00C477BE"/>
    <w:rsid w:val="00C55F74"/>
    <w:rsid w:val="00C56D4E"/>
    <w:rsid w:val="00C64A17"/>
    <w:rsid w:val="00C65F23"/>
    <w:rsid w:val="00C70334"/>
    <w:rsid w:val="00C70E05"/>
    <w:rsid w:val="00C71F04"/>
    <w:rsid w:val="00C72ECF"/>
    <w:rsid w:val="00C7729E"/>
    <w:rsid w:val="00C77C95"/>
    <w:rsid w:val="00C80BA7"/>
    <w:rsid w:val="00C845FC"/>
    <w:rsid w:val="00C850BB"/>
    <w:rsid w:val="00C854B1"/>
    <w:rsid w:val="00C87DB0"/>
    <w:rsid w:val="00C91BB9"/>
    <w:rsid w:val="00CA0170"/>
    <w:rsid w:val="00CA1DFE"/>
    <w:rsid w:val="00CA37B1"/>
    <w:rsid w:val="00CA715C"/>
    <w:rsid w:val="00CB0A40"/>
    <w:rsid w:val="00CB1959"/>
    <w:rsid w:val="00CB4243"/>
    <w:rsid w:val="00CC3BC2"/>
    <w:rsid w:val="00CC3DE6"/>
    <w:rsid w:val="00CD215E"/>
    <w:rsid w:val="00CD2CFD"/>
    <w:rsid w:val="00CD3591"/>
    <w:rsid w:val="00CD4435"/>
    <w:rsid w:val="00CD5AB1"/>
    <w:rsid w:val="00CE3D80"/>
    <w:rsid w:val="00CE498E"/>
    <w:rsid w:val="00CE5773"/>
    <w:rsid w:val="00CE6232"/>
    <w:rsid w:val="00CF3BCC"/>
    <w:rsid w:val="00CF5B14"/>
    <w:rsid w:val="00CF6E18"/>
    <w:rsid w:val="00D002DB"/>
    <w:rsid w:val="00D0296C"/>
    <w:rsid w:val="00D034E1"/>
    <w:rsid w:val="00D0720B"/>
    <w:rsid w:val="00D12D41"/>
    <w:rsid w:val="00D12F4C"/>
    <w:rsid w:val="00D13D71"/>
    <w:rsid w:val="00D147D5"/>
    <w:rsid w:val="00D20057"/>
    <w:rsid w:val="00D2017D"/>
    <w:rsid w:val="00D20A43"/>
    <w:rsid w:val="00D21718"/>
    <w:rsid w:val="00D22869"/>
    <w:rsid w:val="00D23462"/>
    <w:rsid w:val="00D24E4B"/>
    <w:rsid w:val="00D26A02"/>
    <w:rsid w:val="00D33503"/>
    <w:rsid w:val="00D35A85"/>
    <w:rsid w:val="00D36758"/>
    <w:rsid w:val="00D36CCA"/>
    <w:rsid w:val="00D375E3"/>
    <w:rsid w:val="00D4313E"/>
    <w:rsid w:val="00D440F3"/>
    <w:rsid w:val="00D4503F"/>
    <w:rsid w:val="00D46D82"/>
    <w:rsid w:val="00D50DE5"/>
    <w:rsid w:val="00D543C8"/>
    <w:rsid w:val="00D57265"/>
    <w:rsid w:val="00D57FA7"/>
    <w:rsid w:val="00D60341"/>
    <w:rsid w:val="00D61671"/>
    <w:rsid w:val="00D61699"/>
    <w:rsid w:val="00D63B60"/>
    <w:rsid w:val="00D64A45"/>
    <w:rsid w:val="00D67B3E"/>
    <w:rsid w:val="00D70525"/>
    <w:rsid w:val="00D71792"/>
    <w:rsid w:val="00D738DF"/>
    <w:rsid w:val="00D7393F"/>
    <w:rsid w:val="00D76B7E"/>
    <w:rsid w:val="00D84929"/>
    <w:rsid w:val="00D91AD2"/>
    <w:rsid w:val="00D92F7C"/>
    <w:rsid w:val="00DA0149"/>
    <w:rsid w:val="00DA12D6"/>
    <w:rsid w:val="00DA344E"/>
    <w:rsid w:val="00DB1E33"/>
    <w:rsid w:val="00DB59C3"/>
    <w:rsid w:val="00DB6D69"/>
    <w:rsid w:val="00DC02A9"/>
    <w:rsid w:val="00DC0675"/>
    <w:rsid w:val="00DC311F"/>
    <w:rsid w:val="00DC32A9"/>
    <w:rsid w:val="00DC430B"/>
    <w:rsid w:val="00DC5794"/>
    <w:rsid w:val="00DC5B38"/>
    <w:rsid w:val="00DD27FD"/>
    <w:rsid w:val="00DD2ABE"/>
    <w:rsid w:val="00DD4374"/>
    <w:rsid w:val="00DD5836"/>
    <w:rsid w:val="00DD6207"/>
    <w:rsid w:val="00DE6C4C"/>
    <w:rsid w:val="00DF25F7"/>
    <w:rsid w:val="00DF38B8"/>
    <w:rsid w:val="00E01EEF"/>
    <w:rsid w:val="00E01F04"/>
    <w:rsid w:val="00E071FD"/>
    <w:rsid w:val="00E07218"/>
    <w:rsid w:val="00E07A2A"/>
    <w:rsid w:val="00E13EA3"/>
    <w:rsid w:val="00E13F13"/>
    <w:rsid w:val="00E152B4"/>
    <w:rsid w:val="00E23275"/>
    <w:rsid w:val="00E243B1"/>
    <w:rsid w:val="00E2645D"/>
    <w:rsid w:val="00E32820"/>
    <w:rsid w:val="00E34AB5"/>
    <w:rsid w:val="00E357B7"/>
    <w:rsid w:val="00E36BA6"/>
    <w:rsid w:val="00E36DB5"/>
    <w:rsid w:val="00E41179"/>
    <w:rsid w:val="00E428D1"/>
    <w:rsid w:val="00E43B37"/>
    <w:rsid w:val="00E44D53"/>
    <w:rsid w:val="00E459C1"/>
    <w:rsid w:val="00E47047"/>
    <w:rsid w:val="00E50417"/>
    <w:rsid w:val="00E53800"/>
    <w:rsid w:val="00E53B8A"/>
    <w:rsid w:val="00E53BB9"/>
    <w:rsid w:val="00E56C55"/>
    <w:rsid w:val="00E57EC3"/>
    <w:rsid w:val="00E6071A"/>
    <w:rsid w:val="00E6081F"/>
    <w:rsid w:val="00E63113"/>
    <w:rsid w:val="00E6356E"/>
    <w:rsid w:val="00E65470"/>
    <w:rsid w:val="00E66361"/>
    <w:rsid w:val="00E6663E"/>
    <w:rsid w:val="00E71757"/>
    <w:rsid w:val="00E71E1C"/>
    <w:rsid w:val="00E806A4"/>
    <w:rsid w:val="00E806FC"/>
    <w:rsid w:val="00E854F9"/>
    <w:rsid w:val="00E86A3D"/>
    <w:rsid w:val="00E9142B"/>
    <w:rsid w:val="00E97006"/>
    <w:rsid w:val="00E97CDC"/>
    <w:rsid w:val="00EA04B2"/>
    <w:rsid w:val="00EA0E58"/>
    <w:rsid w:val="00EA20F3"/>
    <w:rsid w:val="00EA3B6E"/>
    <w:rsid w:val="00EA4F21"/>
    <w:rsid w:val="00EA667F"/>
    <w:rsid w:val="00EB551F"/>
    <w:rsid w:val="00EB5C08"/>
    <w:rsid w:val="00EB714F"/>
    <w:rsid w:val="00EC000D"/>
    <w:rsid w:val="00EC06A8"/>
    <w:rsid w:val="00EC2C15"/>
    <w:rsid w:val="00EC45DC"/>
    <w:rsid w:val="00ED1791"/>
    <w:rsid w:val="00ED25FA"/>
    <w:rsid w:val="00ED3575"/>
    <w:rsid w:val="00ED43D1"/>
    <w:rsid w:val="00ED46D2"/>
    <w:rsid w:val="00EE0423"/>
    <w:rsid w:val="00EE180F"/>
    <w:rsid w:val="00EE39C2"/>
    <w:rsid w:val="00EE43B1"/>
    <w:rsid w:val="00EE4EE1"/>
    <w:rsid w:val="00EF28B3"/>
    <w:rsid w:val="00EF3F50"/>
    <w:rsid w:val="00EF4574"/>
    <w:rsid w:val="00EF5B79"/>
    <w:rsid w:val="00EF72E1"/>
    <w:rsid w:val="00F04A69"/>
    <w:rsid w:val="00F05B8D"/>
    <w:rsid w:val="00F05CB3"/>
    <w:rsid w:val="00F06736"/>
    <w:rsid w:val="00F07450"/>
    <w:rsid w:val="00F112D6"/>
    <w:rsid w:val="00F12068"/>
    <w:rsid w:val="00F129AF"/>
    <w:rsid w:val="00F17049"/>
    <w:rsid w:val="00F20AFB"/>
    <w:rsid w:val="00F20C00"/>
    <w:rsid w:val="00F227B4"/>
    <w:rsid w:val="00F24812"/>
    <w:rsid w:val="00F25A62"/>
    <w:rsid w:val="00F25DDC"/>
    <w:rsid w:val="00F2615B"/>
    <w:rsid w:val="00F2645C"/>
    <w:rsid w:val="00F2684E"/>
    <w:rsid w:val="00F271B9"/>
    <w:rsid w:val="00F31EC9"/>
    <w:rsid w:val="00F32A62"/>
    <w:rsid w:val="00F3594C"/>
    <w:rsid w:val="00F3595D"/>
    <w:rsid w:val="00F360D8"/>
    <w:rsid w:val="00F3794B"/>
    <w:rsid w:val="00F40347"/>
    <w:rsid w:val="00F422D0"/>
    <w:rsid w:val="00F45C6A"/>
    <w:rsid w:val="00F460F8"/>
    <w:rsid w:val="00F46684"/>
    <w:rsid w:val="00F508B9"/>
    <w:rsid w:val="00F51CE5"/>
    <w:rsid w:val="00F54A3A"/>
    <w:rsid w:val="00F56729"/>
    <w:rsid w:val="00F574B8"/>
    <w:rsid w:val="00F607F1"/>
    <w:rsid w:val="00F61289"/>
    <w:rsid w:val="00F615D8"/>
    <w:rsid w:val="00F61E2D"/>
    <w:rsid w:val="00F620EF"/>
    <w:rsid w:val="00F70277"/>
    <w:rsid w:val="00F7270B"/>
    <w:rsid w:val="00F729EF"/>
    <w:rsid w:val="00F73AEE"/>
    <w:rsid w:val="00F74937"/>
    <w:rsid w:val="00F751B6"/>
    <w:rsid w:val="00F770C9"/>
    <w:rsid w:val="00F77CAE"/>
    <w:rsid w:val="00F83D32"/>
    <w:rsid w:val="00F90ECD"/>
    <w:rsid w:val="00F96BB9"/>
    <w:rsid w:val="00F97C16"/>
    <w:rsid w:val="00F97FBD"/>
    <w:rsid w:val="00FA2339"/>
    <w:rsid w:val="00FB0F5B"/>
    <w:rsid w:val="00FB1237"/>
    <w:rsid w:val="00FB1E4D"/>
    <w:rsid w:val="00FB21C0"/>
    <w:rsid w:val="00FB2439"/>
    <w:rsid w:val="00FB44AA"/>
    <w:rsid w:val="00FB5CD5"/>
    <w:rsid w:val="00FB5E85"/>
    <w:rsid w:val="00FC09AF"/>
    <w:rsid w:val="00FC15A4"/>
    <w:rsid w:val="00FC2AA9"/>
    <w:rsid w:val="00FC2C10"/>
    <w:rsid w:val="00FC7481"/>
    <w:rsid w:val="00FC797D"/>
    <w:rsid w:val="00FD58D8"/>
    <w:rsid w:val="00FE151B"/>
    <w:rsid w:val="00FE2110"/>
    <w:rsid w:val="00FE34C7"/>
    <w:rsid w:val="00FE4EA3"/>
    <w:rsid w:val="00FE622D"/>
    <w:rsid w:val="00FE6D51"/>
    <w:rsid w:val="00FF0B5D"/>
    <w:rsid w:val="00FF1CF6"/>
    <w:rsid w:val="00FF54D8"/>
    <w:rsid w:val="00FF7C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5795044"/>
  <w15:docId w15:val="{9B3D9A84-8831-4BE1-A87C-A2E0FB43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514C5"/>
    <w:pPr>
      <w:suppressAutoHyphens/>
      <w:spacing w:before="180" w:after="60" w:line="280" w:lineRule="atLeast"/>
    </w:pPr>
  </w:style>
  <w:style w:type="paragraph" w:styleId="Heading1">
    <w:name w:val="heading 1"/>
    <w:basedOn w:val="Normal"/>
    <w:next w:val="Normal"/>
    <w:link w:val="Heading1Char"/>
    <w:uiPriority w:val="1"/>
    <w:qFormat/>
    <w:rsid w:val="004A02E5"/>
    <w:pPr>
      <w:keepNext/>
      <w:keepLines/>
      <w:numPr>
        <w:numId w:val="13"/>
      </w:numPr>
      <w:spacing w:before="360" w:after="120" w:line="460" w:lineRule="atLeast"/>
      <w:ind w:left="851" w:hanging="851"/>
      <w:contextualSpacing/>
      <w:outlineLvl w:val="0"/>
    </w:pPr>
    <w:rPr>
      <w:rFonts w:asciiTheme="majorHAnsi" w:eastAsiaTheme="majorEastAsia" w:hAnsiTheme="majorHAnsi" w:cstheme="majorBidi"/>
      <w:bCs/>
      <w:color w:val="005A77"/>
      <w:sz w:val="40"/>
      <w:szCs w:val="28"/>
    </w:rPr>
  </w:style>
  <w:style w:type="paragraph" w:styleId="Heading2">
    <w:name w:val="heading 2"/>
    <w:basedOn w:val="Heading1"/>
    <w:next w:val="Normal"/>
    <w:link w:val="Heading2Char"/>
    <w:unhideWhenUsed/>
    <w:qFormat/>
    <w:rsid w:val="007F5ACA"/>
    <w:pPr>
      <w:numPr>
        <w:ilvl w:val="1"/>
      </w:numPr>
      <w:ind w:left="851" w:hanging="851"/>
      <w:outlineLvl w:val="1"/>
    </w:pPr>
    <w:rPr>
      <w:sz w:val="34"/>
      <w:szCs w:val="34"/>
    </w:rPr>
  </w:style>
  <w:style w:type="paragraph" w:styleId="Heading3">
    <w:name w:val="heading 3"/>
    <w:basedOn w:val="Heading2"/>
    <w:next w:val="Normal"/>
    <w:link w:val="Heading3Char"/>
    <w:unhideWhenUsed/>
    <w:qFormat/>
    <w:rsid w:val="007F5ACA"/>
    <w:pPr>
      <w:numPr>
        <w:ilvl w:val="2"/>
      </w:numPr>
      <w:spacing w:line="340" w:lineRule="atLeast"/>
      <w:ind w:left="1134" w:hanging="1134"/>
      <w:outlineLvl w:val="2"/>
    </w:pPr>
    <w:rPr>
      <w:rFonts w:eastAsia="Times New Roman"/>
      <w:bCs w:val="0"/>
      <w:color w:val="auto"/>
      <w:sz w:val="30"/>
      <w:szCs w:val="30"/>
    </w:rPr>
  </w:style>
  <w:style w:type="paragraph" w:styleId="Heading4">
    <w:name w:val="heading 4"/>
    <w:basedOn w:val="Normal"/>
    <w:next w:val="Normal"/>
    <w:link w:val="Heading4Char"/>
    <w:uiPriority w:val="9"/>
    <w:unhideWhenUsed/>
    <w:qFormat/>
    <w:rsid w:val="00CE498E"/>
    <w:pPr>
      <w:numPr>
        <w:ilvl w:val="3"/>
        <w:numId w:val="13"/>
      </w:numPr>
      <w:spacing w:before="240"/>
      <w:outlineLvl w:val="3"/>
    </w:pPr>
    <w:rPr>
      <w:color w:val="005A77"/>
      <w:sz w:val="28"/>
      <w:szCs w:val="28"/>
    </w:rPr>
  </w:style>
  <w:style w:type="paragraph" w:styleId="Heading5">
    <w:name w:val="heading 5"/>
    <w:basedOn w:val="Heading4"/>
    <w:next w:val="Normal"/>
    <w:link w:val="Heading5Char"/>
    <w:uiPriority w:val="9"/>
    <w:semiHidden/>
    <w:unhideWhenUsed/>
    <w:qFormat/>
    <w:rsid w:val="00623BA1"/>
    <w:pPr>
      <w:numPr>
        <w:ilvl w:val="4"/>
      </w:numPr>
      <w:outlineLvl w:val="4"/>
    </w:pPr>
    <w:rPr>
      <w:i/>
      <w:color w:val="7877B8" w:themeColor="accent1" w:themeShade="BF"/>
      <w:sz w:val="22"/>
    </w:rPr>
  </w:style>
  <w:style w:type="paragraph" w:styleId="Heading6">
    <w:name w:val="heading 6"/>
    <w:basedOn w:val="Heading5"/>
    <w:next w:val="Normal"/>
    <w:link w:val="Heading6Char"/>
    <w:uiPriority w:val="9"/>
    <w:semiHidden/>
    <w:unhideWhenUsed/>
    <w:qFormat/>
    <w:rsid w:val="00486804"/>
    <w:pPr>
      <w:numPr>
        <w:ilvl w:val="5"/>
      </w:numPr>
      <w:spacing w:before="40"/>
      <w:outlineLvl w:val="5"/>
    </w:pPr>
    <w:rPr>
      <w:color w:val="474584" w:themeColor="accent1" w:themeShade="7F"/>
    </w:rPr>
  </w:style>
  <w:style w:type="paragraph" w:styleId="Heading7">
    <w:name w:val="heading 7"/>
    <w:basedOn w:val="Heading6"/>
    <w:next w:val="Normal"/>
    <w:link w:val="Heading7Char"/>
    <w:uiPriority w:val="9"/>
    <w:semiHidden/>
    <w:unhideWhenUsed/>
    <w:qFormat/>
    <w:rsid w:val="00486804"/>
    <w:pPr>
      <w:numPr>
        <w:ilvl w:val="6"/>
      </w:numPr>
      <w:outlineLvl w:val="6"/>
    </w:pPr>
    <w:rPr>
      <w:i w:val="0"/>
      <w:iCs/>
    </w:rPr>
  </w:style>
  <w:style w:type="paragraph" w:styleId="Heading8">
    <w:name w:val="heading 8"/>
    <w:basedOn w:val="Heading7"/>
    <w:next w:val="Normal"/>
    <w:link w:val="Heading8Char"/>
    <w:uiPriority w:val="9"/>
    <w:semiHidden/>
    <w:unhideWhenUsed/>
    <w:qFormat/>
    <w:rsid w:val="0048680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numPr>
        <w:ilvl w:val="8"/>
      </w:numPr>
      <w:outlineLvl w:val="8"/>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A02E5"/>
    <w:rPr>
      <w:rFonts w:asciiTheme="majorHAnsi" w:eastAsiaTheme="majorEastAsia" w:hAnsiTheme="majorHAnsi" w:cstheme="majorBidi"/>
      <w:bCs/>
      <w:color w:val="005A77"/>
      <w:sz w:val="40"/>
      <w:szCs w:val="28"/>
    </w:rPr>
  </w:style>
  <w:style w:type="character" w:customStyle="1" w:styleId="Heading2Char">
    <w:name w:val="Heading 2 Char"/>
    <w:basedOn w:val="DefaultParagraphFont"/>
    <w:link w:val="Heading2"/>
    <w:rsid w:val="007F5ACA"/>
    <w:rPr>
      <w:rFonts w:asciiTheme="majorHAnsi" w:eastAsiaTheme="majorEastAsia" w:hAnsiTheme="majorHAnsi" w:cstheme="majorBidi"/>
      <w:bCs/>
      <w:color w:val="005A77"/>
      <w:sz w:val="34"/>
      <w:szCs w:val="34"/>
    </w:rPr>
  </w:style>
  <w:style w:type="character" w:customStyle="1" w:styleId="Heading3Char">
    <w:name w:val="Heading 3 Char"/>
    <w:basedOn w:val="DefaultParagraphFont"/>
    <w:link w:val="Heading3"/>
    <w:rsid w:val="007F5ACA"/>
    <w:rPr>
      <w:rFonts w:asciiTheme="majorHAnsi" w:eastAsia="Times New Roman" w:hAnsiTheme="majorHAnsi" w:cstheme="majorBidi"/>
      <w:sz w:val="30"/>
      <w:szCs w:val="30"/>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005A77"/>
      <w:kern w:val="28"/>
      <w:sz w:val="40"/>
      <w:szCs w:val="52"/>
    </w:rPr>
  </w:style>
  <w:style w:type="paragraph" w:styleId="Subtitle">
    <w:name w:val="Subtitle"/>
    <w:basedOn w:val="Title"/>
    <w:next w:val="Normal"/>
    <w:link w:val="SubtitleChar"/>
    <w:uiPriority w:val="11"/>
    <w:qFormat/>
    <w:rsid w:val="00DB6D69"/>
    <w:pPr>
      <w:numPr>
        <w:numId w:val="0"/>
      </w:numPr>
      <w:spacing w:before="360" w:line="260" w:lineRule="atLeast"/>
      <w:ind w:left="576" w:hanging="576"/>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005A77"/>
      <w:kern w:val="28"/>
      <w:sz w:val="20"/>
      <w:szCs w:val="24"/>
    </w:rPr>
  </w:style>
  <w:style w:type="paragraph" w:customStyle="1" w:styleId="Bullet1">
    <w:name w:val="Bullet 1"/>
    <w:basedOn w:val="Normal"/>
    <w:qFormat/>
    <w:rsid w:val="000137C6"/>
    <w:pPr>
      <w:numPr>
        <w:numId w:val="18"/>
      </w:numPr>
      <w:spacing w:before="240"/>
    </w:pPr>
  </w:style>
  <w:style w:type="paragraph" w:customStyle="1" w:styleId="Bullet2">
    <w:name w:val="Bullet 2"/>
    <w:basedOn w:val="Bullet1"/>
    <w:qFormat/>
    <w:rsid w:val="00F2684E"/>
  </w:style>
  <w:style w:type="paragraph" w:customStyle="1" w:styleId="Bullet3">
    <w:name w:val="Bullet 3"/>
    <w:basedOn w:val="Bullet2"/>
    <w:qFormat/>
    <w:rsid w:val="00F2684E"/>
  </w:style>
  <w:style w:type="paragraph" w:customStyle="1" w:styleId="NumberedList1">
    <w:name w:val="Numbered List 1"/>
    <w:basedOn w:val="Normal"/>
    <w:qFormat/>
    <w:rsid w:val="00576566"/>
  </w:style>
  <w:style w:type="paragraph" w:customStyle="1" w:styleId="NumberedList2">
    <w:name w:val="Numbered List 2"/>
    <w:basedOn w:val="NumberedList1"/>
    <w:qFormat/>
    <w:rsid w:val="00576566"/>
    <w:pPr>
      <w:numPr>
        <w:ilvl w:val="1"/>
      </w:numPr>
      <w:spacing w:before="120"/>
    </w:pPr>
  </w:style>
  <w:style w:type="paragraph" w:customStyle="1" w:styleId="NumberedList3">
    <w:name w:val="Numbered List 3"/>
    <w:basedOn w:val="NumberedList2"/>
    <w:qFormat/>
    <w:rsid w:val="00576566"/>
    <w:pPr>
      <w:numPr>
        <w:ilvl w:val="2"/>
      </w:numPr>
    </w:pPr>
  </w:style>
  <w:style w:type="paragraph" w:customStyle="1" w:styleId="Heading1Numbered">
    <w:name w:val="Heading 1 Numbered"/>
    <w:basedOn w:val="Heading1"/>
    <w:next w:val="Normal"/>
    <w:qFormat/>
    <w:rsid w:val="004A02E5"/>
  </w:style>
  <w:style w:type="paragraph" w:customStyle="1" w:styleId="Heading2Numbered">
    <w:name w:val="Heading 2 Numbered"/>
    <w:basedOn w:val="Heading3"/>
    <w:next w:val="Normal"/>
    <w:rsid w:val="00FC797D"/>
    <w:pPr>
      <w:numPr>
        <w:numId w:val="10"/>
      </w:numPr>
    </w:pPr>
  </w:style>
  <w:style w:type="paragraph" w:customStyle="1" w:styleId="Heading3Numbered">
    <w:name w:val="Heading 3 Numbered"/>
    <w:basedOn w:val="Heading3"/>
    <w:next w:val="Normal"/>
    <w:qFormat/>
    <w:rsid w:val="00437D6E"/>
    <w:pPr>
      <w:numPr>
        <w:numId w:val="12"/>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437D6E"/>
    <w:pPr>
      <w:numPr>
        <w:numId w:val="3"/>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CE498E"/>
    <w:rPr>
      <w:color w:val="005A77"/>
      <w:sz w:val="28"/>
      <w:szCs w:val="28"/>
    </w:rPr>
  </w:style>
  <w:style w:type="paragraph" w:styleId="TOC1">
    <w:name w:val="toc 1"/>
    <w:basedOn w:val="Normal"/>
    <w:next w:val="Normal"/>
    <w:autoRedefine/>
    <w:uiPriority w:val="39"/>
    <w:unhideWhenUsed/>
    <w:qFormat/>
    <w:rsid w:val="004425B1"/>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qFormat/>
    <w:rsid w:val="00F2645C"/>
    <w:pPr>
      <w:tabs>
        <w:tab w:val="left" w:pos="454"/>
        <w:tab w:val="right" w:pos="9072"/>
      </w:tabs>
      <w:spacing w:before="60" w:line="230" w:lineRule="atLeast"/>
      <w:ind w:left="908" w:hanging="454"/>
    </w:pPr>
  </w:style>
  <w:style w:type="paragraph" w:styleId="TOC3">
    <w:name w:val="toc 3"/>
    <w:basedOn w:val="Normal"/>
    <w:next w:val="Normal"/>
    <w:autoRedefine/>
    <w:uiPriority w:val="39"/>
    <w:unhideWhenUsed/>
    <w:rsid w:val="00F31EC9"/>
    <w:pPr>
      <w:tabs>
        <w:tab w:val="left" w:pos="1134"/>
        <w:tab w:val="left" w:pos="1400"/>
        <w:tab w:val="right" w:pos="9072"/>
      </w:tabs>
      <w:spacing w:before="60"/>
      <w:ind w:left="1400"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BBBADB"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qFormat/>
    <w:rsid w:val="001E3A51"/>
    <w:rPr>
      <w:rFonts w:asciiTheme="minorHAnsi" w:hAnsiTheme="minorHAnsi" w:cs="MuseoSans-500"/>
      <w:color w:val="0070C0"/>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i/>
      <w:color w:val="7877B8" w:themeColor="accent1" w:themeShade="BF"/>
      <w:szCs w:val="28"/>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i/>
      <w:color w:val="474584" w:themeColor="accent1" w:themeShade="7F"/>
      <w:szCs w:val="28"/>
    </w:rPr>
  </w:style>
  <w:style w:type="character" w:customStyle="1" w:styleId="Heading7Char">
    <w:name w:val="Heading 7 Char"/>
    <w:basedOn w:val="DefaultParagraphFont"/>
    <w:link w:val="Heading7"/>
    <w:uiPriority w:val="9"/>
    <w:semiHidden/>
    <w:rsid w:val="00486804"/>
    <w:rPr>
      <w:iCs/>
      <w:color w:val="474584" w:themeColor="accent1" w:themeShade="7F"/>
      <w:szCs w:val="28"/>
    </w:rPr>
  </w:style>
  <w:style w:type="character" w:customStyle="1" w:styleId="Heading8Char">
    <w:name w:val="Heading 8 Char"/>
    <w:basedOn w:val="DefaultParagraphFont"/>
    <w:link w:val="Heading8"/>
    <w:uiPriority w:val="9"/>
    <w:semiHidden/>
    <w:rsid w:val="00486804"/>
    <w:rPr>
      <w:iCs/>
      <w:color w:val="272727" w:themeColor="text1" w:themeTint="D8"/>
      <w:sz w:val="21"/>
      <w:szCs w:val="21"/>
    </w:rPr>
  </w:style>
  <w:style w:type="character" w:customStyle="1" w:styleId="Heading9Char">
    <w:name w:val="Heading 9 Char"/>
    <w:basedOn w:val="DefaultParagraphFont"/>
    <w:link w:val="Heading9"/>
    <w:uiPriority w:val="9"/>
    <w:semiHidden/>
    <w:rsid w:val="00486804"/>
    <w:rPr>
      <w:i/>
      <w:color w:val="272727" w:themeColor="text1" w:themeTint="D8"/>
      <w:sz w:val="21"/>
      <w:szCs w:val="21"/>
    </w:rPr>
  </w:style>
  <w:style w:type="paragraph" w:customStyle="1" w:styleId="Boxed1Text">
    <w:name w:val="Boxed 1 Text"/>
    <w:basedOn w:val="Normal"/>
    <w:qFormat/>
    <w:rsid w:val="00486804"/>
    <w:pPr>
      <w:pBdr>
        <w:top w:val="single" w:sz="4" w:space="14" w:color="F1F1F7" w:themeColor="accent1" w:themeTint="33"/>
        <w:left w:val="single" w:sz="4" w:space="14" w:color="F1F1F7" w:themeColor="accent1" w:themeTint="33"/>
        <w:bottom w:val="single" w:sz="4" w:space="14" w:color="F1F1F7" w:themeColor="accent1" w:themeTint="33"/>
        <w:right w:val="single" w:sz="4" w:space="14" w:color="F1F1F7" w:themeColor="accent1" w:themeTint="33"/>
      </w:pBdr>
      <w:shd w:val="clear" w:color="auto" w:fill="F1F1F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BBBADB" w:themeColor="accent1"/>
        <w:left w:val="single" w:sz="4" w:space="14" w:color="BBBADB" w:themeColor="accent1"/>
        <w:bottom w:val="single" w:sz="4" w:space="14" w:color="BBBADB" w:themeColor="accent1"/>
        <w:right w:val="single" w:sz="4" w:space="14" w:color="BBBADB" w:themeColor="accent1"/>
      </w:pBdr>
      <w:shd w:val="clear" w:color="auto" w:fill="BBBADB"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AB19CF"/>
    <w:rPr>
      <w:sz w:val="16"/>
      <w:szCs w:val="20"/>
    </w:rPr>
  </w:style>
  <w:style w:type="character" w:styleId="FootnoteReference">
    <w:name w:val="footnote reference"/>
    <w:basedOn w:val="DefaultParagraphFont"/>
    <w:uiPriority w:val="99"/>
    <w:semiHidden/>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styleId="BodyText">
    <w:name w:val="Body Text"/>
    <w:basedOn w:val="Normal"/>
    <w:link w:val="BodyTextChar"/>
    <w:uiPriority w:val="1"/>
    <w:qFormat/>
    <w:rsid w:val="00883640"/>
    <w:pPr>
      <w:suppressAutoHyphens w:val="0"/>
      <w:spacing w:before="0" w:after="120" w:line="240" w:lineRule="auto"/>
    </w:pPr>
    <w:rPr>
      <w:rFonts w:ascii="Cambria" w:eastAsia="Cambria" w:hAnsi="Cambria" w:cs="Times New Roman"/>
    </w:rPr>
  </w:style>
  <w:style w:type="character" w:customStyle="1" w:styleId="BodyTextChar">
    <w:name w:val="Body Text Char"/>
    <w:basedOn w:val="DefaultParagraphFont"/>
    <w:link w:val="BodyText"/>
    <w:uiPriority w:val="1"/>
    <w:rsid w:val="0015660F"/>
    <w:rPr>
      <w:rFonts w:ascii="Cambria" w:eastAsia="Cambria" w:hAnsi="Cambria" w:cs="Times New Roman"/>
    </w:rPr>
  </w:style>
  <w:style w:type="paragraph" w:styleId="BalloonText">
    <w:name w:val="Balloon Text"/>
    <w:basedOn w:val="Normal"/>
    <w:link w:val="BalloonTextChar"/>
    <w:uiPriority w:val="99"/>
    <w:semiHidden/>
    <w:unhideWhenUsed/>
    <w:rsid w:val="007A524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24F"/>
    <w:rPr>
      <w:rFonts w:ascii="Segoe UI" w:hAnsi="Segoe UI" w:cs="Segoe UI"/>
      <w:sz w:val="18"/>
      <w:szCs w:val="18"/>
    </w:rPr>
  </w:style>
  <w:style w:type="character" w:styleId="CommentReference">
    <w:name w:val="annotation reference"/>
    <w:basedOn w:val="DefaultParagraphFont"/>
    <w:uiPriority w:val="99"/>
    <w:semiHidden/>
    <w:unhideWhenUsed/>
    <w:rsid w:val="00353900"/>
    <w:rPr>
      <w:sz w:val="16"/>
      <w:szCs w:val="16"/>
    </w:rPr>
  </w:style>
  <w:style w:type="paragraph" w:styleId="CommentText">
    <w:name w:val="annotation text"/>
    <w:basedOn w:val="Normal"/>
    <w:link w:val="CommentTextChar"/>
    <w:uiPriority w:val="99"/>
    <w:unhideWhenUsed/>
    <w:qFormat/>
    <w:rsid w:val="00353900"/>
    <w:pPr>
      <w:spacing w:line="240" w:lineRule="auto"/>
    </w:pPr>
    <w:rPr>
      <w:sz w:val="20"/>
      <w:szCs w:val="20"/>
    </w:rPr>
  </w:style>
  <w:style w:type="character" w:customStyle="1" w:styleId="CommentTextChar">
    <w:name w:val="Comment Text Char"/>
    <w:basedOn w:val="DefaultParagraphFont"/>
    <w:link w:val="CommentText"/>
    <w:uiPriority w:val="99"/>
    <w:rsid w:val="00353900"/>
    <w:rPr>
      <w:sz w:val="20"/>
      <w:szCs w:val="20"/>
    </w:rPr>
  </w:style>
  <w:style w:type="paragraph" w:styleId="CommentSubject">
    <w:name w:val="annotation subject"/>
    <w:basedOn w:val="CommentText"/>
    <w:next w:val="CommentText"/>
    <w:link w:val="CommentSubjectChar"/>
    <w:uiPriority w:val="99"/>
    <w:semiHidden/>
    <w:unhideWhenUsed/>
    <w:rsid w:val="00353900"/>
    <w:rPr>
      <w:b/>
      <w:bCs/>
    </w:rPr>
  </w:style>
  <w:style w:type="character" w:customStyle="1" w:styleId="CommentSubjectChar">
    <w:name w:val="Comment Subject Char"/>
    <w:basedOn w:val="CommentTextChar"/>
    <w:link w:val="CommentSubject"/>
    <w:uiPriority w:val="99"/>
    <w:semiHidden/>
    <w:rsid w:val="00353900"/>
    <w:rPr>
      <w:b/>
      <w:bCs/>
      <w:sz w:val="20"/>
      <w:szCs w:val="20"/>
    </w:rPr>
  </w:style>
  <w:style w:type="paragraph" w:styleId="ListParagraph">
    <w:name w:val="List Paragraph"/>
    <w:basedOn w:val="Normal"/>
    <w:link w:val="ListParagraphChar"/>
    <w:uiPriority w:val="1"/>
    <w:qFormat/>
    <w:rsid w:val="00883640"/>
    <w:pPr>
      <w:ind w:left="720"/>
      <w:contextualSpacing/>
    </w:pPr>
  </w:style>
  <w:style w:type="paragraph" w:customStyle="1" w:styleId="Default">
    <w:name w:val="Default"/>
    <w:rsid w:val="00140F10"/>
    <w:pPr>
      <w:autoSpaceDE w:val="0"/>
      <w:autoSpaceDN w:val="0"/>
      <w:adjustRightInd w:val="0"/>
      <w:spacing w:after="0" w:line="240" w:lineRule="auto"/>
    </w:pPr>
    <w:rPr>
      <w:rFonts w:ascii="Cambria" w:hAnsi="Cambria" w:cs="Cambria"/>
      <w:color w:val="000000"/>
      <w:sz w:val="24"/>
      <w:szCs w:val="24"/>
    </w:rPr>
  </w:style>
  <w:style w:type="character" w:styleId="FollowedHyperlink">
    <w:name w:val="FollowedHyperlink"/>
    <w:basedOn w:val="DefaultParagraphFont"/>
    <w:uiPriority w:val="99"/>
    <w:unhideWhenUsed/>
    <w:rsid w:val="00921F42"/>
    <w:rPr>
      <w:color w:val="954F72" w:themeColor="followedHyperlink"/>
      <w:u w:val="single"/>
    </w:rPr>
  </w:style>
  <w:style w:type="character" w:customStyle="1" w:styleId="ListParagraphChar">
    <w:name w:val="List Paragraph Char"/>
    <w:basedOn w:val="DefaultParagraphFont"/>
    <w:link w:val="ListParagraph"/>
    <w:uiPriority w:val="1"/>
    <w:locked/>
    <w:rsid w:val="00D63B60"/>
  </w:style>
  <w:style w:type="paragraph" w:customStyle="1" w:styleId="TableParagraph">
    <w:name w:val="Table Paragraph"/>
    <w:basedOn w:val="Normal"/>
    <w:uiPriority w:val="1"/>
    <w:qFormat/>
    <w:rsid w:val="00883640"/>
    <w:pPr>
      <w:widowControl w:val="0"/>
      <w:suppressAutoHyphens w:val="0"/>
      <w:spacing w:before="0" w:after="0" w:line="240" w:lineRule="auto"/>
    </w:pPr>
    <w:rPr>
      <w:lang w:val="en-US"/>
    </w:rPr>
  </w:style>
  <w:style w:type="paragraph" w:styleId="Revision">
    <w:name w:val="Revision"/>
    <w:hidden/>
    <w:uiPriority w:val="99"/>
    <w:semiHidden/>
    <w:rsid w:val="00883640"/>
    <w:pPr>
      <w:spacing w:after="0" w:line="240" w:lineRule="auto"/>
    </w:pPr>
  </w:style>
  <w:style w:type="numbering" w:customStyle="1" w:styleId="Style1">
    <w:name w:val="Style1"/>
    <w:uiPriority w:val="99"/>
    <w:rsid w:val="00423576"/>
    <w:pPr>
      <w:numPr>
        <w:numId w:val="11"/>
      </w:numPr>
    </w:pPr>
  </w:style>
  <w:style w:type="numbering" w:customStyle="1" w:styleId="Style2">
    <w:name w:val="Style2"/>
    <w:uiPriority w:val="99"/>
    <w:rsid w:val="005468B0"/>
    <w:pPr>
      <w:numPr>
        <w:numId w:val="14"/>
      </w:numPr>
    </w:pPr>
  </w:style>
  <w:style w:type="paragraph" w:customStyle="1" w:styleId="CoverPage">
    <w:name w:val="Cover Page"/>
    <w:basedOn w:val="Title"/>
    <w:uiPriority w:val="1"/>
    <w:qFormat/>
    <w:rsid w:val="001C7ABE"/>
    <w:pPr>
      <w:numPr>
        <w:numId w:val="15"/>
      </w:numPr>
    </w:pPr>
    <w:rPr>
      <w:rFonts w:asciiTheme="minorHAnsi"/>
      <w:color w:val="auto"/>
      <w:szCs w:val="40"/>
    </w:rPr>
  </w:style>
  <w:style w:type="paragraph" w:styleId="NormalWeb">
    <w:name w:val="Normal (Web)"/>
    <w:basedOn w:val="Normal"/>
    <w:uiPriority w:val="99"/>
    <w:unhideWhenUsed/>
    <w:rsid w:val="003A67E7"/>
    <w:rPr>
      <w:rFonts w:ascii="Times New Roman" w:hAnsi="Times New Roman" w:cs="Times New Roman"/>
      <w:sz w:val="24"/>
      <w:szCs w:val="24"/>
    </w:rPr>
  </w:style>
  <w:style w:type="paragraph" w:customStyle="1" w:styleId="Contents">
    <w:name w:val="Contents"/>
    <w:basedOn w:val="TOCHeading"/>
    <w:uiPriority w:val="1"/>
    <w:qFormat/>
    <w:rsid w:val="004A02E5"/>
    <w:pPr>
      <w:tabs>
        <w:tab w:val="left" w:pos="2977"/>
      </w:tabs>
      <w:ind w:left="432" w:hanging="432"/>
    </w:pPr>
  </w:style>
  <w:style w:type="paragraph" w:styleId="ListNumber">
    <w:name w:val="List Number"/>
    <w:basedOn w:val="Normal"/>
    <w:uiPriority w:val="99"/>
    <w:unhideWhenUsed/>
    <w:rsid w:val="00087BA9"/>
    <w:pPr>
      <w:numPr>
        <w:numId w:val="7"/>
      </w:numPr>
      <w:contextualSpacing/>
    </w:pPr>
  </w:style>
  <w:style w:type="paragraph" w:styleId="ListNumber2">
    <w:name w:val="List Number 2"/>
    <w:basedOn w:val="Bullet1"/>
    <w:uiPriority w:val="99"/>
    <w:unhideWhenUsed/>
    <w:rsid w:val="000137C6"/>
    <w:pPr>
      <w:numPr>
        <w:numId w:val="8"/>
      </w:numPr>
      <w:spacing w:before="120"/>
      <w:ind w:left="714" w:hanging="357"/>
    </w:pPr>
  </w:style>
  <w:style w:type="paragraph" w:styleId="ListBullet2">
    <w:name w:val="List Bullet 2"/>
    <w:basedOn w:val="Normal"/>
    <w:uiPriority w:val="99"/>
    <w:unhideWhenUsed/>
    <w:rsid w:val="00D33503"/>
    <w:pPr>
      <w:spacing w:before="100"/>
    </w:pPr>
  </w:style>
  <w:style w:type="paragraph" w:customStyle="1" w:styleId="CBMSReportPath">
    <w:name w:val="CBMS Report Path"/>
    <w:basedOn w:val="Normal"/>
    <w:uiPriority w:val="1"/>
    <w:qFormat/>
    <w:rsid w:val="004E47F6"/>
    <w:pPr>
      <w:spacing w:before="240" w:after="240"/>
    </w:pPr>
    <w:rPr>
      <w:i/>
      <w:color w:val="0070C0"/>
    </w:rPr>
  </w:style>
  <w:style w:type="paragraph" w:customStyle="1" w:styleId="Style3">
    <w:name w:val="Style3"/>
    <w:basedOn w:val="ListBullet3"/>
    <w:uiPriority w:val="1"/>
    <w:qFormat/>
    <w:rsid w:val="00607DB9"/>
    <w:pPr>
      <w:numPr>
        <w:ilvl w:val="3"/>
        <w:numId w:val="21"/>
      </w:numPr>
      <w:ind w:left="993"/>
    </w:pPr>
  </w:style>
  <w:style w:type="paragraph" w:customStyle="1" w:styleId="PAESStructureNormal">
    <w:name w:val="PAES Structure Normal"/>
    <w:basedOn w:val="Normal"/>
    <w:uiPriority w:val="1"/>
    <w:qFormat/>
    <w:rsid w:val="00607DB9"/>
    <w:pPr>
      <w:spacing w:before="100"/>
    </w:pPr>
  </w:style>
  <w:style w:type="paragraph" w:styleId="ListBullet3">
    <w:name w:val="List Bullet 3"/>
    <w:basedOn w:val="Normal"/>
    <w:uiPriority w:val="99"/>
    <w:unhideWhenUsed/>
    <w:rsid w:val="003514C5"/>
    <w:pPr>
      <w:numPr>
        <w:numId w:val="22"/>
      </w:numPr>
      <w:spacing w:before="100" w:after="80"/>
      <w:contextualSpacing/>
    </w:pPr>
  </w:style>
  <w:style w:type="paragraph" w:customStyle="1" w:styleId="PAESStructureCentreBold">
    <w:name w:val="PAES Structure Centre Bold"/>
    <w:basedOn w:val="PAESStructureNormal"/>
    <w:uiPriority w:val="1"/>
    <w:qFormat/>
    <w:rsid w:val="00607DB9"/>
    <w:pPr>
      <w:jc w:val="center"/>
    </w:pPr>
    <w:rPr>
      <w:b/>
    </w:rPr>
  </w:style>
  <w:style w:type="paragraph" w:styleId="ListBullet">
    <w:name w:val="List Bullet"/>
    <w:basedOn w:val="Normal"/>
    <w:uiPriority w:val="99"/>
    <w:unhideWhenUsed/>
    <w:rsid w:val="00AA53B2"/>
    <w:pPr>
      <w:numPr>
        <w:numId w:val="6"/>
      </w:numPr>
      <w:contextualSpacing/>
    </w:pPr>
  </w:style>
  <w:style w:type="paragraph" w:customStyle="1" w:styleId="TableText-NoofCopies">
    <w:name w:val="Table Text - No. of Copies"/>
    <w:basedOn w:val="Normal"/>
    <w:uiPriority w:val="1"/>
    <w:qFormat/>
    <w:rsid w:val="001E3A51"/>
    <w:pPr>
      <w:spacing w:line="240" w:lineRule="auto"/>
    </w:pPr>
    <w:rPr>
      <w:i/>
      <w:color w:val="FF0000"/>
      <w:sz w:val="18"/>
    </w:rPr>
  </w:style>
  <w:style w:type="paragraph" w:customStyle="1" w:styleId="TableTextCambria">
    <w:name w:val="Table Text Cambria"/>
    <w:basedOn w:val="Normal"/>
    <w:uiPriority w:val="1"/>
    <w:qFormat/>
    <w:rsid w:val="001E3A51"/>
    <w:pPr>
      <w:spacing w:before="57" w:after="120" w:line="120" w:lineRule="atLeast"/>
    </w:pPr>
    <w:rPr>
      <w:rFonts w:ascii="Cambria" w:hAnsi="Cambria"/>
      <w:sz w:val="20"/>
    </w:rPr>
  </w:style>
  <w:style w:type="paragraph" w:customStyle="1" w:styleId="TableTextCambriaIndented">
    <w:name w:val="Table Text Cambria Indented"/>
    <w:basedOn w:val="TableTextCambria"/>
    <w:uiPriority w:val="1"/>
    <w:qFormat/>
    <w:rsid w:val="001E3A51"/>
    <w:pPr>
      <w:ind w:left="284"/>
    </w:pPr>
  </w:style>
  <w:style w:type="paragraph" w:customStyle="1" w:styleId="ListBullet3BlueCBMSReportsPath">
    <w:name w:val="List Bullet 3 Blue (CBMS Reports Path)"/>
    <w:basedOn w:val="ListBullet3"/>
    <w:uiPriority w:val="1"/>
    <w:qFormat/>
    <w:rsid w:val="003514C5"/>
    <w:pPr>
      <w:spacing w:after="40"/>
      <w:contextualSpacing w:val="0"/>
    </w:pPr>
    <w:rPr>
      <w:i/>
      <w:color w:val="0070C0"/>
    </w:rPr>
  </w:style>
  <w:style w:type="paragraph" w:customStyle="1" w:styleId="ListBullet1">
    <w:name w:val="List Bullet 1"/>
    <w:basedOn w:val="Bullet1"/>
    <w:uiPriority w:val="1"/>
    <w:qFormat/>
    <w:rsid w:val="003514C5"/>
    <w:pPr>
      <w:numPr>
        <w:numId w:val="19"/>
      </w:numPr>
    </w:pPr>
  </w:style>
  <w:style w:type="paragraph" w:styleId="ListBullet4">
    <w:name w:val="List Bullet 4"/>
    <w:basedOn w:val="Normal"/>
    <w:uiPriority w:val="99"/>
    <w:unhideWhenUsed/>
    <w:rsid w:val="003514C5"/>
    <w:pPr>
      <w:numPr>
        <w:numId w:val="2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19448">
      <w:bodyDiv w:val="1"/>
      <w:marLeft w:val="0"/>
      <w:marRight w:val="0"/>
      <w:marTop w:val="0"/>
      <w:marBottom w:val="0"/>
      <w:divBdr>
        <w:top w:val="none" w:sz="0" w:space="0" w:color="auto"/>
        <w:left w:val="none" w:sz="0" w:space="0" w:color="auto"/>
        <w:bottom w:val="none" w:sz="0" w:space="0" w:color="auto"/>
        <w:right w:val="none" w:sz="0" w:space="0" w:color="auto"/>
      </w:divBdr>
    </w:div>
    <w:div w:id="595140187">
      <w:bodyDiv w:val="1"/>
      <w:marLeft w:val="0"/>
      <w:marRight w:val="0"/>
      <w:marTop w:val="0"/>
      <w:marBottom w:val="0"/>
      <w:divBdr>
        <w:top w:val="none" w:sz="0" w:space="0" w:color="auto"/>
        <w:left w:val="none" w:sz="0" w:space="0" w:color="auto"/>
        <w:bottom w:val="none" w:sz="0" w:space="0" w:color="auto"/>
        <w:right w:val="none" w:sz="0" w:space="0" w:color="auto"/>
      </w:divBdr>
    </w:div>
    <w:div w:id="822626163">
      <w:bodyDiv w:val="1"/>
      <w:marLeft w:val="0"/>
      <w:marRight w:val="0"/>
      <w:marTop w:val="0"/>
      <w:marBottom w:val="0"/>
      <w:divBdr>
        <w:top w:val="none" w:sz="0" w:space="0" w:color="auto"/>
        <w:left w:val="none" w:sz="0" w:space="0" w:color="auto"/>
        <w:bottom w:val="none" w:sz="0" w:space="0" w:color="auto"/>
        <w:right w:val="none" w:sz="0" w:space="0" w:color="auto"/>
      </w:divBdr>
    </w:div>
    <w:div w:id="1429085132">
      <w:bodyDiv w:val="1"/>
      <w:marLeft w:val="0"/>
      <w:marRight w:val="0"/>
      <w:marTop w:val="0"/>
      <w:marBottom w:val="0"/>
      <w:divBdr>
        <w:top w:val="none" w:sz="0" w:space="0" w:color="auto"/>
        <w:left w:val="none" w:sz="0" w:space="0" w:color="auto"/>
        <w:bottom w:val="none" w:sz="0" w:space="0" w:color="auto"/>
        <w:right w:val="none" w:sz="0" w:space="0" w:color="auto"/>
      </w:divBdr>
    </w:div>
    <w:div w:id="1580753941">
      <w:bodyDiv w:val="1"/>
      <w:marLeft w:val="0"/>
      <w:marRight w:val="0"/>
      <w:marTop w:val="0"/>
      <w:marBottom w:val="0"/>
      <w:divBdr>
        <w:top w:val="none" w:sz="0" w:space="0" w:color="auto"/>
        <w:left w:val="none" w:sz="0" w:space="0" w:color="auto"/>
        <w:bottom w:val="none" w:sz="0" w:space="0" w:color="auto"/>
        <w:right w:val="none" w:sz="0" w:space="0" w:color="auto"/>
      </w:divBdr>
      <w:divsChild>
        <w:div w:id="1677534126">
          <w:marLeft w:val="1253"/>
          <w:marRight w:val="0"/>
          <w:marTop w:val="180"/>
          <w:marBottom w:val="0"/>
          <w:divBdr>
            <w:top w:val="none" w:sz="0" w:space="0" w:color="auto"/>
            <w:left w:val="none" w:sz="0" w:space="0" w:color="auto"/>
            <w:bottom w:val="none" w:sz="0" w:space="0" w:color="auto"/>
            <w:right w:val="none" w:sz="0" w:space="0" w:color="auto"/>
          </w:divBdr>
        </w:div>
      </w:divsChild>
    </w:div>
    <w:div w:id="1697385756">
      <w:bodyDiv w:val="1"/>
      <w:marLeft w:val="0"/>
      <w:marRight w:val="0"/>
      <w:marTop w:val="0"/>
      <w:marBottom w:val="0"/>
      <w:divBdr>
        <w:top w:val="none" w:sz="0" w:space="0" w:color="auto"/>
        <w:left w:val="none" w:sz="0" w:space="0" w:color="auto"/>
        <w:bottom w:val="none" w:sz="0" w:space="0" w:color="auto"/>
        <w:right w:val="none" w:sz="0" w:space="0" w:color="auto"/>
      </w:divBdr>
    </w:div>
    <w:div w:id="1776166753">
      <w:bodyDiv w:val="1"/>
      <w:marLeft w:val="0"/>
      <w:marRight w:val="0"/>
      <w:marTop w:val="0"/>
      <w:marBottom w:val="0"/>
      <w:divBdr>
        <w:top w:val="none" w:sz="0" w:space="0" w:color="auto"/>
        <w:left w:val="none" w:sz="0" w:space="0" w:color="auto"/>
        <w:bottom w:val="none" w:sz="0" w:space="0" w:color="auto"/>
        <w:right w:val="none" w:sz="0" w:space="0" w:color="auto"/>
      </w:divBdr>
    </w:div>
    <w:div w:id="180430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inance.gov.au/resource-management/index/rmg" TargetMode="External"/><Relationship Id="rId18" Type="http://schemas.openxmlformats.org/officeDocument/2006/relationships/hyperlink" Target="mailto:Budget_Framework@finance.gov.au" TargetMode="External"/><Relationship Id="rId26" Type="http://schemas.openxmlformats.org/officeDocument/2006/relationships/hyperlink" Target="mailto:fpa.sen@aph.gov.au" TargetMode="External"/><Relationship Id="rId39" Type="http://schemas.openxmlformats.org/officeDocument/2006/relationships/hyperlink" Target="file:///\\mercury.network\dfs\groups\FMG\FRACM\Reporting%20and%20Resourcing\BRF\PBS-PAES%20Reporting\Budget%20Papers%20and%20Reporting\2.%20Port.%20Add.%20Est.%20State.%20(PAES)\3.4%20PAES%202018-19\data@pmc.gov.au" TargetMode="External"/><Relationship Id="rId21" Type="http://schemas.openxmlformats.org/officeDocument/2006/relationships/hyperlink" Target="file:///\\mercury.network\dfs\Groups\FMG\FRACM\Reporting%20and%20Resourcing\BRF\Reporting\BdgPap\2.%20PAES\3.5%20PAES%202019-20\Table.Docs@aph.gov.au" TargetMode="External"/><Relationship Id="rId34" Type="http://schemas.openxmlformats.org/officeDocument/2006/relationships/hyperlink" Target="https://guides.service.gov.au/content-guide/accessibility-inclusivity" TargetMode="External"/><Relationship Id="rId42" Type="http://schemas.openxmlformats.org/officeDocument/2006/relationships/hyperlink" Target="http://www.finance.gov.au/resource-management/performance" TargetMode="External"/><Relationship Id="rId47" Type="http://schemas.openxmlformats.org/officeDocument/2006/relationships/hyperlink" Target="mailto:PGPA@finance.gov.au" TargetMode="External"/><Relationship Id="rId50" Type="http://schemas.openxmlformats.org/officeDocument/2006/relationships/hyperlink" Target="mailto:OPAAdmin@finance.gov.au"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psc.gov.au/publications-and-media/current-publications/machinery-of-government" TargetMode="External"/><Relationship Id="rId17" Type="http://schemas.openxmlformats.org/officeDocument/2006/relationships/hyperlink" Target="mailto:tabling@pmc.gov.au" TargetMode="External"/><Relationship Id="rId25" Type="http://schemas.openxmlformats.org/officeDocument/2006/relationships/hyperlink" Target="mailto:ec.sen@aph.gov.au" TargetMode="External"/><Relationship Id="rId33" Type="http://schemas.openxmlformats.org/officeDocument/2006/relationships/hyperlink" Target="file:///\\mercury.network\dfs\groups\FMG\FRACM\Reporting%20and%20Resourcing\BRF\Reporting\BdgPap\2.%20PAES\3.5%20PAES%202019-20\www.budget.gov.au" TargetMode="External"/><Relationship Id="rId38" Type="http://schemas.openxmlformats.org/officeDocument/2006/relationships/hyperlink" Target="http://govlink.sge.net/Home.aspx" TargetMode="External"/><Relationship Id="rId46" Type="http://schemas.openxmlformats.org/officeDocument/2006/relationships/hyperlink" Target="mailto:Budget_Framework@finance.gov.au" TargetMode="External"/><Relationship Id="rId2" Type="http://schemas.openxmlformats.org/officeDocument/2006/relationships/numbering" Target="numbering.xml"/><Relationship Id="rId16" Type="http://schemas.openxmlformats.org/officeDocument/2006/relationships/hyperlink" Target="https://www.pmc.gov.au/sites/default/files/publications/pmc-tabling-guidelines.pdf" TargetMode="External"/><Relationship Id="rId20" Type="http://schemas.openxmlformats.org/officeDocument/2006/relationships/hyperlink" Target="http://www.protectivesecurity.gov.au" TargetMode="External"/><Relationship Id="rId29" Type="http://schemas.openxmlformats.org/officeDocument/2006/relationships/hyperlink" Target="mailto:rrat.sen@aph.gov.au" TargetMode="External"/><Relationship Id="rId41" Type="http://schemas.openxmlformats.org/officeDocument/2006/relationships/hyperlink" Target="mailto:PGPA@finance.gov.au"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eec.sen@aph.gov.au" TargetMode="External"/><Relationship Id="rId32" Type="http://schemas.openxmlformats.org/officeDocument/2006/relationships/hyperlink" Target="mailto:Budget_Framework@finance.gov.au" TargetMode="External"/><Relationship Id="rId37" Type="http://schemas.openxmlformats.org/officeDocument/2006/relationships/hyperlink" Target="mailto:Budget_Framework@finance.gov.au" TargetMode="External"/><Relationship Id="rId40" Type="http://schemas.openxmlformats.org/officeDocument/2006/relationships/hyperlink" Target="http://www.finance.gov.au/resource-management/reporting-accounting/financial-reporting/" TargetMode="External"/><Relationship Id="rId45" Type="http://schemas.openxmlformats.org/officeDocument/2006/relationships/hyperlink" Target="https://www.finance.gov.au/government/financial-reporting-accounting-policy" TargetMode="External"/><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mailto:economics.sen@aph.gov.au" TargetMode="External"/><Relationship Id="rId28" Type="http://schemas.openxmlformats.org/officeDocument/2006/relationships/hyperlink" Target="mailto:legcon.sen@aph.gov.au" TargetMode="External"/><Relationship Id="rId36" Type="http://schemas.openxmlformats.org/officeDocument/2006/relationships/hyperlink" Target="http://www.aph.gov.au/Parliamentary_Business/Chamber_documents/Dynamic_Red" TargetMode="External"/><Relationship Id="rId49" Type="http://schemas.openxmlformats.org/officeDocument/2006/relationships/hyperlink" Target="mailto:asl@finance.gov.au" TargetMode="External"/><Relationship Id="rId57"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Budget_Framework@finance.gov.au" TargetMode="External"/><Relationship Id="rId31" Type="http://schemas.openxmlformats.org/officeDocument/2006/relationships/hyperlink" Target="https://www.dta.gov.au/help-and-advice/guides-and-tools/commonwealth-library-deposit-and-free-issue-schemes" TargetMode="External"/><Relationship Id="rId44" Type="http://schemas.openxmlformats.org/officeDocument/2006/relationships/hyperlink" Target="https://www.finance.gov.au/publications/resource-management-guides-rmgs/guide-appropriations-rmg-100" TargetMode="External"/><Relationship Id="rId52" Type="http://schemas.openxmlformats.org/officeDocument/2006/relationships/hyperlink" Target="mailto:table.docs@aph.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yperlink" Target="mailto:community.affairs.sen@aph.gov.au" TargetMode="External"/><Relationship Id="rId27" Type="http://schemas.openxmlformats.org/officeDocument/2006/relationships/hyperlink" Target="mailto:fadt.sen@aph.gov.au" TargetMode="External"/><Relationship Id="rId30" Type="http://schemas.openxmlformats.org/officeDocument/2006/relationships/hyperlink" Target="mailto:info@dta.gov.au" TargetMode="External"/><Relationship Id="rId35" Type="http://schemas.openxmlformats.org/officeDocument/2006/relationships/hyperlink" Target="mailto:budgetpublishing@treasury.gov.au" TargetMode="External"/><Relationship Id="rId43" Type="http://schemas.openxmlformats.org/officeDocument/2006/relationships/hyperlink" Target="https://www.finance.gov.au/financial-reporting-and-accounting-policy/" TargetMode="External"/><Relationship Id="rId48" Type="http://schemas.openxmlformats.org/officeDocument/2006/relationships/hyperlink" Target="mailto:annual.appropriations@finance.gov.au" TargetMode="External"/><Relationship Id="rId56" Type="http://schemas.openxmlformats.org/officeDocument/2006/relationships/glossaryDocument" Target="glossary/document.xml"/><Relationship Id="rId8" Type="http://schemas.openxmlformats.org/officeDocument/2006/relationships/header" Target="header1.xml"/><Relationship Id="rId51" Type="http://schemas.openxmlformats.org/officeDocument/2006/relationships/hyperlink" Target="mailto:budgetpublishing@treasury.gov.au"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2506F095F64A8DA15CCC83F10457A0"/>
        <w:category>
          <w:name w:val="General"/>
          <w:gallery w:val="placeholder"/>
        </w:category>
        <w:types>
          <w:type w:val="bbPlcHdr"/>
        </w:types>
        <w:behaviors>
          <w:behavior w:val="content"/>
        </w:behaviors>
        <w:guid w:val="{93A9CC0C-B953-4365-B8E4-B78F2474280F}"/>
      </w:docPartPr>
      <w:docPartBody>
        <w:p w:rsidR="00817C60" w:rsidRDefault="00751FB6">
          <w:r w:rsidRPr="006009C9">
            <w:rPr>
              <w:rStyle w:val="PlaceholderText"/>
            </w:rPr>
            <w:t>[Status]</w:t>
          </w:r>
        </w:p>
      </w:docPartBody>
    </w:docPart>
    <w:docPart>
      <w:docPartPr>
        <w:name w:val="9D808996CD2146019246D2031F05F10B"/>
        <w:category>
          <w:name w:val="General"/>
          <w:gallery w:val="placeholder"/>
        </w:category>
        <w:types>
          <w:type w:val="bbPlcHdr"/>
        </w:types>
        <w:behaviors>
          <w:behavior w:val="content"/>
        </w:behaviors>
        <w:guid w:val="{91BC08E9-82F0-4806-B66A-59428F7C0270}"/>
      </w:docPartPr>
      <w:docPartBody>
        <w:p w:rsidR="00817C60" w:rsidRDefault="00751FB6" w:rsidP="00751FB6">
          <w:pPr>
            <w:pStyle w:val="9D808996CD2146019246D2031F05F10B"/>
          </w:pPr>
          <w:r w:rsidRPr="006009C9">
            <w:rPr>
              <w:rStyle w:val="PlaceholderText"/>
            </w:rPr>
            <w:t>[Status]</w:t>
          </w:r>
        </w:p>
      </w:docPartBody>
    </w:docPart>
    <w:docPart>
      <w:docPartPr>
        <w:name w:val="5C4B31DB2C8C4092A163BC9FC728C771"/>
        <w:category>
          <w:name w:val="General"/>
          <w:gallery w:val="placeholder"/>
        </w:category>
        <w:types>
          <w:type w:val="bbPlcHdr"/>
        </w:types>
        <w:behaviors>
          <w:behavior w:val="content"/>
        </w:behaviors>
        <w:guid w:val="{3E0C2A9F-DBC1-4AC1-A5D1-8140EA994965}"/>
      </w:docPartPr>
      <w:docPartBody>
        <w:p w:rsidR="00817C60" w:rsidRDefault="00751FB6" w:rsidP="00751FB6">
          <w:pPr>
            <w:pStyle w:val="5C4B31DB2C8C4092A163BC9FC728C771"/>
          </w:pPr>
          <w:r w:rsidRPr="006009C9">
            <w:rPr>
              <w:rStyle w:val="PlaceholderText"/>
            </w:rPr>
            <w:t>[Status]</w:t>
          </w:r>
        </w:p>
      </w:docPartBody>
    </w:docPart>
    <w:docPart>
      <w:docPartPr>
        <w:name w:val="85FCF50EFA584C32A9291D76744CD17A"/>
        <w:category>
          <w:name w:val="General"/>
          <w:gallery w:val="placeholder"/>
        </w:category>
        <w:types>
          <w:type w:val="bbPlcHdr"/>
        </w:types>
        <w:behaviors>
          <w:behavior w:val="content"/>
        </w:behaviors>
        <w:guid w:val="{F0F7575D-38F6-42DA-B1C8-F6AC6B3FB305}"/>
      </w:docPartPr>
      <w:docPartBody>
        <w:p w:rsidR="00817C60" w:rsidRDefault="00751FB6" w:rsidP="00751FB6">
          <w:pPr>
            <w:pStyle w:val="85FCF50EFA584C32A9291D76744CD17A"/>
          </w:pPr>
          <w:r w:rsidRPr="006009C9">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Sans-500">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B6"/>
    <w:rsid w:val="0001115D"/>
    <w:rsid w:val="000208ED"/>
    <w:rsid w:val="000275BF"/>
    <w:rsid w:val="00027994"/>
    <w:rsid w:val="000716E4"/>
    <w:rsid w:val="000A39F3"/>
    <w:rsid w:val="000B60E2"/>
    <w:rsid w:val="00105A8E"/>
    <w:rsid w:val="001072D6"/>
    <w:rsid w:val="001115CB"/>
    <w:rsid w:val="00127E23"/>
    <w:rsid w:val="0013023A"/>
    <w:rsid w:val="0014196D"/>
    <w:rsid w:val="0019069B"/>
    <w:rsid w:val="002476EB"/>
    <w:rsid w:val="00255482"/>
    <w:rsid w:val="002579B2"/>
    <w:rsid w:val="00300634"/>
    <w:rsid w:val="00305842"/>
    <w:rsid w:val="00387B21"/>
    <w:rsid w:val="003E1F77"/>
    <w:rsid w:val="00420567"/>
    <w:rsid w:val="0042378D"/>
    <w:rsid w:val="00430F1E"/>
    <w:rsid w:val="0048145F"/>
    <w:rsid w:val="004F20E7"/>
    <w:rsid w:val="00523EC3"/>
    <w:rsid w:val="00534440"/>
    <w:rsid w:val="005902D5"/>
    <w:rsid w:val="005B348B"/>
    <w:rsid w:val="00647C77"/>
    <w:rsid w:val="006633C3"/>
    <w:rsid w:val="0066629B"/>
    <w:rsid w:val="00681642"/>
    <w:rsid w:val="006C3B70"/>
    <w:rsid w:val="00727A9A"/>
    <w:rsid w:val="00751FB6"/>
    <w:rsid w:val="00765EC2"/>
    <w:rsid w:val="007A6563"/>
    <w:rsid w:val="00817C60"/>
    <w:rsid w:val="00823543"/>
    <w:rsid w:val="00846C58"/>
    <w:rsid w:val="00874D11"/>
    <w:rsid w:val="0089092D"/>
    <w:rsid w:val="0093480B"/>
    <w:rsid w:val="00977DA4"/>
    <w:rsid w:val="009C0D89"/>
    <w:rsid w:val="00A20549"/>
    <w:rsid w:val="00A63353"/>
    <w:rsid w:val="00A720A9"/>
    <w:rsid w:val="00AC5BE0"/>
    <w:rsid w:val="00B2156F"/>
    <w:rsid w:val="00B25D17"/>
    <w:rsid w:val="00B637B1"/>
    <w:rsid w:val="00BA26A1"/>
    <w:rsid w:val="00D17BC2"/>
    <w:rsid w:val="00D62180"/>
    <w:rsid w:val="00D800E8"/>
    <w:rsid w:val="00DA3EC2"/>
    <w:rsid w:val="00DE490F"/>
    <w:rsid w:val="00E206A0"/>
    <w:rsid w:val="00EB2579"/>
    <w:rsid w:val="00F37372"/>
    <w:rsid w:val="00FB16D0"/>
    <w:rsid w:val="00FD0E27"/>
    <w:rsid w:val="00FE228E"/>
    <w:rsid w:val="00FE69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FB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5842"/>
    <w:rPr>
      <w:color w:val="808080"/>
    </w:rPr>
  </w:style>
  <w:style w:type="paragraph" w:customStyle="1" w:styleId="9D808996CD2146019246D2031F05F10B">
    <w:name w:val="9D808996CD2146019246D2031F05F10B"/>
    <w:rsid w:val="00751FB6"/>
  </w:style>
  <w:style w:type="paragraph" w:customStyle="1" w:styleId="5C4B31DB2C8C4092A163BC9FC728C771">
    <w:name w:val="5C4B31DB2C8C4092A163BC9FC728C771"/>
    <w:rsid w:val="00751FB6"/>
  </w:style>
  <w:style w:type="paragraph" w:customStyle="1" w:styleId="85FCF50EFA584C32A9291D76744CD17A">
    <w:name w:val="85FCF50EFA584C32A9291D76744CD17A"/>
    <w:rsid w:val="00751FB6"/>
  </w:style>
  <w:style w:type="paragraph" w:customStyle="1" w:styleId="E6DC13BA2B074E37B5E055F391B94838">
    <w:name w:val="E6DC13BA2B074E37B5E055F391B94838"/>
    <w:rsid w:val="00305842"/>
  </w:style>
  <w:style w:type="paragraph" w:customStyle="1" w:styleId="0F0A17C88B8149B3ABC83372A90BF27B">
    <w:name w:val="0F0A17C88B8149B3ABC83372A90BF27B"/>
    <w:rsid w:val="00305842"/>
  </w:style>
  <w:style w:type="paragraph" w:customStyle="1" w:styleId="7EA0AC575D1949C697CCFF6FEBF89920">
    <w:name w:val="7EA0AC575D1949C697CCFF6FEBF89920"/>
    <w:rsid w:val="003058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Finance 2 Purple">
  <a:themeElements>
    <a:clrScheme name="Finance - Purple">
      <a:dk1>
        <a:sysClr val="windowText" lastClr="000000"/>
      </a:dk1>
      <a:lt1>
        <a:sysClr val="window" lastClr="FFFFFF"/>
      </a:lt1>
      <a:dk2>
        <a:srgbClr val="1C1C1C"/>
      </a:dk2>
      <a:lt2>
        <a:srgbClr val="E2E3E2"/>
      </a:lt2>
      <a:accent1>
        <a:srgbClr val="BBBADB"/>
      </a:accent1>
      <a:accent2>
        <a:srgbClr val="9D94C4"/>
      </a:accent2>
      <a:accent3>
        <a:srgbClr val="645493"/>
      </a:accent3>
      <a:accent4>
        <a:srgbClr val="E8B600"/>
      </a:accent4>
      <a:accent5>
        <a:srgbClr val="19806D"/>
      </a:accent5>
      <a:accent6>
        <a:srgbClr val="C94A2C"/>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2 Purple" id="{1C931DD7-B3FB-4378-9355-B3912E6AB571}" vid="{77F1BC40-830B-4BE2-8F93-24202CFF9F0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09307-128C-4719-B7FA-7A0A5B091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91C5EED</Template>
  <TotalTime>3</TotalTime>
  <Pages>46</Pages>
  <Words>14258</Words>
  <Characters>81272</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Preparing the 2019-20 Portfolio Additional Estimates Statements</dc:title>
  <dc:subject/>
  <dc:creator>Department of Finance</dc:creator>
  <cp:keywords/>
  <dc:description/>
  <cp:lastModifiedBy>Truong, Minh</cp:lastModifiedBy>
  <cp:revision>6</cp:revision>
  <cp:lastPrinted>2019-12-11T05:33:00Z</cp:lastPrinted>
  <dcterms:created xsi:type="dcterms:W3CDTF">2019-12-18T03:48:00Z</dcterms:created>
  <dcterms:modified xsi:type="dcterms:W3CDTF">2019-12-18T22:57:00Z</dcterms:modified>
  <cp:contentStatus>UNCLASSIFIED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2017-12-12T00:00:00Z</vt:filetime>
  </property>
  <property fmtid="{D5CDD505-2E9C-101B-9397-08002B2CF9AE}" pid="3" name="Creator">
    <vt:lpwstr>Acrobat PDFMaker 15 for Word</vt:lpwstr>
  </property>
  <property fmtid="{D5CDD505-2E9C-101B-9397-08002B2CF9AE}" pid="4" name="LastSaved">
    <vt:filetime>2018-11-25T00:00:00Z</vt:filetime>
  </property>
  <property fmtid="{D5CDD505-2E9C-101B-9397-08002B2CF9AE}" pid="5" name="_DocHome">
    <vt:i4>391410571</vt:i4>
  </property>
</Properties>
</file>