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7E7" w:rsidRPr="008E77E7" w:rsidRDefault="008E77E7" w:rsidP="008E77E7">
      <w:bookmarkStart w:id="0" w:name="_GoBack"/>
      <w:bookmarkEnd w:id="0"/>
    </w:p>
    <w:p w:rsidR="008E77E7" w:rsidRPr="00DF1A9F" w:rsidRDefault="008E77E7" w:rsidP="00DF1A9F"/>
    <w:p w:rsidR="004E058F" w:rsidRPr="00DF1A9F" w:rsidRDefault="00B422B2" w:rsidP="008E77E7">
      <w:pPr>
        <w:pStyle w:val="Title"/>
        <w:rPr>
          <w:b/>
          <w:color w:val="000000" w:themeColor="text1"/>
          <w:sz w:val="32"/>
          <w:szCs w:val="32"/>
        </w:rPr>
      </w:pPr>
      <w:bookmarkStart w:id="1" w:name="_Toc470177722"/>
      <w:r w:rsidRPr="008E77E7">
        <w:rPr>
          <w:b/>
          <w:sz w:val="32"/>
          <w:szCs w:val="32"/>
        </w:rPr>
        <w:t xml:space="preserve">Requests for discretionary financial assistance under the </w:t>
      </w:r>
      <w:r w:rsidRPr="008E77E7">
        <w:rPr>
          <w:b/>
          <w:sz w:val="32"/>
          <w:szCs w:val="32"/>
        </w:rPr>
        <w:br/>
      </w:r>
      <w:r w:rsidRPr="00DF1A9F">
        <w:rPr>
          <w:b/>
          <w:i/>
          <w:sz w:val="30"/>
          <w:szCs w:val="30"/>
        </w:rPr>
        <w:t>Public Governance, Performance and Accountability Act 2013</w:t>
      </w:r>
      <w:bookmarkEnd w:id="1"/>
    </w:p>
    <w:p w:rsidR="00B13B6E" w:rsidRPr="00DF1A9F" w:rsidRDefault="00E02371" w:rsidP="00B13B6E">
      <w:pPr>
        <w:jc w:val="right"/>
        <w:rPr>
          <w:color w:val="000000" w:themeColor="text1"/>
          <w:sz w:val="28"/>
          <w:szCs w:val="28"/>
        </w:rPr>
      </w:pPr>
      <w:r w:rsidRPr="00DF1A9F">
        <w:rPr>
          <w:sz w:val="28"/>
          <w:szCs w:val="28"/>
        </w:rPr>
        <w:t xml:space="preserve">Resource Management Guide No. </w:t>
      </w:r>
      <w:r w:rsidR="00B422B2" w:rsidRPr="00DF1A9F">
        <w:rPr>
          <w:sz w:val="28"/>
          <w:szCs w:val="28"/>
        </w:rPr>
        <w:t>401</w:t>
      </w:r>
    </w:p>
    <w:p w:rsidR="005E5CB9" w:rsidRDefault="005E5CB9" w:rsidP="006C4DD1"/>
    <w:p w:rsidR="005E5CB9" w:rsidRDefault="005E5CB9" w:rsidP="006C4DD1"/>
    <w:p w:rsidR="005E5CB9" w:rsidRDefault="005E5CB9" w:rsidP="006C4DD1"/>
    <w:p w:rsidR="005E5CB9" w:rsidRDefault="005E5CB9" w:rsidP="006C4DD1"/>
    <w:p w:rsidR="000C2A48" w:rsidRDefault="00823B02" w:rsidP="006C4DD1">
      <w:r>
        <w:t>April</w:t>
      </w:r>
      <w:r w:rsidR="00CD6C1B">
        <w:t xml:space="preserve"> 201</w:t>
      </w:r>
      <w:r>
        <w:t>8</w:t>
      </w:r>
      <w:r w:rsidR="000C2A48">
        <w:br w:type="page"/>
      </w:r>
    </w:p>
    <w:p w:rsidR="005E5CB9" w:rsidRDefault="005E5CB9" w:rsidP="006C4DD1"/>
    <w:p w:rsidR="005E5CB9" w:rsidRDefault="005E5CB9" w:rsidP="006C4DD1"/>
    <w:p w:rsidR="005E5CB9" w:rsidRDefault="005E5CB9" w:rsidP="006C4DD1"/>
    <w:p w:rsidR="005E5CB9" w:rsidRDefault="005E5CB9" w:rsidP="006C4DD1"/>
    <w:p w:rsidR="005E5CB9" w:rsidRDefault="005E5CB9" w:rsidP="006C4DD1"/>
    <w:p w:rsidR="005E5CB9" w:rsidRPr="003469E3" w:rsidRDefault="005E5CB9" w:rsidP="005E5CB9">
      <w:r>
        <w:t xml:space="preserve">© Commonwealth of Australia </w:t>
      </w:r>
      <w:r w:rsidR="00CD6C1B">
        <w:t>2017</w:t>
      </w:r>
    </w:p>
    <w:p w:rsidR="000E57ED" w:rsidRPr="003469E3" w:rsidRDefault="000E57ED" w:rsidP="00751D68">
      <w:r w:rsidRPr="00394ECE">
        <w:t xml:space="preserve">ISBN: </w:t>
      </w:r>
      <w:r w:rsidR="00751D68">
        <w:t>978-1-922096-43-2 (Online)</w:t>
      </w:r>
    </w:p>
    <w:p w:rsidR="005E5CB9" w:rsidRPr="003469E3" w:rsidRDefault="005E5CB9" w:rsidP="005E5CB9"/>
    <w:p w:rsidR="005E5CB9" w:rsidRPr="003469E3" w:rsidRDefault="005E5CB9" w:rsidP="005E5CB9">
      <w:r w:rsidRPr="003469E3">
        <w:t>With the exception of the Commonwealth Coat of Arms and where otherwise noted</w:t>
      </w:r>
      <w:r>
        <w:t>,</w:t>
      </w:r>
      <w:r w:rsidRPr="003469E3">
        <w:t xml:space="preserve"> all material presented in this document is provided under a Creative Commons Attribution 3.0 Australia (</w:t>
      </w:r>
      <w:hyperlink r:id="rId8" w:history="1">
        <w:r>
          <w:rPr>
            <w:rStyle w:val="Hyperlink"/>
          </w:rPr>
          <w:t>http://creativecommons.org/licenses/by/3.0/au</w:t>
        </w:r>
      </w:hyperlink>
      <w:r w:rsidRPr="003469E3">
        <w:t>) licence.</w:t>
      </w:r>
    </w:p>
    <w:p w:rsidR="005E5CB9" w:rsidRPr="003469E3" w:rsidRDefault="005E5CB9" w:rsidP="005E5CB9">
      <w:r w:rsidRPr="003469E3">
        <w:rPr>
          <w:noProof/>
          <w:lang w:eastAsia="en-AU"/>
        </w:rPr>
        <w:drawing>
          <wp:inline distT="0" distB="0" distL="0" distR="0" wp14:anchorId="6A7F1951" wp14:editId="28FB2B98">
            <wp:extent cx="1152525" cy="397422"/>
            <wp:effectExtent l="0" t="0" r="0" b="3175"/>
            <wp:docPr id="3"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53897" cy="397895"/>
                    </a:xfrm>
                    <a:prstGeom prst="rect">
                      <a:avLst/>
                    </a:prstGeom>
                    <a:noFill/>
                    <a:ln w="9525">
                      <a:noFill/>
                      <a:miter lim="800000"/>
                      <a:headEnd/>
                      <a:tailEnd/>
                    </a:ln>
                  </pic:spPr>
                </pic:pic>
              </a:graphicData>
            </a:graphic>
          </wp:inline>
        </w:drawing>
      </w:r>
    </w:p>
    <w:p w:rsidR="005E5CB9" w:rsidRPr="006A6123" w:rsidRDefault="005E5CB9" w:rsidP="005E5CB9">
      <w:pPr>
        <w:rPr>
          <w:rFonts w:eastAsia="Times New Roman"/>
          <w:szCs w:val="24"/>
        </w:rPr>
      </w:pPr>
      <w:r w:rsidRPr="006A6123">
        <w:rPr>
          <w:rFonts w:eastAsia="Times New Roman"/>
          <w:szCs w:val="24"/>
        </w:rPr>
        <w:t xml:space="preserve">The details of the relevant licence conditions are available </w:t>
      </w:r>
      <w:r>
        <w:rPr>
          <w:rFonts w:eastAsia="Times New Roman"/>
          <w:szCs w:val="24"/>
        </w:rPr>
        <w:t xml:space="preserve">on the Creative Commons website </w:t>
      </w:r>
      <w:r w:rsidRPr="006A6123">
        <w:rPr>
          <w:rFonts w:eastAsia="Times New Roman"/>
          <w:szCs w:val="24"/>
        </w:rPr>
        <w:t>(accessible using the links provided) as is the full legal code for the CC BY 3 AU licence.</w:t>
      </w:r>
    </w:p>
    <w:p w:rsidR="005E5CB9" w:rsidRPr="00EC0C11" w:rsidRDefault="005E5CB9" w:rsidP="005E5CB9">
      <w:pPr>
        <w:spacing w:before="240"/>
        <w:rPr>
          <w:rFonts w:eastAsia="Times New Roman"/>
          <w:b/>
          <w:szCs w:val="24"/>
        </w:rPr>
      </w:pPr>
      <w:r w:rsidRPr="00EC0C11">
        <w:rPr>
          <w:rFonts w:eastAsia="Times New Roman"/>
          <w:b/>
          <w:szCs w:val="24"/>
        </w:rPr>
        <w:t>Use of the Coat of Arms</w:t>
      </w:r>
    </w:p>
    <w:p w:rsidR="005E5CB9" w:rsidRDefault="005E5CB9" w:rsidP="005E5CB9">
      <w:pPr>
        <w:rPr>
          <w:rFonts w:eastAsia="Times New Roman"/>
          <w:szCs w:val="24"/>
        </w:rPr>
      </w:pPr>
      <w:r w:rsidRPr="006A6123">
        <w:rPr>
          <w:rFonts w:eastAsia="Times New Roman"/>
          <w:szCs w:val="24"/>
        </w:rPr>
        <w:t>The terms under which the Coat of Arms can be used are det</w:t>
      </w:r>
      <w:r>
        <w:rPr>
          <w:rFonts w:eastAsia="Times New Roman"/>
          <w:szCs w:val="24"/>
        </w:rPr>
        <w:t xml:space="preserve">ailed on the following website: </w:t>
      </w:r>
      <w:hyperlink r:id="rId10" w:history="1">
        <w:r w:rsidRPr="00592BFA">
          <w:rPr>
            <w:rStyle w:val="Hyperlink"/>
            <w:rFonts w:cstheme="minorBidi"/>
          </w:rPr>
          <w:t>www.dpmc.gov.au/government/its-honour</w:t>
        </w:r>
      </w:hyperlink>
      <w:r w:rsidRPr="006A6123">
        <w:rPr>
          <w:rFonts w:eastAsia="Times New Roman"/>
          <w:szCs w:val="24"/>
        </w:rPr>
        <w:t>.</w:t>
      </w:r>
    </w:p>
    <w:p w:rsidR="005E5CB9" w:rsidRPr="006A6123" w:rsidRDefault="005E5CB9" w:rsidP="005E5CB9">
      <w:pPr>
        <w:spacing w:before="240"/>
        <w:rPr>
          <w:rFonts w:eastAsia="Times New Roman"/>
          <w:b/>
          <w:szCs w:val="24"/>
        </w:rPr>
      </w:pPr>
      <w:r w:rsidRPr="006A6123">
        <w:rPr>
          <w:rFonts w:eastAsia="Times New Roman"/>
          <w:b/>
          <w:szCs w:val="24"/>
        </w:rPr>
        <w:t>Contact us</w:t>
      </w:r>
    </w:p>
    <w:p w:rsidR="005E5CB9" w:rsidRPr="003469E3" w:rsidRDefault="005E5CB9" w:rsidP="005E5CB9">
      <w:r>
        <w:rPr>
          <w:rFonts w:eastAsia="Times New Roman"/>
          <w:szCs w:val="24"/>
        </w:rPr>
        <w:t>Please direct q</w:t>
      </w:r>
      <w:r w:rsidRPr="00C5547B">
        <w:rPr>
          <w:rFonts w:eastAsia="Times New Roman"/>
          <w:szCs w:val="24"/>
        </w:rPr>
        <w:t>uestions or comments about</w:t>
      </w:r>
      <w:r>
        <w:rPr>
          <w:rFonts w:eastAsia="Times New Roman"/>
          <w:szCs w:val="24"/>
        </w:rPr>
        <w:t xml:space="preserve"> the </w:t>
      </w:r>
      <w:r w:rsidR="009A08BD">
        <w:rPr>
          <w:rFonts w:eastAsia="Times New Roman"/>
          <w:szCs w:val="24"/>
        </w:rPr>
        <w:t>guide</w:t>
      </w:r>
      <w:r>
        <w:rPr>
          <w:rFonts w:eastAsia="Times New Roman"/>
          <w:szCs w:val="24"/>
        </w:rPr>
        <w:t xml:space="preserve"> to:</w:t>
      </w:r>
      <w:r w:rsidRPr="003469E3">
        <w:t xml:space="preserve"> </w:t>
      </w:r>
    </w:p>
    <w:p w:rsidR="00B422B2" w:rsidRPr="00F67B40" w:rsidRDefault="00B422B2" w:rsidP="00B422B2">
      <w:pPr>
        <w:pStyle w:val="Default"/>
        <w:rPr>
          <w:rFonts w:asciiTheme="minorHAnsi" w:hAnsiTheme="minorHAnsi" w:cstheme="minorBidi"/>
          <w:color w:val="auto"/>
          <w:sz w:val="22"/>
          <w:lang w:eastAsia="en-US"/>
        </w:rPr>
      </w:pPr>
      <w:r w:rsidRPr="00F67B40">
        <w:rPr>
          <w:rFonts w:asciiTheme="minorHAnsi" w:hAnsiTheme="minorHAnsi" w:cstheme="minorBidi"/>
          <w:color w:val="auto"/>
          <w:sz w:val="22"/>
          <w:lang w:eastAsia="en-US"/>
        </w:rPr>
        <w:t xml:space="preserve">Discretionary Payments Section </w:t>
      </w:r>
    </w:p>
    <w:p w:rsidR="00B422B2" w:rsidRPr="00F67B40" w:rsidRDefault="00B422B2" w:rsidP="00B422B2">
      <w:pPr>
        <w:pStyle w:val="Default"/>
        <w:spacing w:after="40"/>
        <w:rPr>
          <w:rFonts w:asciiTheme="minorHAnsi" w:hAnsiTheme="minorHAnsi" w:cstheme="minorBidi"/>
          <w:color w:val="auto"/>
          <w:sz w:val="22"/>
          <w:lang w:eastAsia="en-US"/>
        </w:rPr>
      </w:pPr>
      <w:r w:rsidRPr="00F67B40">
        <w:rPr>
          <w:rFonts w:asciiTheme="minorHAnsi" w:hAnsiTheme="minorHAnsi" w:cstheme="minorBidi"/>
          <w:color w:val="auto"/>
          <w:sz w:val="22"/>
          <w:lang w:eastAsia="en-US"/>
        </w:rPr>
        <w:t xml:space="preserve">Department of Finance </w:t>
      </w:r>
    </w:p>
    <w:p w:rsidR="00B422B2" w:rsidRPr="00F67B40" w:rsidRDefault="00F67B40" w:rsidP="00F67B40">
      <w:pPr>
        <w:pStyle w:val="Default"/>
        <w:rPr>
          <w:rFonts w:asciiTheme="minorHAnsi" w:hAnsiTheme="minorHAnsi" w:cstheme="minorBidi"/>
          <w:color w:val="auto"/>
          <w:sz w:val="22"/>
          <w:lang w:eastAsia="en-US"/>
        </w:rPr>
      </w:pPr>
      <w:r>
        <w:rPr>
          <w:rFonts w:asciiTheme="minorHAnsi" w:hAnsiTheme="minorHAnsi" w:cstheme="minorBidi"/>
          <w:color w:val="auto"/>
          <w:sz w:val="22"/>
          <w:lang w:eastAsia="en-US"/>
        </w:rPr>
        <w:t>1</w:t>
      </w:r>
      <w:r w:rsidR="00B422B2" w:rsidRPr="00F67B40">
        <w:rPr>
          <w:rFonts w:asciiTheme="minorHAnsi" w:hAnsiTheme="minorHAnsi" w:cstheme="minorBidi"/>
          <w:color w:val="auto"/>
          <w:sz w:val="22"/>
          <w:lang w:eastAsia="en-US"/>
        </w:rPr>
        <w:t xml:space="preserve"> Canberra Avenue</w:t>
      </w:r>
    </w:p>
    <w:p w:rsidR="00B422B2" w:rsidRPr="00F67B40" w:rsidRDefault="00B422B2" w:rsidP="00F67B40">
      <w:pPr>
        <w:spacing w:before="0"/>
        <w:rPr>
          <w:rFonts w:eastAsia="Times New Roman"/>
          <w:szCs w:val="24"/>
        </w:rPr>
      </w:pPr>
      <w:r w:rsidRPr="00F67B40">
        <w:rPr>
          <w:rFonts w:eastAsia="Times New Roman"/>
          <w:szCs w:val="24"/>
        </w:rPr>
        <w:t>FORREST ACT 2603</w:t>
      </w:r>
    </w:p>
    <w:p w:rsidR="00B422B2" w:rsidRPr="003469E3" w:rsidRDefault="00B422B2" w:rsidP="00B422B2">
      <w:r w:rsidRPr="003469E3">
        <w:t xml:space="preserve">Email: </w:t>
      </w:r>
      <w:hyperlink r:id="rId11" w:history="1">
        <w:r w:rsidRPr="00746C21">
          <w:rPr>
            <w:rStyle w:val="Hyperlink"/>
          </w:rPr>
          <w:t>sfc@finance.gov.au</w:t>
        </w:r>
      </w:hyperlink>
      <w:r>
        <w:t xml:space="preserve"> </w:t>
      </w:r>
    </w:p>
    <w:p w:rsidR="00B422B2" w:rsidRDefault="00B422B2" w:rsidP="00B422B2">
      <w:pPr>
        <w:spacing w:after="600"/>
        <w:rPr>
          <w:lang w:val="en-US"/>
        </w:rPr>
      </w:pPr>
      <w:r w:rsidRPr="003469E3">
        <w:t>Internet:</w:t>
      </w:r>
      <w:r w:rsidRPr="003469E3">
        <w:rPr>
          <w:lang w:val="en-US"/>
        </w:rPr>
        <w:t xml:space="preserve"> </w:t>
      </w:r>
      <w:hyperlink r:id="rId12" w:history="1">
        <w:r w:rsidRPr="00746C21">
          <w:rPr>
            <w:rStyle w:val="Hyperlink"/>
            <w:lang w:val="en-US"/>
          </w:rPr>
          <w:t>http://www.finance.gov.au/resource-management/discretionary-financial-assistance/</w:t>
        </w:r>
      </w:hyperlink>
    </w:p>
    <w:p w:rsidR="00275E01" w:rsidRPr="00275E01" w:rsidRDefault="00275E01" w:rsidP="004E71F5">
      <w:pPr>
        <w:spacing w:before="0" w:after="120" w:line="240" w:lineRule="auto"/>
        <w:rPr>
          <w:rStyle w:val="Hyperlink"/>
          <w:rFonts w:cstheme="minorHAnsi"/>
          <w:i w:val="0"/>
          <w:color w:val="000000" w:themeColor="text1"/>
          <w:u w:val="none"/>
        </w:rPr>
      </w:pPr>
    </w:p>
    <w:p w:rsidR="00275E01" w:rsidRDefault="00275E01" w:rsidP="004E71F5">
      <w:pPr>
        <w:spacing w:before="0" w:after="120" w:line="240" w:lineRule="auto"/>
        <w:rPr>
          <w:rStyle w:val="Hyperlink"/>
          <w:rFonts w:cstheme="minorHAnsi"/>
          <w:i w:val="0"/>
          <w:color w:val="000000" w:themeColor="text1"/>
          <w:u w:val="none"/>
        </w:rPr>
      </w:pPr>
    </w:p>
    <w:p w:rsidR="006E5A69" w:rsidRPr="00275E01" w:rsidRDefault="006E5A69" w:rsidP="006E5A69">
      <w:pPr>
        <w:spacing w:before="0" w:after="120" w:line="240" w:lineRule="auto"/>
        <w:rPr>
          <w:rStyle w:val="Hyperlink"/>
          <w:rFonts w:cstheme="minorHAnsi"/>
          <w:i w:val="0"/>
          <w:color w:val="000000" w:themeColor="text1"/>
          <w:u w:val="none"/>
        </w:rPr>
      </w:pPr>
    </w:p>
    <w:p w:rsidR="006E5A69" w:rsidRPr="00275E01" w:rsidRDefault="006E5A69" w:rsidP="006E5A6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60" w:lineRule="exact"/>
        <w:ind w:left="60" w:right="60"/>
        <w:rPr>
          <w:rFonts w:cstheme="minorHAnsi"/>
          <w:color w:val="000000"/>
          <w:lang w:eastAsia="en-AU"/>
        </w:rPr>
      </w:pPr>
      <w:r w:rsidRPr="00275E01">
        <w:rPr>
          <w:rFonts w:cstheme="minorHAnsi"/>
          <w:color w:val="000000"/>
          <w:lang w:eastAsia="en-AU"/>
        </w:rPr>
        <w:t>The words ‘</w:t>
      </w:r>
      <w:r w:rsidRPr="00275E01">
        <w:rPr>
          <w:rFonts w:cstheme="minorHAnsi"/>
          <w:b/>
          <w:bCs/>
          <w:color w:val="000000"/>
          <w:lang w:eastAsia="en-AU"/>
        </w:rPr>
        <w:t>must</w:t>
      </w:r>
      <w:r w:rsidRPr="00275E01">
        <w:rPr>
          <w:rFonts w:cstheme="minorHAnsi"/>
          <w:color w:val="000000"/>
          <w:lang w:eastAsia="en-AU"/>
        </w:rPr>
        <w:t>’, ‘</w:t>
      </w:r>
      <w:r w:rsidRPr="00275E01">
        <w:rPr>
          <w:rFonts w:cstheme="minorHAnsi"/>
          <w:b/>
          <w:bCs/>
          <w:color w:val="000000"/>
          <w:lang w:eastAsia="en-AU"/>
        </w:rPr>
        <w:t>required</w:t>
      </w:r>
      <w:r w:rsidRPr="00275E01">
        <w:rPr>
          <w:rFonts w:cstheme="minorHAnsi"/>
          <w:color w:val="000000"/>
          <w:lang w:eastAsia="en-AU"/>
        </w:rPr>
        <w:t>’, ‘</w:t>
      </w:r>
      <w:r w:rsidRPr="00275E01">
        <w:rPr>
          <w:rFonts w:cstheme="minorHAnsi"/>
          <w:b/>
          <w:bCs/>
          <w:color w:val="000000"/>
          <w:lang w:eastAsia="en-AU"/>
        </w:rPr>
        <w:t>requires</w:t>
      </w:r>
      <w:r w:rsidRPr="00275E01">
        <w:rPr>
          <w:rFonts w:cstheme="minorHAnsi"/>
          <w:color w:val="000000"/>
          <w:lang w:eastAsia="en-AU"/>
        </w:rPr>
        <w:t>’ and ‘</w:t>
      </w:r>
      <w:r w:rsidRPr="00275E01">
        <w:rPr>
          <w:rFonts w:cstheme="minorHAnsi"/>
          <w:b/>
          <w:bCs/>
          <w:color w:val="000000"/>
          <w:lang w:eastAsia="en-AU"/>
        </w:rPr>
        <w:t>requiring</w:t>
      </w:r>
      <w:r w:rsidRPr="00275E01">
        <w:rPr>
          <w:rFonts w:cstheme="minorHAnsi"/>
          <w:color w:val="000000"/>
          <w:lang w:eastAsia="en-AU"/>
        </w:rPr>
        <w:t xml:space="preserve">’ denote mandatory compliance by accountable authorities/officials. The use of the words ‘could’, ‘may’, ‘encouraged’ or ‘consider’ convey non-mandatory guidance. The guidance to which these words relate may or may not be applied by accountable authorities/officials in their approach to resource management, depending on the operating circumstances of the entity and its appetite for risk. </w:t>
      </w:r>
    </w:p>
    <w:p w:rsidR="00C3408A" w:rsidRDefault="00C3408A">
      <w:pPr>
        <w:suppressAutoHyphens w:val="0"/>
        <w:spacing w:before="0" w:after="120" w:line="440" w:lineRule="atLeast"/>
        <w:rPr>
          <w:rFonts w:ascii="Arial" w:hAnsi="Arial" w:cs="Arial"/>
          <w:color w:val="92C5C5" w:themeColor="accent2"/>
          <w:sz w:val="42"/>
          <w:szCs w:val="42"/>
        </w:rPr>
      </w:pPr>
      <w:r>
        <w:rPr>
          <w:rFonts w:ascii="Arial" w:hAnsi="Arial" w:cs="Arial"/>
          <w:color w:val="92C5C5" w:themeColor="accent2"/>
          <w:sz w:val="42"/>
          <w:szCs w:val="42"/>
        </w:rPr>
        <w:br w:type="page"/>
      </w:r>
    </w:p>
    <w:p w:rsidR="00396E11" w:rsidRDefault="00396E11" w:rsidP="00396E11">
      <w:pPr>
        <w:spacing w:before="0" w:after="120" w:line="240" w:lineRule="auto"/>
        <w:rPr>
          <w:rFonts w:ascii="Arial" w:hAnsi="Arial" w:cs="Arial"/>
          <w:color w:val="92C5C5" w:themeColor="accent2"/>
          <w:sz w:val="42"/>
          <w:szCs w:val="42"/>
        </w:rPr>
      </w:pPr>
      <w:r w:rsidRPr="00E60A81">
        <w:rPr>
          <w:rFonts w:ascii="Arial" w:hAnsi="Arial" w:cs="Arial"/>
          <w:color w:val="92C5C5" w:themeColor="accent2"/>
          <w:sz w:val="42"/>
          <w:szCs w:val="42"/>
        </w:rPr>
        <w:lastRenderedPageBreak/>
        <w:t>Contents</w:t>
      </w:r>
    </w:p>
    <w:p w:rsidR="00E02371" w:rsidRPr="00E02371" w:rsidRDefault="00E02371" w:rsidP="00396E11">
      <w:pPr>
        <w:spacing w:before="0" w:after="120" w:line="240" w:lineRule="auto"/>
        <w:rPr>
          <w:rFonts w:ascii="Arial" w:hAnsi="Arial" w:cs="Arial"/>
          <w:color w:val="000000" w:themeColor="text1"/>
          <w:sz w:val="42"/>
          <w:szCs w:val="42"/>
        </w:rPr>
      </w:pPr>
    </w:p>
    <w:p w:rsidR="00291F3D" w:rsidRDefault="00396E11">
      <w:pPr>
        <w:pStyle w:val="TOC1"/>
        <w:rPr>
          <w:rFonts w:eastAsiaTheme="minorEastAsia"/>
          <w:b w:val="0"/>
          <w:noProof/>
          <w:sz w:val="22"/>
          <w:lang w:eastAsia="en-AU"/>
        </w:rPr>
      </w:pPr>
      <w:r>
        <w:rPr>
          <w:caps/>
          <w:sz w:val="20"/>
        </w:rPr>
        <w:fldChar w:fldCharType="begin"/>
      </w:r>
      <w:r>
        <w:rPr>
          <w:caps/>
          <w:sz w:val="20"/>
        </w:rPr>
        <w:instrText xml:space="preserve"> TOC \o "1-3" \h \z \u </w:instrText>
      </w:r>
      <w:r>
        <w:rPr>
          <w:caps/>
          <w:sz w:val="20"/>
        </w:rPr>
        <w:fldChar w:fldCharType="separate"/>
      </w:r>
      <w:hyperlink w:anchor="_Toc470177722" w:history="1">
        <w:r w:rsidR="00291F3D" w:rsidRPr="00BD68D2">
          <w:rPr>
            <w:rStyle w:val="Hyperlink"/>
            <w:noProof/>
          </w:rPr>
          <w:t>Requests for discretionary financial assistance under the  Public Governance, Performance and Accountability Act 2013</w:t>
        </w:r>
        <w:r w:rsidR="00291F3D">
          <w:rPr>
            <w:noProof/>
            <w:webHidden/>
          </w:rPr>
          <w:tab/>
        </w:r>
        <w:r w:rsidR="00291F3D">
          <w:rPr>
            <w:noProof/>
            <w:webHidden/>
          </w:rPr>
          <w:fldChar w:fldCharType="begin"/>
        </w:r>
        <w:r w:rsidR="00291F3D">
          <w:rPr>
            <w:noProof/>
            <w:webHidden/>
          </w:rPr>
          <w:instrText xml:space="preserve"> PAGEREF _Toc470177722 \h </w:instrText>
        </w:r>
        <w:r w:rsidR="00291F3D">
          <w:rPr>
            <w:noProof/>
            <w:webHidden/>
          </w:rPr>
        </w:r>
        <w:r w:rsidR="00291F3D">
          <w:rPr>
            <w:noProof/>
            <w:webHidden/>
          </w:rPr>
          <w:fldChar w:fldCharType="separate"/>
        </w:r>
        <w:r w:rsidR="00291F3D">
          <w:rPr>
            <w:noProof/>
            <w:webHidden/>
          </w:rPr>
          <w:t>1</w:t>
        </w:r>
        <w:r w:rsidR="00291F3D">
          <w:rPr>
            <w:noProof/>
            <w:webHidden/>
          </w:rPr>
          <w:fldChar w:fldCharType="end"/>
        </w:r>
      </w:hyperlink>
    </w:p>
    <w:p w:rsidR="00291F3D" w:rsidRDefault="002B2522">
      <w:pPr>
        <w:pStyle w:val="TOC1"/>
        <w:rPr>
          <w:rFonts w:eastAsiaTheme="minorEastAsia"/>
          <w:b w:val="0"/>
          <w:noProof/>
          <w:sz w:val="22"/>
          <w:lang w:eastAsia="en-AU"/>
        </w:rPr>
      </w:pPr>
      <w:hyperlink w:anchor="_Toc470177723" w:history="1">
        <w:r w:rsidR="00291F3D" w:rsidRPr="00BD68D2">
          <w:rPr>
            <w:rStyle w:val="Hyperlink"/>
            <w:noProof/>
          </w:rPr>
          <w:t>Audience</w:t>
        </w:r>
        <w:r w:rsidR="00291F3D">
          <w:rPr>
            <w:noProof/>
            <w:webHidden/>
          </w:rPr>
          <w:tab/>
        </w:r>
        <w:r w:rsidR="00291F3D">
          <w:rPr>
            <w:noProof/>
            <w:webHidden/>
          </w:rPr>
          <w:fldChar w:fldCharType="begin"/>
        </w:r>
        <w:r w:rsidR="00291F3D">
          <w:rPr>
            <w:noProof/>
            <w:webHidden/>
          </w:rPr>
          <w:instrText xml:space="preserve"> PAGEREF _Toc470177723 \h </w:instrText>
        </w:r>
        <w:r w:rsidR="00291F3D">
          <w:rPr>
            <w:noProof/>
            <w:webHidden/>
          </w:rPr>
        </w:r>
        <w:r w:rsidR="00291F3D">
          <w:rPr>
            <w:noProof/>
            <w:webHidden/>
          </w:rPr>
          <w:fldChar w:fldCharType="separate"/>
        </w:r>
        <w:r w:rsidR="00291F3D">
          <w:rPr>
            <w:noProof/>
            <w:webHidden/>
          </w:rPr>
          <w:t>4</w:t>
        </w:r>
        <w:r w:rsidR="00291F3D">
          <w:rPr>
            <w:noProof/>
            <w:webHidden/>
          </w:rPr>
          <w:fldChar w:fldCharType="end"/>
        </w:r>
      </w:hyperlink>
    </w:p>
    <w:p w:rsidR="00291F3D" w:rsidRDefault="002B2522">
      <w:pPr>
        <w:pStyle w:val="TOC1"/>
        <w:rPr>
          <w:rFonts w:eastAsiaTheme="minorEastAsia"/>
          <w:b w:val="0"/>
          <w:noProof/>
          <w:sz w:val="22"/>
          <w:lang w:eastAsia="en-AU"/>
        </w:rPr>
      </w:pPr>
      <w:hyperlink w:anchor="_Toc470177724" w:history="1">
        <w:r w:rsidR="00291F3D" w:rsidRPr="00BD68D2">
          <w:rPr>
            <w:rStyle w:val="Hyperlink"/>
            <w:noProof/>
          </w:rPr>
          <w:t>Key points</w:t>
        </w:r>
        <w:r w:rsidR="00291F3D">
          <w:rPr>
            <w:noProof/>
            <w:webHidden/>
          </w:rPr>
          <w:tab/>
        </w:r>
        <w:r w:rsidR="00291F3D">
          <w:rPr>
            <w:noProof/>
            <w:webHidden/>
          </w:rPr>
          <w:fldChar w:fldCharType="begin"/>
        </w:r>
        <w:r w:rsidR="00291F3D">
          <w:rPr>
            <w:noProof/>
            <w:webHidden/>
          </w:rPr>
          <w:instrText xml:space="preserve"> PAGEREF _Toc470177724 \h </w:instrText>
        </w:r>
        <w:r w:rsidR="00291F3D">
          <w:rPr>
            <w:noProof/>
            <w:webHidden/>
          </w:rPr>
        </w:r>
        <w:r w:rsidR="00291F3D">
          <w:rPr>
            <w:noProof/>
            <w:webHidden/>
          </w:rPr>
          <w:fldChar w:fldCharType="separate"/>
        </w:r>
        <w:r w:rsidR="00291F3D">
          <w:rPr>
            <w:noProof/>
            <w:webHidden/>
          </w:rPr>
          <w:t>4</w:t>
        </w:r>
        <w:r w:rsidR="00291F3D">
          <w:rPr>
            <w:noProof/>
            <w:webHidden/>
          </w:rPr>
          <w:fldChar w:fldCharType="end"/>
        </w:r>
      </w:hyperlink>
    </w:p>
    <w:p w:rsidR="00291F3D" w:rsidRDefault="002B2522">
      <w:pPr>
        <w:pStyle w:val="TOC1"/>
        <w:rPr>
          <w:rFonts w:eastAsiaTheme="minorEastAsia"/>
          <w:b w:val="0"/>
          <w:noProof/>
          <w:sz w:val="22"/>
          <w:lang w:eastAsia="en-AU"/>
        </w:rPr>
      </w:pPr>
      <w:hyperlink w:anchor="_Toc470177725" w:history="1">
        <w:r w:rsidR="00291F3D" w:rsidRPr="00BD68D2">
          <w:rPr>
            <w:rStyle w:val="Hyperlink"/>
            <w:noProof/>
          </w:rPr>
          <w:t>Resources</w:t>
        </w:r>
        <w:r w:rsidR="00291F3D">
          <w:rPr>
            <w:noProof/>
            <w:webHidden/>
          </w:rPr>
          <w:tab/>
        </w:r>
        <w:r w:rsidR="00291F3D">
          <w:rPr>
            <w:noProof/>
            <w:webHidden/>
          </w:rPr>
          <w:fldChar w:fldCharType="begin"/>
        </w:r>
        <w:r w:rsidR="00291F3D">
          <w:rPr>
            <w:noProof/>
            <w:webHidden/>
          </w:rPr>
          <w:instrText xml:space="preserve"> PAGEREF _Toc470177725 \h </w:instrText>
        </w:r>
        <w:r w:rsidR="00291F3D">
          <w:rPr>
            <w:noProof/>
            <w:webHidden/>
          </w:rPr>
        </w:r>
        <w:r w:rsidR="00291F3D">
          <w:rPr>
            <w:noProof/>
            <w:webHidden/>
          </w:rPr>
          <w:fldChar w:fldCharType="separate"/>
        </w:r>
        <w:r w:rsidR="00291F3D">
          <w:rPr>
            <w:noProof/>
            <w:webHidden/>
          </w:rPr>
          <w:t>4</w:t>
        </w:r>
        <w:r w:rsidR="00291F3D">
          <w:rPr>
            <w:noProof/>
            <w:webHidden/>
          </w:rPr>
          <w:fldChar w:fldCharType="end"/>
        </w:r>
      </w:hyperlink>
    </w:p>
    <w:p w:rsidR="00291F3D" w:rsidRDefault="002B2522">
      <w:pPr>
        <w:pStyle w:val="TOC1"/>
        <w:rPr>
          <w:rFonts w:eastAsiaTheme="minorEastAsia"/>
          <w:b w:val="0"/>
          <w:noProof/>
          <w:sz w:val="22"/>
          <w:lang w:eastAsia="en-AU"/>
        </w:rPr>
      </w:pPr>
      <w:hyperlink w:anchor="_Toc470177726" w:history="1">
        <w:r w:rsidR="00291F3D" w:rsidRPr="00BD68D2">
          <w:rPr>
            <w:rStyle w:val="Hyperlink"/>
            <w:noProof/>
          </w:rPr>
          <w:t>Introduction</w:t>
        </w:r>
        <w:r w:rsidR="00291F3D">
          <w:rPr>
            <w:noProof/>
            <w:webHidden/>
          </w:rPr>
          <w:tab/>
        </w:r>
        <w:r w:rsidR="00291F3D">
          <w:rPr>
            <w:noProof/>
            <w:webHidden/>
          </w:rPr>
          <w:fldChar w:fldCharType="begin"/>
        </w:r>
        <w:r w:rsidR="00291F3D">
          <w:rPr>
            <w:noProof/>
            <w:webHidden/>
          </w:rPr>
          <w:instrText xml:space="preserve"> PAGEREF _Toc470177726 \h </w:instrText>
        </w:r>
        <w:r w:rsidR="00291F3D">
          <w:rPr>
            <w:noProof/>
            <w:webHidden/>
          </w:rPr>
        </w:r>
        <w:r w:rsidR="00291F3D">
          <w:rPr>
            <w:noProof/>
            <w:webHidden/>
          </w:rPr>
          <w:fldChar w:fldCharType="separate"/>
        </w:r>
        <w:r w:rsidR="00291F3D">
          <w:rPr>
            <w:noProof/>
            <w:webHidden/>
          </w:rPr>
          <w:t>5</w:t>
        </w:r>
        <w:r w:rsidR="00291F3D">
          <w:rPr>
            <w:noProof/>
            <w:webHidden/>
          </w:rPr>
          <w:fldChar w:fldCharType="end"/>
        </w:r>
      </w:hyperlink>
    </w:p>
    <w:p w:rsidR="00291F3D" w:rsidRDefault="002B2522">
      <w:pPr>
        <w:pStyle w:val="TOC1"/>
        <w:rPr>
          <w:rFonts w:eastAsiaTheme="minorEastAsia"/>
          <w:b w:val="0"/>
          <w:noProof/>
          <w:sz w:val="22"/>
          <w:lang w:eastAsia="en-AU"/>
        </w:rPr>
      </w:pPr>
      <w:hyperlink w:anchor="_Toc470177727" w:history="1">
        <w:r w:rsidR="00291F3D" w:rsidRPr="00BD68D2">
          <w:rPr>
            <w:rStyle w:val="Hyperlink"/>
            <w:noProof/>
          </w:rPr>
          <w:t>Part 1 – Act of Grace Payments</w:t>
        </w:r>
        <w:r w:rsidR="00291F3D">
          <w:rPr>
            <w:noProof/>
            <w:webHidden/>
          </w:rPr>
          <w:tab/>
        </w:r>
        <w:r w:rsidR="00291F3D">
          <w:rPr>
            <w:noProof/>
            <w:webHidden/>
          </w:rPr>
          <w:fldChar w:fldCharType="begin"/>
        </w:r>
        <w:r w:rsidR="00291F3D">
          <w:rPr>
            <w:noProof/>
            <w:webHidden/>
          </w:rPr>
          <w:instrText xml:space="preserve"> PAGEREF _Toc470177727 \h </w:instrText>
        </w:r>
        <w:r w:rsidR="00291F3D">
          <w:rPr>
            <w:noProof/>
            <w:webHidden/>
          </w:rPr>
        </w:r>
        <w:r w:rsidR="00291F3D">
          <w:rPr>
            <w:noProof/>
            <w:webHidden/>
          </w:rPr>
          <w:fldChar w:fldCharType="separate"/>
        </w:r>
        <w:r w:rsidR="00291F3D">
          <w:rPr>
            <w:noProof/>
            <w:webHidden/>
          </w:rPr>
          <w:t>5</w:t>
        </w:r>
        <w:r w:rsidR="00291F3D">
          <w:rPr>
            <w:noProof/>
            <w:webHidden/>
          </w:rPr>
          <w:fldChar w:fldCharType="end"/>
        </w:r>
      </w:hyperlink>
    </w:p>
    <w:p w:rsidR="00291F3D" w:rsidRDefault="002B2522">
      <w:pPr>
        <w:pStyle w:val="TOC3"/>
        <w:rPr>
          <w:rFonts w:eastAsiaTheme="minorEastAsia"/>
          <w:noProof/>
          <w:lang w:eastAsia="en-AU"/>
        </w:rPr>
      </w:pPr>
      <w:hyperlink w:anchor="_Toc470177728" w:history="1">
        <w:r w:rsidR="00291F3D" w:rsidRPr="00BD68D2">
          <w:rPr>
            <w:rStyle w:val="Hyperlink"/>
            <w:noProof/>
          </w:rPr>
          <w:t>Act of grace and other remedies</w:t>
        </w:r>
        <w:r w:rsidR="00291F3D">
          <w:rPr>
            <w:noProof/>
            <w:webHidden/>
          </w:rPr>
          <w:tab/>
        </w:r>
        <w:r w:rsidR="00291F3D">
          <w:rPr>
            <w:noProof/>
            <w:webHidden/>
          </w:rPr>
          <w:fldChar w:fldCharType="begin"/>
        </w:r>
        <w:r w:rsidR="00291F3D">
          <w:rPr>
            <w:noProof/>
            <w:webHidden/>
          </w:rPr>
          <w:instrText xml:space="preserve"> PAGEREF _Toc470177728 \h </w:instrText>
        </w:r>
        <w:r w:rsidR="00291F3D">
          <w:rPr>
            <w:noProof/>
            <w:webHidden/>
          </w:rPr>
        </w:r>
        <w:r w:rsidR="00291F3D">
          <w:rPr>
            <w:noProof/>
            <w:webHidden/>
          </w:rPr>
          <w:fldChar w:fldCharType="separate"/>
        </w:r>
        <w:r w:rsidR="00291F3D">
          <w:rPr>
            <w:noProof/>
            <w:webHidden/>
          </w:rPr>
          <w:t>5</w:t>
        </w:r>
        <w:r w:rsidR="00291F3D">
          <w:rPr>
            <w:noProof/>
            <w:webHidden/>
          </w:rPr>
          <w:fldChar w:fldCharType="end"/>
        </w:r>
      </w:hyperlink>
    </w:p>
    <w:p w:rsidR="00291F3D" w:rsidRDefault="002B2522">
      <w:pPr>
        <w:pStyle w:val="TOC3"/>
        <w:rPr>
          <w:rFonts w:eastAsiaTheme="minorEastAsia"/>
          <w:noProof/>
          <w:lang w:eastAsia="en-AU"/>
        </w:rPr>
      </w:pPr>
      <w:hyperlink w:anchor="_Toc470177729" w:history="1">
        <w:r w:rsidR="00291F3D" w:rsidRPr="00BD68D2">
          <w:rPr>
            <w:rStyle w:val="Hyperlink"/>
            <w:noProof/>
          </w:rPr>
          <w:t>Act of grace considerations</w:t>
        </w:r>
        <w:r w:rsidR="00291F3D">
          <w:rPr>
            <w:noProof/>
            <w:webHidden/>
          </w:rPr>
          <w:tab/>
        </w:r>
        <w:r w:rsidR="00291F3D">
          <w:rPr>
            <w:noProof/>
            <w:webHidden/>
          </w:rPr>
          <w:fldChar w:fldCharType="begin"/>
        </w:r>
        <w:r w:rsidR="00291F3D">
          <w:rPr>
            <w:noProof/>
            <w:webHidden/>
          </w:rPr>
          <w:instrText xml:space="preserve"> PAGEREF _Toc470177729 \h </w:instrText>
        </w:r>
        <w:r w:rsidR="00291F3D">
          <w:rPr>
            <w:noProof/>
            <w:webHidden/>
          </w:rPr>
        </w:r>
        <w:r w:rsidR="00291F3D">
          <w:rPr>
            <w:noProof/>
            <w:webHidden/>
          </w:rPr>
          <w:fldChar w:fldCharType="separate"/>
        </w:r>
        <w:r w:rsidR="00291F3D">
          <w:rPr>
            <w:noProof/>
            <w:webHidden/>
          </w:rPr>
          <w:t>6</w:t>
        </w:r>
        <w:r w:rsidR="00291F3D">
          <w:rPr>
            <w:noProof/>
            <w:webHidden/>
          </w:rPr>
          <w:fldChar w:fldCharType="end"/>
        </w:r>
      </w:hyperlink>
    </w:p>
    <w:p w:rsidR="00291F3D" w:rsidRDefault="002B2522">
      <w:pPr>
        <w:pStyle w:val="TOC3"/>
        <w:rPr>
          <w:rFonts w:eastAsiaTheme="minorEastAsia"/>
          <w:noProof/>
          <w:lang w:eastAsia="en-AU"/>
        </w:rPr>
      </w:pPr>
      <w:hyperlink w:anchor="_Toc470177730" w:history="1">
        <w:r w:rsidR="00291F3D" w:rsidRPr="00BD68D2">
          <w:rPr>
            <w:rStyle w:val="Hyperlink"/>
            <w:noProof/>
          </w:rPr>
          <w:t>The role of Finance</w:t>
        </w:r>
        <w:r w:rsidR="00291F3D">
          <w:rPr>
            <w:noProof/>
            <w:webHidden/>
          </w:rPr>
          <w:tab/>
        </w:r>
        <w:r w:rsidR="00291F3D">
          <w:rPr>
            <w:noProof/>
            <w:webHidden/>
          </w:rPr>
          <w:fldChar w:fldCharType="begin"/>
        </w:r>
        <w:r w:rsidR="00291F3D">
          <w:rPr>
            <w:noProof/>
            <w:webHidden/>
          </w:rPr>
          <w:instrText xml:space="preserve"> PAGEREF _Toc470177730 \h </w:instrText>
        </w:r>
        <w:r w:rsidR="00291F3D">
          <w:rPr>
            <w:noProof/>
            <w:webHidden/>
          </w:rPr>
        </w:r>
        <w:r w:rsidR="00291F3D">
          <w:rPr>
            <w:noProof/>
            <w:webHidden/>
          </w:rPr>
          <w:fldChar w:fldCharType="separate"/>
        </w:r>
        <w:r w:rsidR="00291F3D">
          <w:rPr>
            <w:noProof/>
            <w:webHidden/>
          </w:rPr>
          <w:t>7</w:t>
        </w:r>
        <w:r w:rsidR="00291F3D">
          <w:rPr>
            <w:noProof/>
            <w:webHidden/>
          </w:rPr>
          <w:fldChar w:fldCharType="end"/>
        </w:r>
      </w:hyperlink>
    </w:p>
    <w:p w:rsidR="00291F3D" w:rsidRDefault="002B2522">
      <w:pPr>
        <w:pStyle w:val="TOC3"/>
        <w:rPr>
          <w:rFonts w:eastAsiaTheme="minorEastAsia"/>
          <w:noProof/>
          <w:lang w:eastAsia="en-AU"/>
        </w:rPr>
      </w:pPr>
      <w:hyperlink w:anchor="_Toc470177731" w:history="1">
        <w:r w:rsidR="00291F3D" w:rsidRPr="00BD68D2">
          <w:rPr>
            <w:rStyle w:val="Hyperlink"/>
            <w:noProof/>
          </w:rPr>
          <w:t>The role of NCEs</w:t>
        </w:r>
        <w:r w:rsidR="00291F3D">
          <w:rPr>
            <w:noProof/>
            <w:webHidden/>
          </w:rPr>
          <w:tab/>
        </w:r>
        <w:r w:rsidR="00291F3D">
          <w:rPr>
            <w:noProof/>
            <w:webHidden/>
          </w:rPr>
          <w:fldChar w:fldCharType="begin"/>
        </w:r>
        <w:r w:rsidR="00291F3D">
          <w:rPr>
            <w:noProof/>
            <w:webHidden/>
          </w:rPr>
          <w:instrText xml:space="preserve"> PAGEREF _Toc470177731 \h </w:instrText>
        </w:r>
        <w:r w:rsidR="00291F3D">
          <w:rPr>
            <w:noProof/>
            <w:webHidden/>
          </w:rPr>
        </w:r>
        <w:r w:rsidR="00291F3D">
          <w:rPr>
            <w:noProof/>
            <w:webHidden/>
          </w:rPr>
          <w:fldChar w:fldCharType="separate"/>
        </w:r>
        <w:r w:rsidR="00291F3D">
          <w:rPr>
            <w:noProof/>
            <w:webHidden/>
          </w:rPr>
          <w:t>8</w:t>
        </w:r>
        <w:r w:rsidR="00291F3D">
          <w:rPr>
            <w:noProof/>
            <w:webHidden/>
          </w:rPr>
          <w:fldChar w:fldCharType="end"/>
        </w:r>
      </w:hyperlink>
    </w:p>
    <w:p w:rsidR="00291F3D" w:rsidRDefault="002B2522">
      <w:pPr>
        <w:pStyle w:val="TOC1"/>
        <w:rPr>
          <w:rFonts w:eastAsiaTheme="minorEastAsia"/>
          <w:b w:val="0"/>
          <w:noProof/>
          <w:sz w:val="22"/>
          <w:lang w:eastAsia="en-AU"/>
        </w:rPr>
      </w:pPr>
      <w:hyperlink w:anchor="_Toc470177732" w:history="1">
        <w:r w:rsidR="00291F3D" w:rsidRPr="00BD68D2">
          <w:rPr>
            <w:rStyle w:val="Hyperlink"/>
            <w:noProof/>
          </w:rPr>
          <w:t>Part 2 – Waiver of Debt</w:t>
        </w:r>
        <w:r w:rsidR="00291F3D">
          <w:rPr>
            <w:noProof/>
            <w:webHidden/>
          </w:rPr>
          <w:tab/>
        </w:r>
        <w:r w:rsidR="00291F3D">
          <w:rPr>
            <w:noProof/>
            <w:webHidden/>
          </w:rPr>
          <w:fldChar w:fldCharType="begin"/>
        </w:r>
        <w:r w:rsidR="00291F3D">
          <w:rPr>
            <w:noProof/>
            <w:webHidden/>
          </w:rPr>
          <w:instrText xml:space="preserve"> PAGEREF _Toc470177732 \h </w:instrText>
        </w:r>
        <w:r w:rsidR="00291F3D">
          <w:rPr>
            <w:noProof/>
            <w:webHidden/>
          </w:rPr>
        </w:r>
        <w:r w:rsidR="00291F3D">
          <w:rPr>
            <w:noProof/>
            <w:webHidden/>
          </w:rPr>
          <w:fldChar w:fldCharType="separate"/>
        </w:r>
        <w:r w:rsidR="00291F3D">
          <w:rPr>
            <w:noProof/>
            <w:webHidden/>
          </w:rPr>
          <w:t>9</w:t>
        </w:r>
        <w:r w:rsidR="00291F3D">
          <w:rPr>
            <w:noProof/>
            <w:webHidden/>
          </w:rPr>
          <w:fldChar w:fldCharType="end"/>
        </w:r>
      </w:hyperlink>
    </w:p>
    <w:p w:rsidR="00291F3D" w:rsidRDefault="002B2522">
      <w:pPr>
        <w:pStyle w:val="TOC3"/>
        <w:rPr>
          <w:rFonts w:eastAsiaTheme="minorEastAsia"/>
          <w:noProof/>
          <w:lang w:eastAsia="en-AU"/>
        </w:rPr>
      </w:pPr>
      <w:hyperlink w:anchor="_Toc470177733" w:history="1">
        <w:r w:rsidR="00291F3D" w:rsidRPr="00BD68D2">
          <w:rPr>
            <w:rStyle w:val="Hyperlink"/>
            <w:noProof/>
          </w:rPr>
          <w:t>Waiver and other debt management options</w:t>
        </w:r>
        <w:r w:rsidR="00291F3D">
          <w:rPr>
            <w:noProof/>
            <w:webHidden/>
          </w:rPr>
          <w:tab/>
        </w:r>
        <w:r w:rsidR="00291F3D">
          <w:rPr>
            <w:noProof/>
            <w:webHidden/>
          </w:rPr>
          <w:fldChar w:fldCharType="begin"/>
        </w:r>
        <w:r w:rsidR="00291F3D">
          <w:rPr>
            <w:noProof/>
            <w:webHidden/>
          </w:rPr>
          <w:instrText xml:space="preserve"> PAGEREF _Toc470177733 \h </w:instrText>
        </w:r>
        <w:r w:rsidR="00291F3D">
          <w:rPr>
            <w:noProof/>
            <w:webHidden/>
          </w:rPr>
        </w:r>
        <w:r w:rsidR="00291F3D">
          <w:rPr>
            <w:noProof/>
            <w:webHidden/>
          </w:rPr>
          <w:fldChar w:fldCharType="separate"/>
        </w:r>
        <w:r w:rsidR="00291F3D">
          <w:rPr>
            <w:noProof/>
            <w:webHidden/>
          </w:rPr>
          <w:t>9</w:t>
        </w:r>
        <w:r w:rsidR="00291F3D">
          <w:rPr>
            <w:noProof/>
            <w:webHidden/>
          </w:rPr>
          <w:fldChar w:fldCharType="end"/>
        </w:r>
      </w:hyperlink>
    </w:p>
    <w:p w:rsidR="00291F3D" w:rsidRDefault="002B2522">
      <w:pPr>
        <w:pStyle w:val="TOC3"/>
        <w:rPr>
          <w:rFonts w:eastAsiaTheme="minorEastAsia"/>
          <w:noProof/>
          <w:lang w:eastAsia="en-AU"/>
        </w:rPr>
      </w:pPr>
      <w:hyperlink w:anchor="_Toc470177734" w:history="1">
        <w:r w:rsidR="00291F3D" w:rsidRPr="00BD68D2">
          <w:rPr>
            <w:rStyle w:val="Hyperlink"/>
            <w:noProof/>
          </w:rPr>
          <w:t>Waiver of debt considerations</w:t>
        </w:r>
        <w:r w:rsidR="00291F3D">
          <w:rPr>
            <w:noProof/>
            <w:webHidden/>
          </w:rPr>
          <w:tab/>
        </w:r>
        <w:r w:rsidR="00291F3D">
          <w:rPr>
            <w:noProof/>
            <w:webHidden/>
          </w:rPr>
          <w:fldChar w:fldCharType="begin"/>
        </w:r>
        <w:r w:rsidR="00291F3D">
          <w:rPr>
            <w:noProof/>
            <w:webHidden/>
          </w:rPr>
          <w:instrText xml:space="preserve"> PAGEREF _Toc470177734 \h </w:instrText>
        </w:r>
        <w:r w:rsidR="00291F3D">
          <w:rPr>
            <w:noProof/>
            <w:webHidden/>
          </w:rPr>
        </w:r>
        <w:r w:rsidR="00291F3D">
          <w:rPr>
            <w:noProof/>
            <w:webHidden/>
          </w:rPr>
          <w:fldChar w:fldCharType="separate"/>
        </w:r>
        <w:r w:rsidR="00291F3D">
          <w:rPr>
            <w:noProof/>
            <w:webHidden/>
          </w:rPr>
          <w:t>10</w:t>
        </w:r>
        <w:r w:rsidR="00291F3D">
          <w:rPr>
            <w:noProof/>
            <w:webHidden/>
          </w:rPr>
          <w:fldChar w:fldCharType="end"/>
        </w:r>
      </w:hyperlink>
    </w:p>
    <w:p w:rsidR="00291F3D" w:rsidRDefault="002B2522">
      <w:pPr>
        <w:pStyle w:val="TOC3"/>
        <w:rPr>
          <w:rFonts w:eastAsiaTheme="minorEastAsia"/>
          <w:noProof/>
          <w:lang w:eastAsia="en-AU"/>
        </w:rPr>
      </w:pPr>
      <w:hyperlink w:anchor="_Toc470177735" w:history="1">
        <w:r w:rsidR="00291F3D" w:rsidRPr="00BD68D2">
          <w:rPr>
            <w:rStyle w:val="Hyperlink"/>
            <w:noProof/>
          </w:rPr>
          <w:t>The role of the Department of Finance</w:t>
        </w:r>
        <w:r w:rsidR="00291F3D">
          <w:rPr>
            <w:noProof/>
            <w:webHidden/>
          </w:rPr>
          <w:tab/>
        </w:r>
        <w:r w:rsidR="00291F3D">
          <w:rPr>
            <w:noProof/>
            <w:webHidden/>
          </w:rPr>
          <w:fldChar w:fldCharType="begin"/>
        </w:r>
        <w:r w:rsidR="00291F3D">
          <w:rPr>
            <w:noProof/>
            <w:webHidden/>
          </w:rPr>
          <w:instrText xml:space="preserve"> PAGEREF _Toc470177735 \h </w:instrText>
        </w:r>
        <w:r w:rsidR="00291F3D">
          <w:rPr>
            <w:noProof/>
            <w:webHidden/>
          </w:rPr>
        </w:r>
        <w:r w:rsidR="00291F3D">
          <w:rPr>
            <w:noProof/>
            <w:webHidden/>
          </w:rPr>
          <w:fldChar w:fldCharType="separate"/>
        </w:r>
        <w:r w:rsidR="00291F3D">
          <w:rPr>
            <w:noProof/>
            <w:webHidden/>
          </w:rPr>
          <w:t>11</w:t>
        </w:r>
        <w:r w:rsidR="00291F3D">
          <w:rPr>
            <w:noProof/>
            <w:webHidden/>
          </w:rPr>
          <w:fldChar w:fldCharType="end"/>
        </w:r>
      </w:hyperlink>
    </w:p>
    <w:p w:rsidR="00291F3D" w:rsidRDefault="002B2522">
      <w:pPr>
        <w:pStyle w:val="TOC3"/>
        <w:rPr>
          <w:rFonts w:eastAsiaTheme="minorEastAsia"/>
          <w:noProof/>
          <w:lang w:eastAsia="en-AU"/>
        </w:rPr>
      </w:pPr>
      <w:hyperlink w:anchor="_Toc470177736" w:history="1">
        <w:r w:rsidR="00291F3D" w:rsidRPr="00BD68D2">
          <w:rPr>
            <w:rStyle w:val="Hyperlink"/>
            <w:noProof/>
          </w:rPr>
          <w:t>The role of NCEs</w:t>
        </w:r>
        <w:r w:rsidR="00291F3D">
          <w:rPr>
            <w:noProof/>
            <w:webHidden/>
          </w:rPr>
          <w:tab/>
        </w:r>
        <w:r w:rsidR="00291F3D">
          <w:rPr>
            <w:noProof/>
            <w:webHidden/>
          </w:rPr>
          <w:fldChar w:fldCharType="begin"/>
        </w:r>
        <w:r w:rsidR="00291F3D">
          <w:rPr>
            <w:noProof/>
            <w:webHidden/>
          </w:rPr>
          <w:instrText xml:space="preserve"> PAGEREF _Toc470177736 \h </w:instrText>
        </w:r>
        <w:r w:rsidR="00291F3D">
          <w:rPr>
            <w:noProof/>
            <w:webHidden/>
          </w:rPr>
        </w:r>
        <w:r w:rsidR="00291F3D">
          <w:rPr>
            <w:noProof/>
            <w:webHidden/>
          </w:rPr>
          <w:fldChar w:fldCharType="separate"/>
        </w:r>
        <w:r w:rsidR="00291F3D">
          <w:rPr>
            <w:noProof/>
            <w:webHidden/>
          </w:rPr>
          <w:t>11</w:t>
        </w:r>
        <w:r w:rsidR="00291F3D">
          <w:rPr>
            <w:noProof/>
            <w:webHidden/>
          </w:rPr>
          <w:fldChar w:fldCharType="end"/>
        </w:r>
      </w:hyperlink>
    </w:p>
    <w:p w:rsidR="00291F3D" w:rsidRDefault="002B2522">
      <w:pPr>
        <w:pStyle w:val="TOC1"/>
        <w:rPr>
          <w:rFonts w:eastAsiaTheme="minorEastAsia"/>
          <w:b w:val="0"/>
          <w:noProof/>
          <w:sz w:val="22"/>
          <w:lang w:eastAsia="en-AU"/>
        </w:rPr>
      </w:pPr>
      <w:hyperlink w:anchor="_Toc470177737" w:history="1">
        <w:r w:rsidR="00291F3D" w:rsidRPr="00BD68D2">
          <w:rPr>
            <w:rStyle w:val="Hyperlink"/>
            <w:noProof/>
          </w:rPr>
          <w:t>Part 3 – Set Off</w:t>
        </w:r>
        <w:r w:rsidR="00291F3D">
          <w:rPr>
            <w:noProof/>
            <w:webHidden/>
          </w:rPr>
          <w:tab/>
        </w:r>
        <w:r w:rsidR="00291F3D">
          <w:rPr>
            <w:noProof/>
            <w:webHidden/>
          </w:rPr>
          <w:fldChar w:fldCharType="begin"/>
        </w:r>
        <w:r w:rsidR="00291F3D">
          <w:rPr>
            <w:noProof/>
            <w:webHidden/>
          </w:rPr>
          <w:instrText xml:space="preserve"> PAGEREF _Toc470177737 \h </w:instrText>
        </w:r>
        <w:r w:rsidR="00291F3D">
          <w:rPr>
            <w:noProof/>
            <w:webHidden/>
          </w:rPr>
        </w:r>
        <w:r w:rsidR="00291F3D">
          <w:rPr>
            <w:noProof/>
            <w:webHidden/>
          </w:rPr>
          <w:fldChar w:fldCharType="separate"/>
        </w:r>
        <w:r w:rsidR="00291F3D">
          <w:rPr>
            <w:noProof/>
            <w:webHidden/>
          </w:rPr>
          <w:t>13</w:t>
        </w:r>
        <w:r w:rsidR="00291F3D">
          <w:rPr>
            <w:noProof/>
            <w:webHidden/>
          </w:rPr>
          <w:fldChar w:fldCharType="end"/>
        </w:r>
      </w:hyperlink>
    </w:p>
    <w:p w:rsidR="00396E11" w:rsidRDefault="00396E11" w:rsidP="00396E11">
      <w:r>
        <w:rPr>
          <w:rFonts w:ascii="Calibri" w:hAnsi="Calibri"/>
          <w:b/>
          <w:bCs/>
          <w:caps/>
          <w:sz w:val="20"/>
          <w:szCs w:val="24"/>
        </w:rPr>
        <w:fldChar w:fldCharType="end"/>
      </w:r>
      <w:r>
        <w:br w:type="page"/>
      </w:r>
    </w:p>
    <w:p w:rsidR="00396E11" w:rsidRPr="00D2728F" w:rsidRDefault="00396E11" w:rsidP="00F67B40">
      <w:pPr>
        <w:pStyle w:val="Heading1"/>
        <w:spacing w:before="180" w:after="60" w:line="280" w:lineRule="auto"/>
      </w:pPr>
      <w:bookmarkStart w:id="2" w:name="_Toc462156017"/>
      <w:bookmarkStart w:id="3" w:name="_Toc462158389"/>
      <w:bookmarkStart w:id="4" w:name="_Toc462158444"/>
      <w:bookmarkStart w:id="5" w:name="_Toc462158497"/>
      <w:bookmarkStart w:id="6" w:name="_Toc462158567"/>
      <w:bookmarkStart w:id="7" w:name="_Toc462158687"/>
      <w:bookmarkStart w:id="8" w:name="_Toc470177723"/>
      <w:bookmarkStart w:id="9" w:name="Audience"/>
      <w:r w:rsidRPr="00D2728F">
        <w:lastRenderedPageBreak/>
        <w:t>Audience</w:t>
      </w:r>
      <w:bookmarkEnd w:id="2"/>
      <w:bookmarkEnd w:id="3"/>
      <w:bookmarkEnd w:id="4"/>
      <w:bookmarkEnd w:id="5"/>
      <w:bookmarkEnd w:id="6"/>
      <w:bookmarkEnd w:id="7"/>
      <w:bookmarkEnd w:id="8"/>
    </w:p>
    <w:p w:rsidR="00B422B2" w:rsidRDefault="00B422B2" w:rsidP="00F67B40">
      <w:pPr>
        <w:spacing w:line="280" w:lineRule="auto"/>
      </w:pPr>
      <w:bookmarkStart w:id="10" w:name="_Toc390678609"/>
      <w:bookmarkStart w:id="11" w:name="_Toc390678658"/>
      <w:bookmarkStart w:id="12" w:name="_Toc462156018"/>
      <w:bookmarkStart w:id="13" w:name="_Toc462158390"/>
      <w:bookmarkStart w:id="14" w:name="_Toc462158445"/>
      <w:bookmarkStart w:id="15" w:name="_Toc462158498"/>
      <w:bookmarkStart w:id="16" w:name="_Toc462158568"/>
      <w:bookmarkStart w:id="17" w:name="_Toc462158688"/>
      <w:bookmarkEnd w:id="9"/>
      <w:r>
        <w:t xml:space="preserve">This guide is relevant to staff in non-corporate Commonwealth entities (NCEs) who deal with requests to the Finance Minister to approve discretionary financial assistance under the </w:t>
      </w:r>
      <w:r>
        <w:rPr>
          <w:i/>
          <w:iCs/>
        </w:rPr>
        <w:t xml:space="preserve">Public Governance, Performance and Accountability Act 2013 </w:t>
      </w:r>
      <w:r>
        <w:t>(PGPA Act).</w:t>
      </w:r>
    </w:p>
    <w:p w:rsidR="00396E11" w:rsidRPr="00C5547B" w:rsidRDefault="00396E11" w:rsidP="00F67B40">
      <w:pPr>
        <w:pStyle w:val="Heading1"/>
        <w:spacing w:before="180" w:after="60" w:line="280" w:lineRule="auto"/>
      </w:pPr>
      <w:bookmarkStart w:id="18" w:name="_Toc470177724"/>
      <w:r>
        <w:t>Key points</w:t>
      </w:r>
      <w:bookmarkEnd w:id="10"/>
      <w:bookmarkEnd w:id="11"/>
      <w:bookmarkEnd w:id="12"/>
      <w:bookmarkEnd w:id="13"/>
      <w:bookmarkEnd w:id="14"/>
      <w:bookmarkEnd w:id="15"/>
      <w:bookmarkEnd w:id="16"/>
      <w:bookmarkEnd w:id="17"/>
      <w:bookmarkEnd w:id="18"/>
    </w:p>
    <w:p w:rsidR="005E5CB9" w:rsidRPr="00C5547B" w:rsidRDefault="005E5CB9" w:rsidP="00F67B40">
      <w:pPr>
        <w:spacing w:line="280" w:lineRule="auto"/>
      </w:pPr>
      <w:bookmarkStart w:id="19" w:name="_Toc390678610"/>
      <w:bookmarkStart w:id="20" w:name="_Toc390678659"/>
      <w:r w:rsidRPr="00C5547B">
        <w:t>This guide:</w:t>
      </w:r>
    </w:p>
    <w:p w:rsidR="00B422B2" w:rsidRPr="00C605B0" w:rsidRDefault="00B422B2" w:rsidP="00C3247A">
      <w:pPr>
        <w:pStyle w:val="Bullets1stindent"/>
        <w:numPr>
          <w:ilvl w:val="0"/>
          <w:numId w:val="29"/>
        </w:numPr>
        <w:spacing w:before="180" w:after="60" w:line="280" w:lineRule="auto"/>
      </w:pPr>
      <w:r w:rsidRPr="00C605B0">
        <w:t xml:space="preserve">describes the types of discretionary financial assistance that can be </w:t>
      </w:r>
      <w:r>
        <w:t>authorised</w:t>
      </w:r>
      <w:r w:rsidRPr="00C605B0">
        <w:t xml:space="preserve"> by the Finance Minister under the PGPA Act, including act of grace payments, waivers of debt and set-off</w:t>
      </w:r>
    </w:p>
    <w:p w:rsidR="00B422B2" w:rsidRPr="00F67B40" w:rsidRDefault="00B422B2" w:rsidP="00C3247A">
      <w:pPr>
        <w:pStyle w:val="ListParagraph"/>
        <w:numPr>
          <w:ilvl w:val="0"/>
          <w:numId w:val="29"/>
        </w:numPr>
        <w:spacing w:before="180" w:after="60" w:line="280" w:lineRule="auto"/>
        <w:rPr>
          <w:rFonts w:asciiTheme="minorHAnsi" w:eastAsiaTheme="minorHAnsi" w:hAnsiTheme="minorHAnsi" w:cstheme="minorBidi"/>
        </w:rPr>
      </w:pPr>
      <w:r w:rsidRPr="00F67B40">
        <w:rPr>
          <w:rFonts w:asciiTheme="minorHAnsi" w:eastAsiaTheme="minorHAnsi" w:hAnsiTheme="minorHAnsi" w:cstheme="minorBidi"/>
        </w:rPr>
        <w:t>replac</w:t>
      </w:r>
      <w:r w:rsidR="00C3247A">
        <w:rPr>
          <w:rFonts w:asciiTheme="minorHAnsi" w:eastAsiaTheme="minorHAnsi" w:hAnsiTheme="minorHAnsi" w:cstheme="minorBidi"/>
        </w:rPr>
        <w:t xml:space="preserve">es </w:t>
      </w:r>
      <w:r w:rsidR="00823B02">
        <w:rPr>
          <w:rFonts w:asciiTheme="minorHAnsi" w:eastAsiaTheme="minorHAnsi" w:hAnsiTheme="minorHAnsi" w:cstheme="minorBidi"/>
        </w:rPr>
        <w:t xml:space="preserve">all previous </w:t>
      </w:r>
      <w:r w:rsidR="00C3247A">
        <w:rPr>
          <w:rFonts w:asciiTheme="minorHAnsi" w:eastAsiaTheme="minorHAnsi" w:hAnsiTheme="minorHAnsi" w:cstheme="minorBidi"/>
        </w:rPr>
        <w:t>version</w:t>
      </w:r>
      <w:r w:rsidR="00823B02">
        <w:rPr>
          <w:rFonts w:asciiTheme="minorHAnsi" w:eastAsiaTheme="minorHAnsi" w:hAnsiTheme="minorHAnsi" w:cstheme="minorBidi"/>
        </w:rPr>
        <w:t>s.</w:t>
      </w:r>
    </w:p>
    <w:p w:rsidR="00396E11" w:rsidRPr="00C5547B" w:rsidRDefault="00396E11" w:rsidP="00F67B40">
      <w:pPr>
        <w:pStyle w:val="Heading1"/>
        <w:spacing w:before="180" w:after="60" w:line="280" w:lineRule="auto"/>
      </w:pPr>
      <w:bookmarkStart w:id="21" w:name="_Toc462156019"/>
      <w:bookmarkStart w:id="22" w:name="_Toc462158391"/>
      <w:bookmarkStart w:id="23" w:name="_Toc462158446"/>
      <w:bookmarkStart w:id="24" w:name="_Toc462158499"/>
      <w:bookmarkStart w:id="25" w:name="_Toc462158569"/>
      <w:bookmarkStart w:id="26" w:name="_Toc462158689"/>
      <w:bookmarkStart w:id="27" w:name="_Toc470177725"/>
      <w:r>
        <w:t>Resources</w:t>
      </w:r>
      <w:bookmarkEnd w:id="19"/>
      <w:bookmarkEnd w:id="20"/>
      <w:bookmarkEnd w:id="21"/>
      <w:bookmarkEnd w:id="22"/>
      <w:bookmarkEnd w:id="23"/>
      <w:bookmarkEnd w:id="24"/>
      <w:bookmarkEnd w:id="25"/>
      <w:bookmarkEnd w:id="26"/>
      <w:bookmarkEnd w:id="27"/>
    </w:p>
    <w:p w:rsidR="00AE6C0D" w:rsidRPr="00C3247A" w:rsidRDefault="00AE6C0D" w:rsidP="00C3247A">
      <w:pPr>
        <w:spacing w:line="280" w:lineRule="auto"/>
        <w:rPr>
          <w:i/>
        </w:rPr>
      </w:pPr>
      <w:bookmarkStart w:id="28" w:name="_Toc462156020"/>
      <w:bookmarkStart w:id="29" w:name="_Toc462158392"/>
      <w:bookmarkStart w:id="30" w:name="_Toc462158447"/>
      <w:bookmarkStart w:id="31" w:name="_Toc462158500"/>
      <w:bookmarkStart w:id="32" w:name="_Toc462158570"/>
      <w:bookmarkStart w:id="33" w:name="_Toc462158690"/>
      <w:r w:rsidRPr="00C3247A">
        <w:t xml:space="preserve">This guide is available on the Department of Finance (Finance) website at </w:t>
      </w:r>
      <w:hyperlink r:id="rId13" w:history="1">
        <w:r w:rsidRPr="00C3247A">
          <w:rPr>
            <w:i/>
          </w:rPr>
          <w:t>www.finance.gov.au</w:t>
        </w:r>
      </w:hyperlink>
      <w:r w:rsidRPr="00C3247A">
        <w:rPr>
          <w:i/>
        </w:rPr>
        <w:t>.</w:t>
      </w:r>
    </w:p>
    <w:p w:rsidR="00AE6C0D" w:rsidRDefault="00AE6C0D" w:rsidP="00C3247A">
      <w:pPr>
        <w:spacing w:line="280" w:lineRule="auto"/>
      </w:pPr>
      <w:r w:rsidRPr="00C3247A">
        <w:t xml:space="preserve">Members of the public who are considering making an application for discretionary financial assistance can find fact sheets and application forms at </w:t>
      </w:r>
      <w:hyperlink r:id="rId14" w:history="1">
        <w:r w:rsidRPr="00C3247A">
          <w:rPr>
            <w:i/>
          </w:rPr>
          <w:t>http://www.finance.gov.au/resource-management/discretionary-financial-assistance/</w:t>
        </w:r>
      </w:hyperlink>
      <w:r w:rsidRPr="00C3247A">
        <w:t xml:space="preserve">. </w:t>
      </w:r>
    </w:p>
    <w:p w:rsidR="00ED52D0" w:rsidRDefault="00ED52D0" w:rsidP="00C3247A">
      <w:pPr>
        <w:spacing w:line="280" w:lineRule="auto"/>
      </w:pPr>
      <w:r>
        <w:t>Other relevant publications include:</w:t>
      </w:r>
    </w:p>
    <w:p w:rsidR="00ED52D0" w:rsidRPr="00995EDF" w:rsidRDefault="00ED52D0" w:rsidP="00DF1A9F">
      <w:pPr>
        <w:pStyle w:val="ListParagraph"/>
        <w:numPr>
          <w:ilvl w:val="0"/>
          <w:numId w:val="37"/>
        </w:numPr>
        <w:spacing w:line="280" w:lineRule="auto"/>
      </w:pPr>
      <w:r w:rsidRPr="00995EDF">
        <w:rPr>
          <w:rFonts w:asciiTheme="minorHAnsi" w:eastAsiaTheme="minorHAnsi" w:hAnsiTheme="minorHAnsi" w:cstheme="minorBidi"/>
        </w:rPr>
        <w:t xml:space="preserve">Resource Management Guide No, 409: </w:t>
      </w:r>
      <w:r w:rsidRPr="00DF1A9F">
        <w:rPr>
          <w:rFonts w:asciiTheme="minorHAnsi" w:eastAsiaTheme="minorHAnsi" w:hAnsiTheme="minorHAnsi" w:cstheme="minorBidi"/>
          <w:i/>
        </w:rPr>
        <w:t>Scheme for Compensation for Detriment caused by Defective Administration</w:t>
      </w:r>
      <w:r w:rsidR="001226C6" w:rsidRPr="00995EDF">
        <w:rPr>
          <w:rFonts w:asciiTheme="minorHAnsi" w:eastAsiaTheme="minorHAnsi" w:hAnsiTheme="minorHAnsi" w:cstheme="minorBidi"/>
        </w:rPr>
        <w:t>.</w:t>
      </w:r>
    </w:p>
    <w:p w:rsidR="00ED52D0" w:rsidRPr="00C3247A" w:rsidRDefault="00ED52D0" w:rsidP="00DF1A9F">
      <w:pPr>
        <w:spacing w:line="280" w:lineRule="auto"/>
        <w:ind w:left="360"/>
      </w:pPr>
    </w:p>
    <w:p w:rsidR="005E5CB9" w:rsidRDefault="00BF3BA2" w:rsidP="00C3408A">
      <w:pPr>
        <w:pStyle w:val="Bullet1"/>
        <w:numPr>
          <w:ilvl w:val="0"/>
          <w:numId w:val="0"/>
        </w:numPr>
        <w:spacing w:line="280" w:lineRule="auto"/>
        <w:ind w:left="852"/>
      </w:pPr>
      <w:r>
        <w:br/>
      </w:r>
      <w:r w:rsidR="005E5CB9" w:rsidRPr="002809A5">
        <w:br w:type="page"/>
      </w:r>
    </w:p>
    <w:p w:rsidR="005E5CB9" w:rsidRDefault="005E5CB9" w:rsidP="00F67B40">
      <w:pPr>
        <w:pStyle w:val="Heading1"/>
        <w:spacing w:before="180" w:after="60" w:line="280" w:lineRule="auto"/>
      </w:pPr>
      <w:bookmarkStart w:id="34" w:name="_Toc463364660"/>
      <w:bookmarkStart w:id="35" w:name="_Toc470177726"/>
      <w:r>
        <w:lastRenderedPageBreak/>
        <w:t>Introduction</w:t>
      </w:r>
      <w:bookmarkEnd w:id="34"/>
      <w:bookmarkEnd w:id="35"/>
    </w:p>
    <w:p w:rsidR="00AE6C0D" w:rsidRPr="00F67B40" w:rsidRDefault="00AE6C0D" w:rsidP="00DE026D">
      <w:pPr>
        <w:pStyle w:val="ListParagraph"/>
        <w:numPr>
          <w:ilvl w:val="0"/>
          <w:numId w:val="26"/>
        </w:numPr>
        <w:spacing w:before="180" w:after="60" w:line="280" w:lineRule="auto"/>
        <w:rPr>
          <w:rFonts w:asciiTheme="minorHAnsi" w:eastAsiaTheme="minorHAnsi" w:hAnsiTheme="minorHAnsi" w:cstheme="minorBidi"/>
        </w:rPr>
      </w:pPr>
      <w:r w:rsidRPr="00F67B40">
        <w:rPr>
          <w:rFonts w:asciiTheme="minorHAnsi" w:eastAsiaTheme="minorHAnsi" w:hAnsiTheme="minorHAnsi" w:cstheme="minorBidi"/>
        </w:rPr>
        <w:t xml:space="preserve">Each request to the Finance Minister for discretionary financial assistance: </w:t>
      </w:r>
    </w:p>
    <w:p w:rsidR="00AE6C0D" w:rsidRPr="00CE2A06" w:rsidRDefault="00AE6C0D" w:rsidP="00DE026D">
      <w:pPr>
        <w:pStyle w:val="ListParagraph"/>
        <w:numPr>
          <w:ilvl w:val="0"/>
          <w:numId w:val="27"/>
        </w:numPr>
        <w:spacing w:line="280" w:lineRule="auto"/>
        <w:rPr>
          <w:rFonts w:asciiTheme="minorHAnsi" w:eastAsiaTheme="minorHAnsi" w:hAnsiTheme="minorHAnsi" w:cstheme="minorBidi"/>
        </w:rPr>
      </w:pPr>
      <w:r w:rsidRPr="00CE2A06">
        <w:rPr>
          <w:rFonts w:asciiTheme="minorHAnsi" w:eastAsiaTheme="minorHAnsi" w:hAnsiTheme="minorHAnsi" w:cstheme="minorBidi"/>
        </w:rPr>
        <w:t xml:space="preserve">is considered on its individual merits </w:t>
      </w:r>
    </w:p>
    <w:p w:rsidR="00AE6C0D" w:rsidRPr="00CE2A06" w:rsidRDefault="00AE6C0D" w:rsidP="00DE026D">
      <w:pPr>
        <w:pStyle w:val="ListParagraph"/>
        <w:numPr>
          <w:ilvl w:val="0"/>
          <w:numId w:val="27"/>
        </w:numPr>
        <w:spacing w:line="280" w:lineRule="auto"/>
        <w:rPr>
          <w:rFonts w:asciiTheme="minorHAnsi" w:eastAsiaTheme="minorHAnsi" w:hAnsiTheme="minorHAnsi" w:cstheme="minorBidi"/>
        </w:rPr>
      </w:pPr>
      <w:r w:rsidRPr="00CE2A06">
        <w:rPr>
          <w:rFonts w:asciiTheme="minorHAnsi" w:eastAsiaTheme="minorHAnsi" w:hAnsiTheme="minorHAnsi" w:cstheme="minorBidi"/>
        </w:rPr>
        <w:t xml:space="preserve">is decided at the discretion of the decision-maker </w:t>
      </w:r>
    </w:p>
    <w:p w:rsidR="00AE6C0D" w:rsidRPr="00CE2A06" w:rsidRDefault="00AE6C0D" w:rsidP="00DE026D">
      <w:pPr>
        <w:pStyle w:val="ListParagraph"/>
        <w:numPr>
          <w:ilvl w:val="0"/>
          <w:numId w:val="27"/>
        </w:numPr>
        <w:spacing w:line="280" w:lineRule="auto"/>
        <w:rPr>
          <w:rFonts w:asciiTheme="minorHAnsi" w:eastAsiaTheme="minorHAnsi" w:hAnsiTheme="minorHAnsi" w:cstheme="minorBidi"/>
        </w:rPr>
      </w:pPr>
      <w:r w:rsidRPr="00CE2A06">
        <w:rPr>
          <w:rFonts w:asciiTheme="minorHAnsi" w:eastAsiaTheme="minorHAnsi" w:hAnsiTheme="minorHAnsi" w:cstheme="minorBidi"/>
        </w:rPr>
        <w:t xml:space="preserve">once decided, does not establish a precedent for other requests. </w:t>
      </w:r>
    </w:p>
    <w:p w:rsidR="00AE6C0D" w:rsidRPr="00CE2A06" w:rsidRDefault="00AE6C0D" w:rsidP="00DE026D">
      <w:pPr>
        <w:pStyle w:val="ListParagraph"/>
        <w:numPr>
          <w:ilvl w:val="0"/>
          <w:numId w:val="26"/>
        </w:numPr>
        <w:spacing w:before="180" w:after="60" w:line="280" w:lineRule="auto"/>
        <w:rPr>
          <w:rFonts w:asciiTheme="minorHAnsi" w:eastAsiaTheme="minorHAnsi" w:hAnsiTheme="minorHAnsi" w:cstheme="minorBidi"/>
        </w:rPr>
      </w:pPr>
      <w:r w:rsidRPr="00CE2A06">
        <w:rPr>
          <w:rFonts w:asciiTheme="minorHAnsi" w:eastAsiaTheme="minorHAnsi" w:hAnsiTheme="minorHAnsi" w:cstheme="minorBidi"/>
        </w:rPr>
        <w:t xml:space="preserve">In accordance with the </w:t>
      </w:r>
      <w:r w:rsidRPr="00DF1A9F">
        <w:rPr>
          <w:rFonts w:asciiTheme="minorHAnsi" w:eastAsiaTheme="minorHAnsi" w:hAnsiTheme="minorHAnsi" w:cstheme="minorBidi"/>
          <w:i/>
        </w:rPr>
        <w:t>Acts Interpretation Act 1901</w:t>
      </w:r>
      <w:r w:rsidRPr="00CE2A06">
        <w:rPr>
          <w:rFonts w:asciiTheme="minorHAnsi" w:eastAsiaTheme="minorHAnsi" w:hAnsiTheme="minorHAnsi" w:cstheme="minorBidi"/>
        </w:rPr>
        <w:t>, the ‘Finance Minister’ is any Minister in the Finance portfolio who administers the PGPA Act. The power to consider requests for act of grace payments and waivers of debt has been delegated to senior officials in Finance.</w:t>
      </w:r>
    </w:p>
    <w:p w:rsidR="00396E11" w:rsidRPr="00C5547B" w:rsidRDefault="00941CFB" w:rsidP="00F67B40">
      <w:pPr>
        <w:pStyle w:val="Heading1"/>
        <w:shd w:val="clear" w:color="auto" w:fill="BDDCDF" w:themeFill="accent1"/>
        <w:spacing w:before="180" w:after="60" w:line="280" w:lineRule="auto"/>
      </w:pPr>
      <w:bookmarkStart w:id="36" w:name="_Toc470177727"/>
      <w:r>
        <w:t xml:space="preserve">Part 1 – </w:t>
      </w:r>
      <w:bookmarkEnd w:id="28"/>
      <w:bookmarkEnd w:id="29"/>
      <w:bookmarkEnd w:id="30"/>
      <w:bookmarkEnd w:id="31"/>
      <w:bookmarkEnd w:id="32"/>
      <w:bookmarkEnd w:id="33"/>
      <w:r w:rsidR="00AE6C0D">
        <w:t>Act of Grace Payments</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B5E9"/>
        <w:tblLook w:val="0000" w:firstRow="0" w:lastRow="0" w:firstColumn="0" w:lastColumn="0" w:noHBand="0" w:noVBand="0"/>
      </w:tblPr>
      <w:tblGrid>
        <w:gridCol w:w="9629"/>
      </w:tblGrid>
      <w:tr w:rsidR="00AE6C0D" w:rsidRPr="005153D0" w:rsidTr="00835DDA">
        <w:trPr>
          <w:trHeight w:val="370"/>
        </w:trPr>
        <w:tc>
          <w:tcPr>
            <w:tcW w:w="5000" w:type="pct"/>
            <w:shd w:val="clear" w:color="auto" w:fill="B4B5E9"/>
          </w:tcPr>
          <w:p w:rsidR="00AE6C0D" w:rsidRDefault="00AE6C0D" w:rsidP="00F67B40">
            <w:pPr>
              <w:spacing w:line="280" w:lineRule="auto"/>
              <w:rPr>
                <w:b/>
                <w:i/>
                <w:sz w:val="28"/>
                <w:szCs w:val="28"/>
              </w:rPr>
            </w:pPr>
            <w:bookmarkStart w:id="37" w:name="_Toc308092705"/>
            <w:r w:rsidRPr="004C6459">
              <w:rPr>
                <w:b/>
                <w:i/>
                <w:sz w:val="28"/>
                <w:szCs w:val="28"/>
              </w:rPr>
              <w:t>Public Governance, Performance and Accountability Act 2013</w:t>
            </w:r>
          </w:p>
          <w:p w:rsidR="00835DDA" w:rsidRPr="00835DDA" w:rsidRDefault="00835DDA" w:rsidP="00F67B40">
            <w:pPr>
              <w:spacing w:line="280" w:lineRule="auto"/>
              <w:rPr>
                <w:b/>
                <w:sz w:val="24"/>
                <w:szCs w:val="24"/>
              </w:rPr>
            </w:pPr>
            <w:r w:rsidRPr="00835DDA">
              <w:rPr>
                <w:b/>
                <w:sz w:val="24"/>
                <w:szCs w:val="24"/>
              </w:rPr>
              <w:t>Section 65 – Act of grace payments by the Commonwealth</w:t>
            </w:r>
          </w:p>
          <w:p w:rsidR="00AE6C0D" w:rsidRPr="00CE2A06" w:rsidRDefault="00835DDA" w:rsidP="00F67B40">
            <w:pPr>
              <w:pStyle w:val="Boxnumberedparaindent1"/>
              <w:spacing w:before="180" w:after="60" w:line="280" w:lineRule="auto"/>
              <w:ind w:left="1276" w:hanging="556"/>
              <w:rPr>
                <w:rFonts w:asciiTheme="minorHAnsi" w:hAnsiTheme="minorHAnsi" w:cstheme="minorHAnsi"/>
              </w:rPr>
            </w:pPr>
            <w:r>
              <w:t xml:space="preserve"> </w:t>
            </w:r>
            <w:r w:rsidR="00AE6C0D">
              <w:t>(1)</w:t>
            </w:r>
            <w:r w:rsidR="00AE6C0D">
              <w:tab/>
            </w:r>
            <w:r w:rsidR="00AE6C0D" w:rsidRPr="00CE2A06">
              <w:rPr>
                <w:rFonts w:asciiTheme="minorHAnsi" w:hAnsiTheme="minorHAnsi" w:cstheme="minorHAnsi"/>
              </w:rPr>
              <w:t>The Finance Minister may, on behalf of the Commonwealth, authorise, in writing, one or more payments to be made to a person if the Finance Minister considers it appropriate to do so because of special circumstances.</w:t>
            </w:r>
          </w:p>
          <w:p w:rsidR="00AE6C0D" w:rsidRPr="00CE2A06" w:rsidRDefault="00AE6C0D" w:rsidP="00F67B40">
            <w:pPr>
              <w:spacing w:line="280" w:lineRule="auto"/>
              <w:ind w:left="1928" w:hanging="652"/>
              <w:rPr>
                <w:rFonts w:cstheme="minorHAnsi"/>
              </w:rPr>
            </w:pPr>
            <w:r w:rsidRPr="00CE2A06">
              <w:rPr>
                <w:rFonts w:cstheme="minorHAnsi"/>
              </w:rPr>
              <w:t>Note 1: A payment may be authorised even though the payment or payments would not otherwise be authorised by law or required to meet a legal liability.</w:t>
            </w:r>
          </w:p>
          <w:p w:rsidR="00AE6C0D" w:rsidRPr="00CE2A06" w:rsidRDefault="00AE6C0D" w:rsidP="00F67B40">
            <w:pPr>
              <w:spacing w:line="280" w:lineRule="auto"/>
              <w:ind w:left="1928" w:hanging="652"/>
              <w:rPr>
                <w:rFonts w:cstheme="minorHAnsi"/>
              </w:rPr>
            </w:pPr>
            <w:r w:rsidRPr="00CE2A06">
              <w:rPr>
                <w:rFonts w:cstheme="minorHAnsi"/>
              </w:rPr>
              <w:t>Note 2: Act of grace payments under this section must be made from money appropriated by the Parliament. Generally, an act of grace payment can be debited against a non-corporate Commonwealth entity’s annual appropriation, providing that it relates to some matter that has arisen in the course of the administration of the entity.</w:t>
            </w:r>
          </w:p>
          <w:p w:rsidR="00AE6C0D" w:rsidRPr="00CE2A06" w:rsidRDefault="00AE6C0D" w:rsidP="00F67B40">
            <w:pPr>
              <w:pStyle w:val="Boxnumberedparaindent1"/>
              <w:spacing w:before="180" w:after="60" w:line="280" w:lineRule="auto"/>
              <w:ind w:left="1276" w:hanging="556"/>
              <w:rPr>
                <w:rFonts w:asciiTheme="minorHAnsi" w:hAnsiTheme="minorHAnsi" w:cstheme="minorHAnsi"/>
              </w:rPr>
            </w:pPr>
            <w:r w:rsidRPr="00CE2A06">
              <w:rPr>
                <w:rFonts w:asciiTheme="minorHAnsi" w:hAnsiTheme="minorHAnsi" w:cstheme="minorHAnsi"/>
              </w:rPr>
              <w:t>(2)</w:t>
            </w:r>
            <w:r w:rsidRPr="00CE2A06">
              <w:rPr>
                <w:rFonts w:asciiTheme="minorHAnsi" w:hAnsiTheme="minorHAnsi" w:cstheme="minorHAnsi"/>
              </w:rPr>
              <w:tab/>
              <w:t>An authorisation of a payment must be in accordance with any requirements prescribed by the rules.</w:t>
            </w:r>
          </w:p>
          <w:p w:rsidR="00AE6C0D" w:rsidRPr="00CE2A06" w:rsidRDefault="00AE6C0D" w:rsidP="00F67B40">
            <w:pPr>
              <w:pStyle w:val="Boxnumberedparaindent1"/>
              <w:spacing w:before="180" w:after="60" w:line="280" w:lineRule="auto"/>
              <w:ind w:left="1276" w:hanging="556"/>
              <w:rPr>
                <w:rFonts w:asciiTheme="minorHAnsi" w:hAnsiTheme="minorHAnsi" w:cstheme="minorHAnsi"/>
              </w:rPr>
            </w:pPr>
            <w:r w:rsidRPr="00CE2A06">
              <w:rPr>
                <w:rFonts w:asciiTheme="minorHAnsi" w:hAnsiTheme="minorHAnsi" w:cstheme="minorHAnsi"/>
              </w:rPr>
              <w:t>(3)</w:t>
            </w:r>
            <w:r w:rsidRPr="00CE2A06">
              <w:rPr>
                <w:rFonts w:asciiTheme="minorHAnsi" w:hAnsiTheme="minorHAnsi" w:cstheme="minorHAnsi"/>
              </w:rPr>
              <w:tab/>
              <w:t xml:space="preserve">Conditions may be attached to a payment. If a condition is contravened, the payment is recoverable by the Commonwealth as a debt in a court of competent jurisdiction. </w:t>
            </w:r>
          </w:p>
          <w:p w:rsidR="00AE6C0D" w:rsidRPr="001678C2" w:rsidRDefault="00AE6C0D" w:rsidP="00F67B40">
            <w:pPr>
              <w:pStyle w:val="Boxnumberedparaindent1"/>
              <w:spacing w:before="180" w:after="60" w:line="280" w:lineRule="auto"/>
            </w:pPr>
            <w:r w:rsidRPr="00CE2A06">
              <w:rPr>
                <w:rFonts w:asciiTheme="minorHAnsi" w:hAnsiTheme="minorHAnsi" w:cstheme="minorHAnsi"/>
              </w:rPr>
              <w:t>(4)</w:t>
            </w:r>
            <w:r w:rsidRPr="00CE2A06">
              <w:rPr>
                <w:rFonts w:asciiTheme="minorHAnsi" w:hAnsiTheme="minorHAnsi" w:cstheme="minorHAnsi"/>
              </w:rPr>
              <w:tab/>
              <w:t xml:space="preserve">An authorisation of a payment is not a legislative instrument. </w:t>
            </w:r>
          </w:p>
        </w:tc>
      </w:tr>
    </w:tbl>
    <w:p w:rsidR="00AE6C0D" w:rsidRPr="00CE2A06" w:rsidRDefault="00AE6C0D" w:rsidP="00DF1A9F">
      <w:pPr>
        <w:pStyle w:val="Heading3"/>
      </w:pPr>
      <w:bookmarkStart w:id="38" w:name="_Toc470177728"/>
      <w:bookmarkStart w:id="39" w:name="_Toc462156021"/>
      <w:bookmarkStart w:id="40" w:name="_Toc462158393"/>
      <w:bookmarkStart w:id="41" w:name="_Toc462158448"/>
      <w:bookmarkStart w:id="42" w:name="_Toc462158501"/>
      <w:bookmarkStart w:id="43" w:name="_Toc462158571"/>
      <w:bookmarkStart w:id="44" w:name="_Toc462158691"/>
      <w:bookmarkStart w:id="45" w:name="_Toc464562405"/>
      <w:r w:rsidRPr="00CE2A06">
        <w:t>Act of grace and other remedies</w:t>
      </w:r>
      <w:bookmarkEnd w:id="38"/>
    </w:p>
    <w:p w:rsidR="00AE6C0D" w:rsidRPr="00DE026D" w:rsidRDefault="00AE6C0D" w:rsidP="00DE026D">
      <w:pPr>
        <w:pStyle w:val="ListParagraph"/>
        <w:numPr>
          <w:ilvl w:val="0"/>
          <w:numId w:val="26"/>
        </w:numPr>
        <w:spacing w:before="180" w:after="60" w:line="280" w:lineRule="auto"/>
        <w:rPr>
          <w:rFonts w:asciiTheme="minorHAnsi" w:eastAsiaTheme="minorHAnsi" w:hAnsiTheme="minorHAnsi" w:cstheme="minorBidi"/>
        </w:rPr>
      </w:pPr>
      <w:r w:rsidRPr="00DE026D">
        <w:rPr>
          <w:rFonts w:asciiTheme="minorHAnsi" w:eastAsiaTheme="minorHAnsi" w:hAnsiTheme="minorHAnsi" w:cstheme="minorBidi"/>
        </w:rPr>
        <w:t xml:space="preserve">The act of grace mechanism is generally a remedy of last resort and is not used when there is another viable remedy available to provide redress in the circumstances giving rise to the application. </w:t>
      </w:r>
    </w:p>
    <w:p w:rsidR="00AE6C0D" w:rsidRPr="00DE026D" w:rsidRDefault="00AE6C0D" w:rsidP="00DE026D">
      <w:pPr>
        <w:pStyle w:val="ListParagraph"/>
        <w:numPr>
          <w:ilvl w:val="0"/>
          <w:numId w:val="26"/>
        </w:numPr>
        <w:spacing w:before="180" w:after="60" w:line="280" w:lineRule="auto"/>
        <w:rPr>
          <w:rFonts w:asciiTheme="minorHAnsi" w:eastAsiaTheme="minorHAnsi" w:hAnsiTheme="minorHAnsi" w:cstheme="minorBidi"/>
        </w:rPr>
      </w:pPr>
      <w:r w:rsidRPr="00DE026D">
        <w:rPr>
          <w:rFonts w:asciiTheme="minorHAnsi" w:eastAsiaTheme="minorHAnsi" w:hAnsiTheme="minorHAnsi" w:cstheme="minorBidi"/>
        </w:rPr>
        <w:t xml:space="preserve">If other avenues exist for a person to receive financial assistance from the Commonwealth (such as existing legislation or schemes), it is recommended that those avenues are investigated before a request is made for an act of grace payment. </w:t>
      </w:r>
    </w:p>
    <w:p w:rsidR="00751D68" w:rsidRPr="00DF1A9F" w:rsidRDefault="00751D68" w:rsidP="00DF1A9F">
      <w:pPr>
        <w:pStyle w:val="ListParagraph"/>
        <w:numPr>
          <w:ilvl w:val="0"/>
          <w:numId w:val="26"/>
        </w:numPr>
        <w:spacing w:before="180" w:after="60" w:line="280" w:lineRule="auto"/>
        <w:rPr>
          <w:rFonts w:asciiTheme="minorHAnsi" w:eastAsiaTheme="minorHAnsi" w:hAnsiTheme="minorHAnsi" w:cstheme="minorBidi"/>
        </w:rPr>
      </w:pPr>
      <w:r w:rsidRPr="00DF1A9F">
        <w:rPr>
          <w:rFonts w:asciiTheme="minorHAnsi" w:eastAsiaTheme="minorHAnsi" w:hAnsiTheme="minorHAnsi" w:cstheme="minorBidi"/>
        </w:rPr>
        <w:lastRenderedPageBreak/>
        <w:t xml:space="preserve">Most decisions about Australian Government benefits are subject to internal statutory review. A person is expected to undertake these reviews to ensure that they are ineligible for financial assistance, before being assessed for an act of grace payment. Instruments to consider could include the </w:t>
      </w:r>
      <w:r w:rsidRPr="00DF1A9F">
        <w:rPr>
          <w:rFonts w:asciiTheme="minorHAnsi" w:eastAsiaTheme="minorHAnsi" w:hAnsiTheme="minorHAnsi" w:cstheme="minorBidi"/>
          <w:i/>
        </w:rPr>
        <w:t>Legal Services Directions 2005</w:t>
      </w:r>
      <w:r w:rsidRPr="00DF1A9F">
        <w:rPr>
          <w:rFonts w:asciiTheme="minorHAnsi" w:eastAsiaTheme="minorHAnsi" w:hAnsiTheme="minorHAnsi" w:cstheme="minorBidi"/>
        </w:rPr>
        <w:t xml:space="preserve">, the </w:t>
      </w:r>
      <w:r w:rsidRPr="00DF1A9F">
        <w:rPr>
          <w:rFonts w:asciiTheme="minorHAnsi" w:eastAsiaTheme="minorHAnsi" w:hAnsiTheme="minorHAnsi" w:cstheme="minorBidi"/>
          <w:i/>
        </w:rPr>
        <w:t>Public Service Act 1999,</w:t>
      </w:r>
      <w:r w:rsidRPr="00DF1A9F">
        <w:rPr>
          <w:rFonts w:asciiTheme="minorHAnsi" w:eastAsiaTheme="minorHAnsi" w:hAnsiTheme="minorHAnsi" w:cstheme="minorBidi"/>
        </w:rPr>
        <w:t xml:space="preserve"> and the </w:t>
      </w:r>
      <w:r w:rsidRPr="00DF1A9F">
        <w:rPr>
          <w:rFonts w:asciiTheme="minorHAnsi" w:eastAsiaTheme="minorHAnsi" w:hAnsiTheme="minorHAnsi" w:cstheme="minorBidi"/>
          <w:i/>
        </w:rPr>
        <w:t>Scheme for Compensation for Detriment caused by Defective Administration</w:t>
      </w:r>
      <w:r>
        <w:rPr>
          <w:rFonts w:asciiTheme="minorHAnsi" w:eastAsiaTheme="minorHAnsi" w:hAnsiTheme="minorHAnsi" w:cstheme="minorBidi"/>
        </w:rPr>
        <w:t xml:space="preserve"> (CDDA Scheme)</w:t>
      </w:r>
      <w:r w:rsidRPr="00DF1A9F">
        <w:rPr>
          <w:rFonts w:asciiTheme="minorHAnsi" w:eastAsiaTheme="minorHAnsi" w:hAnsiTheme="minorHAnsi" w:cstheme="minorBidi"/>
        </w:rPr>
        <w:t>.</w:t>
      </w:r>
    </w:p>
    <w:p w:rsidR="00751D68" w:rsidRPr="00DF1A9F" w:rsidRDefault="00751D68" w:rsidP="00DF1A9F">
      <w:pPr>
        <w:pStyle w:val="ListParagraph"/>
        <w:numPr>
          <w:ilvl w:val="0"/>
          <w:numId w:val="26"/>
        </w:numPr>
        <w:spacing w:before="180" w:after="60" w:line="280" w:lineRule="auto"/>
        <w:rPr>
          <w:rFonts w:asciiTheme="minorHAnsi" w:eastAsiaTheme="minorHAnsi" w:hAnsiTheme="minorHAnsi" w:cstheme="minorBidi"/>
        </w:rPr>
      </w:pPr>
      <w:r w:rsidRPr="00DF1A9F">
        <w:rPr>
          <w:rFonts w:asciiTheme="minorHAnsi" w:eastAsiaTheme="minorHAnsi" w:hAnsiTheme="minorHAnsi" w:cstheme="minorBidi"/>
        </w:rPr>
        <w:t>If a person is claiming that a decision is incorrect at law, existing legal review mechanisms must be used.</w:t>
      </w:r>
    </w:p>
    <w:p w:rsidR="00AE6C0D" w:rsidRPr="00DF1A9F" w:rsidRDefault="00AE6C0D" w:rsidP="00DF1A9F">
      <w:pPr>
        <w:pStyle w:val="Heading3"/>
      </w:pPr>
      <w:bookmarkStart w:id="46" w:name="_Toc387919181"/>
      <w:bookmarkStart w:id="47" w:name="_Toc470177729"/>
      <w:r w:rsidRPr="00DF1A9F">
        <w:t>Act of grace considerations</w:t>
      </w:r>
      <w:bookmarkEnd w:id="46"/>
      <w:bookmarkEnd w:id="47"/>
    </w:p>
    <w:p w:rsidR="00AE6C0D" w:rsidRPr="00DE026D" w:rsidRDefault="00AE6C0D" w:rsidP="00DE026D">
      <w:pPr>
        <w:pStyle w:val="ListParagraph"/>
        <w:numPr>
          <w:ilvl w:val="0"/>
          <w:numId w:val="26"/>
        </w:numPr>
        <w:spacing w:before="180" w:after="60" w:line="280" w:lineRule="auto"/>
        <w:rPr>
          <w:rFonts w:asciiTheme="minorHAnsi" w:eastAsiaTheme="minorHAnsi" w:hAnsiTheme="minorHAnsi" w:cstheme="minorBidi"/>
        </w:rPr>
      </w:pPr>
      <w:r w:rsidRPr="00DE026D">
        <w:rPr>
          <w:rFonts w:asciiTheme="minorHAnsi" w:eastAsiaTheme="minorHAnsi" w:hAnsiTheme="minorHAnsi" w:cstheme="minorBidi"/>
        </w:rPr>
        <w:t>The PGPA Act does not provide a time limit on making a claim under the act of grace mechanism.</w:t>
      </w:r>
    </w:p>
    <w:p w:rsidR="00AE6C0D" w:rsidRPr="00DE026D" w:rsidRDefault="00AE6C0D" w:rsidP="00DE026D">
      <w:pPr>
        <w:pStyle w:val="ListParagraph"/>
        <w:numPr>
          <w:ilvl w:val="0"/>
          <w:numId w:val="26"/>
        </w:numPr>
        <w:spacing w:before="180" w:after="60" w:line="280" w:lineRule="auto"/>
        <w:rPr>
          <w:rFonts w:asciiTheme="minorHAnsi" w:eastAsiaTheme="minorHAnsi" w:hAnsiTheme="minorHAnsi" w:cstheme="minorBidi"/>
        </w:rPr>
      </w:pPr>
      <w:r w:rsidRPr="00DE026D">
        <w:rPr>
          <w:rFonts w:asciiTheme="minorHAnsi" w:eastAsiaTheme="minorHAnsi" w:hAnsiTheme="minorHAnsi" w:cstheme="minorBidi"/>
        </w:rPr>
        <w:t>The act of grace mechanism is permissive. It enables decision-makers to approve payments but does not obligate them to do so. There is no entitlement to an act of grace payment.</w:t>
      </w:r>
    </w:p>
    <w:p w:rsidR="00AE6C0D" w:rsidRPr="00DE026D" w:rsidRDefault="00AE6C0D" w:rsidP="007B775E">
      <w:pPr>
        <w:pStyle w:val="CommentText"/>
        <w:numPr>
          <w:ilvl w:val="0"/>
          <w:numId w:val="26"/>
        </w:numPr>
        <w:rPr>
          <w:rFonts w:asciiTheme="minorHAnsi" w:eastAsiaTheme="minorHAnsi" w:hAnsiTheme="minorHAnsi" w:cstheme="minorBidi"/>
        </w:rPr>
      </w:pPr>
      <w:r w:rsidRPr="00DE026D">
        <w:rPr>
          <w:rFonts w:asciiTheme="minorHAnsi" w:eastAsiaTheme="minorHAnsi" w:hAnsiTheme="minorHAnsi" w:cstheme="minorBidi"/>
        </w:rPr>
        <w:t xml:space="preserve">‘Special </w:t>
      </w:r>
      <w:r w:rsidRPr="00E43433">
        <w:rPr>
          <w:rFonts w:asciiTheme="minorHAnsi" w:eastAsiaTheme="minorHAnsi" w:hAnsiTheme="minorHAnsi" w:cstheme="minorBidi"/>
        </w:rPr>
        <w:t>circumstances’</w:t>
      </w:r>
      <w:r w:rsidRPr="00DE026D">
        <w:rPr>
          <w:rFonts w:asciiTheme="minorHAnsi" w:eastAsiaTheme="minorHAnsi" w:hAnsiTheme="minorHAnsi" w:cstheme="minorBidi"/>
        </w:rPr>
        <w:t xml:space="preserve"> and ‘appropriate’ are not defined in the PGPA Act and are for the decision-maker to assess.</w:t>
      </w:r>
    </w:p>
    <w:p w:rsidR="00AE6C0D" w:rsidRPr="007B775E" w:rsidRDefault="00AE6C0D" w:rsidP="00E43433">
      <w:pPr>
        <w:pStyle w:val="CommentText"/>
        <w:numPr>
          <w:ilvl w:val="0"/>
          <w:numId w:val="26"/>
        </w:numPr>
        <w:ind w:hanging="426"/>
        <w:rPr>
          <w:rFonts w:asciiTheme="minorHAnsi" w:eastAsiaTheme="minorHAnsi" w:hAnsiTheme="minorHAnsi" w:cstheme="minorBidi"/>
        </w:rPr>
      </w:pPr>
      <w:r w:rsidRPr="007B775E">
        <w:rPr>
          <w:rFonts w:asciiTheme="minorHAnsi" w:eastAsiaTheme="minorHAnsi" w:hAnsiTheme="minorHAnsi" w:cstheme="minorBidi"/>
          <w:szCs w:val="22"/>
        </w:rPr>
        <w:t>Examples of special circumstances that may make it appropriate to approve an act of grace payment include instances when</w:t>
      </w:r>
      <w:r w:rsidRPr="007B775E">
        <w:rPr>
          <w:rFonts w:asciiTheme="minorHAnsi" w:eastAsiaTheme="minorHAnsi" w:hAnsiTheme="minorHAnsi" w:cstheme="minorBidi"/>
        </w:rPr>
        <w:t>:</w:t>
      </w:r>
    </w:p>
    <w:p w:rsidR="00AE6C0D" w:rsidRPr="00CE2A06" w:rsidRDefault="00E43433" w:rsidP="00DE026D">
      <w:pPr>
        <w:pStyle w:val="Numberedpara1stindent"/>
        <w:numPr>
          <w:ilvl w:val="0"/>
          <w:numId w:val="17"/>
        </w:numPr>
        <w:spacing w:before="180" w:after="60" w:line="280" w:lineRule="auto"/>
        <w:rPr>
          <w:rFonts w:asciiTheme="minorHAnsi" w:hAnsiTheme="minorHAnsi" w:cstheme="minorHAnsi"/>
        </w:rPr>
      </w:pPr>
      <w:r>
        <w:rPr>
          <w:rFonts w:asciiTheme="minorHAnsi" w:hAnsiTheme="minorHAnsi" w:cstheme="minorHAnsi"/>
        </w:rPr>
        <w:t xml:space="preserve">an act of a non-corporate Commonwealth entity (NCE) </w:t>
      </w:r>
      <w:r w:rsidR="00AE6C0D" w:rsidRPr="00CE2A06">
        <w:rPr>
          <w:rFonts w:asciiTheme="minorHAnsi" w:hAnsiTheme="minorHAnsi" w:cstheme="minorHAnsi"/>
        </w:rPr>
        <w:t>has caused an unintended and inequitable result to a person seeking a payment</w:t>
      </w:r>
      <w:r w:rsidR="00A4756F">
        <w:rPr>
          <w:rFonts w:asciiTheme="minorHAnsi" w:hAnsiTheme="minorHAnsi" w:cstheme="minorHAnsi"/>
        </w:rPr>
        <w:t>.</w:t>
      </w:r>
    </w:p>
    <w:p w:rsidR="00AE6C0D" w:rsidRPr="00CE2A06" w:rsidRDefault="00AE6C0D" w:rsidP="00DE026D">
      <w:pPr>
        <w:pStyle w:val="Numberedpara1stindent"/>
        <w:numPr>
          <w:ilvl w:val="0"/>
          <w:numId w:val="17"/>
        </w:numPr>
        <w:spacing w:before="180" w:after="60" w:line="280" w:lineRule="auto"/>
        <w:rPr>
          <w:rFonts w:asciiTheme="minorHAnsi" w:hAnsiTheme="minorHAnsi" w:cstheme="minorHAnsi"/>
        </w:rPr>
      </w:pPr>
      <w:r w:rsidRPr="00CE2A06">
        <w:rPr>
          <w:rFonts w:asciiTheme="minorHAnsi" w:hAnsiTheme="minorHAnsi" w:cstheme="minorHAnsi"/>
        </w:rPr>
        <w:t>Commonwealth legislation or policy has had an unintended, anomalous, inequitable or otherwise unacceptable impact on the applicant’s circumstances, and those circumstances were:</w:t>
      </w:r>
    </w:p>
    <w:p w:rsidR="00AE6C0D" w:rsidRDefault="00AE6C0D" w:rsidP="00DE026D">
      <w:pPr>
        <w:pStyle w:val="Bullets2ndindent"/>
        <w:numPr>
          <w:ilvl w:val="0"/>
          <w:numId w:val="28"/>
        </w:numPr>
        <w:spacing w:before="180" w:line="280" w:lineRule="auto"/>
      </w:pPr>
      <w:r w:rsidRPr="00F83012">
        <w:t xml:space="preserve">specific to the </w:t>
      </w:r>
      <w:r>
        <w:t>applicant</w:t>
      </w:r>
    </w:p>
    <w:p w:rsidR="00AE6C0D" w:rsidRDefault="00AE6C0D" w:rsidP="00DE026D">
      <w:pPr>
        <w:pStyle w:val="Bullets2ndindent"/>
        <w:numPr>
          <w:ilvl w:val="0"/>
          <w:numId w:val="28"/>
        </w:numPr>
        <w:spacing w:before="180" w:line="280" w:lineRule="auto"/>
      </w:pPr>
      <w:r w:rsidRPr="00F83012">
        <w:t xml:space="preserve">outside the parameters of events for which the </w:t>
      </w:r>
      <w:r>
        <w:t>applicant</w:t>
      </w:r>
      <w:r w:rsidRPr="00F83012">
        <w:t xml:space="preserve"> was responsible or had the capacity to adequately control</w:t>
      </w:r>
    </w:p>
    <w:p w:rsidR="00AE6C0D" w:rsidRDefault="00AE6C0D" w:rsidP="00DE026D">
      <w:pPr>
        <w:pStyle w:val="Bullets2ndindent"/>
        <w:numPr>
          <w:ilvl w:val="0"/>
          <w:numId w:val="28"/>
        </w:numPr>
        <w:spacing w:before="180" w:line="280" w:lineRule="auto"/>
      </w:pPr>
      <w:r w:rsidRPr="00F83012">
        <w:t>consistent with what could be considered to be the broad intention of the relevant legislation</w:t>
      </w:r>
      <w:r w:rsidR="00C3247A">
        <w:t>.</w:t>
      </w:r>
    </w:p>
    <w:p w:rsidR="00AE6C0D" w:rsidRPr="00CE2A06" w:rsidRDefault="00AE6C0D" w:rsidP="00DE026D">
      <w:pPr>
        <w:pStyle w:val="Numberedpara1stindent"/>
        <w:numPr>
          <w:ilvl w:val="0"/>
          <w:numId w:val="17"/>
        </w:numPr>
        <w:spacing w:before="180" w:after="60" w:line="280" w:lineRule="auto"/>
        <w:rPr>
          <w:rFonts w:asciiTheme="minorHAnsi" w:hAnsiTheme="minorHAnsi" w:cstheme="minorHAnsi"/>
        </w:rPr>
      </w:pPr>
      <w:r w:rsidRPr="00CE2A06">
        <w:rPr>
          <w:rFonts w:asciiTheme="minorHAnsi" w:hAnsiTheme="minorHAnsi" w:cstheme="minorHAnsi"/>
        </w:rPr>
        <w:t>the matter is not covered by legislation or specific policy, but the Commonwealth intends to introduce such legislation or policy, and it is considered desirable in a particular case to apply the benefits of the relevant policy prospectively.</w:t>
      </w:r>
    </w:p>
    <w:p w:rsidR="00995EDF" w:rsidRPr="00995EDF" w:rsidRDefault="00995EDF" w:rsidP="00995EDF">
      <w:pPr>
        <w:pStyle w:val="CommentText"/>
        <w:numPr>
          <w:ilvl w:val="0"/>
          <w:numId w:val="26"/>
        </w:numPr>
        <w:ind w:hanging="426"/>
        <w:rPr>
          <w:rFonts w:asciiTheme="minorHAnsi" w:eastAsiaTheme="minorHAnsi" w:hAnsiTheme="minorHAnsi" w:cstheme="minorBidi"/>
          <w:szCs w:val="22"/>
        </w:rPr>
      </w:pPr>
      <w:r w:rsidRPr="00995EDF">
        <w:rPr>
          <w:rFonts w:asciiTheme="minorHAnsi" w:eastAsiaTheme="minorHAnsi" w:hAnsiTheme="minorHAnsi" w:cstheme="minorBidi"/>
          <w:szCs w:val="22"/>
        </w:rPr>
        <w:t xml:space="preserve">The Commonwealth uses contracted providers for some services. The actions of contracted providers are not within the scope of the CDDA Scheme. Where a person alleges that the actions of a contracted provider may have caused financial detriment to them, the matter may be considered under the act of grace mechanism. </w:t>
      </w:r>
    </w:p>
    <w:p w:rsidR="002B2193" w:rsidRDefault="002B2193">
      <w:pPr>
        <w:suppressAutoHyphens w:val="0"/>
        <w:spacing w:before="0" w:after="120" w:line="440" w:lineRule="atLeast"/>
      </w:pPr>
      <w:r>
        <w:br w:type="page"/>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lastRenderedPageBreak/>
        <w:t>Act of grace payments may not be approved, for example, when:</w:t>
      </w:r>
    </w:p>
    <w:p w:rsidR="00AE6C0D" w:rsidRPr="00CE2A06" w:rsidRDefault="00AE6C0D" w:rsidP="00DE026D">
      <w:pPr>
        <w:pStyle w:val="Numberedpara1stindent"/>
        <w:numPr>
          <w:ilvl w:val="0"/>
          <w:numId w:val="18"/>
        </w:numPr>
        <w:spacing w:before="180" w:after="60" w:line="280" w:lineRule="auto"/>
        <w:rPr>
          <w:rFonts w:asciiTheme="minorHAnsi" w:hAnsiTheme="minorHAnsi" w:cstheme="minorHAnsi"/>
        </w:rPr>
      </w:pPr>
      <w:r w:rsidRPr="00CE2A06">
        <w:rPr>
          <w:rFonts w:asciiTheme="minorHAnsi" w:hAnsiTheme="minorHAnsi" w:cstheme="minorHAnsi"/>
        </w:rPr>
        <w:t>the proposed payments would have the effect of supplementing capped payments set by other specific legislation, in circumstances where that legislation expresses the clear intention that particular payment levels cannot be exceeded in any circumstances</w:t>
      </w:r>
    </w:p>
    <w:p w:rsidR="00AE6C0D" w:rsidRPr="00CE2A06" w:rsidRDefault="00AE6C0D" w:rsidP="00DE026D">
      <w:pPr>
        <w:pStyle w:val="Numberedpara1stindent"/>
        <w:numPr>
          <w:ilvl w:val="0"/>
          <w:numId w:val="18"/>
        </w:numPr>
        <w:spacing w:before="180" w:after="60" w:line="280" w:lineRule="auto"/>
        <w:rPr>
          <w:rFonts w:asciiTheme="minorHAnsi" w:hAnsiTheme="minorHAnsi" w:cstheme="minorHAnsi"/>
        </w:rPr>
      </w:pPr>
      <w:r w:rsidRPr="00CE2A06">
        <w:rPr>
          <w:rFonts w:asciiTheme="minorHAnsi" w:hAnsiTheme="minorHAnsi" w:cstheme="minorHAnsi"/>
        </w:rPr>
        <w:t>the proposed payments would have the effect of establishing a payment scheme to apply to a group of individuals, without considering the merits of their requests on an individual basis</w:t>
      </w:r>
      <w:r w:rsidR="00E43433">
        <w:rPr>
          <w:rFonts w:asciiTheme="minorHAnsi" w:hAnsiTheme="minorHAnsi" w:cstheme="minorHAnsi"/>
        </w:rPr>
        <w:t>.</w:t>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Payments under the act of grace mechanism must be made from money appropriated by the Parliament. Therefore, as a matter of practice, the act of grace mechanism is generally not available:</w:t>
      </w:r>
    </w:p>
    <w:p w:rsidR="00AE6C0D" w:rsidRPr="00CE2A06" w:rsidRDefault="00AE6C0D" w:rsidP="00DE026D">
      <w:pPr>
        <w:pStyle w:val="ListParagraph"/>
        <w:numPr>
          <w:ilvl w:val="0"/>
          <w:numId w:val="19"/>
        </w:numPr>
        <w:spacing w:before="180" w:after="60" w:line="280" w:lineRule="auto"/>
        <w:rPr>
          <w:rFonts w:asciiTheme="minorHAnsi" w:hAnsiTheme="minorHAnsi" w:cstheme="minorHAnsi"/>
        </w:rPr>
      </w:pPr>
      <w:r w:rsidRPr="00CE2A06">
        <w:rPr>
          <w:rFonts w:asciiTheme="minorHAnsi" w:hAnsiTheme="minorHAnsi" w:cstheme="minorHAnsi"/>
        </w:rPr>
        <w:t>when a request has arisen from private circumstances outside the sphere of Commonwealth administration, there has been no involvement of an agent or NCE of the Commonwealth and the matter is not related to the impact of any Commonwealth legislation</w:t>
      </w:r>
    </w:p>
    <w:p w:rsidR="00AE6C0D" w:rsidRPr="00CE2A06" w:rsidRDefault="00AE6C0D" w:rsidP="00DE026D">
      <w:pPr>
        <w:pStyle w:val="ListParagraph"/>
        <w:numPr>
          <w:ilvl w:val="0"/>
          <w:numId w:val="19"/>
        </w:numPr>
        <w:spacing w:before="180" w:after="60" w:line="280" w:lineRule="auto"/>
        <w:rPr>
          <w:rFonts w:asciiTheme="minorHAnsi" w:hAnsiTheme="minorHAnsi" w:cstheme="minorHAnsi"/>
        </w:rPr>
      </w:pPr>
      <w:r w:rsidRPr="00CE2A06">
        <w:rPr>
          <w:rFonts w:asciiTheme="minorHAnsi" w:hAnsiTheme="minorHAnsi" w:cstheme="minorHAnsi"/>
        </w:rPr>
        <w:t>in respect of a matter that relates solely to the involvement of corporate Commonwealth entities which have a separate legal identity to the Commonwealth</w:t>
      </w:r>
    </w:p>
    <w:p w:rsidR="00AE6C0D" w:rsidRPr="00CE2A06" w:rsidRDefault="00AE6C0D" w:rsidP="00DE026D">
      <w:pPr>
        <w:pStyle w:val="ListParagraph"/>
        <w:numPr>
          <w:ilvl w:val="0"/>
          <w:numId w:val="19"/>
        </w:numPr>
        <w:spacing w:before="180" w:after="60" w:line="280" w:lineRule="auto"/>
        <w:rPr>
          <w:rFonts w:asciiTheme="minorHAnsi" w:hAnsiTheme="minorHAnsi" w:cstheme="minorHAnsi"/>
        </w:rPr>
      </w:pPr>
      <w:r w:rsidRPr="00CE2A06">
        <w:rPr>
          <w:rFonts w:asciiTheme="minorHAnsi" w:hAnsiTheme="minorHAnsi" w:cstheme="minorHAnsi"/>
        </w:rPr>
        <w:t>to compensate a person or body for a debt owed to the Commonwealth</w:t>
      </w:r>
    </w:p>
    <w:p w:rsidR="00AE6C0D" w:rsidRPr="00CE2A06" w:rsidRDefault="00AE6C0D" w:rsidP="00DE026D">
      <w:pPr>
        <w:pStyle w:val="ListParagraph"/>
        <w:numPr>
          <w:ilvl w:val="0"/>
          <w:numId w:val="19"/>
        </w:numPr>
        <w:spacing w:before="180" w:after="60" w:line="280" w:lineRule="auto"/>
        <w:rPr>
          <w:rFonts w:asciiTheme="minorHAnsi" w:hAnsiTheme="minorHAnsi" w:cstheme="minorHAnsi"/>
        </w:rPr>
      </w:pPr>
      <w:r w:rsidRPr="00CE2A06">
        <w:rPr>
          <w:rFonts w:asciiTheme="minorHAnsi" w:hAnsiTheme="minorHAnsi" w:cstheme="minorHAnsi"/>
        </w:rPr>
        <w:t xml:space="preserve">to compensate a person for a loss arising from a judicial decision not involving the executive arm of the </w:t>
      </w:r>
      <w:r w:rsidR="004935A0">
        <w:rPr>
          <w:rFonts w:asciiTheme="minorHAnsi" w:hAnsiTheme="minorHAnsi" w:cstheme="minorHAnsi"/>
        </w:rPr>
        <w:t>G</w:t>
      </w:r>
      <w:r w:rsidRPr="00CE2A06">
        <w:rPr>
          <w:rFonts w:asciiTheme="minorHAnsi" w:hAnsiTheme="minorHAnsi" w:cstheme="minorHAnsi"/>
        </w:rPr>
        <w:t>overnment</w:t>
      </w:r>
      <w:r w:rsidR="00E43433">
        <w:rPr>
          <w:rFonts w:asciiTheme="minorHAnsi" w:hAnsiTheme="minorHAnsi" w:cstheme="minorHAnsi"/>
        </w:rPr>
        <w:t>.</w:t>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Act of grace requests are generally not approved in cases where an applicant’s sole assertion is that it is unfair that they have been historically ineligible to receive a benefit for which a person in a similar contemporary situation would now be eligible. They are also generally not approved in cases where a person was historically eligible for a payment but is now ineligible due to a change in the criteria. In many of these cases, the legislative changes simply reflect the evolving nature of Australian Government policy interpretation and analysis, including incremental legislative amendment.</w:t>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If an applicant is dissatisfied with the decision, it is open to them to:</w:t>
      </w:r>
    </w:p>
    <w:p w:rsidR="00AE6C0D" w:rsidRPr="00CE2A06" w:rsidRDefault="00AE6C0D" w:rsidP="00DE026D">
      <w:pPr>
        <w:pStyle w:val="ListParagraph"/>
        <w:numPr>
          <w:ilvl w:val="0"/>
          <w:numId w:val="20"/>
        </w:numPr>
        <w:spacing w:before="180" w:after="60" w:line="280" w:lineRule="auto"/>
        <w:rPr>
          <w:rFonts w:asciiTheme="minorHAnsi" w:hAnsiTheme="minorHAnsi" w:cstheme="minorHAnsi"/>
        </w:rPr>
      </w:pPr>
      <w:r w:rsidRPr="00CE2A06">
        <w:rPr>
          <w:rFonts w:asciiTheme="minorHAnsi" w:hAnsiTheme="minorHAnsi" w:cstheme="minorHAnsi"/>
        </w:rPr>
        <w:t>lodge a complaint with the Commonwealth Ombudsman</w:t>
      </w:r>
    </w:p>
    <w:p w:rsidR="004F7B6F" w:rsidRPr="00DF1A9F" w:rsidRDefault="00AE6C0D" w:rsidP="00DE026D">
      <w:pPr>
        <w:pStyle w:val="ListParagraph"/>
        <w:numPr>
          <w:ilvl w:val="0"/>
          <w:numId w:val="20"/>
        </w:numPr>
        <w:spacing w:before="180" w:after="60" w:line="280" w:lineRule="auto"/>
        <w:rPr>
          <w:rFonts w:asciiTheme="minorHAnsi" w:hAnsiTheme="minorHAnsi" w:cstheme="minorHAnsi"/>
        </w:rPr>
      </w:pPr>
      <w:r w:rsidRPr="00CE2A06">
        <w:rPr>
          <w:rFonts w:asciiTheme="minorHAnsi" w:hAnsiTheme="minorHAnsi" w:cstheme="minorHAnsi"/>
        </w:rPr>
        <w:t xml:space="preserve">seek judicial review of the decision under the </w:t>
      </w:r>
      <w:r w:rsidRPr="00CE2A06">
        <w:rPr>
          <w:rFonts w:asciiTheme="minorHAnsi" w:hAnsiTheme="minorHAnsi" w:cstheme="minorHAnsi"/>
          <w:i/>
        </w:rPr>
        <w:t xml:space="preserve">Administrative Decisions </w:t>
      </w:r>
      <w:r w:rsidR="00D85F5F">
        <w:rPr>
          <w:rFonts w:asciiTheme="minorHAnsi" w:hAnsiTheme="minorHAnsi" w:cstheme="minorHAnsi"/>
          <w:i/>
        </w:rPr>
        <w:br/>
      </w:r>
      <w:r w:rsidRPr="00CE2A06">
        <w:rPr>
          <w:rFonts w:asciiTheme="minorHAnsi" w:hAnsiTheme="minorHAnsi" w:cstheme="minorHAnsi"/>
          <w:i/>
        </w:rPr>
        <w:t>(Judicial Review) Act 1977</w:t>
      </w:r>
    </w:p>
    <w:p w:rsidR="00AE6C0D" w:rsidRPr="00DF1A9F" w:rsidRDefault="004F7B6F">
      <w:pPr>
        <w:pStyle w:val="ListParagraph"/>
        <w:numPr>
          <w:ilvl w:val="0"/>
          <w:numId w:val="20"/>
        </w:numPr>
        <w:spacing w:before="180" w:after="60" w:line="280" w:lineRule="auto"/>
        <w:rPr>
          <w:rFonts w:asciiTheme="minorHAnsi" w:hAnsiTheme="minorHAnsi" w:cstheme="minorHAnsi"/>
        </w:rPr>
      </w:pPr>
      <w:r w:rsidRPr="00CE2A06">
        <w:rPr>
          <w:rFonts w:asciiTheme="minorHAnsi" w:hAnsiTheme="minorHAnsi" w:cstheme="minorHAnsi"/>
        </w:rPr>
        <w:t>request reconsideration of the decision</w:t>
      </w:r>
      <w:r>
        <w:rPr>
          <w:rFonts w:asciiTheme="minorHAnsi" w:hAnsiTheme="minorHAnsi" w:cstheme="minorHAnsi"/>
        </w:rPr>
        <w:t xml:space="preserve"> if relevant new information or a serious factual error is identified</w:t>
      </w:r>
      <w:r w:rsidR="00AE6C0D" w:rsidRPr="00DF1A9F">
        <w:rPr>
          <w:rFonts w:asciiTheme="minorHAnsi" w:hAnsiTheme="minorHAnsi" w:cstheme="minorHAnsi"/>
        </w:rPr>
        <w:t>.</w:t>
      </w:r>
    </w:p>
    <w:p w:rsidR="00AE6C0D" w:rsidRPr="006A66B7" w:rsidRDefault="00AE6C0D" w:rsidP="00DF1A9F">
      <w:pPr>
        <w:pStyle w:val="Heading3"/>
      </w:pPr>
      <w:bookmarkStart w:id="48" w:name="_Toc470177730"/>
      <w:r w:rsidRPr="00DF1A9F">
        <w:t>The role of Finance</w:t>
      </w:r>
      <w:bookmarkEnd w:id="48"/>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 xml:space="preserve">Discretionary Payments </w:t>
      </w:r>
      <w:r w:rsidR="00153755">
        <w:rPr>
          <w:rFonts w:asciiTheme="minorHAnsi" w:eastAsiaTheme="minorHAnsi" w:hAnsiTheme="minorHAnsi" w:cstheme="minorBidi"/>
        </w:rPr>
        <w:t>within</w:t>
      </w:r>
      <w:r w:rsidRPr="00DE026D">
        <w:rPr>
          <w:rFonts w:asciiTheme="minorHAnsi" w:eastAsiaTheme="minorHAnsi" w:hAnsiTheme="minorHAnsi" w:cstheme="minorBidi"/>
        </w:rPr>
        <w:t xml:space="preserve"> Finance provides support to decision-makers under the act of grace mechanism. </w:t>
      </w:r>
    </w:p>
    <w:p w:rsidR="002B2193" w:rsidRDefault="002B2193">
      <w:pPr>
        <w:suppressAutoHyphens w:val="0"/>
        <w:spacing w:before="0" w:after="120" w:line="440" w:lineRule="atLeast"/>
      </w:pPr>
      <w:r>
        <w:br w:type="page"/>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lastRenderedPageBreak/>
        <w:t>Finance liaises with the applicant and the relevant NCE</w:t>
      </w:r>
      <w:r w:rsidR="004935A0">
        <w:rPr>
          <w:rFonts w:asciiTheme="minorHAnsi" w:eastAsiaTheme="minorHAnsi" w:hAnsiTheme="minorHAnsi" w:cstheme="minorBidi"/>
        </w:rPr>
        <w:t>s</w:t>
      </w:r>
      <w:r w:rsidRPr="00DE026D">
        <w:rPr>
          <w:rFonts w:asciiTheme="minorHAnsi" w:eastAsiaTheme="minorHAnsi" w:hAnsiTheme="minorHAnsi" w:cstheme="minorBidi"/>
        </w:rPr>
        <w:t>, where appropriate. Where Finance receive</w:t>
      </w:r>
      <w:r w:rsidR="00D85F5F">
        <w:rPr>
          <w:rFonts w:asciiTheme="minorHAnsi" w:eastAsiaTheme="minorHAnsi" w:hAnsiTheme="minorHAnsi" w:cstheme="minorBidi"/>
        </w:rPr>
        <w:t>s</w:t>
      </w:r>
      <w:r w:rsidRPr="00DE026D">
        <w:rPr>
          <w:rFonts w:asciiTheme="minorHAnsi" w:eastAsiaTheme="minorHAnsi" w:hAnsiTheme="minorHAnsi" w:cstheme="minorBidi"/>
        </w:rPr>
        <w:t xml:space="preserve"> an application direct</w:t>
      </w:r>
      <w:r w:rsidR="00E43433">
        <w:rPr>
          <w:rFonts w:asciiTheme="minorHAnsi" w:eastAsiaTheme="minorHAnsi" w:hAnsiTheme="minorHAnsi" w:cstheme="minorBidi"/>
        </w:rPr>
        <w:t>ly from a member of the public,</w:t>
      </w:r>
      <w:r w:rsidR="004F7B6F">
        <w:rPr>
          <w:rFonts w:asciiTheme="minorHAnsi" w:eastAsiaTheme="minorHAnsi" w:hAnsiTheme="minorHAnsi" w:cstheme="minorBidi"/>
        </w:rPr>
        <w:t xml:space="preserve"> </w:t>
      </w:r>
      <w:r w:rsidR="00E43433">
        <w:rPr>
          <w:rFonts w:asciiTheme="minorHAnsi" w:eastAsiaTheme="minorHAnsi" w:hAnsiTheme="minorHAnsi" w:cstheme="minorBidi"/>
        </w:rPr>
        <w:t xml:space="preserve">a company or other organisation, </w:t>
      </w:r>
      <w:r w:rsidRPr="00DE026D">
        <w:rPr>
          <w:rFonts w:asciiTheme="minorHAnsi" w:eastAsiaTheme="minorHAnsi" w:hAnsiTheme="minorHAnsi" w:cstheme="minorBidi"/>
        </w:rPr>
        <w:t xml:space="preserve">Finance </w:t>
      </w:r>
      <w:r w:rsidR="00881434">
        <w:rPr>
          <w:rFonts w:asciiTheme="minorHAnsi" w:eastAsiaTheme="minorHAnsi" w:hAnsiTheme="minorHAnsi" w:cstheme="minorBidi"/>
        </w:rPr>
        <w:t>usually seeks</w:t>
      </w:r>
      <w:r w:rsidRPr="00DE026D">
        <w:rPr>
          <w:rFonts w:asciiTheme="minorHAnsi" w:eastAsiaTheme="minorHAnsi" w:hAnsiTheme="minorHAnsi" w:cstheme="minorBidi"/>
        </w:rPr>
        <w:t xml:space="preserve"> further information from the NCE responsible for the matter.</w:t>
      </w:r>
      <w:r w:rsidR="00A128EB">
        <w:rPr>
          <w:rFonts w:asciiTheme="minorHAnsi" w:eastAsiaTheme="minorHAnsi" w:hAnsiTheme="minorHAnsi" w:cstheme="minorBidi"/>
        </w:rPr>
        <w:t xml:space="preserve">  </w:t>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 xml:space="preserve">To assist potential claimants, application forms and fact sheets are available at </w:t>
      </w:r>
      <w:hyperlink r:id="rId15" w:history="1">
        <w:r w:rsidRPr="002B2522">
          <w:rPr>
            <w:rFonts w:asciiTheme="majorHAnsi" w:eastAsiaTheme="minorHAnsi" w:hAnsiTheme="majorHAnsi" w:cstheme="majorHAnsi"/>
            <w:i/>
          </w:rPr>
          <w:t>http://www.finance.gov.au/resource-management/discretionary-financial-assistance/act-of-grace-mechanism</w:t>
        </w:r>
      </w:hyperlink>
      <w:r w:rsidRPr="002B2522">
        <w:rPr>
          <w:rFonts w:asciiTheme="majorHAnsi" w:eastAsiaTheme="minorHAnsi" w:hAnsiTheme="majorHAnsi" w:cstheme="majorHAnsi"/>
        </w:rPr>
        <w:t xml:space="preserve">. </w:t>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Finance will advise the relevant NCE</w:t>
      </w:r>
      <w:r w:rsidR="00045ED0">
        <w:rPr>
          <w:rFonts w:asciiTheme="minorHAnsi" w:eastAsiaTheme="minorHAnsi" w:hAnsiTheme="minorHAnsi" w:cstheme="minorBidi"/>
        </w:rPr>
        <w:t>s</w:t>
      </w:r>
      <w:r w:rsidRPr="00DE026D">
        <w:rPr>
          <w:rFonts w:asciiTheme="minorHAnsi" w:eastAsiaTheme="minorHAnsi" w:hAnsiTheme="minorHAnsi" w:cstheme="minorBidi"/>
        </w:rPr>
        <w:t xml:space="preserve"> once a decision is made. </w:t>
      </w:r>
    </w:p>
    <w:p w:rsidR="00AE6C0D" w:rsidRPr="00DF1A9F" w:rsidRDefault="00CE2A06" w:rsidP="00DF1A9F">
      <w:pPr>
        <w:pStyle w:val="Heading3"/>
        <w:rPr>
          <w:bCs w:val="0"/>
        </w:rPr>
      </w:pPr>
      <w:bookmarkStart w:id="49" w:name="_Toc470177731"/>
      <w:r w:rsidRPr="00DF1A9F">
        <w:t>T</w:t>
      </w:r>
      <w:r w:rsidR="00AE6C0D" w:rsidRPr="00DF1A9F">
        <w:t>he role of NCEs</w:t>
      </w:r>
      <w:bookmarkEnd w:id="49"/>
    </w:p>
    <w:p w:rsidR="00AE6C0D" w:rsidRPr="006A66B7" w:rsidRDefault="00AE6C0D" w:rsidP="00DF1A9F">
      <w:pPr>
        <w:pStyle w:val="Heading4"/>
      </w:pPr>
      <w:r w:rsidRPr="006A66B7">
        <w:t>Providing advice</w:t>
      </w:r>
    </w:p>
    <w:p w:rsidR="00AE6C0D" w:rsidRPr="00DE026D" w:rsidRDefault="00427254" w:rsidP="00DE026D">
      <w:pPr>
        <w:pStyle w:val="ListParagraph"/>
        <w:numPr>
          <w:ilvl w:val="0"/>
          <w:numId w:val="26"/>
        </w:numPr>
        <w:spacing w:before="180" w:after="60" w:line="280" w:lineRule="auto"/>
        <w:ind w:hanging="426"/>
        <w:rPr>
          <w:rFonts w:asciiTheme="minorHAnsi" w:eastAsiaTheme="minorHAnsi" w:hAnsiTheme="minorHAnsi" w:cstheme="minorBidi"/>
        </w:rPr>
      </w:pPr>
      <w:r>
        <w:rPr>
          <w:rFonts w:asciiTheme="minorHAnsi" w:eastAsiaTheme="minorHAnsi" w:hAnsiTheme="minorHAnsi" w:cstheme="minorBidi"/>
        </w:rPr>
        <w:t>N</w:t>
      </w:r>
      <w:r w:rsidR="00AE6C0D" w:rsidRPr="00DE026D">
        <w:rPr>
          <w:rFonts w:asciiTheme="minorHAnsi" w:eastAsiaTheme="minorHAnsi" w:hAnsiTheme="minorHAnsi" w:cstheme="minorBidi"/>
        </w:rPr>
        <w:t xml:space="preserve">CEs are encouraged to address the following in their submissions </w:t>
      </w:r>
      <w:r>
        <w:rPr>
          <w:rFonts w:asciiTheme="minorHAnsi" w:eastAsiaTheme="minorHAnsi" w:hAnsiTheme="minorHAnsi" w:cstheme="minorBidi"/>
        </w:rPr>
        <w:t>to Finance regarding</w:t>
      </w:r>
      <w:r w:rsidR="00AE6C0D" w:rsidRPr="00DE026D">
        <w:rPr>
          <w:rFonts w:asciiTheme="minorHAnsi" w:eastAsiaTheme="minorHAnsi" w:hAnsiTheme="minorHAnsi" w:cstheme="minorBidi"/>
        </w:rPr>
        <w:t xml:space="preserve"> act of grace requests: </w:t>
      </w:r>
    </w:p>
    <w:p w:rsidR="00AE6C0D" w:rsidRPr="00CE2A06" w:rsidRDefault="00AE6C0D" w:rsidP="00DE026D">
      <w:pPr>
        <w:pStyle w:val="ListParagraph"/>
        <w:numPr>
          <w:ilvl w:val="0"/>
          <w:numId w:val="21"/>
        </w:numPr>
        <w:spacing w:before="180" w:after="60" w:line="280" w:lineRule="auto"/>
        <w:rPr>
          <w:rFonts w:asciiTheme="minorHAnsi" w:hAnsiTheme="minorHAnsi" w:cstheme="minorHAnsi"/>
        </w:rPr>
      </w:pPr>
      <w:r w:rsidRPr="00CE2A06">
        <w:rPr>
          <w:rFonts w:asciiTheme="minorHAnsi" w:hAnsiTheme="minorHAnsi" w:cstheme="minorHAnsi"/>
        </w:rPr>
        <w:t xml:space="preserve">whether there is an alternative avenue of redress that could be pursued, and whether that avenue is viable in the </w:t>
      </w:r>
      <w:r w:rsidRPr="00DF1A9F">
        <w:rPr>
          <w:rFonts w:asciiTheme="minorHAnsi" w:hAnsiTheme="minorHAnsi" w:cstheme="minorHAnsi"/>
          <w:color w:val="000000" w:themeColor="text1"/>
        </w:rPr>
        <w:t>applicant’s</w:t>
      </w:r>
      <w:r w:rsidRPr="00CE2A06">
        <w:rPr>
          <w:rFonts w:asciiTheme="minorHAnsi" w:hAnsiTheme="minorHAnsi" w:cstheme="minorHAnsi"/>
        </w:rPr>
        <w:t xml:space="preserve"> circumstances (such as a statutory review mechanism) </w:t>
      </w:r>
    </w:p>
    <w:p w:rsidR="00AE6C0D" w:rsidRPr="00CE2A06" w:rsidRDefault="00AE6C0D" w:rsidP="00DE026D">
      <w:pPr>
        <w:pStyle w:val="ListParagraph"/>
        <w:numPr>
          <w:ilvl w:val="0"/>
          <w:numId w:val="21"/>
        </w:numPr>
        <w:spacing w:before="180" w:after="60" w:line="280" w:lineRule="auto"/>
        <w:rPr>
          <w:rFonts w:asciiTheme="minorHAnsi" w:hAnsiTheme="minorHAnsi" w:cstheme="minorHAnsi"/>
        </w:rPr>
      </w:pPr>
      <w:r w:rsidRPr="00CE2A06">
        <w:rPr>
          <w:rFonts w:asciiTheme="minorHAnsi" w:hAnsiTheme="minorHAnsi" w:cstheme="minorHAnsi"/>
        </w:rPr>
        <w:t xml:space="preserve">the relevant sections of legislation and details of the applicant’s circumstances in relation to that legislation </w:t>
      </w:r>
    </w:p>
    <w:p w:rsidR="00AE6C0D" w:rsidRPr="00CE2A06" w:rsidRDefault="00AE6C0D" w:rsidP="00DE026D">
      <w:pPr>
        <w:pStyle w:val="ListParagraph"/>
        <w:numPr>
          <w:ilvl w:val="0"/>
          <w:numId w:val="21"/>
        </w:numPr>
        <w:spacing w:before="180" w:after="60" w:line="280" w:lineRule="auto"/>
        <w:rPr>
          <w:rFonts w:asciiTheme="minorHAnsi" w:hAnsiTheme="minorHAnsi" w:cstheme="minorHAnsi"/>
        </w:rPr>
      </w:pPr>
      <w:r w:rsidRPr="00CE2A06">
        <w:rPr>
          <w:rFonts w:asciiTheme="minorHAnsi" w:hAnsiTheme="minorHAnsi" w:cstheme="minorHAnsi"/>
        </w:rPr>
        <w:t xml:space="preserve">specific details of the actions of an NCE, if any, that may have directly contributed to the applicant’s situation </w:t>
      </w:r>
    </w:p>
    <w:p w:rsidR="00AE6C0D" w:rsidRPr="00CE2A06" w:rsidRDefault="00AE6C0D" w:rsidP="00DE026D">
      <w:pPr>
        <w:pStyle w:val="ListParagraph"/>
        <w:numPr>
          <w:ilvl w:val="0"/>
          <w:numId w:val="21"/>
        </w:numPr>
        <w:spacing w:before="180" w:after="60" w:line="280" w:lineRule="auto"/>
        <w:rPr>
          <w:rFonts w:asciiTheme="minorHAnsi" w:hAnsiTheme="minorHAnsi" w:cstheme="minorHAnsi"/>
        </w:rPr>
      </w:pPr>
      <w:r w:rsidRPr="00CE2A06">
        <w:rPr>
          <w:rFonts w:asciiTheme="minorHAnsi" w:hAnsiTheme="minorHAnsi" w:cstheme="minorHAnsi"/>
        </w:rPr>
        <w:t xml:space="preserve">any history or background to the case, including any consideration of the case under the CDDA Scheme, decisions of any tribunals or other review bodies, or other claims arising from the same circumstances </w:t>
      </w:r>
    </w:p>
    <w:p w:rsidR="00AE6C0D" w:rsidRPr="00CE2A06" w:rsidRDefault="00AE6C0D" w:rsidP="00DE026D">
      <w:pPr>
        <w:pStyle w:val="ListParagraph"/>
        <w:numPr>
          <w:ilvl w:val="0"/>
          <w:numId w:val="21"/>
        </w:numPr>
        <w:spacing w:before="180" w:after="60" w:line="280" w:lineRule="auto"/>
        <w:rPr>
          <w:rFonts w:asciiTheme="minorHAnsi" w:hAnsiTheme="minorHAnsi" w:cstheme="minorHAnsi"/>
        </w:rPr>
      </w:pPr>
      <w:r w:rsidRPr="00CE2A06">
        <w:rPr>
          <w:rFonts w:asciiTheme="minorHAnsi" w:hAnsiTheme="minorHAnsi" w:cstheme="minorHAnsi"/>
        </w:rPr>
        <w:t xml:space="preserve">if there is a perceived anomaly in the law or policy, an estimate of the likely number of people affected and the likely number of applications </w:t>
      </w:r>
    </w:p>
    <w:p w:rsidR="00AE6C0D" w:rsidRPr="00CE2A06" w:rsidRDefault="00AE6C0D" w:rsidP="00DE026D">
      <w:pPr>
        <w:pStyle w:val="ListParagraph"/>
        <w:numPr>
          <w:ilvl w:val="0"/>
          <w:numId w:val="21"/>
        </w:numPr>
        <w:spacing w:before="180" w:after="60" w:line="280" w:lineRule="auto"/>
        <w:rPr>
          <w:rFonts w:asciiTheme="minorHAnsi" w:hAnsiTheme="minorHAnsi" w:cstheme="minorHAnsi"/>
        </w:rPr>
      </w:pPr>
      <w:r w:rsidRPr="00CE2A06">
        <w:rPr>
          <w:rFonts w:asciiTheme="minorHAnsi" w:hAnsiTheme="minorHAnsi" w:cstheme="minorHAnsi"/>
        </w:rPr>
        <w:t xml:space="preserve">whether or not the NCE supports the act of grace request and reasons. Finance may seek the NCE’s opinion in this regard as the policy owner and </w:t>
      </w:r>
      <w:r w:rsidR="00E8142A">
        <w:rPr>
          <w:rFonts w:asciiTheme="minorHAnsi" w:hAnsiTheme="minorHAnsi" w:cstheme="minorHAnsi"/>
        </w:rPr>
        <w:t>recognising the</w:t>
      </w:r>
      <w:r w:rsidRPr="00CE2A06">
        <w:rPr>
          <w:rFonts w:asciiTheme="minorHAnsi" w:hAnsiTheme="minorHAnsi" w:cstheme="minorHAnsi"/>
        </w:rPr>
        <w:t xml:space="preserve"> NCE’s policy expertise </w:t>
      </w:r>
    </w:p>
    <w:p w:rsidR="00AE6C0D" w:rsidRPr="00CE2A06" w:rsidRDefault="00AE6C0D" w:rsidP="00DE026D">
      <w:pPr>
        <w:pStyle w:val="ListParagraph"/>
        <w:numPr>
          <w:ilvl w:val="0"/>
          <w:numId w:val="21"/>
        </w:numPr>
        <w:spacing w:before="180" w:after="60" w:line="280" w:lineRule="auto"/>
        <w:rPr>
          <w:rFonts w:asciiTheme="minorHAnsi" w:hAnsiTheme="minorHAnsi" w:cstheme="minorHAnsi"/>
        </w:rPr>
      </w:pPr>
      <w:r w:rsidRPr="00CE2A06">
        <w:rPr>
          <w:rFonts w:asciiTheme="minorHAnsi" w:hAnsiTheme="minorHAnsi" w:cstheme="minorHAnsi"/>
        </w:rPr>
        <w:t xml:space="preserve">whether any other NCE may be able to provide additional relevant advice on the policy or legislation related to the matter </w:t>
      </w:r>
    </w:p>
    <w:p w:rsidR="00AE6C0D" w:rsidRPr="00CE2A06" w:rsidRDefault="00AE6C0D" w:rsidP="00DE026D">
      <w:pPr>
        <w:pStyle w:val="ListParagraph"/>
        <w:numPr>
          <w:ilvl w:val="0"/>
          <w:numId w:val="21"/>
        </w:numPr>
        <w:spacing w:before="180" w:after="60" w:line="280" w:lineRule="auto"/>
        <w:rPr>
          <w:rFonts w:asciiTheme="minorHAnsi" w:hAnsiTheme="minorHAnsi" w:cstheme="minorHAnsi"/>
        </w:rPr>
      </w:pPr>
      <w:r w:rsidRPr="00CE2A06">
        <w:rPr>
          <w:rFonts w:asciiTheme="minorHAnsi" w:hAnsiTheme="minorHAnsi" w:cstheme="minorHAnsi"/>
        </w:rPr>
        <w:t xml:space="preserve">any other information that may be relevant to the decision-maker in determining whether special circumstances exist. </w:t>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If an NCE receives a request from an applicant direct, or decides to initiate a request on an individual’s behalf, the NCE must prepare a submission and then forward it to Finance, along with any other relevant documents</w:t>
      </w:r>
      <w:r w:rsidR="002F4630">
        <w:rPr>
          <w:rFonts w:asciiTheme="minorHAnsi" w:eastAsiaTheme="minorHAnsi" w:hAnsiTheme="minorHAnsi" w:cstheme="minorBidi"/>
        </w:rPr>
        <w:t>, within four weeks</w:t>
      </w:r>
      <w:r w:rsidRPr="00DE026D">
        <w:rPr>
          <w:rFonts w:asciiTheme="minorHAnsi" w:eastAsiaTheme="minorHAnsi" w:hAnsiTheme="minorHAnsi" w:cstheme="minorBidi"/>
        </w:rPr>
        <w:t>.</w:t>
      </w:r>
      <w:r w:rsidR="00E3238F">
        <w:rPr>
          <w:rFonts w:asciiTheme="minorHAnsi" w:eastAsiaTheme="minorHAnsi" w:hAnsiTheme="minorHAnsi" w:cstheme="minorBidi"/>
        </w:rPr>
        <w:t xml:space="preserve"> If a response cannot be provided within four weeks, the NCE must advise Finance of the reasons for the delay and seek an extension accordingly. </w:t>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 xml:space="preserve">Before a decision is made, the </w:t>
      </w:r>
      <w:r w:rsidR="00E8142A">
        <w:rPr>
          <w:rFonts w:asciiTheme="minorHAnsi" w:eastAsiaTheme="minorHAnsi" w:hAnsiTheme="minorHAnsi" w:cstheme="minorBidi"/>
        </w:rPr>
        <w:t>applicant</w:t>
      </w:r>
      <w:r w:rsidR="00E8142A" w:rsidRPr="00DE026D">
        <w:rPr>
          <w:rFonts w:asciiTheme="minorHAnsi" w:eastAsiaTheme="minorHAnsi" w:hAnsiTheme="minorHAnsi" w:cstheme="minorBidi"/>
        </w:rPr>
        <w:t xml:space="preserve"> </w:t>
      </w:r>
      <w:r w:rsidRPr="00DE026D">
        <w:rPr>
          <w:rFonts w:asciiTheme="minorHAnsi" w:eastAsiaTheme="minorHAnsi" w:hAnsiTheme="minorHAnsi" w:cstheme="minorBidi"/>
        </w:rPr>
        <w:t xml:space="preserve">is given an opportunity to comment on the NCE submission. </w:t>
      </w:r>
      <w:r w:rsidR="00480888">
        <w:rPr>
          <w:rFonts w:asciiTheme="minorHAnsi" w:eastAsiaTheme="minorHAnsi" w:hAnsiTheme="minorHAnsi" w:cstheme="minorBidi"/>
        </w:rPr>
        <w:t xml:space="preserve">For </w:t>
      </w:r>
      <w:r w:rsidR="00E8142A">
        <w:rPr>
          <w:rFonts w:asciiTheme="minorHAnsi" w:eastAsiaTheme="minorHAnsi" w:hAnsiTheme="minorHAnsi" w:cstheme="minorBidi"/>
        </w:rPr>
        <w:t xml:space="preserve">procedural fairness, </w:t>
      </w:r>
      <w:r w:rsidRPr="00DE026D">
        <w:rPr>
          <w:rFonts w:asciiTheme="minorHAnsi" w:eastAsiaTheme="minorHAnsi" w:hAnsiTheme="minorHAnsi" w:cstheme="minorBidi"/>
        </w:rPr>
        <w:t xml:space="preserve">NCEs are </w:t>
      </w:r>
      <w:r w:rsidR="00E8142A">
        <w:rPr>
          <w:rFonts w:asciiTheme="minorHAnsi" w:eastAsiaTheme="minorHAnsi" w:hAnsiTheme="minorHAnsi" w:cstheme="minorBidi"/>
        </w:rPr>
        <w:t>required</w:t>
      </w:r>
      <w:r w:rsidR="00E8142A" w:rsidRPr="00DE026D">
        <w:rPr>
          <w:rFonts w:asciiTheme="minorHAnsi" w:eastAsiaTheme="minorHAnsi" w:hAnsiTheme="minorHAnsi" w:cstheme="minorBidi"/>
        </w:rPr>
        <w:t xml:space="preserve"> </w:t>
      </w:r>
      <w:r w:rsidRPr="00DE026D">
        <w:rPr>
          <w:rFonts w:asciiTheme="minorHAnsi" w:eastAsiaTheme="minorHAnsi" w:hAnsiTheme="minorHAnsi" w:cstheme="minorBidi"/>
        </w:rPr>
        <w:t xml:space="preserve">to provide a complete copy of the submission to the applicant at the same time it is sent to Finance and ask the applicant to respond to Finance within </w:t>
      </w:r>
      <w:r w:rsidR="005E4B76">
        <w:rPr>
          <w:rFonts w:asciiTheme="minorHAnsi" w:eastAsiaTheme="minorHAnsi" w:hAnsiTheme="minorHAnsi" w:cstheme="minorBidi"/>
        </w:rPr>
        <w:t>four</w:t>
      </w:r>
      <w:r w:rsidRPr="00DE026D">
        <w:rPr>
          <w:rFonts w:asciiTheme="minorHAnsi" w:eastAsiaTheme="minorHAnsi" w:hAnsiTheme="minorHAnsi" w:cstheme="minorBidi"/>
        </w:rPr>
        <w:t xml:space="preserve"> weeks. Finance can provide examples of covering letters. </w:t>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lastRenderedPageBreak/>
        <w:t xml:space="preserve">If a payment of more than $500,000 is proposed, section 24 of the PGPA Rule requires the Finance Minister to first consider the report of an advisory committee. The advisory committee </w:t>
      </w:r>
      <w:r w:rsidR="00942DAB">
        <w:rPr>
          <w:rFonts w:asciiTheme="minorHAnsi" w:eastAsiaTheme="minorHAnsi" w:hAnsiTheme="minorHAnsi" w:cstheme="minorBidi"/>
        </w:rPr>
        <w:t xml:space="preserve">must consist of: </w:t>
      </w:r>
      <w:r w:rsidRPr="00DE026D">
        <w:rPr>
          <w:rFonts w:asciiTheme="minorHAnsi" w:eastAsiaTheme="minorHAnsi" w:hAnsiTheme="minorHAnsi" w:cstheme="minorBidi"/>
        </w:rPr>
        <w:t xml:space="preserve">the Secretary of the </w:t>
      </w:r>
      <w:r w:rsidR="00942DAB">
        <w:rPr>
          <w:rFonts w:asciiTheme="minorHAnsi" w:eastAsiaTheme="minorHAnsi" w:hAnsiTheme="minorHAnsi" w:cstheme="minorBidi"/>
        </w:rPr>
        <w:t xml:space="preserve">Department </w:t>
      </w:r>
      <w:r w:rsidR="00942DAB" w:rsidRPr="00DF1A9F">
        <w:rPr>
          <w:rFonts w:asciiTheme="minorHAnsi" w:eastAsiaTheme="minorHAnsi" w:hAnsiTheme="minorHAnsi" w:cstheme="minorBidi"/>
        </w:rPr>
        <w:t xml:space="preserve">responsible for administering the </w:t>
      </w:r>
      <w:r w:rsidR="00942DAB" w:rsidRPr="00E043C5">
        <w:rPr>
          <w:rFonts w:asciiTheme="minorHAnsi" w:eastAsiaTheme="minorHAnsi" w:hAnsiTheme="minorHAnsi" w:cstheme="minorBidi"/>
          <w:i/>
        </w:rPr>
        <w:t>Infrastructure Australia Act 2008</w:t>
      </w:r>
      <w:r w:rsidR="00942DAB" w:rsidRPr="00DF1A9F">
        <w:rPr>
          <w:rFonts w:asciiTheme="minorHAnsi" w:eastAsiaTheme="minorHAnsi" w:hAnsiTheme="minorHAnsi" w:cstheme="minorBidi"/>
        </w:rPr>
        <w:t>; the Finance Secretary</w:t>
      </w:r>
      <w:r w:rsidR="00942DAB">
        <w:rPr>
          <w:rFonts w:asciiTheme="minorHAnsi" w:eastAsiaTheme="minorHAnsi" w:hAnsiTheme="minorHAnsi" w:cstheme="minorBidi"/>
          <w:i/>
          <w:iCs/>
        </w:rPr>
        <w:t xml:space="preserve">, </w:t>
      </w:r>
      <w:r w:rsidRPr="00DE026D">
        <w:rPr>
          <w:rFonts w:asciiTheme="minorHAnsi" w:eastAsiaTheme="minorHAnsi" w:hAnsiTheme="minorHAnsi" w:cstheme="minorBidi"/>
        </w:rPr>
        <w:t>and the accountable authority of the NCE responsible for the matter. Finance will liaise with the relevant NCE on matters that require an advisory committee report.</w:t>
      </w:r>
    </w:p>
    <w:p w:rsidR="00377FEA" w:rsidRPr="00DF1A9F" w:rsidRDefault="00AE6C0D" w:rsidP="00DF1A9F">
      <w:pPr>
        <w:pStyle w:val="Heading4"/>
        <w:rPr>
          <w:bCs w:val="0"/>
          <w:iCs w:val="0"/>
        </w:rPr>
      </w:pPr>
      <w:r w:rsidRPr="00DF1A9F">
        <w:t xml:space="preserve">Funding </w:t>
      </w:r>
      <w:r w:rsidR="00480888">
        <w:t>and reporting</w:t>
      </w:r>
      <w:r w:rsidRPr="00DF1A9F">
        <w:t xml:space="preserve"> </w:t>
      </w:r>
    </w:p>
    <w:p w:rsidR="00480888"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While act of grace payments can only be authorised by the Finance Minister, or a delegate within Finance, the actual payments are funded under an appropriation of the relevant NCE.</w:t>
      </w:r>
      <w:r w:rsidR="004F7B6F">
        <w:rPr>
          <w:rFonts w:asciiTheme="minorHAnsi" w:eastAsiaTheme="minorHAnsi" w:hAnsiTheme="minorHAnsi" w:cstheme="minorBidi"/>
        </w:rPr>
        <w:t xml:space="preserve"> </w:t>
      </w:r>
      <w:r w:rsidR="00992F27" w:rsidRPr="00992F27">
        <w:rPr>
          <w:rFonts w:asciiTheme="minorHAnsi" w:eastAsiaTheme="minorHAnsi" w:hAnsiTheme="minorHAnsi" w:cstheme="minorBidi"/>
        </w:rPr>
        <w:t>Generally,</w:t>
      </w:r>
      <w:r w:rsidR="004F7B6F" w:rsidRPr="00DF1A9F">
        <w:rPr>
          <w:rFonts w:asciiTheme="minorHAnsi" w:eastAsiaTheme="minorHAnsi" w:hAnsiTheme="minorHAnsi" w:cstheme="minorBidi"/>
        </w:rPr>
        <w:t xml:space="preserve"> payments should be made out of departmental appropriations.</w:t>
      </w:r>
    </w:p>
    <w:p w:rsidR="00AE6C0D" w:rsidRPr="00480888" w:rsidRDefault="00AE6C0D" w:rsidP="00DF1A9F">
      <w:pPr>
        <w:spacing w:line="280" w:lineRule="auto"/>
        <w:ind w:left="-142"/>
      </w:pPr>
    </w:p>
    <w:p w:rsidR="00396E11" w:rsidRPr="00052714" w:rsidRDefault="00C043BD" w:rsidP="00F67B40">
      <w:pPr>
        <w:pStyle w:val="Heading1"/>
        <w:shd w:val="clear" w:color="auto" w:fill="BDDCDF" w:themeFill="accent1"/>
        <w:spacing w:before="180" w:after="60" w:line="280" w:lineRule="auto"/>
      </w:pPr>
      <w:bookmarkStart w:id="50" w:name="_Toc462156026"/>
      <w:bookmarkStart w:id="51" w:name="_Toc462158398"/>
      <w:bookmarkStart w:id="52" w:name="_Toc462158453"/>
      <w:bookmarkStart w:id="53" w:name="_Toc462158506"/>
      <w:bookmarkStart w:id="54" w:name="_Toc462158576"/>
      <w:bookmarkStart w:id="55" w:name="_Toc462158696"/>
      <w:bookmarkStart w:id="56" w:name="_Toc470177732"/>
      <w:bookmarkEnd w:id="39"/>
      <w:bookmarkEnd w:id="40"/>
      <w:bookmarkEnd w:id="41"/>
      <w:bookmarkEnd w:id="42"/>
      <w:bookmarkEnd w:id="43"/>
      <w:bookmarkEnd w:id="44"/>
      <w:bookmarkEnd w:id="45"/>
      <w:r>
        <w:t xml:space="preserve">Part 2 – </w:t>
      </w:r>
      <w:bookmarkEnd w:id="50"/>
      <w:bookmarkEnd w:id="51"/>
      <w:bookmarkEnd w:id="52"/>
      <w:bookmarkEnd w:id="53"/>
      <w:bookmarkEnd w:id="54"/>
      <w:bookmarkEnd w:id="55"/>
      <w:r w:rsidR="00AE6C0D">
        <w:t>Waiver of Debt</w:t>
      </w:r>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629"/>
      </w:tblGrid>
      <w:tr w:rsidR="00AE6C0D" w:rsidRPr="005153D0" w:rsidTr="00835DDA">
        <w:trPr>
          <w:trHeight w:val="370"/>
        </w:trPr>
        <w:tc>
          <w:tcPr>
            <w:tcW w:w="5000" w:type="pct"/>
            <w:shd w:val="clear" w:color="auto" w:fill="B4B5E9"/>
          </w:tcPr>
          <w:p w:rsidR="00AE6C0D" w:rsidRPr="004C6459" w:rsidRDefault="00AE6C0D" w:rsidP="00F67B40">
            <w:pPr>
              <w:spacing w:line="280" w:lineRule="auto"/>
              <w:rPr>
                <w:b/>
                <w:i/>
                <w:sz w:val="28"/>
                <w:szCs w:val="28"/>
              </w:rPr>
            </w:pPr>
            <w:r w:rsidRPr="004C6459">
              <w:rPr>
                <w:b/>
                <w:i/>
                <w:sz w:val="28"/>
                <w:szCs w:val="28"/>
              </w:rPr>
              <w:t>Public Governance, Performance and Accountability Act 2013</w:t>
            </w:r>
          </w:p>
          <w:p w:rsidR="00835DDA" w:rsidRPr="00835DDA" w:rsidRDefault="00835DDA" w:rsidP="00F67B40">
            <w:pPr>
              <w:spacing w:line="280" w:lineRule="auto"/>
              <w:rPr>
                <w:b/>
                <w:sz w:val="24"/>
                <w:szCs w:val="24"/>
              </w:rPr>
            </w:pPr>
            <w:r w:rsidRPr="00835DDA">
              <w:rPr>
                <w:b/>
                <w:sz w:val="24"/>
                <w:szCs w:val="24"/>
              </w:rPr>
              <w:t>Section 6</w:t>
            </w:r>
            <w:r>
              <w:rPr>
                <w:b/>
                <w:sz w:val="24"/>
                <w:szCs w:val="24"/>
              </w:rPr>
              <w:t>3</w:t>
            </w:r>
            <w:r w:rsidRPr="00835DDA">
              <w:rPr>
                <w:b/>
                <w:sz w:val="24"/>
                <w:szCs w:val="24"/>
              </w:rPr>
              <w:t xml:space="preserve"> – </w:t>
            </w:r>
            <w:r>
              <w:rPr>
                <w:b/>
                <w:sz w:val="24"/>
                <w:szCs w:val="24"/>
              </w:rPr>
              <w:t>Waiver of amounts or modification of payment terms</w:t>
            </w:r>
          </w:p>
          <w:p w:rsidR="00AE6C0D" w:rsidRPr="00DF1A9F" w:rsidRDefault="00AE6C0D" w:rsidP="00DE026D">
            <w:pPr>
              <w:pStyle w:val="Boxnumberedparaindent1"/>
              <w:numPr>
                <w:ilvl w:val="0"/>
                <w:numId w:val="22"/>
              </w:numPr>
              <w:spacing w:before="180" w:after="60" w:line="280" w:lineRule="auto"/>
              <w:ind w:left="1276" w:hanging="556"/>
              <w:rPr>
                <w:rFonts w:asciiTheme="minorHAnsi" w:hAnsiTheme="minorHAnsi" w:cstheme="minorHAnsi"/>
              </w:rPr>
            </w:pPr>
            <w:r w:rsidRPr="00DF1A9F">
              <w:rPr>
                <w:rFonts w:asciiTheme="minorHAnsi" w:hAnsiTheme="minorHAnsi" w:cstheme="minorHAnsi"/>
              </w:rPr>
              <w:t>The Finance Minister may, on behalf of the Commonwealth, authorise:</w:t>
            </w:r>
          </w:p>
          <w:p w:rsidR="00AE6C0D" w:rsidRPr="00DF1A9F" w:rsidRDefault="00AE6C0D" w:rsidP="00DE026D">
            <w:pPr>
              <w:pStyle w:val="Boxnumberedparaindent1"/>
              <w:numPr>
                <w:ilvl w:val="0"/>
                <w:numId w:val="23"/>
              </w:numPr>
              <w:tabs>
                <w:tab w:val="clear" w:pos="1281"/>
                <w:tab w:val="clear" w:pos="1418"/>
                <w:tab w:val="left" w:pos="1843"/>
              </w:tabs>
              <w:spacing w:before="180" w:after="60" w:line="280" w:lineRule="auto"/>
              <w:ind w:left="1655" w:hanging="357"/>
              <w:rPr>
                <w:rFonts w:asciiTheme="minorHAnsi" w:hAnsiTheme="minorHAnsi" w:cstheme="minorHAnsi"/>
              </w:rPr>
            </w:pPr>
            <w:r w:rsidRPr="00DF1A9F">
              <w:rPr>
                <w:rFonts w:asciiTheme="minorHAnsi" w:hAnsiTheme="minorHAnsi" w:cstheme="minorHAnsi"/>
              </w:rPr>
              <w:t>the waiver of an amount owing to the Commonwealth; or</w:t>
            </w:r>
          </w:p>
          <w:p w:rsidR="00AE6C0D" w:rsidRPr="00DF1A9F" w:rsidRDefault="00AE6C0D" w:rsidP="00DE026D">
            <w:pPr>
              <w:pStyle w:val="Boxnumberedparaindent1"/>
              <w:numPr>
                <w:ilvl w:val="0"/>
                <w:numId w:val="23"/>
              </w:numPr>
              <w:tabs>
                <w:tab w:val="clear" w:pos="1281"/>
                <w:tab w:val="clear" w:pos="1418"/>
                <w:tab w:val="left" w:pos="1843"/>
              </w:tabs>
              <w:spacing w:before="180" w:after="60" w:line="280" w:lineRule="auto"/>
              <w:ind w:left="1655" w:hanging="357"/>
              <w:rPr>
                <w:rFonts w:asciiTheme="minorHAnsi" w:hAnsiTheme="minorHAnsi" w:cstheme="minorHAnsi"/>
              </w:rPr>
            </w:pPr>
            <w:r w:rsidRPr="00DF1A9F">
              <w:rPr>
                <w:rFonts w:asciiTheme="minorHAnsi" w:hAnsiTheme="minorHAnsi" w:cstheme="minorHAnsi"/>
              </w:rPr>
              <w:t xml:space="preserve">the modification of the terms and conditions on which an amount owing to the Commonwealth is to be paid to the Commonwealth. </w:t>
            </w:r>
          </w:p>
          <w:p w:rsidR="00AE6C0D" w:rsidRPr="00DF1A9F" w:rsidRDefault="00AE6C0D" w:rsidP="00F67B40">
            <w:pPr>
              <w:pStyle w:val="Boxnumberedparaindent1"/>
              <w:spacing w:before="180" w:after="60" w:line="280" w:lineRule="auto"/>
              <w:ind w:left="1276" w:hanging="556"/>
              <w:rPr>
                <w:rFonts w:asciiTheme="minorHAnsi" w:hAnsiTheme="minorHAnsi" w:cstheme="minorHAnsi"/>
              </w:rPr>
            </w:pPr>
            <w:r w:rsidRPr="00DF1A9F">
              <w:rPr>
                <w:rFonts w:asciiTheme="minorHAnsi" w:hAnsiTheme="minorHAnsi" w:cstheme="minorHAnsi"/>
              </w:rPr>
              <w:t>(2)</w:t>
            </w:r>
            <w:r w:rsidRPr="00DF1A9F">
              <w:rPr>
                <w:rFonts w:asciiTheme="minorHAnsi" w:hAnsiTheme="minorHAnsi" w:cstheme="minorHAnsi"/>
              </w:rPr>
              <w:tab/>
              <w:t>An authorisation of a waiver or modification must be in accordance with any requirements prescribed by the rules.</w:t>
            </w:r>
          </w:p>
          <w:p w:rsidR="00AE6C0D" w:rsidRPr="00DF1A9F" w:rsidRDefault="00AE6C0D" w:rsidP="00F67B40">
            <w:pPr>
              <w:pStyle w:val="Boxnumberedparaindent1"/>
              <w:spacing w:before="180" w:after="60" w:line="280" w:lineRule="auto"/>
              <w:ind w:left="1276" w:hanging="556"/>
              <w:rPr>
                <w:rFonts w:asciiTheme="minorHAnsi" w:hAnsiTheme="minorHAnsi" w:cstheme="minorHAnsi"/>
              </w:rPr>
            </w:pPr>
            <w:r w:rsidRPr="00DF1A9F">
              <w:rPr>
                <w:rFonts w:asciiTheme="minorHAnsi" w:hAnsiTheme="minorHAnsi" w:cstheme="minorHAnsi"/>
              </w:rPr>
              <w:t>(3)</w:t>
            </w:r>
            <w:r w:rsidRPr="00DF1A9F">
              <w:rPr>
                <w:rFonts w:asciiTheme="minorHAnsi" w:hAnsiTheme="minorHAnsi" w:cstheme="minorHAnsi"/>
              </w:rPr>
              <w:tab/>
              <w:t xml:space="preserve">An authorisation of a waiver may be made either unconditionally or on the condition that a person agrees to pay an amount to the Commonwealth in specified circumstances. </w:t>
            </w:r>
          </w:p>
          <w:p w:rsidR="00AE6C0D" w:rsidRPr="00DF1A9F" w:rsidRDefault="00AE6C0D" w:rsidP="00F67B40">
            <w:pPr>
              <w:pStyle w:val="Boxnumberedparaindent1"/>
              <w:spacing w:before="180" w:after="60" w:line="280" w:lineRule="auto"/>
              <w:ind w:left="1276" w:hanging="556"/>
              <w:rPr>
                <w:rFonts w:asciiTheme="minorHAnsi" w:hAnsiTheme="minorHAnsi" w:cstheme="minorHAnsi"/>
              </w:rPr>
            </w:pPr>
            <w:r w:rsidRPr="00DF1A9F">
              <w:rPr>
                <w:rFonts w:asciiTheme="minorHAnsi" w:hAnsiTheme="minorHAnsi" w:cstheme="minorHAnsi"/>
              </w:rPr>
              <w:t>(4)</w:t>
            </w:r>
            <w:r w:rsidRPr="00DF1A9F">
              <w:rPr>
                <w:rFonts w:asciiTheme="minorHAnsi" w:hAnsiTheme="minorHAnsi" w:cstheme="minorHAnsi"/>
              </w:rPr>
              <w:tab/>
              <w:t>To avoid doubt, an amount may be owing to the Commonwealth even if it is not yet due for payment.</w:t>
            </w:r>
          </w:p>
          <w:p w:rsidR="00AE6C0D" w:rsidRPr="001678C2" w:rsidRDefault="00AE6C0D" w:rsidP="00F67B40">
            <w:pPr>
              <w:pStyle w:val="Boxnumberedparaindent1"/>
              <w:spacing w:before="180" w:after="60" w:line="280" w:lineRule="auto"/>
            </w:pPr>
            <w:r w:rsidRPr="00DF1A9F">
              <w:rPr>
                <w:rFonts w:asciiTheme="minorHAnsi" w:hAnsiTheme="minorHAnsi" w:cstheme="minorHAnsi"/>
              </w:rPr>
              <w:t>(5)</w:t>
            </w:r>
            <w:r w:rsidRPr="00DF1A9F">
              <w:rPr>
                <w:rFonts w:asciiTheme="minorHAnsi" w:hAnsiTheme="minorHAnsi" w:cstheme="minorHAnsi"/>
              </w:rPr>
              <w:tab/>
              <w:t>An authorisation of a waiver or modification is not a legislative instrument.</w:t>
            </w:r>
          </w:p>
        </w:tc>
      </w:tr>
    </w:tbl>
    <w:p w:rsidR="00AE6C0D" w:rsidRPr="00CE2A06" w:rsidRDefault="00AE6C0D" w:rsidP="00DF1A9F">
      <w:pPr>
        <w:pStyle w:val="Heading3"/>
      </w:pPr>
      <w:bookmarkStart w:id="57" w:name="_Toc470177733"/>
      <w:r w:rsidRPr="00CE2A06">
        <w:t>Waiver and other debt management options</w:t>
      </w:r>
      <w:bookmarkEnd w:id="57"/>
    </w:p>
    <w:p w:rsidR="00992F27" w:rsidRPr="00DF1A9F" w:rsidRDefault="00AE6C0D" w:rsidP="00DF1A9F">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 xml:space="preserve">Section 11 of the PGPA Rule requires accountable authorities of NCEs to recover debts, </w:t>
      </w:r>
      <w:r w:rsidR="00A10C27">
        <w:rPr>
          <w:rFonts w:asciiTheme="minorHAnsi" w:eastAsiaTheme="minorHAnsi" w:hAnsiTheme="minorHAnsi" w:cstheme="minorBidi"/>
        </w:rPr>
        <w:t>unless</w:t>
      </w:r>
      <w:r w:rsidR="00992F27">
        <w:rPr>
          <w:rFonts w:asciiTheme="minorHAnsi" w:eastAsiaTheme="minorHAnsi" w:hAnsiTheme="minorHAnsi" w:cstheme="minorBidi"/>
        </w:rPr>
        <w:t xml:space="preserve"> </w:t>
      </w:r>
      <w:r w:rsidR="00992F27" w:rsidRPr="00DF1A9F">
        <w:rPr>
          <w:rFonts w:asciiTheme="minorHAnsi" w:eastAsiaTheme="minorHAnsi" w:hAnsiTheme="minorHAnsi" w:cstheme="minorBidi"/>
        </w:rPr>
        <w:t>the accountable authority considers that it is not economical to pursue recovery of the debt; is satisfied that the debt is not legally recoverable; or</w:t>
      </w:r>
      <w:r w:rsidR="00992F27">
        <w:rPr>
          <w:rFonts w:asciiTheme="minorHAnsi" w:eastAsiaTheme="minorHAnsi" w:hAnsiTheme="minorHAnsi" w:cstheme="minorBidi"/>
        </w:rPr>
        <w:t xml:space="preserve"> if</w:t>
      </w:r>
      <w:r w:rsidR="003C4DBF">
        <w:rPr>
          <w:rFonts w:asciiTheme="minorHAnsi" w:eastAsiaTheme="minorHAnsi" w:hAnsiTheme="minorHAnsi" w:cstheme="minorBidi"/>
        </w:rPr>
        <w:t xml:space="preserve"> </w:t>
      </w:r>
      <w:r w:rsidR="00992F27" w:rsidRPr="00DF1A9F">
        <w:rPr>
          <w:rFonts w:asciiTheme="minorHAnsi" w:eastAsiaTheme="minorHAnsi" w:hAnsiTheme="minorHAnsi" w:cstheme="minorBidi"/>
        </w:rPr>
        <w:t>the debt has been written off as authorised by an Act</w:t>
      </w:r>
      <w:r w:rsidR="00992F27">
        <w:rPr>
          <w:rFonts w:asciiTheme="minorHAnsi" w:eastAsiaTheme="minorHAnsi" w:hAnsiTheme="minorHAnsi" w:cstheme="minorBidi"/>
        </w:rPr>
        <w:t>.</w:t>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When a debt is raised, the Commonwealth has a legal right and, under section 11 of the PGPA Rule, an obligation to pursue recovery of the amount. Recovery rights include circumstances where a person has been erroneously paid more than their legal entitlement.</w:t>
      </w:r>
      <w:r w:rsidRPr="00DE026D">
        <w:rPr>
          <w:rFonts w:eastAsiaTheme="minorHAnsi" w:cstheme="minorBidi"/>
          <w:vertAlign w:val="superscript"/>
        </w:rPr>
        <w:footnoteReference w:id="1"/>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lastRenderedPageBreak/>
        <w:t xml:space="preserve">A waiver is a special concession that extinguishes a debt owed to the Commonwealth. The Commonwealth cannot pursue the debt at a later date if the financial circumstances of the person or organisation improve. </w:t>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 xml:space="preserve">The waiver power is generally a remedy of last resort. It will generally not be used when there is another viable remedy available to address the specific circumstances of a matter. </w:t>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 xml:space="preserve">Individuals and organisations will often have review rights when a debt has been raised against them. It is expected that these review mechanisms would be used before a waiver of the debt is sought. </w:t>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 xml:space="preserve">If an individual or organisation is claiming that there is no legal basis for a debt to exist, they are encouraged to use legal review mechanisms. </w:t>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 xml:space="preserve">If other avenues exist for a debt to be managed those avenues </w:t>
      </w:r>
      <w:r w:rsidR="00A4756F">
        <w:rPr>
          <w:rFonts w:asciiTheme="minorHAnsi" w:eastAsiaTheme="minorHAnsi" w:hAnsiTheme="minorHAnsi" w:cstheme="minorBidi"/>
        </w:rPr>
        <w:t>are strongly recommended to be investigated prior to considering a waiver</w:t>
      </w:r>
      <w:r w:rsidRPr="00DE026D">
        <w:rPr>
          <w:rFonts w:asciiTheme="minorHAnsi" w:eastAsiaTheme="minorHAnsi" w:hAnsiTheme="minorHAnsi" w:cstheme="minorBidi"/>
        </w:rPr>
        <w:t xml:space="preserve">. This includes debt management options in existing legislation. NCE’s internal control documents will provide further advice on relevant debt management options and modification of terms and conditions. </w:t>
      </w:r>
    </w:p>
    <w:p w:rsidR="00AE6C0D" w:rsidRPr="00CE2A06" w:rsidRDefault="00AE6C0D" w:rsidP="00DF1A9F">
      <w:pPr>
        <w:pStyle w:val="Heading3"/>
      </w:pPr>
      <w:bookmarkStart w:id="58" w:name="_Toc470177734"/>
      <w:r w:rsidRPr="00CE2A06">
        <w:t>Waiver of debt considerations</w:t>
      </w:r>
      <w:bookmarkEnd w:id="58"/>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The PGPA Act does not provide a time limit on making a claim under the waiver of debt mechanism.</w:t>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The waiver of debt mechanism is permissive. It enables decision-makers to approve a request but does not obligate them to do so. There is no entitlement to a waiver of debt.</w:t>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 xml:space="preserve">The decision-maker will consider the merits of a person or organisation </w:t>
      </w:r>
      <w:r w:rsidR="00851D17">
        <w:rPr>
          <w:rFonts w:asciiTheme="minorHAnsi" w:eastAsiaTheme="minorHAnsi" w:hAnsiTheme="minorHAnsi" w:cstheme="minorBidi"/>
        </w:rPr>
        <w:t xml:space="preserve">having a debt waived </w:t>
      </w:r>
      <w:r w:rsidRPr="00DE026D">
        <w:rPr>
          <w:rFonts w:asciiTheme="minorHAnsi" w:eastAsiaTheme="minorHAnsi" w:hAnsiTheme="minorHAnsi" w:cstheme="minorBidi"/>
        </w:rPr>
        <w:t xml:space="preserve">that the Commonwealth has a legal right to recover. The current and possible future circumstances of the person or organisation, including the financial situation, may be taken into account. Why the debt arose and what role the Commonwealth had in the debt arising may also be considered. </w:t>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 xml:space="preserve">The existence of other debt management options (which would allow the Commonwealth to maintain the right to recover the debt at some later date) and whether they would be more appropriate in the circumstances </w:t>
      </w:r>
      <w:r w:rsidR="00045ED0">
        <w:rPr>
          <w:rFonts w:asciiTheme="minorHAnsi" w:eastAsiaTheme="minorHAnsi" w:hAnsiTheme="minorHAnsi" w:cstheme="minorBidi"/>
        </w:rPr>
        <w:t>must</w:t>
      </w:r>
      <w:r w:rsidRPr="00DE026D">
        <w:rPr>
          <w:rFonts w:asciiTheme="minorHAnsi" w:eastAsiaTheme="minorHAnsi" w:hAnsiTheme="minorHAnsi" w:cstheme="minorBidi"/>
        </w:rPr>
        <w:t xml:space="preserve"> be considered.</w:t>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There are some circumstances where the standard considerations listed above would not be relevant, and the debt would be unlikely to be waived. These include:</w:t>
      </w:r>
    </w:p>
    <w:p w:rsidR="00AE6C0D" w:rsidRPr="00CE2A06" w:rsidRDefault="00AE6C0D" w:rsidP="00F67B40">
      <w:pPr>
        <w:pStyle w:val="Bullets1stindent"/>
        <w:spacing w:before="180" w:after="60" w:line="280" w:lineRule="auto"/>
        <w:ind w:left="850" w:hanging="425"/>
        <w:rPr>
          <w:rFonts w:eastAsia="Cambria" w:cstheme="minorHAnsi"/>
        </w:rPr>
      </w:pPr>
      <w:r w:rsidRPr="00CE2A06">
        <w:rPr>
          <w:rFonts w:eastAsia="Cambria" w:cstheme="minorHAnsi"/>
        </w:rPr>
        <w:t>debts that have been established by a judicial decision of a court, which are separate from the decisions of the executive arm of the Commonwealth</w:t>
      </w:r>
    </w:p>
    <w:p w:rsidR="00AE6C0D" w:rsidRPr="00CE2A06" w:rsidRDefault="00AE6C0D" w:rsidP="00F67B40">
      <w:pPr>
        <w:pStyle w:val="Bullets1stindent"/>
        <w:spacing w:before="180" w:after="60" w:line="280" w:lineRule="auto"/>
        <w:ind w:left="850" w:hanging="425"/>
        <w:rPr>
          <w:rFonts w:eastAsia="Cambria" w:cstheme="minorHAnsi"/>
        </w:rPr>
      </w:pPr>
      <w:r w:rsidRPr="00CE2A06">
        <w:rPr>
          <w:rFonts w:eastAsia="Cambria" w:cstheme="minorHAnsi"/>
        </w:rPr>
        <w:t>debts owed to the Commonwealth that will be paid on to third parties</w:t>
      </w:r>
    </w:p>
    <w:p w:rsidR="00AE6C0D" w:rsidRPr="00CE2A06" w:rsidRDefault="00AE6C0D" w:rsidP="00F67B40">
      <w:pPr>
        <w:pStyle w:val="Bullets1stindent"/>
        <w:spacing w:before="180" w:after="60" w:line="280" w:lineRule="auto"/>
        <w:ind w:left="850" w:hanging="425"/>
        <w:rPr>
          <w:rFonts w:eastAsia="Cambria" w:cstheme="minorHAnsi"/>
        </w:rPr>
      </w:pPr>
      <w:r w:rsidRPr="00CE2A06">
        <w:rPr>
          <w:rFonts w:eastAsia="Cambria" w:cstheme="minorHAnsi"/>
        </w:rPr>
        <w:t>debts that have arisen through deliberate fraudulent or other illegal actions</w:t>
      </w:r>
    </w:p>
    <w:p w:rsidR="00AE6C0D" w:rsidRPr="00CE2A06" w:rsidRDefault="00AE6C0D" w:rsidP="00F67B40">
      <w:pPr>
        <w:pStyle w:val="Bullets1stindent"/>
        <w:spacing w:before="180" w:after="60" w:line="280" w:lineRule="auto"/>
        <w:ind w:left="850" w:hanging="425"/>
        <w:rPr>
          <w:rFonts w:eastAsia="Cambria" w:cstheme="minorHAnsi"/>
        </w:rPr>
      </w:pPr>
      <w:r w:rsidRPr="00CE2A06">
        <w:rPr>
          <w:rFonts w:eastAsia="Cambria" w:cstheme="minorHAnsi"/>
        </w:rPr>
        <w:t>requests submitted by companies on the grounds of financial hardship</w:t>
      </w:r>
      <w:r w:rsidRPr="00DE026D">
        <w:rPr>
          <w:rFonts w:eastAsia="Cambria" w:cstheme="minorHAnsi"/>
          <w:vertAlign w:val="superscript"/>
        </w:rPr>
        <w:footnoteReference w:id="2"/>
      </w:r>
    </w:p>
    <w:p w:rsidR="00AE6C0D" w:rsidRPr="00CE2A06" w:rsidRDefault="00AE6C0D" w:rsidP="00F67B40">
      <w:pPr>
        <w:pStyle w:val="Bullets1stindent"/>
        <w:spacing w:before="180" w:after="60" w:line="280" w:lineRule="auto"/>
        <w:ind w:left="850" w:hanging="425"/>
        <w:rPr>
          <w:rFonts w:eastAsia="Cambria" w:cstheme="minorHAnsi"/>
        </w:rPr>
      </w:pPr>
      <w:r w:rsidRPr="00CE2A06">
        <w:rPr>
          <w:rFonts w:eastAsia="Cambria" w:cstheme="minorHAnsi"/>
        </w:rPr>
        <w:t>where an amount owing to the Commonwealth is not certain or ascertainable.</w:t>
      </w:r>
    </w:p>
    <w:p w:rsidR="00DF1A9F" w:rsidRDefault="00DF1A9F">
      <w:pPr>
        <w:suppressAutoHyphens w:val="0"/>
        <w:spacing w:before="0" w:after="120" w:line="440" w:lineRule="atLeast"/>
      </w:pPr>
      <w:r>
        <w:br w:type="page"/>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lastRenderedPageBreak/>
        <w:t>If a claimant is dissatisfied with the decision, it is open to them to:</w:t>
      </w:r>
    </w:p>
    <w:p w:rsidR="00AE6C0D" w:rsidRPr="00CE2A06" w:rsidRDefault="00AE6C0D" w:rsidP="00F67B40">
      <w:pPr>
        <w:pStyle w:val="Bullets1stindent"/>
        <w:spacing w:before="180" w:after="60" w:line="280" w:lineRule="auto"/>
        <w:ind w:left="850" w:hanging="425"/>
        <w:rPr>
          <w:rFonts w:eastAsia="Cambria" w:cstheme="minorHAnsi"/>
        </w:rPr>
      </w:pPr>
      <w:r w:rsidRPr="00CE2A06">
        <w:rPr>
          <w:rFonts w:eastAsia="Cambria" w:cstheme="minorHAnsi"/>
        </w:rPr>
        <w:t>lodge a complaint with the Commonwealth Ombudsman</w:t>
      </w:r>
    </w:p>
    <w:p w:rsidR="000754F4" w:rsidRPr="00DF1A9F" w:rsidRDefault="00AE6C0D" w:rsidP="00F67B40">
      <w:pPr>
        <w:pStyle w:val="Bullets1stindent"/>
        <w:spacing w:before="180" w:after="60" w:line="280" w:lineRule="auto"/>
        <w:ind w:left="850" w:hanging="425"/>
        <w:rPr>
          <w:rFonts w:eastAsia="Cambria" w:cstheme="minorHAnsi"/>
        </w:rPr>
      </w:pPr>
      <w:r w:rsidRPr="00CE2A06">
        <w:rPr>
          <w:rFonts w:eastAsia="Cambria" w:cstheme="minorHAnsi"/>
        </w:rPr>
        <w:t xml:space="preserve">seek judicial review of the decision under the </w:t>
      </w:r>
      <w:r w:rsidRPr="00DF1A9F">
        <w:rPr>
          <w:rFonts w:eastAsia="Cambria" w:cstheme="minorHAnsi"/>
          <w:i/>
        </w:rPr>
        <w:t xml:space="preserve">Administrative Decisions </w:t>
      </w:r>
      <w:r w:rsidR="000A3987" w:rsidRPr="00DF1A9F">
        <w:rPr>
          <w:rFonts w:eastAsia="Cambria" w:cstheme="minorHAnsi"/>
          <w:i/>
        </w:rPr>
        <w:br/>
      </w:r>
      <w:r w:rsidRPr="00DF1A9F">
        <w:rPr>
          <w:rFonts w:eastAsia="Cambria" w:cstheme="minorHAnsi"/>
          <w:i/>
        </w:rPr>
        <w:t>(Judicial Review) Act 1977</w:t>
      </w:r>
    </w:p>
    <w:p w:rsidR="00AE6C0D" w:rsidRPr="000754F4" w:rsidRDefault="000754F4">
      <w:pPr>
        <w:pStyle w:val="Bullets1stindent"/>
        <w:spacing w:before="180" w:after="60" w:line="280" w:lineRule="auto"/>
        <w:ind w:left="850" w:hanging="425"/>
        <w:rPr>
          <w:rFonts w:eastAsia="Cambria" w:cstheme="minorHAnsi"/>
        </w:rPr>
      </w:pPr>
      <w:r w:rsidRPr="00CE2A06">
        <w:rPr>
          <w:rFonts w:eastAsia="Cambria" w:cstheme="minorHAnsi"/>
        </w:rPr>
        <w:t>request reconsideration of the decision</w:t>
      </w:r>
      <w:r>
        <w:rPr>
          <w:rFonts w:eastAsia="Cambria" w:cstheme="minorHAnsi"/>
        </w:rPr>
        <w:t xml:space="preserve"> if </w:t>
      </w:r>
      <w:r>
        <w:rPr>
          <w:rFonts w:cstheme="minorHAnsi"/>
        </w:rPr>
        <w:t>relevant new information or a serious factual error is identified</w:t>
      </w:r>
      <w:r w:rsidR="00AE6C0D" w:rsidRPr="000754F4">
        <w:rPr>
          <w:rFonts w:eastAsia="Cambria" w:cstheme="minorHAnsi"/>
        </w:rPr>
        <w:t>.</w:t>
      </w:r>
    </w:p>
    <w:p w:rsidR="00AE6C0D" w:rsidRPr="00CE2A06" w:rsidRDefault="00AE6C0D" w:rsidP="00DF1A9F">
      <w:pPr>
        <w:pStyle w:val="Heading3"/>
      </w:pPr>
      <w:bookmarkStart w:id="59" w:name="_Toc470177735"/>
      <w:r w:rsidRPr="00CE2A06">
        <w:t>The role of the Department of Finance</w:t>
      </w:r>
      <w:bookmarkEnd w:id="59"/>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 xml:space="preserve">The Discretionary Payments Section in Finance provides support to decision-makers under the waiver of debt mechanism. </w:t>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Finance liaises with the applicant and relevant NCE</w:t>
      </w:r>
      <w:r w:rsidR="00992F27">
        <w:rPr>
          <w:rFonts w:asciiTheme="minorHAnsi" w:eastAsiaTheme="minorHAnsi" w:hAnsiTheme="minorHAnsi" w:cstheme="minorBidi"/>
        </w:rPr>
        <w:t>s</w:t>
      </w:r>
      <w:r w:rsidRPr="00DE026D">
        <w:rPr>
          <w:rFonts w:asciiTheme="minorHAnsi" w:eastAsiaTheme="minorHAnsi" w:hAnsiTheme="minorHAnsi" w:cstheme="minorBidi"/>
        </w:rPr>
        <w:t xml:space="preserve">, where appropriate. For a request that is received directly from a member of the public, a company or other organisation, Finance </w:t>
      </w:r>
      <w:r w:rsidR="00881434">
        <w:rPr>
          <w:rFonts w:asciiTheme="minorHAnsi" w:eastAsiaTheme="minorHAnsi" w:hAnsiTheme="minorHAnsi" w:cstheme="minorBidi"/>
        </w:rPr>
        <w:t>usually seeks</w:t>
      </w:r>
      <w:r w:rsidRPr="00DE026D">
        <w:rPr>
          <w:rFonts w:asciiTheme="minorHAnsi" w:eastAsiaTheme="minorHAnsi" w:hAnsiTheme="minorHAnsi" w:cstheme="minorBidi"/>
        </w:rPr>
        <w:t xml:space="preserve"> further information from the NCE</w:t>
      </w:r>
      <w:r w:rsidR="00992F27">
        <w:rPr>
          <w:rFonts w:asciiTheme="minorHAnsi" w:eastAsiaTheme="minorHAnsi" w:hAnsiTheme="minorHAnsi" w:cstheme="minorBidi"/>
        </w:rPr>
        <w:t>s</w:t>
      </w:r>
      <w:r w:rsidRPr="00DE026D">
        <w:rPr>
          <w:rFonts w:asciiTheme="minorHAnsi" w:eastAsiaTheme="minorHAnsi" w:hAnsiTheme="minorHAnsi" w:cstheme="minorBidi"/>
        </w:rPr>
        <w:t xml:space="preserve"> responsible for the matter. </w:t>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 xml:space="preserve">To assist potential claimants, application forms and fact sheets are available at </w:t>
      </w:r>
      <w:hyperlink r:id="rId16" w:history="1">
        <w:r w:rsidRPr="002B2522">
          <w:rPr>
            <w:rFonts w:asciiTheme="majorHAnsi" w:eastAsiaTheme="minorHAnsi" w:hAnsiTheme="majorHAnsi" w:cstheme="majorHAnsi"/>
            <w:i/>
          </w:rPr>
          <w:t>http://www.finance.gov.au/resource-management/discretionary-financial-assistance/waiver-of-debt-mechanism</w:t>
        </w:r>
      </w:hyperlink>
      <w:r w:rsidRPr="002B2522">
        <w:rPr>
          <w:rFonts w:asciiTheme="majorHAnsi" w:eastAsiaTheme="minorHAnsi" w:hAnsiTheme="majorHAnsi" w:cstheme="majorHAnsi"/>
        </w:rPr>
        <w:t xml:space="preserve">. </w:t>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 xml:space="preserve">Finance will advise the relevant </w:t>
      </w:r>
      <w:r w:rsidR="00045ED0">
        <w:rPr>
          <w:rFonts w:asciiTheme="minorHAnsi" w:eastAsiaTheme="minorHAnsi" w:hAnsiTheme="minorHAnsi" w:cstheme="minorBidi"/>
        </w:rPr>
        <w:t>NCE</w:t>
      </w:r>
      <w:r w:rsidR="00045ED0" w:rsidRPr="00DE026D">
        <w:rPr>
          <w:rFonts w:asciiTheme="minorHAnsi" w:eastAsiaTheme="minorHAnsi" w:hAnsiTheme="minorHAnsi" w:cstheme="minorBidi"/>
        </w:rPr>
        <w:t xml:space="preserve">s </w:t>
      </w:r>
      <w:r w:rsidRPr="00DE026D">
        <w:rPr>
          <w:rFonts w:asciiTheme="minorHAnsi" w:eastAsiaTheme="minorHAnsi" w:hAnsiTheme="minorHAnsi" w:cstheme="minorBidi"/>
        </w:rPr>
        <w:t xml:space="preserve">once a decision is made. </w:t>
      </w:r>
    </w:p>
    <w:p w:rsidR="00AE6C0D" w:rsidRPr="00CE2A06" w:rsidRDefault="00AE6C0D" w:rsidP="00DF1A9F">
      <w:pPr>
        <w:pStyle w:val="Heading3"/>
      </w:pPr>
      <w:bookmarkStart w:id="60" w:name="_Toc470177736"/>
      <w:r w:rsidRPr="00CE2A06">
        <w:t>The role of NCEs</w:t>
      </w:r>
      <w:bookmarkEnd w:id="60"/>
    </w:p>
    <w:p w:rsidR="00AE6C0D" w:rsidRPr="00CE2A06" w:rsidRDefault="00AE6C0D" w:rsidP="00DF1A9F">
      <w:pPr>
        <w:pStyle w:val="Heading4"/>
      </w:pPr>
      <w:r w:rsidRPr="00CE2A06">
        <w:t>Providing advice</w:t>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NCEs are encouraged to address the following in their submissions on waiver of debt requests:</w:t>
      </w:r>
    </w:p>
    <w:p w:rsidR="00AE6C0D" w:rsidRPr="00CE2A06" w:rsidRDefault="00AE6C0D" w:rsidP="00F67B40">
      <w:pPr>
        <w:pStyle w:val="Bullets1stindent"/>
        <w:spacing w:before="180" w:after="60" w:line="280" w:lineRule="auto"/>
        <w:ind w:left="850" w:hanging="425"/>
        <w:rPr>
          <w:rFonts w:cstheme="minorHAnsi"/>
        </w:rPr>
      </w:pPr>
      <w:r w:rsidRPr="00CE2A06">
        <w:rPr>
          <w:rFonts w:cstheme="minorHAnsi"/>
        </w:rPr>
        <w:t>the amount owing to the Commonwealth, including why it was incurred, how it is comprised, and when it is due for payment</w:t>
      </w:r>
    </w:p>
    <w:p w:rsidR="00AE6C0D" w:rsidRPr="00CE2A06" w:rsidRDefault="00AE6C0D" w:rsidP="00F67B40">
      <w:pPr>
        <w:pStyle w:val="Bullets1stindent"/>
        <w:spacing w:before="180" w:after="60" w:line="280" w:lineRule="auto"/>
        <w:ind w:left="850" w:hanging="425"/>
        <w:rPr>
          <w:rFonts w:cstheme="minorHAnsi"/>
        </w:rPr>
      </w:pPr>
      <w:r w:rsidRPr="00CE2A06">
        <w:rPr>
          <w:rFonts w:cstheme="minorHAnsi"/>
        </w:rPr>
        <w:t>any history or background to the case, including any information held by the NCE on the assets, income, future earning capacity, other debts, health and family circumstances of the family unit or household to which the debtor belongs</w:t>
      </w:r>
    </w:p>
    <w:p w:rsidR="00AE6C0D" w:rsidRPr="00CE2A06" w:rsidRDefault="00AE6C0D" w:rsidP="00F67B40">
      <w:pPr>
        <w:pStyle w:val="Bullets1stindent"/>
        <w:spacing w:before="180" w:after="60" w:line="280" w:lineRule="auto"/>
        <w:ind w:left="850" w:hanging="425"/>
        <w:rPr>
          <w:rFonts w:cstheme="minorHAnsi"/>
        </w:rPr>
      </w:pPr>
      <w:r w:rsidRPr="00CE2A06">
        <w:rPr>
          <w:rFonts w:cstheme="minorHAnsi"/>
        </w:rPr>
        <w:t>whether the responsible NCE has considered other debt management strategies</w:t>
      </w:r>
    </w:p>
    <w:p w:rsidR="00AE6C0D" w:rsidRPr="00CE2A06" w:rsidRDefault="00AE6C0D" w:rsidP="00F67B40">
      <w:pPr>
        <w:pStyle w:val="Bullets1stindent"/>
        <w:spacing w:before="180" w:after="60" w:line="280" w:lineRule="auto"/>
        <w:ind w:left="850" w:hanging="425"/>
        <w:rPr>
          <w:rFonts w:cstheme="minorHAnsi"/>
        </w:rPr>
      </w:pPr>
      <w:r w:rsidRPr="00CE2A06">
        <w:rPr>
          <w:rFonts w:cstheme="minorHAnsi"/>
        </w:rPr>
        <w:t xml:space="preserve">whether or not the responsible NCE supports the request and reasons. Finance may seek the NCE’s opinion in this regard as the policy owner and </w:t>
      </w:r>
      <w:r w:rsidR="00F371D7">
        <w:rPr>
          <w:rFonts w:cstheme="minorHAnsi"/>
        </w:rPr>
        <w:t xml:space="preserve">recognising </w:t>
      </w:r>
      <w:r w:rsidRPr="00CE2A06">
        <w:rPr>
          <w:rFonts w:cstheme="minorHAnsi"/>
        </w:rPr>
        <w:t xml:space="preserve">the NCE’s policy expertise. </w:t>
      </w:r>
    </w:p>
    <w:p w:rsidR="00AE6C0D" w:rsidRPr="00CE2A06" w:rsidRDefault="00AE6C0D" w:rsidP="00F67B40">
      <w:pPr>
        <w:pStyle w:val="Bullets1stindent"/>
        <w:spacing w:before="180" w:after="60" w:line="280" w:lineRule="auto"/>
        <w:ind w:left="850" w:hanging="425"/>
        <w:rPr>
          <w:rFonts w:cstheme="minorHAnsi"/>
        </w:rPr>
      </w:pPr>
      <w:r w:rsidRPr="00CE2A06">
        <w:rPr>
          <w:rFonts w:cstheme="minorHAnsi"/>
        </w:rPr>
        <w:t>any other information that may be relevant to the decision-maker’s consideration of the particular circumstances.</w:t>
      </w:r>
    </w:p>
    <w:p w:rsidR="00AE6C0D" w:rsidRPr="00DE026D" w:rsidRDefault="00AE6C0D" w:rsidP="00E3238F">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If an NCE receives a request from an applicant directly, or decides to initiate a claim on an individual or organisation’s behalf, the NCE must prepare a submission and then forward it to Finance, along with any other relevant documents</w:t>
      </w:r>
      <w:r w:rsidR="00371666">
        <w:rPr>
          <w:rFonts w:asciiTheme="minorHAnsi" w:eastAsiaTheme="minorHAnsi" w:hAnsiTheme="minorHAnsi" w:cstheme="minorBidi"/>
        </w:rPr>
        <w:t>, within four weeks</w:t>
      </w:r>
      <w:r w:rsidRPr="00DE026D">
        <w:rPr>
          <w:rFonts w:asciiTheme="minorHAnsi" w:eastAsiaTheme="minorHAnsi" w:hAnsiTheme="minorHAnsi" w:cstheme="minorBidi"/>
        </w:rPr>
        <w:t>.</w:t>
      </w:r>
      <w:r w:rsidR="00E3238F">
        <w:rPr>
          <w:rFonts w:asciiTheme="minorHAnsi" w:eastAsiaTheme="minorHAnsi" w:hAnsiTheme="minorHAnsi" w:cstheme="minorBidi"/>
        </w:rPr>
        <w:t xml:space="preserve"> If a response cannot be provided within four weeks, the NCE must advise Finance of the reasons for the delay and seek an extension accordingly.</w:t>
      </w:r>
    </w:p>
    <w:p w:rsidR="00DF1A9F" w:rsidRDefault="00DF1A9F">
      <w:pPr>
        <w:suppressAutoHyphens w:val="0"/>
        <w:spacing w:before="0" w:after="120" w:line="440" w:lineRule="atLeast"/>
      </w:pPr>
      <w:r>
        <w:br w:type="page"/>
      </w:r>
    </w:p>
    <w:p w:rsidR="00AE6C0D" w:rsidRPr="00DE026D"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lastRenderedPageBreak/>
        <w:t xml:space="preserve">Before a decision is made, the applicant is given an opportunity to comment on the NCE submission. </w:t>
      </w:r>
      <w:r w:rsidR="00F371D7">
        <w:rPr>
          <w:rFonts w:asciiTheme="minorHAnsi" w:eastAsiaTheme="minorHAnsi" w:hAnsiTheme="minorHAnsi" w:cstheme="minorBidi"/>
        </w:rPr>
        <w:t xml:space="preserve">For procedural fairness, </w:t>
      </w:r>
      <w:r w:rsidR="0082372C">
        <w:rPr>
          <w:rFonts w:asciiTheme="minorHAnsi" w:eastAsiaTheme="minorHAnsi" w:hAnsiTheme="minorHAnsi" w:cstheme="minorBidi"/>
        </w:rPr>
        <w:t xml:space="preserve">NCEs </w:t>
      </w:r>
      <w:r w:rsidRPr="00DE026D">
        <w:rPr>
          <w:rFonts w:asciiTheme="minorHAnsi" w:eastAsiaTheme="minorHAnsi" w:hAnsiTheme="minorHAnsi" w:cstheme="minorBidi"/>
        </w:rPr>
        <w:t xml:space="preserve">are </w:t>
      </w:r>
      <w:r w:rsidR="00F371D7">
        <w:rPr>
          <w:rFonts w:asciiTheme="minorHAnsi" w:eastAsiaTheme="minorHAnsi" w:hAnsiTheme="minorHAnsi" w:cstheme="minorBidi"/>
        </w:rPr>
        <w:t>required</w:t>
      </w:r>
      <w:r w:rsidRPr="00DE026D">
        <w:rPr>
          <w:rFonts w:asciiTheme="minorHAnsi" w:eastAsiaTheme="minorHAnsi" w:hAnsiTheme="minorHAnsi" w:cstheme="minorBidi"/>
        </w:rPr>
        <w:t xml:space="preserve"> to provide a complete copy of the submission to the applicant at the same time it is sent to Finance and ask the applicant to respond to Finance within </w:t>
      </w:r>
      <w:r w:rsidR="005E4B76">
        <w:rPr>
          <w:rFonts w:asciiTheme="minorHAnsi" w:eastAsiaTheme="minorHAnsi" w:hAnsiTheme="minorHAnsi" w:cstheme="minorBidi"/>
        </w:rPr>
        <w:t>four</w:t>
      </w:r>
      <w:r w:rsidRPr="00DE026D">
        <w:rPr>
          <w:rFonts w:asciiTheme="minorHAnsi" w:eastAsiaTheme="minorHAnsi" w:hAnsiTheme="minorHAnsi" w:cstheme="minorBidi"/>
        </w:rPr>
        <w:t xml:space="preserve"> weeks. Finance can provide examples of covering letters. </w:t>
      </w:r>
    </w:p>
    <w:p w:rsidR="006A66B7" w:rsidRDefault="00AE6C0D"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 xml:space="preserve">If a waiver of a debt of more than $500,000 is proposed, section 24 of the PGPA Rule requires the Finance Minister to first consider the report of an advisory committee. </w:t>
      </w:r>
      <w:r w:rsidR="000754F4" w:rsidRPr="00DE026D">
        <w:rPr>
          <w:rFonts w:asciiTheme="minorHAnsi" w:eastAsiaTheme="minorHAnsi" w:hAnsiTheme="minorHAnsi" w:cstheme="minorBidi"/>
        </w:rPr>
        <w:t xml:space="preserve">The advisory committee </w:t>
      </w:r>
      <w:r w:rsidR="000754F4">
        <w:rPr>
          <w:rFonts w:asciiTheme="minorHAnsi" w:eastAsiaTheme="minorHAnsi" w:hAnsiTheme="minorHAnsi" w:cstheme="minorBidi"/>
        </w:rPr>
        <w:t xml:space="preserve">must consist of: </w:t>
      </w:r>
      <w:r w:rsidR="000754F4" w:rsidRPr="00DE026D">
        <w:rPr>
          <w:rFonts w:asciiTheme="minorHAnsi" w:eastAsiaTheme="minorHAnsi" w:hAnsiTheme="minorHAnsi" w:cstheme="minorBidi"/>
        </w:rPr>
        <w:t xml:space="preserve">the Secretary of the </w:t>
      </w:r>
      <w:r w:rsidR="000754F4">
        <w:rPr>
          <w:rFonts w:asciiTheme="minorHAnsi" w:eastAsiaTheme="minorHAnsi" w:hAnsiTheme="minorHAnsi" w:cstheme="minorBidi"/>
        </w:rPr>
        <w:t xml:space="preserve">Department </w:t>
      </w:r>
      <w:r w:rsidR="000754F4" w:rsidRPr="00D03CFC">
        <w:rPr>
          <w:rFonts w:asciiTheme="minorHAnsi" w:eastAsiaTheme="minorHAnsi" w:hAnsiTheme="minorHAnsi" w:cstheme="minorBidi"/>
        </w:rPr>
        <w:t xml:space="preserve">responsible for administering the </w:t>
      </w:r>
      <w:r w:rsidR="000754F4" w:rsidRPr="00D03CFC">
        <w:rPr>
          <w:rFonts w:asciiTheme="minorHAnsi" w:eastAsiaTheme="minorHAnsi" w:hAnsiTheme="minorHAnsi" w:cstheme="minorBidi"/>
          <w:i/>
          <w:iCs/>
        </w:rPr>
        <w:t xml:space="preserve">Infrastructure Australia Act 2008; </w:t>
      </w:r>
      <w:r w:rsidR="000754F4" w:rsidRPr="00D03CFC">
        <w:rPr>
          <w:rFonts w:asciiTheme="minorHAnsi" w:eastAsiaTheme="minorHAnsi" w:hAnsiTheme="minorHAnsi" w:cstheme="minorBidi"/>
          <w:iCs/>
        </w:rPr>
        <w:t>the Finance Secretary</w:t>
      </w:r>
      <w:r w:rsidR="000754F4">
        <w:rPr>
          <w:rFonts w:asciiTheme="minorHAnsi" w:eastAsiaTheme="minorHAnsi" w:hAnsiTheme="minorHAnsi" w:cstheme="minorBidi"/>
          <w:i/>
          <w:iCs/>
        </w:rPr>
        <w:t xml:space="preserve">, </w:t>
      </w:r>
      <w:r w:rsidR="000754F4" w:rsidRPr="00DE026D">
        <w:rPr>
          <w:rFonts w:asciiTheme="minorHAnsi" w:eastAsiaTheme="minorHAnsi" w:hAnsiTheme="minorHAnsi" w:cstheme="minorBidi"/>
        </w:rPr>
        <w:t>and the accountable authority of the NCE responsible for the matter.</w:t>
      </w:r>
      <w:r w:rsidRPr="00DE026D">
        <w:rPr>
          <w:rFonts w:asciiTheme="minorHAnsi" w:eastAsiaTheme="minorHAnsi" w:hAnsiTheme="minorHAnsi" w:cstheme="minorBidi"/>
        </w:rPr>
        <w:t xml:space="preserve"> Finance will liaise with the relevant NCE on matters that require an advisory committee report. </w:t>
      </w:r>
    </w:p>
    <w:p w:rsidR="00F371D7" w:rsidRPr="00F371D7" w:rsidRDefault="00F371D7" w:rsidP="00DF1A9F">
      <w:pPr>
        <w:suppressAutoHyphens w:val="0"/>
        <w:spacing w:before="0" w:after="120" w:line="440" w:lineRule="atLeast"/>
      </w:pPr>
    </w:p>
    <w:p w:rsidR="00BF6958" w:rsidRPr="00052714" w:rsidRDefault="00835DDA" w:rsidP="00F67B40">
      <w:pPr>
        <w:pStyle w:val="Heading1"/>
        <w:shd w:val="clear" w:color="auto" w:fill="BDDCDF" w:themeFill="accent1"/>
        <w:spacing w:before="180" w:after="60" w:line="280" w:lineRule="auto"/>
      </w:pPr>
      <w:bookmarkStart w:id="61" w:name="_Toc470177737"/>
      <w:r>
        <w:t>Part 3 – Set Off</w:t>
      </w:r>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B5E9"/>
        <w:tblLook w:val="0000" w:firstRow="0" w:lastRow="0" w:firstColumn="0" w:lastColumn="0" w:noHBand="0" w:noVBand="0"/>
      </w:tblPr>
      <w:tblGrid>
        <w:gridCol w:w="9629"/>
      </w:tblGrid>
      <w:tr w:rsidR="00835DDA" w:rsidRPr="005153D0" w:rsidTr="00835DDA">
        <w:trPr>
          <w:trHeight w:val="370"/>
        </w:trPr>
        <w:tc>
          <w:tcPr>
            <w:tcW w:w="5000" w:type="pct"/>
            <w:shd w:val="clear" w:color="auto" w:fill="B4B5E9"/>
          </w:tcPr>
          <w:p w:rsidR="00835DDA" w:rsidRDefault="00835DDA" w:rsidP="00F67B40">
            <w:pPr>
              <w:spacing w:line="280" w:lineRule="auto"/>
              <w:rPr>
                <w:b/>
                <w:i/>
                <w:sz w:val="28"/>
                <w:szCs w:val="28"/>
              </w:rPr>
            </w:pPr>
            <w:r w:rsidRPr="004C6459">
              <w:rPr>
                <w:b/>
                <w:i/>
                <w:sz w:val="28"/>
                <w:szCs w:val="28"/>
              </w:rPr>
              <w:t>Public Governance, Performance and Accountability Act 2013</w:t>
            </w:r>
          </w:p>
          <w:p w:rsidR="00835DDA" w:rsidRPr="00835DDA" w:rsidRDefault="00835DDA" w:rsidP="00F67B40">
            <w:pPr>
              <w:spacing w:line="280" w:lineRule="auto"/>
              <w:rPr>
                <w:b/>
                <w:sz w:val="24"/>
                <w:szCs w:val="24"/>
              </w:rPr>
            </w:pPr>
            <w:r w:rsidRPr="00835DDA">
              <w:rPr>
                <w:b/>
                <w:sz w:val="24"/>
                <w:szCs w:val="24"/>
              </w:rPr>
              <w:t>Section 64 – Setting off amounts owed to, and by, the Commonwealth</w:t>
            </w:r>
          </w:p>
          <w:p w:rsidR="00835DDA" w:rsidRPr="00CE2A06" w:rsidRDefault="00835DDA" w:rsidP="00F67B40">
            <w:pPr>
              <w:pStyle w:val="Boxnumberedparaindent1"/>
              <w:spacing w:before="180" w:after="60" w:line="280" w:lineRule="auto"/>
              <w:ind w:left="1276" w:hanging="556"/>
              <w:rPr>
                <w:rFonts w:asciiTheme="minorHAnsi" w:hAnsiTheme="minorHAnsi" w:cstheme="minorHAnsi"/>
              </w:rPr>
            </w:pPr>
            <w:r>
              <w:t xml:space="preserve"> (1)</w:t>
            </w:r>
            <w:r>
              <w:tab/>
            </w:r>
            <w:r w:rsidRPr="00CE2A06">
              <w:rPr>
                <w:rFonts w:asciiTheme="minorHAnsi" w:hAnsiTheme="minorHAnsi" w:cstheme="minorHAnsi"/>
              </w:rPr>
              <w:t>If:</w:t>
            </w:r>
          </w:p>
          <w:p w:rsidR="00835DDA" w:rsidRPr="00CE2A06" w:rsidRDefault="00835DDA" w:rsidP="00DE026D">
            <w:pPr>
              <w:pStyle w:val="Boxnumberedparaindent1"/>
              <w:numPr>
                <w:ilvl w:val="0"/>
                <w:numId w:val="24"/>
              </w:numPr>
              <w:tabs>
                <w:tab w:val="clear" w:pos="1281"/>
                <w:tab w:val="clear" w:pos="1418"/>
                <w:tab w:val="left" w:pos="1560"/>
              </w:tabs>
              <w:spacing w:before="180" w:after="60" w:line="280" w:lineRule="auto"/>
              <w:ind w:left="1655" w:hanging="357"/>
              <w:rPr>
                <w:rFonts w:asciiTheme="minorHAnsi" w:hAnsiTheme="minorHAnsi" w:cstheme="minorHAnsi"/>
              </w:rPr>
            </w:pPr>
            <w:r w:rsidRPr="00CE2A06">
              <w:rPr>
                <w:rFonts w:asciiTheme="minorHAnsi" w:hAnsiTheme="minorHAnsi" w:cstheme="minorHAnsi"/>
              </w:rPr>
              <w:t xml:space="preserve">an amount (the </w:t>
            </w:r>
            <w:r w:rsidRPr="00CE2A06">
              <w:rPr>
                <w:rFonts w:asciiTheme="minorHAnsi" w:hAnsiTheme="minorHAnsi" w:cstheme="minorHAnsi"/>
                <w:b/>
                <w:i/>
              </w:rPr>
              <w:t>first amount</w:t>
            </w:r>
            <w:r w:rsidRPr="00CE2A06">
              <w:rPr>
                <w:rFonts w:asciiTheme="minorHAnsi" w:hAnsiTheme="minorHAnsi" w:cstheme="minorHAnsi"/>
              </w:rPr>
              <w:t>) is owing to the Commonwealth by a person; and</w:t>
            </w:r>
          </w:p>
          <w:p w:rsidR="00835DDA" w:rsidRPr="00CE2A06" w:rsidRDefault="00835DDA" w:rsidP="00DE026D">
            <w:pPr>
              <w:pStyle w:val="Boxnumberedparaindent1"/>
              <w:numPr>
                <w:ilvl w:val="0"/>
                <w:numId w:val="24"/>
              </w:numPr>
              <w:tabs>
                <w:tab w:val="clear" w:pos="1281"/>
                <w:tab w:val="clear" w:pos="1418"/>
                <w:tab w:val="left" w:pos="1560"/>
              </w:tabs>
              <w:spacing w:before="180" w:after="60" w:line="280" w:lineRule="auto"/>
              <w:ind w:left="1655" w:hanging="357"/>
              <w:rPr>
                <w:rFonts w:asciiTheme="minorHAnsi" w:hAnsiTheme="minorHAnsi" w:cstheme="minorHAnsi"/>
              </w:rPr>
            </w:pPr>
            <w:r w:rsidRPr="00CE2A06">
              <w:rPr>
                <w:rFonts w:asciiTheme="minorHAnsi" w:hAnsiTheme="minorHAnsi" w:cstheme="minorHAnsi"/>
              </w:rPr>
              <w:t xml:space="preserve">an amount (the </w:t>
            </w:r>
            <w:r w:rsidRPr="00CE2A06">
              <w:rPr>
                <w:rFonts w:asciiTheme="minorHAnsi" w:hAnsiTheme="minorHAnsi" w:cstheme="minorHAnsi"/>
                <w:b/>
                <w:i/>
              </w:rPr>
              <w:t>second amount</w:t>
            </w:r>
            <w:r w:rsidRPr="00CE2A06">
              <w:rPr>
                <w:rFonts w:asciiTheme="minorHAnsi" w:hAnsiTheme="minorHAnsi" w:cstheme="minorHAnsi"/>
              </w:rPr>
              <w:t>) is owing by the Commonwealth to the person;</w:t>
            </w:r>
          </w:p>
          <w:p w:rsidR="00835DDA" w:rsidRPr="00CE2A06" w:rsidRDefault="00835DDA" w:rsidP="00F67B40">
            <w:pPr>
              <w:pStyle w:val="Boxnumberedparaindent1"/>
              <w:spacing w:before="180" w:after="60" w:line="280" w:lineRule="auto"/>
              <w:ind w:left="1276" w:hanging="556"/>
              <w:rPr>
                <w:rFonts w:asciiTheme="minorHAnsi" w:hAnsiTheme="minorHAnsi" w:cstheme="minorHAnsi"/>
              </w:rPr>
            </w:pPr>
            <w:r w:rsidRPr="00CE2A06">
              <w:rPr>
                <w:rFonts w:asciiTheme="minorHAnsi" w:hAnsiTheme="minorHAnsi" w:cstheme="minorHAnsi"/>
              </w:rPr>
              <w:tab/>
              <w:t>the Finance Minister may, on behalf of the Commonwealth, authorise the set-off of the whole or a part of the first amount against the whole or a part of the second amount.</w:t>
            </w:r>
          </w:p>
          <w:p w:rsidR="00835DDA" w:rsidRPr="00CE2A06" w:rsidRDefault="00835DDA" w:rsidP="00F67B40">
            <w:pPr>
              <w:pStyle w:val="Boxnumberedparaindent1"/>
              <w:tabs>
                <w:tab w:val="clear" w:pos="1281"/>
                <w:tab w:val="left" w:pos="1276"/>
              </w:tabs>
              <w:spacing w:before="180" w:after="60" w:line="280" w:lineRule="auto"/>
              <w:ind w:left="1276" w:hanging="556"/>
              <w:rPr>
                <w:rFonts w:asciiTheme="minorHAnsi" w:hAnsiTheme="minorHAnsi" w:cstheme="minorHAnsi"/>
              </w:rPr>
            </w:pPr>
            <w:r w:rsidRPr="00CE2A06">
              <w:rPr>
                <w:rFonts w:asciiTheme="minorHAnsi" w:hAnsiTheme="minorHAnsi" w:cstheme="minorHAnsi"/>
              </w:rPr>
              <w:t xml:space="preserve">(1A)   An authorisation of a set-off must be in accordance with any requirements prescribed by the rules. </w:t>
            </w:r>
          </w:p>
          <w:p w:rsidR="00835DDA" w:rsidRPr="00CE2A06" w:rsidRDefault="00835DDA" w:rsidP="00F67B40">
            <w:pPr>
              <w:pStyle w:val="Boxnumberedparaindent1"/>
              <w:spacing w:before="180" w:after="60" w:line="280" w:lineRule="auto"/>
              <w:ind w:left="1276" w:hanging="556"/>
              <w:rPr>
                <w:rFonts w:asciiTheme="minorHAnsi" w:hAnsiTheme="minorHAnsi" w:cstheme="minorHAnsi"/>
              </w:rPr>
            </w:pPr>
            <w:r w:rsidRPr="00CE2A06">
              <w:rPr>
                <w:rFonts w:asciiTheme="minorHAnsi" w:hAnsiTheme="minorHAnsi" w:cstheme="minorHAnsi"/>
              </w:rPr>
              <w:t>(2)</w:t>
            </w:r>
            <w:r w:rsidRPr="00CE2A06">
              <w:rPr>
                <w:rFonts w:asciiTheme="minorHAnsi" w:hAnsiTheme="minorHAnsi" w:cstheme="minorHAnsi"/>
              </w:rPr>
              <w:tab/>
              <w:t>Paragraph (1)(b) does not apply in relation to a payment if:</w:t>
            </w:r>
          </w:p>
          <w:p w:rsidR="00835DDA" w:rsidRPr="00CE2A06" w:rsidRDefault="00835DDA" w:rsidP="00DE026D">
            <w:pPr>
              <w:pStyle w:val="Boxnumberedparaindent1"/>
              <w:numPr>
                <w:ilvl w:val="0"/>
                <w:numId w:val="25"/>
              </w:numPr>
              <w:tabs>
                <w:tab w:val="clear" w:pos="1281"/>
                <w:tab w:val="clear" w:pos="1418"/>
                <w:tab w:val="left" w:pos="1560"/>
              </w:tabs>
              <w:spacing w:before="180" w:after="60" w:line="280" w:lineRule="auto"/>
              <w:ind w:left="1655" w:hanging="357"/>
              <w:rPr>
                <w:rFonts w:asciiTheme="minorHAnsi" w:hAnsiTheme="minorHAnsi" w:cstheme="minorHAnsi"/>
              </w:rPr>
            </w:pPr>
            <w:r w:rsidRPr="00CE2A06">
              <w:rPr>
                <w:rFonts w:asciiTheme="minorHAnsi" w:hAnsiTheme="minorHAnsi" w:cstheme="minorHAnsi"/>
              </w:rPr>
              <w:t>a law of the Commonwealth provides that the payment is inalienable or absolutely inalienable; or</w:t>
            </w:r>
          </w:p>
          <w:p w:rsidR="00835DDA" w:rsidRPr="00CE2A06" w:rsidRDefault="00835DDA" w:rsidP="00DE026D">
            <w:pPr>
              <w:pStyle w:val="Boxnumberedparaindent1"/>
              <w:numPr>
                <w:ilvl w:val="0"/>
                <w:numId w:val="25"/>
              </w:numPr>
              <w:tabs>
                <w:tab w:val="clear" w:pos="1281"/>
                <w:tab w:val="clear" w:pos="1418"/>
                <w:tab w:val="left" w:pos="1560"/>
              </w:tabs>
              <w:spacing w:before="180" w:after="60" w:line="280" w:lineRule="auto"/>
              <w:ind w:left="1655" w:hanging="357"/>
              <w:rPr>
                <w:rFonts w:asciiTheme="minorHAnsi" w:hAnsiTheme="minorHAnsi" w:cstheme="minorHAnsi"/>
              </w:rPr>
            </w:pPr>
            <w:r w:rsidRPr="00CE2A06">
              <w:rPr>
                <w:rFonts w:asciiTheme="minorHAnsi" w:hAnsiTheme="minorHAnsi" w:cstheme="minorHAnsi"/>
              </w:rPr>
              <w:t>a law of the Commonwealth provides that the payment, or the right to the payment, cannot be assigned.</w:t>
            </w:r>
          </w:p>
          <w:p w:rsidR="00835DDA" w:rsidRPr="00CE2A06" w:rsidRDefault="00835DDA" w:rsidP="00F67B40">
            <w:pPr>
              <w:pStyle w:val="Boxnumberedparaindent1"/>
              <w:spacing w:before="180" w:after="60" w:line="280" w:lineRule="auto"/>
              <w:ind w:left="1276" w:hanging="556"/>
              <w:rPr>
                <w:rFonts w:asciiTheme="minorHAnsi" w:hAnsiTheme="minorHAnsi" w:cstheme="minorHAnsi"/>
              </w:rPr>
            </w:pPr>
            <w:r w:rsidRPr="00CE2A06">
              <w:rPr>
                <w:rFonts w:asciiTheme="minorHAnsi" w:hAnsiTheme="minorHAnsi" w:cstheme="minorHAnsi"/>
              </w:rPr>
              <w:t>(3)</w:t>
            </w:r>
            <w:r w:rsidRPr="00CE2A06">
              <w:rPr>
                <w:rFonts w:asciiTheme="minorHAnsi" w:hAnsiTheme="minorHAnsi" w:cstheme="minorHAnsi"/>
              </w:rPr>
              <w:tab/>
              <w:t>To avoid doubt, an amount may be owing to, or by, the Commonwealth even if it is not yet due for payment.</w:t>
            </w:r>
          </w:p>
          <w:p w:rsidR="00835DDA" w:rsidRPr="001678C2" w:rsidRDefault="00835DDA" w:rsidP="00F67B40">
            <w:pPr>
              <w:pStyle w:val="Boxnumberedparaindent1"/>
              <w:spacing w:before="180" w:after="60" w:line="280" w:lineRule="auto"/>
            </w:pPr>
            <w:r w:rsidRPr="00CE2A06">
              <w:rPr>
                <w:rFonts w:asciiTheme="minorHAnsi" w:hAnsiTheme="minorHAnsi" w:cstheme="minorHAnsi"/>
              </w:rPr>
              <w:t>(4)</w:t>
            </w:r>
            <w:r w:rsidRPr="00CE2A06">
              <w:rPr>
                <w:rFonts w:asciiTheme="minorHAnsi" w:hAnsiTheme="minorHAnsi" w:cstheme="minorHAnsi"/>
              </w:rPr>
              <w:tab/>
              <w:t>An authorisation of a set-off is not a legislative instrument.</w:t>
            </w:r>
          </w:p>
        </w:tc>
      </w:tr>
    </w:tbl>
    <w:p w:rsidR="00835DDA" w:rsidRPr="00DE026D" w:rsidRDefault="00835DDA"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t xml:space="preserve">If an NCE receives a request for set-off under section 64 of the PGPA Act, the NCE must contact Discretionary Payments </w:t>
      </w:r>
      <w:r w:rsidR="00153755">
        <w:rPr>
          <w:rFonts w:asciiTheme="minorHAnsi" w:eastAsiaTheme="minorHAnsi" w:hAnsiTheme="minorHAnsi" w:cstheme="minorBidi"/>
        </w:rPr>
        <w:t>within</w:t>
      </w:r>
      <w:r w:rsidRPr="00DE026D">
        <w:rPr>
          <w:rFonts w:asciiTheme="minorHAnsi" w:eastAsiaTheme="minorHAnsi" w:hAnsiTheme="minorHAnsi" w:cstheme="minorBidi"/>
        </w:rPr>
        <w:t xml:space="preserve"> Finance to discuss handling of the matter.</w:t>
      </w:r>
      <w:r w:rsidR="004B72AB">
        <w:rPr>
          <w:rFonts w:asciiTheme="minorHAnsi" w:eastAsiaTheme="minorHAnsi" w:hAnsiTheme="minorHAnsi" w:cstheme="minorBidi"/>
        </w:rPr>
        <w:t xml:space="preserve"> There are no delegations from the Finance Minister to NCEs in respect of section 64 of the PGPA Act.</w:t>
      </w:r>
    </w:p>
    <w:p w:rsidR="00DF1A9F" w:rsidRDefault="00DF1A9F">
      <w:pPr>
        <w:suppressAutoHyphens w:val="0"/>
        <w:spacing w:before="0" w:after="120" w:line="440" w:lineRule="atLeast"/>
      </w:pPr>
      <w:r>
        <w:br w:type="page"/>
      </w:r>
    </w:p>
    <w:p w:rsidR="00835DDA" w:rsidRPr="00DE026D" w:rsidRDefault="00835DDA" w:rsidP="00DE026D">
      <w:pPr>
        <w:pStyle w:val="ListParagraph"/>
        <w:numPr>
          <w:ilvl w:val="0"/>
          <w:numId w:val="26"/>
        </w:numPr>
        <w:spacing w:before="180" w:after="60" w:line="280" w:lineRule="auto"/>
        <w:ind w:hanging="426"/>
        <w:rPr>
          <w:rFonts w:asciiTheme="minorHAnsi" w:eastAsiaTheme="minorHAnsi" w:hAnsiTheme="minorHAnsi" w:cstheme="minorBidi"/>
        </w:rPr>
      </w:pPr>
      <w:r w:rsidRPr="00DE026D">
        <w:rPr>
          <w:rFonts w:asciiTheme="minorHAnsi" w:eastAsiaTheme="minorHAnsi" w:hAnsiTheme="minorHAnsi" w:cstheme="minorBidi"/>
        </w:rPr>
        <w:lastRenderedPageBreak/>
        <w:t xml:space="preserve">If set-off of an amount of more than $500,000 is proposed, section 24 of the PGPA Rule requires the Finance Minister to first consider the report of an advisory committee. </w:t>
      </w:r>
      <w:r w:rsidR="000754F4" w:rsidRPr="00DE026D">
        <w:rPr>
          <w:rFonts w:asciiTheme="minorHAnsi" w:eastAsiaTheme="minorHAnsi" w:hAnsiTheme="minorHAnsi" w:cstheme="minorBidi"/>
        </w:rPr>
        <w:t xml:space="preserve">The advisory committee </w:t>
      </w:r>
      <w:r w:rsidR="000754F4">
        <w:rPr>
          <w:rFonts w:asciiTheme="minorHAnsi" w:eastAsiaTheme="minorHAnsi" w:hAnsiTheme="minorHAnsi" w:cstheme="minorBidi"/>
        </w:rPr>
        <w:t xml:space="preserve">must consist of: </w:t>
      </w:r>
      <w:r w:rsidR="000754F4" w:rsidRPr="00DE026D">
        <w:rPr>
          <w:rFonts w:asciiTheme="minorHAnsi" w:eastAsiaTheme="minorHAnsi" w:hAnsiTheme="minorHAnsi" w:cstheme="minorBidi"/>
        </w:rPr>
        <w:t xml:space="preserve">the Secretary of the </w:t>
      </w:r>
      <w:r w:rsidR="000754F4">
        <w:rPr>
          <w:rFonts w:asciiTheme="minorHAnsi" w:eastAsiaTheme="minorHAnsi" w:hAnsiTheme="minorHAnsi" w:cstheme="minorBidi"/>
        </w:rPr>
        <w:t xml:space="preserve">Department </w:t>
      </w:r>
      <w:r w:rsidR="000754F4" w:rsidRPr="00D03CFC">
        <w:rPr>
          <w:rFonts w:asciiTheme="minorHAnsi" w:eastAsiaTheme="minorHAnsi" w:hAnsiTheme="minorHAnsi" w:cstheme="minorBidi"/>
        </w:rPr>
        <w:t xml:space="preserve">responsible for administering the </w:t>
      </w:r>
      <w:r w:rsidR="000754F4" w:rsidRPr="00D03CFC">
        <w:rPr>
          <w:rFonts w:asciiTheme="minorHAnsi" w:eastAsiaTheme="minorHAnsi" w:hAnsiTheme="minorHAnsi" w:cstheme="minorBidi"/>
          <w:i/>
          <w:iCs/>
        </w:rPr>
        <w:t xml:space="preserve">Infrastructure Australia Act 2008; </w:t>
      </w:r>
      <w:r w:rsidR="000754F4" w:rsidRPr="00D03CFC">
        <w:rPr>
          <w:rFonts w:asciiTheme="minorHAnsi" w:eastAsiaTheme="minorHAnsi" w:hAnsiTheme="minorHAnsi" w:cstheme="minorBidi"/>
          <w:iCs/>
        </w:rPr>
        <w:t>the Finance Secretary</w:t>
      </w:r>
      <w:r w:rsidR="000754F4">
        <w:rPr>
          <w:rFonts w:asciiTheme="minorHAnsi" w:eastAsiaTheme="minorHAnsi" w:hAnsiTheme="minorHAnsi" w:cstheme="minorBidi"/>
          <w:i/>
          <w:iCs/>
        </w:rPr>
        <w:t xml:space="preserve">, </w:t>
      </w:r>
      <w:r w:rsidR="000754F4" w:rsidRPr="00DE026D">
        <w:rPr>
          <w:rFonts w:asciiTheme="minorHAnsi" w:eastAsiaTheme="minorHAnsi" w:hAnsiTheme="minorHAnsi" w:cstheme="minorBidi"/>
        </w:rPr>
        <w:t>and the accountable authority of the NCE responsible for the matter.</w:t>
      </w:r>
      <w:r w:rsidRPr="00DE026D">
        <w:rPr>
          <w:rFonts w:asciiTheme="minorHAnsi" w:eastAsiaTheme="minorHAnsi" w:hAnsiTheme="minorHAnsi" w:cstheme="minorBidi"/>
        </w:rPr>
        <w:t xml:space="preserve"> The Department of Finance will liaise with the relevant NCE on matters that require an advisory committee report. </w:t>
      </w:r>
      <w:bookmarkEnd w:id="37"/>
    </w:p>
    <w:sectPr w:rsidR="00835DDA" w:rsidRPr="00DE026D" w:rsidSect="008E77E7">
      <w:headerReference w:type="default" r:id="rId17"/>
      <w:footerReference w:type="default" r:id="rId18"/>
      <w:headerReference w:type="first" r:id="rId19"/>
      <w:footerReference w:type="first" r:id="rId20"/>
      <w:type w:val="continuous"/>
      <w:pgSz w:w="11906" w:h="16838" w:code="9"/>
      <w:pgMar w:top="1276" w:right="849" w:bottom="56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0D0" w:rsidRDefault="00EA60D0" w:rsidP="00EF4574">
      <w:pPr>
        <w:spacing w:before="0" w:after="0" w:line="240" w:lineRule="auto"/>
      </w:pPr>
      <w:r>
        <w:separator/>
      </w:r>
    </w:p>
    <w:p w:rsidR="00EA60D0" w:rsidRDefault="00EA60D0"/>
  </w:endnote>
  <w:endnote w:type="continuationSeparator" w:id="0">
    <w:p w:rsidR="00EA60D0" w:rsidRDefault="00EA60D0" w:rsidP="00EF4574">
      <w:pPr>
        <w:spacing w:before="0" w:after="0" w:line="240" w:lineRule="auto"/>
      </w:pPr>
      <w:r>
        <w:continuationSeparator/>
      </w:r>
    </w:p>
    <w:p w:rsidR="00EA60D0" w:rsidRDefault="00EA6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D68" w:rsidRDefault="00751D68" w:rsidP="005B696C">
    <w:pPr>
      <w:pStyle w:val="Footer"/>
    </w:pPr>
    <w:r>
      <w:rPr>
        <w:noProof/>
        <w:lang w:eastAsia="en-AU"/>
      </w:rPr>
      <mc:AlternateContent>
        <mc:Choice Requires="wps">
          <w:drawing>
            <wp:anchor distT="0" distB="0" distL="114300" distR="114300" simplePos="0" relativeHeight="251651065" behindDoc="1" locked="0" layoutInCell="1" allowOverlap="1" wp14:anchorId="0DC16AFD" wp14:editId="503225FB">
              <wp:simplePos x="0" y="0"/>
              <wp:positionH relativeFrom="page">
                <wp:posOffset>6341926</wp:posOffset>
              </wp:positionH>
              <wp:positionV relativeFrom="page">
                <wp:posOffset>10076815</wp:posOffset>
              </wp:positionV>
              <wp:extent cx="324000" cy="324000"/>
              <wp:effectExtent l="0" t="0" r="19050" b="19050"/>
              <wp:wrapNone/>
              <wp:docPr id="5" name="Oval 5"/>
              <wp:cNvGraphicFramePr/>
              <a:graphic xmlns:a="http://schemas.openxmlformats.org/drawingml/2006/main">
                <a:graphicData uri="http://schemas.microsoft.com/office/word/2010/wordprocessingShape">
                  <wps:wsp>
                    <wps:cNvSpPr/>
                    <wps:spPr>
                      <a:xfrm>
                        <a:off x="0" y="0"/>
                        <a:ext cx="324000" cy="324000"/>
                      </a:xfrm>
                      <a:prstGeom prst="ellipse">
                        <a:avLst/>
                      </a:prstGeom>
                      <a:solidFill>
                        <a:schemeClr val="accent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1D68" w:rsidRDefault="00751D68" w:rsidP="005B69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C16AFD" id="Oval 5" o:spid="_x0000_s1026" style="position:absolute;margin-left:499.35pt;margin-top:793.45pt;width:25.5pt;height:25.5pt;z-index:-251665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" fillcolor="#bddcdf [3204]" strokecolor="#1c1c1c [3215]" strokeweight=".5pt">
              <v:stroke joinstyle="miter"/>
              <v:textbox>
                <w:txbxContent>
                  <w:p w:rsidR="00751D68" w:rsidRDefault="00751D68" w:rsidP="005B696C">
                    <w:pPr>
                      <w:jc w:val="center"/>
                    </w:pPr>
                  </w:p>
                </w:txbxContent>
              </v:textbox>
              <w10:wrap anchorx="page" anchory="page"/>
            </v:oval>
          </w:pict>
        </mc:Fallback>
      </mc:AlternateContent>
    </w:r>
    <w:r>
      <w:tab/>
    </w:r>
    <w:r>
      <w:tab/>
    </w:r>
    <w:r>
      <w:fldChar w:fldCharType="begin"/>
    </w:r>
    <w:r>
      <w:instrText xml:space="preserve"> PAGE   \* MERGEFORMAT </w:instrText>
    </w:r>
    <w:r>
      <w:fldChar w:fldCharType="separate"/>
    </w:r>
    <w:r w:rsidR="002B2522">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D68" w:rsidRDefault="00751D68">
    <w:pPr>
      <w:pStyle w:val="Footer"/>
    </w:pPr>
  </w:p>
  <w:p w:rsidR="00751D68" w:rsidRDefault="00751D68" w:rsidP="000A6A8B">
    <w:pPr>
      <w:pStyle w:val="Footer"/>
      <w:jc w:val="center"/>
      <w:rPr>
        <w:rStyle w:val="Classification"/>
      </w:rPr>
    </w:pPr>
  </w:p>
  <w:p w:rsidR="00751D68" w:rsidRPr="000A6A8B" w:rsidRDefault="00751D68" w:rsidP="000A6A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0D0" w:rsidRDefault="00EA60D0" w:rsidP="0020122A">
      <w:pPr>
        <w:pStyle w:val="FootnoteSeparator"/>
      </w:pPr>
    </w:p>
  </w:footnote>
  <w:footnote w:type="continuationSeparator" w:id="0">
    <w:p w:rsidR="00EA60D0" w:rsidRDefault="00EA60D0" w:rsidP="00EF4574">
      <w:pPr>
        <w:spacing w:before="0" w:after="0" w:line="240" w:lineRule="auto"/>
      </w:pPr>
      <w:r>
        <w:continuationSeparator/>
      </w:r>
    </w:p>
    <w:p w:rsidR="00EA60D0" w:rsidRDefault="00EA60D0"/>
  </w:footnote>
  <w:footnote w:id="1">
    <w:p w:rsidR="00751D68" w:rsidRDefault="00751D68" w:rsidP="00AE6C0D">
      <w:pPr>
        <w:pStyle w:val="FootnoteText"/>
        <w:tabs>
          <w:tab w:val="left" w:pos="142"/>
        </w:tabs>
        <w:ind w:left="142" w:hanging="142"/>
      </w:pPr>
      <w:r>
        <w:rPr>
          <w:rStyle w:val="FootnoteReference"/>
        </w:rPr>
        <w:footnoteRef/>
      </w:r>
      <w:r>
        <w:t xml:space="preserve"> </w:t>
      </w:r>
      <w:r>
        <w:tab/>
      </w:r>
      <w:r w:rsidRPr="003F19C3">
        <w:rPr>
          <w:rFonts w:asciiTheme="majorHAnsi" w:hAnsiTheme="majorHAnsi"/>
          <w:sz w:val="18"/>
          <w:szCs w:val="18"/>
        </w:rPr>
        <w:t xml:space="preserve">Certain legislation has specific waiver provisions for circumstances where a debt has arisen solely due to the error of an </w:t>
      </w:r>
      <w:r>
        <w:rPr>
          <w:rFonts w:asciiTheme="majorHAnsi" w:hAnsiTheme="majorHAnsi"/>
          <w:sz w:val="18"/>
          <w:szCs w:val="18"/>
        </w:rPr>
        <w:t>NCE</w:t>
      </w:r>
      <w:r w:rsidRPr="003F19C3">
        <w:rPr>
          <w:rFonts w:asciiTheme="majorHAnsi" w:hAnsiTheme="majorHAnsi"/>
          <w:sz w:val="18"/>
          <w:szCs w:val="18"/>
        </w:rPr>
        <w:t>. Some debts may also be found to be irrecoverable at law.</w:t>
      </w:r>
    </w:p>
  </w:footnote>
  <w:footnote w:id="2">
    <w:p w:rsidR="00751D68" w:rsidRPr="003F19C3" w:rsidRDefault="00751D68" w:rsidP="00AE6C0D">
      <w:pPr>
        <w:pStyle w:val="FootnoteText"/>
        <w:tabs>
          <w:tab w:val="left" w:pos="0"/>
        </w:tabs>
        <w:spacing w:after="120"/>
        <w:ind w:left="0" w:firstLine="0"/>
        <w:rPr>
          <w:rFonts w:asciiTheme="majorHAnsi" w:hAnsiTheme="majorHAnsi"/>
          <w:sz w:val="18"/>
          <w:szCs w:val="18"/>
        </w:rPr>
      </w:pPr>
      <w:r w:rsidRPr="003F19C3">
        <w:rPr>
          <w:rFonts w:asciiTheme="majorHAnsi" w:hAnsiTheme="majorHAnsi"/>
          <w:sz w:val="18"/>
          <w:szCs w:val="18"/>
          <w:vertAlign w:val="superscript"/>
        </w:rPr>
        <w:footnoteRef/>
      </w:r>
      <w:r w:rsidRPr="003F19C3">
        <w:rPr>
          <w:rFonts w:asciiTheme="majorHAnsi" w:hAnsiTheme="majorHAnsi"/>
          <w:sz w:val="18"/>
          <w:szCs w:val="18"/>
        </w:rPr>
        <w:t xml:space="preserve"> This is because the companies, rather than the individuals invo</w:t>
      </w:r>
      <w:r>
        <w:rPr>
          <w:rFonts w:asciiTheme="majorHAnsi" w:hAnsiTheme="majorHAnsi"/>
          <w:sz w:val="18"/>
          <w:szCs w:val="18"/>
        </w:rPr>
        <w:t>lved, are liable for the debts.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D68" w:rsidRPr="00DB6D69" w:rsidRDefault="00751D68">
    <w:pPr>
      <w:pStyle w:val="Header"/>
      <w:rPr>
        <w:b/>
      </w:rPr>
    </w:pPr>
    <w:r w:rsidRPr="00DB6D69">
      <w:rPr>
        <w:b/>
      </w:rPr>
      <w:t>Department of Finance</w:t>
    </w:r>
  </w:p>
  <w:p w:rsidR="00751D68" w:rsidRPr="00B422B2" w:rsidRDefault="00751D68" w:rsidP="00F67B40">
    <w:pPr>
      <w:pStyle w:val="Header"/>
      <w:ind w:left="-426"/>
      <w:rPr>
        <w:sz w:val="16"/>
        <w:szCs w:val="16"/>
      </w:rPr>
    </w:pPr>
    <w:r w:rsidRPr="00B422B2">
      <w:t>RMG-401</w:t>
    </w:r>
    <w:r w:rsidRPr="00B422B2">
      <w:rPr>
        <w:sz w:val="16"/>
        <w:szCs w:val="16"/>
      </w:rPr>
      <w:t xml:space="preserve">: </w:t>
    </w:r>
    <w:r w:rsidRPr="00B422B2">
      <w:rPr>
        <w:rFonts w:ascii="Arial" w:hAnsi="Arial" w:cs="Arial"/>
        <w:sz w:val="16"/>
        <w:szCs w:val="16"/>
      </w:rPr>
      <w:t xml:space="preserve">Requests for discretionary financial assistance under the </w:t>
    </w:r>
    <w:r w:rsidRPr="00B422B2">
      <w:rPr>
        <w:rFonts w:ascii="Arial" w:hAnsi="Arial" w:cs="Arial"/>
        <w:i/>
        <w:sz w:val="16"/>
        <w:szCs w:val="16"/>
      </w:rPr>
      <w:t>Public Governance, Performance and Accountability Act 2013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D68" w:rsidRDefault="00751D68" w:rsidP="000A6A8B">
    <w:pPr>
      <w:pStyle w:val="Header"/>
      <w:jc w:val="center"/>
    </w:pPr>
    <w:r>
      <w:rPr>
        <w:noProof/>
        <w:lang w:eastAsia="en-AU"/>
      </w:rPr>
      <w:drawing>
        <wp:anchor distT="0" distB="0" distL="114300" distR="114300" simplePos="0" relativeHeight="251654140" behindDoc="1" locked="0" layoutInCell="1" allowOverlap="1" wp14:anchorId="2EE7DF42" wp14:editId="106CAEFC">
          <wp:simplePos x="0" y="0"/>
          <wp:positionH relativeFrom="page">
            <wp:posOffset>0</wp:posOffset>
          </wp:positionH>
          <wp:positionV relativeFrom="page">
            <wp:posOffset>0</wp:posOffset>
          </wp:positionV>
          <wp:extent cx="7559640" cy="1069416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nce_Long_Report_Mask.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4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3115" behindDoc="1" locked="0" layoutInCell="1" allowOverlap="1" wp14:anchorId="3481C261" wp14:editId="710ACBFE">
              <wp:simplePos x="0" y="0"/>
              <wp:positionH relativeFrom="column">
                <wp:posOffset>-633730</wp:posOffset>
              </wp:positionH>
              <wp:positionV relativeFrom="paragraph">
                <wp:posOffset>2319655</wp:posOffset>
              </wp:positionV>
              <wp:extent cx="7086600" cy="3949700"/>
              <wp:effectExtent l="0" t="0" r="0" b="0"/>
              <wp:wrapNone/>
              <wp:docPr id="4" name="Isosceles Triangle 4"/>
              <wp:cNvGraphicFramePr/>
              <a:graphic xmlns:a="http://schemas.openxmlformats.org/drawingml/2006/main">
                <a:graphicData uri="http://schemas.microsoft.com/office/word/2010/wordprocessingShape">
                  <wps:wsp>
                    <wps:cNvSpPr/>
                    <wps:spPr>
                      <a:xfrm>
                        <a:off x="0" y="0"/>
                        <a:ext cx="7086600" cy="39497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084B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49.9pt;margin-top:182.65pt;width:558pt;height:311pt;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" adj="21600" fillcolor="#92c5c5 [3205]" stroked="f" strokeweight="1pt"/>
          </w:pict>
        </mc:Fallback>
      </mc:AlternateContent>
    </w:r>
    <w:r>
      <w:rPr>
        <w:noProof/>
        <w:lang w:eastAsia="en-AU"/>
      </w:rPr>
      <mc:AlternateContent>
        <mc:Choice Requires="wps">
          <w:drawing>
            <wp:anchor distT="0" distB="0" distL="114300" distR="114300" simplePos="0" relativeHeight="251652090" behindDoc="1" locked="0" layoutInCell="1" allowOverlap="1" wp14:anchorId="4640B76C" wp14:editId="3BC996A8">
              <wp:simplePos x="0" y="0"/>
              <wp:positionH relativeFrom="column">
                <wp:posOffset>-633730</wp:posOffset>
              </wp:positionH>
              <wp:positionV relativeFrom="paragraph">
                <wp:posOffset>2624455</wp:posOffset>
              </wp:positionV>
              <wp:extent cx="7086600" cy="7467600"/>
              <wp:effectExtent l="0" t="0" r="0" b="0"/>
              <wp:wrapNone/>
              <wp:docPr id="2" name="Rectangle 2"/>
              <wp:cNvGraphicFramePr/>
              <a:graphic xmlns:a="http://schemas.openxmlformats.org/drawingml/2006/main">
                <a:graphicData uri="http://schemas.microsoft.com/office/word/2010/wordprocessingShape">
                  <wps:wsp>
                    <wps:cNvSpPr/>
                    <wps:spPr>
                      <a:xfrm>
                        <a:off x="0" y="0"/>
                        <a:ext cx="7086600" cy="746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E0EDA" id="Rectangle 2" o:spid="_x0000_s1026" style="position:absolute;margin-left:-49.9pt;margin-top:206.65pt;width:558pt;height:588pt;z-index:-251664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" fillcolor="#bddcdf [3204]" stroked="f" strokeweight="1pt"/>
          </w:pict>
        </mc:Fallback>
      </mc:AlternateContent>
    </w:r>
    <w:r>
      <w:rPr>
        <w:noProof/>
        <w:lang w:eastAsia="en-AU"/>
      </w:rPr>
      <w:drawing>
        <wp:anchor distT="0" distB="0" distL="114300" distR="114300" simplePos="0" relativeHeight="251658240" behindDoc="0" locked="0" layoutInCell="1" allowOverlap="1" wp14:anchorId="3FA57E80" wp14:editId="4AF2DBAD">
          <wp:simplePos x="0" y="0"/>
          <wp:positionH relativeFrom="page">
            <wp:posOffset>900430</wp:posOffset>
          </wp:positionH>
          <wp:positionV relativeFrom="page">
            <wp:posOffset>900430</wp:posOffset>
          </wp:positionV>
          <wp:extent cx="2350800" cy="5749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nce_Logo.png"/>
                  <pic:cNvPicPr/>
                </pic:nvPicPr>
                <pic:blipFill>
                  <a:blip r:embed="rId2">
                    <a:extLst>
                      <a:ext uri="{28A0092B-C50C-407E-A947-70E740481C1C}">
                        <a14:useLocalDpi xmlns:a14="http://schemas.microsoft.com/office/drawing/2010/main" val="0"/>
                      </a:ext>
                    </a:extLst>
                  </a:blip>
                  <a:stretch>
                    <a:fillRect/>
                  </a:stretch>
                </pic:blipFill>
                <pic:spPr>
                  <a:xfrm>
                    <a:off x="0" y="0"/>
                    <a:ext cx="2350800" cy="574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583" w:hanging="425"/>
      </w:pPr>
      <w:rPr>
        <w:rFonts w:ascii="Cambria" w:hAnsi="Cambria" w:cs="Cambria"/>
        <w:b w:val="0"/>
        <w:bCs w:val="0"/>
        <w:w w:val="100"/>
        <w:sz w:val="22"/>
        <w:szCs w:val="22"/>
      </w:rPr>
    </w:lvl>
    <w:lvl w:ilvl="1">
      <w:numFmt w:val="bullet"/>
      <w:lvlText w:val="•"/>
      <w:lvlJc w:val="left"/>
      <w:pPr>
        <w:ind w:left="1455" w:hanging="425"/>
      </w:pPr>
    </w:lvl>
    <w:lvl w:ilvl="2">
      <w:numFmt w:val="bullet"/>
      <w:lvlText w:val="•"/>
      <w:lvlJc w:val="left"/>
      <w:pPr>
        <w:ind w:left="2331" w:hanging="425"/>
      </w:pPr>
    </w:lvl>
    <w:lvl w:ilvl="3">
      <w:numFmt w:val="bullet"/>
      <w:lvlText w:val="•"/>
      <w:lvlJc w:val="left"/>
      <w:pPr>
        <w:ind w:left="3207" w:hanging="425"/>
      </w:pPr>
    </w:lvl>
    <w:lvl w:ilvl="4">
      <w:numFmt w:val="bullet"/>
      <w:lvlText w:val="•"/>
      <w:lvlJc w:val="left"/>
      <w:pPr>
        <w:ind w:left="4083" w:hanging="425"/>
      </w:pPr>
    </w:lvl>
    <w:lvl w:ilvl="5">
      <w:numFmt w:val="bullet"/>
      <w:lvlText w:val="•"/>
      <w:lvlJc w:val="left"/>
      <w:pPr>
        <w:ind w:left="4959" w:hanging="425"/>
      </w:pPr>
    </w:lvl>
    <w:lvl w:ilvl="6">
      <w:numFmt w:val="bullet"/>
      <w:lvlText w:val="•"/>
      <w:lvlJc w:val="left"/>
      <w:pPr>
        <w:ind w:left="5835" w:hanging="425"/>
      </w:pPr>
    </w:lvl>
    <w:lvl w:ilvl="7">
      <w:numFmt w:val="bullet"/>
      <w:lvlText w:val="•"/>
      <w:lvlJc w:val="left"/>
      <w:pPr>
        <w:ind w:left="6711" w:hanging="425"/>
      </w:pPr>
    </w:lvl>
    <w:lvl w:ilvl="8">
      <w:numFmt w:val="bullet"/>
      <w:lvlText w:val="•"/>
      <w:lvlJc w:val="left"/>
      <w:pPr>
        <w:ind w:left="7587" w:hanging="425"/>
      </w:pPr>
    </w:lvl>
  </w:abstractNum>
  <w:abstractNum w:abstractNumId="1" w15:restartNumberingAfterBreak="0">
    <w:nsid w:val="08043CFF"/>
    <w:multiLevelType w:val="hybridMultilevel"/>
    <w:tmpl w:val="6E3C5AF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A2F6B80"/>
    <w:multiLevelType w:val="multilevel"/>
    <w:tmpl w:val="D7C2EA40"/>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F2B06C2"/>
    <w:multiLevelType w:val="hybridMultilevel"/>
    <w:tmpl w:val="0DA4D086"/>
    <w:lvl w:ilvl="0" w:tplc="97A05EEC">
      <w:start w:val="1"/>
      <w:numFmt w:val="lowerLetter"/>
      <w:lvlText w:val="(%1)"/>
      <w:lvlJc w:val="left"/>
      <w:pPr>
        <w:ind w:left="1656" w:hanging="360"/>
      </w:pPr>
      <w:rPr>
        <w:rFonts w:hint="default"/>
      </w:rPr>
    </w:lvl>
    <w:lvl w:ilvl="1" w:tplc="0C090019" w:tentative="1">
      <w:start w:val="1"/>
      <w:numFmt w:val="lowerLetter"/>
      <w:lvlText w:val="%2."/>
      <w:lvlJc w:val="left"/>
      <w:pPr>
        <w:ind w:left="2376" w:hanging="360"/>
      </w:pPr>
    </w:lvl>
    <w:lvl w:ilvl="2" w:tplc="0C09001B" w:tentative="1">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abstractNum w:abstractNumId="4" w15:restartNumberingAfterBreak="0">
    <w:nsid w:val="11BD4530"/>
    <w:multiLevelType w:val="multilevel"/>
    <w:tmpl w:val="E1EEE818"/>
    <w:lvl w:ilvl="0">
      <w:start w:val="1"/>
      <w:numFmt w:val="bullet"/>
      <w:pStyle w:val="Bullet2"/>
      <w:lvlText w:val="o"/>
      <w:lvlJc w:val="left"/>
      <w:pPr>
        <w:ind w:left="284" w:hanging="284"/>
      </w:pPr>
      <w:rPr>
        <w:rFonts w:ascii="Courier New" w:hAnsi="Courier New" w:cs="Courier New"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33E5C32"/>
    <w:multiLevelType w:val="hybridMultilevel"/>
    <w:tmpl w:val="4D4CD42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92E311A"/>
    <w:multiLevelType w:val="hybridMultilevel"/>
    <w:tmpl w:val="0DA4D086"/>
    <w:lvl w:ilvl="0" w:tplc="97A05EEC">
      <w:start w:val="1"/>
      <w:numFmt w:val="lowerLetter"/>
      <w:lvlText w:val="(%1)"/>
      <w:lvlJc w:val="left"/>
      <w:pPr>
        <w:ind w:left="1656" w:hanging="360"/>
      </w:pPr>
      <w:rPr>
        <w:rFonts w:hint="default"/>
      </w:rPr>
    </w:lvl>
    <w:lvl w:ilvl="1" w:tplc="0C090019" w:tentative="1">
      <w:start w:val="1"/>
      <w:numFmt w:val="lowerLetter"/>
      <w:lvlText w:val="%2."/>
      <w:lvlJc w:val="left"/>
      <w:pPr>
        <w:ind w:left="2376" w:hanging="360"/>
      </w:pPr>
    </w:lvl>
    <w:lvl w:ilvl="2" w:tplc="0C09001B" w:tentative="1">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abstractNum w:abstractNumId="7" w15:restartNumberingAfterBreak="0">
    <w:nsid w:val="19D8176B"/>
    <w:multiLevelType w:val="hybridMultilevel"/>
    <w:tmpl w:val="8D4E8DE6"/>
    <w:lvl w:ilvl="0" w:tplc="2FCC1686">
      <w:start w:val="1"/>
      <w:numFmt w:val="bullet"/>
      <w:pStyle w:val="Bullets2ndinden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4214C9"/>
    <w:multiLevelType w:val="multilevel"/>
    <w:tmpl w:val="0D18962A"/>
    <w:styleLink w:val="Bullets"/>
    <w:lvl w:ilvl="0">
      <w:start w:val="1"/>
      <w:numFmt w:val="bullet"/>
      <w:pStyle w:val="FCList"/>
      <w:lvlText w:val="•"/>
      <w:lvlJc w:val="left"/>
      <w:pPr>
        <w:tabs>
          <w:tab w:val="num" w:pos="284"/>
        </w:tabs>
        <w:ind w:left="284" w:hanging="284"/>
      </w:pPr>
      <w:rPr>
        <w:rFonts w:ascii="Cambria" w:hAnsi="Cambria" w:hint="default"/>
        <w:color w:val="C2B000"/>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9F853F7"/>
    <w:multiLevelType w:val="hybridMultilevel"/>
    <w:tmpl w:val="FAC4D8D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30C1B1A"/>
    <w:multiLevelType w:val="hybridMultilevel"/>
    <w:tmpl w:val="B998A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4F29A9"/>
    <w:multiLevelType w:val="multilevel"/>
    <w:tmpl w:val="F6CEDDC4"/>
    <w:lvl w:ilvl="0">
      <w:start w:val="1"/>
      <w:numFmt w:val="decimal"/>
      <w:lvlText w:val="%1."/>
      <w:lvlJc w:val="left"/>
      <w:pPr>
        <w:ind w:left="284" w:hanging="284"/>
      </w:pPr>
      <w:rPr>
        <w:rFonts w:hint="default"/>
      </w:rPr>
    </w:lvl>
    <w:lvl w:ilvl="1">
      <w:start w:val="1"/>
      <w:numFmt w:val="bullet"/>
      <w:lvlText w:val="–"/>
      <w:lvlJc w:val="left"/>
      <w:pPr>
        <w:ind w:left="568" w:hanging="284"/>
      </w:pPr>
      <w:rPr>
        <w:rFonts w:ascii="Arial" w:hAnsi="Arial" w:hint="default"/>
      </w:rPr>
    </w:lvl>
    <w:lvl w:ilvl="2">
      <w:start w:val="1"/>
      <w:numFmt w:val="bullet"/>
      <w:pStyle w:val="Bullet1"/>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9AE7E5B"/>
    <w:multiLevelType w:val="multilevel"/>
    <w:tmpl w:val="668EE5C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3DA76F61"/>
    <w:multiLevelType w:val="hybridMultilevel"/>
    <w:tmpl w:val="34225584"/>
    <w:lvl w:ilvl="0" w:tplc="41DE478A">
      <w:start w:val="23"/>
      <w:numFmt w:val="decimal"/>
      <w:lvlText w:val="%1."/>
      <w:lvlJc w:val="left"/>
      <w:pPr>
        <w:ind w:left="42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0F869C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9340D7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F3CA30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33C5D5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B38D30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FB6CCB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95A1D5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5D696C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87D31C8"/>
    <w:multiLevelType w:val="hybridMultilevel"/>
    <w:tmpl w:val="6C78A2C8"/>
    <w:lvl w:ilvl="0" w:tplc="77F6B5E2">
      <w:start w:val="1"/>
      <w:numFmt w:val="bullet"/>
      <w:pStyle w:val="Bullets1stindent"/>
      <w:lvlText w:val=""/>
      <w:lvlJc w:val="left"/>
      <w:pPr>
        <w:ind w:left="720" w:hanging="360"/>
      </w:pPr>
      <w:rPr>
        <w:rFonts w:ascii="Symbol" w:hAnsi="Symbol" w:hint="default"/>
      </w:rPr>
    </w:lvl>
    <w:lvl w:ilvl="1" w:tplc="0C090017">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6" w15:restartNumberingAfterBreak="0">
    <w:nsid w:val="4B45690C"/>
    <w:multiLevelType w:val="multilevel"/>
    <w:tmpl w:val="E37458BA"/>
    <w:lvl w:ilvl="0">
      <w:start w:val="1"/>
      <w:numFmt w:val="bullet"/>
      <w:pStyle w:val="Bullet3"/>
      <w:lvlText w:val=""/>
      <w:lvlJc w:val="left"/>
      <w:pPr>
        <w:ind w:left="284" w:hanging="284"/>
      </w:pPr>
      <w:rPr>
        <w:rFonts w:ascii="Wingdings" w:hAnsi="Wingding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F1523F7"/>
    <w:multiLevelType w:val="multilevel"/>
    <w:tmpl w:val="1C5C7DB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8" w15:restartNumberingAfterBreak="0">
    <w:nsid w:val="4F467C1E"/>
    <w:multiLevelType w:val="hybridMultilevel"/>
    <w:tmpl w:val="BA92263A"/>
    <w:lvl w:ilvl="0" w:tplc="0C090003">
      <w:start w:val="1"/>
      <w:numFmt w:val="bullet"/>
      <w:lvlText w:val="o"/>
      <w:lvlJc w:val="left"/>
      <w:pPr>
        <w:ind w:left="1211"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6D3610"/>
    <w:multiLevelType w:val="hybridMultilevel"/>
    <w:tmpl w:val="B10CC342"/>
    <w:lvl w:ilvl="0" w:tplc="DA9ADA0C">
      <w:start w:val="1"/>
      <w:numFmt w:val="decimal"/>
      <w:lvlText w:val="(%1)"/>
      <w:lvlJc w:val="left"/>
      <w:pPr>
        <w:ind w:left="1275" w:hanging="555"/>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3EC49A7"/>
    <w:multiLevelType w:val="hybridMultilevel"/>
    <w:tmpl w:val="EFC6007C"/>
    <w:lvl w:ilvl="0" w:tplc="93384DE0">
      <w:start w:val="1"/>
      <w:numFmt w:val="decimal"/>
      <w:pStyle w:val="ListParagraph"/>
      <w:lvlText w:val="%1."/>
      <w:lvlJc w:val="left"/>
      <w:pPr>
        <w:ind w:left="360" w:hanging="360"/>
      </w:pPr>
      <w:rPr>
        <w:rFonts w:hint="default"/>
      </w:rPr>
    </w:lvl>
    <w:lvl w:ilvl="1" w:tplc="A7ACFB9C">
      <w:start w:val="1"/>
      <w:numFmt w:val="lowerLetter"/>
      <w:lvlText w:val="%2."/>
      <w:lvlJc w:val="left"/>
      <w:pPr>
        <w:ind w:left="1440" w:hanging="360"/>
      </w:pPr>
      <w:rPr>
        <w:rFonts w:hint="default"/>
      </w:rPr>
    </w:lvl>
    <w:lvl w:ilvl="2" w:tplc="FDDA3FAC">
      <w:start w:val="1"/>
      <w:numFmt w:val="bullet"/>
      <w:lvlText w:val="–"/>
      <w:lvlJc w:val="left"/>
      <w:pPr>
        <w:ind w:left="2160" w:hanging="180"/>
      </w:pPr>
      <w:rPr>
        <w:rFonts w:ascii="Calibri" w:hAnsi="Calibri" w:hint="default"/>
      </w:rPr>
    </w:lvl>
    <w:lvl w:ilvl="3" w:tplc="0C09000F">
      <w:start w:val="1"/>
      <w:numFmt w:val="decimal"/>
      <w:lvlText w:val="%4."/>
      <w:lvlJc w:val="left"/>
      <w:pPr>
        <w:ind w:left="2880" w:hanging="360"/>
      </w:pPr>
    </w:lvl>
    <w:lvl w:ilvl="4" w:tplc="DDE67586">
      <w:numFmt w:val="bullet"/>
      <w:lvlText w:val="-"/>
      <w:lvlJc w:val="left"/>
      <w:pPr>
        <w:ind w:left="3600" w:hanging="360"/>
      </w:pPr>
      <w:rPr>
        <w:rFonts w:ascii="Cambria" w:eastAsia="Times New Roman" w:hAnsi="Cambria"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5C0862"/>
    <w:multiLevelType w:val="hybridMultilevel"/>
    <w:tmpl w:val="B066A97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C5037DA"/>
    <w:multiLevelType w:val="hybridMultilevel"/>
    <w:tmpl w:val="CCEE5346"/>
    <w:lvl w:ilvl="0" w:tplc="724C3ADE">
      <w:start w:val="1"/>
      <w:numFmt w:val="bullet"/>
      <w:pStyle w:val="Bullets3rdindent"/>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3FA31E4"/>
    <w:multiLevelType w:val="hybridMultilevel"/>
    <w:tmpl w:val="0DA4D086"/>
    <w:lvl w:ilvl="0" w:tplc="97A05EEC">
      <w:start w:val="1"/>
      <w:numFmt w:val="lowerLetter"/>
      <w:lvlText w:val="(%1)"/>
      <w:lvlJc w:val="left"/>
      <w:pPr>
        <w:ind w:left="1656" w:hanging="360"/>
      </w:pPr>
      <w:rPr>
        <w:rFonts w:hint="default"/>
      </w:rPr>
    </w:lvl>
    <w:lvl w:ilvl="1" w:tplc="0C090019" w:tentative="1">
      <w:start w:val="1"/>
      <w:numFmt w:val="lowerLetter"/>
      <w:lvlText w:val="%2."/>
      <w:lvlJc w:val="left"/>
      <w:pPr>
        <w:ind w:left="2376" w:hanging="360"/>
      </w:pPr>
    </w:lvl>
    <w:lvl w:ilvl="2" w:tplc="0C09001B" w:tentative="1">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abstractNum w:abstractNumId="26"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lvlText w:val="•"/>
      <w:lvlJc w:val="left"/>
      <w:pPr>
        <w:tabs>
          <w:tab w:val="num" w:pos="284"/>
        </w:tabs>
        <w:ind w:left="284" w:hanging="284"/>
      </w:pPr>
      <w:rPr>
        <w:rFonts w:ascii="Cambria" w:hAnsi="Cambria" w:hint="default"/>
        <w:color w:val="C2B000"/>
      </w:rPr>
    </w:lvl>
    <w:lvl w:ilvl="3">
      <w:start w:val="1"/>
      <w:numFmt w:val="bulle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2B000"/>
      </w:rPr>
    </w:lvl>
    <w:lvl w:ilvl="6">
      <w:start w:val="1"/>
      <w:numFmt w:val="bullet"/>
      <w:lvlText w:val="•"/>
      <w:lvlJc w:val="left"/>
      <w:pPr>
        <w:tabs>
          <w:tab w:val="num" w:pos="437"/>
        </w:tabs>
        <w:ind w:left="437" w:hanging="171"/>
      </w:pPr>
      <w:rPr>
        <w:rFonts w:ascii="Cambria" w:hAnsi="Cambria" w:hint="default"/>
        <w:color w:val="C2B000"/>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7386ED6"/>
    <w:multiLevelType w:val="hybridMultilevel"/>
    <w:tmpl w:val="C1903AC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7AB6773A"/>
    <w:multiLevelType w:val="hybridMultilevel"/>
    <w:tmpl w:val="621C38C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7"/>
  </w:num>
  <w:num w:numId="2">
    <w:abstractNumId w:val="2"/>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
    <w:abstractNumId w:val="10"/>
  </w:num>
  <w:num w:numId="4">
    <w:abstractNumId w:val="22"/>
  </w:num>
  <w:num w:numId="5">
    <w:abstractNumId w:val="24"/>
  </w:num>
  <w:num w:numId="6">
    <w:abstractNumId w:val="17"/>
  </w:num>
  <w:num w:numId="7">
    <w:abstractNumId w:val="8"/>
  </w:num>
  <w:num w:numId="8">
    <w:abstractNumId w:val="26"/>
  </w:num>
  <w:num w:numId="9">
    <w:abstractNumId w:val="15"/>
  </w:num>
  <w:num w:numId="10">
    <w:abstractNumId w:val="7"/>
  </w:num>
  <w:num w:numId="11">
    <w:abstractNumId w:val="20"/>
  </w:num>
  <w:num w:numId="12">
    <w:abstractNumId w:val="23"/>
  </w:num>
  <w:num w:numId="13">
    <w:abstractNumId w:val="2"/>
  </w:num>
  <w:num w:numId="14">
    <w:abstractNumId w:val="12"/>
  </w:num>
  <w:num w:numId="15">
    <w:abstractNumId w:val="4"/>
  </w:num>
  <w:num w:numId="16">
    <w:abstractNumId w:val="16"/>
  </w:num>
  <w:num w:numId="17">
    <w:abstractNumId w:val="1"/>
  </w:num>
  <w:num w:numId="18">
    <w:abstractNumId w:val="5"/>
  </w:num>
  <w:num w:numId="19">
    <w:abstractNumId w:val="9"/>
  </w:num>
  <w:num w:numId="20">
    <w:abstractNumId w:val="21"/>
  </w:num>
  <w:num w:numId="21">
    <w:abstractNumId w:val="29"/>
  </w:num>
  <w:num w:numId="22">
    <w:abstractNumId w:val="19"/>
  </w:num>
  <w:num w:numId="23">
    <w:abstractNumId w:val="6"/>
  </w:num>
  <w:num w:numId="24">
    <w:abstractNumId w:val="25"/>
  </w:num>
  <w:num w:numId="25">
    <w:abstractNumId w:val="3"/>
  </w:num>
  <w:num w:numId="26">
    <w:abstractNumId w:val="12"/>
  </w:num>
  <w:num w:numId="27">
    <w:abstractNumId w:val="28"/>
  </w:num>
  <w:num w:numId="28">
    <w:abstractNumId w:val="18"/>
  </w:num>
  <w:num w:numId="29">
    <w:abstractNumId w:val="13"/>
  </w:num>
  <w:num w:numId="30">
    <w:abstractNumId w:val="14"/>
  </w:num>
  <w:num w:numId="31">
    <w:abstractNumId w:val="20"/>
  </w:num>
  <w:num w:numId="32">
    <w:abstractNumId w:val="20"/>
  </w:num>
  <w:num w:numId="33">
    <w:abstractNumId w:val="20"/>
  </w:num>
  <w:num w:numId="34">
    <w:abstractNumId w:val="0"/>
  </w:num>
  <w:num w:numId="35">
    <w:abstractNumId w:val="20"/>
  </w:num>
  <w:num w:numId="36">
    <w:abstractNumId w:val="20"/>
  </w:num>
  <w:num w:numId="37">
    <w:abstractNumId w:val="11"/>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3F3C"/>
    <w:rsid w:val="00012F37"/>
    <w:rsid w:val="000205B7"/>
    <w:rsid w:val="0002782F"/>
    <w:rsid w:val="0003233F"/>
    <w:rsid w:val="00037849"/>
    <w:rsid w:val="00045ED0"/>
    <w:rsid w:val="00054E4D"/>
    <w:rsid w:val="00060073"/>
    <w:rsid w:val="000603C7"/>
    <w:rsid w:val="00074576"/>
    <w:rsid w:val="000754F4"/>
    <w:rsid w:val="00076DA8"/>
    <w:rsid w:val="000829F4"/>
    <w:rsid w:val="000965F4"/>
    <w:rsid w:val="000A3987"/>
    <w:rsid w:val="000A4B30"/>
    <w:rsid w:val="000A5C58"/>
    <w:rsid w:val="000A6A8B"/>
    <w:rsid w:val="000C2A48"/>
    <w:rsid w:val="000C5F75"/>
    <w:rsid w:val="000D55A4"/>
    <w:rsid w:val="000D60B1"/>
    <w:rsid w:val="000E57ED"/>
    <w:rsid w:val="001226C6"/>
    <w:rsid w:val="00132249"/>
    <w:rsid w:val="001350E9"/>
    <w:rsid w:val="00136530"/>
    <w:rsid w:val="00145458"/>
    <w:rsid w:val="0015074D"/>
    <w:rsid w:val="00153755"/>
    <w:rsid w:val="001541EA"/>
    <w:rsid w:val="001612A4"/>
    <w:rsid w:val="00174938"/>
    <w:rsid w:val="00192EF0"/>
    <w:rsid w:val="001935DA"/>
    <w:rsid w:val="00197153"/>
    <w:rsid w:val="001A4680"/>
    <w:rsid w:val="001B772C"/>
    <w:rsid w:val="001C6EA7"/>
    <w:rsid w:val="001C7759"/>
    <w:rsid w:val="001D7EB4"/>
    <w:rsid w:val="001E1200"/>
    <w:rsid w:val="001E1DC0"/>
    <w:rsid w:val="001E2069"/>
    <w:rsid w:val="0020122A"/>
    <w:rsid w:val="002377F1"/>
    <w:rsid w:val="00242D30"/>
    <w:rsid w:val="002524EF"/>
    <w:rsid w:val="002676C9"/>
    <w:rsid w:val="00267BF3"/>
    <w:rsid w:val="00275E01"/>
    <w:rsid w:val="002809A5"/>
    <w:rsid w:val="0028602A"/>
    <w:rsid w:val="002919A5"/>
    <w:rsid w:val="00291F3D"/>
    <w:rsid w:val="002921AF"/>
    <w:rsid w:val="002941CC"/>
    <w:rsid w:val="002A1514"/>
    <w:rsid w:val="002A554E"/>
    <w:rsid w:val="002A6312"/>
    <w:rsid w:val="002B2193"/>
    <w:rsid w:val="002B2522"/>
    <w:rsid w:val="002C6290"/>
    <w:rsid w:val="002D7560"/>
    <w:rsid w:val="002F4630"/>
    <w:rsid w:val="00301144"/>
    <w:rsid w:val="003048C3"/>
    <w:rsid w:val="003109AB"/>
    <w:rsid w:val="003140C3"/>
    <w:rsid w:val="003148B7"/>
    <w:rsid w:val="003158C3"/>
    <w:rsid w:val="003164C5"/>
    <w:rsid w:val="003274CD"/>
    <w:rsid w:val="00344994"/>
    <w:rsid w:val="0035119D"/>
    <w:rsid w:val="0035645A"/>
    <w:rsid w:val="00360E00"/>
    <w:rsid w:val="00362D50"/>
    <w:rsid w:val="00365C5B"/>
    <w:rsid w:val="00371666"/>
    <w:rsid w:val="00373420"/>
    <w:rsid w:val="00377FEA"/>
    <w:rsid w:val="00380F99"/>
    <w:rsid w:val="003825CC"/>
    <w:rsid w:val="00390B07"/>
    <w:rsid w:val="00396E11"/>
    <w:rsid w:val="003A71C5"/>
    <w:rsid w:val="003B4F12"/>
    <w:rsid w:val="003C0E5E"/>
    <w:rsid w:val="003C4DBF"/>
    <w:rsid w:val="003C7CC1"/>
    <w:rsid w:val="003D295A"/>
    <w:rsid w:val="003D4335"/>
    <w:rsid w:val="003F4872"/>
    <w:rsid w:val="00401A0F"/>
    <w:rsid w:val="00410906"/>
    <w:rsid w:val="00423F31"/>
    <w:rsid w:val="00427254"/>
    <w:rsid w:val="00431899"/>
    <w:rsid w:val="00437422"/>
    <w:rsid w:val="0044444A"/>
    <w:rsid w:val="00450851"/>
    <w:rsid w:val="004540AD"/>
    <w:rsid w:val="0046056E"/>
    <w:rsid w:val="00462171"/>
    <w:rsid w:val="00462267"/>
    <w:rsid w:val="004705F9"/>
    <w:rsid w:val="00472A7B"/>
    <w:rsid w:val="0047380F"/>
    <w:rsid w:val="00480888"/>
    <w:rsid w:val="0048297B"/>
    <w:rsid w:val="00485FEA"/>
    <w:rsid w:val="00486804"/>
    <w:rsid w:val="00492043"/>
    <w:rsid w:val="004926A2"/>
    <w:rsid w:val="004935A0"/>
    <w:rsid w:val="004946A0"/>
    <w:rsid w:val="004A741A"/>
    <w:rsid w:val="004B3775"/>
    <w:rsid w:val="004B72AB"/>
    <w:rsid w:val="004C2A06"/>
    <w:rsid w:val="004C3D75"/>
    <w:rsid w:val="004C5E5E"/>
    <w:rsid w:val="004C7199"/>
    <w:rsid w:val="004D4559"/>
    <w:rsid w:val="004E058F"/>
    <w:rsid w:val="004E3B87"/>
    <w:rsid w:val="004E71F5"/>
    <w:rsid w:val="004F68A6"/>
    <w:rsid w:val="004F7B6F"/>
    <w:rsid w:val="005106EC"/>
    <w:rsid w:val="00510921"/>
    <w:rsid w:val="00510AD3"/>
    <w:rsid w:val="0051199A"/>
    <w:rsid w:val="00513348"/>
    <w:rsid w:val="00533B5D"/>
    <w:rsid w:val="005436B5"/>
    <w:rsid w:val="0055288B"/>
    <w:rsid w:val="005570E8"/>
    <w:rsid w:val="00566CF9"/>
    <w:rsid w:val="00566EBB"/>
    <w:rsid w:val="00567A0F"/>
    <w:rsid w:val="00570B7C"/>
    <w:rsid w:val="00576A57"/>
    <w:rsid w:val="00582D93"/>
    <w:rsid w:val="005970EA"/>
    <w:rsid w:val="005B696C"/>
    <w:rsid w:val="005C37F0"/>
    <w:rsid w:val="005D2D36"/>
    <w:rsid w:val="005E0771"/>
    <w:rsid w:val="005E4B76"/>
    <w:rsid w:val="005E5CB9"/>
    <w:rsid w:val="00622A59"/>
    <w:rsid w:val="00623BA1"/>
    <w:rsid w:val="006346BC"/>
    <w:rsid w:val="0066050C"/>
    <w:rsid w:val="00666291"/>
    <w:rsid w:val="0066652A"/>
    <w:rsid w:val="00670172"/>
    <w:rsid w:val="00682167"/>
    <w:rsid w:val="006857DC"/>
    <w:rsid w:val="006A1AF5"/>
    <w:rsid w:val="006A1DB4"/>
    <w:rsid w:val="006A4AC7"/>
    <w:rsid w:val="006A66B7"/>
    <w:rsid w:val="006B1465"/>
    <w:rsid w:val="006C42AF"/>
    <w:rsid w:val="006C4DD1"/>
    <w:rsid w:val="006C65C2"/>
    <w:rsid w:val="006E4D56"/>
    <w:rsid w:val="006E5A69"/>
    <w:rsid w:val="006F1861"/>
    <w:rsid w:val="006F3056"/>
    <w:rsid w:val="006F3A1C"/>
    <w:rsid w:val="006F4732"/>
    <w:rsid w:val="00711D8E"/>
    <w:rsid w:val="00712672"/>
    <w:rsid w:val="00727295"/>
    <w:rsid w:val="00727C9A"/>
    <w:rsid w:val="00734E3F"/>
    <w:rsid w:val="00736985"/>
    <w:rsid w:val="00737A13"/>
    <w:rsid w:val="00741E47"/>
    <w:rsid w:val="00745799"/>
    <w:rsid w:val="00751D68"/>
    <w:rsid w:val="007620E7"/>
    <w:rsid w:val="00763C2A"/>
    <w:rsid w:val="00772193"/>
    <w:rsid w:val="00794995"/>
    <w:rsid w:val="00797A42"/>
    <w:rsid w:val="007B6200"/>
    <w:rsid w:val="007B775E"/>
    <w:rsid w:val="007C2F35"/>
    <w:rsid w:val="007D4D14"/>
    <w:rsid w:val="007F400F"/>
    <w:rsid w:val="00800799"/>
    <w:rsid w:val="00801B9F"/>
    <w:rsid w:val="0081126C"/>
    <w:rsid w:val="0082372C"/>
    <w:rsid w:val="00823B02"/>
    <w:rsid w:val="00835DDA"/>
    <w:rsid w:val="0084135B"/>
    <w:rsid w:val="008436BE"/>
    <w:rsid w:val="0084520B"/>
    <w:rsid w:val="00851D17"/>
    <w:rsid w:val="00873D7E"/>
    <w:rsid w:val="008740A9"/>
    <w:rsid w:val="00880B3F"/>
    <w:rsid w:val="00881434"/>
    <w:rsid w:val="00882639"/>
    <w:rsid w:val="008870A3"/>
    <w:rsid w:val="00895F2E"/>
    <w:rsid w:val="008A05DD"/>
    <w:rsid w:val="008A23E5"/>
    <w:rsid w:val="008A58C2"/>
    <w:rsid w:val="008B62C7"/>
    <w:rsid w:val="008D4A99"/>
    <w:rsid w:val="008E77E7"/>
    <w:rsid w:val="00902127"/>
    <w:rsid w:val="00903AF5"/>
    <w:rsid w:val="0092289A"/>
    <w:rsid w:val="009262D4"/>
    <w:rsid w:val="00941CFB"/>
    <w:rsid w:val="00942DAB"/>
    <w:rsid w:val="00953F91"/>
    <w:rsid w:val="00955214"/>
    <w:rsid w:val="009561A0"/>
    <w:rsid w:val="009763B6"/>
    <w:rsid w:val="00992F27"/>
    <w:rsid w:val="00995EDF"/>
    <w:rsid w:val="009A08BD"/>
    <w:rsid w:val="009A2DA7"/>
    <w:rsid w:val="009B4D3B"/>
    <w:rsid w:val="009C3084"/>
    <w:rsid w:val="009D7407"/>
    <w:rsid w:val="009E0866"/>
    <w:rsid w:val="009E1AAB"/>
    <w:rsid w:val="009E2850"/>
    <w:rsid w:val="00A03408"/>
    <w:rsid w:val="00A061B9"/>
    <w:rsid w:val="00A10C27"/>
    <w:rsid w:val="00A120E1"/>
    <w:rsid w:val="00A12403"/>
    <w:rsid w:val="00A128EB"/>
    <w:rsid w:val="00A14BB9"/>
    <w:rsid w:val="00A20E8E"/>
    <w:rsid w:val="00A24A62"/>
    <w:rsid w:val="00A313EC"/>
    <w:rsid w:val="00A31C9F"/>
    <w:rsid w:val="00A332C9"/>
    <w:rsid w:val="00A34EDC"/>
    <w:rsid w:val="00A4756F"/>
    <w:rsid w:val="00A57A9E"/>
    <w:rsid w:val="00A57E7A"/>
    <w:rsid w:val="00A82B42"/>
    <w:rsid w:val="00A84B0D"/>
    <w:rsid w:val="00A860DC"/>
    <w:rsid w:val="00A868E8"/>
    <w:rsid w:val="00AB19CF"/>
    <w:rsid w:val="00AC164A"/>
    <w:rsid w:val="00AD13C3"/>
    <w:rsid w:val="00AE6C0D"/>
    <w:rsid w:val="00AF2050"/>
    <w:rsid w:val="00AF424E"/>
    <w:rsid w:val="00AF5BED"/>
    <w:rsid w:val="00AF6D1A"/>
    <w:rsid w:val="00AF7EDE"/>
    <w:rsid w:val="00B13B6E"/>
    <w:rsid w:val="00B329B6"/>
    <w:rsid w:val="00B32F99"/>
    <w:rsid w:val="00B34BDB"/>
    <w:rsid w:val="00B40B4A"/>
    <w:rsid w:val="00B422B2"/>
    <w:rsid w:val="00B54C50"/>
    <w:rsid w:val="00B55A9E"/>
    <w:rsid w:val="00B76ACC"/>
    <w:rsid w:val="00B901B9"/>
    <w:rsid w:val="00BA7C45"/>
    <w:rsid w:val="00BB26C5"/>
    <w:rsid w:val="00BC0C63"/>
    <w:rsid w:val="00BE2535"/>
    <w:rsid w:val="00BF3BA2"/>
    <w:rsid w:val="00BF4DE6"/>
    <w:rsid w:val="00BF6958"/>
    <w:rsid w:val="00BF7672"/>
    <w:rsid w:val="00C04038"/>
    <w:rsid w:val="00C043BD"/>
    <w:rsid w:val="00C15CE8"/>
    <w:rsid w:val="00C22C5C"/>
    <w:rsid w:val="00C26390"/>
    <w:rsid w:val="00C30746"/>
    <w:rsid w:val="00C3247A"/>
    <w:rsid w:val="00C3408A"/>
    <w:rsid w:val="00C3720A"/>
    <w:rsid w:val="00C373BC"/>
    <w:rsid w:val="00C42CDE"/>
    <w:rsid w:val="00C6095F"/>
    <w:rsid w:val="00C61A15"/>
    <w:rsid w:val="00C6347E"/>
    <w:rsid w:val="00C746C8"/>
    <w:rsid w:val="00C76AC1"/>
    <w:rsid w:val="00C80C97"/>
    <w:rsid w:val="00C81087"/>
    <w:rsid w:val="00C87A54"/>
    <w:rsid w:val="00CA37B1"/>
    <w:rsid w:val="00CA537C"/>
    <w:rsid w:val="00CA7227"/>
    <w:rsid w:val="00CB1959"/>
    <w:rsid w:val="00CD57ED"/>
    <w:rsid w:val="00CD6C1B"/>
    <w:rsid w:val="00CD7ACB"/>
    <w:rsid w:val="00CE1759"/>
    <w:rsid w:val="00CE2A06"/>
    <w:rsid w:val="00CF3314"/>
    <w:rsid w:val="00D0296C"/>
    <w:rsid w:val="00D04F56"/>
    <w:rsid w:val="00D1013C"/>
    <w:rsid w:val="00D10364"/>
    <w:rsid w:val="00D17EC6"/>
    <w:rsid w:val="00D22869"/>
    <w:rsid w:val="00D4159E"/>
    <w:rsid w:val="00D46D82"/>
    <w:rsid w:val="00D71430"/>
    <w:rsid w:val="00D7288F"/>
    <w:rsid w:val="00D74BA1"/>
    <w:rsid w:val="00D85F5F"/>
    <w:rsid w:val="00DA1BE1"/>
    <w:rsid w:val="00DB6D69"/>
    <w:rsid w:val="00DC430B"/>
    <w:rsid w:val="00DD4744"/>
    <w:rsid w:val="00DE026D"/>
    <w:rsid w:val="00DE2641"/>
    <w:rsid w:val="00DF1A9F"/>
    <w:rsid w:val="00DF25F7"/>
    <w:rsid w:val="00E02371"/>
    <w:rsid w:val="00E043C5"/>
    <w:rsid w:val="00E3238F"/>
    <w:rsid w:val="00E357B7"/>
    <w:rsid w:val="00E40D77"/>
    <w:rsid w:val="00E43433"/>
    <w:rsid w:val="00E51C40"/>
    <w:rsid w:val="00E53800"/>
    <w:rsid w:val="00E6081F"/>
    <w:rsid w:val="00E60A81"/>
    <w:rsid w:val="00E60FC8"/>
    <w:rsid w:val="00E6422F"/>
    <w:rsid w:val="00E7335D"/>
    <w:rsid w:val="00E8142A"/>
    <w:rsid w:val="00E8521F"/>
    <w:rsid w:val="00E85618"/>
    <w:rsid w:val="00E91B46"/>
    <w:rsid w:val="00EA04B2"/>
    <w:rsid w:val="00EA20F3"/>
    <w:rsid w:val="00EA60D0"/>
    <w:rsid w:val="00EB02CF"/>
    <w:rsid w:val="00EC7F63"/>
    <w:rsid w:val="00ED43D1"/>
    <w:rsid w:val="00ED52D0"/>
    <w:rsid w:val="00EE4EE1"/>
    <w:rsid w:val="00EF4574"/>
    <w:rsid w:val="00EF467C"/>
    <w:rsid w:val="00F01793"/>
    <w:rsid w:val="00F107B5"/>
    <w:rsid w:val="00F139C9"/>
    <w:rsid w:val="00F2684E"/>
    <w:rsid w:val="00F3121A"/>
    <w:rsid w:val="00F371D7"/>
    <w:rsid w:val="00F42B3A"/>
    <w:rsid w:val="00F5466F"/>
    <w:rsid w:val="00F67B40"/>
    <w:rsid w:val="00F729EF"/>
    <w:rsid w:val="00F77CAE"/>
    <w:rsid w:val="00F80913"/>
    <w:rsid w:val="00F8520E"/>
    <w:rsid w:val="00F96BB9"/>
    <w:rsid w:val="00F96E9C"/>
    <w:rsid w:val="00FB44AA"/>
    <w:rsid w:val="00FD7C4E"/>
    <w:rsid w:val="00FE407D"/>
    <w:rsid w:val="00FE681E"/>
    <w:rsid w:val="00FE6D51"/>
    <w:rsid w:val="00FF43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nhideWhenUsed/>
    <w:qFormat/>
    <w:rsid w:val="00D46D82"/>
    <w:pPr>
      <w:spacing w:line="340" w:lineRule="atLeast"/>
      <w:outlineLvl w:val="2"/>
    </w:pPr>
    <w:rPr>
      <w:bCs/>
      <w:sz w:val="30"/>
    </w:rPr>
  </w:style>
  <w:style w:type="paragraph" w:styleId="Heading4">
    <w:name w:val="heading 4"/>
    <w:basedOn w:val="Heading3"/>
    <w:next w:val="Normal"/>
    <w:link w:val="Heading4Char"/>
    <w:unhideWhenUsed/>
    <w:qFormat/>
    <w:rsid w:val="00D46D82"/>
    <w:pPr>
      <w:spacing w:before="240" w:line="300" w:lineRule="atLeast"/>
      <w:outlineLvl w:val="3"/>
    </w:pPr>
    <w:rPr>
      <w:iCs/>
      <w:sz w:val="26"/>
    </w:rPr>
  </w:style>
  <w:style w:type="paragraph" w:styleId="Heading5">
    <w:name w:val="heading 5"/>
    <w:basedOn w:val="Heading4"/>
    <w:next w:val="Normal"/>
    <w:link w:val="Heading5Char"/>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2"/>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8520E"/>
    <w:pPr>
      <w:numPr>
        <w:ilvl w:val="2"/>
        <w:numId w:val="26"/>
      </w:numPr>
    </w:pPr>
  </w:style>
  <w:style w:type="paragraph" w:customStyle="1" w:styleId="Bullet2">
    <w:name w:val="Bullet 2"/>
    <w:basedOn w:val="NumberedList1"/>
    <w:qFormat/>
    <w:rsid w:val="00F8520E"/>
    <w:pPr>
      <w:numPr>
        <w:numId w:val="15"/>
      </w:numPr>
      <w:ind w:left="1418"/>
    </w:pPr>
  </w:style>
  <w:style w:type="paragraph" w:customStyle="1" w:styleId="Bullet3">
    <w:name w:val="Bullet 3"/>
    <w:basedOn w:val="NumberedList1"/>
    <w:qFormat/>
    <w:rsid w:val="00F8520E"/>
    <w:pPr>
      <w:numPr>
        <w:numId w:val="16"/>
      </w:numPr>
      <w:ind w:left="1985"/>
    </w:pPr>
  </w:style>
  <w:style w:type="paragraph" w:customStyle="1" w:styleId="NumberedList1">
    <w:name w:val="Numbered List 1"/>
    <w:basedOn w:val="Normal"/>
    <w:qFormat/>
    <w:rsid w:val="0046056E"/>
    <w:pPr>
      <w:numPr>
        <w:numId w:val="2"/>
      </w:numPr>
    </w:pPr>
  </w:style>
  <w:style w:type="paragraph" w:customStyle="1" w:styleId="NumberedList2">
    <w:name w:val="Numbered List 2"/>
    <w:basedOn w:val="NumberedList1"/>
    <w:qFormat/>
    <w:rsid w:val="0046056E"/>
    <w:pPr>
      <w:numPr>
        <w:ilvl w:val="1"/>
      </w:numPr>
      <w:spacing w:before="120"/>
      <w:ind w:left="851"/>
    </w:pPr>
  </w:style>
  <w:style w:type="paragraph" w:customStyle="1" w:styleId="NumberedList3">
    <w:name w:val="Numbered List 3"/>
    <w:basedOn w:val="NumberedList2"/>
    <w:qFormat/>
    <w:rsid w:val="00FB44AA"/>
    <w:pPr>
      <w:numPr>
        <w:ilvl w:val="2"/>
      </w:numPr>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13"/>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46056E"/>
    <w:pPr>
      <w:tabs>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CD57ED"/>
    <w:rPr>
      <w:rFonts w:asciiTheme="minorHAnsi" w:hAnsiTheme="minorHAnsi" w:cs="MuseoSans-500"/>
      <w:i/>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link w:val="Boxed1TextChar"/>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link w:val="Boxed2TextChar"/>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qFormat/>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Afterbox">
    <w:name w:val="After box"/>
    <w:next w:val="BodyText1"/>
    <w:semiHidden/>
    <w:qFormat/>
    <w:rsid w:val="00396E11"/>
    <w:pPr>
      <w:spacing w:after="57" w:line="113" w:lineRule="exact"/>
    </w:pPr>
    <w:rPr>
      <w:rFonts w:ascii="Cambria" w:eastAsia="Times New Roman" w:hAnsi="Cambria" w:cs="Times New Roman"/>
      <w:sz w:val="2"/>
      <w:szCs w:val="24"/>
    </w:rPr>
  </w:style>
  <w:style w:type="paragraph" w:customStyle="1" w:styleId="Bodytextbeforebullets">
    <w:name w:val="Body text (before bullets)"/>
    <w:basedOn w:val="BodyText1"/>
    <w:semiHidden/>
    <w:rsid w:val="00396E11"/>
    <w:pPr>
      <w:spacing w:after="57"/>
    </w:pPr>
  </w:style>
  <w:style w:type="paragraph" w:customStyle="1" w:styleId="BodyText1">
    <w:name w:val="Body Text1"/>
    <w:link w:val="BodyText1Char"/>
    <w:semiHidden/>
    <w:rsid w:val="00396E11"/>
    <w:pPr>
      <w:spacing w:after="113" w:line="260" w:lineRule="atLeast"/>
    </w:pPr>
    <w:rPr>
      <w:rFonts w:ascii="Cambria" w:eastAsia="Times New Roman" w:hAnsi="Cambria" w:cs="Times New Roman"/>
      <w:szCs w:val="24"/>
    </w:rPr>
  </w:style>
  <w:style w:type="paragraph" w:customStyle="1" w:styleId="Bullets1stindent">
    <w:name w:val="Bullets (1st indent)"/>
    <w:basedOn w:val="BodyText1"/>
    <w:link w:val="Bullets1stindentChar"/>
    <w:semiHidden/>
    <w:rsid w:val="002676C9"/>
    <w:pPr>
      <w:numPr>
        <w:numId w:val="9"/>
      </w:numPr>
      <w:spacing w:after="120" w:line="240" w:lineRule="auto"/>
    </w:pPr>
    <w:rPr>
      <w:rFonts w:asciiTheme="minorHAnsi" w:eastAsiaTheme="minorHAnsi" w:hAnsiTheme="minorHAnsi" w:cstheme="minorBidi"/>
      <w:szCs w:val="22"/>
    </w:rPr>
  </w:style>
  <w:style w:type="paragraph" w:customStyle="1" w:styleId="Bullets2ndindent">
    <w:name w:val="Bullets (2nd indent)"/>
    <w:basedOn w:val="Bullets1stindent"/>
    <w:semiHidden/>
    <w:rsid w:val="00396E11"/>
    <w:pPr>
      <w:numPr>
        <w:numId w:val="10"/>
      </w:numPr>
      <w:tabs>
        <w:tab w:val="right" w:pos="794"/>
      </w:tabs>
      <w:spacing w:after="60"/>
    </w:pPr>
    <w:rPr>
      <w:rFonts w:asciiTheme="majorHAnsi" w:hAnsiTheme="majorHAnsi"/>
    </w:rPr>
  </w:style>
  <w:style w:type="numbering" w:customStyle="1" w:styleId="Bullets">
    <w:name w:val="Bullets"/>
    <w:basedOn w:val="NoList"/>
    <w:uiPriority w:val="99"/>
    <w:rsid w:val="00396E11"/>
    <w:pPr>
      <w:numPr>
        <w:numId w:val="7"/>
      </w:numPr>
    </w:pPr>
  </w:style>
  <w:style w:type="paragraph" w:customStyle="1" w:styleId="Figuretitle">
    <w:name w:val="Figure title"/>
    <w:next w:val="BodyText1"/>
    <w:qFormat/>
    <w:rsid w:val="00396E11"/>
    <w:pPr>
      <w:keepNext/>
      <w:keepLines/>
      <w:numPr>
        <w:ilvl w:val="6"/>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Footertext">
    <w:name w:val="Footer text"/>
    <w:semiHidden/>
    <w:rsid w:val="00396E11"/>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qFormat/>
    <w:rsid w:val="00396E11"/>
    <w:pPr>
      <w:spacing w:before="85" w:after="85" w:line="240" w:lineRule="auto"/>
    </w:pPr>
    <w:rPr>
      <w:rFonts w:ascii="Arial" w:eastAsia="Times New Roman" w:hAnsi="Arial" w:cs="Arial"/>
      <w:i/>
      <w:sz w:val="12"/>
      <w:szCs w:val="12"/>
    </w:rPr>
  </w:style>
  <w:style w:type="paragraph" w:customStyle="1" w:styleId="Bulletslast1stindent">
    <w:name w:val="Bullets last (1st indent)"/>
    <w:basedOn w:val="BodyText1"/>
    <w:semiHidden/>
    <w:rsid w:val="00396E11"/>
    <w:pPr>
      <w:numPr>
        <w:ilvl w:val="2"/>
        <w:numId w:val="7"/>
      </w:numPr>
      <w:tabs>
        <w:tab w:val="clear" w:pos="284"/>
      </w:tabs>
      <w:ind w:left="852"/>
    </w:pPr>
  </w:style>
  <w:style w:type="numbering" w:customStyle="1" w:styleId="Numbers">
    <w:name w:val="Numbers"/>
    <w:basedOn w:val="NoList"/>
    <w:rsid w:val="00396E11"/>
    <w:pPr>
      <w:numPr>
        <w:numId w:val="6"/>
      </w:numPr>
    </w:pPr>
  </w:style>
  <w:style w:type="paragraph" w:customStyle="1" w:styleId="Bulletslast2ndindent">
    <w:name w:val="Bullets last (2nd indent)"/>
    <w:basedOn w:val="BodyText1"/>
    <w:semiHidden/>
    <w:rsid w:val="00396E11"/>
    <w:pPr>
      <w:numPr>
        <w:ilvl w:val="3"/>
        <w:numId w:val="7"/>
      </w:numPr>
      <w:tabs>
        <w:tab w:val="clear" w:pos="567"/>
      </w:tabs>
      <w:ind w:left="568" w:hanging="284"/>
    </w:pPr>
  </w:style>
  <w:style w:type="paragraph" w:customStyle="1" w:styleId="Tablebodytext">
    <w:name w:val="Table body text"/>
    <w:qFormat/>
    <w:rsid w:val="00396E11"/>
    <w:pPr>
      <w:spacing w:before="57" w:after="57" w:line="240" w:lineRule="auto"/>
      <w:ind w:left="96" w:right="96"/>
    </w:pPr>
    <w:rPr>
      <w:rFonts w:ascii="Arial" w:eastAsia="Times New Roman" w:hAnsi="Arial" w:cs="Times New Roman"/>
      <w:sz w:val="18"/>
      <w:szCs w:val="24"/>
    </w:rPr>
  </w:style>
  <w:style w:type="paragraph" w:customStyle="1" w:styleId="Tablebullets2ndindent">
    <w:name w:val="Table bullets (2nd indent)"/>
    <w:basedOn w:val="Tablebodytext"/>
    <w:qFormat/>
    <w:rsid w:val="00396E11"/>
    <w:pPr>
      <w:numPr>
        <w:ilvl w:val="6"/>
        <w:numId w:val="7"/>
      </w:numPr>
    </w:pPr>
  </w:style>
  <w:style w:type="paragraph" w:customStyle="1" w:styleId="Tablebullets1stindent">
    <w:name w:val="Table bullets (1st indent)"/>
    <w:basedOn w:val="Tablebodytext"/>
    <w:qFormat/>
    <w:rsid w:val="00396E11"/>
    <w:pPr>
      <w:numPr>
        <w:ilvl w:val="5"/>
        <w:numId w:val="7"/>
      </w:numPr>
    </w:pPr>
  </w:style>
  <w:style w:type="paragraph" w:customStyle="1" w:styleId="Tablecolumnheading">
    <w:name w:val="Table column heading"/>
    <w:basedOn w:val="Tablebodytext"/>
    <w:qFormat/>
    <w:rsid w:val="00396E11"/>
    <w:pPr>
      <w:keepNext/>
    </w:pPr>
    <w:rPr>
      <w:b/>
      <w:szCs w:val="18"/>
    </w:rPr>
  </w:style>
  <w:style w:type="paragraph" w:customStyle="1" w:styleId="Title2">
    <w:name w:val="Title 2"/>
    <w:basedOn w:val="Title"/>
    <w:uiPriority w:val="2"/>
    <w:semiHidden/>
    <w:rsid w:val="00396E11"/>
    <w:pPr>
      <w:keepLines w:val="0"/>
      <w:pBdr>
        <w:bottom w:val="single" w:sz="8" w:space="4" w:color="C2B000"/>
      </w:pBdr>
      <w:suppressAutoHyphens w:val="0"/>
      <w:spacing w:before="200" w:after="300" w:line="260" w:lineRule="atLeast"/>
      <w:jc w:val="left"/>
      <w:outlineLvl w:val="9"/>
    </w:pPr>
    <w:rPr>
      <w:rFonts w:ascii="Arial" w:eastAsia="MS Gothic" w:hAnsi="Arial" w:cs="Times New Roman"/>
      <w:bCs w:val="0"/>
      <w:color w:val="615800"/>
      <w:spacing w:val="5"/>
      <w:sz w:val="52"/>
    </w:rPr>
  </w:style>
  <w:style w:type="paragraph" w:customStyle="1" w:styleId="Tabletitle">
    <w:name w:val="Table title"/>
    <w:next w:val="BodyText1"/>
    <w:qFormat/>
    <w:rsid w:val="00396E11"/>
    <w:pPr>
      <w:keepNext/>
      <w:numPr>
        <w:ilvl w:val="8"/>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Simpletableheading">
    <w:name w:val="Simple table heading"/>
    <w:next w:val="BodyText1"/>
    <w:uiPriority w:val="1"/>
    <w:rsid w:val="00396E11"/>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396E11"/>
    <w:pPr>
      <w:suppressAutoHyphens w:val="0"/>
      <w:spacing w:before="200" w:after="0" w:line="26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396E11"/>
    <w:rPr>
      <w:rFonts w:ascii="Tahoma" w:eastAsia="Cambria" w:hAnsi="Tahoma" w:cs="Tahoma"/>
      <w:sz w:val="16"/>
      <w:szCs w:val="16"/>
    </w:rPr>
  </w:style>
  <w:style w:type="paragraph" w:customStyle="1" w:styleId="Subtitle2">
    <w:name w:val="Subtitle 2"/>
    <w:uiPriority w:val="2"/>
    <w:semiHidden/>
    <w:rsid w:val="00396E11"/>
    <w:pPr>
      <w:spacing w:before="200" w:after="0" w:line="240" w:lineRule="auto"/>
      <w:contextualSpacing/>
    </w:pPr>
    <w:rPr>
      <w:rFonts w:ascii="Arial" w:eastAsia="Times New Roman" w:hAnsi="Arial" w:cs="Times New Roman"/>
      <w:caps/>
      <w:color w:val="1C2735"/>
      <w:kern w:val="28"/>
      <w:szCs w:val="32"/>
    </w:rPr>
  </w:style>
  <w:style w:type="character" w:customStyle="1" w:styleId="Blue">
    <w:name w:val="Blue"/>
    <w:basedOn w:val="DefaultParagraphFont"/>
    <w:semiHidden/>
    <w:qFormat/>
    <w:rsid w:val="00396E11"/>
    <w:rPr>
      <w:color w:val="C2B000"/>
    </w:rPr>
  </w:style>
  <w:style w:type="paragraph" w:customStyle="1" w:styleId="Boxtext">
    <w:name w:val="Box text"/>
    <w:basedOn w:val="Tablebodytext"/>
    <w:uiPriority w:val="1"/>
    <w:unhideWhenUsed/>
    <w:rsid w:val="00396E11"/>
    <w:pPr>
      <w:spacing w:before="113" w:after="113" w:line="240" w:lineRule="atLeast"/>
      <w:ind w:left="0" w:right="0"/>
    </w:pPr>
    <w:rPr>
      <w:color w:val="37424A"/>
    </w:rPr>
  </w:style>
  <w:style w:type="paragraph" w:styleId="Quote">
    <w:name w:val="Quote"/>
    <w:link w:val="QuoteChar"/>
    <w:qFormat/>
    <w:rsid w:val="00396E11"/>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396E11"/>
    <w:rPr>
      <w:rFonts w:ascii="Cambria" w:eastAsia="Times New Roman" w:hAnsi="Cambria" w:cs="Times New Roman"/>
      <w:i/>
      <w:iCs/>
      <w:color w:val="000000"/>
      <w:spacing w:val="-2"/>
      <w:szCs w:val="24"/>
    </w:rPr>
  </w:style>
  <w:style w:type="table" w:customStyle="1" w:styleId="DOFDwithheader">
    <w:name w:val="DOFD with header"/>
    <w:basedOn w:val="TableNormal"/>
    <w:uiPriority w:val="99"/>
    <w:qFormat/>
    <w:rsid w:val="00396E11"/>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basedOn w:val="DefaultParagraphFont"/>
    <w:uiPriority w:val="1"/>
    <w:semiHidden/>
    <w:qFormat/>
    <w:rsid w:val="00396E11"/>
    <w:rPr>
      <w:rFonts w:ascii="Arial Black" w:hAnsi="Arial Black"/>
      <w:color w:val="005A77"/>
      <w:sz w:val="18"/>
      <w:szCs w:val="18"/>
    </w:rPr>
  </w:style>
  <w:style w:type="paragraph" w:customStyle="1" w:styleId="Chapternumber">
    <w:name w:val="Chapter number"/>
    <w:rsid w:val="00396E11"/>
    <w:pPr>
      <w:spacing w:after="0" w:line="940" w:lineRule="exact"/>
      <w:jc w:val="center"/>
    </w:pPr>
    <w:rPr>
      <w:rFonts w:ascii="Arial" w:eastAsia="Times New Roman" w:hAnsi="Arial" w:cs="Arial"/>
      <w:b/>
      <w:color w:val="A7B4BE"/>
      <w:sz w:val="94"/>
      <w:szCs w:val="94"/>
    </w:rPr>
  </w:style>
  <w:style w:type="paragraph" w:customStyle="1" w:styleId="Boxheading">
    <w:name w:val="Box heading"/>
    <w:basedOn w:val="Simpletableheading"/>
    <w:uiPriority w:val="1"/>
    <w:unhideWhenUsed/>
    <w:rsid w:val="00396E11"/>
    <w:pPr>
      <w:spacing w:before="113" w:after="113"/>
    </w:pPr>
    <w:rPr>
      <w:color w:val="005A77"/>
    </w:rPr>
  </w:style>
  <w:style w:type="paragraph" w:customStyle="1" w:styleId="Notetitle">
    <w:name w:val="Note title"/>
    <w:qFormat/>
    <w:rsid w:val="00396E11"/>
    <w:pPr>
      <w:keepNext/>
      <w:numPr>
        <w:ilvl w:val="7"/>
        <w:numId w:val="6"/>
      </w:numPr>
      <w:spacing w:before="340" w:after="170" w:line="240" w:lineRule="auto"/>
    </w:pPr>
    <w:rPr>
      <w:rFonts w:ascii="Arial" w:eastAsia="MS Gothic" w:hAnsi="Arial" w:cs="Times New Roman"/>
      <w:b/>
      <w:bCs/>
      <w:iCs/>
      <w:color w:val="005A77"/>
      <w:spacing w:val="-6"/>
      <w:sz w:val="24"/>
      <w:szCs w:val="28"/>
      <w:lang w:val="en-US"/>
    </w:rPr>
  </w:style>
  <w:style w:type="character" w:customStyle="1" w:styleId="Black">
    <w:name w:val="Black"/>
    <w:basedOn w:val="DefaultParagraphFont"/>
    <w:uiPriority w:val="1"/>
    <w:semiHidden/>
    <w:qFormat/>
    <w:rsid w:val="00396E11"/>
    <w:rPr>
      <w:color w:val="1C2735"/>
      <w:lang w:val="en-AU"/>
    </w:rPr>
  </w:style>
  <w:style w:type="paragraph" w:customStyle="1" w:styleId="Numberedpara1stindent">
    <w:name w:val="Numbered para (1st indent)"/>
    <w:basedOn w:val="ListParagraph"/>
    <w:link w:val="Numberedpara1stindentChar"/>
    <w:rsid w:val="00396E11"/>
    <w:pPr>
      <w:numPr>
        <w:ilvl w:val="1"/>
        <w:numId w:val="0"/>
      </w:numPr>
      <w:spacing w:before="120"/>
      <w:ind w:left="924" w:hanging="357"/>
    </w:pPr>
  </w:style>
  <w:style w:type="paragraph" w:customStyle="1" w:styleId="Numberedpara2ndindent">
    <w:name w:val="Numbered para (2nd indent)"/>
    <w:basedOn w:val="BodyText1"/>
    <w:rsid w:val="00396E11"/>
    <w:pPr>
      <w:numPr>
        <w:ilvl w:val="4"/>
        <w:numId w:val="6"/>
      </w:numPr>
      <w:tabs>
        <w:tab w:val="clear" w:pos="851"/>
      </w:tabs>
      <w:spacing w:after="0" w:line="240" w:lineRule="auto"/>
      <w:ind w:left="1420"/>
    </w:pPr>
  </w:style>
  <w:style w:type="paragraph" w:customStyle="1" w:styleId="Numberedpara3rdindent">
    <w:name w:val="Numbered para (3rd indent)"/>
    <w:basedOn w:val="BodyText1"/>
    <w:rsid w:val="00396E11"/>
    <w:pPr>
      <w:spacing w:before="120" w:after="0" w:line="240" w:lineRule="auto"/>
      <w:ind w:left="1644" w:hanging="720"/>
    </w:pPr>
  </w:style>
  <w:style w:type="paragraph" w:customStyle="1" w:styleId="Heading2nonumbers">
    <w:name w:val="Heading 2 (no numbers)"/>
    <w:basedOn w:val="Normal"/>
    <w:next w:val="BodyText1"/>
    <w:qFormat/>
    <w:rsid w:val="00396E11"/>
    <w:pPr>
      <w:keepNext/>
      <w:pBdr>
        <w:top w:val="single" w:sz="4" w:space="1" w:color="293137"/>
        <w:left w:val="single" w:sz="4" w:space="4" w:color="293137"/>
        <w:bottom w:val="single" w:sz="4" w:space="1" w:color="293137"/>
        <w:right w:val="single" w:sz="4" w:space="4" w:color="293137"/>
      </w:pBdr>
      <w:shd w:val="clear" w:color="auto" w:fill="293137"/>
      <w:suppressAutoHyphens w:val="0"/>
      <w:spacing w:before="360" w:after="120" w:line="260" w:lineRule="exact"/>
      <w:outlineLvl w:val="1"/>
    </w:pPr>
    <w:rPr>
      <w:rFonts w:ascii="Arial" w:eastAsia="Times New Roman" w:hAnsi="Arial" w:cs="Times New Roman"/>
      <w:b/>
      <w:spacing w:val="-6"/>
      <w:sz w:val="26"/>
      <w:szCs w:val="26"/>
    </w:rPr>
  </w:style>
  <w:style w:type="paragraph" w:customStyle="1" w:styleId="Heading3nonumbers">
    <w:name w:val="Heading 3 (no numbers)"/>
    <w:basedOn w:val="Heading3"/>
    <w:next w:val="BodyText1"/>
    <w:qFormat/>
    <w:rsid w:val="00396E11"/>
    <w:pPr>
      <w:suppressAutoHyphens w:val="0"/>
      <w:spacing w:before="240" w:line="260" w:lineRule="atLeast"/>
      <w:contextualSpacing w:val="0"/>
    </w:pPr>
    <w:rPr>
      <w:rFonts w:ascii="Arial" w:eastAsia="Times New Roman" w:hAnsi="Arial" w:cs="Times New Roman"/>
      <w:b/>
      <w:bCs w:val="0"/>
      <w:color w:val="005A77"/>
      <w:spacing w:val="-6"/>
      <w:sz w:val="22"/>
    </w:rPr>
  </w:style>
  <w:style w:type="paragraph" w:customStyle="1" w:styleId="Heading4nonumbers">
    <w:name w:val="Heading 4 (no numbers)"/>
    <w:basedOn w:val="Heading4"/>
    <w:next w:val="BodyText1"/>
    <w:link w:val="Heading4nonumbersChar"/>
    <w:qFormat/>
    <w:rsid w:val="00396E11"/>
    <w:pPr>
      <w:keepLines w:val="0"/>
      <w:suppressAutoHyphens w:val="0"/>
      <w:spacing w:before="360" w:line="260" w:lineRule="exact"/>
      <w:contextualSpacing w:val="0"/>
    </w:pPr>
    <w:rPr>
      <w:rFonts w:ascii="Arial" w:eastAsia="Times New Roman" w:hAnsi="Arial" w:cs="Times New Roman"/>
      <w:b/>
      <w:bCs w:val="0"/>
      <w:iCs w:val="0"/>
      <w:spacing w:val="-6"/>
    </w:rPr>
  </w:style>
  <w:style w:type="character" w:customStyle="1" w:styleId="Heading4nonumbersChar">
    <w:name w:val="Heading 4 (no numbers) Char"/>
    <w:basedOn w:val="Heading4Char"/>
    <w:link w:val="Heading4nonumbers"/>
    <w:rsid w:val="00396E11"/>
    <w:rPr>
      <w:rFonts w:ascii="Arial" w:eastAsia="Times New Roman" w:hAnsi="Arial" w:cs="Times New Roman"/>
      <w:b/>
      <w:bCs w:val="0"/>
      <w:iCs w:val="0"/>
      <w:color w:val="1C1C1C" w:themeColor="text2"/>
      <w:spacing w:val="-6"/>
      <w:sz w:val="26"/>
      <w:szCs w:val="26"/>
    </w:rPr>
  </w:style>
  <w:style w:type="paragraph" w:customStyle="1" w:styleId="Boxtitle">
    <w:name w:val="Box title"/>
    <w:basedOn w:val="Boxheading"/>
    <w:uiPriority w:val="1"/>
    <w:unhideWhenUsed/>
    <w:rsid w:val="00396E11"/>
  </w:style>
  <w:style w:type="table" w:customStyle="1" w:styleId="DOFDplain">
    <w:name w:val="DOFD plain"/>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shd w:val="clear" w:color="auto" w:fill="DDF3FA"/>
      </w:tcPr>
    </w:tblStylePr>
  </w:style>
  <w:style w:type="paragraph" w:styleId="BodyText">
    <w:name w:val="Body Text"/>
    <w:basedOn w:val="Normal"/>
    <w:link w:val="BodyTextChar"/>
    <w:qFormat/>
    <w:rsid w:val="00396E11"/>
    <w:pPr>
      <w:suppressAutoHyphens w:val="0"/>
      <w:spacing w:before="200" w:after="120" w:line="260" w:lineRule="atLeast"/>
    </w:pPr>
    <w:rPr>
      <w:rFonts w:ascii="Cambria" w:eastAsia="Cambria" w:hAnsi="Cambria" w:cs="Times New Roman"/>
    </w:rPr>
  </w:style>
  <w:style w:type="character" w:customStyle="1" w:styleId="BodyTextChar">
    <w:name w:val="Body Text Char"/>
    <w:basedOn w:val="DefaultParagraphFont"/>
    <w:link w:val="BodyText"/>
    <w:rsid w:val="00396E11"/>
    <w:rPr>
      <w:rFonts w:ascii="Cambria" w:eastAsia="Cambria" w:hAnsi="Cambria" w:cs="Times New Roman"/>
    </w:rPr>
  </w:style>
  <w:style w:type="paragraph" w:customStyle="1" w:styleId="Bulletsnumbers">
    <w:name w:val="Bullets (numbers)"/>
    <w:basedOn w:val="Bullets1stindent"/>
    <w:link w:val="BulletsnumbersChar"/>
    <w:semiHidden/>
    <w:rsid w:val="00396E11"/>
    <w:pPr>
      <w:numPr>
        <w:numId w:val="8"/>
      </w:numPr>
    </w:pPr>
    <w:rPr>
      <w:lang w:val="en-US"/>
    </w:rPr>
  </w:style>
  <w:style w:type="character" w:customStyle="1" w:styleId="BodyText1Char">
    <w:name w:val="Body Text1 Char"/>
    <w:basedOn w:val="DefaultParagraphFont"/>
    <w:link w:val="BodyText1"/>
    <w:semiHidden/>
    <w:rsid w:val="00396E11"/>
    <w:rPr>
      <w:rFonts w:ascii="Cambria" w:eastAsia="Times New Roman" w:hAnsi="Cambria" w:cs="Times New Roman"/>
      <w:szCs w:val="24"/>
    </w:rPr>
  </w:style>
  <w:style w:type="character" w:customStyle="1" w:styleId="Bullets1stindentChar">
    <w:name w:val="Bullets (1st indent) Char"/>
    <w:basedOn w:val="BodyText1Char"/>
    <w:link w:val="Bullets1stindent"/>
    <w:semiHidden/>
    <w:rsid w:val="002676C9"/>
    <w:rPr>
      <w:rFonts w:ascii="Cambria" w:eastAsia="Times New Roman" w:hAnsi="Cambria" w:cs="Times New Roman"/>
      <w:szCs w:val="24"/>
    </w:rPr>
  </w:style>
  <w:style w:type="character" w:customStyle="1" w:styleId="BulletsnumbersChar">
    <w:name w:val="Bullets (numbers) Char"/>
    <w:basedOn w:val="Bullets1stindentChar"/>
    <w:link w:val="Bulletsnumbers"/>
    <w:semiHidden/>
    <w:rsid w:val="00396E11"/>
    <w:rPr>
      <w:rFonts w:ascii="Cambria" w:eastAsia="Times New Roman" w:hAnsi="Cambria" w:cs="Times New Roman"/>
      <w:szCs w:val="24"/>
      <w:lang w:val="en-US"/>
    </w:rPr>
  </w:style>
  <w:style w:type="character" w:styleId="CommentReference">
    <w:name w:val="annotation reference"/>
    <w:basedOn w:val="DefaultParagraphFont"/>
    <w:uiPriority w:val="99"/>
    <w:semiHidden/>
    <w:rsid w:val="00396E11"/>
    <w:rPr>
      <w:sz w:val="16"/>
      <w:szCs w:val="16"/>
    </w:rPr>
  </w:style>
  <w:style w:type="paragraph" w:styleId="CommentText">
    <w:name w:val="annotation text"/>
    <w:basedOn w:val="Normal"/>
    <w:link w:val="CommentTextChar"/>
    <w:uiPriority w:val="99"/>
    <w:semiHidden/>
    <w:rsid w:val="00396E11"/>
    <w:pPr>
      <w:suppressAutoHyphens w:val="0"/>
      <w:spacing w:before="200" w:after="0" w:line="260" w:lineRule="atLeast"/>
    </w:pPr>
    <w:rPr>
      <w:rFonts w:ascii="Cambria" w:eastAsia="Cambria" w:hAnsi="Cambria" w:cs="Times New Roman"/>
      <w:szCs w:val="20"/>
    </w:rPr>
  </w:style>
  <w:style w:type="character" w:customStyle="1" w:styleId="CommentTextChar">
    <w:name w:val="Comment Text Char"/>
    <w:basedOn w:val="DefaultParagraphFont"/>
    <w:link w:val="CommentText"/>
    <w:uiPriority w:val="99"/>
    <w:semiHidden/>
    <w:rsid w:val="00396E11"/>
    <w:rPr>
      <w:rFonts w:ascii="Cambria" w:eastAsia="Cambria" w:hAnsi="Cambria" w:cs="Times New Roman"/>
      <w:szCs w:val="20"/>
    </w:rPr>
  </w:style>
  <w:style w:type="paragraph" w:styleId="ListNumber">
    <w:name w:val="List Number"/>
    <w:basedOn w:val="Normal"/>
    <w:qFormat/>
    <w:rsid w:val="00396E11"/>
    <w:pPr>
      <w:tabs>
        <w:tab w:val="num" w:pos="360"/>
      </w:tabs>
      <w:suppressAutoHyphens w:val="0"/>
      <w:spacing w:before="200" w:after="240" w:line="260" w:lineRule="atLeast"/>
      <w:ind w:left="357" w:hanging="357"/>
      <w:contextualSpacing/>
    </w:pPr>
    <w:rPr>
      <w:rFonts w:ascii="Cambria" w:eastAsia="Cambria" w:hAnsi="Cambria" w:cs="Times New Roman"/>
    </w:rPr>
  </w:style>
  <w:style w:type="paragraph" w:styleId="ListNumber2">
    <w:name w:val="List Number 2"/>
    <w:basedOn w:val="Normal"/>
    <w:rsid w:val="00396E11"/>
    <w:pPr>
      <w:tabs>
        <w:tab w:val="num" w:pos="643"/>
      </w:tabs>
      <w:suppressAutoHyphens w:val="0"/>
      <w:spacing w:before="200" w:after="0" w:line="260" w:lineRule="atLeast"/>
      <w:ind w:left="643" w:hanging="360"/>
      <w:contextualSpacing/>
    </w:pPr>
    <w:rPr>
      <w:rFonts w:ascii="Cambria" w:eastAsia="Cambria" w:hAnsi="Cambria" w:cs="Times New Roman"/>
    </w:rPr>
  </w:style>
  <w:style w:type="paragraph" w:styleId="ListBullet">
    <w:name w:val="List Bullet"/>
    <w:basedOn w:val="Normal"/>
    <w:qFormat/>
    <w:rsid w:val="00396E11"/>
    <w:pPr>
      <w:suppressAutoHyphens w:val="0"/>
      <w:spacing w:before="200" w:after="240" w:line="260" w:lineRule="atLeast"/>
      <w:ind w:left="360" w:hanging="360"/>
      <w:contextualSpacing/>
    </w:pPr>
    <w:rPr>
      <w:rFonts w:ascii="Cambria" w:eastAsia="Cambria" w:hAnsi="Cambria" w:cs="Times New Roman"/>
    </w:rPr>
  </w:style>
  <w:style w:type="table" w:customStyle="1" w:styleId="DOFDtexttable">
    <w:name w:val="DOFD_text table"/>
    <w:basedOn w:val="TableNormal"/>
    <w:uiPriority w:val="99"/>
    <w:qFormat/>
    <w:rsid w:val="00396E11"/>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paragraph" w:styleId="EndnoteText">
    <w:name w:val="endnote text"/>
    <w:basedOn w:val="Normal"/>
    <w:link w:val="EndnoteTextChar"/>
    <w:uiPriority w:val="99"/>
    <w:semiHidden/>
    <w:rsid w:val="00396E11"/>
    <w:pPr>
      <w:suppressAutoHyphens w:val="0"/>
      <w:spacing w:before="200" w:after="0" w:line="260" w:lineRule="atLeast"/>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396E11"/>
    <w:rPr>
      <w:rFonts w:ascii="Cambria" w:eastAsia="Cambria" w:hAnsi="Cambria" w:cs="Times New Roman"/>
      <w:szCs w:val="20"/>
    </w:rPr>
  </w:style>
  <w:style w:type="character" w:styleId="EndnoteReference">
    <w:name w:val="endnote reference"/>
    <w:basedOn w:val="DefaultParagraphFont"/>
    <w:uiPriority w:val="99"/>
    <w:semiHidden/>
    <w:rsid w:val="00396E11"/>
    <w:rPr>
      <w:vertAlign w:val="superscript"/>
    </w:rPr>
  </w:style>
  <w:style w:type="paragraph" w:styleId="List">
    <w:name w:val="List"/>
    <w:basedOn w:val="Numberedpara1stindent"/>
    <w:qFormat/>
    <w:rsid w:val="00396E11"/>
    <w:pPr>
      <w:spacing w:after="240"/>
    </w:pPr>
  </w:style>
  <w:style w:type="paragraph" w:styleId="List2">
    <w:name w:val="List 2"/>
    <w:basedOn w:val="Numberedpara2ndindent"/>
    <w:qFormat/>
    <w:rsid w:val="00396E11"/>
  </w:style>
  <w:style w:type="paragraph" w:styleId="List3">
    <w:name w:val="List 3"/>
    <w:basedOn w:val="Numberedpara3rdindent"/>
    <w:qFormat/>
    <w:rsid w:val="00396E11"/>
  </w:style>
  <w:style w:type="numbering" w:customStyle="1" w:styleId="Numbers1">
    <w:name w:val="Numbers1"/>
    <w:basedOn w:val="NoList"/>
    <w:rsid w:val="00396E11"/>
  </w:style>
  <w:style w:type="paragraph" w:customStyle="1" w:styleId="NumberedParagraph">
    <w:name w:val="Numbered Paragraph"/>
    <w:basedOn w:val="Numberedpara1stindent"/>
    <w:qFormat/>
    <w:rsid w:val="00396E11"/>
    <w:pPr>
      <w:tabs>
        <w:tab w:val="num" w:pos="360"/>
      </w:tabs>
      <w:spacing w:after="120"/>
      <w:ind w:left="360" w:hanging="360"/>
    </w:pPr>
    <w:rPr>
      <w:bCs/>
      <w:color w:val="000000"/>
    </w:rPr>
  </w:style>
  <w:style w:type="paragraph" w:styleId="ListParagraph">
    <w:name w:val="List Paragraph"/>
    <w:basedOn w:val="Normal"/>
    <w:uiPriority w:val="34"/>
    <w:qFormat/>
    <w:rsid w:val="00396E11"/>
    <w:pPr>
      <w:numPr>
        <w:numId w:val="11"/>
      </w:numPr>
      <w:suppressAutoHyphens w:val="0"/>
      <w:spacing w:before="200" w:after="0" w:line="260" w:lineRule="exact"/>
    </w:pPr>
    <w:rPr>
      <w:rFonts w:ascii="Cambria" w:eastAsia="Cambria" w:hAnsi="Cambria" w:cs="Times New Roman"/>
    </w:rPr>
  </w:style>
  <w:style w:type="character" w:styleId="FollowedHyperlink">
    <w:name w:val="FollowedHyperlink"/>
    <w:basedOn w:val="DefaultParagraphFont"/>
    <w:uiPriority w:val="99"/>
    <w:semiHidden/>
    <w:rsid w:val="00396E11"/>
    <w:rPr>
      <w:color w:val="954F72" w:themeColor="followedHyperlink"/>
      <w:u w:val="single"/>
    </w:rPr>
  </w:style>
  <w:style w:type="paragraph" w:styleId="NormalIndent">
    <w:name w:val="Normal Indent"/>
    <w:basedOn w:val="Normal"/>
    <w:uiPriority w:val="99"/>
    <w:semiHidden/>
    <w:rsid w:val="00396E11"/>
    <w:pPr>
      <w:suppressAutoHyphens w:val="0"/>
      <w:spacing w:before="200" w:after="0" w:line="260" w:lineRule="atLeast"/>
      <w:ind w:left="720"/>
    </w:pPr>
    <w:rPr>
      <w:rFonts w:ascii="Cambria" w:eastAsia="Cambria" w:hAnsi="Cambria" w:cs="Times New Roman"/>
    </w:rPr>
  </w:style>
  <w:style w:type="paragraph" w:customStyle="1" w:styleId="Boxnumberedparaindent1">
    <w:name w:val="Box numbered para indent 1"/>
    <w:basedOn w:val="NormalIndent"/>
    <w:rsid w:val="00396E11"/>
    <w:pPr>
      <w:tabs>
        <w:tab w:val="left" w:pos="284"/>
        <w:tab w:val="left" w:pos="1281"/>
        <w:tab w:val="left" w:pos="1418"/>
      </w:tabs>
    </w:pPr>
    <w:rPr>
      <w:lang w:eastAsia="en-AU"/>
    </w:rPr>
  </w:style>
  <w:style w:type="paragraph" w:styleId="NoSpacing">
    <w:name w:val="No Spacing"/>
    <w:uiPriority w:val="1"/>
    <w:qFormat/>
    <w:rsid w:val="00396E11"/>
    <w:pPr>
      <w:spacing w:after="0" w:line="240" w:lineRule="auto"/>
    </w:pPr>
    <w:rPr>
      <w:rFonts w:ascii="Cambria" w:eastAsia="Cambria" w:hAnsi="Cambria" w:cs="Times New Roman"/>
    </w:rPr>
  </w:style>
  <w:style w:type="paragraph" w:customStyle="1" w:styleId="Bullets3rdindent">
    <w:name w:val="Bullets (3rd indent)"/>
    <w:basedOn w:val="Bullets2ndindent"/>
    <w:rsid w:val="00396E11"/>
    <w:pPr>
      <w:numPr>
        <w:numId w:val="12"/>
      </w:numPr>
      <w:tabs>
        <w:tab w:val="right" w:pos="1191"/>
      </w:tabs>
      <w:ind w:left="1701" w:hanging="425"/>
    </w:pPr>
    <w:rPr>
      <w:rFonts w:ascii="Cambria" w:hAnsi="Cambria"/>
    </w:rPr>
  </w:style>
  <w:style w:type="paragraph" w:customStyle="1" w:styleId="Bullets1stindentlast">
    <w:name w:val="Bullets (1st indent) last"/>
    <w:basedOn w:val="Bullets1stindent"/>
    <w:rsid w:val="00396E11"/>
    <w:pPr>
      <w:spacing w:before="120" w:after="0" w:line="260" w:lineRule="atLeast"/>
    </w:pPr>
  </w:style>
  <w:style w:type="paragraph" w:customStyle="1" w:styleId="Bulletintro">
    <w:name w:val="Bullet intro"/>
    <w:basedOn w:val="Normal"/>
    <w:rsid w:val="00396E11"/>
    <w:pPr>
      <w:suppressAutoHyphens w:val="0"/>
      <w:spacing w:before="200" w:after="120" w:line="260" w:lineRule="atLeast"/>
    </w:pPr>
    <w:rPr>
      <w:rFonts w:ascii="Cambria" w:eastAsia="Cambria" w:hAnsi="Cambria" w:cs="Times New Roman"/>
    </w:rPr>
  </w:style>
  <w:style w:type="paragraph" w:styleId="Index1">
    <w:name w:val="index 1"/>
    <w:basedOn w:val="Normal"/>
    <w:next w:val="Normal"/>
    <w:autoRedefine/>
    <w:uiPriority w:val="99"/>
    <w:semiHidden/>
    <w:rsid w:val="00396E11"/>
    <w:pPr>
      <w:suppressAutoHyphens w:val="0"/>
      <w:spacing w:before="200" w:after="0" w:line="260" w:lineRule="atLeast"/>
      <w:ind w:left="220" w:hanging="220"/>
    </w:pPr>
    <w:rPr>
      <w:rFonts w:ascii="Cambria" w:eastAsia="Cambria" w:hAnsi="Cambria" w:cs="Times New Roman"/>
    </w:rPr>
  </w:style>
  <w:style w:type="paragraph" w:customStyle="1" w:styleId="BodyText2">
    <w:name w:val="Body Text2"/>
    <w:basedOn w:val="Normal"/>
    <w:qFormat/>
    <w:rsid w:val="00396E11"/>
    <w:pPr>
      <w:suppressAutoHyphens w:val="0"/>
      <w:spacing w:before="120" w:after="0" w:line="260" w:lineRule="atLeast"/>
    </w:pPr>
  </w:style>
  <w:style w:type="paragraph" w:styleId="CommentSubject">
    <w:name w:val="annotation subject"/>
    <w:basedOn w:val="CommentText"/>
    <w:next w:val="CommentText"/>
    <w:link w:val="CommentSubjectChar"/>
    <w:uiPriority w:val="99"/>
    <w:semiHidden/>
    <w:unhideWhenUsed/>
    <w:rsid w:val="00396E11"/>
    <w:pPr>
      <w:spacing w:line="240" w:lineRule="auto"/>
    </w:pPr>
    <w:rPr>
      <w:b/>
      <w:bCs/>
      <w:sz w:val="20"/>
    </w:rPr>
  </w:style>
  <w:style w:type="character" w:customStyle="1" w:styleId="CommentSubjectChar">
    <w:name w:val="Comment Subject Char"/>
    <w:basedOn w:val="CommentTextChar"/>
    <w:link w:val="CommentSubject"/>
    <w:uiPriority w:val="99"/>
    <w:semiHidden/>
    <w:rsid w:val="00396E11"/>
    <w:rPr>
      <w:rFonts w:ascii="Cambria" w:eastAsia="Cambria" w:hAnsi="Cambria" w:cs="Times New Roman"/>
      <w:b/>
      <w:bCs/>
      <w:sz w:val="20"/>
      <w:szCs w:val="20"/>
    </w:rPr>
  </w:style>
  <w:style w:type="paragraph" w:customStyle="1" w:styleId="FCList">
    <w:name w:val="FC_List"/>
    <w:basedOn w:val="Header"/>
    <w:uiPriority w:val="99"/>
    <w:rsid w:val="00396E11"/>
    <w:pPr>
      <w:numPr>
        <w:numId w:val="7"/>
      </w:num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DefaultText1">
    <w:name w:val="Default_Text_1"/>
    <w:basedOn w:val="Normal"/>
    <w:link w:val="DefaultText1Char"/>
    <w:qFormat/>
    <w:rsid w:val="00396E11"/>
    <w:pPr>
      <w:suppressAutoHyphens w:val="0"/>
      <w:autoSpaceDE w:val="0"/>
      <w:autoSpaceDN w:val="0"/>
      <w:adjustRightInd w:val="0"/>
      <w:spacing w:before="60" w:after="180" w:line="240" w:lineRule="auto"/>
    </w:pPr>
    <w:rPr>
      <w:rFonts w:ascii="Arial" w:eastAsia="Times New Roman" w:hAnsi="Arial" w:cs="Times-Roman"/>
      <w:color w:val="FFFFFF" w:themeColor="background1"/>
      <w:kern w:val="32"/>
      <w:sz w:val="48"/>
      <w:szCs w:val="32"/>
      <w:lang w:val="en-US"/>
    </w:rPr>
  </w:style>
  <w:style w:type="character" w:customStyle="1" w:styleId="DefaultText1Char">
    <w:name w:val="Default_Text_1 Char"/>
    <w:basedOn w:val="Heading1Char"/>
    <w:link w:val="DefaultText1"/>
    <w:rsid w:val="00396E11"/>
    <w:rPr>
      <w:rFonts w:ascii="Arial" w:eastAsia="Times New Roman" w:hAnsi="Arial" w:cs="Times-Roman"/>
      <w:bCs w:val="0"/>
      <w:color w:val="FFFFFF" w:themeColor="background1"/>
      <w:kern w:val="32"/>
      <w:sz w:val="48"/>
      <w:szCs w:val="32"/>
      <w:lang w:val="en-US"/>
    </w:rPr>
  </w:style>
  <w:style w:type="paragraph" w:styleId="Revision">
    <w:name w:val="Revision"/>
    <w:hidden/>
    <w:uiPriority w:val="99"/>
    <w:semiHidden/>
    <w:rsid w:val="00396E11"/>
    <w:pPr>
      <w:spacing w:after="0" w:line="240" w:lineRule="auto"/>
    </w:pPr>
    <w:rPr>
      <w:rFonts w:ascii="Cambria" w:eastAsia="Cambria" w:hAnsi="Cambria" w:cs="Times New Roman"/>
    </w:rPr>
  </w:style>
  <w:style w:type="paragraph" w:styleId="BodyText3">
    <w:name w:val="Body Text 3"/>
    <w:basedOn w:val="Normal"/>
    <w:link w:val="BodyText3Char"/>
    <w:uiPriority w:val="99"/>
    <w:semiHidden/>
    <w:unhideWhenUsed/>
    <w:rsid w:val="00A868E8"/>
    <w:pPr>
      <w:spacing w:after="120"/>
    </w:pPr>
    <w:rPr>
      <w:sz w:val="16"/>
      <w:szCs w:val="16"/>
    </w:rPr>
  </w:style>
  <w:style w:type="character" w:customStyle="1" w:styleId="BodyText3Char">
    <w:name w:val="Body Text 3 Char"/>
    <w:basedOn w:val="DefaultParagraphFont"/>
    <w:link w:val="BodyText3"/>
    <w:uiPriority w:val="99"/>
    <w:semiHidden/>
    <w:rsid w:val="00A868E8"/>
    <w:rPr>
      <w:sz w:val="16"/>
      <w:szCs w:val="16"/>
    </w:rPr>
  </w:style>
  <w:style w:type="paragraph" w:customStyle="1" w:styleId="Single">
    <w:name w:val="Single"/>
    <w:basedOn w:val="Normal"/>
    <w:rsid w:val="00A868E8"/>
    <w:pPr>
      <w:suppressAutoHyphens w:val="0"/>
      <w:spacing w:before="0" w:after="0" w:line="240" w:lineRule="auto"/>
    </w:pPr>
    <w:rPr>
      <w:rFonts w:ascii="Times New Roman" w:eastAsia="Times New Roman" w:hAnsi="Times New Roman" w:cs="Times New Roman"/>
      <w:sz w:val="24"/>
      <w:szCs w:val="20"/>
    </w:rPr>
  </w:style>
  <w:style w:type="paragraph" w:customStyle="1" w:styleId="Boxed-casestudy">
    <w:name w:val="Boxed - case study"/>
    <w:basedOn w:val="Boxed2Text"/>
    <w:next w:val="Boxed-casestudybullet"/>
    <w:link w:val="Boxed-casestudyChar"/>
    <w:rsid w:val="00903AF5"/>
    <w:pPr>
      <w:shd w:val="clear" w:color="auto" w:fill="65DDF5"/>
    </w:pPr>
  </w:style>
  <w:style w:type="paragraph" w:customStyle="1" w:styleId="Boxed-casestudybullet">
    <w:name w:val="Boxed - case study bullet"/>
    <w:basedOn w:val="Normal"/>
    <w:link w:val="Boxed-casestudybulletChar"/>
    <w:rsid w:val="006F4732"/>
    <w:pPr>
      <w:shd w:val="clear" w:color="auto" w:fill="65DDF5"/>
      <w:contextualSpacing/>
    </w:pPr>
  </w:style>
  <w:style w:type="character" w:customStyle="1" w:styleId="Boxed1TextChar">
    <w:name w:val="Boxed 1 Text Char"/>
    <w:basedOn w:val="DefaultParagraphFont"/>
    <w:link w:val="Boxed1Text"/>
    <w:rsid w:val="00903AF5"/>
    <w:rPr>
      <w:shd w:val="clear" w:color="auto" w:fill="F1F8F8" w:themeFill="accent1" w:themeFillTint="33"/>
    </w:rPr>
  </w:style>
  <w:style w:type="character" w:customStyle="1" w:styleId="Boxed2TextChar">
    <w:name w:val="Boxed 2 Text Char"/>
    <w:basedOn w:val="Boxed1TextChar"/>
    <w:link w:val="Boxed2Text"/>
    <w:rsid w:val="00903AF5"/>
    <w:rPr>
      <w:shd w:val="clear" w:color="auto" w:fill="BDDCDF" w:themeFill="accent1"/>
    </w:rPr>
  </w:style>
  <w:style w:type="character" w:customStyle="1" w:styleId="Boxed-casestudyChar">
    <w:name w:val="Boxed - case study Char"/>
    <w:basedOn w:val="Boxed2TextChar"/>
    <w:link w:val="Boxed-casestudy"/>
    <w:rsid w:val="00903AF5"/>
    <w:rPr>
      <w:shd w:val="clear" w:color="auto" w:fill="65DDF5"/>
    </w:rPr>
  </w:style>
  <w:style w:type="character" w:customStyle="1" w:styleId="Boxed-casestudybulletChar">
    <w:name w:val="Boxed - case study bullet Char"/>
    <w:basedOn w:val="Boxed-casestudyChar"/>
    <w:link w:val="Boxed-casestudybullet"/>
    <w:rsid w:val="006F4732"/>
    <w:rPr>
      <w:shd w:val="clear" w:color="auto" w:fill="65DDF5"/>
    </w:rPr>
  </w:style>
  <w:style w:type="paragraph" w:customStyle="1" w:styleId="Default">
    <w:name w:val="Default"/>
    <w:rsid w:val="00B422B2"/>
    <w:pPr>
      <w:autoSpaceDE w:val="0"/>
      <w:autoSpaceDN w:val="0"/>
      <w:adjustRightInd w:val="0"/>
      <w:spacing w:after="0" w:line="240" w:lineRule="auto"/>
    </w:pPr>
    <w:rPr>
      <w:rFonts w:ascii="Cambria" w:eastAsia="Times New Roman" w:hAnsi="Cambria" w:cs="Cambria"/>
      <w:color w:val="000000"/>
      <w:sz w:val="24"/>
      <w:szCs w:val="24"/>
      <w:lang w:eastAsia="en-AU"/>
    </w:rPr>
  </w:style>
  <w:style w:type="character" w:customStyle="1" w:styleId="Numberedpara1stindentChar">
    <w:name w:val="Numbered para (1st indent) Char"/>
    <w:basedOn w:val="DefaultParagraphFont"/>
    <w:link w:val="Numberedpara1stindent"/>
    <w:rsid w:val="00AE6C0D"/>
    <w:rPr>
      <w:rFonts w:ascii="Cambria" w:eastAsia="Cambria" w:hAnsi="Cambria" w:cs="Times New Roman"/>
    </w:rPr>
  </w:style>
  <w:style w:type="paragraph" w:customStyle="1" w:styleId="indent">
    <w:name w:val="indent"/>
    <w:basedOn w:val="Normal"/>
    <w:rsid w:val="00992F27"/>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320819">
      <w:bodyDiv w:val="1"/>
      <w:marLeft w:val="0"/>
      <w:marRight w:val="0"/>
      <w:marTop w:val="0"/>
      <w:marBottom w:val="0"/>
      <w:divBdr>
        <w:top w:val="none" w:sz="0" w:space="0" w:color="auto"/>
        <w:left w:val="none" w:sz="0" w:space="0" w:color="auto"/>
        <w:bottom w:val="none" w:sz="0" w:space="0" w:color="auto"/>
        <w:right w:val="none" w:sz="0" w:space="0" w:color="auto"/>
      </w:divBdr>
    </w:div>
    <w:div w:id="1439519430">
      <w:bodyDiv w:val="1"/>
      <w:marLeft w:val="0"/>
      <w:marRight w:val="0"/>
      <w:marTop w:val="0"/>
      <w:marBottom w:val="0"/>
      <w:divBdr>
        <w:top w:val="none" w:sz="0" w:space="0" w:color="auto"/>
        <w:left w:val="none" w:sz="0" w:space="0" w:color="auto"/>
        <w:bottom w:val="none" w:sz="0" w:space="0" w:color="auto"/>
        <w:right w:val="none" w:sz="0" w:space="0" w:color="auto"/>
      </w:divBdr>
    </w:div>
    <w:div w:id="1995142492">
      <w:bodyDiv w:val="1"/>
      <w:marLeft w:val="0"/>
      <w:marRight w:val="0"/>
      <w:marTop w:val="0"/>
      <w:marBottom w:val="0"/>
      <w:divBdr>
        <w:top w:val="none" w:sz="0" w:space="0" w:color="auto"/>
        <w:left w:val="none" w:sz="0" w:space="0" w:color="auto"/>
        <w:bottom w:val="none" w:sz="0" w:space="0" w:color="auto"/>
        <w:right w:val="none" w:sz="0" w:space="0" w:color="auto"/>
      </w:divBdr>
      <w:divsChild>
        <w:div w:id="302201843">
          <w:marLeft w:val="0"/>
          <w:marRight w:val="0"/>
          <w:marTop w:val="0"/>
          <w:marBottom w:val="0"/>
          <w:divBdr>
            <w:top w:val="none" w:sz="0" w:space="0" w:color="auto"/>
            <w:left w:val="none" w:sz="0" w:space="0" w:color="auto"/>
            <w:bottom w:val="none" w:sz="0" w:space="0" w:color="auto"/>
            <w:right w:val="none" w:sz="0" w:space="0" w:color="auto"/>
          </w:divBdr>
          <w:divsChild>
            <w:div w:id="78259420">
              <w:marLeft w:val="0"/>
              <w:marRight w:val="0"/>
              <w:marTop w:val="0"/>
              <w:marBottom w:val="0"/>
              <w:divBdr>
                <w:top w:val="none" w:sz="0" w:space="0" w:color="auto"/>
                <w:left w:val="none" w:sz="0" w:space="0" w:color="auto"/>
                <w:bottom w:val="none" w:sz="0" w:space="0" w:color="auto"/>
                <w:right w:val="none" w:sz="0" w:space="0" w:color="auto"/>
              </w:divBdr>
              <w:divsChild>
                <w:div w:id="909927284">
                  <w:marLeft w:val="0"/>
                  <w:marRight w:val="0"/>
                  <w:marTop w:val="0"/>
                  <w:marBottom w:val="0"/>
                  <w:divBdr>
                    <w:top w:val="none" w:sz="0" w:space="0" w:color="auto"/>
                    <w:left w:val="none" w:sz="0" w:space="0" w:color="auto"/>
                    <w:bottom w:val="none" w:sz="0" w:space="0" w:color="auto"/>
                    <w:right w:val="none" w:sz="0" w:space="0" w:color="auto"/>
                  </w:divBdr>
                  <w:divsChild>
                    <w:div w:id="1967353328">
                      <w:marLeft w:val="0"/>
                      <w:marRight w:val="0"/>
                      <w:marTop w:val="0"/>
                      <w:marBottom w:val="0"/>
                      <w:divBdr>
                        <w:top w:val="none" w:sz="0" w:space="0" w:color="auto"/>
                        <w:left w:val="none" w:sz="0" w:space="0" w:color="auto"/>
                        <w:bottom w:val="none" w:sz="0" w:space="0" w:color="auto"/>
                        <w:right w:val="none" w:sz="0" w:space="0" w:color="auto"/>
                      </w:divBdr>
                      <w:divsChild>
                        <w:div w:id="679742548">
                          <w:marLeft w:val="0"/>
                          <w:marRight w:val="0"/>
                          <w:marTop w:val="0"/>
                          <w:marBottom w:val="0"/>
                          <w:divBdr>
                            <w:top w:val="none" w:sz="0" w:space="0" w:color="auto"/>
                            <w:left w:val="none" w:sz="0" w:space="0" w:color="auto"/>
                            <w:bottom w:val="none" w:sz="0" w:space="0" w:color="auto"/>
                            <w:right w:val="none" w:sz="0" w:space="0" w:color="auto"/>
                          </w:divBdr>
                          <w:divsChild>
                            <w:div w:id="2079282833">
                              <w:marLeft w:val="0"/>
                              <w:marRight w:val="0"/>
                              <w:marTop w:val="0"/>
                              <w:marBottom w:val="0"/>
                              <w:divBdr>
                                <w:top w:val="none" w:sz="0" w:space="0" w:color="auto"/>
                                <w:left w:val="none" w:sz="0" w:space="0" w:color="auto"/>
                                <w:bottom w:val="none" w:sz="0" w:space="0" w:color="auto"/>
                                <w:right w:val="none" w:sz="0" w:space="0" w:color="auto"/>
                              </w:divBdr>
                              <w:divsChild>
                                <w:div w:id="2071078130">
                                  <w:marLeft w:val="0"/>
                                  <w:marRight w:val="0"/>
                                  <w:marTop w:val="0"/>
                                  <w:marBottom w:val="0"/>
                                  <w:divBdr>
                                    <w:top w:val="none" w:sz="0" w:space="0" w:color="auto"/>
                                    <w:left w:val="none" w:sz="0" w:space="0" w:color="auto"/>
                                    <w:bottom w:val="none" w:sz="0" w:space="0" w:color="auto"/>
                                    <w:right w:val="none" w:sz="0" w:space="0" w:color="auto"/>
                                  </w:divBdr>
                                  <w:divsChild>
                                    <w:div w:id="820847288">
                                      <w:marLeft w:val="0"/>
                                      <w:marRight w:val="0"/>
                                      <w:marTop w:val="0"/>
                                      <w:marBottom w:val="0"/>
                                      <w:divBdr>
                                        <w:top w:val="none" w:sz="0" w:space="0" w:color="auto"/>
                                        <w:left w:val="none" w:sz="0" w:space="0" w:color="auto"/>
                                        <w:bottom w:val="none" w:sz="0" w:space="0" w:color="auto"/>
                                        <w:right w:val="none" w:sz="0" w:space="0" w:color="auto"/>
                                      </w:divBdr>
                                      <w:divsChild>
                                        <w:div w:id="991905131">
                                          <w:marLeft w:val="0"/>
                                          <w:marRight w:val="0"/>
                                          <w:marTop w:val="0"/>
                                          <w:marBottom w:val="0"/>
                                          <w:divBdr>
                                            <w:top w:val="none" w:sz="0" w:space="0" w:color="auto"/>
                                            <w:left w:val="none" w:sz="0" w:space="0" w:color="auto"/>
                                            <w:bottom w:val="none" w:sz="0" w:space="0" w:color="auto"/>
                                            <w:right w:val="none" w:sz="0" w:space="0" w:color="auto"/>
                                          </w:divBdr>
                                          <w:divsChild>
                                            <w:div w:id="1737630881">
                                              <w:marLeft w:val="0"/>
                                              <w:marRight w:val="0"/>
                                              <w:marTop w:val="0"/>
                                              <w:marBottom w:val="0"/>
                                              <w:divBdr>
                                                <w:top w:val="none" w:sz="0" w:space="0" w:color="auto"/>
                                                <w:left w:val="none" w:sz="0" w:space="0" w:color="auto"/>
                                                <w:bottom w:val="none" w:sz="0" w:space="0" w:color="auto"/>
                                                <w:right w:val="none" w:sz="0" w:space="0" w:color="auto"/>
                                              </w:divBdr>
                                              <w:divsChild>
                                                <w:div w:id="2112821679">
                                                  <w:marLeft w:val="0"/>
                                                  <w:marRight w:val="0"/>
                                                  <w:marTop w:val="0"/>
                                                  <w:marBottom w:val="0"/>
                                                  <w:divBdr>
                                                    <w:top w:val="none" w:sz="0" w:space="0" w:color="auto"/>
                                                    <w:left w:val="none" w:sz="0" w:space="0" w:color="auto"/>
                                                    <w:bottom w:val="none" w:sz="0" w:space="0" w:color="auto"/>
                                                    <w:right w:val="none" w:sz="0" w:space="0" w:color="auto"/>
                                                  </w:divBdr>
                                                  <w:divsChild>
                                                    <w:div w:id="9134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89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 TargetMode="External"/><Relationship Id="rId13" Type="http://schemas.openxmlformats.org/officeDocument/2006/relationships/hyperlink" Target="http://www.finance.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inance.gov.au/resource-management/discretionary-financial-assistanc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inance.gov.au/resource-management/discretionary-financial-assistance/waiver-of-debt-mechanis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c@finance.gov.au" TargetMode="External"/><Relationship Id="rId5" Type="http://schemas.openxmlformats.org/officeDocument/2006/relationships/webSettings" Target="webSettings.xml"/><Relationship Id="rId15" Type="http://schemas.openxmlformats.org/officeDocument/2006/relationships/hyperlink" Target="http://www.finance.gov.au/resource-management/discretionary-financial-assistance/act-of-grace-mechanism" TargetMode="External"/><Relationship Id="rId10" Type="http://schemas.openxmlformats.org/officeDocument/2006/relationships/hyperlink" Target="http://www.dpmc.gov.au/government/its-honou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finance.gov.au/resource-management/discretionary-financial-assistanc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83BD8-51BD-43FE-BF82-10EF2F3FB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99D6F092</Template>
  <TotalTime>0</TotalTime>
  <Pages>13</Pages>
  <Words>3558</Words>
  <Characters>20284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Requests for discretionary financial assistance under the Public Governance, Performance and Accountability Act 2013</dc:title>
  <dc:subject/>
  <dc:creator>Department of Finance</dc:creator>
  <cp:keywords/>
  <dc:description/>
  <cp:lastModifiedBy>Smith, Edward</cp:lastModifiedBy>
  <cp:revision>3</cp:revision>
  <cp:lastPrinted>2016-09-29T04:48:00Z</cp:lastPrinted>
  <dcterms:created xsi:type="dcterms:W3CDTF">2018-04-05T04:08:00Z</dcterms:created>
  <dcterms:modified xsi:type="dcterms:W3CDTF">2018-04-05T04:10:00Z</dcterms:modified>
  <cp:contentStatus/>
</cp:coreProperties>
</file>