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FE6" w:rsidRDefault="00922134" w:rsidP="00491FE6">
      <w:pPr>
        <w:pStyle w:val="Heading1"/>
      </w:pPr>
      <w:bookmarkStart w:id="0" w:name="_GoBack"/>
      <w:bookmarkEnd w:id="0"/>
      <w:r w:rsidRPr="00922134">
        <w:rPr>
          <w:noProof/>
          <w:lang w:val="en-AU" w:eastAsia="en-AU"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column">
              <wp:posOffset>-908050</wp:posOffset>
            </wp:positionH>
            <wp:positionV relativeFrom="paragraph">
              <wp:posOffset>-2175510</wp:posOffset>
            </wp:positionV>
            <wp:extent cx="7616190" cy="3282315"/>
            <wp:effectExtent l="19050" t="0" r="3810" b="0"/>
            <wp:wrapNone/>
            <wp:docPr id="8" name="Picture 2" descr="Australian Government&#10;Comcover Gener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7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16190" cy="3282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6726">
        <w:rPr>
          <w:noProof/>
          <w:lang w:val="en-AU" w:eastAsia="en-AU"/>
        </w:rPr>
        <w:t>Risk Services</w:t>
      </w:r>
    </w:p>
    <w:p w:rsidR="00491FE6" w:rsidRPr="0054233A" w:rsidRDefault="00F04582" w:rsidP="0054233A">
      <w:pPr>
        <w:pStyle w:val="Subheading"/>
      </w:pPr>
      <w:r>
        <w:t>Current as of July 2014</w:t>
      </w:r>
    </w:p>
    <w:p w:rsidR="00AE02D8" w:rsidRPr="00922134" w:rsidRDefault="00AE02D8" w:rsidP="00922134">
      <w:pPr>
        <w:pStyle w:val="BodyText1"/>
        <w:sectPr w:rsidR="00AE02D8" w:rsidRPr="00922134" w:rsidSect="00C2691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 w:code="9"/>
          <w:pgMar w:top="2943" w:right="1418" w:bottom="1134" w:left="1418" w:header="510" w:footer="103" w:gutter="0"/>
          <w:cols w:space="709"/>
          <w:docGrid w:linePitch="360"/>
        </w:sectPr>
      </w:pPr>
    </w:p>
    <w:p w:rsidR="003767B2" w:rsidRDefault="003767B2">
      <w:pPr>
        <w:spacing w:after="57" w:line="260" w:lineRule="atLeast"/>
        <w:ind w:left="284" w:hanging="284"/>
      </w:pPr>
    </w:p>
    <w:p w:rsidR="003767B2" w:rsidRDefault="003767B2">
      <w:pPr>
        <w:spacing w:after="57" w:line="260" w:lineRule="atLeast"/>
        <w:ind w:left="284" w:hanging="284"/>
      </w:pPr>
    </w:p>
    <w:p w:rsidR="003767B2" w:rsidRDefault="003767B2" w:rsidP="0060715C">
      <w:pPr>
        <w:spacing w:after="120" w:line="260" w:lineRule="atLeast"/>
        <w:ind w:left="284" w:hanging="284"/>
      </w:pPr>
    </w:p>
    <w:p w:rsidR="00306726" w:rsidRDefault="00306726" w:rsidP="0060715C">
      <w:pPr>
        <w:spacing w:after="120"/>
        <w:rPr>
          <w:rFonts w:asciiTheme="majorHAnsi" w:hAnsiTheme="majorHAnsi" w:cstheme="majorHAnsi"/>
          <w:b/>
          <w:sz w:val="24"/>
        </w:rPr>
      </w:pPr>
      <w:r w:rsidRPr="000A54B5">
        <w:rPr>
          <w:rFonts w:asciiTheme="majorHAnsi" w:hAnsiTheme="majorHAnsi" w:cstheme="majorHAnsi"/>
          <w:b/>
          <w:sz w:val="24"/>
        </w:rPr>
        <w:t>Comcover’s risk services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 w:rsidRPr="000A54B5">
        <w:rPr>
          <w:rFonts w:asciiTheme="majorHAnsi" w:hAnsiTheme="majorHAnsi" w:cstheme="majorHAnsi"/>
          <w:sz w:val="24"/>
        </w:rPr>
        <w:t xml:space="preserve">A key Comcover objective is to promote best practice risk management across departments and agencies that will improve policy formulation, support the delivery of Government programmes and services, and deliver long-term benefits to the Budget. 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 w:rsidRPr="000A54B5">
        <w:rPr>
          <w:rFonts w:asciiTheme="majorHAnsi" w:hAnsiTheme="majorHAnsi" w:cstheme="majorHAnsi"/>
          <w:sz w:val="24"/>
        </w:rPr>
        <w:t>Our risk management programme provides Fund Members with a range of services including benchmarking of enterprise-wide risk management frameworks and programs, and access to high quality risk advisory services to help Fund Members build their risk management capability and maturity.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b/>
          <w:sz w:val="24"/>
        </w:rPr>
      </w:pPr>
      <w:r w:rsidRPr="000A54B5">
        <w:rPr>
          <w:rFonts w:asciiTheme="majorHAnsi" w:hAnsiTheme="majorHAnsi" w:cstheme="majorHAnsi"/>
          <w:b/>
          <w:sz w:val="24"/>
        </w:rPr>
        <w:t xml:space="preserve">Achieve individual and whole-of-government outcomes 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 w:rsidRPr="000A54B5">
        <w:rPr>
          <w:rFonts w:asciiTheme="majorHAnsi" w:hAnsiTheme="majorHAnsi" w:cstheme="majorHAnsi"/>
          <w:sz w:val="24"/>
        </w:rPr>
        <w:t>For the first time</w:t>
      </w:r>
      <w:r>
        <w:rPr>
          <w:rFonts w:asciiTheme="majorHAnsi" w:hAnsiTheme="majorHAnsi" w:cstheme="majorHAnsi"/>
          <w:sz w:val="24"/>
        </w:rPr>
        <w:t>,</w:t>
      </w:r>
      <w:r w:rsidRPr="000A54B5">
        <w:rPr>
          <w:rFonts w:asciiTheme="majorHAnsi" w:hAnsiTheme="majorHAnsi" w:cstheme="majorHAnsi"/>
          <w:sz w:val="24"/>
        </w:rPr>
        <w:t xml:space="preserve"> Comcover can now offer Fund Members the opportunity to tap into our commercial arrangements to access a high level of expert risk management advice and assistance through our integrated service delivery framework.  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 xml:space="preserve">Deloitte is one of the </w:t>
      </w:r>
      <w:r w:rsidRPr="000A54B5">
        <w:rPr>
          <w:rFonts w:asciiTheme="majorHAnsi" w:hAnsiTheme="majorHAnsi" w:cstheme="majorHAnsi"/>
          <w:sz w:val="24"/>
        </w:rPr>
        <w:t>largest risk service provider</w:t>
      </w:r>
      <w:r>
        <w:rPr>
          <w:rFonts w:asciiTheme="majorHAnsi" w:hAnsiTheme="majorHAnsi" w:cstheme="majorHAnsi"/>
          <w:sz w:val="24"/>
        </w:rPr>
        <w:t>s</w:t>
      </w:r>
      <w:r w:rsidRPr="000A54B5">
        <w:rPr>
          <w:rFonts w:asciiTheme="majorHAnsi" w:hAnsiTheme="majorHAnsi" w:cstheme="majorHAnsi"/>
          <w:sz w:val="24"/>
        </w:rPr>
        <w:t xml:space="preserve"> </w:t>
      </w:r>
      <w:r>
        <w:rPr>
          <w:rFonts w:asciiTheme="majorHAnsi" w:hAnsiTheme="majorHAnsi" w:cstheme="majorHAnsi"/>
          <w:sz w:val="24"/>
        </w:rPr>
        <w:t xml:space="preserve">both </w:t>
      </w:r>
      <w:r w:rsidRPr="000A54B5">
        <w:rPr>
          <w:rFonts w:asciiTheme="majorHAnsi" w:hAnsiTheme="majorHAnsi" w:cstheme="majorHAnsi"/>
          <w:sz w:val="24"/>
        </w:rPr>
        <w:t xml:space="preserve">in Australia and </w:t>
      </w:r>
      <w:r>
        <w:rPr>
          <w:rFonts w:asciiTheme="majorHAnsi" w:hAnsiTheme="majorHAnsi" w:cstheme="majorHAnsi"/>
          <w:sz w:val="24"/>
        </w:rPr>
        <w:t xml:space="preserve">globally and </w:t>
      </w:r>
      <w:r w:rsidRPr="000A54B5">
        <w:rPr>
          <w:rFonts w:asciiTheme="majorHAnsi" w:hAnsiTheme="majorHAnsi" w:cstheme="majorHAnsi"/>
          <w:sz w:val="24"/>
        </w:rPr>
        <w:t xml:space="preserve">has been working with Comcover to deliver risk management services for more than five years. 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 w:rsidRPr="000A54B5">
        <w:rPr>
          <w:rFonts w:asciiTheme="majorHAnsi" w:eastAsia="Arial" w:hAnsiTheme="majorHAnsi" w:cstheme="majorHAnsi"/>
          <w:color w:val="292829"/>
          <w:sz w:val="24"/>
        </w:rPr>
        <w:t xml:space="preserve">The team </w:t>
      </w:r>
      <w:r w:rsidRPr="000A54B5">
        <w:rPr>
          <w:rFonts w:asciiTheme="majorHAnsi" w:hAnsiTheme="majorHAnsi" w:cstheme="majorHAnsi"/>
          <w:sz w:val="24"/>
        </w:rPr>
        <w:t xml:space="preserve">applies </w:t>
      </w:r>
      <w:r>
        <w:rPr>
          <w:rFonts w:asciiTheme="majorHAnsi" w:hAnsiTheme="majorHAnsi" w:cstheme="majorHAnsi"/>
          <w:sz w:val="24"/>
        </w:rPr>
        <w:t>best</w:t>
      </w:r>
      <w:r w:rsidRPr="000A54B5">
        <w:rPr>
          <w:rFonts w:asciiTheme="majorHAnsi" w:hAnsiTheme="majorHAnsi" w:cstheme="majorHAnsi"/>
          <w:sz w:val="24"/>
        </w:rPr>
        <w:t xml:space="preserve"> practic</w:t>
      </w:r>
      <w:r>
        <w:rPr>
          <w:rFonts w:asciiTheme="majorHAnsi" w:hAnsiTheme="majorHAnsi" w:cstheme="majorHAnsi"/>
          <w:sz w:val="24"/>
        </w:rPr>
        <w:t>e derived from experience working with some of Australia’s largest public and private sector organisations</w:t>
      </w:r>
      <w:r w:rsidRPr="000A54B5">
        <w:rPr>
          <w:rFonts w:asciiTheme="majorHAnsi" w:hAnsiTheme="majorHAnsi" w:cstheme="majorHAnsi"/>
          <w:sz w:val="24"/>
        </w:rPr>
        <w:t xml:space="preserve"> to Comcover’s risk management programme </w:t>
      </w:r>
      <w:r>
        <w:rPr>
          <w:rFonts w:asciiTheme="majorHAnsi" w:hAnsiTheme="majorHAnsi" w:cstheme="majorHAnsi"/>
          <w:sz w:val="24"/>
        </w:rPr>
        <w:t xml:space="preserve">providing a comprehensive suite of risk transformation, analytic and </w:t>
      </w:r>
      <w:r w:rsidRPr="000A54B5">
        <w:rPr>
          <w:rFonts w:asciiTheme="majorHAnsi" w:hAnsiTheme="majorHAnsi" w:cstheme="majorHAnsi"/>
          <w:sz w:val="24"/>
        </w:rPr>
        <w:t>advisory services.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b/>
          <w:sz w:val="24"/>
        </w:rPr>
      </w:pPr>
      <w:r w:rsidRPr="000A54B5">
        <w:rPr>
          <w:rFonts w:asciiTheme="majorHAnsi" w:hAnsiTheme="majorHAnsi" w:cstheme="majorHAnsi"/>
          <w:b/>
          <w:sz w:val="24"/>
        </w:rPr>
        <w:t>Select your service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 w:rsidRPr="000A54B5">
        <w:rPr>
          <w:rFonts w:asciiTheme="majorHAnsi" w:hAnsiTheme="majorHAnsi" w:cstheme="majorHAnsi"/>
          <w:sz w:val="24"/>
        </w:rPr>
        <w:t>A range of risk management services are available including high quality, tailored advice to equip Fund Members with the knowledge, skills and expertise needed to embed effective risk management into day-to-day decision making. This includes helping members to:</w:t>
      </w:r>
    </w:p>
    <w:p w:rsidR="00306726" w:rsidRDefault="00306726" w:rsidP="0060715C">
      <w:pPr>
        <w:pStyle w:val="ListParagraph"/>
        <w:numPr>
          <w:ilvl w:val="0"/>
          <w:numId w:val="31"/>
        </w:numPr>
        <w:spacing w:after="120" w:line="240" w:lineRule="auto"/>
        <w:contextualSpacing w:val="0"/>
        <w:rPr>
          <w:rFonts w:asciiTheme="majorHAnsi" w:hAnsiTheme="majorHAnsi" w:cstheme="majorHAnsi"/>
          <w:sz w:val="24"/>
          <w:szCs w:val="24"/>
        </w:rPr>
      </w:pPr>
      <w:r w:rsidRPr="000A54B5">
        <w:rPr>
          <w:rFonts w:asciiTheme="majorHAnsi" w:hAnsiTheme="majorHAnsi" w:cstheme="majorHAnsi"/>
          <w:sz w:val="24"/>
          <w:szCs w:val="24"/>
        </w:rPr>
        <w:t>gain greater efficiencies through standardised risk management language and approaches</w:t>
      </w:r>
      <w:r>
        <w:rPr>
          <w:rFonts w:asciiTheme="majorHAnsi" w:hAnsiTheme="majorHAnsi" w:cstheme="majorHAnsi"/>
          <w:sz w:val="24"/>
          <w:szCs w:val="24"/>
        </w:rPr>
        <w:t>;</w:t>
      </w:r>
    </w:p>
    <w:p w:rsidR="00306726" w:rsidRDefault="00306726" w:rsidP="0060715C">
      <w:pPr>
        <w:pStyle w:val="ListParagraph"/>
        <w:numPr>
          <w:ilvl w:val="0"/>
          <w:numId w:val="31"/>
        </w:numPr>
        <w:spacing w:after="120" w:line="240" w:lineRule="auto"/>
        <w:contextualSpacing w:val="0"/>
        <w:rPr>
          <w:rFonts w:asciiTheme="majorHAnsi" w:hAnsiTheme="majorHAnsi" w:cstheme="majorHAnsi"/>
          <w:sz w:val="24"/>
          <w:szCs w:val="24"/>
        </w:rPr>
      </w:pPr>
      <w:r w:rsidRPr="000A54B5">
        <w:rPr>
          <w:rFonts w:asciiTheme="majorHAnsi" w:hAnsiTheme="majorHAnsi" w:cstheme="majorHAnsi"/>
          <w:sz w:val="24"/>
          <w:szCs w:val="24"/>
        </w:rPr>
        <w:t>share experiences and good practice</w:t>
      </w:r>
      <w:r>
        <w:rPr>
          <w:rFonts w:asciiTheme="majorHAnsi" w:hAnsiTheme="majorHAnsi" w:cstheme="majorHAnsi"/>
          <w:sz w:val="24"/>
          <w:szCs w:val="24"/>
        </w:rPr>
        <w:t>;</w:t>
      </w:r>
    </w:p>
    <w:p w:rsidR="00306726" w:rsidRDefault="00306726" w:rsidP="0060715C">
      <w:pPr>
        <w:pStyle w:val="ListParagraph"/>
        <w:numPr>
          <w:ilvl w:val="0"/>
          <w:numId w:val="31"/>
        </w:numPr>
        <w:spacing w:after="120" w:line="240" w:lineRule="auto"/>
        <w:ind w:left="714" w:hanging="357"/>
        <w:contextualSpacing w:val="0"/>
        <w:rPr>
          <w:rFonts w:asciiTheme="majorHAnsi" w:hAnsiTheme="majorHAnsi" w:cstheme="majorHAnsi"/>
          <w:sz w:val="24"/>
          <w:szCs w:val="24"/>
        </w:rPr>
      </w:pPr>
      <w:r w:rsidRPr="000A54B5">
        <w:rPr>
          <w:rFonts w:asciiTheme="majorHAnsi" w:hAnsiTheme="majorHAnsi" w:cstheme="majorHAnsi"/>
          <w:sz w:val="24"/>
          <w:szCs w:val="24"/>
        </w:rPr>
        <w:t>determine and establish appropriate risk management frameworks and systems</w:t>
      </w:r>
      <w:r>
        <w:rPr>
          <w:rFonts w:asciiTheme="majorHAnsi" w:hAnsiTheme="majorHAnsi" w:cstheme="majorHAnsi"/>
          <w:sz w:val="24"/>
          <w:szCs w:val="24"/>
        </w:rPr>
        <w:t>;</w:t>
      </w:r>
    </w:p>
    <w:p w:rsidR="00306726" w:rsidRDefault="00306726" w:rsidP="0060715C">
      <w:pPr>
        <w:pStyle w:val="ListParagraph"/>
        <w:numPr>
          <w:ilvl w:val="0"/>
          <w:numId w:val="31"/>
        </w:numPr>
        <w:spacing w:after="120" w:line="240" w:lineRule="auto"/>
        <w:ind w:left="714" w:hanging="357"/>
        <w:contextualSpacing w:val="0"/>
        <w:rPr>
          <w:rFonts w:asciiTheme="majorHAnsi" w:hAnsiTheme="majorHAnsi" w:cstheme="majorHAnsi"/>
          <w:sz w:val="24"/>
          <w:szCs w:val="24"/>
        </w:rPr>
      </w:pPr>
      <w:r w:rsidRPr="000A54B5">
        <w:rPr>
          <w:rFonts w:asciiTheme="majorHAnsi" w:hAnsiTheme="majorHAnsi" w:cstheme="majorHAnsi"/>
          <w:sz w:val="24"/>
          <w:szCs w:val="24"/>
        </w:rPr>
        <w:t>review and refine existing risk management frameworks and systems</w:t>
      </w:r>
      <w:r>
        <w:rPr>
          <w:rFonts w:asciiTheme="majorHAnsi" w:hAnsiTheme="majorHAnsi" w:cstheme="majorHAnsi"/>
          <w:sz w:val="24"/>
          <w:szCs w:val="24"/>
        </w:rPr>
        <w:t>; and</w:t>
      </w:r>
    </w:p>
    <w:p w:rsidR="00306726" w:rsidRDefault="00306726" w:rsidP="0060715C">
      <w:pPr>
        <w:pStyle w:val="ListParagraph"/>
        <w:numPr>
          <w:ilvl w:val="0"/>
          <w:numId w:val="31"/>
        </w:numPr>
        <w:spacing w:after="120" w:line="240" w:lineRule="auto"/>
        <w:ind w:left="714" w:hanging="357"/>
        <w:contextualSpacing w:val="0"/>
        <w:rPr>
          <w:rFonts w:asciiTheme="majorHAnsi" w:hAnsiTheme="majorHAnsi" w:cstheme="majorHAnsi"/>
          <w:sz w:val="24"/>
          <w:szCs w:val="24"/>
        </w:rPr>
      </w:pPr>
      <w:r w:rsidRPr="000A54B5">
        <w:rPr>
          <w:rFonts w:asciiTheme="majorHAnsi" w:hAnsiTheme="majorHAnsi" w:cstheme="majorHAnsi"/>
          <w:sz w:val="24"/>
          <w:szCs w:val="24"/>
        </w:rPr>
        <w:t>respond efficiently and comprehensively to changes in Government risk management policies and requirements.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 w:rsidRPr="000A54B5">
        <w:rPr>
          <w:rFonts w:asciiTheme="majorHAnsi" w:hAnsiTheme="majorHAnsi" w:cstheme="majorHAnsi"/>
          <w:sz w:val="24"/>
        </w:rPr>
        <w:lastRenderedPageBreak/>
        <w:t xml:space="preserve">Because the requirements of Fund Members differ greatly, Deloitte tailor packages of support and advice according to an agency’s needs. </w:t>
      </w:r>
      <w:r>
        <w:rPr>
          <w:rFonts w:asciiTheme="majorHAnsi" w:hAnsiTheme="majorHAnsi" w:cstheme="majorHAnsi"/>
          <w:sz w:val="24"/>
        </w:rPr>
        <w:t>For example, t</w:t>
      </w:r>
      <w:r w:rsidRPr="000A54B5">
        <w:rPr>
          <w:rFonts w:asciiTheme="majorHAnsi" w:hAnsiTheme="majorHAnsi" w:cstheme="majorHAnsi"/>
          <w:sz w:val="24"/>
        </w:rPr>
        <w:t>hese include programs to:</w:t>
      </w:r>
    </w:p>
    <w:p w:rsidR="00306726" w:rsidRDefault="00306726" w:rsidP="0060715C">
      <w:pPr>
        <w:pStyle w:val="ListParagraph"/>
        <w:numPr>
          <w:ilvl w:val="0"/>
          <w:numId w:val="32"/>
        </w:numPr>
        <w:spacing w:after="120" w:line="240" w:lineRule="auto"/>
        <w:ind w:left="714" w:hanging="357"/>
        <w:contextualSpacing w:val="0"/>
        <w:rPr>
          <w:rFonts w:asciiTheme="majorHAnsi" w:hAnsiTheme="majorHAnsi" w:cstheme="majorHAnsi"/>
          <w:sz w:val="24"/>
          <w:szCs w:val="24"/>
        </w:rPr>
      </w:pPr>
      <w:r w:rsidRPr="000A54B5">
        <w:rPr>
          <w:rFonts w:asciiTheme="majorHAnsi" w:hAnsiTheme="majorHAnsi" w:cstheme="majorHAnsi"/>
          <w:sz w:val="24"/>
          <w:szCs w:val="24"/>
        </w:rPr>
        <w:t>integrate risk into strategic planning</w:t>
      </w:r>
      <w:r>
        <w:rPr>
          <w:rFonts w:asciiTheme="majorHAnsi" w:hAnsiTheme="majorHAnsi" w:cstheme="majorHAnsi"/>
          <w:sz w:val="24"/>
          <w:szCs w:val="24"/>
        </w:rPr>
        <w:t>;</w:t>
      </w:r>
    </w:p>
    <w:p w:rsidR="00306726" w:rsidRDefault="00306726" w:rsidP="0060715C">
      <w:pPr>
        <w:pStyle w:val="ListParagraph"/>
        <w:numPr>
          <w:ilvl w:val="0"/>
          <w:numId w:val="32"/>
        </w:numPr>
        <w:spacing w:after="120" w:line="240" w:lineRule="auto"/>
        <w:ind w:left="714" w:hanging="357"/>
        <w:contextualSpacing w:val="0"/>
        <w:rPr>
          <w:rFonts w:asciiTheme="majorHAnsi" w:hAnsiTheme="majorHAnsi" w:cstheme="majorHAnsi"/>
          <w:sz w:val="24"/>
          <w:szCs w:val="24"/>
        </w:rPr>
      </w:pPr>
      <w:r w:rsidRPr="000A54B5">
        <w:rPr>
          <w:rFonts w:asciiTheme="majorHAnsi" w:hAnsiTheme="majorHAnsi" w:cstheme="majorHAnsi"/>
          <w:sz w:val="24"/>
          <w:szCs w:val="24"/>
        </w:rPr>
        <w:t>establish informed and useful expressions of risk appetite</w:t>
      </w:r>
      <w:r>
        <w:rPr>
          <w:rFonts w:asciiTheme="majorHAnsi" w:hAnsiTheme="majorHAnsi" w:cstheme="majorHAnsi"/>
          <w:sz w:val="24"/>
          <w:szCs w:val="24"/>
        </w:rPr>
        <w:t>;</w:t>
      </w:r>
    </w:p>
    <w:p w:rsidR="00306726" w:rsidRDefault="00306726" w:rsidP="0060715C">
      <w:pPr>
        <w:pStyle w:val="ListParagraph"/>
        <w:numPr>
          <w:ilvl w:val="0"/>
          <w:numId w:val="32"/>
        </w:numPr>
        <w:spacing w:after="120" w:line="240" w:lineRule="auto"/>
        <w:ind w:left="714" w:hanging="357"/>
        <w:contextualSpacing w:val="0"/>
        <w:rPr>
          <w:rFonts w:asciiTheme="majorHAnsi" w:hAnsiTheme="majorHAnsi" w:cstheme="majorHAnsi"/>
          <w:sz w:val="24"/>
          <w:szCs w:val="24"/>
        </w:rPr>
      </w:pPr>
      <w:r w:rsidRPr="000A54B5">
        <w:rPr>
          <w:rFonts w:asciiTheme="majorHAnsi" w:hAnsiTheme="majorHAnsi" w:cstheme="majorHAnsi"/>
          <w:sz w:val="24"/>
          <w:szCs w:val="24"/>
        </w:rPr>
        <w:t>build and foster a risk intelligent culture</w:t>
      </w:r>
      <w:r>
        <w:rPr>
          <w:rFonts w:asciiTheme="majorHAnsi" w:hAnsiTheme="majorHAnsi" w:cstheme="majorHAnsi"/>
          <w:sz w:val="24"/>
          <w:szCs w:val="24"/>
        </w:rPr>
        <w:t>;</w:t>
      </w:r>
    </w:p>
    <w:p w:rsidR="00306726" w:rsidRDefault="00306726" w:rsidP="0060715C">
      <w:pPr>
        <w:pStyle w:val="ListParagraph"/>
        <w:numPr>
          <w:ilvl w:val="0"/>
          <w:numId w:val="32"/>
        </w:numPr>
        <w:spacing w:after="120" w:line="240" w:lineRule="auto"/>
        <w:ind w:left="714" w:hanging="357"/>
        <w:contextualSpacing w:val="0"/>
        <w:rPr>
          <w:rFonts w:asciiTheme="majorHAnsi" w:hAnsiTheme="majorHAnsi" w:cstheme="majorHAnsi"/>
          <w:sz w:val="24"/>
          <w:szCs w:val="24"/>
        </w:rPr>
      </w:pPr>
      <w:r w:rsidRPr="000A54B5">
        <w:rPr>
          <w:rFonts w:asciiTheme="majorHAnsi" w:hAnsiTheme="majorHAnsi" w:cstheme="majorHAnsi"/>
          <w:sz w:val="24"/>
          <w:szCs w:val="24"/>
        </w:rPr>
        <w:t>better define risk management roles and responsibilities</w:t>
      </w:r>
      <w:r>
        <w:rPr>
          <w:rFonts w:asciiTheme="majorHAnsi" w:hAnsiTheme="majorHAnsi" w:cstheme="majorHAnsi"/>
          <w:sz w:val="24"/>
          <w:szCs w:val="24"/>
        </w:rPr>
        <w:t>; and</w:t>
      </w:r>
    </w:p>
    <w:p w:rsidR="00306726" w:rsidRDefault="00306726" w:rsidP="0060715C">
      <w:pPr>
        <w:pStyle w:val="ListParagraph"/>
        <w:numPr>
          <w:ilvl w:val="0"/>
          <w:numId w:val="32"/>
        </w:numPr>
        <w:spacing w:after="120" w:line="240" w:lineRule="auto"/>
        <w:ind w:left="714" w:hanging="357"/>
        <w:contextualSpacing w:val="0"/>
        <w:rPr>
          <w:rFonts w:asciiTheme="majorHAnsi" w:hAnsiTheme="majorHAnsi" w:cstheme="majorHAnsi"/>
          <w:sz w:val="24"/>
          <w:szCs w:val="24"/>
        </w:rPr>
      </w:pPr>
      <w:r w:rsidRPr="000A54B5">
        <w:rPr>
          <w:rFonts w:asciiTheme="majorHAnsi" w:hAnsiTheme="majorHAnsi" w:cstheme="majorHAnsi"/>
          <w:sz w:val="24"/>
          <w:szCs w:val="24"/>
        </w:rPr>
        <w:t>define or implement outcome focused risk management technologies</w:t>
      </w:r>
      <w:r>
        <w:rPr>
          <w:rFonts w:asciiTheme="majorHAnsi" w:hAnsiTheme="majorHAnsi" w:cstheme="majorHAnsi"/>
          <w:sz w:val="24"/>
          <w:szCs w:val="24"/>
        </w:rPr>
        <w:t>.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b/>
          <w:sz w:val="24"/>
        </w:rPr>
      </w:pPr>
      <w:r w:rsidRPr="000A54B5">
        <w:rPr>
          <w:rFonts w:asciiTheme="majorHAnsi" w:hAnsiTheme="majorHAnsi" w:cstheme="majorHAnsi"/>
          <w:b/>
          <w:sz w:val="24"/>
        </w:rPr>
        <w:t>Tools to enhance learning and collaboration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 w:rsidRPr="000A54B5">
        <w:rPr>
          <w:rFonts w:asciiTheme="majorHAnsi" w:hAnsiTheme="majorHAnsi" w:cstheme="majorHAnsi"/>
          <w:sz w:val="24"/>
        </w:rPr>
        <w:t xml:space="preserve">Comcover is also able to provide Fund Member agencies with access to a range of learning and collaboration tools to support departments and agencies in their risk management programs. 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 w:rsidRPr="000A54B5">
        <w:rPr>
          <w:rFonts w:asciiTheme="majorHAnsi" w:hAnsiTheme="majorHAnsi" w:cstheme="majorHAnsi"/>
          <w:sz w:val="24"/>
        </w:rPr>
        <w:t>These include the Riskflo collaboration platform, and Protecht–ERM––an enterprise governance risk and compliance management system designed for Fund Members at any stage of risk management maturity.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 w:rsidRPr="000A54B5">
        <w:rPr>
          <w:rFonts w:asciiTheme="majorHAnsi" w:hAnsiTheme="majorHAnsi" w:cstheme="majorHAnsi"/>
          <w:sz w:val="24"/>
        </w:rPr>
        <w:t xml:space="preserve">Riskflo enables an online, real time cooperative environment that can be used to facilitate workshops on risk management topics. 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 w:rsidRPr="000A54B5">
        <w:rPr>
          <w:rFonts w:asciiTheme="majorHAnsi" w:hAnsiTheme="majorHAnsi" w:cstheme="majorHAnsi"/>
          <w:sz w:val="24"/>
        </w:rPr>
        <w:t xml:space="preserve">Participants, including subject matter experts, managers and other stakeholders, are connected through internet-enabled devices such as desktops, smartphones, tablets and laptops to collaborate on risk issues. 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 w:rsidRPr="000A54B5">
        <w:rPr>
          <w:rFonts w:asciiTheme="majorHAnsi" w:hAnsiTheme="majorHAnsi" w:cstheme="majorHAnsi"/>
          <w:sz w:val="24"/>
        </w:rPr>
        <w:t>A facilitator hosts the sessions and captures reliable risk data, real time analytics, data visualisation and permanent records for reporting, future reference, scenario analysis and audit.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 w:rsidRPr="000A54B5">
        <w:rPr>
          <w:rFonts w:asciiTheme="majorHAnsi" w:hAnsiTheme="majorHAnsi" w:cstheme="majorHAnsi"/>
          <w:sz w:val="24"/>
        </w:rPr>
        <w:t xml:space="preserve">Protecht–ERM automates and streamlines routine work around managing risk, regulatory compliance, detailed stakeholder reporting, and reporting incidents and events. 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 w:rsidRPr="000A54B5">
        <w:rPr>
          <w:rFonts w:asciiTheme="majorHAnsi" w:hAnsiTheme="majorHAnsi" w:cstheme="majorHAnsi"/>
          <w:sz w:val="24"/>
        </w:rPr>
        <w:t>The system includes a risk analytics and reporting module that takes data collected by an agency and produces tailored reports and graphical dashboards that are easy to use and meet an agency’s specific needs.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 w:rsidRPr="000A54B5">
        <w:rPr>
          <w:rFonts w:asciiTheme="majorHAnsi" w:hAnsiTheme="majorHAnsi" w:cstheme="majorHAnsi"/>
          <w:sz w:val="24"/>
        </w:rPr>
        <w:t xml:space="preserve">Both Riskflo and Protecht–ERM can be accessed through Comcover’s suite of risk management services.  </w:t>
      </w:r>
    </w:p>
    <w:p w:rsidR="00306726" w:rsidRDefault="00306726" w:rsidP="0060715C">
      <w:pPr>
        <w:spacing w:after="120"/>
        <w:rPr>
          <w:rFonts w:asciiTheme="majorHAnsi" w:hAnsiTheme="majorHAnsi" w:cstheme="majorHAnsi"/>
          <w:sz w:val="24"/>
        </w:rPr>
      </w:pPr>
      <w:r w:rsidRPr="000A54B5">
        <w:rPr>
          <w:rFonts w:asciiTheme="majorHAnsi" w:hAnsiTheme="majorHAnsi" w:cstheme="majorHAnsi"/>
          <w:sz w:val="24"/>
        </w:rPr>
        <w:t xml:space="preserve">To learn more about how to access any of these services contact </w:t>
      </w:r>
      <w:hyperlink r:id="rId15" w:history="1">
        <w:r w:rsidR="00C35F1A" w:rsidRPr="004F4506">
          <w:rPr>
            <w:rStyle w:val="Hyperlink"/>
            <w:rFonts w:asciiTheme="majorHAnsi" w:hAnsiTheme="majorHAnsi" w:cstheme="majorHAnsi"/>
            <w:sz w:val="24"/>
          </w:rPr>
          <w:t>comcover@comcover.com.au</w:t>
        </w:r>
      </w:hyperlink>
      <w:r w:rsidRPr="000A54B5">
        <w:rPr>
          <w:rFonts w:asciiTheme="majorHAnsi" w:hAnsiTheme="majorHAnsi" w:cstheme="majorHAnsi"/>
          <w:sz w:val="24"/>
        </w:rPr>
        <w:t xml:space="preserve"> or call 1800 651 540 </w:t>
      </w:r>
      <w:r>
        <w:rPr>
          <w:rFonts w:asciiTheme="majorHAnsi" w:hAnsiTheme="majorHAnsi" w:cstheme="majorHAnsi"/>
          <w:sz w:val="24"/>
        </w:rPr>
        <w:t>(</w:t>
      </w:r>
      <w:r w:rsidRPr="000A54B5">
        <w:rPr>
          <w:rFonts w:asciiTheme="majorHAnsi" w:hAnsiTheme="majorHAnsi" w:cstheme="majorHAnsi"/>
          <w:sz w:val="24"/>
        </w:rPr>
        <w:t>option 3</w:t>
      </w:r>
      <w:r>
        <w:rPr>
          <w:rFonts w:asciiTheme="majorHAnsi" w:hAnsiTheme="majorHAnsi" w:cstheme="majorHAnsi"/>
          <w:sz w:val="24"/>
        </w:rPr>
        <w:t>)</w:t>
      </w:r>
      <w:r w:rsidRPr="000A54B5">
        <w:rPr>
          <w:rFonts w:asciiTheme="majorHAnsi" w:hAnsiTheme="majorHAnsi" w:cstheme="majorHAnsi"/>
          <w:sz w:val="24"/>
        </w:rPr>
        <w:t>.</w:t>
      </w:r>
    </w:p>
    <w:p w:rsidR="003767B2" w:rsidRDefault="003767B2" w:rsidP="0060715C">
      <w:pPr>
        <w:spacing w:after="120" w:line="240" w:lineRule="auto"/>
        <w:ind w:left="-426" w:right="-8"/>
      </w:pPr>
    </w:p>
    <w:sectPr w:rsidR="003767B2" w:rsidSect="00C26918">
      <w:headerReference w:type="default" r:id="rId16"/>
      <w:type w:val="continuous"/>
      <w:pgSz w:w="11900" w:h="16840" w:code="9"/>
      <w:pgMar w:top="1956" w:right="1418" w:bottom="1134" w:left="1418" w:header="510" w:footer="103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B2F" w:rsidRDefault="00CA7B2F" w:rsidP="003B52FC">
      <w:r>
        <w:separator/>
      </w:r>
    </w:p>
  </w:endnote>
  <w:endnote w:type="continuationSeparator" w:id="0">
    <w:p w:rsidR="00CA7B2F" w:rsidRDefault="00CA7B2F" w:rsidP="003B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ok"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205" w:rsidRDefault="005402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063"/>
      <w:docPartObj>
        <w:docPartGallery w:val="Page Numbers (Top of Page)"/>
        <w:docPartUnique/>
      </w:docPartObj>
    </w:sdtPr>
    <w:sdtEndPr>
      <w:rPr>
        <w:color w:val="37424A" w:themeColor="background2"/>
      </w:rPr>
    </w:sdtEndPr>
    <w:sdtContent>
      <w:sdt>
        <w:sdtPr>
          <w:id w:val="851064"/>
          <w:docPartObj>
            <w:docPartGallery w:val="Page Numbers (Top of Page)"/>
            <w:docPartUnique/>
          </w:docPartObj>
        </w:sdtPr>
        <w:sdtEndPr>
          <w:rPr>
            <w:color w:val="37424A" w:themeColor="background2"/>
          </w:rPr>
        </w:sdtEndPr>
        <w:sdtContent>
          <w:sdt>
            <w:sdtPr>
              <w:rPr>
                <w:color w:val="37424A" w:themeColor="background2"/>
              </w:rPr>
              <w:id w:val="851065"/>
              <w:docPartObj>
                <w:docPartGallery w:val="Page Numbers (Bottom of Page)"/>
                <w:docPartUnique/>
              </w:docPartObj>
            </w:sdtPr>
            <w:sdtEndPr/>
            <w:sdtContent>
              <w:p w:rsidR="00B23B2B" w:rsidRPr="00EA031A" w:rsidRDefault="00B23B2B" w:rsidP="00070834">
                <w:pPr>
                  <w:spacing w:after="0" w:line="240" w:lineRule="auto"/>
                  <w:rPr>
                    <w:rStyle w:val="ArialBlackBlue"/>
                  </w:rPr>
                </w:pPr>
              </w:p>
              <w:p w:rsidR="00B23B2B" w:rsidRPr="00C753CE" w:rsidRDefault="00C753CE" w:rsidP="00C753CE">
                <w:pPr>
                  <w:pStyle w:val="Footer"/>
                  <w:ind w:right="-859"/>
                  <w:jc w:val="right"/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</w:pPr>
                <w:r>
                  <w:rPr>
                    <w:rStyle w:val="ArialBlackBlue"/>
                  </w:rPr>
                  <w:t>Fact Sheet Series</w:t>
                </w:r>
                <w:r w:rsidR="00B23B2B" w:rsidRPr="00AE02D8">
                  <w:rPr>
                    <w:color w:val="37424A" w:themeColor="background2"/>
                    <w:sz w:val="18"/>
                    <w:szCs w:val="18"/>
                  </w:rPr>
                  <w:t xml:space="preserve">    </w:t>
                </w:r>
                <w:r w:rsidR="00B23B2B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t xml:space="preserve">|    </w:t>
                </w:r>
                <w:r w:rsidR="007B2E29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begin"/>
                </w:r>
                <w:r w:rsidR="00B23B2B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instrText xml:space="preserve"> PAGE   \* MERGEFORMAT </w:instrText>
                </w:r>
                <w:r w:rsidR="007B2E29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separate"/>
                </w:r>
                <w:r w:rsidR="002D1EF5">
                  <w:rPr>
                    <w:rFonts w:asciiTheme="majorHAnsi" w:hAnsiTheme="majorHAnsi" w:cstheme="majorHAnsi"/>
                    <w:noProof/>
                    <w:color w:val="37424A" w:themeColor="background2"/>
                    <w:sz w:val="18"/>
                    <w:szCs w:val="18"/>
                  </w:rPr>
                  <w:t>1</w:t>
                </w:r>
                <w:r w:rsidR="007B2E29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066"/>
      <w:docPartObj>
        <w:docPartGallery w:val="Page Numbers (Bottom of Page)"/>
        <w:docPartUnique/>
      </w:docPartObj>
    </w:sdtPr>
    <w:sdtEndPr>
      <w:rPr>
        <w:color w:val="37424A" w:themeColor="background2"/>
      </w:rPr>
    </w:sdtEndPr>
    <w:sdtContent>
      <w:sdt>
        <w:sdtPr>
          <w:id w:val="851067"/>
          <w:docPartObj>
            <w:docPartGallery w:val="Page Numbers (Top of Page)"/>
            <w:docPartUnique/>
          </w:docPartObj>
        </w:sdtPr>
        <w:sdtEndPr>
          <w:rPr>
            <w:color w:val="37424A" w:themeColor="background2"/>
          </w:rPr>
        </w:sdtEndPr>
        <w:sdtContent>
          <w:sdt>
            <w:sdtPr>
              <w:rPr>
                <w:color w:val="37424A" w:themeColor="background2"/>
              </w:rPr>
              <w:id w:val="851068"/>
              <w:docPartObj>
                <w:docPartGallery w:val="Page Numbers (Bottom of Page)"/>
                <w:docPartUnique/>
              </w:docPartObj>
            </w:sdtPr>
            <w:sdtEndPr/>
            <w:sdtContent>
              <w:p w:rsidR="00B23B2B" w:rsidRDefault="002D1EF5" w:rsidP="00E301F5">
                <w:pPr>
                  <w:pStyle w:val="Footer"/>
                  <w:ind w:right="-1001"/>
                  <w:jc w:val="right"/>
                </w:pPr>
                <w:r>
                  <w:rPr>
                    <w:rFonts w:ascii="Arial Black" w:hAnsi="Arial Black"/>
                    <w:noProof/>
                    <w:color w:val="37424A" w:themeColor="background2"/>
                    <w:sz w:val="18"/>
                    <w:szCs w:val="18"/>
                    <w:lang w:eastAsia="en-AU"/>
                  </w:rPr>
                  <mc:AlternateContent>
                    <mc:Choice Requires="wps">
                      <w:drawing>
                        <wp:anchor distT="0" distB="0" distL="114300" distR="114300" simplePos="0" relativeHeight="251658240" behindDoc="1" locked="0" layoutInCell="1" allowOverlap="1">
                          <wp:simplePos x="0" y="0"/>
                          <wp:positionH relativeFrom="column">
                            <wp:posOffset>5247005</wp:posOffset>
                          </wp:positionH>
                          <wp:positionV relativeFrom="paragraph">
                            <wp:posOffset>-98425</wp:posOffset>
                          </wp:positionV>
                          <wp:extent cx="1429385" cy="367665"/>
                          <wp:effectExtent l="0" t="0" r="635" b="0"/>
                          <wp:wrapNone/>
                          <wp:docPr id="1" name="Rectangle 9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429385" cy="3676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3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chemeClr val="bg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16EEB4AA" id="Rectangle 9" o:spid="_x0000_s1026" style="position:absolute;margin-left:413.15pt;margin-top:-7.75pt;width:112.55pt;height:28.9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" fillcolor="#f2d653 [3206]" stroked="f" strokecolor="white [3212]"/>
                      </w:pict>
                    </mc:Fallback>
                  </mc:AlternateContent>
                </w:r>
                <w:r w:rsidR="00B23B2B" w:rsidRPr="00AE02D8">
                  <w:rPr>
                    <w:rStyle w:val="ArialBlackBlue"/>
                  </w:rPr>
                  <w:t>Book title</w:t>
                </w:r>
                <w:r w:rsidR="00B23B2B" w:rsidRPr="00AE02D8">
                  <w:rPr>
                    <w:color w:val="37424A" w:themeColor="background2"/>
                    <w:sz w:val="18"/>
                    <w:szCs w:val="18"/>
                  </w:rPr>
                  <w:t xml:space="preserve">    </w:t>
                </w:r>
                <w:r w:rsidR="00B23B2B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t xml:space="preserve">|    </w:t>
                </w:r>
                <w:r w:rsidR="007B2E29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begin"/>
                </w:r>
                <w:r w:rsidR="00B23B2B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instrText xml:space="preserve"> PAGE   \* MERGEFORMAT </w:instrText>
                </w:r>
                <w:r w:rsidR="007B2E29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separate"/>
                </w:r>
                <w:r w:rsidR="00C26918">
                  <w:rPr>
                    <w:rFonts w:asciiTheme="majorHAnsi" w:hAnsiTheme="majorHAnsi" w:cstheme="majorHAnsi"/>
                    <w:noProof/>
                    <w:color w:val="37424A" w:themeColor="background2"/>
                    <w:sz w:val="18"/>
                    <w:szCs w:val="18"/>
                  </w:rPr>
                  <w:t>3</w:t>
                </w:r>
                <w:r w:rsidR="007B2E29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B2F" w:rsidRDefault="00CA7B2F" w:rsidP="003B52FC"/>
  </w:footnote>
  <w:footnote w:type="continuationSeparator" w:id="0">
    <w:p w:rsidR="00CA7B2F" w:rsidRDefault="00CA7B2F" w:rsidP="003B52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205" w:rsidRDefault="005402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205" w:rsidRDefault="005402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B2B" w:rsidRDefault="00B23B2B" w:rsidP="00851472">
    <w:pPr>
      <w:pStyle w:val="Header"/>
      <w:tabs>
        <w:tab w:val="clear" w:pos="4680"/>
        <w:tab w:val="clear" w:pos="9360"/>
        <w:tab w:val="right" w:pos="9064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B2B" w:rsidRDefault="00AF1807">
    <w:pPr>
      <w:pStyle w:val="Header"/>
    </w:pPr>
    <w:r w:rsidRPr="00AF1807">
      <w:rPr>
        <w:noProof/>
        <w:lang w:eastAsia="en-AU"/>
      </w:rPr>
      <w:drawing>
        <wp:anchor distT="0" distB="0" distL="114300" distR="114300" simplePos="0" relativeHeight="251657216" behindDoc="1" locked="1" layoutInCell="1" allowOverlap="1">
          <wp:simplePos x="0" y="0"/>
          <wp:positionH relativeFrom="column">
            <wp:posOffset>-3914512</wp:posOffset>
          </wp:positionH>
          <wp:positionV relativeFrom="paragraph">
            <wp:posOffset>-156582</wp:posOffset>
          </wp:positionV>
          <wp:extent cx="13295506" cy="356839"/>
          <wp:effectExtent l="19050" t="0" r="0" b="0"/>
          <wp:wrapNone/>
          <wp:docPr id="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69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2C11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C8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D4EA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79831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D002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6C6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DC5F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C42F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36E4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E26224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04C31" w:themeColor="accent5" w:themeShade="BF"/>
      </w:rPr>
    </w:lvl>
  </w:abstractNum>
  <w:abstractNum w:abstractNumId="10" w15:restartNumberingAfterBreak="0">
    <w:nsid w:val="00D04AC9"/>
    <w:multiLevelType w:val="hybridMultilevel"/>
    <w:tmpl w:val="90DCCB1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13048DF"/>
    <w:multiLevelType w:val="hybridMultilevel"/>
    <w:tmpl w:val="BD26DBF0"/>
    <w:lvl w:ilvl="0" w:tplc="8A9AC6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1A318F"/>
    <w:multiLevelType w:val="hybridMultilevel"/>
    <w:tmpl w:val="10389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242F55"/>
    <w:multiLevelType w:val="hybridMultilevel"/>
    <w:tmpl w:val="286635A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8056096"/>
    <w:multiLevelType w:val="hybridMultilevel"/>
    <w:tmpl w:val="77E28ED6"/>
    <w:lvl w:ilvl="0" w:tplc="3002390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49E0823C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F52470"/>
    <w:multiLevelType w:val="hybridMultilevel"/>
    <w:tmpl w:val="0882CC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6C2D64"/>
    <w:multiLevelType w:val="hybridMultilevel"/>
    <w:tmpl w:val="5B983AE0"/>
    <w:lvl w:ilvl="0" w:tplc="DAC0AD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410C09"/>
    <w:multiLevelType w:val="hybridMultilevel"/>
    <w:tmpl w:val="28CED38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4214C9"/>
    <w:multiLevelType w:val="multilevel"/>
    <w:tmpl w:val="F4CE1354"/>
    <w:styleLink w:val="Bullets"/>
    <w:lvl w:ilvl="0">
      <w:start w:val="1"/>
      <w:numFmt w:val="bullet"/>
      <w:pStyle w:val="Bullets1stindent"/>
      <w:lvlText w:val=""/>
      <w:lvlJc w:val="left"/>
      <w:pPr>
        <w:ind w:left="360" w:hanging="360"/>
      </w:pPr>
      <w:rPr>
        <w:rFonts w:ascii="Symbol" w:hAnsi="Symbol" w:hint="default"/>
        <w:color w:val="14708E" w:themeColor="accent1" w:themeShade="80"/>
      </w:rPr>
    </w:lvl>
    <w:lvl w:ilvl="1">
      <w:start w:val="1"/>
      <w:numFmt w:val="bullet"/>
      <w:pStyle w:val="Bullets2ndinden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14708E" w:themeColor="accent1" w:themeShade="80"/>
      </w:rPr>
    </w:lvl>
    <w:lvl w:ilvl="2">
      <w:start w:val="1"/>
      <w:numFmt w:val="bullet"/>
      <w:pStyle w:val="Bulletslast1stindent"/>
      <w:lvlText w:val="•"/>
      <w:lvlJc w:val="left"/>
      <w:pPr>
        <w:tabs>
          <w:tab w:val="num" w:pos="284"/>
        </w:tabs>
        <w:ind w:left="284" w:hanging="284"/>
      </w:pPr>
      <w:rPr>
        <w:rFonts w:ascii="Cambria" w:hAnsi="Cambria" w:hint="default"/>
        <w:color w:val="5BC6E8" w:themeColor="accent1"/>
      </w:rPr>
    </w:lvl>
    <w:lvl w:ilvl="3">
      <w:start w:val="1"/>
      <w:numFmt w:val="bullet"/>
      <w:pStyle w:val="Bulletslast2ndindent"/>
      <w:lvlText w:val="•"/>
      <w:lvlJc w:val="left"/>
      <w:pPr>
        <w:tabs>
          <w:tab w:val="num" w:pos="567"/>
        </w:tabs>
        <w:ind w:left="567" w:hanging="283"/>
      </w:pPr>
      <w:rPr>
        <w:rFonts w:ascii="Cambria" w:hAnsi="Cambria" w:hint="default"/>
        <w:color w:val="5BC6E8" w:themeColor="accent1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bullet"/>
      <w:pStyle w:val="Tablebullets1stindent"/>
      <w:lvlText w:val=""/>
      <w:lvlJc w:val="left"/>
      <w:pPr>
        <w:tabs>
          <w:tab w:val="num" w:pos="266"/>
        </w:tabs>
        <w:ind w:left="266" w:hanging="170"/>
      </w:pPr>
      <w:rPr>
        <w:rFonts w:ascii="Symbol" w:hAnsi="Symbol" w:hint="default"/>
        <w:color w:val="004C31" w:themeColor="accent5" w:themeShade="BF"/>
        <w:sz w:val="16"/>
      </w:rPr>
    </w:lvl>
    <w:lvl w:ilvl="6">
      <w:start w:val="1"/>
      <w:numFmt w:val="bullet"/>
      <w:pStyle w:val="Tablebullets2ndindent"/>
      <w:lvlText w:val=""/>
      <w:lvlJc w:val="left"/>
      <w:pPr>
        <w:tabs>
          <w:tab w:val="num" w:pos="437"/>
        </w:tabs>
        <w:ind w:left="437" w:hanging="171"/>
      </w:pPr>
      <w:rPr>
        <w:rFonts w:ascii="Symbol" w:hAnsi="Symbol" w:hint="default"/>
        <w:color w:val="004C31" w:themeColor="accent5" w:themeShade="BF"/>
        <w:sz w:val="1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1275190"/>
    <w:multiLevelType w:val="hybridMultilevel"/>
    <w:tmpl w:val="AE06C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04C4E"/>
    <w:multiLevelType w:val="hybridMultilevel"/>
    <w:tmpl w:val="1FA6AB62"/>
    <w:lvl w:ilvl="0" w:tplc="DF6CE2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A7D3" w:themeColor="accent1" w:themeShade="BF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7AA32B9"/>
    <w:multiLevelType w:val="hybridMultilevel"/>
    <w:tmpl w:val="4C40992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F96F0E"/>
    <w:multiLevelType w:val="hybridMultilevel"/>
    <w:tmpl w:val="8848B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E1D6E"/>
    <w:multiLevelType w:val="multilevel"/>
    <w:tmpl w:val="D52A2368"/>
    <w:lvl w:ilvl="0">
      <w:start w:val="1"/>
      <w:numFmt w:val="bullet"/>
      <w:lvlText w:val="•"/>
      <w:lvlJc w:val="left"/>
      <w:pPr>
        <w:ind w:left="360" w:hanging="360"/>
      </w:pPr>
      <w:rPr>
        <w:rFonts w:ascii="Cambria" w:hAnsi="Cambria" w:hint="default"/>
        <w:color w:val="5BC6E8" w:themeColor="accent1"/>
        <w:sz w:val="16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auto"/>
        <w:sz w:val="17"/>
      </w:rPr>
    </w:lvl>
    <w:lvl w:ilvl="2">
      <w:start w:val="1"/>
      <w:numFmt w:val="bullet"/>
      <w:lvlText w:val="•"/>
      <w:lvlJc w:val="left"/>
      <w:pPr>
        <w:tabs>
          <w:tab w:val="num" w:pos="851"/>
        </w:tabs>
        <w:ind w:left="851" w:hanging="284"/>
      </w:pPr>
      <w:rPr>
        <w:rFonts w:ascii="Gotham Rounded Book" w:hAnsi="Gotham Rounded Book" w:hint="default"/>
        <w:sz w:val="16"/>
      </w:rPr>
    </w:lvl>
    <w:lvl w:ilvl="3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auto"/>
        <w:sz w:val="17"/>
      </w:rPr>
    </w:lvl>
    <w:lvl w:ilvl="4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Gotham Rounded Book" w:hAnsi="Gotham Rounded Book" w:hint="default"/>
        <w:sz w:val="16"/>
      </w:rPr>
    </w:lvl>
    <w:lvl w:ilvl="5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  <w:sz w:val="17"/>
      </w:rPr>
    </w:lvl>
    <w:lvl w:ilvl="6">
      <w:start w:val="1"/>
      <w:numFmt w:val="bullet"/>
      <w:lvlText w:val="•"/>
      <w:lvlJc w:val="left"/>
      <w:pPr>
        <w:tabs>
          <w:tab w:val="num" w:pos="680"/>
        </w:tabs>
        <w:ind w:left="680" w:hanging="226"/>
      </w:pPr>
      <w:rPr>
        <w:rFonts w:ascii="Gotham Rounded Book" w:hAnsi="Gotham Rounded Book" w:hint="default"/>
        <w:sz w:val="16"/>
      </w:rPr>
    </w:lvl>
    <w:lvl w:ilvl="7">
      <w:start w:val="1"/>
      <w:numFmt w:val="bullet"/>
      <w:lvlText w:val="–"/>
      <w:lvlJc w:val="left"/>
      <w:pPr>
        <w:tabs>
          <w:tab w:val="num" w:pos="907"/>
        </w:tabs>
        <w:ind w:left="907" w:hanging="227"/>
      </w:pPr>
      <w:rPr>
        <w:rFonts w:ascii="Arial" w:hAnsi="Arial" w:hint="default"/>
        <w:color w:val="auto"/>
        <w:sz w:val="17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F1523F7"/>
    <w:multiLevelType w:val="multilevel"/>
    <w:tmpl w:val="6BC6F2D0"/>
    <w:styleLink w:val="Number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lvlRestart w:val="1"/>
      <w:pStyle w:val="Numberedpara1stindent"/>
      <w:lvlText w:val="%1.%4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4">
      <w:start w:val="1"/>
      <w:numFmt w:val="lowerLetter"/>
      <w:pStyle w:val="Numberedpara2ndindent"/>
      <w:lvlText w:val="%5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5">
      <w:start w:val="1"/>
      <w:numFmt w:val="lowerRoman"/>
      <w:pStyle w:val="Numberedpara3rdindent"/>
      <w:lvlText w:val="%6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decimal"/>
      <w:lvlRestart w:val="0"/>
      <w:pStyle w:val="Figuretitle"/>
      <w:suff w:val="space"/>
      <w:lvlText w:val="Figure %7: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0"/>
      <w:pStyle w:val="Notetitle"/>
      <w:suff w:val="space"/>
      <w:lvlText w:val="Note %8: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1"/>
      <w:pStyle w:val="Tabletitle"/>
      <w:suff w:val="space"/>
      <w:lvlText w:val="Table %1.%9: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5B5927EE"/>
    <w:multiLevelType w:val="hybridMultilevel"/>
    <w:tmpl w:val="387C4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C66B1B"/>
    <w:multiLevelType w:val="hybridMultilevel"/>
    <w:tmpl w:val="791E0EC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107864"/>
    <w:multiLevelType w:val="hybridMultilevel"/>
    <w:tmpl w:val="4A5AC3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D11BEF"/>
    <w:multiLevelType w:val="hybridMultilevel"/>
    <w:tmpl w:val="A94C45EC"/>
    <w:lvl w:ilvl="0" w:tplc="2E560574">
      <w:start w:val="1"/>
      <w:numFmt w:val="decimal"/>
      <w:pStyle w:val="Chapternumber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134"/>
          </w:tabs>
          <w:ind w:left="1134" w:hanging="1134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</w:num>
  <w:num w:numId="2">
    <w:abstractNumId w:val="23"/>
  </w:num>
  <w:num w:numId="3">
    <w:abstractNumId w:val="14"/>
  </w:num>
  <w:num w:numId="4">
    <w:abstractNumId w:val="24"/>
  </w:num>
  <w:num w:numId="5">
    <w:abstractNumId w:val="28"/>
  </w:num>
  <w:num w:numId="6">
    <w:abstractNumId w:val="18"/>
  </w:num>
  <w:num w:numId="7">
    <w:abstractNumId w:val="11"/>
  </w:num>
  <w:num w:numId="8">
    <w:abstractNumId w:val="27"/>
  </w:num>
  <w:num w:numId="9">
    <w:abstractNumId w:val="15"/>
  </w:num>
  <w:num w:numId="10">
    <w:abstractNumId w:val="21"/>
  </w:num>
  <w:num w:numId="11">
    <w:abstractNumId w:val="26"/>
  </w:num>
  <w:num w:numId="12">
    <w:abstractNumId w:val="10"/>
  </w:num>
  <w:num w:numId="13">
    <w:abstractNumId w:val="19"/>
  </w:num>
  <w:num w:numId="14">
    <w:abstractNumId w:val="17"/>
  </w:num>
  <w:num w:numId="15">
    <w:abstractNumId w:val="13"/>
  </w:num>
  <w:num w:numId="16">
    <w:abstractNumId w:val="16"/>
  </w:num>
  <w:num w:numId="17">
    <w:abstractNumId w:val="18"/>
    <w:lvlOverride w:ilvl="0"/>
    <w:lvlOverride w:ilvl="1"/>
    <w:lvlOverride w:ilvl="2"/>
    <w:lvlOverride w:ilvl="3"/>
    <w:lvlOverride w:ilvl="4">
      <w:startOverride w:val="1"/>
    </w:lvlOverride>
    <w:lvlOverride w:ilvl="5"/>
    <w:lvlOverride w:ilvl="6"/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0"/>
  </w:num>
  <w:num w:numId="24">
    <w:abstractNumId w:val="2"/>
  </w:num>
  <w:num w:numId="25">
    <w:abstractNumId w:val="1"/>
  </w:num>
  <w:num w:numId="26">
    <w:abstractNumId w:val="3"/>
  </w:num>
  <w:num w:numId="27">
    <w:abstractNumId w:val="8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12"/>
  </w:num>
  <w:num w:numId="31">
    <w:abstractNumId w:val="22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3322">
      <o:colormenu v:ext="edit" fillcolor="#00572d" strokecolor="none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41"/>
    <w:rsid w:val="000043FB"/>
    <w:rsid w:val="00010776"/>
    <w:rsid w:val="00013C05"/>
    <w:rsid w:val="00015A86"/>
    <w:rsid w:val="00016298"/>
    <w:rsid w:val="00025493"/>
    <w:rsid w:val="00031F0C"/>
    <w:rsid w:val="00033027"/>
    <w:rsid w:val="000403F1"/>
    <w:rsid w:val="00045B03"/>
    <w:rsid w:val="00045CD2"/>
    <w:rsid w:val="00060262"/>
    <w:rsid w:val="00061FA9"/>
    <w:rsid w:val="000625AB"/>
    <w:rsid w:val="00070834"/>
    <w:rsid w:val="000775EB"/>
    <w:rsid w:val="00095546"/>
    <w:rsid w:val="00096C17"/>
    <w:rsid w:val="000B50AA"/>
    <w:rsid w:val="000C6452"/>
    <w:rsid w:val="000D7181"/>
    <w:rsid w:val="000E21F5"/>
    <w:rsid w:val="000F3017"/>
    <w:rsid w:val="00105F30"/>
    <w:rsid w:val="001105DF"/>
    <w:rsid w:val="00113501"/>
    <w:rsid w:val="00120110"/>
    <w:rsid w:val="00133DE8"/>
    <w:rsid w:val="001345DB"/>
    <w:rsid w:val="00154B64"/>
    <w:rsid w:val="0016375A"/>
    <w:rsid w:val="00165AB5"/>
    <w:rsid w:val="001832F6"/>
    <w:rsid w:val="001836AF"/>
    <w:rsid w:val="001A0954"/>
    <w:rsid w:val="001A2271"/>
    <w:rsid w:val="001B0475"/>
    <w:rsid w:val="001B0988"/>
    <w:rsid w:val="001E516E"/>
    <w:rsid w:val="001E6EFB"/>
    <w:rsid w:val="001F13DC"/>
    <w:rsid w:val="001F1A00"/>
    <w:rsid w:val="001F392F"/>
    <w:rsid w:val="00200122"/>
    <w:rsid w:val="0020148F"/>
    <w:rsid w:val="00201922"/>
    <w:rsid w:val="00202AE0"/>
    <w:rsid w:val="00216C27"/>
    <w:rsid w:val="0023343E"/>
    <w:rsid w:val="00233957"/>
    <w:rsid w:val="00234BC8"/>
    <w:rsid w:val="00235FC7"/>
    <w:rsid w:val="00237A7C"/>
    <w:rsid w:val="002406DF"/>
    <w:rsid w:val="00245C03"/>
    <w:rsid w:val="002503A5"/>
    <w:rsid w:val="00252FF5"/>
    <w:rsid w:val="00253BA3"/>
    <w:rsid w:val="00257CEE"/>
    <w:rsid w:val="00266115"/>
    <w:rsid w:val="0027084F"/>
    <w:rsid w:val="00276859"/>
    <w:rsid w:val="00277808"/>
    <w:rsid w:val="002907DB"/>
    <w:rsid w:val="002A1A30"/>
    <w:rsid w:val="002A5A8C"/>
    <w:rsid w:val="002C4F7F"/>
    <w:rsid w:val="002D0080"/>
    <w:rsid w:val="002D1EF5"/>
    <w:rsid w:val="002D3885"/>
    <w:rsid w:val="002D4A6C"/>
    <w:rsid w:val="002D5FBA"/>
    <w:rsid w:val="002E6351"/>
    <w:rsid w:val="00306726"/>
    <w:rsid w:val="003114F0"/>
    <w:rsid w:val="00316D11"/>
    <w:rsid w:val="003205EC"/>
    <w:rsid w:val="00327EFB"/>
    <w:rsid w:val="00330DA3"/>
    <w:rsid w:val="003321B1"/>
    <w:rsid w:val="0034101C"/>
    <w:rsid w:val="00345ADC"/>
    <w:rsid w:val="00347813"/>
    <w:rsid w:val="003613EC"/>
    <w:rsid w:val="0036299D"/>
    <w:rsid w:val="00370955"/>
    <w:rsid w:val="00374D1C"/>
    <w:rsid w:val="00375B3E"/>
    <w:rsid w:val="003767B2"/>
    <w:rsid w:val="00376B7A"/>
    <w:rsid w:val="003810B5"/>
    <w:rsid w:val="003B52FC"/>
    <w:rsid w:val="003C223C"/>
    <w:rsid w:val="003D11C0"/>
    <w:rsid w:val="003D40D2"/>
    <w:rsid w:val="003E18BC"/>
    <w:rsid w:val="003E551D"/>
    <w:rsid w:val="003E5DAB"/>
    <w:rsid w:val="003F7B06"/>
    <w:rsid w:val="0040260B"/>
    <w:rsid w:val="00406326"/>
    <w:rsid w:val="00410E67"/>
    <w:rsid w:val="0041240C"/>
    <w:rsid w:val="004139EE"/>
    <w:rsid w:val="00413BF6"/>
    <w:rsid w:val="00416BE5"/>
    <w:rsid w:val="00426032"/>
    <w:rsid w:val="0045585F"/>
    <w:rsid w:val="00463FF8"/>
    <w:rsid w:val="00474E81"/>
    <w:rsid w:val="004758DC"/>
    <w:rsid w:val="00476FA2"/>
    <w:rsid w:val="00482C62"/>
    <w:rsid w:val="0048329A"/>
    <w:rsid w:val="00491485"/>
    <w:rsid w:val="00491FE6"/>
    <w:rsid w:val="00497236"/>
    <w:rsid w:val="004A0A15"/>
    <w:rsid w:val="004A67C3"/>
    <w:rsid w:val="004B1948"/>
    <w:rsid w:val="004B1C4B"/>
    <w:rsid w:val="004B23CE"/>
    <w:rsid w:val="004C3CBF"/>
    <w:rsid w:val="004D2597"/>
    <w:rsid w:val="004D6730"/>
    <w:rsid w:val="004E129B"/>
    <w:rsid w:val="004E3FFE"/>
    <w:rsid w:val="004F02CA"/>
    <w:rsid w:val="004F2227"/>
    <w:rsid w:val="005048D7"/>
    <w:rsid w:val="005071A6"/>
    <w:rsid w:val="00513B49"/>
    <w:rsid w:val="0052632A"/>
    <w:rsid w:val="00534ADF"/>
    <w:rsid w:val="00540205"/>
    <w:rsid w:val="00540283"/>
    <w:rsid w:val="0054233A"/>
    <w:rsid w:val="0056568D"/>
    <w:rsid w:val="00595649"/>
    <w:rsid w:val="005A436D"/>
    <w:rsid w:val="005A6507"/>
    <w:rsid w:val="005B1403"/>
    <w:rsid w:val="005B4C95"/>
    <w:rsid w:val="005B69AF"/>
    <w:rsid w:val="005C661F"/>
    <w:rsid w:val="005D0496"/>
    <w:rsid w:val="005D12B7"/>
    <w:rsid w:val="005D1DA9"/>
    <w:rsid w:val="005D2CB4"/>
    <w:rsid w:val="005D4348"/>
    <w:rsid w:val="005E0C11"/>
    <w:rsid w:val="005E62C8"/>
    <w:rsid w:val="005F4220"/>
    <w:rsid w:val="00602AAE"/>
    <w:rsid w:val="0060715C"/>
    <w:rsid w:val="0061026F"/>
    <w:rsid w:val="00625834"/>
    <w:rsid w:val="00625BC0"/>
    <w:rsid w:val="00627AA6"/>
    <w:rsid w:val="006407B1"/>
    <w:rsid w:val="00651E39"/>
    <w:rsid w:val="00660D25"/>
    <w:rsid w:val="006611F7"/>
    <w:rsid w:val="00662539"/>
    <w:rsid w:val="006669E1"/>
    <w:rsid w:val="006675A3"/>
    <w:rsid w:val="006754E5"/>
    <w:rsid w:val="00675A7C"/>
    <w:rsid w:val="00683ECD"/>
    <w:rsid w:val="00691804"/>
    <w:rsid w:val="006A0F5A"/>
    <w:rsid w:val="006A155A"/>
    <w:rsid w:val="006A4BAD"/>
    <w:rsid w:val="006A63F0"/>
    <w:rsid w:val="006B21FC"/>
    <w:rsid w:val="006B357E"/>
    <w:rsid w:val="006C0AC1"/>
    <w:rsid w:val="006C51DC"/>
    <w:rsid w:val="006D488C"/>
    <w:rsid w:val="006D67B5"/>
    <w:rsid w:val="006D71A1"/>
    <w:rsid w:val="006E3121"/>
    <w:rsid w:val="006E51DB"/>
    <w:rsid w:val="006E5E79"/>
    <w:rsid w:val="006E6C23"/>
    <w:rsid w:val="006F73A7"/>
    <w:rsid w:val="0070074B"/>
    <w:rsid w:val="00700BDE"/>
    <w:rsid w:val="00723AD9"/>
    <w:rsid w:val="00732A67"/>
    <w:rsid w:val="00740E86"/>
    <w:rsid w:val="00760BB6"/>
    <w:rsid w:val="0076381F"/>
    <w:rsid w:val="00765EE9"/>
    <w:rsid w:val="007732FF"/>
    <w:rsid w:val="00774A1E"/>
    <w:rsid w:val="00777443"/>
    <w:rsid w:val="00782507"/>
    <w:rsid w:val="00785BE7"/>
    <w:rsid w:val="00790177"/>
    <w:rsid w:val="00790346"/>
    <w:rsid w:val="007903EE"/>
    <w:rsid w:val="00794B22"/>
    <w:rsid w:val="007978A4"/>
    <w:rsid w:val="007A0ACF"/>
    <w:rsid w:val="007A5B84"/>
    <w:rsid w:val="007B21FA"/>
    <w:rsid w:val="007B2E29"/>
    <w:rsid w:val="007B5BC0"/>
    <w:rsid w:val="007C2E37"/>
    <w:rsid w:val="007D27CE"/>
    <w:rsid w:val="007E47F7"/>
    <w:rsid w:val="007E7D8B"/>
    <w:rsid w:val="007F2F40"/>
    <w:rsid w:val="00805180"/>
    <w:rsid w:val="008055B0"/>
    <w:rsid w:val="00807A9A"/>
    <w:rsid w:val="0082240B"/>
    <w:rsid w:val="0082408D"/>
    <w:rsid w:val="008313E2"/>
    <w:rsid w:val="00831BE7"/>
    <w:rsid w:val="00835A93"/>
    <w:rsid w:val="00840C76"/>
    <w:rsid w:val="00847F40"/>
    <w:rsid w:val="00851472"/>
    <w:rsid w:val="0085179F"/>
    <w:rsid w:val="00852BCA"/>
    <w:rsid w:val="00861C26"/>
    <w:rsid w:val="00876C83"/>
    <w:rsid w:val="00877D62"/>
    <w:rsid w:val="008803AA"/>
    <w:rsid w:val="00882B0C"/>
    <w:rsid w:val="00882B2F"/>
    <w:rsid w:val="00894A00"/>
    <w:rsid w:val="00894C65"/>
    <w:rsid w:val="008A68FD"/>
    <w:rsid w:val="008C34BB"/>
    <w:rsid w:val="008D5CB6"/>
    <w:rsid w:val="008E2C63"/>
    <w:rsid w:val="008E614E"/>
    <w:rsid w:val="008F07DF"/>
    <w:rsid w:val="008F1C8A"/>
    <w:rsid w:val="008F1EE5"/>
    <w:rsid w:val="00901524"/>
    <w:rsid w:val="00902394"/>
    <w:rsid w:val="0090622C"/>
    <w:rsid w:val="00907C3D"/>
    <w:rsid w:val="00914DBD"/>
    <w:rsid w:val="0092079F"/>
    <w:rsid w:val="009209D2"/>
    <w:rsid w:val="00920BA9"/>
    <w:rsid w:val="00922134"/>
    <w:rsid w:val="00926613"/>
    <w:rsid w:val="00927FF3"/>
    <w:rsid w:val="00932CA4"/>
    <w:rsid w:val="00941A58"/>
    <w:rsid w:val="00952392"/>
    <w:rsid w:val="0095262B"/>
    <w:rsid w:val="00954309"/>
    <w:rsid w:val="00960DD9"/>
    <w:rsid w:val="0096155C"/>
    <w:rsid w:val="00963A77"/>
    <w:rsid w:val="0097078B"/>
    <w:rsid w:val="0098778C"/>
    <w:rsid w:val="0099073D"/>
    <w:rsid w:val="00991B37"/>
    <w:rsid w:val="0099223F"/>
    <w:rsid w:val="00992E18"/>
    <w:rsid w:val="00994C3B"/>
    <w:rsid w:val="00995253"/>
    <w:rsid w:val="009B300F"/>
    <w:rsid w:val="009B51B2"/>
    <w:rsid w:val="009C5A83"/>
    <w:rsid w:val="009D19E6"/>
    <w:rsid w:val="009E1B78"/>
    <w:rsid w:val="009E250E"/>
    <w:rsid w:val="009E5C20"/>
    <w:rsid w:val="009F138C"/>
    <w:rsid w:val="009F7FCC"/>
    <w:rsid w:val="00A02998"/>
    <w:rsid w:val="00A06413"/>
    <w:rsid w:val="00A06FBD"/>
    <w:rsid w:val="00A10916"/>
    <w:rsid w:val="00A167C9"/>
    <w:rsid w:val="00A176EC"/>
    <w:rsid w:val="00A36135"/>
    <w:rsid w:val="00A46055"/>
    <w:rsid w:val="00A5697B"/>
    <w:rsid w:val="00A56F92"/>
    <w:rsid w:val="00A676BC"/>
    <w:rsid w:val="00A70104"/>
    <w:rsid w:val="00A772E4"/>
    <w:rsid w:val="00AB143D"/>
    <w:rsid w:val="00AC212D"/>
    <w:rsid w:val="00AC3070"/>
    <w:rsid w:val="00AD0B0A"/>
    <w:rsid w:val="00AD2A77"/>
    <w:rsid w:val="00AD68CD"/>
    <w:rsid w:val="00AE02D8"/>
    <w:rsid w:val="00AE6B19"/>
    <w:rsid w:val="00AF1807"/>
    <w:rsid w:val="00B02AAE"/>
    <w:rsid w:val="00B04BAC"/>
    <w:rsid w:val="00B05F21"/>
    <w:rsid w:val="00B10AB2"/>
    <w:rsid w:val="00B12E83"/>
    <w:rsid w:val="00B13032"/>
    <w:rsid w:val="00B2162F"/>
    <w:rsid w:val="00B22DD2"/>
    <w:rsid w:val="00B23B2B"/>
    <w:rsid w:val="00B24EDC"/>
    <w:rsid w:val="00B35B37"/>
    <w:rsid w:val="00B42E5D"/>
    <w:rsid w:val="00B5193C"/>
    <w:rsid w:val="00B52171"/>
    <w:rsid w:val="00B76938"/>
    <w:rsid w:val="00BA2562"/>
    <w:rsid w:val="00BA4955"/>
    <w:rsid w:val="00BA4A2A"/>
    <w:rsid w:val="00BB2D37"/>
    <w:rsid w:val="00BB3CB3"/>
    <w:rsid w:val="00BD1A56"/>
    <w:rsid w:val="00C05427"/>
    <w:rsid w:val="00C1271B"/>
    <w:rsid w:val="00C14ECB"/>
    <w:rsid w:val="00C26918"/>
    <w:rsid w:val="00C35F1A"/>
    <w:rsid w:val="00C40D38"/>
    <w:rsid w:val="00C41D9F"/>
    <w:rsid w:val="00C42B2E"/>
    <w:rsid w:val="00C441EE"/>
    <w:rsid w:val="00C63BF4"/>
    <w:rsid w:val="00C753CE"/>
    <w:rsid w:val="00C7792A"/>
    <w:rsid w:val="00C82389"/>
    <w:rsid w:val="00C86A41"/>
    <w:rsid w:val="00C902F8"/>
    <w:rsid w:val="00C9108D"/>
    <w:rsid w:val="00C94DB3"/>
    <w:rsid w:val="00CA2837"/>
    <w:rsid w:val="00CA7B2F"/>
    <w:rsid w:val="00CB7F0E"/>
    <w:rsid w:val="00CC29D1"/>
    <w:rsid w:val="00CC43FC"/>
    <w:rsid w:val="00CC5C94"/>
    <w:rsid w:val="00CE5DBD"/>
    <w:rsid w:val="00CF3E5C"/>
    <w:rsid w:val="00D00E6F"/>
    <w:rsid w:val="00D01EA2"/>
    <w:rsid w:val="00D0298F"/>
    <w:rsid w:val="00D05DE7"/>
    <w:rsid w:val="00D11024"/>
    <w:rsid w:val="00D144B5"/>
    <w:rsid w:val="00D32990"/>
    <w:rsid w:val="00D3351B"/>
    <w:rsid w:val="00D33A28"/>
    <w:rsid w:val="00D36862"/>
    <w:rsid w:val="00D41FB7"/>
    <w:rsid w:val="00D46678"/>
    <w:rsid w:val="00D5047A"/>
    <w:rsid w:val="00D63FF9"/>
    <w:rsid w:val="00D65A13"/>
    <w:rsid w:val="00D80384"/>
    <w:rsid w:val="00D81033"/>
    <w:rsid w:val="00D82026"/>
    <w:rsid w:val="00DA5F10"/>
    <w:rsid w:val="00DA760C"/>
    <w:rsid w:val="00DC009C"/>
    <w:rsid w:val="00DC3D96"/>
    <w:rsid w:val="00DD2019"/>
    <w:rsid w:val="00DD354B"/>
    <w:rsid w:val="00DD43EB"/>
    <w:rsid w:val="00DE13D9"/>
    <w:rsid w:val="00DE4442"/>
    <w:rsid w:val="00DE4ED9"/>
    <w:rsid w:val="00DF6B9C"/>
    <w:rsid w:val="00E02262"/>
    <w:rsid w:val="00E11300"/>
    <w:rsid w:val="00E16372"/>
    <w:rsid w:val="00E21048"/>
    <w:rsid w:val="00E242BD"/>
    <w:rsid w:val="00E25B7A"/>
    <w:rsid w:val="00E25F60"/>
    <w:rsid w:val="00E301F5"/>
    <w:rsid w:val="00E52107"/>
    <w:rsid w:val="00E5788B"/>
    <w:rsid w:val="00E65B67"/>
    <w:rsid w:val="00E668FE"/>
    <w:rsid w:val="00E67214"/>
    <w:rsid w:val="00E75244"/>
    <w:rsid w:val="00E84075"/>
    <w:rsid w:val="00E92502"/>
    <w:rsid w:val="00E935A2"/>
    <w:rsid w:val="00E96835"/>
    <w:rsid w:val="00EA031A"/>
    <w:rsid w:val="00EA0915"/>
    <w:rsid w:val="00EA3B0F"/>
    <w:rsid w:val="00ED15AE"/>
    <w:rsid w:val="00EE00DE"/>
    <w:rsid w:val="00EE2673"/>
    <w:rsid w:val="00EF28CF"/>
    <w:rsid w:val="00EF299E"/>
    <w:rsid w:val="00F01C11"/>
    <w:rsid w:val="00F025D5"/>
    <w:rsid w:val="00F03D6C"/>
    <w:rsid w:val="00F041B1"/>
    <w:rsid w:val="00F04582"/>
    <w:rsid w:val="00F21324"/>
    <w:rsid w:val="00F2301B"/>
    <w:rsid w:val="00F33515"/>
    <w:rsid w:val="00F370CD"/>
    <w:rsid w:val="00F50393"/>
    <w:rsid w:val="00F5403F"/>
    <w:rsid w:val="00F54DC6"/>
    <w:rsid w:val="00F9713D"/>
    <w:rsid w:val="00FA0424"/>
    <w:rsid w:val="00FB1CF6"/>
    <w:rsid w:val="00FB69A0"/>
    <w:rsid w:val="00FC36B3"/>
    <w:rsid w:val="00FC5064"/>
    <w:rsid w:val="00FC50FD"/>
    <w:rsid w:val="00FD7BDF"/>
    <w:rsid w:val="00FF2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22">
      <o:colormenu v:ext="edit" fillcolor="#00572d" strokecolor="none"/>
    </o:shapedefaults>
    <o:shapelayout v:ext="edit">
      <o:idmap v:ext="edit" data="1"/>
    </o:shapelayout>
  </w:shapeDefaults>
  <w:doNotEmbedSmartTags/>
  <w:decimalSymbol w:val="."/>
  <w:listSeparator w:val=","/>
  <w15:docId w15:val="{467BA94B-E634-4553-B0FB-919409836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" w:eastAsia="Times New Roman" w:hAnsi="Courier" w:cs="Times New Roman"/>
        <w:lang w:val="en-AU" w:eastAsia="en-AU" w:bidi="ar-SA"/>
      </w:rPr>
    </w:rPrDefault>
    <w:pPrDefault>
      <w:pPr>
        <w:spacing w:after="57" w:line="260" w:lineRule="atLeast"/>
        <w:ind w:left="284" w:hanging="284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unhideWhenUsed="1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uiPriority="0" w:unhideWhenUsed="1"/>
    <w:lsdException w:name="List Bullet 3" w:uiPriority="0" w:unhideWhenUsed="1"/>
    <w:lsdException w:name="List Bullet 4" w:uiPriority="0" w:unhideWhenUsed="1"/>
    <w:lsdException w:name="List Bullet 5" w:uiPriority="0" w:unhideWhenUsed="1"/>
    <w:lsdException w:name="List Number 2" w:uiPriority="0" w:unhideWhenUsed="1"/>
    <w:lsdException w:name="List Number 3" w:uiPriority="0" w:unhideWhenUsed="1"/>
    <w:lsdException w:name="List Number 4" w:uiPriority="0" w:unhideWhenUsed="1"/>
    <w:lsdException w:name="List Number 5" w:uiPriority="0" w:unhideWhenUsed="1"/>
    <w:lsdException w:name="Title" w:uiPriority="2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85BE7"/>
    <w:pPr>
      <w:spacing w:after="200" w:line="260" w:lineRule="exact"/>
      <w:ind w:left="0" w:firstLine="0"/>
    </w:pPr>
    <w:rPr>
      <w:rFonts w:asciiTheme="minorHAnsi" w:hAnsiTheme="minorHAnsi"/>
      <w:sz w:val="22"/>
      <w:szCs w:val="24"/>
      <w:lang w:eastAsia="en-US"/>
    </w:rPr>
  </w:style>
  <w:style w:type="paragraph" w:styleId="Heading1">
    <w:name w:val="heading 1"/>
    <w:next w:val="BodyText1"/>
    <w:link w:val="Heading1Char"/>
    <w:qFormat/>
    <w:rsid w:val="00785BE7"/>
    <w:pPr>
      <w:keepNext/>
      <w:spacing w:after="0" w:line="240" w:lineRule="auto"/>
      <w:ind w:left="0" w:firstLine="0"/>
      <w:outlineLvl w:val="0"/>
    </w:pPr>
    <w:rPr>
      <w:rFonts w:asciiTheme="majorHAnsi" w:hAnsiTheme="majorHAnsi"/>
      <w:color w:val="FFFFFF" w:themeColor="background1"/>
      <w:spacing w:val="-10"/>
      <w:kern w:val="32"/>
      <w:sz w:val="42"/>
      <w:szCs w:val="32"/>
      <w:lang w:val="en-US" w:eastAsia="en-US"/>
    </w:rPr>
  </w:style>
  <w:style w:type="paragraph" w:styleId="Heading2">
    <w:name w:val="heading 2"/>
    <w:next w:val="BodyText1"/>
    <w:qFormat/>
    <w:rsid w:val="00785BE7"/>
    <w:pPr>
      <w:spacing w:after="120" w:line="240" w:lineRule="auto"/>
      <w:outlineLvl w:val="1"/>
    </w:pPr>
    <w:rPr>
      <w:rFonts w:asciiTheme="majorHAnsi" w:hAnsiTheme="majorHAnsi"/>
      <w:b/>
      <w:spacing w:val="-6"/>
      <w:sz w:val="26"/>
      <w:szCs w:val="26"/>
      <w:lang w:eastAsia="en-US"/>
    </w:rPr>
  </w:style>
  <w:style w:type="paragraph" w:styleId="Heading3">
    <w:name w:val="heading 3"/>
    <w:next w:val="BodyText1"/>
    <w:qFormat/>
    <w:rsid w:val="00EA031A"/>
    <w:pPr>
      <w:spacing w:before="200" w:after="0" w:line="240" w:lineRule="auto"/>
      <w:ind w:left="0" w:firstLine="0"/>
      <w:outlineLvl w:val="2"/>
    </w:pPr>
    <w:rPr>
      <w:rFonts w:asciiTheme="majorHAnsi" w:hAnsiTheme="majorHAnsi"/>
      <w:b/>
      <w:color w:val="004C31" w:themeColor="accent5" w:themeShade="BF"/>
      <w:spacing w:val="-6"/>
      <w:sz w:val="22"/>
      <w:szCs w:val="26"/>
      <w:lang w:eastAsia="en-US"/>
    </w:rPr>
  </w:style>
  <w:style w:type="paragraph" w:styleId="Heading4">
    <w:name w:val="heading 4"/>
    <w:basedOn w:val="Normal"/>
    <w:next w:val="Heading3"/>
    <w:link w:val="Heading4Char"/>
    <w:uiPriority w:val="9"/>
    <w:rsid w:val="00AE6B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4220" w:themeColor="accent4" w:themeShade="8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terbox">
    <w:name w:val="After box"/>
    <w:next w:val="BodyText1"/>
    <w:rsid w:val="00AE6B19"/>
    <w:pPr>
      <w:spacing w:line="113" w:lineRule="exact"/>
      <w:ind w:left="0" w:firstLine="0"/>
    </w:pPr>
    <w:rPr>
      <w:rFonts w:asciiTheme="minorHAnsi" w:hAnsiTheme="minorHAnsi"/>
      <w:sz w:val="2"/>
      <w:szCs w:val="24"/>
      <w:lang w:eastAsia="en-US"/>
    </w:rPr>
  </w:style>
  <w:style w:type="paragraph" w:customStyle="1" w:styleId="Bodytextbeforebullets">
    <w:name w:val="Body text (before bullets)"/>
    <w:basedOn w:val="BodyText1"/>
    <w:rsid w:val="00AE6B19"/>
    <w:pPr>
      <w:spacing w:after="57"/>
    </w:pPr>
  </w:style>
  <w:style w:type="paragraph" w:customStyle="1" w:styleId="BodyText1">
    <w:name w:val="Body Text1"/>
    <w:basedOn w:val="Normal"/>
    <w:qFormat/>
    <w:rsid w:val="00513B49"/>
    <w:pPr>
      <w:spacing w:after="120" w:line="240" w:lineRule="auto"/>
    </w:pPr>
  </w:style>
  <w:style w:type="paragraph" w:customStyle="1" w:styleId="Bullets1stindent">
    <w:name w:val="Bullets (1st indent)"/>
    <w:basedOn w:val="BodyText1"/>
    <w:rsid w:val="0099073D"/>
    <w:pPr>
      <w:numPr>
        <w:numId w:val="6"/>
      </w:numPr>
    </w:pPr>
  </w:style>
  <w:style w:type="paragraph" w:customStyle="1" w:styleId="Bullets2ndindent">
    <w:name w:val="Bullets (2nd indent)"/>
    <w:basedOn w:val="BodyText1"/>
    <w:rsid w:val="008F1C8A"/>
    <w:pPr>
      <w:numPr>
        <w:ilvl w:val="1"/>
        <w:numId w:val="6"/>
      </w:numPr>
    </w:pPr>
  </w:style>
  <w:style w:type="numbering" w:customStyle="1" w:styleId="Bullets">
    <w:name w:val="Bullets"/>
    <w:basedOn w:val="NoList"/>
    <w:uiPriority w:val="99"/>
    <w:rsid w:val="00AE6B19"/>
    <w:pPr>
      <w:numPr>
        <w:numId w:val="6"/>
      </w:numPr>
    </w:pPr>
  </w:style>
  <w:style w:type="paragraph" w:customStyle="1" w:styleId="Figuretitle">
    <w:name w:val="Figure title"/>
    <w:basedOn w:val="Heading2"/>
    <w:next w:val="BodyText1"/>
    <w:rsid w:val="00AE6B19"/>
    <w:pPr>
      <w:numPr>
        <w:ilvl w:val="6"/>
        <w:numId w:val="4"/>
      </w:numPr>
    </w:pPr>
    <w:rPr>
      <w:rFonts w:ascii="Arial" w:hAnsi="Arial"/>
      <w:szCs w:val="24"/>
    </w:rPr>
  </w:style>
  <w:style w:type="paragraph" w:customStyle="1" w:styleId="Footertext">
    <w:name w:val="Footer text"/>
    <w:semiHidden/>
    <w:rsid w:val="00AE6B19"/>
    <w:pPr>
      <w:framePr w:hSpace="181" w:wrap="around" w:vAnchor="text" w:hAnchor="page" w:x="11228" w:y="1"/>
      <w:spacing w:after="0" w:line="200" w:lineRule="atLeast"/>
      <w:ind w:left="0" w:right="113" w:firstLine="0"/>
      <w:suppressOverlap/>
    </w:pPr>
    <w:rPr>
      <w:rFonts w:asciiTheme="majorHAnsi" w:hAnsiTheme="majorHAnsi" w:cstheme="majorHAnsi"/>
      <w:sz w:val="16"/>
      <w:szCs w:val="24"/>
      <w:lang w:eastAsia="en-US"/>
    </w:rPr>
  </w:style>
  <w:style w:type="paragraph" w:customStyle="1" w:styleId="Footnote">
    <w:name w:val="Footnote"/>
    <w:rsid w:val="00AE6B19"/>
    <w:pPr>
      <w:spacing w:before="85" w:after="85" w:line="160" w:lineRule="atLeast"/>
      <w:ind w:left="0" w:firstLine="0"/>
    </w:pPr>
    <w:rPr>
      <w:rFonts w:ascii="Arial" w:hAnsi="Arial" w:cs="Arial"/>
      <w:i/>
      <w:sz w:val="12"/>
      <w:szCs w:val="12"/>
      <w:lang w:eastAsia="en-US"/>
    </w:rPr>
  </w:style>
  <w:style w:type="paragraph" w:customStyle="1" w:styleId="Bulletslast1stindent">
    <w:name w:val="Bullets last (1st indent)"/>
    <w:basedOn w:val="BodyText1"/>
    <w:rsid w:val="00AE6B19"/>
    <w:pPr>
      <w:numPr>
        <w:ilvl w:val="2"/>
        <w:numId w:val="6"/>
      </w:numPr>
    </w:pPr>
  </w:style>
  <w:style w:type="numbering" w:customStyle="1" w:styleId="Numbers">
    <w:name w:val="Numbers"/>
    <w:basedOn w:val="NoList"/>
    <w:rsid w:val="00AE6B19"/>
    <w:pPr>
      <w:numPr>
        <w:numId w:val="4"/>
      </w:numPr>
    </w:pPr>
  </w:style>
  <w:style w:type="paragraph" w:customStyle="1" w:styleId="Bulletslast2ndindent">
    <w:name w:val="Bullets last (2nd indent)"/>
    <w:basedOn w:val="BodyText1"/>
    <w:rsid w:val="00AE6B19"/>
    <w:pPr>
      <w:numPr>
        <w:ilvl w:val="3"/>
        <w:numId w:val="6"/>
      </w:numPr>
      <w:spacing w:after="57"/>
    </w:pPr>
  </w:style>
  <w:style w:type="paragraph" w:styleId="Subtitle">
    <w:name w:val="Subtitle"/>
    <w:basedOn w:val="Title"/>
    <w:uiPriority w:val="2"/>
    <w:rsid w:val="00AE6B19"/>
    <w:pPr>
      <w:spacing w:before="200" w:line="300" w:lineRule="atLeast"/>
    </w:pPr>
    <w:rPr>
      <w:color w:val="FFFFFF"/>
      <w:sz w:val="24"/>
    </w:rPr>
  </w:style>
  <w:style w:type="paragraph" w:customStyle="1" w:styleId="Tablebodytext">
    <w:name w:val="Table body text"/>
    <w:qFormat/>
    <w:rsid w:val="00B24EDC"/>
    <w:pPr>
      <w:spacing w:before="57" w:line="220" w:lineRule="atLeast"/>
      <w:ind w:left="96" w:right="96" w:firstLine="0"/>
    </w:pPr>
    <w:rPr>
      <w:rFonts w:asciiTheme="majorHAnsi" w:hAnsiTheme="majorHAnsi"/>
      <w:sz w:val="18"/>
      <w:szCs w:val="24"/>
      <w:lang w:eastAsia="en-US"/>
    </w:rPr>
  </w:style>
  <w:style w:type="paragraph" w:customStyle="1" w:styleId="Tablebullets2ndindent">
    <w:name w:val="Table bullets (2nd indent)"/>
    <w:basedOn w:val="Tablebodytext"/>
    <w:qFormat/>
    <w:rsid w:val="00B24EDC"/>
    <w:pPr>
      <w:numPr>
        <w:ilvl w:val="6"/>
        <w:numId w:val="6"/>
      </w:numPr>
    </w:pPr>
  </w:style>
  <w:style w:type="paragraph" w:customStyle="1" w:styleId="Tablebullets1stindent">
    <w:name w:val="Table bullets (1st indent)"/>
    <w:basedOn w:val="Tablebodytext"/>
    <w:qFormat/>
    <w:rsid w:val="00B24EDC"/>
    <w:pPr>
      <w:numPr>
        <w:ilvl w:val="5"/>
        <w:numId w:val="6"/>
      </w:numPr>
    </w:pPr>
  </w:style>
  <w:style w:type="paragraph" w:customStyle="1" w:styleId="Tablecolumnheading">
    <w:name w:val="Table column heading"/>
    <w:basedOn w:val="Tablebodytext"/>
    <w:qFormat/>
    <w:rsid w:val="00AE6B19"/>
    <w:pPr>
      <w:keepNext/>
    </w:pPr>
    <w:rPr>
      <w:rFonts w:ascii="Arial" w:hAnsi="Arial"/>
      <w:b/>
    </w:rPr>
  </w:style>
  <w:style w:type="paragraph" w:customStyle="1" w:styleId="Title2">
    <w:name w:val="Title 2"/>
    <w:basedOn w:val="Title"/>
    <w:uiPriority w:val="2"/>
    <w:semiHidden/>
    <w:rsid w:val="00AE6B19"/>
  </w:style>
  <w:style w:type="paragraph" w:customStyle="1" w:styleId="Tabletitle">
    <w:name w:val="Table title"/>
    <w:basedOn w:val="Heading2"/>
    <w:next w:val="BodyText1"/>
    <w:rsid w:val="00AE6B19"/>
    <w:pPr>
      <w:numPr>
        <w:ilvl w:val="8"/>
        <w:numId w:val="4"/>
      </w:numPr>
    </w:pPr>
    <w:rPr>
      <w:rFonts w:ascii="Arial" w:hAnsi="Arial"/>
      <w:szCs w:val="24"/>
    </w:rPr>
  </w:style>
  <w:style w:type="paragraph" w:styleId="Title">
    <w:name w:val="Title"/>
    <w:uiPriority w:val="2"/>
    <w:rsid w:val="00AE6B19"/>
    <w:pPr>
      <w:spacing w:after="0" w:line="520" w:lineRule="atLeast"/>
      <w:ind w:left="0" w:firstLine="0"/>
      <w:outlineLvl w:val="0"/>
    </w:pPr>
    <w:rPr>
      <w:rFonts w:asciiTheme="majorHAnsi" w:hAnsiTheme="majorHAnsi"/>
      <w:color w:val="9FDBEB"/>
      <w:kern w:val="28"/>
      <w:sz w:val="48"/>
      <w:szCs w:val="32"/>
      <w:lang w:eastAsia="en-US"/>
    </w:rPr>
  </w:style>
  <w:style w:type="paragraph" w:customStyle="1" w:styleId="Boxheading">
    <w:name w:val="Box heading"/>
    <w:next w:val="BodyText1"/>
    <w:uiPriority w:val="1"/>
    <w:rsid w:val="00AE6B19"/>
    <w:pPr>
      <w:spacing w:after="0" w:line="240" w:lineRule="atLeast"/>
      <w:ind w:left="0" w:firstLine="0"/>
    </w:pPr>
    <w:rPr>
      <w:rFonts w:asciiTheme="majorHAnsi" w:hAnsiTheme="majorHAnsi"/>
      <w:b/>
      <w:color w:val="37424A" w:themeColor="text2"/>
      <w:sz w:val="22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AE6B1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AE6B19"/>
    <w:rPr>
      <w:rFonts w:ascii="Arial" w:hAnsi="Arial"/>
    </w:rPr>
    <w:tblPr>
      <w:tblCellMar>
        <w:left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E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B19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AE6B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B19"/>
    <w:rPr>
      <w:rFonts w:asciiTheme="minorHAnsi" w:hAnsiTheme="minorHAnsi"/>
      <w:szCs w:val="24"/>
      <w:lang w:eastAsia="en-US"/>
    </w:rPr>
  </w:style>
  <w:style w:type="paragraph" w:customStyle="1" w:styleId="Subtitle2">
    <w:name w:val="Subtitle 2"/>
    <w:uiPriority w:val="2"/>
    <w:rsid w:val="00AE6B19"/>
    <w:pPr>
      <w:spacing w:before="200" w:after="0" w:line="240" w:lineRule="auto"/>
      <w:ind w:left="0" w:firstLine="0"/>
      <w:contextualSpacing/>
    </w:pPr>
    <w:rPr>
      <w:rFonts w:asciiTheme="majorHAnsi" w:hAnsiTheme="majorHAnsi"/>
      <w:caps/>
      <w:color w:val="1C2735"/>
      <w:kern w:val="28"/>
      <w:sz w:val="22"/>
      <w:szCs w:val="32"/>
      <w:lang w:eastAsia="en-US"/>
    </w:rPr>
  </w:style>
  <w:style w:type="character" w:customStyle="1" w:styleId="Blue">
    <w:name w:val="Blue"/>
    <w:basedOn w:val="DefaultParagraphFont"/>
    <w:semiHidden/>
    <w:qFormat/>
    <w:rsid w:val="00AE6B19"/>
    <w:rPr>
      <w:color w:val="5BC6E8" w:themeColor="accent1"/>
    </w:rPr>
  </w:style>
  <w:style w:type="paragraph" w:customStyle="1" w:styleId="Subheading">
    <w:name w:val="Subheading"/>
    <w:next w:val="BodyText1"/>
    <w:qFormat/>
    <w:rsid w:val="00785BE7"/>
    <w:pPr>
      <w:spacing w:before="284" w:after="0" w:line="240" w:lineRule="auto"/>
    </w:pPr>
    <w:rPr>
      <w:rFonts w:asciiTheme="majorHAnsi" w:hAnsiTheme="majorHAnsi"/>
      <w:color w:val="FFFFFF" w:themeColor="background1"/>
      <w:spacing w:val="-6"/>
      <w:sz w:val="24"/>
      <w:szCs w:val="28"/>
      <w:lang w:val="en-US" w:eastAsia="en-US"/>
    </w:rPr>
  </w:style>
  <w:style w:type="paragraph" w:customStyle="1" w:styleId="Boxtext">
    <w:name w:val="Box text"/>
    <w:basedOn w:val="Tablebodytext"/>
    <w:uiPriority w:val="1"/>
    <w:rsid w:val="00AE6B19"/>
    <w:pPr>
      <w:ind w:left="0" w:right="0"/>
    </w:pPr>
    <w:rPr>
      <w:color w:val="37424A" w:themeColor="text2"/>
    </w:rPr>
  </w:style>
  <w:style w:type="paragraph" w:styleId="Quote">
    <w:name w:val="Quote"/>
    <w:aliases w:val="Quote/emphasis"/>
    <w:link w:val="QuoteChar"/>
    <w:rsid w:val="001A0954"/>
    <w:pPr>
      <w:spacing w:before="170" w:after="170"/>
      <w:ind w:left="0" w:firstLine="0"/>
    </w:pPr>
    <w:rPr>
      <w:rFonts w:asciiTheme="minorHAnsi" w:hAnsiTheme="minorHAnsi"/>
      <w:i/>
      <w:iCs/>
      <w:color w:val="000000" w:themeColor="text1"/>
      <w:spacing w:val="-2"/>
      <w:sz w:val="22"/>
      <w:szCs w:val="22"/>
      <w:lang w:eastAsia="en-US"/>
    </w:rPr>
  </w:style>
  <w:style w:type="character" w:customStyle="1" w:styleId="QuoteChar">
    <w:name w:val="Quote Char"/>
    <w:aliases w:val="Quote/emphasis Char"/>
    <w:basedOn w:val="DefaultParagraphFont"/>
    <w:link w:val="Quote"/>
    <w:rsid w:val="001A0954"/>
    <w:rPr>
      <w:rFonts w:asciiTheme="minorHAnsi" w:hAnsiTheme="minorHAnsi"/>
      <w:i/>
      <w:iCs/>
      <w:color w:val="000000" w:themeColor="text1"/>
      <w:spacing w:val="-2"/>
      <w:sz w:val="22"/>
      <w:szCs w:val="22"/>
      <w:lang w:eastAsia="en-US"/>
    </w:rPr>
  </w:style>
  <w:style w:type="table" w:customStyle="1" w:styleId="DOFDtexttable">
    <w:name w:val="DOFD_text table"/>
    <w:basedOn w:val="TableNormal"/>
    <w:uiPriority w:val="99"/>
    <w:qFormat/>
    <w:rsid w:val="00AE6B19"/>
    <w:pPr>
      <w:spacing w:before="57"/>
    </w:pPr>
    <w:rPr>
      <w:rFonts w:asciiTheme="minorHAnsi" w:hAnsiTheme="minorHAnsi"/>
    </w:rPr>
    <w:tblPr>
      <w:tblBorders>
        <w:top w:val="single" w:sz="2" w:space="0" w:color="37424A" w:themeColor="background2"/>
        <w:left w:val="single" w:sz="2" w:space="0" w:color="37424A" w:themeColor="background2"/>
        <w:bottom w:val="single" w:sz="2" w:space="0" w:color="37424A" w:themeColor="background2"/>
        <w:right w:val="single" w:sz="2" w:space="0" w:color="37424A" w:themeColor="background2"/>
        <w:insideH w:val="single" w:sz="2" w:space="0" w:color="37424A" w:themeColor="background2"/>
        <w:insideV w:val="single" w:sz="2" w:space="0" w:color="37424A" w:themeColor="background2"/>
      </w:tblBorders>
      <w:tblCellMar>
        <w:top w:w="170" w:type="dxa"/>
        <w:left w:w="227" w:type="dxa"/>
        <w:bottom w:w="113" w:type="dxa"/>
        <w:right w:w="227" w:type="dxa"/>
      </w:tblCellMar>
    </w:tblPr>
    <w:trPr>
      <w:cantSplit/>
    </w:trPr>
    <w:tblStylePr w:type="firstRow">
      <w:rPr>
        <w:rFonts w:ascii="Arial" w:hAnsi="Arial"/>
        <w:b w:val="0"/>
        <w:color w:val="37424A" w:themeColor="text2"/>
        <w:sz w:val="22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2CE9B" w:themeFill="accent2"/>
        <w:tcMar>
          <w:top w:w="113" w:type="dxa"/>
          <w:left w:w="0" w:type="nil"/>
          <w:bottom w:w="113" w:type="dxa"/>
          <w:right w:w="0" w:type="nil"/>
        </w:tcMar>
      </w:tcPr>
    </w:tblStylePr>
  </w:style>
  <w:style w:type="character" w:customStyle="1" w:styleId="ArialBlackBlue">
    <w:name w:val="Arial Black Blue"/>
    <w:basedOn w:val="DefaultParagraphFont"/>
    <w:uiPriority w:val="1"/>
    <w:semiHidden/>
    <w:qFormat/>
    <w:rsid w:val="00EA031A"/>
    <w:rPr>
      <w:rFonts w:ascii="Arial Black" w:hAnsi="Arial Black"/>
      <w:color w:val="004C31" w:themeColor="accent5" w:themeShade="BF"/>
      <w:sz w:val="18"/>
      <w:szCs w:val="18"/>
    </w:rPr>
  </w:style>
  <w:style w:type="character" w:styleId="PageNumber">
    <w:name w:val="page number"/>
    <w:basedOn w:val="DefaultParagraphFont"/>
    <w:uiPriority w:val="99"/>
    <w:semiHidden/>
    <w:qFormat/>
    <w:rsid w:val="00AE6B19"/>
    <w:rPr>
      <w:rFonts w:ascii="Arial" w:hAnsi="Arial"/>
      <w:b/>
      <w:color w:val="1C2735"/>
      <w:spacing w:val="-20"/>
      <w:sz w:val="16"/>
      <w:lang w:val="en-AU"/>
    </w:rPr>
  </w:style>
  <w:style w:type="paragraph" w:customStyle="1" w:styleId="Chapternumber">
    <w:name w:val="Chapter number"/>
    <w:semiHidden/>
    <w:qFormat/>
    <w:rsid w:val="00AE6B19"/>
    <w:pPr>
      <w:numPr>
        <w:numId w:val="5"/>
      </w:numPr>
      <w:spacing w:after="0" w:line="940" w:lineRule="exact"/>
      <w:ind w:left="142" w:firstLine="0"/>
    </w:pPr>
    <w:rPr>
      <w:rFonts w:asciiTheme="majorHAnsi" w:hAnsiTheme="majorHAnsi" w:cstheme="majorHAnsi"/>
      <w:b/>
      <w:color w:val="A7B4BE" w:themeColor="background2" w:themeTint="66"/>
      <w:sz w:val="94"/>
      <w:szCs w:val="94"/>
      <w:lang w:eastAsia="en-US"/>
    </w:rPr>
  </w:style>
  <w:style w:type="paragraph" w:styleId="FootnoteText">
    <w:name w:val="footnote text"/>
    <w:link w:val="FootnoteTextChar"/>
    <w:uiPriority w:val="99"/>
    <w:semiHidden/>
    <w:qFormat/>
    <w:rsid w:val="00AE6B19"/>
    <w:pPr>
      <w:tabs>
        <w:tab w:val="left" w:pos="284"/>
      </w:tabs>
      <w:spacing w:after="20"/>
    </w:pPr>
    <w:rPr>
      <w:rFonts w:asciiTheme="majorHAnsi" w:hAnsiTheme="majorHAnsi"/>
      <w:color w:val="37424A" w:themeColor="text2"/>
      <w:sz w:val="15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6B19"/>
    <w:rPr>
      <w:rFonts w:asciiTheme="majorHAnsi" w:hAnsiTheme="majorHAnsi"/>
      <w:color w:val="37424A" w:themeColor="text2"/>
      <w:sz w:val="15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AE6B19"/>
    <w:rPr>
      <w:vertAlign w:val="superscript"/>
    </w:rPr>
  </w:style>
  <w:style w:type="paragraph" w:customStyle="1" w:styleId="Boxtitle">
    <w:name w:val="Box title"/>
    <w:basedOn w:val="Boxheading"/>
    <w:uiPriority w:val="1"/>
    <w:rsid w:val="00AE6B19"/>
    <w:pPr>
      <w:spacing w:before="113" w:after="113"/>
    </w:pPr>
    <w:rPr>
      <w:color w:val="5BC6E8" w:themeColor="accent1"/>
    </w:rPr>
  </w:style>
  <w:style w:type="paragraph" w:customStyle="1" w:styleId="Notetitle">
    <w:name w:val="Note title"/>
    <w:basedOn w:val="Heading2"/>
    <w:rsid w:val="00AE6B19"/>
    <w:pPr>
      <w:numPr>
        <w:ilvl w:val="7"/>
        <w:numId w:val="4"/>
      </w:numPr>
    </w:pPr>
  </w:style>
  <w:style w:type="character" w:customStyle="1" w:styleId="Black">
    <w:name w:val="Black"/>
    <w:basedOn w:val="DefaultParagraphFont"/>
    <w:uiPriority w:val="1"/>
    <w:semiHidden/>
    <w:qFormat/>
    <w:rsid w:val="00AE6B19"/>
    <w:rPr>
      <w:color w:val="1C2735"/>
      <w:lang w:val="en-AU"/>
    </w:rPr>
  </w:style>
  <w:style w:type="paragraph" w:customStyle="1" w:styleId="Numberedpara1stindent">
    <w:name w:val="Numbered para (1st indent)"/>
    <w:basedOn w:val="BodyText1"/>
    <w:rsid w:val="00AE6B19"/>
    <w:pPr>
      <w:numPr>
        <w:ilvl w:val="3"/>
        <w:numId w:val="4"/>
      </w:numPr>
    </w:pPr>
  </w:style>
  <w:style w:type="paragraph" w:customStyle="1" w:styleId="Numberedpara2ndindent">
    <w:name w:val="Numbered para (2nd indent)"/>
    <w:basedOn w:val="BodyText1"/>
    <w:rsid w:val="00AE6B19"/>
    <w:pPr>
      <w:numPr>
        <w:ilvl w:val="4"/>
        <w:numId w:val="4"/>
      </w:numPr>
    </w:pPr>
  </w:style>
  <w:style w:type="paragraph" w:customStyle="1" w:styleId="Numberedpara3rdindent">
    <w:name w:val="Numbered para (3rd indent)"/>
    <w:basedOn w:val="BodyText1"/>
    <w:rsid w:val="00AE6B19"/>
    <w:pPr>
      <w:numPr>
        <w:ilvl w:val="5"/>
        <w:numId w:val="4"/>
      </w:numPr>
    </w:pPr>
  </w:style>
  <w:style w:type="character" w:styleId="Hyperlink">
    <w:name w:val="Hyperlink"/>
    <w:basedOn w:val="DefaultParagraphFont"/>
    <w:uiPriority w:val="99"/>
    <w:rsid w:val="00EA031A"/>
    <w:rPr>
      <w:color w:val="004C31" w:themeColor="accent5" w:themeShade="BF"/>
      <w:u w:val="single"/>
    </w:rPr>
  </w:style>
  <w:style w:type="paragraph" w:styleId="ListParagraph">
    <w:name w:val="List Paragraph"/>
    <w:basedOn w:val="Normal"/>
    <w:uiPriority w:val="34"/>
    <w:qFormat/>
    <w:rsid w:val="00AE6B19"/>
    <w:pPr>
      <w:spacing w:line="276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AE6B19"/>
    <w:rPr>
      <w:rFonts w:asciiTheme="majorHAnsi" w:eastAsiaTheme="majorEastAsia" w:hAnsiTheme="majorHAnsi" w:cstheme="majorBidi"/>
      <w:b/>
      <w:bCs/>
      <w:i/>
      <w:iCs/>
      <w:color w:val="004220" w:themeColor="accent4" w:themeShade="80"/>
      <w:szCs w:val="24"/>
      <w:lang w:val="en-US" w:eastAsia="en-US"/>
    </w:rPr>
  </w:style>
  <w:style w:type="paragraph" w:customStyle="1" w:styleId="BodyCopy">
    <w:name w:val="Body Copy"/>
    <w:basedOn w:val="Normal"/>
    <w:uiPriority w:val="99"/>
    <w:rsid w:val="00AE6B19"/>
    <w:pPr>
      <w:suppressAutoHyphens/>
      <w:autoSpaceDE w:val="0"/>
      <w:autoSpaceDN w:val="0"/>
      <w:adjustRightInd w:val="0"/>
      <w:spacing w:before="113" w:line="250" w:lineRule="atLeast"/>
      <w:textAlignment w:val="center"/>
    </w:pPr>
    <w:rPr>
      <w:rFonts w:ascii="Cambria" w:hAnsi="Cambria" w:cs="Cambria"/>
      <w:color w:val="000000"/>
      <w:spacing w:val="-1"/>
      <w:szCs w:val="20"/>
      <w:lang w:val="en-GB" w:eastAsia="en-AU"/>
    </w:rPr>
  </w:style>
  <w:style w:type="paragraph" w:customStyle="1" w:styleId="DateYear">
    <w:name w:val="Date:Year"/>
    <w:basedOn w:val="Normal"/>
    <w:link w:val="DateYearChar"/>
    <w:rsid w:val="00AE6B19"/>
    <w:pPr>
      <w:jc w:val="center"/>
    </w:pPr>
    <w:rPr>
      <w:rFonts w:asciiTheme="majorHAnsi" w:hAnsiTheme="majorHAnsi" w:cstheme="majorHAnsi"/>
      <w:b/>
      <w:caps/>
      <w:color w:val="FFFFFF" w:themeColor="background1"/>
    </w:rPr>
  </w:style>
  <w:style w:type="character" w:customStyle="1" w:styleId="DateYearChar">
    <w:name w:val="Date:Year Char"/>
    <w:basedOn w:val="DefaultParagraphFont"/>
    <w:link w:val="DateYear"/>
    <w:rsid w:val="00AE6B19"/>
    <w:rPr>
      <w:rFonts w:asciiTheme="majorHAnsi" w:hAnsiTheme="majorHAnsi" w:cstheme="majorHAnsi"/>
      <w:b/>
      <w:caps/>
      <w:color w:val="FFFFFF" w:themeColor="background1"/>
      <w:szCs w:val="24"/>
      <w:lang w:eastAsia="en-US"/>
    </w:rPr>
  </w:style>
  <w:style w:type="paragraph" w:customStyle="1" w:styleId="BasicParagraph">
    <w:name w:val="[Basic Paragraph]"/>
    <w:basedOn w:val="Normal"/>
    <w:uiPriority w:val="99"/>
    <w:rsid w:val="0099073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lang w:val="en-GB"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C86A41"/>
    <w:rPr>
      <w:rFonts w:asciiTheme="minorHAnsi" w:hAnsiTheme="minorHAnsi"/>
      <w:sz w:val="22"/>
      <w:szCs w:val="24"/>
      <w:lang w:eastAsia="en-US"/>
    </w:rPr>
  </w:style>
  <w:style w:type="paragraph" w:styleId="ListBullet">
    <w:name w:val="List Bullet"/>
    <w:basedOn w:val="Normal"/>
    <w:qFormat/>
    <w:rsid w:val="00EA031A"/>
    <w:pPr>
      <w:numPr>
        <w:numId w:val="18"/>
      </w:numPr>
      <w:spacing w:line="240" w:lineRule="auto"/>
      <w:contextualSpacing/>
    </w:pPr>
  </w:style>
  <w:style w:type="paragraph" w:styleId="ListNumber">
    <w:name w:val="List Number"/>
    <w:basedOn w:val="Normal"/>
    <w:qFormat/>
    <w:rsid w:val="00785BE7"/>
    <w:pPr>
      <w:numPr>
        <w:numId w:val="27"/>
      </w:numPr>
      <w:spacing w:line="240" w:lineRule="auto"/>
      <w:ind w:left="357" w:hanging="357"/>
      <w:contextualSpacing/>
    </w:pPr>
  </w:style>
  <w:style w:type="paragraph" w:styleId="NormalWeb">
    <w:name w:val="Normal (Web)"/>
    <w:basedOn w:val="Normal"/>
    <w:uiPriority w:val="99"/>
    <w:semiHidden/>
    <w:unhideWhenUsed/>
    <w:rsid w:val="006D67B5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en-AU"/>
    </w:rPr>
  </w:style>
  <w:style w:type="paragraph" w:customStyle="1" w:styleId="Sourcenotetext">
    <w:name w:val="Source/note text"/>
    <w:qFormat/>
    <w:rsid w:val="00E301F5"/>
    <w:pPr>
      <w:spacing w:before="85" w:after="85" w:line="240" w:lineRule="auto"/>
      <w:ind w:left="0" w:firstLine="0"/>
    </w:pPr>
    <w:rPr>
      <w:rFonts w:ascii="Arial" w:hAnsi="Arial" w:cs="Arial"/>
      <w:i/>
      <w:sz w:val="12"/>
      <w:szCs w:val="12"/>
      <w:lang w:eastAsia="en-US"/>
    </w:rPr>
  </w:style>
  <w:style w:type="table" w:customStyle="1" w:styleId="DOFDwithheader">
    <w:name w:val="DOFD with header"/>
    <w:basedOn w:val="TableNormal"/>
    <w:uiPriority w:val="99"/>
    <w:qFormat/>
    <w:rsid w:val="00EA031A"/>
    <w:pPr>
      <w:spacing w:before="57" w:line="220" w:lineRule="atLeast"/>
      <w:ind w:left="96" w:right="96" w:firstLine="0"/>
    </w:pPr>
    <w:rPr>
      <w:rFonts w:ascii="Arial" w:hAnsi="Arial"/>
    </w:rPr>
    <w:tblPr>
      <w:tblBorders>
        <w:top w:val="single" w:sz="2" w:space="0" w:color="A7B4BE" w:themeColor="background2" w:themeTint="66"/>
        <w:bottom w:val="single" w:sz="2" w:space="0" w:color="A7B4BE" w:themeColor="background2" w:themeTint="66"/>
        <w:insideH w:val="single" w:sz="2" w:space="0" w:color="A7B4BE" w:themeColor="background2" w:themeTint="66"/>
        <w:insideV w:val="single" w:sz="2" w:space="0" w:color="A7B4BE" w:themeColor="background2" w:themeTint="66"/>
      </w:tblBorders>
      <w:tblCellMar>
        <w:left w:w="0" w:type="dxa"/>
        <w:right w:w="0" w:type="dxa"/>
      </w:tblCellMar>
    </w:tblPr>
    <w:tblStylePr w:type="firstRow">
      <w:pPr>
        <w:keepNext/>
        <w:wordWrap/>
      </w:pPr>
      <w:rPr>
        <w:b w:val="0"/>
      </w:rPr>
      <w:tblPr/>
      <w:tcPr>
        <w:shd w:val="clear" w:color="auto" w:fill="AAE1C2" w:themeFill="accent2" w:themeFillTint="99"/>
      </w:tcPr>
    </w:tblStylePr>
  </w:style>
  <w:style w:type="table" w:customStyle="1" w:styleId="DOFDplain">
    <w:name w:val="DOFD plain"/>
    <w:basedOn w:val="TableNormal"/>
    <w:uiPriority w:val="99"/>
    <w:qFormat/>
    <w:rsid w:val="00E301F5"/>
    <w:pPr>
      <w:spacing w:before="57" w:line="220" w:lineRule="atLeast"/>
      <w:ind w:left="96" w:right="96" w:firstLine="0"/>
    </w:pPr>
    <w:rPr>
      <w:rFonts w:ascii="Arial" w:hAnsi="Arial"/>
      <w:sz w:val="17"/>
    </w:rPr>
    <w:tblPr>
      <w:tblBorders>
        <w:top w:val="single" w:sz="2" w:space="0" w:color="A7B4BE" w:themeColor="background2" w:themeTint="66"/>
        <w:bottom w:val="single" w:sz="2" w:space="0" w:color="A7B4BE" w:themeColor="background2" w:themeTint="66"/>
        <w:insideH w:val="single" w:sz="2" w:space="0" w:color="A7B4BE" w:themeColor="background2" w:themeTint="66"/>
        <w:insideV w:val="single" w:sz="2" w:space="0" w:color="A7B4BE" w:themeColor="background2" w:themeTint="66"/>
      </w:tblBorders>
      <w:tblCellMar>
        <w:left w:w="0" w:type="dxa"/>
        <w:right w:w="0" w:type="dxa"/>
      </w:tblCellMar>
    </w:tblPr>
    <w:tblStylePr w:type="firstRow">
      <w:pPr>
        <w:keepNext/>
        <w:wordWrap/>
      </w:pPr>
      <w:rPr>
        <w:rFonts w:ascii="Arial" w:hAnsi="Arial"/>
        <w:b w:val="0"/>
      </w:rPr>
      <w:tblPr/>
      <w:trPr>
        <w:tblHeader/>
      </w:trPr>
    </w:tblStylePr>
  </w:style>
  <w:style w:type="table" w:customStyle="1" w:styleId="DOFDbanded">
    <w:name w:val="DOFD banded"/>
    <w:basedOn w:val="TableNormal"/>
    <w:uiPriority w:val="99"/>
    <w:qFormat/>
    <w:rsid w:val="00EA031A"/>
    <w:pPr>
      <w:spacing w:before="57" w:line="220" w:lineRule="atLeast"/>
      <w:ind w:left="96" w:right="96" w:firstLine="0"/>
    </w:pPr>
    <w:rPr>
      <w:rFonts w:ascii="Arial" w:hAnsi="Arial"/>
      <w:sz w:val="17"/>
    </w:rPr>
    <w:tblPr>
      <w:tblStyleRowBandSize w:val="1"/>
      <w:tblBorders>
        <w:top w:val="single" w:sz="2" w:space="0" w:color="A7B4BE" w:themeColor="background2" w:themeTint="66"/>
        <w:bottom w:val="single" w:sz="2" w:space="0" w:color="A7B4BE" w:themeColor="background2" w:themeTint="66"/>
        <w:insideH w:val="single" w:sz="2" w:space="0" w:color="A7B4BE" w:themeColor="background2" w:themeTint="66"/>
        <w:insideV w:val="single" w:sz="2" w:space="0" w:color="A7B4BE" w:themeColor="background2" w:themeTint="66"/>
      </w:tblBorders>
      <w:tblCellMar>
        <w:left w:w="0" w:type="dxa"/>
        <w:right w:w="0" w:type="dxa"/>
      </w:tblCellMar>
    </w:tblPr>
    <w:tblStylePr w:type="firstRow">
      <w:pPr>
        <w:keepNext/>
        <w:keepLines w:val="0"/>
        <w:wordWrap/>
      </w:pPr>
      <w:rPr>
        <w:b w:val="0"/>
      </w:rPr>
      <w:tblPr/>
      <w:trPr>
        <w:tblHeader/>
      </w:trPr>
    </w:tblStylePr>
    <w:tblStylePr w:type="band1Horz">
      <w:tblPr/>
      <w:tcPr>
        <w:shd w:val="clear" w:color="auto" w:fill="AAE1C2" w:themeFill="accent2" w:themeFillTint="99"/>
      </w:tcPr>
    </w:tblStylePr>
  </w:style>
  <w:style w:type="paragraph" w:styleId="BodyText">
    <w:name w:val="Body Text"/>
    <w:basedOn w:val="Normal"/>
    <w:link w:val="BodyTextChar"/>
    <w:rsid w:val="00E301F5"/>
    <w:pPr>
      <w:spacing w:after="120" w:line="240" w:lineRule="auto"/>
    </w:pPr>
    <w:rPr>
      <w:rFonts w:eastAsiaTheme="minorHAnsi" w:cstheme="minorBidi"/>
      <w:szCs w:val="22"/>
    </w:rPr>
  </w:style>
  <w:style w:type="character" w:customStyle="1" w:styleId="BodyTextChar">
    <w:name w:val="Body Text Char"/>
    <w:basedOn w:val="DefaultParagraphFont"/>
    <w:link w:val="BodyText"/>
    <w:rsid w:val="00E301F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10">
    <w:name w:val="Body Text1"/>
    <w:basedOn w:val="Normal"/>
    <w:qFormat/>
    <w:rsid w:val="003767B2"/>
    <w:pPr>
      <w:spacing w:after="120" w:line="240" w:lineRule="auto"/>
    </w:pPr>
  </w:style>
  <w:style w:type="character" w:customStyle="1" w:styleId="Heading1Char">
    <w:name w:val="Heading 1 Char"/>
    <w:basedOn w:val="DefaultParagraphFont"/>
    <w:link w:val="Heading1"/>
    <w:rsid w:val="003767B2"/>
    <w:rPr>
      <w:rFonts w:asciiTheme="majorHAnsi" w:hAnsiTheme="majorHAnsi"/>
      <w:color w:val="FFFFFF" w:themeColor="background1"/>
      <w:spacing w:val="-10"/>
      <w:kern w:val="32"/>
      <w:sz w:val="4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2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comcover@comcover.com.au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DOFD_Theme_blue">
  <a:themeElements>
    <a:clrScheme name="Finance Blue">
      <a:dk1>
        <a:sysClr val="windowText" lastClr="000000"/>
      </a:dk1>
      <a:lt1>
        <a:sysClr val="window" lastClr="FFFFFF"/>
      </a:lt1>
      <a:dk2>
        <a:srgbClr val="37424A"/>
      </a:dk2>
      <a:lt2>
        <a:srgbClr val="37424A"/>
      </a:lt2>
      <a:accent1>
        <a:srgbClr val="5BC6E8"/>
      </a:accent1>
      <a:accent2>
        <a:srgbClr val="72CE9B"/>
      </a:accent2>
      <a:accent3>
        <a:srgbClr val="F2D653"/>
      </a:accent3>
      <a:accent4>
        <a:srgbClr val="008542"/>
      </a:accent4>
      <a:accent5>
        <a:srgbClr val="006643"/>
      </a:accent5>
      <a:accent6>
        <a:srgbClr val="A3DBE8"/>
      </a:accent6>
      <a:hlink>
        <a:srgbClr val="0000FF"/>
      </a:hlink>
      <a:folHlink>
        <a:srgbClr val="800080"/>
      </a:folHlink>
    </a:clrScheme>
    <a:fontScheme name="DOFD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4755F-7F43-4305-BB20-3CBBC1182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FF3CA342</Template>
  <TotalTime>1</TotalTime>
  <Pages>2</Pages>
  <Words>604</Words>
  <Characters>3449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Comcover Fact Sheet</vt:lpstr>
    </vt:vector>
  </TitlesOfParts>
  <Company>FINANCE</Company>
  <LinksUpToDate>false</LinksUpToDate>
  <CharactersWithSpaces>4045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Comcover Fact Sheet</dc:title>
  <dc:subject>Risk Services</dc:subject>
  <dc:creator>Comcover</dc:creator>
  <cp:keywords>Comcover, Fact sheet, Risk, Services</cp:keywords>
  <cp:lastModifiedBy>Power, Jade</cp:lastModifiedBy>
  <cp:revision>2</cp:revision>
  <cp:lastPrinted>2012-07-04T23:20:00Z</cp:lastPrinted>
  <dcterms:created xsi:type="dcterms:W3CDTF">2019-11-06T05:15:00Z</dcterms:created>
  <dcterms:modified xsi:type="dcterms:W3CDTF">2019-11-06T05:15:00Z</dcterms:modified>
  <cp:category>Templates</cp:category>
</cp:coreProperties>
</file>