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EFA1" w14:textId="3E3DA8C1" w:rsidR="000C2A48" w:rsidRPr="00014623" w:rsidRDefault="00A9275D" w:rsidP="005A6C78">
      <w:pPr>
        <w:pStyle w:val="Firstpagespace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111EF1D1" wp14:editId="47BD24E8">
            <wp:simplePos x="0" y="0"/>
            <wp:positionH relativeFrom="column">
              <wp:posOffset>-902335</wp:posOffset>
            </wp:positionH>
            <wp:positionV relativeFrom="paragraph">
              <wp:posOffset>-1195070</wp:posOffset>
            </wp:positionV>
            <wp:extent cx="7566660" cy="2452370"/>
            <wp:effectExtent l="0" t="0" r="0" b="5080"/>
            <wp:wrapNone/>
            <wp:docPr id="8" name="Picture 8" descr="Short word cover_Com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ort word cover_Comcov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245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FE0F6" w14:textId="03C04439" w:rsidR="00BC6AB5" w:rsidRPr="00014623" w:rsidRDefault="000412D6" w:rsidP="005A6C78">
      <w:pPr>
        <w:pStyle w:val="Title"/>
        <w:rPr>
          <w:rFonts w:ascii="Calibri" w:hAnsi="Calibri"/>
        </w:rPr>
      </w:pPr>
      <w:r w:rsidRPr="00014623">
        <w:rPr>
          <w:rFonts w:ascii="Calibri" w:hAnsi="Calibri"/>
        </w:rPr>
        <w:t xml:space="preserve">Information Bulletin – Comcover </w:t>
      </w:r>
      <w:r w:rsidR="00BC6AB5" w:rsidRPr="00014623">
        <w:rPr>
          <w:rFonts w:ascii="Calibri" w:hAnsi="Calibri"/>
        </w:rPr>
        <w:t>Statement of Cover</w:t>
      </w:r>
      <w:r w:rsidRPr="00014623">
        <w:rPr>
          <w:rFonts w:ascii="Calibri" w:hAnsi="Calibri"/>
        </w:rPr>
        <w:t xml:space="preserve"> 2017-18</w:t>
      </w:r>
      <w:r w:rsidR="00BC6AB5" w:rsidRPr="00014623">
        <w:rPr>
          <w:rFonts w:ascii="Calibri" w:hAnsi="Calibri"/>
        </w:rPr>
        <w:t xml:space="preserve"> </w:t>
      </w:r>
    </w:p>
    <w:p w14:paraId="3FE5FF61" w14:textId="1EA24195" w:rsidR="00BC6AB5" w:rsidRPr="00014623" w:rsidRDefault="00BC6AB5" w:rsidP="00BC6AB5">
      <w:pPr>
        <w:rPr>
          <w:rFonts w:ascii="Calibri" w:hAnsi="Calibri"/>
        </w:rPr>
      </w:pPr>
      <w:r w:rsidRPr="00014623">
        <w:rPr>
          <w:rFonts w:ascii="Calibri" w:hAnsi="Calibri"/>
        </w:rPr>
        <w:t>Issue 4</w:t>
      </w:r>
      <w:r w:rsidR="00C82601">
        <w:rPr>
          <w:rFonts w:ascii="Calibri" w:hAnsi="Calibri"/>
        </w:rPr>
        <w:t>7</w:t>
      </w:r>
      <w:r w:rsidRPr="00014623">
        <w:rPr>
          <w:rFonts w:ascii="Calibri" w:hAnsi="Calibri"/>
        </w:rPr>
        <w:t xml:space="preserve"> </w:t>
      </w:r>
      <w:r w:rsidR="00931029" w:rsidRPr="00014623">
        <w:rPr>
          <w:rFonts w:ascii="Calibri" w:hAnsi="Calibri"/>
        </w:rPr>
        <w:t>–</w:t>
      </w:r>
      <w:r w:rsidRPr="00014623">
        <w:rPr>
          <w:rFonts w:ascii="Calibri" w:hAnsi="Calibri"/>
        </w:rPr>
        <w:t xml:space="preserve"> 1</w:t>
      </w:r>
      <w:r w:rsidR="00931029" w:rsidRPr="00014623">
        <w:rPr>
          <w:rFonts w:ascii="Calibri" w:hAnsi="Calibri"/>
        </w:rPr>
        <w:t xml:space="preserve"> </w:t>
      </w:r>
      <w:r w:rsidR="00C82601">
        <w:rPr>
          <w:rFonts w:ascii="Calibri" w:hAnsi="Calibri"/>
        </w:rPr>
        <w:t>October</w:t>
      </w:r>
      <w:r w:rsidRPr="00014623">
        <w:rPr>
          <w:rFonts w:ascii="Calibri" w:hAnsi="Calibri"/>
        </w:rPr>
        <w:t xml:space="preserve"> 2017</w:t>
      </w:r>
    </w:p>
    <w:p w14:paraId="3EB25D42" w14:textId="51BAB04B" w:rsidR="00BC6AB5" w:rsidRPr="00014623" w:rsidRDefault="00BC6AB5" w:rsidP="00931029">
      <w:pPr>
        <w:spacing w:after="240"/>
        <w:rPr>
          <w:rFonts w:ascii="Calibri" w:hAnsi="Calibri"/>
          <w:b/>
        </w:rPr>
      </w:pPr>
      <w:r w:rsidRPr="00014623">
        <w:rPr>
          <w:rFonts w:ascii="Calibri" w:hAnsi="Calibri"/>
          <w:b/>
        </w:rPr>
        <w:t>Comc</w:t>
      </w:r>
      <w:r w:rsidR="000412D6" w:rsidRPr="00014623">
        <w:rPr>
          <w:rFonts w:ascii="Calibri" w:hAnsi="Calibri"/>
          <w:b/>
        </w:rPr>
        <w:t xml:space="preserve">over Statement of Cover 2017-18 – </w:t>
      </w:r>
      <w:r w:rsidR="00C82601">
        <w:rPr>
          <w:rFonts w:ascii="Calibri" w:hAnsi="Calibri"/>
          <w:b/>
        </w:rPr>
        <w:t>Expatriate</w:t>
      </w:r>
      <w:r w:rsidR="00C82601" w:rsidRPr="00014623">
        <w:rPr>
          <w:rFonts w:ascii="Calibri" w:hAnsi="Calibri"/>
          <w:b/>
        </w:rPr>
        <w:t xml:space="preserve"> </w:t>
      </w:r>
      <w:r w:rsidRPr="00014623">
        <w:rPr>
          <w:rFonts w:ascii="Calibri" w:hAnsi="Calibri"/>
          <w:b/>
        </w:rPr>
        <w:t>Changes</w:t>
      </w:r>
    </w:p>
    <w:p w14:paraId="44C40F62" w14:textId="36A8A884" w:rsidR="00931029" w:rsidRPr="00014623" w:rsidRDefault="00C82601" w:rsidP="00931029">
      <w:pPr>
        <w:pStyle w:val="NoSpacing"/>
        <w:ind w:left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Key changes to t</w:t>
      </w:r>
      <w:r w:rsidR="00931029" w:rsidRPr="00014623">
        <w:rPr>
          <w:rFonts w:ascii="Calibri" w:hAnsi="Calibri"/>
          <w:color w:val="000000" w:themeColor="text1"/>
        </w:rPr>
        <w:t xml:space="preserve">he </w:t>
      </w:r>
      <w:r w:rsidR="00931029" w:rsidRPr="00014623">
        <w:rPr>
          <w:rFonts w:ascii="Calibri" w:hAnsi="Calibri"/>
          <w:i/>
          <w:color w:val="000000" w:themeColor="text1"/>
        </w:rPr>
        <w:t>Comcover</w:t>
      </w:r>
      <w:r>
        <w:rPr>
          <w:rFonts w:ascii="Calibri" w:hAnsi="Calibri"/>
          <w:i/>
          <w:color w:val="000000" w:themeColor="text1"/>
        </w:rPr>
        <w:t xml:space="preserve"> </w:t>
      </w:r>
      <w:r w:rsidR="00931029" w:rsidRPr="00014623">
        <w:rPr>
          <w:rFonts w:ascii="Calibri" w:hAnsi="Calibri"/>
          <w:i/>
          <w:color w:val="000000" w:themeColor="text1"/>
        </w:rPr>
        <w:t>Statement of Cover 2017-18</w:t>
      </w:r>
      <w:r w:rsidR="00931029" w:rsidRPr="00014623">
        <w:rPr>
          <w:rFonts w:ascii="Calibri" w:hAnsi="Calibri"/>
          <w:color w:val="000000" w:themeColor="text1"/>
        </w:rPr>
        <w:t xml:space="preserve"> (the Statement of Cover) take effect </w:t>
      </w:r>
      <w:r w:rsidR="008214B9">
        <w:rPr>
          <w:rFonts w:ascii="Calibri" w:hAnsi="Calibri"/>
          <w:color w:val="000000" w:themeColor="text1"/>
        </w:rPr>
        <w:t>on</w:t>
      </w:r>
      <w:r w:rsidR="008214B9" w:rsidRPr="00014623">
        <w:rPr>
          <w:rFonts w:ascii="Calibri" w:hAnsi="Calibri"/>
          <w:color w:val="000000" w:themeColor="text1"/>
        </w:rPr>
        <w:t xml:space="preserve"> </w:t>
      </w:r>
      <w:r w:rsidR="00931029" w:rsidRPr="00014623">
        <w:rPr>
          <w:rFonts w:ascii="Calibri" w:hAnsi="Calibri"/>
          <w:color w:val="000000" w:themeColor="text1"/>
        </w:rPr>
        <w:t>1</w:t>
      </w:r>
      <w:r w:rsidR="009A1F83">
        <w:rPr>
          <w:rFonts w:ascii="Calibri" w:hAnsi="Calibri"/>
          <w:color w:val="000000" w:themeColor="text1"/>
        </w:rPr>
        <w:t> </w:t>
      </w:r>
      <w:r>
        <w:rPr>
          <w:rFonts w:ascii="Calibri" w:hAnsi="Calibri"/>
          <w:color w:val="000000" w:themeColor="text1"/>
        </w:rPr>
        <w:t xml:space="preserve">October 2017 </w:t>
      </w:r>
      <w:r w:rsidR="00931029" w:rsidRPr="00014623">
        <w:rPr>
          <w:rFonts w:ascii="Calibri" w:hAnsi="Calibri"/>
          <w:color w:val="000000" w:themeColor="text1"/>
        </w:rPr>
        <w:t xml:space="preserve">and supersede the </w:t>
      </w:r>
      <w:r w:rsidR="00931029" w:rsidRPr="00014623">
        <w:rPr>
          <w:rFonts w:ascii="Calibri" w:hAnsi="Calibri"/>
          <w:i/>
          <w:color w:val="000000" w:themeColor="text1"/>
        </w:rPr>
        <w:t>Comcover Statement of Cover 2017-18</w:t>
      </w:r>
      <w:r>
        <w:rPr>
          <w:rFonts w:ascii="Calibri" w:hAnsi="Calibri"/>
          <w:i/>
          <w:color w:val="000000" w:themeColor="text1"/>
        </w:rPr>
        <w:t xml:space="preserve"> </w:t>
      </w:r>
      <w:r w:rsidR="00D86F6B">
        <w:rPr>
          <w:rFonts w:ascii="Calibri" w:hAnsi="Calibri"/>
          <w:color w:val="000000" w:themeColor="text1"/>
        </w:rPr>
        <w:t>i</w:t>
      </w:r>
      <w:r w:rsidR="00A84A85">
        <w:rPr>
          <w:rFonts w:ascii="Calibri" w:hAnsi="Calibri"/>
          <w:color w:val="000000" w:themeColor="text1"/>
        </w:rPr>
        <w:t>ssued</w:t>
      </w:r>
      <w:r w:rsidRPr="00E10572">
        <w:rPr>
          <w:rFonts w:ascii="Calibri" w:hAnsi="Calibri"/>
          <w:color w:val="000000" w:themeColor="text1"/>
        </w:rPr>
        <w:t xml:space="preserve"> on 1 July 2017</w:t>
      </w:r>
      <w:r w:rsidR="00931029" w:rsidRPr="00E10572">
        <w:rPr>
          <w:rFonts w:ascii="Calibri" w:hAnsi="Calibri"/>
          <w:color w:val="000000" w:themeColor="text1"/>
        </w:rPr>
        <w:t>.</w:t>
      </w:r>
      <w:r w:rsidR="00931029" w:rsidRPr="00014623">
        <w:rPr>
          <w:rFonts w:ascii="Calibri" w:hAnsi="Calibri"/>
          <w:color w:val="000000" w:themeColor="text1"/>
        </w:rPr>
        <w:t xml:space="preserve"> It is important that you, as the Fund Member, carefully read the Statement of Cover and understand the changes that may affect the level and extent of your cover. </w:t>
      </w:r>
    </w:p>
    <w:p w14:paraId="38AFAAB7" w14:textId="77777777" w:rsidR="00BC6AB5" w:rsidRPr="00E10572" w:rsidRDefault="00BC6AB5" w:rsidP="00BC6AB5">
      <w:pPr>
        <w:pStyle w:val="Default"/>
        <w:rPr>
          <w:rFonts w:cstheme="minorBidi"/>
          <w:color w:val="000000" w:themeColor="text1"/>
          <w:sz w:val="22"/>
          <w:szCs w:val="22"/>
        </w:rPr>
      </w:pPr>
      <w:bookmarkStart w:id="0" w:name="_GoBack"/>
      <w:bookmarkEnd w:id="0"/>
    </w:p>
    <w:p w14:paraId="4634FB82" w14:textId="5886D3C7" w:rsidR="00BC6AB5" w:rsidRDefault="00BC6AB5" w:rsidP="00BC6AB5">
      <w:pPr>
        <w:pStyle w:val="Default"/>
        <w:rPr>
          <w:rFonts w:cstheme="minorBidi"/>
          <w:color w:val="auto"/>
          <w:sz w:val="22"/>
          <w:szCs w:val="22"/>
        </w:rPr>
      </w:pPr>
      <w:r w:rsidRPr="00E10572">
        <w:rPr>
          <w:rFonts w:cstheme="minorBidi"/>
          <w:color w:val="000000" w:themeColor="text1"/>
          <w:sz w:val="22"/>
          <w:szCs w:val="22"/>
        </w:rPr>
        <w:t>The Statement of Cover is a statement of the policy</w:t>
      </w:r>
      <w:r w:rsidRPr="00014623">
        <w:rPr>
          <w:rFonts w:cstheme="minorBidi"/>
          <w:color w:val="auto"/>
          <w:sz w:val="22"/>
          <w:szCs w:val="22"/>
        </w:rPr>
        <w:t xml:space="preserve"> under which Comcover manages and settles claims for funding losses on behalf of Fund Members and the Commonwealth more generally. </w:t>
      </w:r>
    </w:p>
    <w:p w14:paraId="00D4BCF3" w14:textId="1553EE7D" w:rsidR="00E10572" w:rsidRDefault="00E10572" w:rsidP="00BC6AB5">
      <w:pPr>
        <w:pStyle w:val="Default"/>
        <w:rPr>
          <w:rFonts w:cstheme="minorBidi"/>
          <w:color w:val="auto"/>
          <w:sz w:val="22"/>
          <w:szCs w:val="22"/>
        </w:rPr>
      </w:pPr>
    </w:p>
    <w:p w14:paraId="4FF0DEBE" w14:textId="19DBC44E" w:rsidR="00E10572" w:rsidRPr="00014623" w:rsidRDefault="00E10572" w:rsidP="00BC6AB5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Changes to the Statement of Cover from 1 October 2017 relate to </w:t>
      </w:r>
      <w:r w:rsidR="001A40A7">
        <w:rPr>
          <w:rFonts w:cstheme="minorBidi"/>
          <w:color w:val="auto"/>
          <w:sz w:val="22"/>
          <w:szCs w:val="22"/>
        </w:rPr>
        <w:t xml:space="preserve">section </w:t>
      </w:r>
      <w:r>
        <w:rPr>
          <w:rFonts w:cstheme="minorBidi"/>
          <w:color w:val="auto"/>
          <w:sz w:val="22"/>
          <w:szCs w:val="22"/>
        </w:rPr>
        <w:t>16, Expatriate.</w:t>
      </w:r>
      <w:r w:rsidR="00CA7E5A">
        <w:rPr>
          <w:rFonts w:cstheme="minorBidi"/>
          <w:color w:val="auto"/>
          <w:sz w:val="22"/>
          <w:szCs w:val="22"/>
        </w:rPr>
        <w:t xml:space="preserve"> A change was also made to section 3 Conditions of Cover to reflect the updated terms and conditions in section 16. </w:t>
      </w:r>
    </w:p>
    <w:p w14:paraId="2352E2AE" w14:textId="6256AE16" w:rsidR="00BC6AB5" w:rsidRPr="00014623" w:rsidRDefault="00BC6AB5" w:rsidP="00BC6AB5">
      <w:pPr>
        <w:pStyle w:val="Default"/>
        <w:rPr>
          <w:rFonts w:cstheme="minorBidi"/>
          <w:color w:val="auto"/>
          <w:sz w:val="22"/>
          <w:szCs w:val="22"/>
        </w:rPr>
      </w:pPr>
    </w:p>
    <w:p w14:paraId="6442641C" w14:textId="47774D36" w:rsidR="00931029" w:rsidRPr="00014623" w:rsidRDefault="00BC6AB5" w:rsidP="00771A63">
      <w:pPr>
        <w:spacing w:after="240"/>
        <w:rPr>
          <w:rFonts w:ascii="Calibri" w:hAnsi="Calibri"/>
        </w:rPr>
      </w:pPr>
      <w:r w:rsidRPr="00014623">
        <w:rPr>
          <w:rFonts w:ascii="Calibri" w:hAnsi="Calibri"/>
        </w:rPr>
        <w:t xml:space="preserve">Notable changes in the </w:t>
      </w:r>
      <w:r w:rsidR="00D76A6E" w:rsidRPr="00A84A85">
        <w:rPr>
          <w:rFonts w:ascii="Calibri" w:hAnsi="Calibri"/>
          <w:i/>
        </w:rPr>
        <w:t xml:space="preserve">Comcover </w:t>
      </w:r>
      <w:r w:rsidRPr="00A84A85">
        <w:rPr>
          <w:rFonts w:ascii="Calibri" w:hAnsi="Calibri"/>
          <w:i/>
        </w:rPr>
        <w:t>Statement of Cover</w:t>
      </w:r>
      <w:r w:rsidRPr="00014623">
        <w:rPr>
          <w:rFonts w:ascii="Calibri" w:hAnsi="Calibri"/>
        </w:rPr>
        <w:t xml:space="preserve"> </w:t>
      </w:r>
      <w:r w:rsidR="00D76A6E" w:rsidRPr="00014623">
        <w:rPr>
          <w:rFonts w:ascii="Calibri" w:hAnsi="Calibri"/>
          <w:i/>
          <w:color w:val="000000" w:themeColor="text1"/>
        </w:rPr>
        <w:t>2017-18</w:t>
      </w:r>
      <w:r w:rsidR="00D76A6E" w:rsidRPr="00014623">
        <w:rPr>
          <w:rFonts w:ascii="Calibri" w:hAnsi="Calibri"/>
          <w:color w:val="000000" w:themeColor="text1"/>
        </w:rPr>
        <w:t xml:space="preserve"> </w:t>
      </w:r>
      <w:r w:rsidRPr="00014623">
        <w:rPr>
          <w:rFonts w:ascii="Calibri" w:hAnsi="Calibri"/>
        </w:rPr>
        <w:t>include:</w:t>
      </w:r>
    </w:p>
    <w:p w14:paraId="49C288C8" w14:textId="2E89A151" w:rsidR="00931029" w:rsidRPr="00014623" w:rsidRDefault="00931029" w:rsidP="00931029">
      <w:pPr>
        <w:pStyle w:val="Heading3"/>
        <w:tabs>
          <w:tab w:val="left" w:pos="567"/>
        </w:tabs>
        <w:spacing w:before="0" w:after="240" w:line="240" w:lineRule="exact"/>
        <w:contextualSpacing w:val="0"/>
        <w:rPr>
          <w:rFonts w:ascii="Calibri" w:hAnsi="Calibri"/>
          <w:smallCaps/>
          <w:color w:val="77B6BD" w:themeColor="accent1" w:themeShade="BF"/>
          <w:sz w:val="24"/>
          <w:szCs w:val="24"/>
        </w:rPr>
      </w:pPr>
      <w:r w:rsidRPr="00014623">
        <w:rPr>
          <w:rFonts w:ascii="Calibri" w:hAnsi="Calibri"/>
          <w:smallCaps/>
          <w:color w:val="77B6BD" w:themeColor="accent1" w:themeShade="BF"/>
          <w:sz w:val="24"/>
          <w:szCs w:val="24"/>
        </w:rPr>
        <w:t>Chapter 1 – Preamble</w:t>
      </w:r>
    </w:p>
    <w:p w14:paraId="4706450F" w14:textId="77777777" w:rsidR="00931029" w:rsidRPr="00014623" w:rsidRDefault="00931029" w:rsidP="00931029">
      <w:pPr>
        <w:pStyle w:val="Heading3"/>
        <w:tabs>
          <w:tab w:val="left" w:pos="993"/>
        </w:tabs>
        <w:spacing w:before="120" w:line="240" w:lineRule="auto"/>
        <w:ind w:left="851" w:hanging="851"/>
        <w:rPr>
          <w:rFonts w:ascii="Calibri" w:hAnsi="Calibri"/>
          <w:b/>
          <w:color w:val="000000" w:themeColor="text1"/>
          <w:sz w:val="22"/>
          <w:szCs w:val="22"/>
        </w:rPr>
      </w:pPr>
      <w:r w:rsidRPr="00014623">
        <w:rPr>
          <w:rFonts w:ascii="Calibri" w:hAnsi="Calibri"/>
          <w:b/>
          <w:color w:val="000000" w:themeColor="text1"/>
          <w:sz w:val="22"/>
          <w:szCs w:val="22"/>
        </w:rPr>
        <w:t>3.</w:t>
      </w:r>
      <w:r w:rsidRPr="00014623">
        <w:rPr>
          <w:rFonts w:ascii="Calibri" w:hAnsi="Calibri"/>
          <w:b/>
          <w:color w:val="000000" w:themeColor="text1"/>
          <w:sz w:val="22"/>
          <w:szCs w:val="22"/>
        </w:rPr>
        <w:tab/>
        <w:t>Conditions of Cover</w:t>
      </w:r>
    </w:p>
    <w:p w14:paraId="31789204" w14:textId="3FAE01BB" w:rsidR="008214B9" w:rsidRDefault="00342723">
      <w:pPr>
        <w:pStyle w:val="BodyText1"/>
        <w:tabs>
          <w:tab w:val="left" w:pos="993"/>
          <w:tab w:val="left" w:pos="1134"/>
        </w:tabs>
        <w:ind w:left="851" w:hanging="851"/>
        <w:rPr>
          <w:rFonts w:ascii="Calibri" w:hAnsi="Calibri"/>
          <w:color w:val="000000" w:themeColor="text1"/>
          <w:szCs w:val="22"/>
        </w:rPr>
      </w:pPr>
      <w:r>
        <w:rPr>
          <w:rFonts w:ascii="Calibri" w:hAnsi="Calibri"/>
          <w:color w:val="000000" w:themeColor="text1"/>
          <w:szCs w:val="22"/>
        </w:rPr>
        <w:t>3(3</w:t>
      </w:r>
      <w:proofErr w:type="gramStart"/>
      <w:r>
        <w:rPr>
          <w:rFonts w:ascii="Calibri" w:hAnsi="Calibri"/>
          <w:color w:val="000000" w:themeColor="text1"/>
          <w:szCs w:val="22"/>
        </w:rPr>
        <w:t>)(</w:t>
      </w:r>
      <w:proofErr w:type="gramEnd"/>
      <w:r>
        <w:rPr>
          <w:rFonts w:ascii="Calibri" w:hAnsi="Calibri"/>
          <w:color w:val="000000" w:themeColor="text1"/>
          <w:szCs w:val="22"/>
        </w:rPr>
        <w:t>h)</w:t>
      </w:r>
      <w:r>
        <w:rPr>
          <w:rFonts w:ascii="Calibri" w:hAnsi="Calibri"/>
          <w:color w:val="000000" w:themeColor="text1"/>
          <w:szCs w:val="22"/>
        </w:rPr>
        <w:tab/>
        <w:t>Deleted “</w:t>
      </w:r>
      <w:r w:rsidRPr="00E10572">
        <w:rPr>
          <w:rFonts w:ascii="Calibri" w:hAnsi="Calibri"/>
          <w:i/>
          <w:color w:val="000000" w:themeColor="text1"/>
          <w:szCs w:val="22"/>
        </w:rPr>
        <w:t>and notification to Comcover of any pre-existing conditions prior to deployment</w:t>
      </w:r>
      <w:r>
        <w:rPr>
          <w:rFonts w:ascii="Calibri" w:hAnsi="Calibri"/>
          <w:color w:val="000000" w:themeColor="text1"/>
          <w:szCs w:val="22"/>
        </w:rPr>
        <w:t xml:space="preserve">”.  This section </w:t>
      </w:r>
      <w:r w:rsidR="001A40A7">
        <w:rPr>
          <w:rFonts w:ascii="Calibri" w:hAnsi="Calibri"/>
          <w:color w:val="000000" w:themeColor="text1"/>
          <w:szCs w:val="22"/>
        </w:rPr>
        <w:t xml:space="preserve">now </w:t>
      </w:r>
      <w:r>
        <w:rPr>
          <w:rFonts w:ascii="Calibri" w:hAnsi="Calibri"/>
          <w:color w:val="000000" w:themeColor="text1"/>
          <w:szCs w:val="22"/>
        </w:rPr>
        <w:t xml:space="preserve">recognises the </w:t>
      </w:r>
      <w:r w:rsidR="00E10572">
        <w:rPr>
          <w:rFonts w:ascii="Calibri" w:hAnsi="Calibri"/>
          <w:color w:val="000000" w:themeColor="text1"/>
          <w:szCs w:val="22"/>
        </w:rPr>
        <w:t xml:space="preserve">option </w:t>
      </w:r>
      <w:r>
        <w:rPr>
          <w:rFonts w:ascii="Calibri" w:hAnsi="Calibri"/>
          <w:color w:val="000000" w:themeColor="text1"/>
          <w:szCs w:val="22"/>
        </w:rPr>
        <w:t xml:space="preserve">from 1 October 2017 </w:t>
      </w:r>
      <w:r w:rsidR="00E10572">
        <w:rPr>
          <w:rFonts w:ascii="Calibri" w:hAnsi="Calibri"/>
          <w:color w:val="000000" w:themeColor="text1"/>
          <w:szCs w:val="22"/>
        </w:rPr>
        <w:t xml:space="preserve">for a Fund Member to take up </w:t>
      </w:r>
      <w:r>
        <w:rPr>
          <w:rFonts w:ascii="Calibri" w:hAnsi="Calibri"/>
          <w:color w:val="000000" w:themeColor="text1"/>
          <w:szCs w:val="22"/>
        </w:rPr>
        <w:t xml:space="preserve">supplementary </w:t>
      </w:r>
      <w:r w:rsidR="008214B9">
        <w:rPr>
          <w:rFonts w:ascii="Calibri" w:hAnsi="Calibri"/>
          <w:color w:val="000000" w:themeColor="text1"/>
          <w:szCs w:val="22"/>
        </w:rPr>
        <w:t>cover</w:t>
      </w:r>
      <w:r w:rsidR="002C4580">
        <w:rPr>
          <w:rFonts w:ascii="Calibri" w:hAnsi="Calibri"/>
          <w:color w:val="000000" w:themeColor="text1"/>
          <w:szCs w:val="22"/>
        </w:rPr>
        <w:t xml:space="preserve"> for the pre-existing conditions of expatriates</w:t>
      </w:r>
      <w:r>
        <w:rPr>
          <w:rFonts w:ascii="Calibri" w:hAnsi="Calibri"/>
          <w:color w:val="000000" w:themeColor="text1"/>
          <w:szCs w:val="22"/>
        </w:rPr>
        <w:t>.</w:t>
      </w:r>
      <w:r w:rsidR="001A40A7">
        <w:rPr>
          <w:rFonts w:ascii="Calibri" w:hAnsi="Calibri"/>
          <w:color w:val="000000" w:themeColor="text1"/>
          <w:szCs w:val="22"/>
        </w:rPr>
        <w:t xml:space="preserve"> This change also reflects that whe</w:t>
      </w:r>
      <w:r w:rsidR="00CA7E5A">
        <w:rPr>
          <w:rFonts w:ascii="Calibri" w:hAnsi="Calibri"/>
          <w:color w:val="000000" w:themeColor="text1"/>
          <w:szCs w:val="22"/>
        </w:rPr>
        <w:t>re a Fund Member has elected to not take out</w:t>
      </w:r>
      <w:r w:rsidR="001A40A7">
        <w:rPr>
          <w:rFonts w:ascii="Calibri" w:hAnsi="Calibri"/>
          <w:color w:val="000000" w:themeColor="text1"/>
          <w:szCs w:val="22"/>
        </w:rPr>
        <w:t xml:space="preserve"> supplementary cover, the Fund Member is no longer able to apply to Comcover for consideration of coverage of a pre-existing condition(s) for an individual expatriate.</w:t>
      </w:r>
    </w:p>
    <w:p w14:paraId="790498D8" w14:textId="114A8F26" w:rsidR="00342723" w:rsidRDefault="00342723">
      <w:pPr>
        <w:pStyle w:val="BodyText1"/>
        <w:tabs>
          <w:tab w:val="left" w:pos="993"/>
          <w:tab w:val="left" w:pos="1134"/>
        </w:tabs>
        <w:ind w:left="851" w:hanging="851"/>
        <w:rPr>
          <w:rFonts w:ascii="Calibri" w:hAnsi="Calibri"/>
          <w:color w:val="000000" w:themeColor="text1"/>
          <w:szCs w:val="22"/>
        </w:rPr>
      </w:pPr>
    </w:p>
    <w:p w14:paraId="4DAF65A5" w14:textId="5201FD13" w:rsidR="00014623" w:rsidRPr="00014623" w:rsidRDefault="00014623" w:rsidP="00014623">
      <w:pPr>
        <w:pStyle w:val="Heading3"/>
        <w:tabs>
          <w:tab w:val="left" w:pos="567"/>
        </w:tabs>
        <w:spacing w:after="240" w:line="240" w:lineRule="exact"/>
        <w:contextualSpacing w:val="0"/>
        <w:rPr>
          <w:rFonts w:ascii="Calibri" w:hAnsi="Calibri"/>
          <w:smallCaps/>
          <w:color w:val="77B6BD" w:themeColor="accent1" w:themeShade="BF"/>
          <w:sz w:val="24"/>
          <w:szCs w:val="24"/>
        </w:rPr>
      </w:pPr>
      <w:r w:rsidRPr="00014623">
        <w:rPr>
          <w:rFonts w:ascii="Calibri" w:hAnsi="Calibri"/>
          <w:smallCaps/>
          <w:color w:val="77B6BD" w:themeColor="accent1" w:themeShade="BF"/>
          <w:sz w:val="24"/>
          <w:szCs w:val="24"/>
        </w:rPr>
        <w:t xml:space="preserve">Chapter </w:t>
      </w:r>
      <w:r w:rsidR="002C4580">
        <w:rPr>
          <w:rFonts w:ascii="Calibri" w:hAnsi="Calibri"/>
          <w:smallCaps/>
          <w:color w:val="77B6BD" w:themeColor="accent1" w:themeShade="BF"/>
          <w:sz w:val="24"/>
          <w:szCs w:val="24"/>
        </w:rPr>
        <w:t>6</w:t>
      </w:r>
      <w:r w:rsidRPr="00014623">
        <w:rPr>
          <w:rFonts w:ascii="Calibri" w:hAnsi="Calibri"/>
          <w:smallCaps/>
          <w:color w:val="77B6BD" w:themeColor="accent1" w:themeShade="BF"/>
          <w:sz w:val="24"/>
          <w:szCs w:val="24"/>
        </w:rPr>
        <w:t xml:space="preserve"> – </w:t>
      </w:r>
      <w:r w:rsidR="002C4580">
        <w:rPr>
          <w:rFonts w:ascii="Calibri" w:hAnsi="Calibri"/>
          <w:smallCaps/>
          <w:color w:val="77B6BD" w:themeColor="accent1" w:themeShade="BF"/>
          <w:sz w:val="24"/>
          <w:szCs w:val="24"/>
        </w:rPr>
        <w:t>Personal Accident and Travel</w:t>
      </w:r>
      <w:r w:rsidRPr="00014623">
        <w:rPr>
          <w:rFonts w:ascii="Calibri" w:hAnsi="Calibri"/>
          <w:smallCaps/>
          <w:color w:val="77B6BD" w:themeColor="accent1" w:themeShade="BF"/>
          <w:sz w:val="24"/>
          <w:szCs w:val="24"/>
        </w:rPr>
        <w:t xml:space="preserve"> </w:t>
      </w:r>
    </w:p>
    <w:p w14:paraId="5CDB4C7F" w14:textId="4ECEB03A" w:rsidR="00014623" w:rsidRPr="00014623" w:rsidRDefault="002C4580" w:rsidP="00014623">
      <w:pPr>
        <w:pStyle w:val="Heading3"/>
        <w:tabs>
          <w:tab w:val="left" w:pos="993"/>
        </w:tabs>
        <w:spacing w:before="120" w:line="240" w:lineRule="auto"/>
        <w:ind w:left="851" w:hanging="851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>16</w:t>
      </w:r>
      <w:r w:rsidR="00014623" w:rsidRPr="00014623">
        <w:rPr>
          <w:rFonts w:ascii="Calibri" w:hAnsi="Calibri"/>
          <w:b/>
          <w:color w:val="000000" w:themeColor="text1"/>
          <w:sz w:val="22"/>
          <w:szCs w:val="22"/>
        </w:rPr>
        <w:t>.</w:t>
      </w:r>
      <w:r w:rsidR="00014623" w:rsidRPr="00014623">
        <w:rPr>
          <w:rFonts w:ascii="Calibri" w:hAnsi="Calibri"/>
          <w:b/>
          <w:color w:val="000000" w:themeColor="text1"/>
          <w:sz w:val="22"/>
          <w:szCs w:val="22"/>
        </w:rPr>
        <w:tab/>
      </w:r>
      <w:r>
        <w:rPr>
          <w:rFonts w:ascii="Calibri" w:hAnsi="Calibri"/>
          <w:b/>
          <w:color w:val="000000" w:themeColor="text1"/>
          <w:sz w:val="22"/>
          <w:szCs w:val="22"/>
        </w:rPr>
        <w:t>Expatriate</w:t>
      </w:r>
    </w:p>
    <w:p w14:paraId="5EA22674" w14:textId="426451E3" w:rsidR="00457EB7" w:rsidRDefault="002C4580" w:rsidP="006D4FCF">
      <w:pPr>
        <w:pStyle w:val="BodyText1"/>
        <w:tabs>
          <w:tab w:val="left" w:pos="993"/>
          <w:tab w:val="left" w:pos="1134"/>
        </w:tabs>
        <w:ind w:left="851" w:hanging="851"/>
        <w:rPr>
          <w:rFonts w:ascii="Calibri" w:hAnsi="Calibri"/>
          <w:color w:val="000000" w:themeColor="text1"/>
          <w:szCs w:val="22"/>
        </w:rPr>
      </w:pPr>
      <w:r>
        <w:rPr>
          <w:rFonts w:ascii="Calibri" w:hAnsi="Calibri"/>
          <w:color w:val="000000" w:themeColor="text1"/>
          <w:szCs w:val="22"/>
        </w:rPr>
        <w:t>16(1)</w:t>
      </w:r>
      <w:r w:rsidR="00014623" w:rsidRPr="00014623">
        <w:rPr>
          <w:rFonts w:ascii="Calibri" w:hAnsi="Calibri"/>
          <w:color w:val="000000" w:themeColor="text1"/>
          <w:szCs w:val="22"/>
        </w:rPr>
        <w:tab/>
      </w:r>
      <w:proofErr w:type="gramStart"/>
      <w:r>
        <w:rPr>
          <w:rFonts w:ascii="Calibri" w:hAnsi="Calibri"/>
          <w:color w:val="000000" w:themeColor="text1"/>
          <w:szCs w:val="22"/>
        </w:rPr>
        <w:t>Deleted</w:t>
      </w:r>
      <w:proofErr w:type="gramEnd"/>
      <w:r>
        <w:rPr>
          <w:rFonts w:ascii="Calibri" w:hAnsi="Calibri"/>
          <w:color w:val="000000" w:themeColor="text1"/>
          <w:szCs w:val="22"/>
        </w:rPr>
        <w:t xml:space="preserve"> “</w:t>
      </w:r>
      <w:r w:rsidRPr="00E10572">
        <w:rPr>
          <w:rFonts w:ascii="Calibri" w:hAnsi="Calibri"/>
          <w:i/>
          <w:color w:val="000000" w:themeColor="text1"/>
          <w:szCs w:val="22"/>
        </w:rPr>
        <w:t>less any excess shown on your Schedule of Cover, up to a maximum of 12 months per loss or claim from the date of first treatment</w:t>
      </w:r>
      <w:r>
        <w:rPr>
          <w:rFonts w:ascii="Calibri" w:hAnsi="Calibri"/>
          <w:color w:val="000000" w:themeColor="text1"/>
          <w:szCs w:val="22"/>
        </w:rPr>
        <w:t xml:space="preserve">”. </w:t>
      </w:r>
      <w:r w:rsidR="00EB0119">
        <w:rPr>
          <w:rFonts w:ascii="Calibri" w:hAnsi="Calibri"/>
          <w:color w:val="000000" w:themeColor="text1"/>
          <w:szCs w:val="22"/>
        </w:rPr>
        <w:t>This change recognises the</w:t>
      </w:r>
      <w:r>
        <w:rPr>
          <w:rFonts w:ascii="Calibri" w:hAnsi="Calibri"/>
          <w:color w:val="000000" w:themeColor="text1"/>
          <w:szCs w:val="22"/>
        </w:rPr>
        <w:t xml:space="preserve"> excess</w:t>
      </w:r>
      <w:r w:rsidR="008E52D1">
        <w:rPr>
          <w:rFonts w:ascii="Calibri" w:hAnsi="Calibri"/>
          <w:color w:val="000000" w:themeColor="text1"/>
          <w:szCs w:val="22"/>
        </w:rPr>
        <w:t xml:space="preserve"> </w:t>
      </w:r>
      <w:r>
        <w:rPr>
          <w:rFonts w:ascii="Calibri" w:hAnsi="Calibri"/>
          <w:color w:val="000000" w:themeColor="text1"/>
          <w:szCs w:val="22"/>
        </w:rPr>
        <w:t>of $50</w:t>
      </w:r>
      <w:r w:rsidR="008E52D1">
        <w:rPr>
          <w:rFonts w:ascii="Calibri" w:hAnsi="Calibri"/>
          <w:color w:val="000000" w:themeColor="text1"/>
          <w:szCs w:val="22"/>
        </w:rPr>
        <w:t xml:space="preserve"> </w:t>
      </w:r>
      <w:r>
        <w:rPr>
          <w:rFonts w:ascii="Calibri" w:hAnsi="Calibri"/>
          <w:color w:val="000000" w:themeColor="text1"/>
          <w:szCs w:val="22"/>
        </w:rPr>
        <w:t xml:space="preserve">and </w:t>
      </w:r>
      <w:r w:rsidR="008E52D1">
        <w:rPr>
          <w:rFonts w:ascii="Calibri" w:hAnsi="Calibri"/>
          <w:color w:val="000000" w:themeColor="text1"/>
          <w:szCs w:val="22"/>
        </w:rPr>
        <w:t>12 month cap</w:t>
      </w:r>
      <w:r>
        <w:rPr>
          <w:rFonts w:ascii="Calibri" w:hAnsi="Calibri"/>
          <w:color w:val="000000" w:themeColor="text1"/>
          <w:szCs w:val="22"/>
        </w:rPr>
        <w:t xml:space="preserve"> </w:t>
      </w:r>
      <w:r w:rsidR="008E52D1">
        <w:rPr>
          <w:rFonts w:ascii="Calibri" w:hAnsi="Calibri"/>
          <w:color w:val="000000" w:themeColor="text1"/>
          <w:szCs w:val="22"/>
        </w:rPr>
        <w:t>on the</w:t>
      </w:r>
      <w:r>
        <w:rPr>
          <w:rFonts w:ascii="Calibri" w:hAnsi="Calibri"/>
          <w:color w:val="000000" w:themeColor="text1"/>
          <w:szCs w:val="22"/>
        </w:rPr>
        <w:t xml:space="preserve"> </w:t>
      </w:r>
      <w:r w:rsidR="00E10572">
        <w:rPr>
          <w:rFonts w:ascii="Calibri" w:hAnsi="Calibri"/>
          <w:color w:val="000000" w:themeColor="text1"/>
          <w:szCs w:val="22"/>
        </w:rPr>
        <w:t xml:space="preserve">approval </w:t>
      </w:r>
      <w:r>
        <w:rPr>
          <w:rFonts w:ascii="Calibri" w:hAnsi="Calibri"/>
          <w:color w:val="000000" w:themeColor="text1"/>
          <w:szCs w:val="22"/>
        </w:rPr>
        <w:t xml:space="preserve">of </w:t>
      </w:r>
      <w:r w:rsidR="008E52D1">
        <w:rPr>
          <w:rFonts w:ascii="Calibri" w:hAnsi="Calibri"/>
          <w:color w:val="000000" w:themeColor="text1"/>
          <w:szCs w:val="22"/>
        </w:rPr>
        <w:t xml:space="preserve">an expatriate’s claimed </w:t>
      </w:r>
      <w:r>
        <w:rPr>
          <w:rFonts w:ascii="Calibri" w:hAnsi="Calibri"/>
          <w:color w:val="000000" w:themeColor="text1"/>
          <w:szCs w:val="22"/>
        </w:rPr>
        <w:t xml:space="preserve">expenses </w:t>
      </w:r>
      <w:r w:rsidR="00E10572">
        <w:rPr>
          <w:rFonts w:ascii="Calibri" w:hAnsi="Calibri"/>
          <w:color w:val="000000" w:themeColor="text1"/>
          <w:szCs w:val="22"/>
        </w:rPr>
        <w:t xml:space="preserve">being removed and </w:t>
      </w:r>
      <w:r>
        <w:rPr>
          <w:rFonts w:ascii="Calibri" w:hAnsi="Calibri"/>
          <w:color w:val="000000" w:themeColor="text1"/>
          <w:szCs w:val="22"/>
        </w:rPr>
        <w:t xml:space="preserve">applies to </w:t>
      </w:r>
      <w:r w:rsidR="00457EB7">
        <w:rPr>
          <w:rFonts w:ascii="Calibri" w:hAnsi="Calibri"/>
          <w:color w:val="000000" w:themeColor="text1"/>
          <w:szCs w:val="22"/>
        </w:rPr>
        <w:t>expatriate claims from 1 October 2017</w:t>
      </w:r>
      <w:r w:rsidR="008E52D1">
        <w:rPr>
          <w:rFonts w:ascii="Calibri" w:hAnsi="Calibri"/>
          <w:color w:val="000000" w:themeColor="text1"/>
          <w:szCs w:val="22"/>
        </w:rPr>
        <w:t xml:space="preserve">.  </w:t>
      </w:r>
      <w:r w:rsidR="00A84A85">
        <w:rPr>
          <w:rFonts w:ascii="Calibri" w:hAnsi="Calibri"/>
          <w:color w:val="000000" w:themeColor="text1"/>
          <w:szCs w:val="22"/>
        </w:rPr>
        <w:t>Schedules of Cover will be updated to reflect the changes.</w:t>
      </w:r>
    </w:p>
    <w:p w14:paraId="322E304E" w14:textId="23E1B5B6" w:rsidR="009A1F83" w:rsidRDefault="00457EB7" w:rsidP="00A84A85">
      <w:pPr>
        <w:pStyle w:val="BodyText1"/>
        <w:tabs>
          <w:tab w:val="left" w:pos="993"/>
          <w:tab w:val="left" w:pos="1134"/>
        </w:tabs>
        <w:ind w:left="851" w:hanging="851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  <w:szCs w:val="22"/>
        </w:rPr>
        <w:lastRenderedPageBreak/>
        <w:tab/>
      </w:r>
    </w:p>
    <w:p w14:paraId="252E5D66" w14:textId="30751E50" w:rsidR="00AD0B86" w:rsidRDefault="00DF6188" w:rsidP="0065311E">
      <w:pPr>
        <w:pStyle w:val="BodyText1"/>
        <w:tabs>
          <w:tab w:val="left" w:pos="993"/>
          <w:tab w:val="left" w:pos="1134"/>
        </w:tabs>
        <w:ind w:left="851" w:hanging="851"/>
        <w:rPr>
          <w:rFonts w:ascii="Calibri" w:hAnsi="Calibri"/>
          <w:color w:val="000000" w:themeColor="text1"/>
          <w:szCs w:val="22"/>
        </w:rPr>
      </w:pPr>
      <w:r>
        <w:rPr>
          <w:rFonts w:ascii="Calibri" w:hAnsi="Calibri"/>
          <w:color w:val="000000" w:themeColor="text1"/>
          <w:szCs w:val="22"/>
        </w:rPr>
        <w:t>16(4</w:t>
      </w:r>
      <w:proofErr w:type="gramStart"/>
      <w:r>
        <w:rPr>
          <w:rFonts w:ascii="Calibri" w:hAnsi="Calibri"/>
          <w:color w:val="000000" w:themeColor="text1"/>
          <w:szCs w:val="22"/>
        </w:rPr>
        <w:t>)(</w:t>
      </w:r>
      <w:proofErr w:type="gramEnd"/>
      <w:r>
        <w:rPr>
          <w:rFonts w:ascii="Calibri" w:hAnsi="Calibri"/>
          <w:color w:val="000000" w:themeColor="text1"/>
          <w:szCs w:val="22"/>
        </w:rPr>
        <w:t>g)</w:t>
      </w:r>
      <w:r>
        <w:rPr>
          <w:rFonts w:ascii="Calibri" w:hAnsi="Calibri"/>
          <w:color w:val="000000" w:themeColor="text1"/>
          <w:szCs w:val="22"/>
        </w:rPr>
        <w:tab/>
      </w:r>
      <w:r w:rsidR="0091783E" w:rsidRPr="009A1F83">
        <w:rPr>
          <w:rFonts w:ascii="Calibri" w:hAnsi="Calibri"/>
          <w:color w:val="000000" w:themeColor="text1"/>
          <w:szCs w:val="22"/>
        </w:rPr>
        <w:t>Deleted “</w:t>
      </w:r>
      <w:r w:rsidR="0091783E" w:rsidRPr="009A1F83">
        <w:rPr>
          <w:rFonts w:ascii="Calibri" w:hAnsi="Calibri"/>
          <w:i/>
          <w:color w:val="000000" w:themeColor="text1"/>
          <w:szCs w:val="22"/>
        </w:rPr>
        <w:t>not reviewed and agreed to by Comcover prior to deployment</w:t>
      </w:r>
      <w:r w:rsidR="00CA7E5A">
        <w:rPr>
          <w:rFonts w:ascii="Calibri" w:hAnsi="Calibri"/>
          <w:i/>
          <w:color w:val="000000" w:themeColor="text1"/>
          <w:szCs w:val="22"/>
        </w:rPr>
        <w:t>”</w:t>
      </w:r>
      <w:r w:rsidR="00CA7E5A">
        <w:rPr>
          <w:rFonts w:ascii="Calibri" w:hAnsi="Calibri"/>
          <w:color w:val="000000" w:themeColor="text1"/>
          <w:szCs w:val="22"/>
        </w:rPr>
        <w:t>.</w:t>
      </w:r>
      <w:r w:rsidR="002C236C" w:rsidRPr="009A1F83">
        <w:rPr>
          <w:rFonts w:ascii="Calibri" w:hAnsi="Calibri"/>
          <w:color w:val="000000" w:themeColor="text1"/>
          <w:szCs w:val="22"/>
        </w:rPr>
        <w:t xml:space="preserve">  </w:t>
      </w:r>
      <w:r w:rsidR="0091783E" w:rsidRPr="009A1F83">
        <w:rPr>
          <w:rFonts w:ascii="Calibri" w:hAnsi="Calibri"/>
          <w:color w:val="000000" w:themeColor="text1"/>
          <w:szCs w:val="22"/>
        </w:rPr>
        <w:t>Th</w:t>
      </w:r>
      <w:r w:rsidR="009A1F83">
        <w:rPr>
          <w:rFonts w:ascii="Calibri" w:hAnsi="Calibri"/>
          <w:color w:val="000000" w:themeColor="text1"/>
          <w:szCs w:val="22"/>
        </w:rPr>
        <w:t>is</w:t>
      </w:r>
      <w:r w:rsidR="0091783E" w:rsidRPr="009A1F83">
        <w:rPr>
          <w:rFonts w:ascii="Calibri" w:hAnsi="Calibri"/>
          <w:color w:val="000000" w:themeColor="text1"/>
          <w:szCs w:val="22"/>
        </w:rPr>
        <w:t xml:space="preserve"> change </w:t>
      </w:r>
      <w:r w:rsidR="00AD0B86" w:rsidRPr="009A1F83">
        <w:rPr>
          <w:rFonts w:ascii="Calibri" w:hAnsi="Calibri"/>
          <w:color w:val="000000" w:themeColor="text1"/>
          <w:szCs w:val="22"/>
        </w:rPr>
        <w:t>recognise</w:t>
      </w:r>
      <w:r w:rsidR="00A84A85">
        <w:rPr>
          <w:rFonts w:ascii="Calibri" w:hAnsi="Calibri"/>
          <w:color w:val="000000" w:themeColor="text1"/>
          <w:szCs w:val="22"/>
        </w:rPr>
        <w:t>s</w:t>
      </w:r>
      <w:r w:rsidR="00AD0B86" w:rsidRPr="009A1F83">
        <w:rPr>
          <w:rFonts w:ascii="Calibri" w:hAnsi="Calibri"/>
          <w:color w:val="000000" w:themeColor="text1"/>
          <w:szCs w:val="22"/>
        </w:rPr>
        <w:t xml:space="preserve"> </w:t>
      </w:r>
      <w:r w:rsidR="002C236C" w:rsidRPr="009A1F83">
        <w:rPr>
          <w:rFonts w:ascii="Calibri" w:hAnsi="Calibri"/>
          <w:color w:val="000000" w:themeColor="text1"/>
          <w:szCs w:val="22"/>
        </w:rPr>
        <w:t>that approval is no longer required to accept liability for a pre-existing condition, provided the Fund</w:t>
      </w:r>
      <w:r w:rsidR="002C236C">
        <w:rPr>
          <w:rFonts w:ascii="Calibri" w:hAnsi="Calibri"/>
          <w:color w:val="000000" w:themeColor="text1"/>
          <w:szCs w:val="22"/>
        </w:rPr>
        <w:t xml:space="preserve"> Member has opted in for supplementary cover</w:t>
      </w:r>
      <w:r w:rsidR="00AD0B86">
        <w:rPr>
          <w:rFonts w:ascii="Calibri" w:hAnsi="Calibri"/>
          <w:color w:val="000000" w:themeColor="text1"/>
          <w:szCs w:val="22"/>
        </w:rPr>
        <w:t xml:space="preserve">.  </w:t>
      </w:r>
    </w:p>
    <w:p w14:paraId="630D10A3" w14:textId="48430153" w:rsidR="009A1F83" w:rsidRDefault="00AD0B86" w:rsidP="00E10572">
      <w:pPr>
        <w:pStyle w:val="BodyText1"/>
        <w:tabs>
          <w:tab w:val="left" w:pos="993"/>
          <w:tab w:val="left" w:pos="1134"/>
        </w:tabs>
        <w:spacing w:before="240"/>
        <w:ind w:left="851" w:hanging="851"/>
        <w:rPr>
          <w:rFonts w:ascii="Calibri" w:hAnsi="Calibri"/>
          <w:color w:val="000000" w:themeColor="text1"/>
          <w:szCs w:val="22"/>
        </w:rPr>
      </w:pPr>
      <w:r>
        <w:rPr>
          <w:rFonts w:ascii="Calibri" w:hAnsi="Calibri"/>
          <w:color w:val="000000" w:themeColor="text1"/>
          <w:szCs w:val="22"/>
        </w:rPr>
        <w:tab/>
      </w:r>
      <w:r w:rsidR="009A1F83">
        <w:rPr>
          <w:rFonts w:ascii="Calibri" w:hAnsi="Calibri"/>
          <w:color w:val="000000" w:themeColor="text1"/>
          <w:szCs w:val="22"/>
        </w:rPr>
        <w:t xml:space="preserve">Added </w:t>
      </w:r>
      <w:r w:rsidR="009A1F83" w:rsidRPr="009A1F83">
        <w:rPr>
          <w:rFonts w:ascii="Calibri" w:hAnsi="Calibri"/>
          <w:color w:val="000000" w:themeColor="text1"/>
          <w:szCs w:val="22"/>
        </w:rPr>
        <w:t>Note 16 “</w:t>
      </w:r>
      <w:r w:rsidR="009A1F83" w:rsidRPr="00357B72">
        <w:rPr>
          <w:rFonts w:ascii="Calibri" w:hAnsi="Calibri"/>
          <w:i/>
        </w:rPr>
        <w:t xml:space="preserve">This exclusion does not apply when </w:t>
      </w:r>
      <w:r w:rsidR="009A1F83" w:rsidRPr="00357B72">
        <w:rPr>
          <w:rFonts w:ascii="Calibri" w:hAnsi="Calibri"/>
          <w:b/>
          <w:i/>
        </w:rPr>
        <w:t>you</w:t>
      </w:r>
      <w:r w:rsidR="009A1F83" w:rsidRPr="00357B72">
        <w:rPr>
          <w:rFonts w:ascii="Calibri" w:hAnsi="Calibri"/>
          <w:i/>
        </w:rPr>
        <w:t xml:space="preserve"> have elected to receive supplementary pre-existing condition Expatriate cover and is noted on </w:t>
      </w:r>
      <w:r w:rsidR="009A1F83" w:rsidRPr="00357B72">
        <w:rPr>
          <w:rFonts w:ascii="Calibri" w:hAnsi="Calibri"/>
          <w:b/>
          <w:i/>
        </w:rPr>
        <w:t>your</w:t>
      </w:r>
      <w:r w:rsidR="009A1F83" w:rsidRPr="00357B72">
        <w:rPr>
          <w:rFonts w:ascii="Calibri" w:hAnsi="Calibri"/>
          <w:i/>
        </w:rPr>
        <w:t xml:space="preserve"> </w:t>
      </w:r>
      <w:r w:rsidR="009A1F83" w:rsidRPr="00357B72">
        <w:rPr>
          <w:rFonts w:ascii="Calibri" w:hAnsi="Calibri"/>
          <w:b/>
          <w:i/>
        </w:rPr>
        <w:t>Schedule of Cover</w:t>
      </w:r>
      <w:r w:rsidR="009A1F83" w:rsidRPr="00357B72">
        <w:rPr>
          <w:rFonts w:ascii="Calibri" w:hAnsi="Calibri"/>
        </w:rPr>
        <w:t xml:space="preserve">” </w:t>
      </w:r>
      <w:r w:rsidR="009A1F83" w:rsidRPr="009A1F83">
        <w:rPr>
          <w:rFonts w:ascii="Calibri" w:hAnsi="Calibri"/>
          <w:color w:val="000000" w:themeColor="text1"/>
          <w:szCs w:val="22"/>
        </w:rPr>
        <w:t xml:space="preserve">has been added to recognise the exclusion of expenses resulting from pre-existing conditions will still apply to Fund Members </w:t>
      </w:r>
      <w:r w:rsidR="009A1F83" w:rsidRPr="00357B72">
        <w:rPr>
          <w:rFonts w:ascii="Calibri" w:hAnsi="Calibri"/>
          <w:color w:val="000000" w:themeColor="text1"/>
          <w:szCs w:val="22"/>
        </w:rPr>
        <w:t xml:space="preserve">that </w:t>
      </w:r>
      <w:r w:rsidR="00CA7E5A">
        <w:rPr>
          <w:rFonts w:ascii="Calibri" w:hAnsi="Calibri"/>
          <w:color w:val="000000" w:themeColor="text1"/>
          <w:szCs w:val="22"/>
        </w:rPr>
        <w:t>did not elect to take</w:t>
      </w:r>
      <w:r w:rsidR="009A1F83" w:rsidRPr="00357B72">
        <w:rPr>
          <w:rFonts w:ascii="Calibri" w:hAnsi="Calibri"/>
          <w:color w:val="000000" w:themeColor="text1"/>
          <w:szCs w:val="22"/>
        </w:rPr>
        <w:t xml:space="preserve"> </w:t>
      </w:r>
      <w:r w:rsidR="009A1F83">
        <w:rPr>
          <w:rFonts w:ascii="Calibri" w:hAnsi="Calibri"/>
          <w:color w:val="000000" w:themeColor="text1"/>
          <w:szCs w:val="22"/>
        </w:rPr>
        <w:t>expatriate</w:t>
      </w:r>
      <w:r w:rsidR="009A1F83" w:rsidRPr="00357B72">
        <w:rPr>
          <w:rFonts w:ascii="Calibri" w:hAnsi="Calibri"/>
          <w:color w:val="000000" w:themeColor="text1"/>
          <w:szCs w:val="22"/>
        </w:rPr>
        <w:t xml:space="preserve"> supplementary cover.</w:t>
      </w:r>
    </w:p>
    <w:p w14:paraId="39804395" w14:textId="6D8C9532" w:rsidR="006D4FCF" w:rsidRPr="00014623" w:rsidRDefault="009A1F83" w:rsidP="00E10572">
      <w:pPr>
        <w:pStyle w:val="BodyText1"/>
        <w:tabs>
          <w:tab w:val="left" w:pos="993"/>
          <w:tab w:val="left" w:pos="1134"/>
        </w:tabs>
        <w:spacing w:before="240"/>
        <w:ind w:left="851" w:hanging="851"/>
        <w:rPr>
          <w:rFonts w:ascii="Calibri" w:hAnsi="Calibri"/>
          <w:color w:val="000000" w:themeColor="text1"/>
          <w:szCs w:val="22"/>
        </w:rPr>
      </w:pPr>
      <w:r>
        <w:rPr>
          <w:rFonts w:ascii="Calibri" w:hAnsi="Calibri"/>
          <w:color w:val="000000" w:themeColor="text1"/>
          <w:szCs w:val="22"/>
        </w:rPr>
        <w:tab/>
      </w:r>
      <w:r w:rsidR="00AD0B86">
        <w:rPr>
          <w:rFonts w:ascii="Calibri" w:hAnsi="Calibri"/>
          <w:color w:val="000000" w:themeColor="text1"/>
          <w:szCs w:val="22"/>
        </w:rPr>
        <w:t>The words “</w:t>
      </w:r>
      <w:r w:rsidR="00AD0B86" w:rsidRPr="009A1F83">
        <w:rPr>
          <w:rFonts w:ascii="Calibri" w:hAnsi="Calibri"/>
          <w:i/>
          <w:color w:val="000000" w:themeColor="text1"/>
          <w:szCs w:val="22"/>
        </w:rPr>
        <w:t>but does not include prescription spectacles and contact lenses</w:t>
      </w:r>
      <w:r w:rsidR="00AD0B86">
        <w:rPr>
          <w:rFonts w:ascii="Calibri" w:hAnsi="Calibri"/>
          <w:color w:val="000000" w:themeColor="text1"/>
          <w:szCs w:val="22"/>
        </w:rPr>
        <w:t xml:space="preserve">” have been added to the end of 16(4)(g) to confirm </w:t>
      </w:r>
      <w:proofErr w:type="spellStart"/>
      <w:r w:rsidR="00AD0B86">
        <w:rPr>
          <w:rFonts w:ascii="Calibri" w:hAnsi="Calibri"/>
          <w:color w:val="000000" w:themeColor="text1"/>
          <w:szCs w:val="22"/>
        </w:rPr>
        <w:t>Comcover’s</w:t>
      </w:r>
      <w:proofErr w:type="spellEnd"/>
      <w:r w:rsidR="00AD0B86">
        <w:rPr>
          <w:rFonts w:ascii="Calibri" w:hAnsi="Calibri"/>
          <w:color w:val="000000" w:themeColor="text1"/>
          <w:szCs w:val="22"/>
        </w:rPr>
        <w:t xml:space="preserve"> practice in covering the costs of prescription spectacles and contact lenses for all Fund Members.  </w:t>
      </w:r>
    </w:p>
    <w:p w14:paraId="5AD6CF1A" w14:textId="3AA0AD88" w:rsidR="00014623" w:rsidRPr="001B2283" w:rsidRDefault="00AD0B86" w:rsidP="00014623">
      <w:pPr>
        <w:pStyle w:val="BodyText1"/>
        <w:rPr>
          <w:rFonts w:ascii="Calibri" w:hAnsi="Calibri"/>
          <w:szCs w:val="22"/>
        </w:rPr>
      </w:pPr>
      <w:r>
        <w:rPr>
          <w:rFonts w:ascii="Calibri" w:hAnsi="Calibri"/>
          <w:color w:val="000000" w:themeColor="text1"/>
          <w:szCs w:val="22"/>
        </w:rPr>
        <w:t xml:space="preserve">As usual, Fund Members should note this </w:t>
      </w:r>
      <w:r w:rsidR="00014623" w:rsidRPr="001B2283">
        <w:rPr>
          <w:rFonts w:ascii="Calibri" w:hAnsi="Calibri"/>
          <w:szCs w:val="22"/>
        </w:rPr>
        <w:t xml:space="preserve">summary </w:t>
      </w:r>
      <w:r>
        <w:rPr>
          <w:rFonts w:ascii="Calibri" w:hAnsi="Calibri"/>
          <w:szCs w:val="22"/>
        </w:rPr>
        <w:t xml:space="preserve">of changes </w:t>
      </w:r>
      <w:r w:rsidR="00014623" w:rsidRPr="001B2283">
        <w:rPr>
          <w:rFonts w:ascii="Calibri" w:hAnsi="Calibri"/>
          <w:szCs w:val="22"/>
        </w:rPr>
        <w:t xml:space="preserve">is not definitive and decisions relating to coverage </w:t>
      </w:r>
      <w:r w:rsidR="002C236C">
        <w:rPr>
          <w:rFonts w:ascii="Calibri" w:hAnsi="Calibri"/>
          <w:szCs w:val="22"/>
        </w:rPr>
        <w:t>of</w:t>
      </w:r>
      <w:r w:rsidR="002C236C" w:rsidRPr="001B2283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an expatriate’s </w:t>
      </w:r>
      <w:r w:rsidR="00EB0627">
        <w:rPr>
          <w:rFonts w:ascii="Calibri" w:hAnsi="Calibri"/>
          <w:szCs w:val="22"/>
        </w:rPr>
        <w:t xml:space="preserve">claim </w:t>
      </w:r>
      <w:r w:rsidR="00014623" w:rsidRPr="001B2283">
        <w:rPr>
          <w:rFonts w:ascii="Calibri" w:hAnsi="Calibri"/>
          <w:szCs w:val="22"/>
        </w:rPr>
        <w:t xml:space="preserve">will </w:t>
      </w:r>
      <w:r>
        <w:rPr>
          <w:rFonts w:ascii="Calibri" w:hAnsi="Calibri"/>
          <w:szCs w:val="22"/>
        </w:rPr>
        <w:t xml:space="preserve">depend </w:t>
      </w:r>
      <w:r w:rsidR="00EB0627">
        <w:rPr>
          <w:rFonts w:ascii="Calibri" w:hAnsi="Calibri"/>
          <w:szCs w:val="22"/>
        </w:rPr>
        <w:t>on</w:t>
      </w:r>
      <w:r w:rsidR="00014623" w:rsidRPr="001B2283">
        <w:rPr>
          <w:rFonts w:ascii="Calibri" w:hAnsi="Calibri"/>
          <w:szCs w:val="22"/>
        </w:rPr>
        <w:t xml:space="preserve"> the wording of </w:t>
      </w:r>
      <w:r w:rsidR="00EB0627">
        <w:rPr>
          <w:rFonts w:ascii="Calibri" w:hAnsi="Calibri"/>
          <w:szCs w:val="22"/>
        </w:rPr>
        <w:t>the Fund Member’s</w:t>
      </w:r>
      <w:r w:rsidR="00014623" w:rsidRPr="001B2283">
        <w:rPr>
          <w:rFonts w:ascii="Calibri" w:hAnsi="Calibri"/>
          <w:szCs w:val="22"/>
        </w:rPr>
        <w:t xml:space="preserve"> </w:t>
      </w:r>
      <w:r w:rsidR="00EB0627">
        <w:rPr>
          <w:rFonts w:ascii="Calibri" w:hAnsi="Calibri"/>
          <w:szCs w:val="22"/>
        </w:rPr>
        <w:t>Schedule</w:t>
      </w:r>
      <w:r w:rsidR="00EB0627" w:rsidRPr="001B2283">
        <w:rPr>
          <w:rFonts w:ascii="Calibri" w:hAnsi="Calibri"/>
          <w:szCs w:val="22"/>
        </w:rPr>
        <w:t xml:space="preserve"> </w:t>
      </w:r>
      <w:r w:rsidR="00014623" w:rsidRPr="001B2283">
        <w:rPr>
          <w:rFonts w:ascii="Calibri" w:hAnsi="Calibri"/>
          <w:szCs w:val="22"/>
        </w:rPr>
        <w:t>of Cover</w:t>
      </w:r>
      <w:r w:rsidR="00EB0627">
        <w:rPr>
          <w:rFonts w:ascii="Calibri" w:hAnsi="Calibri"/>
          <w:szCs w:val="22"/>
        </w:rPr>
        <w:t xml:space="preserve"> and the expatriate claimant’s </w:t>
      </w:r>
      <w:r w:rsidR="00EB0627" w:rsidRPr="001B2283">
        <w:rPr>
          <w:rFonts w:ascii="Calibri" w:hAnsi="Calibri"/>
          <w:szCs w:val="22"/>
        </w:rPr>
        <w:t>specific circumstance</w:t>
      </w:r>
      <w:r w:rsidR="00EB0627">
        <w:rPr>
          <w:rFonts w:ascii="Calibri" w:hAnsi="Calibri"/>
          <w:szCs w:val="22"/>
        </w:rPr>
        <w:t>s</w:t>
      </w:r>
      <w:r w:rsidR="00014623" w:rsidRPr="001B2283">
        <w:rPr>
          <w:rFonts w:ascii="Calibri" w:hAnsi="Calibri"/>
          <w:szCs w:val="22"/>
        </w:rPr>
        <w:t xml:space="preserve">.  </w:t>
      </w:r>
    </w:p>
    <w:p w14:paraId="131DAE63" w14:textId="59DA99AC" w:rsidR="00014623" w:rsidRPr="00B67B81" w:rsidRDefault="00014623" w:rsidP="00B67B81">
      <w:pPr>
        <w:pStyle w:val="BodyText1"/>
        <w:spacing w:after="0"/>
        <w:rPr>
          <w:rFonts w:ascii="Calibri" w:hAnsi="Calibri"/>
          <w:szCs w:val="22"/>
        </w:rPr>
      </w:pPr>
      <w:r w:rsidRPr="00B67B81">
        <w:rPr>
          <w:rFonts w:ascii="Calibri" w:hAnsi="Calibri"/>
          <w:szCs w:val="22"/>
        </w:rPr>
        <w:t>If you require any further information, please contact</w:t>
      </w:r>
      <w:r w:rsidR="00A84A85">
        <w:rPr>
          <w:rFonts w:ascii="Calibri" w:hAnsi="Calibri"/>
          <w:szCs w:val="22"/>
        </w:rPr>
        <w:t xml:space="preserve"> the Expatriate Team at expat@finance.gov.au</w:t>
      </w:r>
    </w:p>
    <w:p w14:paraId="36B9A215" w14:textId="68FFF86B" w:rsidR="00931029" w:rsidRPr="00014623" w:rsidRDefault="00931029" w:rsidP="007E3DB5">
      <w:pPr>
        <w:rPr>
          <w:rFonts w:ascii="Calibri" w:hAnsi="Calibri"/>
        </w:rPr>
      </w:pPr>
    </w:p>
    <w:sectPr w:rsidR="00931029" w:rsidRPr="00014623" w:rsidSect="0039715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68869" w14:textId="77777777" w:rsidR="00802117" w:rsidRDefault="00802117" w:rsidP="00EF4574">
      <w:pPr>
        <w:spacing w:before="0" w:after="0" w:line="240" w:lineRule="auto"/>
      </w:pPr>
      <w:r>
        <w:separator/>
      </w:r>
    </w:p>
  </w:endnote>
  <w:endnote w:type="continuationSeparator" w:id="0">
    <w:p w14:paraId="74DB5D1C" w14:textId="77777777" w:rsidR="00802117" w:rsidRDefault="00802117" w:rsidP="00EF4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6B3CB" w14:textId="64B743A3" w:rsidR="00DB6D69" w:rsidRDefault="005970EA" w:rsidP="0039715A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985D7B">
      <w:rPr>
        <w:noProof/>
      </w:rPr>
      <w:t>1</w:t>
    </w:r>
    <w:r>
      <w:rPr>
        <w:noProof/>
      </w:rPr>
      <w:fldChar w:fldCharType="end"/>
    </w:r>
  </w:p>
  <w:p w14:paraId="779C3A14" w14:textId="105453D0" w:rsidR="000A6A8B" w:rsidRPr="000A6A8B" w:rsidRDefault="000A6A8B" w:rsidP="000A6A8B">
    <w:pPr>
      <w:pStyle w:val="Footer"/>
      <w:jc w:val="center"/>
      <w:rPr>
        <w:rStyle w:val="Classificatio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650D" w14:textId="77777777" w:rsidR="000A6A8B" w:rsidRDefault="000A6A8B">
    <w:pPr>
      <w:pStyle w:val="Footer"/>
    </w:pPr>
  </w:p>
  <w:sdt>
    <w:sdtPr>
      <w:rPr>
        <w:rStyle w:val="Classification"/>
      </w:rPr>
      <w:alias w:val="Status"/>
      <w:tag w:val=""/>
      <w:id w:val="2082102769"/>
      <w:placeholder>
        <w:docPart w:val="85FCF50EFA584C32A9291D76744CD17A"/>
      </w:placeholder>
      <w:showingPlcHdr/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>
      <w:rPr>
        <w:rStyle w:val="Classification"/>
      </w:rPr>
    </w:sdtEndPr>
    <w:sdtContent>
      <w:p w14:paraId="24115CBF" w14:textId="4BAF8E6D" w:rsidR="000A6A8B" w:rsidRDefault="000412D6" w:rsidP="000A6A8B">
        <w:pPr>
          <w:pStyle w:val="Footer"/>
          <w:jc w:val="center"/>
          <w:rPr>
            <w:rStyle w:val="Classification"/>
          </w:rPr>
        </w:pPr>
        <w:r w:rsidRPr="006009C9">
          <w:rPr>
            <w:rStyle w:val="PlaceholderText"/>
          </w:rPr>
          <w:t>[Status]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0FD44" w14:textId="77777777" w:rsidR="00802117" w:rsidRDefault="00802117" w:rsidP="0020122A">
      <w:pPr>
        <w:pStyle w:val="FootnoteSeparator"/>
      </w:pPr>
    </w:p>
  </w:footnote>
  <w:footnote w:type="continuationSeparator" w:id="0">
    <w:p w14:paraId="5C004C94" w14:textId="77777777" w:rsidR="00802117" w:rsidRDefault="00802117" w:rsidP="00EF4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793E" w14:textId="0467F7B2" w:rsidR="000A6A8B" w:rsidRPr="000A6A8B" w:rsidRDefault="000A6A8B" w:rsidP="000A6A8B">
    <w:pPr>
      <w:pStyle w:val="Header"/>
      <w:jc w:val="center"/>
      <w:rPr>
        <w:rStyle w:val="Classification"/>
      </w:rPr>
    </w:pPr>
  </w:p>
  <w:p w14:paraId="58B40D99" w14:textId="21C7305F" w:rsidR="00DB6D69" w:rsidRPr="00DB6D69" w:rsidRDefault="00DB6D69" w:rsidP="00014623">
    <w:pPr>
      <w:pStyle w:val="Header"/>
      <w:jc w:val="left"/>
      <w:rPr>
        <w:b/>
      </w:rPr>
    </w:pPr>
  </w:p>
  <w:p w14:paraId="0E7A8AC4" w14:textId="4A29C99C" w:rsidR="00DB6D69" w:rsidRDefault="00525B9B" w:rsidP="0039715A">
    <w:pPr>
      <w:pStyle w:val="Header"/>
      <w:spacing w:after="680"/>
    </w:pPr>
    <w:fldSimple w:instr=" STYLEREF  Title  \* MERGEFORMAT ">
      <w:r w:rsidR="00985D7B">
        <w:rPr>
          <w:noProof/>
        </w:rPr>
        <w:t>Information Bulletin – Comcover Statement of Cover 2017-18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3BA19" w14:textId="2997DB50" w:rsidR="000C2A48" w:rsidRDefault="00985D7B" w:rsidP="000A6A8B">
    <w:pPr>
      <w:pStyle w:val="Header"/>
      <w:jc w:val="center"/>
    </w:pPr>
    <w:sdt>
      <w:sdtPr>
        <w:rPr>
          <w:rStyle w:val="Classification"/>
        </w:rPr>
        <w:alias w:val="Status"/>
        <w:tag w:val=""/>
        <w:id w:val="2018492011"/>
        <w:placeholder>
          <w:docPart w:val="9D808996CD2146019246D2031F05F10B"/>
        </w:placeholder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>
        <w:rPr>
          <w:rStyle w:val="Classification"/>
        </w:rPr>
      </w:sdtEndPr>
      <w:sdtContent>
        <w:r w:rsidR="000412D6" w:rsidRPr="006009C9">
          <w:rPr>
            <w:rStyle w:val="PlaceholderText"/>
          </w:rPr>
          <w:t>[Status]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C9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2A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61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4A1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2B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81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183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C8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143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364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023480"/>
    <w:multiLevelType w:val="hybridMultilevel"/>
    <w:tmpl w:val="9CACEBEC"/>
    <w:lvl w:ilvl="0" w:tplc="61A42E50">
      <w:start w:val="1"/>
      <w:numFmt w:val="decimal"/>
      <w:lvlText w:val="%1."/>
      <w:lvlJc w:val="left"/>
      <w:pPr>
        <w:ind w:hanging="567"/>
      </w:pPr>
      <w:rPr>
        <w:rFonts w:ascii="Calibri" w:eastAsia="Calibri" w:hAnsi="Calibri" w:hint="default"/>
        <w:b/>
        <w:bCs/>
        <w:spacing w:val="-7"/>
        <w:w w:val="99"/>
        <w:sz w:val="26"/>
        <w:szCs w:val="26"/>
      </w:rPr>
    </w:lvl>
    <w:lvl w:ilvl="1" w:tplc="008A133E">
      <w:start w:val="1"/>
      <w:numFmt w:val="lowerLetter"/>
      <w:lvlText w:val="(%2)"/>
      <w:lvlJc w:val="left"/>
      <w:pPr>
        <w:ind w:hanging="425"/>
      </w:pPr>
      <w:rPr>
        <w:rFonts w:ascii="Calibri" w:eastAsia="Calibri" w:hAnsi="Calibri" w:hint="default"/>
        <w:sz w:val="24"/>
        <w:szCs w:val="24"/>
      </w:rPr>
    </w:lvl>
    <w:lvl w:ilvl="2" w:tplc="8E2A4BAE">
      <w:start w:val="1"/>
      <w:numFmt w:val="bullet"/>
      <w:lvlText w:val="•"/>
      <w:lvlJc w:val="left"/>
      <w:rPr>
        <w:rFonts w:hint="default"/>
      </w:rPr>
    </w:lvl>
    <w:lvl w:ilvl="3" w:tplc="D77C57D0">
      <w:start w:val="1"/>
      <w:numFmt w:val="bullet"/>
      <w:lvlText w:val="•"/>
      <w:lvlJc w:val="left"/>
      <w:rPr>
        <w:rFonts w:hint="default"/>
      </w:rPr>
    </w:lvl>
    <w:lvl w:ilvl="4" w:tplc="451CB116">
      <w:start w:val="1"/>
      <w:numFmt w:val="bullet"/>
      <w:lvlText w:val="•"/>
      <w:lvlJc w:val="left"/>
      <w:rPr>
        <w:rFonts w:hint="default"/>
      </w:rPr>
    </w:lvl>
    <w:lvl w:ilvl="5" w:tplc="182E12BA">
      <w:start w:val="1"/>
      <w:numFmt w:val="bullet"/>
      <w:lvlText w:val="•"/>
      <w:lvlJc w:val="left"/>
      <w:rPr>
        <w:rFonts w:hint="default"/>
      </w:rPr>
    </w:lvl>
    <w:lvl w:ilvl="6" w:tplc="EB86296C">
      <w:start w:val="1"/>
      <w:numFmt w:val="bullet"/>
      <w:lvlText w:val="•"/>
      <w:lvlJc w:val="left"/>
      <w:rPr>
        <w:rFonts w:hint="default"/>
      </w:rPr>
    </w:lvl>
    <w:lvl w:ilvl="7" w:tplc="6194D2FE">
      <w:start w:val="1"/>
      <w:numFmt w:val="bullet"/>
      <w:lvlText w:val="•"/>
      <w:lvlJc w:val="left"/>
      <w:rPr>
        <w:rFonts w:hint="default"/>
      </w:rPr>
    </w:lvl>
    <w:lvl w:ilvl="8" w:tplc="0EE4961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3A465ABD"/>
    <w:multiLevelType w:val="hybridMultilevel"/>
    <w:tmpl w:val="1F56A0B6"/>
    <w:lvl w:ilvl="0" w:tplc="DCC880E0">
      <w:start w:val="1"/>
      <w:numFmt w:val="lowerLetter"/>
      <w:lvlText w:val="(%1)"/>
      <w:lvlJc w:val="left"/>
      <w:pPr>
        <w:ind w:left="1650" w:hanging="360"/>
      </w:pPr>
      <w:rPr>
        <w:rFonts w:ascii="Calibri" w:eastAsia="Calibri" w:hAnsi="Calibri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6" w15:restartNumberingAfterBreak="0">
    <w:nsid w:val="5C707CBA"/>
    <w:multiLevelType w:val="hybridMultilevel"/>
    <w:tmpl w:val="879C10C8"/>
    <w:lvl w:ilvl="0" w:tplc="401026D0">
      <w:start w:val="1"/>
      <w:numFmt w:val="decimal"/>
      <w:lvlText w:val="(%1)"/>
      <w:lvlJc w:val="left"/>
      <w:pPr>
        <w:ind w:hanging="567"/>
      </w:pPr>
      <w:rPr>
        <w:rFonts w:ascii="Calibri" w:eastAsia="Calibri" w:hAnsi="Calibri" w:hint="default"/>
        <w:sz w:val="24"/>
        <w:szCs w:val="24"/>
      </w:rPr>
    </w:lvl>
    <w:lvl w:ilvl="1" w:tplc="52CE2838">
      <w:start w:val="1"/>
      <w:numFmt w:val="lowerLetter"/>
      <w:lvlText w:val="(%2)"/>
      <w:lvlJc w:val="left"/>
      <w:pPr>
        <w:ind w:hanging="425"/>
      </w:pPr>
      <w:rPr>
        <w:rFonts w:ascii="Calibri" w:eastAsia="Calibri" w:hAnsi="Calibri" w:hint="default"/>
        <w:sz w:val="24"/>
        <w:szCs w:val="24"/>
      </w:rPr>
    </w:lvl>
    <w:lvl w:ilvl="2" w:tplc="3A6A3CD6">
      <w:start w:val="1"/>
      <w:numFmt w:val="lowerRoman"/>
      <w:lvlText w:val="(%3)"/>
      <w:lvlJc w:val="left"/>
      <w:pPr>
        <w:ind w:hanging="428"/>
      </w:pPr>
      <w:rPr>
        <w:rFonts w:ascii="Calibri" w:eastAsia="Calibri" w:hAnsi="Calibri" w:hint="default"/>
        <w:sz w:val="24"/>
        <w:szCs w:val="24"/>
      </w:rPr>
    </w:lvl>
    <w:lvl w:ilvl="3" w:tplc="38382FA0">
      <w:start w:val="1"/>
      <w:numFmt w:val="bullet"/>
      <w:lvlText w:val="•"/>
      <w:lvlJc w:val="left"/>
      <w:rPr>
        <w:rFonts w:hint="default"/>
      </w:rPr>
    </w:lvl>
    <w:lvl w:ilvl="4" w:tplc="602C098E">
      <w:start w:val="1"/>
      <w:numFmt w:val="bullet"/>
      <w:lvlText w:val="•"/>
      <w:lvlJc w:val="left"/>
      <w:rPr>
        <w:rFonts w:hint="default"/>
      </w:rPr>
    </w:lvl>
    <w:lvl w:ilvl="5" w:tplc="053E7144">
      <w:start w:val="1"/>
      <w:numFmt w:val="bullet"/>
      <w:lvlText w:val="•"/>
      <w:lvlJc w:val="left"/>
      <w:rPr>
        <w:rFonts w:hint="default"/>
      </w:rPr>
    </w:lvl>
    <w:lvl w:ilvl="6" w:tplc="C232A694">
      <w:start w:val="1"/>
      <w:numFmt w:val="bullet"/>
      <w:lvlText w:val="•"/>
      <w:lvlJc w:val="left"/>
      <w:rPr>
        <w:rFonts w:hint="default"/>
      </w:rPr>
    </w:lvl>
    <w:lvl w:ilvl="7" w:tplc="FD5C7F02">
      <w:start w:val="1"/>
      <w:numFmt w:val="bullet"/>
      <w:lvlText w:val="•"/>
      <w:lvlJc w:val="left"/>
      <w:rPr>
        <w:rFonts w:hint="default"/>
      </w:rPr>
    </w:lvl>
    <w:lvl w:ilvl="8" w:tplc="13E8EC1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7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5"/>
  </w:num>
  <w:num w:numId="35">
    <w:abstractNumId w:val="12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42F"/>
    <w:rsid w:val="000061F3"/>
    <w:rsid w:val="00014623"/>
    <w:rsid w:val="00021B85"/>
    <w:rsid w:val="0002782F"/>
    <w:rsid w:val="000412D6"/>
    <w:rsid w:val="00054E4D"/>
    <w:rsid w:val="00060073"/>
    <w:rsid w:val="00080457"/>
    <w:rsid w:val="000A4B30"/>
    <w:rsid w:val="000A6A8B"/>
    <w:rsid w:val="000C2A48"/>
    <w:rsid w:val="000D60B1"/>
    <w:rsid w:val="00104C0B"/>
    <w:rsid w:val="00122B22"/>
    <w:rsid w:val="001541EA"/>
    <w:rsid w:val="001612A4"/>
    <w:rsid w:val="00182531"/>
    <w:rsid w:val="00191587"/>
    <w:rsid w:val="001A40A7"/>
    <w:rsid w:val="001B2283"/>
    <w:rsid w:val="001E1DC0"/>
    <w:rsid w:val="0020122A"/>
    <w:rsid w:val="00223F89"/>
    <w:rsid w:val="00284623"/>
    <w:rsid w:val="0028602A"/>
    <w:rsid w:val="002C236C"/>
    <w:rsid w:val="002C4580"/>
    <w:rsid w:val="002D107F"/>
    <w:rsid w:val="002D4ED2"/>
    <w:rsid w:val="00301144"/>
    <w:rsid w:val="003148B7"/>
    <w:rsid w:val="003158C3"/>
    <w:rsid w:val="0032314A"/>
    <w:rsid w:val="003274CD"/>
    <w:rsid w:val="00342723"/>
    <w:rsid w:val="0035119D"/>
    <w:rsid w:val="00394834"/>
    <w:rsid w:val="0039715A"/>
    <w:rsid w:val="003B4F12"/>
    <w:rsid w:val="00421926"/>
    <w:rsid w:val="00423F31"/>
    <w:rsid w:val="00431899"/>
    <w:rsid w:val="00457EB7"/>
    <w:rsid w:val="00486804"/>
    <w:rsid w:val="004B3775"/>
    <w:rsid w:val="004E058F"/>
    <w:rsid w:val="004E3B87"/>
    <w:rsid w:val="00510921"/>
    <w:rsid w:val="00510AD3"/>
    <w:rsid w:val="00513348"/>
    <w:rsid w:val="00525B9B"/>
    <w:rsid w:val="00533B5D"/>
    <w:rsid w:val="00543C53"/>
    <w:rsid w:val="005506BA"/>
    <w:rsid w:val="0057002E"/>
    <w:rsid w:val="005970EA"/>
    <w:rsid w:val="005A6C78"/>
    <w:rsid w:val="005C37F0"/>
    <w:rsid w:val="005E45E3"/>
    <w:rsid w:val="00606937"/>
    <w:rsid w:val="00623BA1"/>
    <w:rsid w:val="006346BC"/>
    <w:rsid w:val="0065311E"/>
    <w:rsid w:val="0066652A"/>
    <w:rsid w:val="0068028B"/>
    <w:rsid w:val="00682167"/>
    <w:rsid w:val="006C42AF"/>
    <w:rsid w:val="006C4DD1"/>
    <w:rsid w:val="006D4FCF"/>
    <w:rsid w:val="006D5BF8"/>
    <w:rsid w:val="006F3319"/>
    <w:rsid w:val="00701B49"/>
    <w:rsid w:val="00711D8E"/>
    <w:rsid w:val="00712672"/>
    <w:rsid w:val="00734E3F"/>
    <w:rsid w:val="00736985"/>
    <w:rsid w:val="00750EB1"/>
    <w:rsid w:val="00771A63"/>
    <w:rsid w:val="007B6200"/>
    <w:rsid w:val="007D134E"/>
    <w:rsid w:val="007E3DB5"/>
    <w:rsid w:val="00801B9F"/>
    <w:rsid w:val="00802117"/>
    <w:rsid w:val="00802DB0"/>
    <w:rsid w:val="0081532C"/>
    <w:rsid w:val="00816F61"/>
    <w:rsid w:val="008214B9"/>
    <w:rsid w:val="00826EE7"/>
    <w:rsid w:val="00880B3F"/>
    <w:rsid w:val="008D66E1"/>
    <w:rsid w:val="008E52D1"/>
    <w:rsid w:val="008E6A1A"/>
    <w:rsid w:val="0091783E"/>
    <w:rsid w:val="00931029"/>
    <w:rsid w:val="00983530"/>
    <w:rsid w:val="00985D7B"/>
    <w:rsid w:val="009A1F83"/>
    <w:rsid w:val="009B4D3B"/>
    <w:rsid w:val="009B53C8"/>
    <w:rsid w:val="009D7407"/>
    <w:rsid w:val="009E0866"/>
    <w:rsid w:val="00A24A62"/>
    <w:rsid w:val="00A31C9F"/>
    <w:rsid w:val="00A76378"/>
    <w:rsid w:val="00A84A85"/>
    <w:rsid w:val="00A9275D"/>
    <w:rsid w:val="00AA5A41"/>
    <w:rsid w:val="00AC164A"/>
    <w:rsid w:val="00AD0B86"/>
    <w:rsid w:val="00AD69CC"/>
    <w:rsid w:val="00AF2050"/>
    <w:rsid w:val="00B07619"/>
    <w:rsid w:val="00B52851"/>
    <w:rsid w:val="00B67B81"/>
    <w:rsid w:val="00B71D04"/>
    <w:rsid w:val="00BB26C5"/>
    <w:rsid w:val="00BC6AB5"/>
    <w:rsid w:val="00BE6B22"/>
    <w:rsid w:val="00BF4DE6"/>
    <w:rsid w:val="00BF5611"/>
    <w:rsid w:val="00C42CDE"/>
    <w:rsid w:val="00C82601"/>
    <w:rsid w:val="00CA37B1"/>
    <w:rsid w:val="00CA7E5A"/>
    <w:rsid w:val="00CB1959"/>
    <w:rsid w:val="00D0296C"/>
    <w:rsid w:val="00D517B9"/>
    <w:rsid w:val="00D76A6E"/>
    <w:rsid w:val="00D76E1A"/>
    <w:rsid w:val="00D86F6B"/>
    <w:rsid w:val="00D97D7D"/>
    <w:rsid w:val="00DA6ED9"/>
    <w:rsid w:val="00DB35A3"/>
    <w:rsid w:val="00DB6D69"/>
    <w:rsid w:val="00DC430B"/>
    <w:rsid w:val="00DC4477"/>
    <w:rsid w:val="00DF6188"/>
    <w:rsid w:val="00E04CBE"/>
    <w:rsid w:val="00E10572"/>
    <w:rsid w:val="00E24DAC"/>
    <w:rsid w:val="00E357B7"/>
    <w:rsid w:val="00E53800"/>
    <w:rsid w:val="00E6081F"/>
    <w:rsid w:val="00EA04B2"/>
    <w:rsid w:val="00EA20F3"/>
    <w:rsid w:val="00EB0119"/>
    <w:rsid w:val="00EB0627"/>
    <w:rsid w:val="00EB1D29"/>
    <w:rsid w:val="00EB2793"/>
    <w:rsid w:val="00EC421E"/>
    <w:rsid w:val="00ED43D1"/>
    <w:rsid w:val="00EE364E"/>
    <w:rsid w:val="00EE4EE1"/>
    <w:rsid w:val="00EF18FC"/>
    <w:rsid w:val="00EF264F"/>
    <w:rsid w:val="00EF4574"/>
    <w:rsid w:val="00F0219E"/>
    <w:rsid w:val="00F2684E"/>
    <w:rsid w:val="00F33736"/>
    <w:rsid w:val="00F4562B"/>
    <w:rsid w:val="00F729EF"/>
    <w:rsid w:val="00F77CAE"/>
    <w:rsid w:val="00F96BB9"/>
    <w:rsid w:val="00FD5A74"/>
    <w:rsid w:val="00FE6AE0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0791DC2"/>
  <w15:docId w15:val="{AA08F8DC-F160-4D75-8C5E-576803F0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85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B85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21B85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021B85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5A6C78"/>
    <w:pPr>
      <w:keepNext w:val="0"/>
      <w:spacing w:line="480" w:lineRule="atLeas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C78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39715A"/>
    <w:pPr>
      <w:numPr>
        <w:numId w:val="3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39715A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39715A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qFormat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1B85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21B85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021B85"/>
    <w:rPr>
      <w:b/>
      <w:bCs/>
    </w:rPr>
  </w:style>
  <w:style w:type="character" w:styleId="Emphasis">
    <w:name w:val="Emphasis"/>
    <w:basedOn w:val="DefaultParagraphFont"/>
    <w:uiPriority w:val="20"/>
    <w:qFormat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21B85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021B85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021B85"/>
    <w:rPr>
      <w:b/>
      <w:sz w:val="24"/>
    </w:rPr>
  </w:style>
  <w:style w:type="paragraph" w:customStyle="1" w:styleId="Boxed2Text">
    <w:name w:val="Boxed 2 Text"/>
    <w:basedOn w:val="Boxed1Text"/>
    <w:qFormat/>
    <w:rsid w:val="00021B85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customStyle="1" w:styleId="TableGridLight1">
    <w:name w:val="Table Grid Light1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qFormat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qFormat/>
    <w:rsid w:val="005A6C78"/>
    <w:pPr>
      <w:spacing w:after="1200"/>
    </w:pPr>
  </w:style>
  <w:style w:type="paragraph" w:styleId="BodyText">
    <w:name w:val="Body Text"/>
    <w:basedOn w:val="Normal"/>
    <w:link w:val="BodyTextChar"/>
    <w:uiPriority w:val="1"/>
    <w:qFormat/>
    <w:rsid w:val="00BC6AB5"/>
    <w:pPr>
      <w:widowControl w:val="0"/>
      <w:suppressAutoHyphens w:val="0"/>
      <w:spacing w:before="0" w:after="0" w:line="240" w:lineRule="auto"/>
      <w:ind w:left="1293" w:hanging="425"/>
    </w:pPr>
    <w:rPr>
      <w:rFonts w:ascii="Calibri" w:eastAsia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C6AB5"/>
    <w:rPr>
      <w:rFonts w:ascii="Calibri" w:eastAsia="Calibri" w:hAnsi="Calibri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C6A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6AB5"/>
    <w:pPr>
      <w:widowControl w:val="0"/>
      <w:suppressAutoHyphens w:val="0"/>
      <w:spacing w:before="0"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BC6AB5"/>
    <w:rPr>
      <w:sz w:val="20"/>
      <w:szCs w:val="20"/>
      <w:lang w:val="en-US"/>
    </w:rPr>
  </w:style>
  <w:style w:type="paragraph" w:customStyle="1" w:styleId="Default">
    <w:name w:val="Default"/>
    <w:rsid w:val="00BC6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AB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AB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1029"/>
    <w:pPr>
      <w:spacing w:after="0" w:line="240" w:lineRule="auto"/>
      <w:ind w:left="567"/>
    </w:pPr>
  </w:style>
  <w:style w:type="paragraph" w:customStyle="1" w:styleId="BodyText1">
    <w:name w:val="Body Text1"/>
    <w:basedOn w:val="Normal"/>
    <w:qFormat/>
    <w:rsid w:val="00931029"/>
    <w:pPr>
      <w:suppressAutoHyphens w:val="0"/>
      <w:spacing w:before="0" w:after="200" w:line="260" w:lineRule="exact"/>
    </w:pPr>
    <w:rPr>
      <w:rFonts w:ascii="Cambria" w:eastAsia="Times New Roman" w:hAnsi="Cambria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E5A"/>
    <w:pPr>
      <w:widowControl/>
      <w:suppressAutoHyphens/>
      <w:spacing w:before="180" w:after="60"/>
    </w:pPr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E5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808996CD2146019246D2031F05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08E9-82F0-4806-B66A-59428F7C0270}"/>
      </w:docPartPr>
      <w:docPartBody>
        <w:p w:rsidR="00A60ABE" w:rsidRDefault="00751FB6" w:rsidP="00751FB6">
          <w:pPr>
            <w:pStyle w:val="9D808996CD2146019246D2031F05F10B"/>
          </w:pPr>
          <w:r w:rsidRPr="006009C9">
            <w:rPr>
              <w:rStyle w:val="PlaceholderText"/>
            </w:rPr>
            <w:t>[Status]</w:t>
          </w:r>
        </w:p>
      </w:docPartBody>
    </w:docPart>
    <w:docPart>
      <w:docPartPr>
        <w:name w:val="85FCF50EFA584C32A9291D76744C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7575D-38F6-42DA-B1C8-F6AC6B3FB305}"/>
      </w:docPartPr>
      <w:docPartBody>
        <w:p w:rsidR="00A60ABE" w:rsidRDefault="00751FB6" w:rsidP="00751FB6">
          <w:pPr>
            <w:pStyle w:val="85FCF50EFA584C32A9291D76744CD17A"/>
          </w:pPr>
          <w:r w:rsidRPr="006009C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B6"/>
    <w:rsid w:val="00751FB6"/>
    <w:rsid w:val="0096476C"/>
    <w:rsid w:val="00A60ABE"/>
    <w:rsid w:val="00D60D6E"/>
    <w:rsid w:val="00DC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FB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FB6"/>
    <w:rPr>
      <w:color w:val="808080"/>
    </w:rPr>
  </w:style>
  <w:style w:type="paragraph" w:customStyle="1" w:styleId="9D808996CD2146019246D2031F05F10B">
    <w:name w:val="9D808996CD2146019246D2031F05F10B"/>
    <w:rsid w:val="00751FB6"/>
  </w:style>
  <w:style w:type="paragraph" w:customStyle="1" w:styleId="5C4B31DB2C8C4092A163BC9FC728C771">
    <w:name w:val="5C4B31DB2C8C4092A163BC9FC728C771"/>
    <w:rsid w:val="00751FB6"/>
  </w:style>
  <w:style w:type="paragraph" w:customStyle="1" w:styleId="85FCF50EFA584C32A9291D76744CD17A">
    <w:name w:val="85FCF50EFA584C32A9291D76744CD17A"/>
    <w:rsid w:val="00751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BBBADB"/>
      </a:accent2>
      <a:accent3>
        <a:srgbClr val="E6E4BA"/>
      </a:accent3>
      <a:accent4>
        <a:srgbClr val="D78B83"/>
      </a:accent4>
      <a:accent5>
        <a:srgbClr val="BEBFC0"/>
      </a:accent5>
      <a:accent6>
        <a:srgbClr val="ED7D3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75879E95-76ED-4952-8793-7BDF17E91F97}" vid="{CD9CE17E-63B8-45F8-B600-89410B4EF6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DFD24-F987-488E-9C35-860F1DC3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FF3CA342</Template>
  <TotalTime>1</TotalTime>
  <Pages>2</Pages>
  <Words>470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Bulletin 47 - Comcover Statement of Cover 2017-18</vt:lpstr>
    </vt:vector>
  </TitlesOfParts>
  <Company>Gallagher Bassett Pty Ltd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Bulletin 47 - Comcover Statement of Cover 2017-18</dc:title>
  <dc:creator>Department of Finance</dc:creator>
  <cp:lastModifiedBy>Power, Jade</cp:lastModifiedBy>
  <cp:revision>2</cp:revision>
  <cp:lastPrinted>2013-10-29T09:49:00Z</cp:lastPrinted>
  <dcterms:created xsi:type="dcterms:W3CDTF">2019-11-06T04:53:00Z</dcterms:created>
  <dcterms:modified xsi:type="dcterms:W3CDTF">2019-11-06T04:53:00Z</dcterms:modified>
</cp:coreProperties>
</file>