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2EFA1" w14:textId="77777777" w:rsidR="000C2A48" w:rsidRPr="00014623" w:rsidRDefault="00F95A86" w:rsidP="005A6C78">
      <w:pPr>
        <w:pStyle w:val="Firstpagespace"/>
        <w:rPr>
          <w:rFonts w:ascii="Calibri" w:hAnsi="Calibri"/>
        </w:rPr>
      </w:pPr>
      <w:bookmarkStart w:id="0" w:name="_GoBack"/>
      <w:bookmarkEnd w:id="0"/>
      <w:r>
        <w:rPr>
          <w:rFonts w:ascii="Calibri" w:hAnsi="Calibri"/>
          <w:noProof/>
        </w:rPr>
        <w:pict w14:anchorId="111EF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71.05pt;margin-top:-94.1pt;width:595.8pt;height:193.1pt;z-index:-251658752;mso-position-horizontal-relative:text;mso-position-vertical-relative:text;mso-width-relative:page;mso-height-relative:page">
            <v:imagedata r:id="rId8" o:title="Short word cover_Comcover"/>
          </v:shape>
        </w:pict>
      </w:r>
    </w:p>
    <w:p w14:paraId="377FE0F6" w14:textId="4C2AD58E" w:rsidR="00BC6AB5" w:rsidRPr="00014623" w:rsidRDefault="000412D6" w:rsidP="005A6C78">
      <w:pPr>
        <w:pStyle w:val="Title"/>
        <w:rPr>
          <w:rFonts w:ascii="Calibri" w:hAnsi="Calibri"/>
        </w:rPr>
      </w:pPr>
      <w:r w:rsidRPr="00014623">
        <w:rPr>
          <w:rFonts w:ascii="Calibri" w:hAnsi="Calibri"/>
        </w:rPr>
        <w:t xml:space="preserve">Information Bulletin – Comcover </w:t>
      </w:r>
      <w:r w:rsidR="00BC6AB5" w:rsidRPr="00014623">
        <w:rPr>
          <w:rFonts w:ascii="Calibri" w:hAnsi="Calibri"/>
        </w:rPr>
        <w:t>Statement of Cover</w:t>
      </w:r>
      <w:r w:rsidRPr="00014623">
        <w:rPr>
          <w:rFonts w:ascii="Calibri" w:hAnsi="Calibri"/>
        </w:rPr>
        <w:t xml:space="preserve"> 2017-18</w:t>
      </w:r>
      <w:r w:rsidR="00BC6AB5" w:rsidRPr="00014623">
        <w:rPr>
          <w:rFonts w:ascii="Calibri" w:hAnsi="Calibri"/>
        </w:rPr>
        <w:t xml:space="preserve"> </w:t>
      </w:r>
    </w:p>
    <w:p w14:paraId="3FE5FF61" w14:textId="76EB5E1A" w:rsidR="00BC6AB5" w:rsidRPr="00014623" w:rsidRDefault="00BC6AB5" w:rsidP="00BC6AB5">
      <w:pPr>
        <w:rPr>
          <w:rFonts w:ascii="Calibri" w:hAnsi="Calibri"/>
        </w:rPr>
      </w:pPr>
      <w:r w:rsidRPr="00014623">
        <w:rPr>
          <w:rFonts w:ascii="Calibri" w:hAnsi="Calibri"/>
        </w:rPr>
        <w:t xml:space="preserve">Issue 46 </w:t>
      </w:r>
      <w:r w:rsidR="00931029" w:rsidRPr="00014623">
        <w:rPr>
          <w:rFonts w:ascii="Calibri" w:hAnsi="Calibri"/>
        </w:rPr>
        <w:t>–</w:t>
      </w:r>
      <w:r w:rsidRPr="00014623">
        <w:rPr>
          <w:rFonts w:ascii="Calibri" w:hAnsi="Calibri"/>
        </w:rPr>
        <w:t xml:space="preserve"> 1</w:t>
      </w:r>
      <w:r w:rsidR="00931029" w:rsidRPr="00014623">
        <w:rPr>
          <w:rFonts w:ascii="Calibri" w:hAnsi="Calibri"/>
        </w:rPr>
        <w:t xml:space="preserve"> </w:t>
      </w:r>
      <w:r w:rsidRPr="00014623">
        <w:rPr>
          <w:rFonts w:ascii="Calibri" w:hAnsi="Calibri"/>
        </w:rPr>
        <w:t>July 2017</w:t>
      </w:r>
    </w:p>
    <w:p w14:paraId="3EB25D42" w14:textId="5AAE4369" w:rsidR="00BC6AB5" w:rsidRPr="00014623" w:rsidRDefault="00BC6AB5" w:rsidP="00931029">
      <w:pPr>
        <w:spacing w:after="240"/>
        <w:rPr>
          <w:rFonts w:ascii="Calibri" w:hAnsi="Calibri"/>
          <w:b/>
        </w:rPr>
      </w:pPr>
      <w:r w:rsidRPr="00014623">
        <w:rPr>
          <w:rFonts w:ascii="Calibri" w:hAnsi="Calibri"/>
          <w:b/>
        </w:rPr>
        <w:t>Comc</w:t>
      </w:r>
      <w:r w:rsidR="000412D6" w:rsidRPr="00014623">
        <w:rPr>
          <w:rFonts w:ascii="Calibri" w:hAnsi="Calibri"/>
          <w:b/>
        </w:rPr>
        <w:t xml:space="preserve">over Statement of Cover 2017-18 – </w:t>
      </w:r>
      <w:r w:rsidRPr="00014623">
        <w:rPr>
          <w:rFonts w:ascii="Calibri" w:hAnsi="Calibri"/>
          <w:b/>
        </w:rPr>
        <w:t>Key Changes</w:t>
      </w:r>
    </w:p>
    <w:p w14:paraId="44C40F62" w14:textId="5EB067D0" w:rsidR="00931029" w:rsidRPr="00014623" w:rsidRDefault="00931029" w:rsidP="00931029">
      <w:pPr>
        <w:pStyle w:val="NoSpacing"/>
        <w:ind w:left="0"/>
        <w:rPr>
          <w:rFonts w:ascii="Calibri" w:hAnsi="Calibri"/>
          <w:color w:val="000000" w:themeColor="text1"/>
        </w:rPr>
      </w:pPr>
      <w:r w:rsidRPr="00014623">
        <w:rPr>
          <w:rFonts w:ascii="Calibri" w:hAnsi="Calibri"/>
          <w:color w:val="000000" w:themeColor="text1"/>
        </w:rPr>
        <w:t xml:space="preserve">The </w:t>
      </w:r>
      <w:r w:rsidRPr="00014623">
        <w:rPr>
          <w:rFonts w:ascii="Calibri" w:hAnsi="Calibri"/>
          <w:i/>
          <w:color w:val="000000" w:themeColor="text1"/>
        </w:rPr>
        <w:t>Comcover Statement of Cover 2017-18</w:t>
      </w:r>
      <w:r w:rsidRPr="00014623">
        <w:rPr>
          <w:rFonts w:ascii="Calibri" w:hAnsi="Calibri"/>
          <w:color w:val="000000" w:themeColor="text1"/>
        </w:rPr>
        <w:t xml:space="preserve"> (the Statement of Cover) takes effect from 1 July 2017 and supersedes the </w:t>
      </w:r>
      <w:r w:rsidRPr="00014623">
        <w:rPr>
          <w:rFonts w:ascii="Calibri" w:hAnsi="Calibri"/>
          <w:i/>
          <w:color w:val="000000" w:themeColor="text1"/>
        </w:rPr>
        <w:t>Comcover Statement of Cover 2017-18.</w:t>
      </w:r>
      <w:r w:rsidRPr="00014623">
        <w:rPr>
          <w:rFonts w:ascii="Calibri" w:hAnsi="Calibri"/>
          <w:color w:val="000000" w:themeColor="text1"/>
        </w:rPr>
        <w:t xml:space="preserve"> It is important that you, as the Fund Member, carefully read the Statement of Cover and understand the changes that may affect the level and extent of your cover. </w:t>
      </w:r>
    </w:p>
    <w:p w14:paraId="38AFAAB7" w14:textId="77777777" w:rsidR="00BC6AB5" w:rsidRPr="00014623" w:rsidRDefault="00BC6AB5" w:rsidP="00BC6AB5">
      <w:pPr>
        <w:pStyle w:val="Default"/>
        <w:rPr>
          <w:rFonts w:cstheme="minorBidi"/>
          <w:color w:val="auto"/>
          <w:sz w:val="22"/>
          <w:szCs w:val="22"/>
        </w:rPr>
      </w:pPr>
    </w:p>
    <w:p w14:paraId="4634FB82" w14:textId="45347C98" w:rsidR="00BC6AB5" w:rsidRPr="00014623" w:rsidRDefault="00BC6AB5" w:rsidP="00BC6AB5">
      <w:pPr>
        <w:pStyle w:val="Default"/>
        <w:rPr>
          <w:rFonts w:cstheme="minorBidi"/>
          <w:color w:val="auto"/>
          <w:sz w:val="22"/>
          <w:szCs w:val="22"/>
        </w:rPr>
      </w:pPr>
      <w:r w:rsidRPr="00014623">
        <w:rPr>
          <w:rFonts w:cstheme="minorBidi"/>
          <w:color w:val="auto"/>
          <w:sz w:val="22"/>
          <w:szCs w:val="22"/>
        </w:rPr>
        <w:t xml:space="preserve">The Statement of Cover is a statement of the policy under which Comcover manages and settles claims for funding losses on behalf of Fund Members and the Commonwealth more generally. </w:t>
      </w:r>
    </w:p>
    <w:p w14:paraId="099CB395" w14:textId="77777777" w:rsidR="00D97D7D" w:rsidRPr="00014623" w:rsidRDefault="00D97D7D" w:rsidP="00BC6AB5">
      <w:pPr>
        <w:pStyle w:val="Default"/>
        <w:rPr>
          <w:rFonts w:cstheme="minorBidi"/>
          <w:color w:val="auto"/>
          <w:sz w:val="22"/>
          <w:szCs w:val="22"/>
        </w:rPr>
      </w:pPr>
    </w:p>
    <w:p w14:paraId="79A17993" w14:textId="77777777" w:rsidR="00BC6AB5" w:rsidRPr="00014623" w:rsidRDefault="00BC6AB5" w:rsidP="00BC6AB5">
      <w:pPr>
        <w:pStyle w:val="Default"/>
        <w:rPr>
          <w:rFonts w:cstheme="minorBidi"/>
          <w:color w:val="auto"/>
          <w:sz w:val="22"/>
          <w:szCs w:val="22"/>
        </w:rPr>
      </w:pPr>
      <w:r w:rsidRPr="00014623">
        <w:rPr>
          <w:rFonts w:cstheme="minorBidi"/>
          <w:color w:val="auto"/>
          <w:sz w:val="22"/>
          <w:szCs w:val="22"/>
        </w:rPr>
        <w:t xml:space="preserve">In addition to the changes set out below, some minor changes have also included references to terms and titles e.g. the Finance Minister instead of the Minister for Finance, as well as minor formatting changes. </w:t>
      </w:r>
    </w:p>
    <w:p w14:paraId="42C1E3F4" w14:textId="77777777" w:rsidR="00BC6AB5" w:rsidRPr="00014623" w:rsidRDefault="00BC6AB5" w:rsidP="00BC6AB5">
      <w:pPr>
        <w:pStyle w:val="Default"/>
        <w:rPr>
          <w:rFonts w:cstheme="minorBidi"/>
          <w:color w:val="auto"/>
          <w:sz w:val="22"/>
          <w:szCs w:val="22"/>
        </w:rPr>
      </w:pPr>
    </w:p>
    <w:p w14:paraId="2352E2AE" w14:textId="77777777" w:rsidR="00BC6AB5" w:rsidRPr="00014623" w:rsidRDefault="00BC6AB5" w:rsidP="00BC6AB5">
      <w:pPr>
        <w:pStyle w:val="Default"/>
        <w:rPr>
          <w:rFonts w:cstheme="minorBidi"/>
          <w:color w:val="auto"/>
          <w:sz w:val="22"/>
          <w:szCs w:val="22"/>
        </w:rPr>
      </w:pPr>
      <w:r w:rsidRPr="00014623">
        <w:rPr>
          <w:rFonts w:cstheme="minorBidi"/>
          <w:color w:val="auto"/>
          <w:sz w:val="22"/>
          <w:szCs w:val="22"/>
        </w:rPr>
        <w:t xml:space="preserve">As always, your Relationship Manager is available to provide guidance and advice in response to any queries you may have. </w:t>
      </w:r>
    </w:p>
    <w:p w14:paraId="6442641C" w14:textId="03B5B69A" w:rsidR="00931029" w:rsidRPr="00014623" w:rsidRDefault="00BC6AB5" w:rsidP="00771A63">
      <w:pPr>
        <w:spacing w:after="240"/>
        <w:rPr>
          <w:rFonts w:ascii="Calibri" w:hAnsi="Calibri"/>
        </w:rPr>
      </w:pPr>
      <w:r w:rsidRPr="00014623">
        <w:rPr>
          <w:rFonts w:ascii="Calibri" w:hAnsi="Calibri"/>
        </w:rPr>
        <w:t>Notable changes in the Statement of Cover from the Comcover Statement of Cover 201</w:t>
      </w:r>
      <w:r w:rsidR="00931029" w:rsidRPr="00014623">
        <w:rPr>
          <w:rFonts w:ascii="Calibri" w:hAnsi="Calibri"/>
        </w:rPr>
        <w:t>6-17</w:t>
      </w:r>
      <w:r w:rsidRPr="00014623">
        <w:rPr>
          <w:rFonts w:ascii="Calibri" w:hAnsi="Calibri"/>
        </w:rPr>
        <w:t xml:space="preserve"> include:</w:t>
      </w:r>
    </w:p>
    <w:p w14:paraId="49C288C8" w14:textId="2E89A151" w:rsidR="00931029" w:rsidRPr="00014623" w:rsidRDefault="00931029" w:rsidP="00931029">
      <w:pPr>
        <w:pStyle w:val="Heading3"/>
        <w:tabs>
          <w:tab w:val="left" w:pos="567"/>
        </w:tabs>
        <w:spacing w:before="0" w:after="240" w:line="240" w:lineRule="exact"/>
        <w:contextualSpacing w:val="0"/>
        <w:rPr>
          <w:rFonts w:ascii="Calibri" w:hAnsi="Calibri"/>
          <w:smallCaps/>
          <w:color w:val="77B6BD" w:themeColor="accent1" w:themeShade="BF"/>
          <w:sz w:val="24"/>
          <w:szCs w:val="24"/>
        </w:rPr>
      </w:pPr>
      <w:r w:rsidRPr="00014623">
        <w:rPr>
          <w:rFonts w:ascii="Calibri" w:hAnsi="Calibri"/>
          <w:smallCaps/>
          <w:color w:val="77B6BD" w:themeColor="accent1" w:themeShade="BF"/>
          <w:sz w:val="24"/>
          <w:szCs w:val="24"/>
        </w:rPr>
        <w:t>Chapter 1 – Preamble</w:t>
      </w:r>
    </w:p>
    <w:p w14:paraId="4706450F" w14:textId="77777777" w:rsidR="00931029" w:rsidRPr="00014623" w:rsidRDefault="00931029" w:rsidP="00931029">
      <w:pPr>
        <w:pStyle w:val="Heading3"/>
        <w:tabs>
          <w:tab w:val="left" w:pos="993"/>
        </w:tabs>
        <w:spacing w:before="120" w:line="240" w:lineRule="auto"/>
        <w:ind w:left="851" w:hanging="851"/>
        <w:rPr>
          <w:rFonts w:ascii="Calibri" w:hAnsi="Calibri"/>
          <w:b/>
          <w:color w:val="000000" w:themeColor="text1"/>
          <w:sz w:val="22"/>
          <w:szCs w:val="22"/>
        </w:rPr>
      </w:pPr>
      <w:r w:rsidRPr="00014623">
        <w:rPr>
          <w:rFonts w:ascii="Calibri" w:hAnsi="Calibri"/>
          <w:b/>
          <w:color w:val="000000" w:themeColor="text1"/>
          <w:sz w:val="22"/>
          <w:szCs w:val="22"/>
        </w:rPr>
        <w:t>3.</w:t>
      </w:r>
      <w:r w:rsidRPr="00014623">
        <w:rPr>
          <w:rFonts w:ascii="Calibri" w:hAnsi="Calibri"/>
          <w:b/>
          <w:color w:val="000000" w:themeColor="text1"/>
          <w:sz w:val="22"/>
          <w:szCs w:val="22"/>
        </w:rPr>
        <w:tab/>
        <w:t>Conditions of Cover</w:t>
      </w:r>
    </w:p>
    <w:p w14:paraId="56943993" w14:textId="1C8575C6" w:rsidR="00931029" w:rsidRPr="00014623" w:rsidRDefault="00122B22" w:rsidP="00931029">
      <w:pPr>
        <w:pStyle w:val="BodyText1"/>
        <w:tabs>
          <w:tab w:val="left" w:pos="993"/>
          <w:tab w:val="left" w:pos="1134"/>
        </w:tabs>
        <w:ind w:left="851" w:hanging="851"/>
        <w:rPr>
          <w:rFonts w:ascii="Calibri" w:hAnsi="Calibri"/>
          <w:color w:val="000000" w:themeColor="text1"/>
          <w:szCs w:val="22"/>
        </w:rPr>
      </w:pPr>
      <w:r>
        <w:rPr>
          <w:rFonts w:ascii="Calibri" w:hAnsi="Calibri"/>
          <w:color w:val="000000" w:themeColor="text1"/>
          <w:szCs w:val="22"/>
        </w:rPr>
        <w:t>3(2)</w:t>
      </w:r>
      <w:r w:rsidR="00983530">
        <w:rPr>
          <w:rFonts w:ascii="Calibri" w:hAnsi="Calibri"/>
          <w:color w:val="000000" w:themeColor="text1"/>
          <w:szCs w:val="22"/>
        </w:rPr>
        <w:t>(b)</w:t>
      </w:r>
      <w:r>
        <w:rPr>
          <w:rFonts w:ascii="Calibri" w:hAnsi="Calibri"/>
          <w:color w:val="000000" w:themeColor="text1"/>
          <w:szCs w:val="22"/>
        </w:rPr>
        <w:tab/>
        <w:t>For matters that do not have to be disclosed to Comcover, the wording ‘we know or in the ordinary business course ought to know’ has been replaced with ‘does not materially increase or change the risk’</w:t>
      </w:r>
      <w:r w:rsidR="00931029" w:rsidRPr="00014623">
        <w:rPr>
          <w:rFonts w:ascii="Calibri" w:hAnsi="Calibri"/>
          <w:color w:val="000000" w:themeColor="text1"/>
          <w:szCs w:val="22"/>
        </w:rPr>
        <w:t>.</w:t>
      </w:r>
      <w:r>
        <w:rPr>
          <w:rFonts w:ascii="Calibri" w:hAnsi="Calibri"/>
          <w:color w:val="000000" w:themeColor="text1"/>
          <w:szCs w:val="22"/>
        </w:rPr>
        <w:t xml:space="preserve"> The ne</w:t>
      </w:r>
      <w:r w:rsidR="00EB2793">
        <w:rPr>
          <w:rFonts w:ascii="Calibri" w:hAnsi="Calibri"/>
          <w:color w:val="000000" w:themeColor="text1"/>
          <w:szCs w:val="22"/>
        </w:rPr>
        <w:t xml:space="preserve">w wording clarifies Comcover’s expectation in relation to the types of matters to be disclosed.  </w:t>
      </w:r>
      <w:r w:rsidR="00931029" w:rsidRPr="00014623">
        <w:rPr>
          <w:rFonts w:ascii="Calibri" w:hAnsi="Calibri"/>
          <w:color w:val="000000" w:themeColor="text1"/>
          <w:szCs w:val="22"/>
        </w:rPr>
        <w:t xml:space="preserve"> </w:t>
      </w:r>
    </w:p>
    <w:p w14:paraId="0F71902D" w14:textId="723BCC55" w:rsidR="00931029" w:rsidRDefault="008D66E1" w:rsidP="00931029">
      <w:pPr>
        <w:pStyle w:val="BodyText1"/>
        <w:tabs>
          <w:tab w:val="left" w:pos="993"/>
          <w:tab w:val="left" w:pos="1134"/>
        </w:tabs>
        <w:ind w:left="851" w:hanging="851"/>
        <w:rPr>
          <w:rFonts w:ascii="Calibri" w:hAnsi="Calibri"/>
          <w:color w:val="000000" w:themeColor="text1"/>
          <w:szCs w:val="22"/>
        </w:rPr>
      </w:pPr>
      <w:r>
        <w:rPr>
          <w:rFonts w:ascii="Calibri" w:hAnsi="Calibri"/>
          <w:color w:val="000000" w:themeColor="text1"/>
          <w:szCs w:val="22"/>
        </w:rPr>
        <w:t>3(3)(h)</w:t>
      </w:r>
      <w:r w:rsidR="00931029" w:rsidRPr="00014623">
        <w:rPr>
          <w:rFonts w:ascii="Calibri" w:hAnsi="Calibri"/>
          <w:color w:val="000000" w:themeColor="text1"/>
          <w:szCs w:val="22"/>
        </w:rPr>
        <w:tab/>
      </w:r>
      <w:r w:rsidR="006D4FCF">
        <w:rPr>
          <w:rFonts w:ascii="Calibri" w:hAnsi="Calibri"/>
          <w:color w:val="000000" w:themeColor="text1"/>
          <w:szCs w:val="22"/>
        </w:rPr>
        <w:t xml:space="preserve">The section has been amended to add that Fund Members are to notify Comcover of any pre-existing conditions prior to deployment. </w:t>
      </w:r>
    </w:p>
    <w:p w14:paraId="78800DD0" w14:textId="77777777" w:rsidR="008D66E1" w:rsidRDefault="008D66E1" w:rsidP="008D66E1">
      <w:pPr>
        <w:pStyle w:val="BodyText1"/>
        <w:tabs>
          <w:tab w:val="left" w:pos="993"/>
          <w:tab w:val="left" w:pos="1134"/>
        </w:tabs>
        <w:ind w:left="851" w:hanging="851"/>
        <w:rPr>
          <w:rFonts w:ascii="Calibri" w:hAnsi="Calibri"/>
          <w:color w:val="000000" w:themeColor="text1"/>
          <w:szCs w:val="22"/>
        </w:rPr>
      </w:pPr>
      <w:r>
        <w:rPr>
          <w:rFonts w:ascii="Calibri" w:hAnsi="Calibri"/>
          <w:color w:val="000000" w:themeColor="text1"/>
          <w:szCs w:val="22"/>
        </w:rPr>
        <w:t>3(7)(d)</w:t>
      </w:r>
      <w:r w:rsidRPr="00014623">
        <w:rPr>
          <w:rFonts w:ascii="Calibri" w:hAnsi="Calibri"/>
          <w:color w:val="000000" w:themeColor="text1"/>
          <w:szCs w:val="22"/>
        </w:rPr>
        <w:tab/>
      </w:r>
      <w:r>
        <w:rPr>
          <w:rFonts w:ascii="Calibri" w:hAnsi="Calibri"/>
          <w:color w:val="000000" w:themeColor="text1"/>
          <w:szCs w:val="22"/>
        </w:rPr>
        <w:t xml:space="preserve">Wording has been added to address the types of situations where an agreement cannot be reached in the settlement of a claim e.g. where agreement cannot be reached on a fair and proper allocation of loss, fees and expenses. </w:t>
      </w:r>
      <w:r w:rsidRPr="00014623">
        <w:rPr>
          <w:rFonts w:ascii="Calibri" w:hAnsi="Calibri"/>
          <w:color w:val="000000" w:themeColor="text1"/>
          <w:szCs w:val="22"/>
        </w:rPr>
        <w:t xml:space="preserve"> </w:t>
      </w:r>
    </w:p>
    <w:p w14:paraId="3B9A83F5" w14:textId="1EC56B8A" w:rsidR="00983530" w:rsidRDefault="00983530" w:rsidP="00983530">
      <w:pPr>
        <w:pStyle w:val="BodyText1"/>
        <w:tabs>
          <w:tab w:val="left" w:pos="993"/>
          <w:tab w:val="left" w:pos="1134"/>
        </w:tabs>
        <w:ind w:left="851" w:hanging="851"/>
        <w:rPr>
          <w:rFonts w:ascii="Calibri" w:hAnsi="Calibri"/>
          <w:color w:val="000000" w:themeColor="text1"/>
          <w:szCs w:val="22"/>
        </w:rPr>
      </w:pPr>
      <w:r>
        <w:rPr>
          <w:rFonts w:ascii="Calibri" w:hAnsi="Calibri"/>
          <w:color w:val="000000" w:themeColor="text1"/>
          <w:szCs w:val="22"/>
        </w:rPr>
        <w:t>3(9)</w:t>
      </w:r>
      <w:r w:rsidRPr="00014623">
        <w:rPr>
          <w:rFonts w:ascii="Calibri" w:hAnsi="Calibri"/>
          <w:color w:val="000000" w:themeColor="text1"/>
          <w:szCs w:val="22"/>
        </w:rPr>
        <w:tab/>
      </w:r>
      <w:r w:rsidR="00080457">
        <w:rPr>
          <w:rFonts w:ascii="Calibri" w:hAnsi="Calibri"/>
          <w:color w:val="000000" w:themeColor="text1"/>
          <w:szCs w:val="22"/>
        </w:rPr>
        <w:t xml:space="preserve">Deleted the </w:t>
      </w:r>
      <w:r>
        <w:rPr>
          <w:rFonts w:ascii="Calibri" w:hAnsi="Calibri"/>
          <w:color w:val="000000" w:themeColor="text1"/>
          <w:szCs w:val="22"/>
        </w:rPr>
        <w:t>term ‘Other’ from the title ‘Other Insurance’. This is to reflect that Comcover is a self-managed fund</w:t>
      </w:r>
      <w:r w:rsidR="00080457">
        <w:rPr>
          <w:rFonts w:ascii="Calibri" w:hAnsi="Calibri"/>
          <w:color w:val="000000" w:themeColor="text1"/>
          <w:szCs w:val="22"/>
        </w:rPr>
        <w:t xml:space="preserve"> </w:t>
      </w:r>
      <w:r w:rsidR="006D4FCF">
        <w:rPr>
          <w:rFonts w:ascii="Calibri" w:hAnsi="Calibri"/>
          <w:color w:val="000000" w:themeColor="text1"/>
          <w:szCs w:val="22"/>
        </w:rPr>
        <w:t xml:space="preserve">that covers Fund Members </w:t>
      </w:r>
      <w:r w:rsidR="00080457">
        <w:rPr>
          <w:rFonts w:ascii="Calibri" w:hAnsi="Calibri"/>
          <w:color w:val="000000" w:themeColor="text1"/>
          <w:szCs w:val="22"/>
        </w:rPr>
        <w:t xml:space="preserve">and not an insurance </w:t>
      </w:r>
      <w:r w:rsidR="006D4FCF">
        <w:rPr>
          <w:rFonts w:ascii="Calibri" w:hAnsi="Calibri"/>
          <w:color w:val="000000" w:themeColor="text1"/>
          <w:szCs w:val="22"/>
        </w:rPr>
        <w:t>company</w:t>
      </w:r>
      <w:r w:rsidR="00080457">
        <w:rPr>
          <w:rFonts w:ascii="Calibri" w:hAnsi="Calibri"/>
          <w:color w:val="000000" w:themeColor="text1"/>
          <w:szCs w:val="22"/>
        </w:rPr>
        <w:t xml:space="preserve">. </w:t>
      </w:r>
      <w:r w:rsidR="006D4FCF">
        <w:rPr>
          <w:rFonts w:ascii="Calibri" w:hAnsi="Calibri"/>
          <w:color w:val="000000" w:themeColor="text1"/>
          <w:szCs w:val="22"/>
        </w:rPr>
        <w:t>This section relates to risks that Comcover covers that are also covered through a Fund Member’s policy with an insurance company.</w:t>
      </w:r>
      <w:r>
        <w:rPr>
          <w:rFonts w:ascii="Calibri" w:hAnsi="Calibri"/>
          <w:color w:val="000000" w:themeColor="text1"/>
          <w:szCs w:val="22"/>
        </w:rPr>
        <w:t xml:space="preserve"> </w:t>
      </w:r>
      <w:r w:rsidRPr="00014623">
        <w:rPr>
          <w:rFonts w:ascii="Calibri" w:hAnsi="Calibri"/>
          <w:color w:val="000000" w:themeColor="text1"/>
          <w:szCs w:val="22"/>
        </w:rPr>
        <w:t xml:space="preserve"> </w:t>
      </w:r>
    </w:p>
    <w:p w14:paraId="4DAF65A5" w14:textId="77777777" w:rsidR="00014623" w:rsidRPr="00014623" w:rsidRDefault="00014623" w:rsidP="00014623">
      <w:pPr>
        <w:pStyle w:val="Heading3"/>
        <w:tabs>
          <w:tab w:val="left" w:pos="567"/>
        </w:tabs>
        <w:spacing w:after="240" w:line="240" w:lineRule="exact"/>
        <w:contextualSpacing w:val="0"/>
        <w:rPr>
          <w:rFonts w:ascii="Calibri" w:hAnsi="Calibri"/>
          <w:smallCaps/>
          <w:color w:val="77B6BD" w:themeColor="accent1" w:themeShade="BF"/>
          <w:sz w:val="24"/>
          <w:szCs w:val="24"/>
        </w:rPr>
      </w:pPr>
      <w:r w:rsidRPr="00014623">
        <w:rPr>
          <w:rFonts w:ascii="Calibri" w:hAnsi="Calibri"/>
          <w:smallCaps/>
          <w:color w:val="77B6BD" w:themeColor="accent1" w:themeShade="BF"/>
          <w:sz w:val="24"/>
          <w:szCs w:val="24"/>
        </w:rPr>
        <w:lastRenderedPageBreak/>
        <w:t xml:space="preserve">Chapter 2 – Statement of Cover </w:t>
      </w:r>
    </w:p>
    <w:p w14:paraId="5CDB4C7F" w14:textId="77777777" w:rsidR="00014623" w:rsidRPr="00014623" w:rsidRDefault="00014623" w:rsidP="00014623">
      <w:pPr>
        <w:pStyle w:val="Heading3"/>
        <w:tabs>
          <w:tab w:val="left" w:pos="993"/>
        </w:tabs>
        <w:spacing w:before="120" w:line="240" w:lineRule="auto"/>
        <w:ind w:left="851" w:hanging="851"/>
        <w:rPr>
          <w:rFonts w:ascii="Calibri" w:hAnsi="Calibri"/>
          <w:b/>
          <w:color w:val="000000" w:themeColor="text1"/>
          <w:sz w:val="22"/>
          <w:szCs w:val="22"/>
        </w:rPr>
      </w:pPr>
      <w:r w:rsidRPr="00014623">
        <w:rPr>
          <w:rFonts w:ascii="Calibri" w:hAnsi="Calibri"/>
          <w:b/>
          <w:color w:val="000000" w:themeColor="text1"/>
          <w:sz w:val="22"/>
          <w:szCs w:val="22"/>
        </w:rPr>
        <w:t>5.</w:t>
      </w:r>
      <w:r w:rsidRPr="00014623">
        <w:rPr>
          <w:rFonts w:ascii="Calibri" w:hAnsi="Calibri"/>
          <w:b/>
          <w:color w:val="000000" w:themeColor="text1"/>
          <w:sz w:val="22"/>
          <w:szCs w:val="22"/>
        </w:rPr>
        <w:tab/>
        <w:t>Defined Terms</w:t>
      </w:r>
    </w:p>
    <w:p w14:paraId="39804395" w14:textId="587BC687" w:rsidR="006D4FCF" w:rsidRPr="00014623" w:rsidRDefault="00014623" w:rsidP="006D4FCF">
      <w:pPr>
        <w:pStyle w:val="BodyText1"/>
        <w:tabs>
          <w:tab w:val="left" w:pos="993"/>
          <w:tab w:val="left" w:pos="1134"/>
        </w:tabs>
        <w:ind w:left="851" w:hanging="851"/>
        <w:rPr>
          <w:rFonts w:ascii="Calibri" w:hAnsi="Calibri"/>
          <w:color w:val="000000" w:themeColor="text1"/>
          <w:szCs w:val="22"/>
        </w:rPr>
      </w:pPr>
      <w:r w:rsidRPr="00014623">
        <w:rPr>
          <w:rFonts w:ascii="Calibri" w:hAnsi="Calibri"/>
          <w:color w:val="000000" w:themeColor="text1"/>
          <w:szCs w:val="22"/>
        </w:rPr>
        <w:tab/>
      </w:r>
      <w:r w:rsidR="006D4FCF">
        <w:rPr>
          <w:rFonts w:ascii="Calibri" w:hAnsi="Calibri"/>
          <w:color w:val="000000" w:themeColor="text1"/>
          <w:szCs w:val="22"/>
        </w:rPr>
        <w:t xml:space="preserve">The definition for ‘officer’ has been </w:t>
      </w:r>
      <w:r w:rsidR="00223F89">
        <w:rPr>
          <w:rFonts w:ascii="Calibri" w:hAnsi="Calibri"/>
          <w:color w:val="000000" w:themeColor="text1"/>
          <w:szCs w:val="22"/>
        </w:rPr>
        <w:t>amended to clarify that cover is available for both current and former officers (as defined)</w:t>
      </w:r>
      <w:r w:rsidR="006D4FCF" w:rsidRPr="00014623">
        <w:rPr>
          <w:rFonts w:ascii="Calibri" w:hAnsi="Calibri"/>
          <w:color w:val="000000" w:themeColor="text1"/>
          <w:szCs w:val="22"/>
        </w:rPr>
        <w:t>.</w:t>
      </w:r>
      <w:r w:rsidR="00223F89">
        <w:rPr>
          <w:rFonts w:ascii="Calibri" w:hAnsi="Calibri"/>
          <w:color w:val="000000" w:themeColor="text1"/>
          <w:szCs w:val="22"/>
        </w:rPr>
        <w:t xml:space="preserve"> For example, ‘a person who is an official within the meaning of the </w:t>
      </w:r>
      <w:r w:rsidR="00223F89" w:rsidRPr="00223F89">
        <w:rPr>
          <w:rFonts w:ascii="Calibri" w:hAnsi="Calibri"/>
          <w:i/>
          <w:color w:val="000000" w:themeColor="text1"/>
          <w:szCs w:val="22"/>
        </w:rPr>
        <w:t>Public Governance, Performance and Accountability Act 2013</w:t>
      </w:r>
      <w:r w:rsidR="00223F89">
        <w:rPr>
          <w:rFonts w:ascii="Calibri" w:hAnsi="Calibri"/>
          <w:color w:val="000000" w:themeColor="text1"/>
          <w:szCs w:val="22"/>
        </w:rPr>
        <w:t xml:space="preserve">’ has been replaced with ‘a person who is or was  an official within the meaning of the </w:t>
      </w:r>
      <w:r w:rsidR="00223F89" w:rsidRPr="00223F89">
        <w:rPr>
          <w:rFonts w:ascii="Calibri" w:hAnsi="Calibri"/>
          <w:i/>
          <w:color w:val="000000" w:themeColor="text1"/>
          <w:szCs w:val="22"/>
        </w:rPr>
        <w:t>Public Governance, Performance and Accountability Act 2013</w:t>
      </w:r>
      <w:r w:rsidR="00223F89">
        <w:rPr>
          <w:rFonts w:ascii="Calibri" w:hAnsi="Calibri"/>
          <w:color w:val="000000" w:themeColor="text1"/>
          <w:szCs w:val="22"/>
        </w:rPr>
        <w:t xml:space="preserve"> or the </w:t>
      </w:r>
      <w:r w:rsidR="00223F89" w:rsidRPr="00223F89">
        <w:rPr>
          <w:rFonts w:ascii="Calibri" w:hAnsi="Calibri"/>
          <w:i/>
          <w:color w:val="000000" w:themeColor="text1"/>
          <w:szCs w:val="22"/>
        </w:rPr>
        <w:t>Financial Management and Accountability Act 1997</w:t>
      </w:r>
      <w:r w:rsidR="00223F89">
        <w:rPr>
          <w:rFonts w:ascii="Calibri" w:hAnsi="Calibri"/>
          <w:color w:val="000000" w:themeColor="text1"/>
          <w:szCs w:val="22"/>
        </w:rPr>
        <w:t xml:space="preserve">’. </w:t>
      </w:r>
    </w:p>
    <w:p w14:paraId="3BB04869" w14:textId="4CC3A43B" w:rsidR="0081532C" w:rsidRPr="00014623" w:rsidRDefault="0081532C" w:rsidP="0081532C">
      <w:pPr>
        <w:pStyle w:val="BodyText1"/>
        <w:tabs>
          <w:tab w:val="left" w:pos="1134"/>
        </w:tabs>
        <w:ind w:left="851"/>
        <w:rPr>
          <w:rFonts w:ascii="Calibri" w:hAnsi="Calibri"/>
          <w:color w:val="000000" w:themeColor="text1"/>
          <w:szCs w:val="22"/>
        </w:rPr>
      </w:pPr>
      <w:r>
        <w:rPr>
          <w:rFonts w:ascii="Calibri" w:hAnsi="Calibri"/>
          <w:color w:val="000000" w:themeColor="text1"/>
          <w:szCs w:val="22"/>
        </w:rPr>
        <w:t xml:space="preserve">In relation to the definition of ‘Fund’, the wording ‘defined losses’ has been replaced with ‘losses covered by this Statement of Cover or as shown on your Schedule of Cover’. This is to clarify that the Statement of Cover (or the Schedule of Cover, where a cover has been agreed) will respond in the event of an insurable loss.  </w:t>
      </w:r>
    </w:p>
    <w:p w14:paraId="43EE7868" w14:textId="0215561C" w:rsidR="006D4FCF" w:rsidRDefault="0081532C" w:rsidP="00014623">
      <w:pPr>
        <w:pStyle w:val="BodyText1"/>
        <w:tabs>
          <w:tab w:val="left" w:pos="993"/>
          <w:tab w:val="left" w:pos="1134"/>
        </w:tabs>
        <w:ind w:left="851" w:hanging="851"/>
        <w:rPr>
          <w:rFonts w:ascii="Calibri" w:hAnsi="Calibri"/>
          <w:color w:val="000000" w:themeColor="text1"/>
          <w:szCs w:val="22"/>
        </w:rPr>
      </w:pPr>
      <w:r>
        <w:rPr>
          <w:rFonts w:ascii="Calibri" w:hAnsi="Calibri"/>
          <w:color w:val="000000" w:themeColor="text1"/>
          <w:szCs w:val="22"/>
        </w:rPr>
        <w:tab/>
      </w:r>
      <w:r w:rsidR="00223F89" w:rsidRPr="00014623">
        <w:rPr>
          <w:rFonts w:ascii="Calibri" w:hAnsi="Calibri"/>
          <w:color w:val="000000" w:themeColor="text1"/>
          <w:szCs w:val="22"/>
        </w:rPr>
        <w:t xml:space="preserve">The definition for </w:t>
      </w:r>
      <w:r w:rsidR="00223F89">
        <w:rPr>
          <w:rFonts w:ascii="Calibri" w:hAnsi="Calibri"/>
          <w:color w:val="000000" w:themeColor="text1"/>
          <w:szCs w:val="22"/>
        </w:rPr>
        <w:t>‘</w:t>
      </w:r>
      <w:r>
        <w:rPr>
          <w:rFonts w:ascii="Calibri" w:hAnsi="Calibri"/>
          <w:color w:val="000000" w:themeColor="text1"/>
          <w:szCs w:val="22"/>
        </w:rPr>
        <w:t>p</w:t>
      </w:r>
      <w:r w:rsidR="00223F89">
        <w:rPr>
          <w:rFonts w:ascii="Calibri" w:hAnsi="Calibri"/>
          <w:color w:val="000000" w:themeColor="text1"/>
          <w:szCs w:val="22"/>
        </w:rPr>
        <w:t>roperty’ has been amended as follows: addition of ‘network and information technology infrastructure including hardware, equipment and devices’</w:t>
      </w:r>
      <w:r w:rsidR="00816F61">
        <w:rPr>
          <w:rFonts w:ascii="Calibri" w:hAnsi="Calibri"/>
          <w:color w:val="000000" w:themeColor="text1"/>
          <w:szCs w:val="22"/>
        </w:rPr>
        <w:t xml:space="preserve"> to clarify that Fund Members should be declaring the values of these assets on their Assets Schedule</w:t>
      </w:r>
      <w:r w:rsidR="00223F89">
        <w:rPr>
          <w:rFonts w:ascii="Calibri" w:hAnsi="Calibri"/>
          <w:color w:val="000000" w:themeColor="text1"/>
          <w:szCs w:val="22"/>
        </w:rPr>
        <w:t xml:space="preserve">; addition </w:t>
      </w:r>
      <w:r w:rsidR="00816F61">
        <w:rPr>
          <w:rFonts w:ascii="Calibri" w:hAnsi="Calibri"/>
          <w:color w:val="000000" w:themeColor="text1"/>
          <w:szCs w:val="22"/>
        </w:rPr>
        <w:t xml:space="preserve">of </w:t>
      </w:r>
      <w:r w:rsidR="00223F89">
        <w:rPr>
          <w:rFonts w:ascii="Calibri" w:hAnsi="Calibri"/>
          <w:color w:val="000000" w:themeColor="text1"/>
          <w:szCs w:val="22"/>
        </w:rPr>
        <w:t xml:space="preserve">‘remotely piloted aircraft, hot-air balloons, weather balloons, and atmospheric balloons’; and clarify that aircraft does not include remotely piloted aircraft, hot-air balloons, weather balloons, and atmospheric balloons. </w:t>
      </w:r>
    </w:p>
    <w:p w14:paraId="64129101" w14:textId="4C07C3D0" w:rsidR="00014623" w:rsidRPr="00014623" w:rsidRDefault="006D4FCF" w:rsidP="00014623">
      <w:pPr>
        <w:pStyle w:val="BodyText1"/>
        <w:tabs>
          <w:tab w:val="left" w:pos="993"/>
          <w:tab w:val="left" w:pos="1134"/>
        </w:tabs>
        <w:ind w:left="851" w:hanging="851"/>
        <w:rPr>
          <w:rFonts w:ascii="Calibri" w:hAnsi="Calibri"/>
          <w:color w:val="000000" w:themeColor="text1"/>
          <w:szCs w:val="22"/>
        </w:rPr>
      </w:pPr>
      <w:r>
        <w:rPr>
          <w:rFonts w:ascii="Calibri" w:hAnsi="Calibri"/>
          <w:color w:val="000000" w:themeColor="text1"/>
          <w:szCs w:val="22"/>
        </w:rPr>
        <w:tab/>
      </w:r>
      <w:r w:rsidR="00701B49">
        <w:rPr>
          <w:rFonts w:ascii="Calibri" w:hAnsi="Calibri"/>
          <w:color w:val="000000" w:themeColor="text1"/>
          <w:szCs w:val="22"/>
        </w:rPr>
        <w:t xml:space="preserve">A definition for ‘remotely piloted aircraft’ has been added. The definition has the meaning given to in the </w:t>
      </w:r>
      <w:r w:rsidR="00701B49" w:rsidRPr="00701B49">
        <w:rPr>
          <w:rFonts w:ascii="Calibri" w:hAnsi="Calibri"/>
          <w:i/>
          <w:color w:val="000000" w:themeColor="text1"/>
          <w:szCs w:val="22"/>
        </w:rPr>
        <w:t>Civil Aviation Safety Authority Regulations 1998</w:t>
      </w:r>
      <w:r w:rsidR="00701B49">
        <w:rPr>
          <w:rFonts w:ascii="Calibri" w:hAnsi="Calibri"/>
          <w:color w:val="000000" w:themeColor="text1"/>
          <w:szCs w:val="22"/>
        </w:rPr>
        <w:t>.</w:t>
      </w:r>
    </w:p>
    <w:p w14:paraId="58BE1864" w14:textId="0DA023B2" w:rsidR="00014623" w:rsidRPr="00014623" w:rsidRDefault="00014623" w:rsidP="00394834">
      <w:pPr>
        <w:pStyle w:val="BodyText1"/>
        <w:tabs>
          <w:tab w:val="left" w:pos="1134"/>
        </w:tabs>
        <w:ind w:left="851"/>
        <w:rPr>
          <w:rFonts w:ascii="Calibri" w:hAnsi="Calibri"/>
          <w:color w:val="000000" w:themeColor="text1"/>
          <w:szCs w:val="22"/>
        </w:rPr>
      </w:pPr>
      <w:r w:rsidRPr="00014623">
        <w:rPr>
          <w:rFonts w:ascii="Calibri" w:hAnsi="Calibri"/>
          <w:color w:val="000000" w:themeColor="text1"/>
          <w:szCs w:val="22"/>
        </w:rPr>
        <w:t>The definition for ‘</w:t>
      </w:r>
      <w:r w:rsidR="002D4ED2">
        <w:rPr>
          <w:rFonts w:ascii="Calibri" w:hAnsi="Calibri"/>
          <w:color w:val="000000" w:themeColor="text1"/>
          <w:szCs w:val="22"/>
        </w:rPr>
        <w:t xml:space="preserve">traveller’ has been amended to ensure that Comcover is only covering travel for persons that are both approved and funded by the Fund Member. This includes individuals such as </w:t>
      </w:r>
      <w:r w:rsidR="00B07619">
        <w:rPr>
          <w:rFonts w:ascii="Calibri" w:hAnsi="Calibri"/>
          <w:color w:val="000000" w:themeColor="text1"/>
          <w:szCs w:val="22"/>
        </w:rPr>
        <w:t xml:space="preserve">accompanying persons, </w:t>
      </w:r>
      <w:r w:rsidR="002D4ED2">
        <w:rPr>
          <w:rFonts w:ascii="Calibri" w:hAnsi="Calibri"/>
          <w:color w:val="000000" w:themeColor="text1"/>
          <w:szCs w:val="22"/>
        </w:rPr>
        <w:t xml:space="preserve">contractors, consultants and volunteers where the Fund Member has approved and funded their travel. </w:t>
      </w:r>
    </w:p>
    <w:p w14:paraId="06608FB1" w14:textId="0DA28CFF" w:rsidR="00014623" w:rsidRPr="00014623" w:rsidRDefault="00014623" w:rsidP="00014623">
      <w:pPr>
        <w:pStyle w:val="BodyText1"/>
        <w:tabs>
          <w:tab w:val="left" w:pos="993"/>
          <w:tab w:val="left" w:pos="1134"/>
        </w:tabs>
        <w:ind w:left="851" w:hanging="851"/>
        <w:rPr>
          <w:rFonts w:ascii="Calibri" w:hAnsi="Calibri"/>
          <w:color w:val="000000" w:themeColor="text1"/>
          <w:szCs w:val="22"/>
        </w:rPr>
      </w:pPr>
      <w:r w:rsidRPr="00014623">
        <w:rPr>
          <w:rFonts w:ascii="Calibri" w:hAnsi="Calibri"/>
          <w:color w:val="000000" w:themeColor="text1"/>
          <w:szCs w:val="22"/>
        </w:rPr>
        <w:tab/>
        <w:t xml:space="preserve">For the sake of clarity, specifically defined words are highlighted in bold type throughout the document: some words have been given initial capitals to satisfy convention, but that does not affect their meaning or interpretation. </w:t>
      </w:r>
    </w:p>
    <w:p w14:paraId="41751CE4" w14:textId="77777777" w:rsidR="00014623" w:rsidRPr="00014623" w:rsidRDefault="00014623" w:rsidP="00014623">
      <w:pPr>
        <w:pStyle w:val="Heading3"/>
        <w:tabs>
          <w:tab w:val="left" w:pos="567"/>
        </w:tabs>
        <w:spacing w:after="240" w:line="240" w:lineRule="exact"/>
        <w:contextualSpacing w:val="0"/>
        <w:rPr>
          <w:rFonts w:ascii="Calibri" w:hAnsi="Calibri"/>
          <w:smallCaps/>
          <w:color w:val="77B6BD" w:themeColor="accent1" w:themeShade="BF"/>
          <w:sz w:val="24"/>
          <w:szCs w:val="24"/>
        </w:rPr>
      </w:pPr>
      <w:r w:rsidRPr="00014623">
        <w:rPr>
          <w:rFonts w:ascii="Calibri" w:hAnsi="Calibri"/>
          <w:smallCaps/>
          <w:color w:val="77B6BD" w:themeColor="accent1" w:themeShade="BF"/>
          <w:sz w:val="24"/>
          <w:szCs w:val="24"/>
        </w:rPr>
        <w:t>Chapter 3 – Liability</w:t>
      </w:r>
    </w:p>
    <w:p w14:paraId="44E23B62" w14:textId="77777777" w:rsidR="00014623" w:rsidRPr="00014623" w:rsidRDefault="00014623" w:rsidP="0081532C">
      <w:pPr>
        <w:pStyle w:val="Heading3"/>
        <w:tabs>
          <w:tab w:val="left" w:pos="993"/>
        </w:tabs>
        <w:spacing w:before="120" w:line="240" w:lineRule="auto"/>
        <w:ind w:left="851" w:hanging="851"/>
        <w:contextualSpacing w:val="0"/>
        <w:rPr>
          <w:rFonts w:ascii="Calibri" w:hAnsi="Calibri"/>
          <w:b/>
          <w:color w:val="000000" w:themeColor="text1"/>
          <w:sz w:val="22"/>
          <w:szCs w:val="22"/>
        </w:rPr>
      </w:pPr>
      <w:r w:rsidRPr="00014623">
        <w:rPr>
          <w:rFonts w:ascii="Calibri" w:hAnsi="Calibri"/>
          <w:b/>
          <w:color w:val="000000" w:themeColor="text1"/>
          <w:sz w:val="22"/>
          <w:szCs w:val="22"/>
        </w:rPr>
        <w:t>6.</w:t>
      </w:r>
      <w:r w:rsidRPr="00014623">
        <w:rPr>
          <w:rFonts w:ascii="Calibri" w:hAnsi="Calibri"/>
          <w:b/>
          <w:color w:val="000000" w:themeColor="text1"/>
          <w:sz w:val="22"/>
          <w:szCs w:val="22"/>
        </w:rPr>
        <w:tab/>
        <w:t>General Liability and Professional Indemnity</w:t>
      </w:r>
    </w:p>
    <w:p w14:paraId="360CEF4D" w14:textId="57D64D98" w:rsidR="00014623" w:rsidRDefault="00014623" w:rsidP="0081532C">
      <w:pPr>
        <w:pStyle w:val="Heading3"/>
        <w:tabs>
          <w:tab w:val="left" w:pos="993"/>
        </w:tabs>
        <w:spacing w:before="120" w:after="240" w:line="276" w:lineRule="auto"/>
        <w:ind w:left="851" w:hanging="851"/>
        <w:contextualSpacing w:val="0"/>
        <w:rPr>
          <w:rFonts w:ascii="Calibri" w:hAnsi="Calibri"/>
          <w:color w:val="000000" w:themeColor="text1"/>
          <w:sz w:val="22"/>
          <w:szCs w:val="22"/>
        </w:rPr>
      </w:pPr>
      <w:r w:rsidRPr="00014623">
        <w:rPr>
          <w:rFonts w:ascii="Calibri" w:hAnsi="Calibri"/>
          <w:color w:val="000000" w:themeColor="text1"/>
          <w:sz w:val="22"/>
          <w:szCs w:val="22"/>
        </w:rPr>
        <w:t>6(1)</w:t>
      </w:r>
      <w:r w:rsidR="00394834">
        <w:rPr>
          <w:rFonts w:ascii="Calibri" w:hAnsi="Calibri"/>
          <w:color w:val="000000" w:themeColor="text1"/>
          <w:sz w:val="22"/>
          <w:szCs w:val="22"/>
        </w:rPr>
        <w:t>(b</w:t>
      </w:r>
      <w:r w:rsidRPr="00014623">
        <w:rPr>
          <w:rFonts w:ascii="Calibri" w:hAnsi="Calibri"/>
          <w:color w:val="000000" w:themeColor="text1"/>
          <w:sz w:val="22"/>
          <w:szCs w:val="22"/>
        </w:rPr>
        <w:t xml:space="preserve">) </w:t>
      </w:r>
      <w:r w:rsidRPr="00014623">
        <w:rPr>
          <w:rFonts w:ascii="Calibri" w:hAnsi="Calibri"/>
          <w:color w:val="000000" w:themeColor="text1"/>
          <w:sz w:val="22"/>
          <w:szCs w:val="22"/>
        </w:rPr>
        <w:tab/>
      </w:r>
      <w:r w:rsidR="0081532C" w:rsidRPr="0081532C">
        <w:rPr>
          <w:rFonts w:ascii="Calibri" w:eastAsia="Times New Roman" w:hAnsi="Calibri" w:cs="Times New Roman"/>
          <w:bCs w:val="0"/>
          <w:color w:val="000000" w:themeColor="text1"/>
          <w:sz w:val="22"/>
          <w:szCs w:val="22"/>
        </w:rPr>
        <w:t>Section amended to reflect the common use of terminology around the causes of action for unlawful arrest or false imprisonment</w:t>
      </w:r>
      <w:r w:rsidRPr="0081532C">
        <w:rPr>
          <w:rFonts w:ascii="Calibri" w:eastAsia="Times New Roman" w:hAnsi="Calibri" w:cs="Times New Roman"/>
          <w:bCs w:val="0"/>
          <w:color w:val="000000" w:themeColor="text1"/>
          <w:sz w:val="22"/>
          <w:szCs w:val="22"/>
        </w:rPr>
        <w:t>.</w:t>
      </w:r>
      <w:r w:rsidR="0081532C" w:rsidRPr="0081532C">
        <w:rPr>
          <w:rFonts w:ascii="Calibri" w:eastAsia="Times New Roman" w:hAnsi="Calibri" w:cs="Times New Roman"/>
          <w:bCs w:val="0"/>
          <w:color w:val="000000" w:themeColor="text1"/>
          <w:sz w:val="22"/>
          <w:szCs w:val="22"/>
        </w:rPr>
        <w:t xml:space="preserve"> The term ‘humiliation’ has been removed as it is not a cause of action that gives rise, of itself, to compensation</w:t>
      </w:r>
      <w:r w:rsidR="0081532C">
        <w:rPr>
          <w:rFonts w:ascii="Calibri" w:hAnsi="Calibri"/>
          <w:color w:val="000000" w:themeColor="text1"/>
          <w:sz w:val="22"/>
          <w:szCs w:val="22"/>
        </w:rPr>
        <w:t xml:space="preserve">. </w:t>
      </w:r>
      <w:r w:rsidRPr="00014623">
        <w:rPr>
          <w:rFonts w:ascii="Calibri" w:hAnsi="Calibri"/>
          <w:color w:val="000000" w:themeColor="text1"/>
          <w:sz w:val="22"/>
          <w:szCs w:val="22"/>
        </w:rPr>
        <w:t xml:space="preserve"> </w:t>
      </w:r>
    </w:p>
    <w:p w14:paraId="68A9DDB2" w14:textId="7D4CADE7" w:rsidR="0081532C" w:rsidRDefault="0081532C" w:rsidP="0081532C">
      <w:pPr>
        <w:pStyle w:val="Heading3"/>
        <w:tabs>
          <w:tab w:val="left" w:pos="993"/>
        </w:tabs>
        <w:spacing w:before="120" w:after="240" w:line="276" w:lineRule="auto"/>
        <w:ind w:left="851" w:hanging="851"/>
        <w:contextualSpacing w:val="0"/>
        <w:rPr>
          <w:rFonts w:ascii="Calibri" w:hAnsi="Calibri"/>
          <w:color w:val="000000" w:themeColor="text1"/>
          <w:sz w:val="22"/>
          <w:szCs w:val="22"/>
        </w:rPr>
      </w:pPr>
      <w:r w:rsidRPr="00014623">
        <w:rPr>
          <w:rFonts w:ascii="Calibri" w:hAnsi="Calibri"/>
          <w:color w:val="000000" w:themeColor="text1"/>
          <w:sz w:val="22"/>
          <w:szCs w:val="22"/>
        </w:rPr>
        <w:t>6(1)</w:t>
      </w:r>
      <w:r w:rsidR="00802DB0">
        <w:rPr>
          <w:rFonts w:ascii="Calibri" w:hAnsi="Calibri"/>
          <w:color w:val="000000" w:themeColor="text1"/>
          <w:sz w:val="22"/>
          <w:szCs w:val="22"/>
        </w:rPr>
        <w:t>(e</w:t>
      </w:r>
      <w:r w:rsidRPr="00014623">
        <w:rPr>
          <w:rFonts w:ascii="Calibri" w:hAnsi="Calibri"/>
          <w:color w:val="000000" w:themeColor="text1"/>
          <w:sz w:val="22"/>
          <w:szCs w:val="22"/>
        </w:rPr>
        <w:t xml:space="preserve">) </w:t>
      </w:r>
      <w:r w:rsidRPr="00014623">
        <w:rPr>
          <w:rFonts w:ascii="Calibri" w:hAnsi="Calibri"/>
          <w:color w:val="000000" w:themeColor="text1"/>
          <w:sz w:val="22"/>
          <w:szCs w:val="22"/>
        </w:rPr>
        <w:tab/>
      </w:r>
      <w:r w:rsidR="00802DB0">
        <w:rPr>
          <w:rFonts w:ascii="Calibri" w:hAnsi="Calibri"/>
          <w:color w:val="000000" w:themeColor="text1"/>
          <w:sz w:val="22"/>
          <w:szCs w:val="22"/>
        </w:rPr>
        <w:t xml:space="preserve">Amended to explicitly state ‘injurious falsehood’ and ‘negligent misstatement’ as instances where the Fund Member may be legally liable to pay compensation. </w:t>
      </w:r>
      <w:r>
        <w:rPr>
          <w:rFonts w:ascii="Calibri" w:hAnsi="Calibri"/>
          <w:color w:val="000000" w:themeColor="text1"/>
          <w:sz w:val="22"/>
          <w:szCs w:val="22"/>
        </w:rPr>
        <w:t xml:space="preserve"> </w:t>
      </w:r>
      <w:r w:rsidRPr="00014623">
        <w:rPr>
          <w:rFonts w:ascii="Calibri" w:hAnsi="Calibri"/>
          <w:color w:val="000000" w:themeColor="text1"/>
          <w:sz w:val="22"/>
          <w:szCs w:val="22"/>
        </w:rPr>
        <w:t xml:space="preserve"> </w:t>
      </w:r>
    </w:p>
    <w:p w14:paraId="6CA3B876" w14:textId="77777777" w:rsidR="00D517B9" w:rsidRDefault="00D517B9" w:rsidP="00D517B9">
      <w:pPr>
        <w:pStyle w:val="Heading3"/>
        <w:tabs>
          <w:tab w:val="left" w:pos="993"/>
        </w:tabs>
        <w:spacing w:before="120" w:after="240" w:line="276" w:lineRule="auto"/>
        <w:ind w:left="851" w:hanging="851"/>
        <w:contextualSpacing w:val="0"/>
        <w:rPr>
          <w:rFonts w:ascii="Calibri" w:hAnsi="Calibri"/>
          <w:color w:val="000000" w:themeColor="text1"/>
          <w:sz w:val="22"/>
          <w:szCs w:val="22"/>
        </w:rPr>
      </w:pPr>
      <w:r>
        <w:rPr>
          <w:rFonts w:ascii="Calibri" w:hAnsi="Calibri"/>
          <w:b/>
          <w:color w:val="000000" w:themeColor="text1"/>
          <w:sz w:val="22"/>
          <w:szCs w:val="22"/>
        </w:rPr>
        <w:t>7.</w:t>
      </w:r>
      <w:r>
        <w:rPr>
          <w:rFonts w:ascii="Calibri" w:hAnsi="Calibri"/>
          <w:b/>
          <w:color w:val="000000" w:themeColor="text1"/>
          <w:sz w:val="22"/>
          <w:szCs w:val="22"/>
        </w:rPr>
        <w:tab/>
        <w:t>Directors’ and Officers’ Liability</w:t>
      </w:r>
    </w:p>
    <w:p w14:paraId="5FE877C8" w14:textId="77777777" w:rsidR="00D517B9" w:rsidRDefault="00D517B9" w:rsidP="00D517B9">
      <w:pPr>
        <w:pStyle w:val="Heading3"/>
        <w:tabs>
          <w:tab w:val="left" w:pos="993"/>
        </w:tabs>
        <w:spacing w:before="120" w:after="240" w:line="276" w:lineRule="auto"/>
        <w:ind w:left="851" w:hanging="851"/>
        <w:contextualSpacing w:val="0"/>
        <w:rPr>
          <w:rFonts w:ascii="Calibri" w:hAnsi="Calibri"/>
          <w:color w:val="000000" w:themeColor="text1"/>
          <w:sz w:val="22"/>
          <w:szCs w:val="22"/>
        </w:rPr>
      </w:pPr>
      <w:r>
        <w:rPr>
          <w:rFonts w:ascii="Calibri" w:hAnsi="Calibri"/>
          <w:color w:val="000000" w:themeColor="text1"/>
          <w:sz w:val="22"/>
          <w:szCs w:val="22"/>
        </w:rPr>
        <w:t>7(7</w:t>
      </w:r>
      <w:r w:rsidRPr="00014623">
        <w:rPr>
          <w:rFonts w:ascii="Calibri" w:hAnsi="Calibri"/>
          <w:color w:val="000000" w:themeColor="text1"/>
          <w:sz w:val="22"/>
          <w:szCs w:val="22"/>
        </w:rPr>
        <w:t>)</w:t>
      </w:r>
      <w:r>
        <w:rPr>
          <w:rFonts w:ascii="Calibri" w:hAnsi="Calibri"/>
          <w:color w:val="000000" w:themeColor="text1"/>
          <w:sz w:val="22"/>
          <w:szCs w:val="22"/>
        </w:rPr>
        <w:t>(a</w:t>
      </w:r>
      <w:r w:rsidRPr="00014623">
        <w:rPr>
          <w:rFonts w:ascii="Calibri" w:hAnsi="Calibri"/>
          <w:color w:val="000000" w:themeColor="text1"/>
          <w:sz w:val="22"/>
          <w:szCs w:val="22"/>
        </w:rPr>
        <w:t xml:space="preserve">) </w:t>
      </w:r>
      <w:r w:rsidRPr="00014623">
        <w:rPr>
          <w:rFonts w:ascii="Calibri" w:hAnsi="Calibri"/>
          <w:color w:val="000000" w:themeColor="text1"/>
          <w:sz w:val="22"/>
          <w:szCs w:val="22"/>
        </w:rPr>
        <w:tab/>
      </w:r>
      <w:r>
        <w:rPr>
          <w:rFonts w:ascii="Calibri" w:hAnsi="Calibri"/>
          <w:color w:val="000000" w:themeColor="text1"/>
          <w:sz w:val="22"/>
          <w:szCs w:val="22"/>
        </w:rPr>
        <w:t>Wording amended to avoid uncertainty over what constitutes a claim for emotional distress in the context of an employment practices claim.</w:t>
      </w:r>
    </w:p>
    <w:p w14:paraId="01B88117" w14:textId="77777777" w:rsidR="00BF5611" w:rsidRPr="00BF5611" w:rsidRDefault="00BF5611" w:rsidP="00BF5611"/>
    <w:p w14:paraId="29452881" w14:textId="77777777" w:rsidR="00014623" w:rsidRPr="00014623" w:rsidRDefault="00014623" w:rsidP="00014623">
      <w:pPr>
        <w:pStyle w:val="Heading3"/>
        <w:tabs>
          <w:tab w:val="left" w:pos="567"/>
        </w:tabs>
        <w:spacing w:after="240" w:line="240" w:lineRule="exact"/>
        <w:contextualSpacing w:val="0"/>
        <w:rPr>
          <w:rFonts w:ascii="Calibri" w:hAnsi="Calibri"/>
          <w:smallCaps/>
          <w:color w:val="77B6BD" w:themeColor="accent1" w:themeShade="BF"/>
          <w:sz w:val="24"/>
          <w:szCs w:val="24"/>
        </w:rPr>
      </w:pPr>
      <w:r w:rsidRPr="00014623">
        <w:rPr>
          <w:rFonts w:ascii="Calibri" w:hAnsi="Calibri"/>
          <w:smallCaps/>
          <w:color w:val="77B6BD" w:themeColor="accent1" w:themeShade="BF"/>
          <w:sz w:val="24"/>
          <w:szCs w:val="24"/>
        </w:rPr>
        <w:lastRenderedPageBreak/>
        <w:t>Chapter 4 – Property</w:t>
      </w:r>
    </w:p>
    <w:p w14:paraId="5D2F93EF" w14:textId="5605A441" w:rsidR="00014623" w:rsidRPr="00014623" w:rsidRDefault="00543C53" w:rsidP="00014623">
      <w:pPr>
        <w:pStyle w:val="Heading3"/>
        <w:tabs>
          <w:tab w:val="left" w:pos="993"/>
        </w:tabs>
        <w:spacing w:before="120" w:line="240" w:lineRule="auto"/>
        <w:ind w:left="851" w:hanging="851"/>
        <w:rPr>
          <w:rFonts w:ascii="Calibri" w:hAnsi="Calibri"/>
          <w:b/>
          <w:color w:val="000000" w:themeColor="text1"/>
          <w:sz w:val="22"/>
          <w:szCs w:val="22"/>
        </w:rPr>
      </w:pPr>
      <w:r>
        <w:rPr>
          <w:rFonts w:ascii="Calibri" w:hAnsi="Calibri"/>
          <w:b/>
          <w:color w:val="000000" w:themeColor="text1"/>
          <w:sz w:val="22"/>
          <w:szCs w:val="22"/>
        </w:rPr>
        <w:t>10</w:t>
      </w:r>
      <w:r w:rsidR="00014623" w:rsidRPr="00014623">
        <w:rPr>
          <w:rFonts w:ascii="Calibri" w:hAnsi="Calibri"/>
          <w:b/>
          <w:color w:val="000000" w:themeColor="text1"/>
          <w:sz w:val="22"/>
          <w:szCs w:val="22"/>
        </w:rPr>
        <w:t xml:space="preserve">. </w:t>
      </w:r>
      <w:r w:rsidR="00014623" w:rsidRPr="00014623">
        <w:rPr>
          <w:rFonts w:ascii="Calibri" w:hAnsi="Calibri"/>
          <w:b/>
          <w:color w:val="000000" w:themeColor="text1"/>
          <w:sz w:val="22"/>
          <w:szCs w:val="22"/>
        </w:rPr>
        <w:tab/>
      </w:r>
      <w:r>
        <w:rPr>
          <w:rFonts w:ascii="Calibri" w:hAnsi="Calibri"/>
          <w:b/>
          <w:color w:val="000000" w:themeColor="text1"/>
          <w:sz w:val="22"/>
          <w:szCs w:val="22"/>
        </w:rPr>
        <w:t>Fraud</w:t>
      </w:r>
    </w:p>
    <w:p w14:paraId="054B2513" w14:textId="3E3B0C1B" w:rsidR="00014623" w:rsidRPr="00014623" w:rsidRDefault="00543C53" w:rsidP="00EF264F">
      <w:pPr>
        <w:pStyle w:val="BodyText1"/>
        <w:tabs>
          <w:tab w:val="left" w:pos="993"/>
        </w:tabs>
        <w:spacing w:after="240"/>
        <w:ind w:left="851" w:hanging="851"/>
        <w:rPr>
          <w:rFonts w:ascii="Calibri" w:hAnsi="Calibri"/>
          <w:color w:val="000000" w:themeColor="text1"/>
          <w:szCs w:val="22"/>
        </w:rPr>
      </w:pPr>
      <w:r>
        <w:rPr>
          <w:rFonts w:ascii="Calibri" w:hAnsi="Calibri"/>
          <w:color w:val="000000" w:themeColor="text1"/>
          <w:szCs w:val="22"/>
        </w:rPr>
        <w:t>10(1)(c</w:t>
      </w:r>
      <w:r w:rsidR="00014623" w:rsidRPr="00014623">
        <w:rPr>
          <w:rFonts w:ascii="Calibri" w:hAnsi="Calibri"/>
          <w:color w:val="000000" w:themeColor="text1"/>
          <w:szCs w:val="22"/>
        </w:rPr>
        <w:t xml:space="preserve">) </w:t>
      </w:r>
      <w:r w:rsidR="00014623" w:rsidRPr="00014623">
        <w:rPr>
          <w:rFonts w:ascii="Calibri" w:hAnsi="Calibri"/>
          <w:color w:val="000000" w:themeColor="text1"/>
          <w:szCs w:val="22"/>
        </w:rPr>
        <w:tab/>
      </w:r>
      <w:r w:rsidR="001B2283" w:rsidRPr="00014623">
        <w:rPr>
          <w:rFonts w:ascii="Calibri" w:hAnsi="Calibri"/>
          <w:color w:val="000000" w:themeColor="text1"/>
          <w:szCs w:val="22"/>
        </w:rPr>
        <w:t xml:space="preserve">Addition of ‘committee’ as this is a common type of body. The </w:t>
      </w:r>
      <w:r w:rsidR="001B2283">
        <w:rPr>
          <w:rFonts w:ascii="Calibri" w:hAnsi="Calibri"/>
          <w:color w:val="000000" w:themeColor="text1"/>
          <w:szCs w:val="22"/>
        </w:rPr>
        <w:t>2016-17</w:t>
      </w:r>
      <w:r w:rsidR="001B2283" w:rsidRPr="00014623">
        <w:rPr>
          <w:rFonts w:ascii="Calibri" w:hAnsi="Calibri"/>
          <w:color w:val="000000" w:themeColor="text1"/>
          <w:szCs w:val="22"/>
        </w:rPr>
        <w:t xml:space="preserve"> Statement of Cover only referred to members of ‘a board, commission, or other body’</w:t>
      </w:r>
      <w:r>
        <w:rPr>
          <w:rFonts w:ascii="Calibri" w:hAnsi="Calibri"/>
          <w:color w:val="000000" w:themeColor="text1"/>
          <w:szCs w:val="22"/>
        </w:rPr>
        <w:t xml:space="preserve">. </w:t>
      </w:r>
    </w:p>
    <w:p w14:paraId="7AE30F07" w14:textId="77777777" w:rsidR="00014623" w:rsidRPr="00014623" w:rsidRDefault="00014623" w:rsidP="00014623">
      <w:pPr>
        <w:pStyle w:val="Heading3"/>
        <w:tabs>
          <w:tab w:val="left" w:pos="567"/>
        </w:tabs>
        <w:spacing w:line="240" w:lineRule="exact"/>
        <w:rPr>
          <w:rFonts w:ascii="Calibri" w:hAnsi="Calibri"/>
          <w:smallCaps/>
          <w:color w:val="77B6BD" w:themeColor="accent1" w:themeShade="BF"/>
          <w:sz w:val="24"/>
          <w:szCs w:val="24"/>
        </w:rPr>
      </w:pPr>
      <w:r w:rsidRPr="00014623">
        <w:rPr>
          <w:rFonts w:ascii="Calibri" w:hAnsi="Calibri"/>
          <w:smallCaps/>
          <w:color w:val="77B6BD" w:themeColor="accent1" w:themeShade="BF"/>
          <w:sz w:val="24"/>
          <w:szCs w:val="24"/>
        </w:rPr>
        <w:t>Chapter 5 – Motor Vehicle</w:t>
      </w:r>
    </w:p>
    <w:p w14:paraId="73C4886F" w14:textId="77777777" w:rsidR="00014623" w:rsidRPr="00014623" w:rsidRDefault="00014623" w:rsidP="00014623">
      <w:pPr>
        <w:pStyle w:val="BodyText1"/>
        <w:tabs>
          <w:tab w:val="left" w:pos="993"/>
        </w:tabs>
        <w:spacing w:before="120" w:after="120" w:line="240" w:lineRule="auto"/>
        <w:ind w:left="851" w:hanging="851"/>
        <w:rPr>
          <w:rFonts w:ascii="Calibri" w:hAnsi="Calibri"/>
          <w:b/>
          <w:color w:val="000000" w:themeColor="text1"/>
          <w:szCs w:val="22"/>
        </w:rPr>
      </w:pPr>
      <w:r w:rsidRPr="00014623">
        <w:rPr>
          <w:rFonts w:ascii="Calibri" w:hAnsi="Calibri"/>
          <w:b/>
          <w:color w:val="000000" w:themeColor="text1"/>
          <w:szCs w:val="22"/>
        </w:rPr>
        <w:t>12.</w:t>
      </w:r>
      <w:r w:rsidRPr="00014623">
        <w:rPr>
          <w:rFonts w:ascii="Calibri" w:hAnsi="Calibri"/>
          <w:b/>
          <w:color w:val="000000" w:themeColor="text1"/>
          <w:szCs w:val="22"/>
        </w:rPr>
        <w:tab/>
        <w:t>Motor Vehicle</w:t>
      </w:r>
    </w:p>
    <w:p w14:paraId="55B30521" w14:textId="487CECFE" w:rsidR="00014623" w:rsidRPr="00014623" w:rsidRDefault="00284623" w:rsidP="00014623">
      <w:pPr>
        <w:pStyle w:val="BodyText1"/>
        <w:tabs>
          <w:tab w:val="left" w:pos="993"/>
        </w:tabs>
        <w:ind w:left="851" w:hanging="851"/>
        <w:rPr>
          <w:rFonts w:ascii="Calibri" w:hAnsi="Calibri"/>
          <w:color w:val="000000" w:themeColor="text1"/>
          <w:szCs w:val="22"/>
        </w:rPr>
      </w:pPr>
      <w:r>
        <w:rPr>
          <w:rFonts w:ascii="Calibri" w:hAnsi="Calibri"/>
          <w:color w:val="000000" w:themeColor="text1"/>
          <w:szCs w:val="22"/>
        </w:rPr>
        <w:t>12(2)(d</w:t>
      </w:r>
      <w:r w:rsidR="00014623" w:rsidRPr="00014623">
        <w:rPr>
          <w:rFonts w:ascii="Calibri" w:hAnsi="Calibri"/>
          <w:color w:val="000000" w:themeColor="text1"/>
          <w:szCs w:val="22"/>
        </w:rPr>
        <w:t>)</w:t>
      </w:r>
      <w:r w:rsidR="00014623" w:rsidRPr="00014623">
        <w:rPr>
          <w:rFonts w:ascii="Calibri" w:hAnsi="Calibri"/>
          <w:color w:val="000000" w:themeColor="text1"/>
          <w:szCs w:val="22"/>
        </w:rPr>
        <w:tab/>
      </w:r>
      <w:r>
        <w:rPr>
          <w:rFonts w:ascii="Calibri" w:hAnsi="Calibri"/>
          <w:color w:val="000000" w:themeColor="text1"/>
          <w:szCs w:val="22"/>
        </w:rPr>
        <w:t>To prevent any uncertainty, this section now explicitly states that the maximum amount covered per claim and the daily cap are both inclusive of GST</w:t>
      </w:r>
      <w:r w:rsidR="00014623" w:rsidRPr="00014623">
        <w:rPr>
          <w:rFonts w:ascii="Calibri" w:hAnsi="Calibri"/>
          <w:color w:val="000000" w:themeColor="text1"/>
          <w:szCs w:val="22"/>
        </w:rPr>
        <w:t xml:space="preserve">. </w:t>
      </w:r>
    </w:p>
    <w:p w14:paraId="4FD8B81A" w14:textId="5963782C" w:rsidR="00014623" w:rsidRPr="00014623" w:rsidRDefault="00284623" w:rsidP="00014623">
      <w:pPr>
        <w:pStyle w:val="BodyText1"/>
        <w:tabs>
          <w:tab w:val="left" w:pos="993"/>
        </w:tabs>
        <w:ind w:left="851" w:hanging="851"/>
        <w:rPr>
          <w:rFonts w:ascii="Calibri" w:hAnsi="Calibri"/>
          <w:color w:val="000000" w:themeColor="text1"/>
          <w:szCs w:val="22"/>
        </w:rPr>
      </w:pPr>
      <w:r>
        <w:rPr>
          <w:rFonts w:ascii="Calibri" w:hAnsi="Calibri"/>
          <w:color w:val="000000" w:themeColor="text1"/>
          <w:szCs w:val="22"/>
        </w:rPr>
        <w:t>12(2)(e</w:t>
      </w:r>
      <w:r w:rsidR="00014623" w:rsidRPr="00014623">
        <w:rPr>
          <w:rFonts w:ascii="Calibri" w:hAnsi="Calibri"/>
          <w:color w:val="000000" w:themeColor="text1"/>
          <w:szCs w:val="22"/>
        </w:rPr>
        <w:t>)</w:t>
      </w:r>
      <w:r w:rsidR="00014623" w:rsidRPr="00014623">
        <w:rPr>
          <w:rFonts w:ascii="Calibri" w:hAnsi="Calibri"/>
          <w:color w:val="000000" w:themeColor="text1"/>
          <w:szCs w:val="22"/>
        </w:rPr>
        <w:tab/>
      </w:r>
      <w:r>
        <w:rPr>
          <w:rFonts w:ascii="Calibri" w:hAnsi="Calibri"/>
          <w:color w:val="000000" w:themeColor="text1"/>
          <w:szCs w:val="22"/>
        </w:rPr>
        <w:t>To prevent any uncertainty, this section now explicitly states that the maximum amount covered per claim and the daily cap are both inclusive of GST</w:t>
      </w:r>
      <w:r w:rsidR="00014623" w:rsidRPr="00014623">
        <w:rPr>
          <w:rFonts w:ascii="Calibri" w:hAnsi="Calibri"/>
          <w:color w:val="000000" w:themeColor="text1"/>
          <w:szCs w:val="22"/>
        </w:rPr>
        <w:t xml:space="preserve">. </w:t>
      </w:r>
    </w:p>
    <w:p w14:paraId="64FAC387" w14:textId="77777777" w:rsidR="00014623" w:rsidRPr="00014623" w:rsidRDefault="00014623" w:rsidP="00014623">
      <w:pPr>
        <w:pStyle w:val="Heading3"/>
        <w:tabs>
          <w:tab w:val="left" w:pos="567"/>
        </w:tabs>
        <w:spacing w:line="240" w:lineRule="exact"/>
        <w:rPr>
          <w:rFonts w:ascii="Calibri" w:hAnsi="Calibri"/>
          <w:smallCaps/>
          <w:color w:val="77B6BD" w:themeColor="accent1" w:themeShade="BF"/>
          <w:sz w:val="24"/>
          <w:szCs w:val="24"/>
        </w:rPr>
      </w:pPr>
      <w:r w:rsidRPr="00014623">
        <w:rPr>
          <w:rFonts w:ascii="Calibri" w:hAnsi="Calibri"/>
          <w:smallCaps/>
          <w:color w:val="77B6BD" w:themeColor="accent1" w:themeShade="BF"/>
          <w:sz w:val="24"/>
          <w:szCs w:val="24"/>
        </w:rPr>
        <w:t>Chapter 6 – Personal Accident and Travel</w:t>
      </w:r>
    </w:p>
    <w:p w14:paraId="032BF58D" w14:textId="3B317396" w:rsidR="00014623" w:rsidRPr="00014623" w:rsidRDefault="001B2283" w:rsidP="00014623">
      <w:pPr>
        <w:pStyle w:val="BodyText1"/>
        <w:tabs>
          <w:tab w:val="left" w:pos="993"/>
        </w:tabs>
        <w:spacing w:before="120" w:after="120" w:line="240" w:lineRule="auto"/>
        <w:ind w:left="851" w:hanging="851"/>
        <w:rPr>
          <w:rFonts w:ascii="Calibri" w:hAnsi="Calibri"/>
          <w:b/>
          <w:color w:val="000000" w:themeColor="text1"/>
          <w:szCs w:val="22"/>
        </w:rPr>
      </w:pPr>
      <w:r>
        <w:rPr>
          <w:rFonts w:ascii="Calibri" w:hAnsi="Calibri"/>
          <w:b/>
          <w:color w:val="000000" w:themeColor="text1"/>
          <w:szCs w:val="22"/>
        </w:rPr>
        <w:t>17</w:t>
      </w:r>
      <w:r w:rsidR="00014623" w:rsidRPr="00014623">
        <w:rPr>
          <w:rFonts w:ascii="Calibri" w:hAnsi="Calibri"/>
          <w:b/>
          <w:color w:val="000000" w:themeColor="text1"/>
          <w:szCs w:val="22"/>
        </w:rPr>
        <w:t>.</w:t>
      </w:r>
      <w:r>
        <w:rPr>
          <w:rFonts w:ascii="Calibri" w:hAnsi="Calibri"/>
          <w:b/>
          <w:color w:val="000000" w:themeColor="text1"/>
          <w:szCs w:val="22"/>
        </w:rPr>
        <w:tab/>
        <w:t>Personal Effects and Travel Inside Country</w:t>
      </w:r>
    </w:p>
    <w:p w14:paraId="4877DE17" w14:textId="5349653E" w:rsidR="00014623" w:rsidRPr="00014623" w:rsidRDefault="001B2283" w:rsidP="00014623">
      <w:pPr>
        <w:pStyle w:val="BodyText1"/>
        <w:tabs>
          <w:tab w:val="left" w:pos="993"/>
        </w:tabs>
        <w:ind w:left="851" w:hanging="851"/>
        <w:rPr>
          <w:rFonts w:ascii="Calibri" w:hAnsi="Calibri"/>
          <w:color w:val="000000" w:themeColor="text1"/>
          <w:szCs w:val="22"/>
        </w:rPr>
      </w:pPr>
      <w:r>
        <w:rPr>
          <w:rFonts w:ascii="Calibri" w:hAnsi="Calibri"/>
          <w:color w:val="000000" w:themeColor="text1"/>
          <w:szCs w:val="22"/>
        </w:rPr>
        <w:t>17(1)</w:t>
      </w:r>
      <w:r w:rsidR="00014623" w:rsidRPr="00014623">
        <w:rPr>
          <w:rFonts w:ascii="Calibri" w:hAnsi="Calibri"/>
          <w:color w:val="000000" w:themeColor="text1"/>
          <w:szCs w:val="22"/>
        </w:rPr>
        <w:tab/>
        <w:t xml:space="preserve">Addition of ‘committee’ as this is a common type of body. The </w:t>
      </w:r>
      <w:r>
        <w:rPr>
          <w:rFonts w:ascii="Calibri" w:hAnsi="Calibri"/>
          <w:color w:val="000000" w:themeColor="text1"/>
          <w:szCs w:val="22"/>
        </w:rPr>
        <w:t>2016-17</w:t>
      </w:r>
      <w:r w:rsidR="00014623" w:rsidRPr="00014623">
        <w:rPr>
          <w:rFonts w:ascii="Calibri" w:hAnsi="Calibri"/>
          <w:color w:val="000000" w:themeColor="text1"/>
          <w:szCs w:val="22"/>
        </w:rPr>
        <w:t xml:space="preserve"> Statement of Cover only referred to members of ‘a board, commission, or other body’.  </w:t>
      </w:r>
    </w:p>
    <w:p w14:paraId="5AD6CF1A" w14:textId="5F051F69" w:rsidR="00014623" w:rsidRPr="001B2283" w:rsidRDefault="00B67B81" w:rsidP="00014623">
      <w:pPr>
        <w:pStyle w:val="BodyText1"/>
        <w:rPr>
          <w:rFonts w:ascii="Calibri" w:hAnsi="Calibri"/>
          <w:szCs w:val="22"/>
        </w:rPr>
      </w:pPr>
      <w:r>
        <w:rPr>
          <w:rFonts w:ascii="Calibri" w:hAnsi="Calibri"/>
          <w:szCs w:val="22"/>
        </w:rPr>
        <w:t xml:space="preserve">Note: </w:t>
      </w:r>
      <w:r w:rsidR="00014623" w:rsidRPr="001B2283">
        <w:rPr>
          <w:rFonts w:ascii="Calibri" w:hAnsi="Calibri"/>
          <w:szCs w:val="22"/>
        </w:rPr>
        <w:t>This is only a sum</w:t>
      </w:r>
      <w:r w:rsidR="001B2283" w:rsidRPr="001B2283">
        <w:rPr>
          <w:rFonts w:ascii="Calibri" w:hAnsi="Calibri"/>
          <w:szCs w:val="22"/>
        </w:rPr>
        <w:t>mary of</w:t>
      </w:r>
      <w:r>
        <w:rPr>
          <w:rFonts w:ascii="Calibri" w:hAnsi="Calibri"/>
          <w:szCs w:val="22"/>
        </w:rPr>
        <w:t xml:space="preserve"> the changes between the 2016-17</w:t>
      </w:r>
      <w:r w:rsidR="00014623" w:rsidRPr="001B2283">
        <w:rPr>
          <w:rFonts w:ascii="Calibri" w:hAnsi="Calibri"/>
          <w:szCs w:val="22"/>
        </w:rPr>
        <w:t xml:space="preserve"> and </w:t>
      </w:r>
      <w:r w:rsidR="001B2283" w:rsidRPr="001B2283">
        <w:rPr>
          <w:rFonts w:ascii="Calibri" w:hAnsi="Calibri"/>
          <w:szCs w:val="22"/>
        </w:rPr>
        <w:t>2017-18</w:t>
      </w:r>
      <w:r w:rsidR="00014623" w:rsidRPr="001B2283">
        <w:rPr>
          <w:rFonts w:ascii="Calibri" w:hAnsi="Calibri"/>
          <w:szCs w:val="22"/>
        </w:rPr>
        <w:t xml:space="preserve"> Statement of Cover. This summary is not definitive and decisions relating to coverage in specific circumstances will be determined in accordance with the wording of the Statement of Cover.  </w:t>
      </w:r>
    </w:p>
    <w:p w14:paraId="131DAE63" w14:textId="2AF32704" w:rsidR="00014623" w:rsidRPr="00B67B81" w:rsidRDefault="00014623" w:rsidP="00B67B81">
      <w:pPr>
        <w:pStyle w:val="BodyText1"/>
        <w:spacing w:after="0"/>
        <w:rPr>
          <w:rFonts w:ascii="Calibri" w:hAnsi="Calibri"/>
          <w:szCs w:val="22"/>
        </w:rPr>
      </w:pPr>
      <w:r w:rsidRPr="00B67B81">
        <w:rPr>
          <w:rFonts w:ascii="Calibri" w:hAnsi="Calibri"/>
          <w:szCs w:val="22"/>
        </w:rPr>
        <w:t>If you require any further information, please contact your Relationship Manager at Comcover on 1800 651 540 (selecting option 3)</w:t>
      </w:r>
      <w:r w:rsidR="00B67B81" w:rsidRPr="00B67B81">
        <w:rPr>
          <w:rFonts w:ascii="Calibri" w:hAnsi="Calibri"/>
          <w:szCs w:val="22"/>
        </w:rPr>
        <w:t>.</w:t>
      </w:r>
    </w:p>
    <w:p w14:paraId="027F8622" w14:textId="55DA674C" w:rsidR="00931029" w:rsidRPr="00014623" w:rsidRDefault="00931029" w:rsidP="00BC6AB5">
      <w:pPr>
        <w:rPr>
          <w:rFonts w:ascii="Calibri" w:hAnsi="Calibri"/>
        </w:rPr>
      </w:pPr>
    </w:p>
    <w:p w14:paraId="36B9A215" w14:textId="68FFF86B" w:rsidR="00931029" w:rsidRPr="00014623" w:rsidRDefault="00931029" w:rsidP="00BC6AB5">
      <w:pPr>
        <w:rPr>
          <w:rFonts w:ascii="Calibri" w:hAnsi="Calibri"/>
        </w:rPr>
      </w:pPr>
    </w:p>
    <w:sectPr w:rsidR="00931029" w:rsidRPr="00014623" w:rsidSect="0039715A">
      <w:headerReference w:type="default" r:id="rId9"/>
      <w:footerReference w:type="default" r:id="rId10"/>
      <w:headerReference w:type="first" r:id="rId11"/>
      <w:footerReference w:type="first" r:id="rId12"/>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68869" w14:textId="77777777" w:rsidR="00802117" w:rsidRDefault="00802117" w:rsidP="00EF4574">
      <w:pPr>
        <w:spacing w:before="0" w:after="0" w:line="240" w:lineRule="auto"/>
      </w:pPr>
      <w:r>
        <w:separator/>
      </w:r>
    </w:p>
  </w:endnote>
  <w:endnote w:type="continuationSeparator" w:id="0">
    <w:p w14:paraId="74DB5D1C" w14:textId="77777777" w:rsidR="00802117" w:rsidRDefault="00802117"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6B3CB" w14:textId="20DCB2B3" w:rsidR="00DB6D69" w:rsidRDefault="005970EA" w:rsidP="0039715A">
    <w:pPr>
      <w:pStyle w:val="Footer"/>
      <w:jc w:val="right"/>
      <w:rPr>
        <w:noProof/>
      </w:rPr>
    </w:pPr>
    <w:r>
      <w:fldChar w:fldCharType="begin"/>
    </w:r>
    <w:r>
      <w:instrText xml:space="preserve"> PAGE   \* MERGEFORMAT </w:instrText>
    </w:r>
    <w:r>
      <w:fldChar w:fldCharType="separate"/>
    </w:r>
    <w:r w:rsidR="00F95A86">
      <w:rPr>
        <w:noProof/>
      </w:rPr>
      <w:t>1</w:t>
    </w:r>
    <w:r>
      <w:rPr>
        <w:noProof/>
      </w:rPr>
      <w:fldChar w:fldCharType="end"/>
    </w:r>
  </w:p>
  <w:p w14:paraId="779C3A14" w14:textId="105453D0" w:rsidR="000A6A8B" w:rsidRPr="000A6A8B" w:rsidRDefault="000A6A8B" w:rsidP="000A6A8B">
    <w:pPr>
      <w:pStyle w:val="Footer"/>
      <w:jc w:val="center"/>
      <w:rPr>
        <w:rStyle w:val="Classificatio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0650D" w14:textId="77777777" w:rsidR="000A6A8B" w:rsidRDefault="000A6A8B">
    <w:pPr>
      <w:pStyle w:val="Footer"/>
    </w:pPr>
  </w:p>
  <w:sdt>
    <w:sdtPr>
      <w:rPr>
        <w:rStyle w:val="Classification"/>
      </w:rPr>
      <w:alias w:val="Status"/>
      <w:tag w:val=""/>
      <w:id w:val="2082102769"/>
      <w:placeholder>
        <w:docPart w:val="85FCF50EFA584C32A9291D76744CD17A"/>
      </w:placeholder>
      <w:showingPlcHd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24115CBF" w14:textId="4BAF8E6D" w:rsidR="000A6A8B" w:rsidRDefault="000412D6" w:rsidP="000A6A8B">
        <w:pPr>
          <w:pStyle w:val="Footer"/>
          <w:jc w:val="center"/>
          <w:rPr>
            <w:rStyle w:val="Classification"/>
          </w:rPr>
        </w:pPr>
        <w:r w:rsidRPr="006009C9">
          <w:rPr>
            <w:rStyle w:val="PlaceholderText"/>
          </w:rPr>
          <w:t>[Status]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0FD44" w14:textId="77777777" w:rsidR="00802117" w:rsidRDefault="00802117" w:rsidP="0020122A">
      <w:pPr>
        <w:pStyle w:val="FootnoteSeparator"/>
      </w:pPr>
    </w:p>
  </w:footnote>
  <w:footnote w:type="continuationSeparator" w:id="0">
    <w:p w14:paraId="5C004C94" w14:textId="77777777" w:rsidR="00802117" w:rsidRDefault="00802117"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C793E" w14:textId="0467F7B2" w:rsidR="000A6A8B" w:rsidRPr="000A6A8B" w:rsidRDefault="000A6A8B" w:rsidP="000A6A8B">
    <w:pPr>
      <w:pStyle w:val="Header"/>
      <w:jc w:val="center"/>
      <w:rPr>
        <w:rStyle w:val="Classification"/>
      </w:rPr>
    </w:pPr>
  </w:p>
  <w:p w14:paraId="58B40D99" w14:textId="21C7305F" w:rsidR="00DB6D69" w:rsidRPr="00DB6D69" w:rsidRDefault="00DB6D69" w:rsidP="00014623">
    <w:pPr>
      <w:pStyle w:val="Header"/>
      <w:jc w:val="left"/>
      <w:rPr>
        <w:b/>
      </w:rPr>
    </w:pPr>
  </w:p>
  <w:p w14:paraId="0E7A8AC4" w14:textId="3D186C79" w:rsidR="00DB6D69" w:rsidRDefault="00F95A86" w:rsidP="0039715A">
    <w:pPr>
      <w:pStyle w:val="Header"/>
      <w:spacing w:after="680"/>
    </w:pPr>
    <w:r>
      <w:fldChar w:fldCharType="begin"/>
    </w:r>
    <w:r>
      <w:instrText xml:space="preserve"> STYLEREF  Title  \* MERGEFORMAT </w:instrText>
    </w:r>
    <w:r>
      <w:fldChar w:fldCharType="separate"/>
    </w:r>
    <w:r>
      <w:rPr>
        <w:noProof/>
      </w:rPr>
      <w:t>Information Bulletin – Comcover Statement of Cover 2017-18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3BA19" w14:textId="2997DB50" w:rsidR="000C2A48" w:rsidRDefault="00F95A86" w:rsidP="000A6A8B">
    <w:pPr>
      <w:pStyle w:val="Header"/>
      <w:jc w:val="center"/>
    </w:pPr>
    <w:sdt>
      <w:sdtPr>
        <w:rPr>
          <w:rStyle w:val="Classification"/>
        </w:rPr>
        <w:alias w:val="Status"/>
        <w:tag w:val=""/>
        <w:id w:val="2018492011"/>
        <w:placeholder>
          <w:docPart w:val="9D808996CD2146019246D2031F05F10B"/>
        </w:placeholder>
        <w:showingPlcHd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0412D6" w:rsidRPr="006009C9">
          <w:rPr>
            <w:rStyle w:val="PlaceholderText"/>
          </w:rPr>
          <w:t>[Status]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64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023480"/>
    <w:multiLevelType w:val="hybridMultilevel"/>
    <w:tmpl w:val="9CACEBEC"/>
    <w:lvl w:ilvl="0" w:tplc="61A42E50">
      <w:start w:val="1"/>
      <w:numFmt w:val="decimal"/>
      <w:lvlText w:val="%1."/>
      <w:lvlJc w:val="left"/>
      <w:pPr>
        <w:ind w:hanging="567"/>
      </w:pPr>
      <w:rPr>
        <w:rFonts w:ascii="Calibri" w:eastAsia="Calibri" w:hAnsi="Calibri" w:hint="default"/>
        <w:b/>
        <w:bCs/>
        <w:spacing w:val="-7"/>
        <w:w w:val="99"/>
        <w:sz w:val="26"/>
        <w:szCs w:val="26"/>
      </w:rPr>
    </w:lvl>
    <w:lvl w:ilvl="1" w:tplc="008A133E">
      <w:start w:val="1"/>
      <w:numFmt w:val="lowerLetter"/>
      <w:lvlText w:val="(%2)"/>
      <w:lvlJc w:val="left"/>
      <w:pPr>
        <w:ind w:hanging="425"/>
      </w:pPr>
      <w:rPr>
        <w:rFonts w:ascii="Calibri" w:eastAsia="Calibri" w:hAnsi="Calibri" w:hint="default"/>
        <w:sz w:val="24"/>
        <w:szCs w:val="24"/>
      </w:rPr>
    </w:lvl>
    <w:lvl w:ilvl="2" w:tplc="8E2A4BAE">
      <w:start w:val="1"/>
      <w:numFmt w:val="bullet"/>
      <w:lvlText w:val="•"/>
      <w:lvlJc w:val="left"/>
      <w:rPr>
        <w:rFonts w:hint="default"/>
      </w:rPr>
    </w:lvl>
    <w:lvl w:ilvl="3" w:tplc="D77C57D0">
      <w:start w:val="1"/>
      <w:numFmt w:val="bullet"/>
      <w:lvlText w:val="•"/>
      <w:lvlJc w:val="left"/>
      <w:rPr>
        <w:rFonts w:hint="default"/>
      </w:rPr>
    </w:lvl>
    <w:lvl w:ilvl="4" w:tplc="451CB116">
      <w:start w:val="1"/>
      <w:numFmt w:val="bullet"/>
      <w:lvlText w:val="•"/>
      <w:lvlJc w:val="left"/>
      <w:rPr>
        <w:rFonts w:hint="default"/>
      </w:rPr>
    </w:lvl>
    <w:lvl w:ilvl="5" w:tplc="182E12BA">
      <w:start w:val="1"/>
      <w:numFmt w:val="bullet"/>
      <w:lvlText w:val="•"/>
      <w:lvlJc w:val="left"/>
      <w:rPr>
        <w:rFonts w:hint="default"/>
      </w:rPr>
    </w:lvl>
    <w:lvl w:ilvl="6" w:tplc="EB86296C">
      <w:start w:val="1"/>
      <w:numFmt w:val="bullet"/>
      <w:lvlText w:val="•"/>
      <w:lvlJc w:val="left"/>
      <w:rPr>
        <w:rFonts w:hint="default"/>
      </w:rPr>
    </w:lvl>
    <w:lvl w:ilvl="7" w:tplc="6194D2FE">
      <w:start w:val="1"/>
      <w:numFmt w:val="bullet"/>
      <w:lvlText w:val="•"/>
      <w:lvlJc w:val="left"/>
      <w:rPr>
        <w:rFonts w:hint="default"/>
      </w:rPr>
    </w:lvl>
    <w:lvl w:ilvl="8" w:tplc="0EE49610">
      <w:start w:val="1"/>
      <w:numFmt w:val="bullet"/>
      <w:lvlText w:val="•"/>
      <w:lvlJc w:val="left"/>
      <w:rPr>
        <w:rFonts w:hint="default"/>
      </w:r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A465ABD"/>
    <w:multiLevelType w:val="hybridMultilevel"/>
    <w:tmpl w:val="1F56A0B6"/>
    <w:lvl w:ilvl="0" w:tplc="DCC880E0">
      <w:start w:val="1"/>
      <w:numFmt w:val="lowerLetter"/>
      <w:lvlText w:val="(%1)"/>
      <w:lvlJc w:val="left"/>
      <w:pPr>
        <w:ind w:left="1650" w:hanging="360"/>
      </w:pPr>
      <w:rPr>
        <w:rFonts w:ascii="Calibri" w:eastAsia="Calibri" w:hAnsi="Calibri" w:hint="default"/>
        <w:sz w:val="24"/>
        <w:szCs w:val="24"/>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C707CBA"/>
    <w:multiLevelType w:val="hybridMultilevel"/>
    <w:tmpl w:val="879C10C8"/>
    <w:lvl w:ilvl="0" w:tplc="401026D0">
      <w:start w:val="1"/>
      <w:numFmt w:val="decimal"/>
      <w:lvlText w:val="(%1)"/>
      <w:lvlJc w:val="left"/>
      <w:pPr>
        <w:ind w:hanging="567"/>
      </w:pPr>
      <w:rPr>
        <w:rFonts w:ascii="Calibri" w:eastAsia="Calibri" w:hAnsi="Calibri" w:hint="default"/>
        <w:sz w:val="24"/>
        <w:szCs w:val="24"/>
      </w:rPr>
    </w:lvl>
    <w:lvl w:ilvl="1" w:tplc="52CE2838">
      <w:start w:val="1"/>
      <w:numFmt w:val="lowerLetter"/>
      <w:lvlText w:val="(%2)"/>
      <w:lvlJc w:val="left"/>
      <w:pPr>
        <w:ind w:hanging="425"/>
      </w:pPr>
      <w:rPr>
        <w:rFonts w:ascii="Calibri" w:eastAsia="Calibri" w:hAnsi="Calibri" w:hint="default"/>
        <w:sz w:val="24"/>
        <w:szCs w:val="24"/>
      </w:rPr>
    </w:lvl>
    <w:lvl w:ilvl="2" w:tplc="3A6A3CD6">
      <w:start w:val="1"/>
      <w:numFmt w:val="lowerRoman"/>
      <w:lvlText w:val="(%3)"/>
      <w:lvlJc w:val="left"/>
      <w:pPr>
        <w:ind w:hanging="428"/>
      </w:pPr>
      <w:rPr>
        <w:rFonts w:ascii="Calibri" w:eastAsia="Calibri" w:hAnsi="Calibri" w:hint="default"/>
        <w:sz w:val="24"/>
        <w:szCs w:val="24"/>
      </w:rPr>
    </w:lvl>
    <w:lvl w:ilvl="3" w:tplc="38382FA0">
      <w:start w:val="1"/>
      <w:numFmt w:val="bullet"/>
      <w:lvlText w:val="•"/>
      <w:lvlJc w:val="left"/>
      <w:rPr>
        <w:rFonts w:hint="default"/>
      </w:rPr>
    </w:lvl>
    <w:lvl w:ilvl="4" w:tplc="602C098E">
      <w:start w:val="1"/>
      <w:numFmt w:val="bullet"/>
      <w:lvlText w:val="•"/>
      <w:lvlJc w:val="left"/>
      <w:rPr>
        <w:rFonts w:hint="default"/>
      </w:rPr>
    </w:lvl>
    <w:lvl w:ilvl="5" w:tplc="053E7144">
      <w:start w:val="1"/>
      <w:numFmt w:val="bullet"/>
      <w:lvlText w:val="•"/>
      <w:lvlJc w:val="left"/>
      <w:rPr>
        <w:rFonts w:hint="default"/>
      </w:rPr>
    </w:lvl>
    <w:lvl w:ilvl="6" w:tplc="C232A694">
      <w:start w:val="1"/>
      <w:numFmt w:val="bullet"/>
      <w:lvlText w:val="•"/>
      <w:lvlJc w:val="left"/>
      <w:rPr>
        <w:rFonts w:hint="default"/>
      </w:rPr>
    </w:lvl>
    <w:lvl w:ilvl="7" w:tplc="FD5C7F02">
      <w:start w:val="1"/>
      <w:numFmt w:val="bullet"/>
      <w:lvlText w:val="•"/>
      <w:lvlJc w:val="left"/>
      <w:rPr>
        <w:rFonts w:hint="default"/>
      </w:rPr>
    </w:lvl>
    <w:lvl w:ilvl="8" w:tplc="13E8EC1A">
      <w:start w:val="1"/>
      <w:numFmt w:val="bullet"/>
      <w:lvlText w:val="•"/>
      <w:lvlJc w:val="left"/>
      <w:rPr>
        <w:rFonts w:hint="default"/>
      </w:rPr>
    </w:lvl>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8"/>
  </w:num>
  <w:num w:numId="23">
    <w:abstractNumId w:val="18"/>
  </w:num>
  <w:num w:numId="24">
    <w:abstractNumId w:val="18"/>
  </w:num>
  <w:num w:numId="25">
    <w:abstractNumId w:val="17"/>
  </w:num>
  <w:num w:numId="26">
    <w:abstractNumId w:val="13"/>
  </w:num>
  <w:num w:numId="27">
    <w:abstractNumId w:val="13"/>
  </w:num>
  <w:num w:numId="28">
    <w:abstractNumId w:val="13"/>
  </w:num>
  <w:num w:numId="29">
    <w:abstractNumId w:val="13"/>
  </w:num>
  <w:num w:numId="30">
    <w:abstractNumId w:val="10"/>
  </w:num>
  <w:num w:numId="31">
    <w:abstractNumId w:val="10"/>
  </w:num>
  <w:num w:numId="32">
    <w:abstractNumId w:val="10"/>
  </w:num>
  <w:num w:numId="33">
    <w:abstractNumId w:val="10"/>
  </w:num>
  <w:num w:numId="34">
    <w:abstractNumId w:val="15"/>
  </w:num>
  <w:num w:numId="35">
    <w:abstractNumId w:val="12"/>
  </w:num>
  <w:num w:numId="36">
    <w:abstractNumId w:val="1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2F"/>
    <w:rsid w:val="00014623"/>
    <w:rsid w:val="00021B85"/>
    <w:rsid w:val="0002782F"/>
    <w:rsid w:val="000412D6"/>
    <w:rsid w:val="00054E4D"/>
    <w:rsid w:val="00060073"/>
    <w:rsid w:val="00080457"/>
    <w:rsid w:val="000A4B30"/>
    <w:rsid w:val="000A6A8B"/>
    <w:rsid w:val="000C2A48"/>
    <w:rsid w:val="000D60B1"/>
    <w:rsid w:val="00104C0B"/>
    <w:rsid w:val="00122B22"/>
    <w:rsid w:val="001541EA"/>
    <w:rsid w:val="001612A4"/>
    <w:rsid w:val="001B2283"/>
    <w:rsid w:val="001E1DC0"/>
    <w:rsid w:val="0020122A"/>
    <w:rsid w:val="00223F89"/>
    <w:rsid w:val="00284623"/>
    <w:rsid w:val="0028602A"/>
    <w:rsid w:val="002D107F"/>
    <w:rsid w:val="002D4ED2"/>
    <w:rsid w:val="00301144"/>
    <w:rsid w:val="003148B7"/>
    <w:rsid w:val="003158C3"/>
    <w:rsid w:val="0032314A"/>
    <w:rsid w:val="003274CD"/>
    <w:rsid w:val="0035119D"/>
    <w:rsid w:val="00394834"/>
    <w:rsid w:val="0039715A"/>
    <w:rsid w:val="003B4F12"/>
    <w:rsid w:val="00421926"/>
    <w:rsid w:val="00423F31"/>
    <w:rsid w:val="00431899"/>
    <w:rsid w:val="00486804"/>
    <w:rsid w:val="004B3775"/>
    <w:rsid w:val="004E058F"/>
    <w:rsid w:val="004E3B87"/>
    <w:rsid w:val="00510921"/>
    <w:rsid w:val="00510AD3"/>
    <w:rsid w:val="00513348"/>
    <w:rsid w:val="00533B5D"/>
    <w:rsid w:val="00543C53"/>
    <w:rsid w:val="005506BA"/>
    <w:rsid w:val="0057002E"/>
    <w:rsid w:val="005970EA"/>
    <w:rsid w:val="005A6C78"/>
    <w:rsid w:val="005C37F0"/>
    <w:rsid w:val="005E45E3"/>
    <w:rsid w:val="00604763"/>
    <w:rsid w:val="00606937"/>
    <w:rsid w:val="00623BA1"/>
    <w:rsid w:val="006346BC"/>
    <w:rsid w:val="0066652A"/>
    <w:rsid w:val="0068028B"/>
    <w:rsid w:val="00682167"/>
    <w:rsid w:val="006C42AF"/>
    <w:rsid w:val="006C4DD1"/>
    <w:rsid w:val="006D4FCF"/>
    <w:rsid w:val="006D5BF8"/>
    <w:rsid w:val="006F3319"/>
    <w:rsid w:val="00701B49"/>
    <w:rsid w:val="00711D8E"/>
    <w:rsid w:val="00712672"/>
    <w:rsid w:val="00734E3F"/>
    <w:rsid w:val="00736985"/>
    <w:rsid w:val="00750EB1"/>
    <w:rsid w:val="00771A63"/>
    <w:rsid w:val="007B6200"/>
    <w:rsid w:val="007D134E"/>
    <w:rsid w:val="00801B9F"/>
    <w:rsid w:val="00802117"/>
    <w:rsid w:val="00802DB0"/>
    <w:rsid w:val="0081532C"/>
    <w:rsid w:val="00816F61"/>
    <w:rsid w:val="00826EE7"/>
    <w:rsid w:val="00880B3F"/>
    <w:rsid w:val="008D66E1"/>
    <w:rsid w:val="00931029"/>
    <w:rsid w:val="00983530"/>
    <w:rsid w:val="009B4D3B"/>
    <w:rsid w:val="009B53C8"/>
    <w:rsid w:val="009D7407"/>
    <w:rsid w:val="009E0866"/>
    <w:rsid w:val="00A24A62"/>
    <w:rsid w:val="00A31C9F"/>
    <w:rsid w:val="00A76378"/>
    <w:rsid w:val="00AC164A"/>
    <w:rsid w:val="00AD69CC"/>
    <w:rsid w:val="00AF2050"/>
    <w:rsid w:val="00B07619"/>
    <w:rsid w:val="00B52851"/>
    <w:rsid w:val="00B67B81"/>
    <w:rsid w:val="00B71D04"/>
    <w:rsid w:val="00BB26C5"/>
    <w:rsid w:val="00BC6AB5"/>
    <w:rsid w:val="00BE6B22"/>
    <w:rsid w:val="00BF4DE6"/>
    <w:rsid w:val="00BF5611"/>
    <w:rsid w:val="00C42CDE"/>
    <w:rsid w:val="00CA37B1"/>
    <w:rsid w:val="00CB1959"/>
    <w:rsid w:val="00D0296C"/>
    <w:rsid w:val="00D517B9"/>
    <w:rsid w:val="00D76E1A"/>
    <w:rsid w:val="00D97D7D"/>
    <w:rsid w:val="00DA6ED9"/>
    <w:rsid w:val="00DB35A3"/>
    <w:rsid w:val="00DB6D69"/>
    <w:rsid w:val="00DC430B"/>
    <w:rsid w:val="00DC4477"/>
    <w:rsid w:val="00E24DAC"/>
    <w:rsid w:val="00E357B7"/>
    <w:rsid w:val="00E53800"/>
    <w:rsid w:val="00E6081F"/>
    <w:rsid w:val="00EA04B2"/>
    <w:rsid w:val="00EA20F3"/>
    <w:rsid w:val="00EB1D29"/>
    <w:rsid w:val="00EB2793"/>
    <w:rsid w:val="00EC421E"/>
    <w:rsid w:val="00ED43D1"/>
    <w:rsid w:val="00EE4EE1"/>
    <w:rsid w:val="00EF18FC"/>
    <w:rsid w:val="00EF264F"/>
    <w:rsid w:val="00EF4574"/>
    <w:rsid w:val="00F0219E"/>
    <w:rsid w:val="00F2684E"/>
    <w:rsid w:val="00F33736"/>
    <w:rsid w:val="00F4562B"/>
    <w:rsid w:val="00F729EF"/>
    <w:rsid w:val="00F77CAE"/>
    <w:rsid w:val="00F95A86"/>
    <w:rsid w:val="00F96BB9"/>
    <w:rsid w:val="00FD5A74"/>
    <w:rsid w:val="00FE6AE0"/>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0791DC2"/>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85"/>
    <w:pPr>
      <w:suppressAutoHyphens/>
      <w:spacing w:before="180" w:after="60" w:line="280" w:lineRule="atLeast"/>
    </w:pPr>
  </w:style>
  <w:style w:type="paragraph" w:styleId="Heading1">
    <w:name w:val="heading 1"/>
    <w:basedOn w:val="Normal"/>
    <w:next w:val="Normal"/>
    <w:link w:val="Heading1Char"/>
    <w:uiPriority w:val="9"/>
    <w:qFormat/>
    <w:rsid w:val="00021B85"/>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021B85"/>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021B85"/>
    <w:pPr>
      <w:spacing w:line="340" w:lineRule="atLeast"/>
      <w:outlineLvl w:val="2"/>
    </w:pPr>
    <w:rPr>
      <w:bCs/>
      <w:sz w:val="30"/>
    </w:rPr>
  </w:style>
  <w:style w:type="paragraph" w:styleId="Heading4">
    <w:name w:val="heading 4"/>
    <w:basedOn w:val="Heading3"/>
    <w:next w:val="Normal"/>
    <w:link w:val="Heading4Char"/>
    <w:uiPriority w:val="9"/>
    <w:unhideWhenUsed/>
    <w:qFormat/>
    <w:rsid w:val="00021B85"/>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021B85"/>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021B85"/>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021B8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021B85"/>
    <w:pPr>
      <w:ind w:left="284"/>
    </w:pPr>
  </w:style>
  <w:style w:type="paragraph" w:styleId="Title">
    <w:name w:val="Title"/>
    <w:basedOn w:val="Heading1"/>
    <w:next w:val="Normal"/>
    <w:link w:val="TitleChar"/>
    <w:uiPriority w:val="10"/>
    <w:qFormat/>
    <w:rsid w:val="005A6C78"/>
    <w:pPr>
      <w:keepNext w:val="0"/>
      <w:spacing w:line="480" w:lineRule="atLeast"/>
    </w:pPr>
    <w:rPr>
      <w:kern w:val="28"/>
      <w:szCs w:val="52"/>
    </w:rPr>
  </w:style>
  <w:style w:type="character" w:customStyle="1" w:styleId="TitleChar">
    <w:name w:val="Title Char"/>
    <w:basedOn w:val="DefaultParagraphFont"/>
    <w:link w:val="Title"/>
    <w:uiPriority w:val="10"/>
    <w:rsid w:val="005A6C78"/>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021B85"/>
    <w:pPr>
      <w:numPr>
        <w:numId w:val="24"/>
      </w:numPr>
      <w:spacing w:before="120"/>
    </w:pPr>
  </w:style>
  <w:style w:type="paragraph" w:customStyle="1" w:styleId="Bullet2">
    <w:name w:val="Bullet 2"/>
    <w:basedOn w:val="Bullet1"/>
    <w:qFormat/>
    <w:rsid w:val="00021B85"/>
    <w:pPr>
      <w:numPr>
        <w:ilvl w:val="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Normal"/>
    <w:qFormat/>
    <w:rsid w:val="0039715A"/>
    <w:pPr>
      <w:numPr>
        <w:numId w:val="33"/>
      </w:numPr>
      <w:ind w:left="397" w:hanging="397"/>
    </w:pPr>
  </w:style>
  <w:style w:type="paragraph" w:customStyle="1" w:styleId="NumberedList2">
    <w:name w:val="Numbered List 2"/>
    <w:basedOn w:val="NumberedList1"/>
    <w:qFormat/>
    <w:rsid w:val="0039715A"/>
    <w:pPr>
      <w:numPr>
        <w:ilvl w:val="1"/>
      </w:numPr>
      <w:spacing w:before="120"/>
      <w:ind w:left="681" w:hanging="397"/>
    </w:pPr>
  </w:style>
  <w:style w:type="paragraph" w:customStyle="1" w:styleId="NumberedList3">
    <w:name w:val="Numbered List 3"/>
    <w:basedOn w:val="NumberedList2"/>
    <w:qFormat/>
    <w:rsid w:val="0039715A"/>
    <w:pPr>
      <w:numPr>
        <w:ilvl w:val="2"/>
      </w:numPr>
      <w:ind w:left="964" w:hanging="397"/>
    </w:pPr>
  </w:style>
  <w:style w:type="paragraph" w:customStyle="1" w:styleId="Heading1Numbered">
    <w:name w:val="Heading 1 Numbered"/>
    <w:basedOn w:val="Heading1"/>
    <w:next w:val="Normal"/>
    <w:qFormat/>
    <w:rsid w:val="00021B85"/>
    <w:pPr>
      <w:numPr>
        <w:numId w:val="29"/>
      </w:numPr>
    </w:pPr>
  </w:style>
  <w:style w:type="paragraph" w:customStyle="1" w:styleId="Heading2Numbered">
    <w:name w:val="Heading 2 Numbered"/>
    <w:basedOn w:val="Heading2"/>
    <w:next w:val="Normal"/>
    <w:qFormat/>
    <w:rsid w:val="00021B85"/>
    <w:pPr>
      <w:numPr>
        <w:ilvl w:val="1"/>
        <w:numId w:val="29"/>
      </w:numPr>
    </w:pPr>
    <w:rPr>
      <w:bCs/>
    </w:rPr>
  </w:style>
  <w:style w:type="paragraph" w:customStyle="1" w:styleId="Heading3Numbered">
    <w:name w:val="Heading 3 Numbered"/>
    <w:basedOn w:val="Heading3"/>
    <w:next w:val="Normal"/>
    <w:qFormat/>
    <w:rsid w:val="00021B85"/>
    <w:pPr>
      <w:numPr>
        <w:ilvl w:val="2"/>
        <w:numId w:val="29"/>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3"/>
      </w:numPr>
    </w:pPr>
  </w:style>
  <w:style w:type="numbering" w:customStyle="1" w:styleId="HeadingsList">
    <w:name w:val="Headings List"/>
    <w:uiPriority w:val="99"/>
    <w:rsid w:val="00021B85"/>
    <w:pPr>
      <w:numPr>
        <w:numId w:val="5"/>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9"/>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021B85"/>
    <w:pPr>
      <w:pBdr>
        <w:bottom w:val="single" w:sz="4" w:space="6" w:color="BDDCDF" w:themeColor="accent1"/>
      </w:pBdr>
    </w:pPr>
    <w:rPr>
      <w:sz w:val="24"/>
    </w:rPr>
  </w:style>
  <w:style w:type="table" w:styleId="TableGrid">
    <w:name w:val="Table Grid"/>
    <w:basedOn w:val="TableNormal"/>
    <w:uiPriority w:val="5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10"/>
      </w:numPr>
    </w:pPr>
  </w:style>
  <w:style w:type="character" w:styleId="Hyperlink">
    <w:name w:val="Hyperlink"/>
    <w:basedOn w:val="DefaultParagraphFont"/>
    <w:uiPriority w:val="99"/>
    <w:rsid w:val="00021B85"/>
    <w:rPr>
      <w:rFonts w:asciiTheme="minorHAnsi" w:hAnsiTheme="minorHAnsi" w:cs="MuseoSans-500"/>
      <w:color w:val="auto"/>
      <w:u w:val="single" w:color="0070C0"/>
    </w:rPr>
  </w:style>
  <w:style w:type="character" w:styleId="IntenseEmphasis">
    <w:name w:val="Intense Emphasis"/>
    <w:basedOn w:val="DefaultParagraphFont"/>
    <w:uiPriority w:val="21"/>
    <w:qFormat/>
    <w:rsid w:val="00021B85"/>
    <w:rPr>
      <w:b/>
      <w:i/>
      <w:iCs/>
      <w:color w:val="auto"/>
    </w:rPr>
  </w:style>
  <w:style w:type="character" w:styleId="Strong">
    <w:name w:val="Strong"/>
    <w:basedOn w:val="DefaultParagraphFont"/>
    <w:uiPriority w:val="22"/>
    <w:qFormat/>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semiHidden/>
    <w:rsid w:val="00021B85"/>
    <w:rPr>
      <w:rFonts w:asciiTheme="majorHAnsi" w:eastAsiaTheme="majorEastAsia" w:hAnsiTheme="majorHAnsi" w:cstheme="majorBidi"/>
      <w:bCs/>
      <w:i/>
      <w:iCs/>
      <w:color w:val="77B6BD" w:themeColor="accent1" w:themeShade="BF"/>
      <w:szCs w:val="26"/>
    </w:rPr>
  </w:style>
  <w:style w:type="paragraph" w:styleId="Caption">
    <w:name w:val="caption"/>
    <w:basedOn w:val="Normal"/>
    <w:next w:val="Normal"/>
    <w:uiPriority w:val="35"/>
    <w:unhideWhenUsed/>
    <w:qFormat/>
    <w:rsid w:val="00021B85"/>
    <w:pPr>
      <w:spacing w:before="200" w:after="120"/>
    </w:pPr>
    <w:rPr>
      <w:b/>
      <w:iCs/>
      <w:color w:val="000000" w:themeColor="text1"/>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43838A"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43838A"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1B85"/>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qFormat/>
    <w:rsid w:val="00021B85"/>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021B85"/>
    <w:pPr>
      <w:spacing w:before="60"/>
    </w:pPr>
    <w:rPr>
      <w:sz w:val="18"/>
    </w:rPr>
  </w:style>
  <w:style w:type="paragraph" w:customStyle="1" w:styleId="TableSourceNotes">
    <w:name w:val="Table Source Notes"/>
    <w:basedOn w:val="TableText"/>
    <w:qForma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qFormat/>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qFormat/>
    <w:rsid w:val="00021B85"/>
    <w:rPr>
      <w:b/>
      <w:caps/>
      <w:smallCaps w:val="0"/>
      <w:sz w:val="24"/>
    </w:rPr>
  </w:style>
  <w:style w:type="paragraph" w:customStyle="1" w:styleId="Firstpagespace">
    <w:name w:val="First page space"/>
    <w:basedOn w:val="Normal"/>
    <w:qFormat/>
    <w:rsid w:val="005A6C78"/>
    <w:pPr>
      <w:spacing w:after="1200"/>
    </w:pPr>
  </w:style>
  <w:style w:type="paragraph" w:styleId="BodyText">
    <w:name w:val="Body Text"/>
    <w:basedOn w:val="Normal"/>
    <w:link w:val="BodyTextChar"/>
    <w:uiPriority w:val="1"/>
    <w:qFormat/>
    <w:rsid w:val="00BC6AB5"/>
    <w:pPr>
      <w:widowControl w:val="0"/>
      <w:suppressAutoHyphens w:val="0"/>
      <w:spacing w:before="0" w:after="0" w:line="240" w:lineRule="auto"/>
      <w:ind w:left="1293" w:hanging="425"/>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BC6AB5"/>
    <w:rPr>
      <w:rFonts w:ascii="Calibri" w:eastAsia="Calibri" w:hAnsi="Calibri"/>
      <w:sz w:val="24"/>
      <w:szCs w:val="24"/>
      <w:lang w:val="en-US"/>
    </w:rPr>
  </w:style>
  <w:style w:type="character" w:styleId="CommentReference">
    <w:name w:val="annotation reference"/>
    <w:basedOn w:val="DefaultParagraphFont"/>
    <w:semiHidden/>
    <w:unhideWhenUsed/>
    <w:rsid w:val="00BC6AB5"/>
    <w:rPr>
      <w:sz w:val="16"/>
      <w:szCs w:val="16"/>
    </w:rPr>
  </w:style>
  <w:style w:type="paragraph" w:styleId="CommentText">
    <w:name w:val="annotation text"/>
    <w:basedOn w:val="Normal"/>
    <w:link w:val="CommentTextChar"/>
    <w:unhideWhenUsed/>
    <w:rsid w:val="00BC6AB5"/>
    <w:pPr>
      <w:widowControl w:val="0"/>
      <w:suppressAutoHyphens w:val="0"/>
      <w:spacing w:before="0" w:after="0" w:line="240" w:lineRule="auto"/>
    </w:pPr>
    <w:rPr>
      <w:sz w:val="20"/>
      <w:szCs w:val="20"/>
      <w:lang w:val="en-US"/>
    </w:rPr>
  </w:style>
  <w:style w:type="character" w:customStyle="1" w:styleId="CommentTextChar">
    <w:name w:val="Comment Text Char"/>
    <w:basedOn w:val="DefaultParagraphFont"/>
    <w:link w:val="CommentText"/>
    <w:rsid w:val="00BC6AB5"/>
    <w:rPr>
      <w:sz w:val="20"/>
      <w:szCs w:val="20"/>
      <w:lang w:val="en-US"/>
    </w:rPr>
  </w:style>
  <w:style w:type="paragraph" w:customStyle="1" w:styleId="Default">
    <w:name w:val="Default"/>
    <w:rsid w:val="00BC6AB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C6AB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AB5"/>
    <w:rPr>
      <w:rFonts w:ascii="Segoe UI" w:hAnsi="Segoe UI" w:cs="Segoe UI"/>
      <w:sz w:val="18"/>
      <w:szCs w:val="18"/>
    </w:rPr>
  </w:style>
  <w:style w:type="paragraph" w:styleId="NoSpacing">
    <w:name w:val="No Spacing"/>
    <w:uiPriority w:val="1"/>
    <w:qFormat/>
    <w:rsid w:val="00931029"/>
    <w:pPr>
      <w:spacing w:after="0" w:line="240" w:lineRule="auto"/>
      <w:ind w:left="567"/>
    </w:pPr>
  </w:style>
  <w:style w:type="paragraph" w:customStyle="1" w:styleId="BodyText1">
    <w:name w:val="Body Text1"/>
    <w:basedOn w:val="Normal"/>
    <w:qFormat/>
    <w:rsid w:val="00931029"/>
    <w:pPr>
      <w:suppressAutoHyphens w:val="0"/>
      <w:spacing w:before="0" w:after="200" w:line="260" w:lineRule="exact"/>
    </w:pPr>
    <w:rPr>
      <w:rFonts w:ascii="Cambria" w:eastAsia="Times New Roman" w:hAnsi="Cambr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808996CD2146019246D2031F05F10B"/>
        <w:category>
          <w:name w:val="General"/>
          <w:gallery w:val="placeholder"/>
        </w:category>
        <w:types>
          <w:type w:val="bbPlcHdr"/>
        </w:types>
        <w:behaviors>
          <w:behavior w:val="content"/>
        </w:behaviors>
        <w:guid w:val="{91BC08E9-82F0-4806-B66A-59428F7C0270}"/>
      </w:docPartPr>
      <w:docPartBody>
        <w:p w:rsidR="00A60ABE" w:rsidRDefault="00751FB6" w:rsidP="00751FB6">
          <w:pPr>
            <w:pStyle w:val="9D808996CD2146019246D2031F05F10B"/>
          </w:pPr>
          <w:r w:rsidRPr="006009C9">
            <w:rPr>
              <w:rStyle w:val="PlaceholderText"/>
            </w:rPr>
            <w:t>[Status]</w:t>
          </w:r>
        </w:p>
      </w:docPartBody>
    </w:docPart>
    <w:docPart>
      <w:docPartPr>
        <w:name w:val="85FCF50EFA584C32A9291D76744CD17A"/>
        <w:category>
          <w:name w:val="General"/>
          <w:gallery w:val="placeholder"/>
        </w:category>
        <w:types>
          <w:type w:val="bbPlcHdr"/>
        </w:types>
        <w:behaviors>
          <w:behavior w:val="content"/>
        </w:behaviors>
        <w:guid w:val="{F0F7575D-38F6-42DA-B1C8-F6AC6B3FB305}"/>
      </w:docPartPr>
      <w:docPartBody>
        <w:p w:rsidR="00A60ABE" w:rsidRDefault="00751FB6" w:rsidP="00751FB6">
          <w:pPr>
            <w:pStyle w:val="85FCF50EFA584C32A9291D76744CD17A"/>
          </w:pPr>
          <w:r w:rsidRPr="006009C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B6"/>
    <w:rsid w:val="00751FB6"/>
    <w:rsid w:val="0096476C"/>
    <w:rsid w:val="00A60ABE"/>
    <w:rsid w:val="00D60D6E"/>
    <w:rsid w:val="00DC12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F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FB6"/>
    <w:rPr>
      <w:color w:val="808080"/>
    </w:rPr>
  </w:style>
  <w:style w:type="paragraph" w:customStyle="1" w:styleId="9D808996CD2146019246D2031F05F10B">
    <w:name w:val="9D808996CD2146019246D2031F05F10B"/>
    <w:rsid w:val="00751FB6"/>
  </w:style>
  <w:style w:type="paragraph" w:customStyle="1" w:styleId="5C4B31DB2C8C4092A163BC9FC728C771">
    <w:name w:val="5C4B31DB2C8C4092A163BC9FC728C771"/>
    <w:rsid w:val="00751FB6"/>
  </w:style>
  <w:style w:type="paragraph" w:customStyle="1" w:styleId="85FCF50EFA584C32A9291D76744CD17A">
    <w:name w:val="85FCF50EFA584C32A9291D76744CD17A"/>
    <w:rsid w:val="00751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BBBADB"/>
      </a:accent2>
      <a:accent3>
        <a:srgbClr val="E6E4BA"/>
      </a:accent3>
      <a:accent4>
        <a:srgbClr val="D78B83"/>
      </a:accent4>
      <a:accent5>
        <a:srgbClr val="BEBFC0"/>
      </a:accent5>
      <a:accent6>
        <a:srgbClr val="ED7D31"/>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75879E95-76ED-4952-8793-7BDF17E91F97}" vid="{CD9CE17E-63B8-45F8-B600-89410B4EF6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88AF4-000C-40DF-AC27-B40C5589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FF3CA342</Template>
  <TotalTime>0</TotalTime>
  <Pages>3</Pages>
  <Words>904</Words>
  <Characters>5156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Information Bulletin 46 - Comcover Statement of Cover 2017-18</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Bulletin 46 - Comcover Statement of Cover 2017-18</dc:title>
  <dc:subject/>
  <dc:creator>Department of Finance</dc:creator>
  <cp:keywords/>
  <dc:description/>
  <cp:lastModifiedBy>Power, Jade</cp:lastModifiedBy>
  <cp:revision>2</cp:revision>
  <cp:lastPrinted>2013-10-29T09:49:00Z</cp:lastPrinted>
  <dcterms:created xsi:type="dcterms:W3CDTF">2019-11-06T04:56:00Z</dcterms:created>
  <dcterms:modified xsi:type="dcterms:W3CDTF">2019-11-06T04:56:00Z</dcterms:modified>
  <cp:contentStatus/>
</cp:coreProperties>
</file>