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33F" w:rsidRPr="0014233F" w:rsidRDefault="0014233F" w:rsidP="0014233F">
      <w:pPr>
        <w:spacing w:before="360" w:line="240" w:lineRule="auto"/>
        <w:jc w:val="center"/>
      </w:pPr>
      <w:r w:rsidRPr="0014233F">
        <w:rPr>
          <w:caps/>
          <w:noProof/>
          <w:lang w:eastAsia="en-AU"/>
        </w:rPr>
        <w:drawing>
          <wp:inline distT="0" distB="0" distL="0" distR="0">
            <wp:extent cx="2466975" cy="1371600"/>
            <wp:effectExtent l="19050" t="0" r="9525" b="0"/>
            <wp:docPr id="3"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srcRect/>
                    <a:stretch>
                      <a:fillRect/>
                    </a:stretch>
                  </pic:blipFill>
                  <pic:spPr bwMode="auto">
                    <a:xfrm>
                      <a:off x="0" y="0"/>
                      <a:ext cx="2466975" cy="1371600"/>
                    </a:xfrm>
                    <a:prstGeom prst="rect">
                      <a:avLst/>
                    </a:prstGeom>
                    <a:noFill/>
                    <a:ln w="9525">
                      <a:noFill/>
                      <a:miter lim="800000"/>
                      <a:headEnd/>
                      <a:tailEnd/>
                    </a:ln>
                  </pic:spPr>
                </pic:pic>
              </a:graphicData>
            </a:graphic>
          </wp:inline>
        </w:drawing>
      </w:r>
    </w:p>
    <w:p w:rsidR="00B42B84" w:rsidRPr="00B42B84" w:rsidRDefault="0014233F" w:rsidP="00EB4B03">
      <w:pPr>
        <w:spacing w:before="360" w:line="240" w:lineRule="auto"/>
        <w:jc w:val="center"/>
        <w:rPr>
          <w:sz w:val="36"/>
          <w:szCs w:val="36"/>
        </w:rPr>
      </w:pPr>
      <w:bookmarkStart w:id="0" w:name="_GoBack"/>
      <w:r w:rsidRPr="0014233F">
        <w:rPr>
          <w:sz w:val="36"/>
          <w:szCs w:val="36"/>
        </w:rPr>
        <w:t xml:space="preserve">Australian Government response to the </w:t>
      </w:r>
      <w:r w:rsidRPr="0014233F">
        <w:rPr>
          <w:sz w:val="36"/>
          <w:szCs w:val="36"/>
        </w:rPr>
        <w:br/>
        <w:t xml:space="preserve">Joint Committee of Public Accounts and Audit Report </w:t>
      </w:r>
      <w:r w:rsidRPr="0014233F">
        <w:rPr>
          <w:sz w:val="36"/>
          <w:szCs w:val="36"/>
        </w:rPr>
        <w:br/>
        <w:t xml:space="preserve">No. </w:t>
      </w:r>
      <w:r w:rsidR="00B42B84">
        <w:rPr>
          <w:sz w:val="36"/>
          <w:szCs w:val="36"/>
        </w:rPr>
        <w:t>45</w:t>
      </w:r>
      <w:r w:rsidR="00B9034A">
        <w:rPr>
          <w:sz w:val="36"/>
          <w:szCs w:val="36"/>
        </w:rPr>
        <w:t>4</w:t>
      </w:r>
    </w:p>
    <w:bookmarkEnd w:id="0"/>
    <w:p w:rsidR="0076029A" w:rsidRDefault="0076029A" w:rsidP="0076029A">
      <w:pPr>
        <w:pStyle w:val="Default"/>
      </w:pPr>
    </w:p>
    <w:p w:rsidR="0076029A" w:rsidRPr="0076029A" w:rsidRDefault="0076029A" w:rsidP="0076029A">
      <w:pPr>
        <w:spacing w:line="240" w:lineRule="auto"/>
        <w:jc w:val="center"/>
        <w:rPr>
          <w:bCs/>
          <w:i/>
          <w:iCs/>
          <w:sz w:val="36"/>
          <w:szCs w:val="36"/>
        </w:rPr>
      </w:pPr>
      <w:r>
        <w:t xml:space="preserve"> </w:t>
      </w:r>
      <w:r w:rsidRPr="0076029A">
        <w:rPr>
          <w:bCs/>
          <w:i/>
          <w:iCs/>
          <w:sz w:val="36"/>
          <w:szCs w:val="36"/>
        </w:rPr>
        <w:t xml:space="preserve">Early Years Quality Fund </w:t>
      </w:r>
    </w:p>
    <w:p w:rsidR="0014233F" w:rsidRPr="00030A51" w:rsidRDefault="0014233F" w:rsidP="0076029A">
      <w:pPr>
        <w:spacing w:line="240" w:lineRule="auto"/>
        <w:jc w:val="center"/>
        <w:rPr>
          <w:bCs/>
          <w:i/>
          <w:iCs/>
          <w:sz w:val="36"/>
          <w:szCs w:val="36"/>
        </w:rPr>
      </w:pPr>
      <w:r w:rsidRPr="0014233F">
        <w:rPr>
          <w:bCs/>
          <w:i/>
          <w:iCs/>
          <w:sz w:val="36"/>
          <w:szCs w:val="36"/>
        </w:rPr>
        <w:t xml:space="preserve">Review </w:t>
      </w:r>
      <w:r w:rsidR="00B42B84">
        <w:rPr>
          <w:bCs/>
          <w:i/>
          <w:iCs/>
          <w:sz w:val="36"/>
          <w:szCs w:val="36"/>
        </w:rPr>
        <w:t>of A</w:t>
      </w:r>
      <w:r w:rsidR="0076029A">
        <w:rPr>
          <w:bCs/>
          <w:i/>
          <w:iCs/>
          <w:sz w:val="36"/>
          <w:szCs w:val="36"/>
        </w:rPr>
        <w:t>uditor-General Reports No. 23</w:t>
      </w:r>
      <w:r w:rsidRPr="0014233F">
        <w:rPr>
          <w:bCs/>
          <w:i/>
          <w:iCs/>
          <w:sz w:val="36"/>
          <w:szCs w:val="36"/>
        </w:rPr>
        <w:t xml:space="preserve"> (2014-15</w:t>
      </w:r>
      <w:r w:rsidRPr="00030A51">
        <w:rPr>
          <w:bCs/>
          <w:i/>
          <w:iCs/>
          <w:sz w:val="36"/>
          <w:szCs w:val="36"/>
        </w:rPr>
        <w:t>)</w:t>
      </w:r>
    </w:p>
    <w:p w:rsidR="0014233F" w:rsidRPr="0014233F" w:rsidRDefault="0014233F" w:rsidP="0014233F">
      <w:pPr>
        <w:spacing w:before="240" w:line="240" w:lineRule="auto"/>
        <w:jc w:val="center"/>
        <w:rPr>
          <w:sz w:val="36"/>
          <w:szCs w:val="36"/>
        </w:rPr>
      </w:pPr>
    </w:p>
    <w:p w:rsidR="0014233F" w:rsidRPr="0014233F" w:rsidRDefault="0014233F" w:rsidP="0014233F">
      <w:pPr>
        <w:spacing w:before="240" w:line="240" w:lineRule="auto"/>
        <w:jc w:val="center"/>
        <w:rPr>
          <w:sz w:val="36"/>
          <w:szCs w:val="36"/>
        </w:rPr>
      </w:pPr>
    </w:p>
    <w:p w:rsidR="0014233F" w:rsidRPr="0014233F" w:rsidRDefault="0014233F" w:rsidP="0014233F">
      <w:pPr>
        <w:spacing w:before="240" w:line="240" w:lineRule="auto"/>
        <w:jc w:val="center"/>
        <w:rPr>
          <w:sz w:val="36"/>
          <w:szCs w:val="36"/>
        </w:rPr>
      </w:pPr>
    </w:p>
    <w:p w:rsidR="0014233F" w:rsidRPr="0014233F" w:rsidRDefault="0014233F" w:rsidP="0014233F">
      <w:pPr>
        <w:spacing w:before="240" w:line="240" w:lineRule="auto"/>
        <w:jc w:val="center"/>
        <w:rPr>
          <w:sz w:val="36"/>
          <w:szCs w:val="36"/>
        </w:rPr>
      </w:pPr>
    </w:p>
    <w:p w:rsidR="0014233F" w:rsidRPr="0014233F" w:rsidRDefault="0014233F" w:rsidP="0014233F">
      <w:pPr>
        <w:spacing w:before="240" w:line="240" w:lineRule="auto"/>
        <w:jc w:val="center"/>
        <w:rPr>
          <w:sz w:val="36"/>
          <w:szCs w:val="36"/>
        </w:rPr>
      </w:pPr>
    </w:p>
    <w:p w:rsidR="0014233F" w:rsidRPr="0014233F" w:rsidRDefault="0014233F" w:rsidP="0014233F">
      <w:pPr>
        <w:spacing w:before="240" w:line="240" w:lineRule="auto"/>
        <w:jc w:val="center"/>
        <w:rPr>
          <w:sz w:val="36"/>
          <w:szCs w:val="36"/>
        </w:rPr>
      </w:pPr>
    </w:p>
    <w:p w:rsidR="0014233F" w:rsidRPr="0014233F" w:rsidRDefault="0014233F" w:rsidP="0014233F">
      <w:pPr>
        <w:spacing w:before="240" w:line="240" w:lineRule="auto"/>
        <w:jc w:val="center"/>
        <w:rPr>
          <w:sz w:val="36"/>
          <w:szCs w:val="36"/>
        </w:rPr>
      </w:pPr>
    </w:p>
    <w:p w:rsidR="0014233F" w:rsidRPr="0014233F" w:rsidRDefault="0014233F" w:rsidP="0014233F">
      <w:pPr>
        <w:spacing w:before="240" w:line="240" w:lineRule="auto"/>
        <w:jc w:val="center"/>
        <w:rPr>
          <w:sz w:val="36"/>
          <w:szCs w:val="36"/>
        </w:rPr>
      </w:pPr>
    </w:p>
    <w:p w:rsidR="0014233F" w:rsidRPr="0014233F" w:rsidRDefault="0014233F" w:rsidP="0014233F">
      <w:pPr>
        <w:spacing w:before="240" w:line="240" w:lineRule="auto"/>
        <w:jc w:val="center"/>
        <w:rPr>
          <w:sz w:val="36"/>
          <w:szCs w:val="36"/>
        </w:rPr>
      </w:pPr>
    </w:p>
    <w:p w:rsidR="004701AB" w:rsidRPr="0014233F" w:rsidRDefault="004701AB" w:rsidP="0014233F">
      <w:pPr>
        <w:spacing w:before="240" w:line="240" w:lineRule="auto"/>
        <w:jc w:val="center"/>
        <w:rPr>
          <w:sz w:val="36"/>
          <w:szCs w:val="36"/>
        </w:rPr>
      </w:pPr>
    </w:p>
    <w:p w:rsidR="004701AB" w:rsidRDefault="004701AB" w:rsidP="0014233F">
      <w:pPr>
        <w:spacing w:before="240" w:line="240" w:lineRule="auto"/>
        <w:jc w:val="center"/>
        <w:rPr>
          <w:sz w:val="36"/>
          <w:szCs w:val="36"/>
        </w:rPr>
      </w:pPr>
    </w:p>
    <w:p w:rsidR="0031562D" w:rsidRPr="0014233F" w:rsidRDefault="001A64D4" w:rsidP="0031562D">
      <w:pPr>
        <w:spacing w:before="240" w:line="240" w:lineRule="auto"/>
        <w:jc w:val="right"/>
        <w:rPr>
          <w:sz w:val="36"/>
          <w:szCs w:val="36"/>
        </w:rPr>
      </w:pPr>
      <w:r>
        <w:rPr>
          <w:caps/>
          <w:sz w:val="28"/>
          <w:szCs w:val="28"/>
        </w:rPr>
        <w:t>FEBRUARY</w:t>
      </w:r>
      <w:r w:rsidR="005F7CCD">
        <w:rPr>
          <w:caps/>
          <w:sz w:val="28"/>
          <w:szCs w:val="28"/>
        </w:rPr>
        <w:t xml:space="preserve"> 2017</w:t>
      </w:r>
    </w:p>
    <w:p w:rsidR="004701AB" w:rsidRDefault="004701AB" w:rsidP="0014233F">
      <w:pPr>
        <w:spacing w:before="240" w:line="240" w:lineRule="auto"/>
        <w:jc w:val="right"/>
        <w:rPr>
          <w:caps/>
          <w:sz w:val="28"/>
          <w:szCs w:val="28"/>
        </w:rPr>
      </w:pPr>
    </w:p>
    <w:p w:rsidR="0076029A" w:rsidRDefault="0076029A">
      <w:pPr>
        <w:spacing w:line="240" w:lineRule="auto"/>
        <w:rPr>
          <w:b/>
          <w:bCs/>
        </w:rPr>
      </w:pPr>
      <w:r>
        <w:rPr>
          <w:b/>
          <w:bCs/>
        </w:rPr>
        <w:br w:type="page"/>
      </w:r>
    </w:p>
    <w:p w:rsidR="0014233F" w:rsidRDefault="0014233F" w:rsidP="0014233F">
      <w:pPr>
        <w:autoSpaceDE w:val="0"/>
        <w:autoSpaceDN w:val="0"/>
        <w:spacing w:line="240" w:lineRule="auto"/>
        <w:rPr>
          <w:b/>
          <w:bCs/>
        </w:rPr>
      </w:pPr>
      <w:r w:rsidRPr="0014233F">
        <w:rPr>
          <w:b/>
          <w:bCs/>
        </w:rPr>
        <w:t>Response to the recommendation</w:t>
      </w:r>
      <w:r w:rsidR="008F0D53">
        <w:rPr>
          <w:b/>
          <w:bCs/>
        </w:rPr>
        <w:t>(s)</w:t>
      </w:r>
    </w:p>
    <w:p w:rsidR="001A53EF" w:rsidRPr="0014233F" w:rsidRDefault="001A53EF" w:rsidP="0014233F">
      <w:pPr>
        <w:autoSpaceDE w:val="0"/>
        <w:autoSpaceDN w:val="0"/>
        <w:spacing w:line="240" w:lineRule="auto"/>
      </w:pPr>
    </w:p>
    <w:p w:rsidR="0014233F" w:rsidRDefault="00077C07" w:rsidP="0014233F">
      <w:pPr>
        <w:pBdr>
          <w:top w:val="single" w:sz="4" w:space="1" w:color="auto"/>
          <w:left w:val="single" w:sz="4" w:space="4" w:color="auto"/>
          <w:bottom w:val="single" w:sz="4" w:space="1" w:color="auto"/>
          <w:right w:val="single" w:sz="4" w:space="4" w:color="auto"/>
        </w:pBdr>
        <w:ind w:left="340" w:right="340"/>
        <w:jc w:val="both"/>
        <w:rPr>
          <w:b/>
          <w:bCs/>
        </w:rPr>
      </w:pPr>
      <w:r>
        <w:rPr>
          <w:b/>
          <w:bCs/>
        </w:rPr>
        <w:t xml:space="preserve">Recommendation No. </w:t>
      </w:r>
      <w:r w:rsidR="004E024B">
        <w:rPr>
          <w:b/>
          <w:bCs/>
        </w:rPr>
        <w:t>1</w:t>
      </w:r>
    </w:p>
    <w:p w:rsidR="004E024B" w:rsidRPr="00A263D8" w:rsidRDefault="004E024B" w:rsidP="00A263D8">
      <w:pPr>
        <w:pBdr>
          <w:top w:val="single" w:sz="4" w:space="1" w:color="auto"/>
          <w:left w:val="single" w:sz="4" w:space="4" w:color="auto"/>
          <w:bottom w:val="single" w:sz="4" w:space="1" w:color="auto"/>
          <w:right w:val="single" w:sz="4" w:space="4" w:color="auto"/>
        </w:pBdr>
        <w:ind w:left="340" w:right="340"/>
        <w:jc w:val="both"/>
        <w:rPr>
          <w:bCs/>
        </w:rPr>
      </w:pPr>
      <w:r w:rsidRPr="004E024B">
        <w:rPr>
          <w:bCs/>
        </w:rPr>
        <w:t>The Committee recommends that the Department of Finance amend references to demand-driven grant programs in the Commonwealth Grants Rules and Guidelines to explicitly refer to the implementation risks of a ‘first-in first-served’ approach, as outlined in ANAO Report No. 23 (2014-15) and the Committee’s report</w:t>
      </w:r>
      <w:r w:rsidR="00A263D8">
        <w:rPr>
          <w:bCs/>
        </w:rPr>
        <w:t>.</w:t>
      </w:r>
    </w:p>
    <w:p w:rsidR="004E024B" w:rsidRDefault="004E024B" w:rsidP="004E024B">
      <w:pPr>
        <w:pStyle w:val="Default"/>
        <w:rPr>
          <w:rFonts w:ascii="Book Antiqua" w:hAnsi="Book Antiqua" w:cs="Book Antiqua"/>
          <w:sz w:val="23"/>
          <w:szCs w:val="23"/>
        </w:rPr>
      </w:pPr>
    </w:p>
    <w:p w:rsidR="007D51EE" w:rsidRPr="001B3D6A" w:rsidRDefault="00D6635F" w:rsidP="004E024B">
      <w:pPr>
        <w:pStyle w:val="Default"/>
        <w:rPr>
          <w:rFonts w:ascii="Times New Roman" w:hAnsi="Times New Roman" w:cs="Times New Roman"/>
          <w:b/>
          <w:color w:val="auto"/>
        </w:rPr>
      </w:pPr>
      <w:r w:rsidRPr="001B3D6A">
        <w:rPr>
          <w:rFonts w:ascii="Times New Roman" w:hAnsi="Times New Roman" w:cs="Times New Roman"/>
          <w:b/>
          <w:color w:val="auto"/>
        </w:rPr>
        <w:t xml:space="preserve">Agree </w:t>
      </w:r>
    </w:p>
    <w:p w:rsidR="0014233F" w:rsidRPr="001B3D6A" w:rsidRDefault="0014233F" w:rsidP="0014233F">
      <w:pPr>
        <w:jc w:val="both"/>
        <w:rPr>
          <w:b/>
          <w:bCs/>
          <w:i/>
          <w:iCs/>
          <w:color w:val="FF0000"/>
        </w:rPr>
      </w:pPr>
    </w:p>
    <w:p w:rsidR="00D6635F" w:rsidRPr="001B3D6A" w:rsidRDefault="00D6635F" w:rsidP="00D6635F">
      <w:pPr>
        <w:spacing w:after="200" w:line="276" w:lineRule="auto"/>
        <w:rPr>
          <w:rFonts w:asciiTheme="majorHAnsi" w:hAnsiTheme="majorHAnsi"/>
          <w:color w:val="000000"/>
          <w:spacing w:val="-2"/>
          <w:sz w:val="22"/>
          <w:szCs w:val="22"/>
          <w:lang w:val="en-US"/>
        </w:rPr>
      </w:pPr>
      <w:r w:rsidRPr="001B3D6A">
        <w:rPr>
          <w:rFonts w:asciiTheme="majorHAnsi" w:hAnsiTheme="majorHAnsi"/>
          <w:sz w:val="22"/>
          <w:szCs w:val="22"/>
        </w:rPr>
        <w:t xml:space="preserve">The </w:t>
      </w:r>
      <w:r w:rsidRPr="001B3D6A">
        <w:rPr>
          <w:rFonts w:asciiTheme="majorHAnsi" w:hAnsiTheme="majorHAnsi"/>
          <w:i/>
          <w:sz w:val="22"/>
          <w:szCs w:val="22"/>
        </w:rPr>
        <w:t>Commonwealth Grants Rules and Guidelines</w:t>
      </w:r>
      <w:r w:rsidRPr="001B3D6A">
        <w:rPr>
          <w:rFonts w:asciiTheme="majorHAnsi" w:hAnsiTheme="majorHAnsi"/>
          <w:sz w:val="22"/>
          <w:szCs w:val="22"/>
        </w:rPr>
        <w:t xml:space="preserve"> (CGRGs) are largely principles</w:t>
      </w:r>
      <w:r w:rsidR="00B74C1B" w:rsidRPr="001B3D6A">
        <w:rPr>
          <w:rFonts w:asciiTheme="majorHAnsi" w:hAnsiTheme="majorHAnsi"/>
          <w:sz w:val="22"/>
          <w:szCs w:val="22"/>
        </w:rPr>
        <w:t>-</w:t>
      </w:r>
      <w:r w:rsidRPr="001B3D6A">
        <w:rPr>
          <w:rFonts w:asciiTheme="majorHAnsi" w:hAnsiTheme="majorHAnsi"/>
          <w:sz w:val="22"/>
          <w:szCs w:val="22"/>
        </w:rPr>
        <w:t>based with limited specific requirements.</w:t>
      </w:r>
      <w:r w:rsidRPr="001B3D6A">
        <w:rPr>
          <w:rFonts w:asciiTheme="majorHAnsi" w:hAnsiTheme="majorHAnsi"/>
          <w:color w:val="FF0000"/>
          <w:sz w:val="22"/>
          <w:szCs w:val="22"/>
        </w:rPr>
        <w:t xml:space="preserve"> </w:t>
      </w:r>
      <w:r w:rsidRPr="001B3D6A">
        <w:rPr>
          <w:rFonts w:asciiTheme="majorHAnsi" w:hAnsiTheme="majorHAnsi"/>
          <w:sz w:val="22"/>
          <w:szCs w:val="22"/>
        </w:rPr>
        <w:t xml:space="preserve">They already provide that: ‘Competitive, merit-based processes should be used to allocate grants based upon clearly defined criteria, unless specifically agreed otherwise by a Minister, accountable authority or a delegate’ (CGRGs, </w:t>
      </w:r>
      <w:r w:rsidRPr="00FB0A18">
        <w:rPr>
          <w:rFonts w:asciiTheme="majorHAnsi" w:hAnsiTheme="majorHAnsi"/>
          <w:sz w:val="22"/>
          <w:szCs w:val="22"/>
        </w:rPr>
        <w:t xml:space="preserve">paragraph 13.10).  </w:t>
      </w:r>
      <w:r w:rsidR="001B3D6A" w:rsidRPr="00FB0A18">
        <w:rPr>
          <w:rFonts w:asciiTheme="majorHAnsi" w:hAnsiTheme="majorHAnsi"/>
          <w:sz w:val="22"/>
          <w:szCs w:val="22"/>
        </w:rPr>
        <w:t xml:space="preserve">It is consistent with this principle to note </w:t>
      </w:r>
      <w:r w:rsidR="00451C0E" w:rsidRPr="00FB0A18">
        <w:rPr>
          <w:rFonts w:asciiTheme="majorHAnsi" w:hAnsiTheme="majorHAnsi"/>
          <w:sz w:val="22"/>
          <w:szCs w:val="22"/>
        </w:rPr>
        <w:t>that</w:t>
      </w:r>
      <w:r w:rsidR="001B3D6A" w:rsidRPr="00FB0A18">
        <w:rPr>
          <w:rFonts w:asciiTheme="majorHAnsi" w:hAnsiTheme="majorHAnsi"/>
          <w:sz w:val="22"/>
          <w:szCs w:val="22"/>
        </w:rPr>
        <w:t xml:space="preserve"> ‘first in first-served’ grant programs</w:t>
      </w:r>
      <w:r w:rsidR="00451C0E" w:rsidRPr="00FB0A18">
        <w:rPr>
          <w:rFonts w:asciiTheme="majorHAnsi" w:hAnsiTheme="majorHAnsi"/>
          <w:sz w:val="22"/>
          <w:szCs w:val="22"/>
        </w:rPr>
        <w:t xml:space="preserve"> are associated with higher risks</w:t>
      </w:r>
      <w:r w:rsidR="001B3D6A" w:rsidRPr="00FB0A18">
        <w:rPr>
          <w:rFonts w:asciiTheme="majorHAnsi" w:hAnsiTheme="majorHAnsi"/>
          <w:sz w:val="22"/>
          <w:szCs w:val="22"/>
        </w:rPr>
        <w:t>, and to refer to explicit guidance on the risks of demand-driven programs as part of complementary guidance and tools.</w:t>
      </w:r>
    </w:p>
    <w:p w:rsidR="00E774EC" w:rsidRPr="001B3D6A" w:rsidRDefault="009F3D5F" w:rsidP="009F3D5F">
      <w:pPr>
        <w:spacing w:after="200" w:line="276" w:lineRule="auto"/>
        <w:rPr>
          <w:rFonts w:asciiTheme="majorHAnsi" w:hAnsiTheme="majorHAnsi"/>
          <w:sz w:val="22"/>
          <w:szCs w:val="22"/>
        </w:rPr>
      </w:pPr>
      <w:r w:rsidRPr="001B3D6A">
        <w:rPr>
          <w:rFonts w:asciiTheme="majorHAnsi" w:hAnsiTheme="majorHAnsi"/>
          <w:sz w:val="22"/>
          <w:szCs w:val="22"/>
        </w:rPr>
        <w:t>The Department of Finance</w:t>
      </w:r>
      <w:r w:rsidR="002A7B91" w:rsidRPr="001B3D6A">
        <w:rPr>
          <w:rFonts w:asciiTheme="majorHAnsi" w:hAnsiTheme="majorHAnsi"/>
          <w:sz w:val="22"/>
          <w:szCs w:val="22"/>
        </w:rPr>
        <w:t xml:space="preserve"> (Finance)</w:t>
      </w:r>
      <w:r w:rsidRPr="001B3D6A">
        <w:rPr>
          <w:rFonts w:asciiTheme="majorHAnsi" w:hAnsiTheme="majorHAnsi"/>
          <w:sz w:val="22"/>
          <w:szCs w:val="22"/>
        </w:rPr>
        <w:t xml:space="preserve"> is </w:t>
      </w:r>
      <w:r w:rsidR="00394B68" w:rsidRPr="001B3D6A">
        <w:rPr>
          <w:rFonts w:asciiTheme="majorHAnsi" w:hAnsiTheme="majorHAnsi"/>
          <w:sz w:val="22"/>
          <w:szCs w:val="22"/>
        </w:rPr>
        <w:t xml:space="preserve">currently </w:t>
      </w:r>
      <w:r w:rsidRPr="001B3D6A">
        <w:rPr>
          <w:rFonts w:asciiTheme="majorHAnsi" w:hAnsiTheme="majorHAnsi"/>
          <w:sz w:val="22"/>
          <w:szCs w:val="22"/>
        </w:rPr>
        <w:t>developing a suite of grant guidelines template</w:t>
      </w:r>
      <w:r w:rsidR="002A7B91" w:rsidRPr="001B3D6A">
        <w:rPr>
          <w:rFonts w:asciiTheme="majorHAnsi" w:hAnsiTheme="majorHAnsi"/>
          <w:sz w:val="22"/>
          <w:szCs w:val="22"/>
        </w:rPr>
        <w:t xml:space="preserve">s to </w:t>
      </w:r>
      <w:r w:rsidR="00394B68" w:rsidRPr="001B3D6A">
        <w:rPr>
          <w:rFonts w:asciiTheme="majorHAnsi" w:hAnsiTheme="majorHAnsi"/>
          <w:sz w:val="22"/>
          <w:szCs w:val="22"/>
        </w:rPr>
        <w:t xml:space="preserve">improve grants administration and to </w:t>
      </w:r>
      <w:r w:rsidR="002A7B91" w:rsidRPr="001B3D6A">
        <w:rPr>
          <w:rFonts w:asciiTheme="majorHAnsi" w:hAnsiTheme="majorHAnsi"/>
          <w:sz w:val="22"/>
          <w:szCs w:val="22"/>
        </w:rPr>
        <w:t>assist entities</w:t>
      </w:r>
      <w:r w:rsidR="00394B68" w:rsidRPr="001B3D6A">
        <w:rPr>
          <w:rFonts w:asciiTheme="majorHAnsi" w:hAnsiTheme="majorHAnsi"/>
          <w:sz w:val="22"/>
          <w:szCs w:val="22"/>
        </w:rPr>
        <w:t xml:space="preserve"> and non-government stakeholders</w:t>
      </w:r>
      <w:r w:rsidR="002A7B91" w:rsidRPr="001B3D6A">
        <w:rPr>
          <w:rFonts w:asciiTheme="majorHAnsi" w:hAnsiTheme="majorHAnsi"/>
          <w:sz w:val="22"/>
          <w:szCs w:val="22"/>
        </w:rPr>
        <w:t>. One of the</w:t>
      </w:r>
      <w:r w:rsidR="00FC302E" w:rsidRPr="001B3D6A">
        <w:rPr>
          <w:rFonts w:asciiTheme="majorHAnsi" w:hAnsiTheme="majorHAnsi"/>
          <w:sz w:val="22"/>
          <w:szCs w:val="22"/>
        </w:rPr>
        <w:t>se</w:t>
      </w:r>
      <w:r w:rsidR="002A7B91" w:rsidRPr="001B3D6A">
        <w:rPr>
          <w:rFonts w:asciiTheme="majorHAnsi" w:hAnsiTheme="majorHAnsi"/>
          <w:sz w:val="22"/>
          <w:szCs w:val="22"/>
        </w:rPr>
        <w:t xml:space="preserve"> </w:t>
      </w:r>
      <w:r w:rsidR="00982C5F" w:rsidRPr="001B3D6A">
        <w:rPr>
          <w:rFonts w:asciiTheme="majorHAnsi" w:hAnsiTheme="majorHAnsi"/>
          <w:sz w:val="22"/>
          <w:szCs w:val="22"/>
        </w:rPr>
        <w:t>templates</w:t>
      </w:r>
      <w:r w:rsidR="00AA1BD9" w:rsidRPr="001B3D6A">
        <w:rPr>
          <w:rFonts w:asciiTheme="majorHAnsi" w:hAnsiTheme="majorHAnsi"/>
          <w:sz w:val="22"/>
          <w:szCs w:val="22"/>
        </w:rPr>
        <w:t xml:space="preserve"> is designed</w:t>
      </w:r>
      <w:r w:rsidR="00394B68" w:rsidRPr="001B3D6A">
        <w:rPr>
          <w:rFonts w:asciiTheme="majorHAnsi" w:hAnsiTheme="majorHAnsi"/>
          <w:sz w:val="22"/>
          <w:szCs w:val="22"/>
        </w:rPr>
        <w:t xml:space="preserve"> to be used</w:t>
      </w:r>
      <w:r w:rsidR="00AA1BD9" w:rsidRPr="001B3D6A">
        <w:rPr>
          <w:rFonts w:asciiTheme="majorHAnsi" w:hAnsiTheme="majorHAnsi"/>
          <w:sz w:val="22"/>
          <w:szCs w:val="22"/>
        </w:rPr>
        <w:t xml:space="preserve"> for </w:t>
      </w:r>
      <w:r w:rsidR="002A7B91" w:rsidRPr="001B3D6A">
        <w:rPr>
          <w:rFonts w:asciiTheme="majorHAnsi" w:hAnsiTheme="majorHAnsi"/>
          <w:sz w:val="22"/>
          <w:szCs w:val="22"/>
        </w:rPr>
        <w:t>demand driven</w:t>
      </w:r>
      <w:r w:rsidR="00210599" w:rsidRPr="001B3D6A">
        <w:rPr>
          <w:rFonts w:asciiTheme="majorHAnsi" w:hAnsiTheme="majorHAnsi"/>
          <w:sz w:val="22"/>
          <w:szCs w:val="22"/>
        </w:rPr>
        <w:t xml:space="preserve">, or </w:t>
      </w:r>
      <w:r w:rsidR="00AA1BD9" w:rsidRPr="001B3D6A">
        <w:rPr>
          <w:rFonts w:asciiTheme="majorHAnsi" w:hAnsiTheme="majorHAnsi"/>
          <w:sz w:val="22"/>
          <w:szCs w:val="22"/>
        </w:rPr>
        <w:t>‘first-in first-served’</w:t>
      </w:r>
      <w:r w:rsidR="002A7B91" w:rsidRPr="001B3D6A">
        <w:rPr>
          <w:rFonts w:asciiTheme="majorHAnsi" w:hAnsiTheme="majorHAnsi"/>
          <w:sz w:val="22"/>
          <w:szCs w:val="22"/>
        </w:rPr>
        <w:t xml:space="preserve"> </w:t>
      </w:r>
      <w:r w:rsidR="00982C5F" w:rsidRPr="001B3D6A">
        <w:rPr>
          <w:rFonts w:asciiTheme="majorHAnsi" w:hAnsiTheme="majorHAnsi"/>
          <w:sz w:val="22"/>
          <w:szCs w:val="22"/>
        </w:rPr>
        <w:t>processes</w:t>
      </w:r>
      <w:r w:rsidR="002A7B91" w:rsidRPr="001B3D6A">
        <w:rPr>
          <w:rFonts w:asciiTheme="majorHAnsi" w:hAnsiTheme="majorHAnsi"/>
          <w:sz w:val="22"/>
          <w:szCs w:val="22"/>
        </w:rPr>
        <w:t xml:space="preserve">. </w:t>
      </w:r>
      <w:r w:rsidR="00394B68" w:rsidRPr="001B3D6A">
        <w:rPr>
          <w:rFonts w:asciiTheme="majorHAnsi" w:hAnsiTheme="majorHAnsi"/>
          <w:sz w:val="22"/>
          <w:szCs w:val="22"/>
        </w:rPr>
        <w:t xml:space="preserve">Once piloted, </w:t>
      </w:r>
      <w:r w:rsidR="002A7B91" w:rsidRPr="001B3D6A">
        <w:rPr>
          <w:rFonts w:asciiTheme="majorHAnsi" w:hAnsiTheme="majorHAnsi"/>
          <w:sz w:val="22"/>
          <w:szCs w:val="22"/>
        </w:rPr>
        <w:t xml:space="preserve">Finance will </w:t>
      </w:r>
      <w:r w:rsidR="00AA1BD9" w:rsidRPr="001B3D6A">
        <w:rPr>
          <w:rFonts w:asciiTheme="majorHAnsi" w:hAnsiTheme="majorHAnsi"/>
          <w:sz w:val="22"/>
          <w:szCs w:val="22"/>
        </w:rPr>
        <w:t>use this template</w:t>
      </w:r>
      <w:r w:rsidR="00394B68" w:rsidRPr="001B3D6A">
        <w:rPr>
          <w:rFonts w:asciiTheme="majorHAnsi" w:hAnsiTheme="majorHAnsi"/>
          <w:sz w:val="22"/>
          <w:szCs w:val="22"/>
        </w:rPr>
        <w:t>,</w:t>
      </w:r>
      <w:r w:rsidR="00AA1BD9" w:rsidRPr="001B3D6A">
        <w:rPr>
          <w:rFonts w:asciiTheme="majorHAnsi" w:hAnsiTheme="majorHAnsi"/>
          <w:sz w:val="22"/>
          <w:szCs w:val="22"/>
        </w:rPr>
        <w:t xml:space="preserve"> the related user guidance</w:t>
      </w:r>
      <w:r w:rsidR="00394B68" w:rsidRPr="001B3D6A">
        <w:rPr>
          <w:rFonts w:asciiTheme="majorHAnsi" w:hAnsiTheme="majorHAnsi"/>
          <w:sz w:val="22"/>
          <w:szCs w:val="22"/>
        </w:rPr>
        <w:t xml:space="preserve"> and information sessions</w:t>
      </w:r>
      <w:r w:rsidR="00AA1BD9" w:rsidRPr="001B3D6A">
        <w:rPr>
          <w:rFonts w:asciiTheme="majorHAnsi" w:hAnsiTheme="majorHAnsi"/>
          <w:sz w:val="22"/>
          <w:szCs w:val="22"/>
        </w:rPr>
        <w:t xml:space="preserve"> to draw attention to the </w:t>
      </w:r>
      <w:r w:rsidR="002A7B91" w:rsidRPr="001B3D6A">
        <w:rPr>
          <w:rFonts w:asciiTheme="majorHAnsi" w:hAnsiTheme="majorHAnsi"/>
          <w:sz w:val="22"/>
          <w:szCs w:val="22"/>
        </w:rPr>
        <w:t>implementation risks associated with</w:t>
      </w:r>
      <w:r w:rsidR="00394B68" w:rsidRPr="001B3D6A">
        <w:rPr>
          <w:rFonts w:asciiTheme="majorHAnsi" w:hAnsiTheme="majorHAnsi"/>
          <w:sz w:val="22"/>
          <w:szCs w:val="22"/>
        </w:rPr>
        <w:t xml:space="preserve"> demand driven grants</w:t>
      </w:r>
      <w:r w:rsidR="002A7B91" w:rsidRPr="001B3D6A">
        <w:rPr>
          <w:rFonts w:asciiTheme="majorHAnsi" w:hAnsiTheme="majorHAnsi"/>
          <w:sz w:val="22"/>
          <w:szCs w:val="22"/>
        </w:rPr>
        <w:t xml:space="preserve"> </w:t>
      </w:r>
      <w:r w:rsidR="00982C5F" w:rsidRPr="001B3D6A">
        <w:rPr>
          <w:rFonts w:asciiTheme="majorHAnsi" w:hAnsiTheme="majorHAnsi"/>
          <w:sz w:val="22"/>
          <w:szCs w:val="22"/>
        </w:rPr>
        <w:t>processes</w:t>
      </w:r>
      <w:r w:rsidR="00AA1BD9" w:rsidRPr="001B3D6A">
        <w:rPr>
          <w:rFonts w:asciiTheme="majorHAnsi" w:hAnsiTheme="majorHAnsi"/>
          <w:sz w:val="22"/>
          <w:szCs w:val="22"/>
        </w:rPr>
        <w:t>.</w:t>
      </w:r>
      <w:r w:rsidR="002A7B91" w:rsidRPr="001B3D6A">
        <w:rPr>
          <w:rFonts w:asciiTheme="majorHAnsi" w:hAnsiTheme="majorHAnsi"/>
          <w:sz w:val="22"/>
          <w:szCs w:val="22"/>
        </w:rPr>
        <w:t xml:space="preserve"> </w:t>
      </w:r>
    </w:p>
    <w:p w:rsidR="000E18F2" w:rsidRPr="001B3D6A" w:rsidRDefault="000E18F2" w:rsidP="000E18F2">
      <w:pPr>
        <w:jc w:val="both"/>
        <w:rPr>
          <w:b/>
          <w:bCs/>
        </w:rPr>
      </w:pPr>
    </w:p>
    <w:p w:rsidR="000E18F2" w:rsidRPr="001B3D6A" w:rsidRDefault="000E18F2" w:rsidP="00A263D8">
      <w:pPr>
        <w:pBdr>
          <w:top w:val="single" w:sz="4" w:space="1" w:color="auto"/>
          <w:left w:val="single" w:sz="4" w:space="4" w:color="auto"/>
          <w:bottom w:val="single" w:sz="4" w:space="1" w:color="auto"/>
          <w:right w:val="single" w:sz="4" w:space="4" w:color="auto"/>
        </w:pBdr>
        <w:ind w:left="340" w:right="340"/>
        <w:jc w:val="both"/>
        <w:rPr>
          <w:b/>
          <w:bCs/>
        </w:rPr>
      </w:pPr>
      <w:r w:rsidRPr="001B3D6A">
        <w:rPr>
          <w:b/>
          <w:bCs/>
        </w:rPr>
        <w:t xml:space="preserve">Recommendation No. </w:t>
      </w:r>
      <w:r w:rsidR="00A263D8" w:rsidRPr="001B3D6A">
        <w:rPr>
          <w:b/>
          <w:bCs/>
        </w:rPr>
        <w:t>2</w:t>
      </w:r>
    </w:p>
    <w:p w:rsidR="00A263D8" w:rsidRPr="001B3D6A" w:rsidRDefault="00A263D8" w:rsidP="000139CF">
      <w:pPr>
        <w:pBdr>
          <w:top w:val="single" w:sz="4" w:space="1" w:color="auto"/>
          <w:left w:val="single" w:sz="4" w:space="4" w:color="auto"/>
          <w:bottom w:val="single" w:sz="4" w:space="1" w:color="auto"/>
          <w:right w:val="single" w:sz="4" w:space="4" w:color="auto"/>
        </w:pBdr>
        <w:ind w:left="340" w:right="340"/>
        <w:jc w:val="both"/>
        <w:rPr>
          <w:bCs/>
        </w:rPr>
      </w:pPr>
      <w:r w:rsidRPr="001B3D6A">
        <w:rPr>
          <w:bCs/>
        </w:rPr>
        <w:t xml:space="preserve">To encourage more effective departmental advice to ministers on program implementation risks, the Committee recommends the Department of Finance amend the Commonwealth Grants Rules and Guidelines to specify that, where a method other than a competitive merit-based selection process is planned to be used, officials also document, in the policy design phase: </w:t>
      </w:r>
    </w:p>
    <w:p w:rsidR="00A263D8" w:rsidRPr="001B3D6A" w:rsidRDefault="00A263D8" w:rsidP="000139CF">
      <w:pPr>
        <w:pStyle w:val="ListParagraph"/>
        <w:numPr>
          <w:ilvl w:val="0"/>
          <w:numId w:val="12"/>
        </w:numPr>
        <w:pBdr>
          <w:top w:val="single" w:sz="4" w:space="1" w:color="auto"/>
          <w:left w:val="single" w:sz="4" w:space="4" w:color="auto"/>
          <w:bottom w:val="single" w:sz="4" w:space="1" w:color="auto"/>
          <w:right w:val="single" w:sz="4" w:space="4" w:color="auto"/>
        </w:pBdr>
        <w:ind w:right="340"/>
        <w:jc w:val="both"/>
        <w:rPr>
          <w:bCs/>
        </w:rPr>
      </w:pPr>
      <w:r w:rsidRPr="001B3D6A">
        <w:rPr>
          <w:bCs/>
        </w:rPr>
        <w:t xml:space="preserve">how the approach has been developed </w:t>
      </w:r>
    </w:p>
    <w:p w:rsidR="00A263D8" w:rsidRPr="001B3D6A" w:rsidRDefault="00A263D8" w:rsidP="000139CF">
      <w:pPr>
        <w:pStyle w:val="ListParagraph"/>
        <w:numPr>
          <w:ilvl w:val="0"/>
          <w:numId w:val="12"/>
        </w:numPr>
        <w:pBdr>
          <w:top w:val="single" w:sz="4" w:space="1" w:color="auto"/>
          <w:left w:val="single" w:sz="4" w:space="4" w:color="auto"/>
          <w:bottom w:val="single" w:sz="4" w:space="1" w:color="auto"/>
          <w:right w:val="single" w:sz="4" w:space="4" w:color="auto"/>
        </w:pBdr>
        <w:ind w:right="340"/>
        <w:jc w:val="both"/>
        <w:rPr>
          <w:bCs/>
        </w:rPr>
      </w:pPr>
      <w:r w:rsidRPr="001B3D6A">
        <w:rPr>
          <w:bCs/>
        </w:rPr>
        <w:t xml:space="preserve">how implementation considerations have been taken into account in the policy design </w:t>
      </w:r>
    </w:p>
    <w:p w:rsidR="00A263D8" w:rsidRPr="001B3D6A" w:rsidRDefault="00A263D8" w:rsidP="000139CF">
      <w:pPr>
        <w:pStyle w:val="ListParagraph"/>
        <w:numPr>
          <w:ilvl w:val="0"/>
          <w:numId w:val="12"/>
        </w:numPr>
        <w:pBdr>
          <w:top w:val="single" w:sz="4" w:space="1" w:color="auto"/>
          <w:left w:val="single" w:sz="4" w:space="4" w:color="auto"/>
          <w:bottom w:val="single" w:sz="4" w:space="1" w:color="auto"/>
          <w:right w:val="single" w:sz="4" w:space="4" w:color="auto"/>
        </w:pBdr>
        <w:ind w:right="340"/>
        <w:jc w:val="both"/>
        <w:rPr>
          <w:bCs/>
        </w:rPr>
      </w:pPr>
      <w:r w:rsidRPr="001B3D6A">
        <w:rPr>
          <w:bCs/>
        </w:rPr>
        <w:t xml:space="preserve">that a risk management plan has been completed for the proposed process, including on program implementation risks and opportunities to mitigate those risks where possible. </w:t>
      </w:r>
    </w:p>
    <w:p w:rsidR="000E18F2" w:rsidRPr="001B3D6A" w:rsidRDefault="00A263D8" w:rsidP="00A263D8">
      <w:pPr>
        <w:pBdr>
          <w:top w:val="single" w:sz="4" w:space="1" w:color="auto"/>
          <w:left w:val="single" w:sz="4" w:space="4" w:color="auto"/>
          <w:bottom w:val="single" w:sz="4" w:space="1" w:color="auto"/>
          <w:right w:val="single" w:sz="4" w:space="4" w:color="auto"/>
        </w:pBdr>
        <w:ind w:left="340" w:right="340"/>
        <w:jc w:val="both"/>
        <w:rPr>
          <w:bCs/>
        </w:rPr>
      </w:pPr>
      <w:r w:rsidRPr="001B3D6A">
        <w:rPr>
          <w:bCs/>
        </w:rPr>
        <w:t>The above matters should also be included in departmental ministerial advice.</w:t>
      </w:r>
    </w:p>
    <w:p w:rsidR="000E18F2" w:rsidRPr="001B3D6A" w:rsidRDefault="000E18F2" w:rsidP="000E18F2">
      <w:pPr>
        <w:jc w:val="both"/>
        <w:rPr>
          <w:b/>
          <w:bCs/>
          <w:i/>
          <w:iCs/>
        </w:rPr>
      </w:pPr>
    </w:p>
    <w:p w:rsidR="00EA1B68" w:rsidRPr="001B3D6A" w:rsidRDefault="00EA1B68" w:rsidP="00EA1B68">
      <w:pPr>
        <w:pStyle w:val="Default"/>
        <w:rPr>
          <w:rFonts w:ascii="Times New Roman" w:hAnsi="Times New Roman" w:cs="Times New Roman"/>
          <w:b/>
          <w:color w:val="auto"/>
        </w:rPr>
      </w:pPr>
      <w:r w:rsidRPr="001B3D6A">
        <w:rPr>
          <w:rFonts w:asciiTheme="majorHAnsi" w:hAnsiTheme="majorHAnsi"/>
          <w:b/>
          <w:sz w:val="22"/>
          <w:szCs w:val="22"/>
        </w:rPr>
        <w:t>Agree</w:t>
      </w:r>
      <w:r w:rsidR="002A7B91" w:rsidRPr="001B3D6A">
        <w:rPr>
          <w:rFonts w:asciiTheme="majorHAnsi" w:hAnsiTheme="majorHAnsi"/>
          <w:b/>
          <w:sz w:val="22"/>
          <w:szCs w:val="22"/>
        </w:rPr>
        <w:t xml:space="preserve"> </w:t>
      </w:r>
    </w:p>
    <w:p w:rsidR="00EA1B68" w:rsidRPr="001B3D6A" w:rsidRDefault="00EA1B68" w:rsidP="00EA1B68">
      <w:pPr>
        <w:pStyle w:val="Default"/>
        <w:rPr>
          <w:rFonts w:ascii="Times New Roman" w:hAnsi="Times New Roman" w:cs="Times New Roman"/>
          <w:b/>
          <w:color w:val="auto"/>
        </w:rPr>
      </w:pPr>
    </w:p>
    <w:p w:rsidR="00B74C1B" w:rsidRPr="001B3D6A" w:rsidRDefault="00EF5400" w:rsidP="001A53EF">
      <w:pPr>
        <w:spacing w:after="200" w:line="276" w:lineRule="auto"/>
        <w:rPr>
          <w:rFonts w:asciiTheme="majorHAnsi" w:hAnsiTheme="majorHAnsi"/>
          <w:sz w:val="22"/>
          <w:szCs w:val="22"/>
        </w:rPr>
      </w:pPr>
      <w:r w:rsidRPr="001B3D6A">
        <w:rPr>
          <w:rFonts w:asciiTheme="majorHAnsi" w:hAnsiTheme="majorHAnsi"/>
          <w:sz w:val="22"/>
          <w:szCs w:val="22"/>
        </w:rPr>
        <w:t xml:space="preserve">The </w:t>
      </w:r>
      <w:r w:rsidRPr="001B3D6A">
        <w:rPr>
          <w:rFonts w:asciiTheme="majorHAnsi" w:hAnsiTheme="majorHAnsi"/>
          <w:i/>
          <w:sz w:val="22"/>
          <w:szCs w:val="22"/>
        </w:rPr>
        <w:t>Commonwealth Grants Rules and Guidelines</w:t>
      </w:r>
      <w:r w:rsidRPr="001B3D6A">
        <w:rPr>
          <w:rFonts w:asciiTheme="majorHAnsi" w:hAnsiTheme="majorHAnsi"/>
          <w:sz w:val="22"/>
          <w:szCs w:val="22"/>
        </w:rPr>
        <w:t xml:space="preserve"> (CGRGs) </w:t>
      </w:r>
      <w:r w:rsidR="00EA1B68" w:rsidRPr="001B3D6A">
        <w:rPr>
          <w:rFonts w:asciiTheme="majorHAnsi" w:hAnsiTheme="majorHAnsi"/>
          <w:sz w:val="22"/>
          <w:szCs w:val="22"/>
        </w:rPr>
        <w:t xml:space="preserve">already </w:t>
      </w:r>
      <w:r w:rsidRPr="001B3D6A">
        <w:rPr>
          <w:rFonts w:asciiTheme="majorHAnsi" w:hAnsiTheme="majorHAnsi"/>
          <w:sz w:val="22"/>
          <w:szCs w:val="22"/>
        </w:rPr>
        <w:t>provide that: ‘Competitive, merit-based processes should be used to allocate grants based upon clearly defined criteria, unless specifically agreed otherwise by a Minister, accountable authority or a delegate’ (CGRGs, paragraph 13.10)</w:t>
      </w:r>
      <w:r w:rsidR="00AA7453" w:rsidRPr="001B3D6A">
        <w:rPr>
          <w:rFonts w:asciiTheme="majorHAnsi" w:hAnsiTheme="majorHAnsi"/>
          <w:sz w:val="22"/>
          <w:szCs w:val="22"/>
        </w:rPr>
        <w:t xml:space="preserve">. Where an alternative method is proposed, the CGRGs provide that officials should document why this approach has been used. </w:t>
      </w:r>
      <w:r w:rsidR="001B3D6A" w:rsidRPr="00FB0A18">
        <w:rPr>
          <w:rFonts w:asciiTheme="majorHAnsi" w:hAnsiTheme="majorHAnsi"/>
          <w:sz w:val="22"/>
          <w:szCs w:val="22"/>
        </w:rPr>
        <w:t xml:space="preserve">The CGRGs will also be </w:t>
      </w:r>
      <w:r w:rsidR="00FB0A18">
        <w:rPr>
          <w:rFonts w:asciiTheme="majorHAnsi" w:hAnsiTheme="majorHAnsi"/>
          <w:sz w:val="22"/>
          <w:szCs w:val="22"/>
        </w:rPr>
        <w:t>updated to indicate that</w:t>
      </w:r>
      <w:r w:rsidR="00AA72DA">
        <w:rPr>
          <w:rFonts w:asciiTheme="majorHAnsi" w:hAnsiTheme="majorHAnsi"/>
          <w:sz w:val="22"/>
          <w:szCs w:val="22"/>
        </w:rPr>
        <w:t xml:space="preserve">, where demand-driven methods are used, </w:t>
      </w:r>
      <w:r w:rsidR="00FB0A18">
        <w:rPr>
          <w:rFonts w:asciiTheme="majorHAnsi" w:hAnsiTheme="majorHAnsi"/>
          <w:sz w:val="22"/>
          <w:szCs w:val="22"/>
        </w:rPr>
        <w:t xml:space="preserve"> officials </w:t>
      </w:r>
      <w:r w:rsidR="006556B8">
        <w:rPr>
          <w:rFonts w:asciiTheme="majorHAnsi" w:hAnsiTheme="majorHAnsi"/>
          <w:sz w:val="22"/>
          <w:szCs w:val="22"/>
        </w:rPr>
        <w:t xml:space="preserve">should </w:t>
      </w:r>
      <w:r w:rsidR="00DB3C99" w:rsidRPr="00FB0A18">
        <w:rPr>
          <w:rFonts w:asciiTheme="majorHAnsi" w:hAnsiTheme="majorHAnsi"/>
          <w:sz w:val="22"/>
          <w:szCs w:val="22"/>
        </w:rPr>
        <w:t>advi</w:t>
      </w:r>
      <w:r w:rsidR="00FB0A18">
        <w:rPr>
          <w:rFonts w:asciiTheme="majorHAnsi" w:hAnsiTheme="majorHAnsi"/>
          <w:sz w:val="22"/>
          <w:szCs w:val="22"/>
        </w:rPr>
        <w:t>s</w:t>
      </w:r>
      <w:r w:rsidR="00DB3C99" w:rsidRPr="00FB0A18">
        <w:rPr>
          <w:rFonts w:asciiTheme="majorHAnsi" w:hAnsiTheme="majorHAnsi"/>
          <w:sz w:val="22"/>
          <w:szCs w:val="22"/>
        </w:rPr>
        <w:t>e  Ministers</w:t>
      </w:r>
      <w:r w:rsidR="00FB0A18">
        <w:rPr>
          <w:rFonts w:asciiTheme="majorHAnsi" w:hAnsiTheme="majorHAnsi"/>
          <w:sz w:val="22"/>
          <w:szCs w:val="22"/>
        </w:rPr>
        <w:t xml:space="preserve"> on </w:t>
      </w:r>
      <w:r w:rsidR="001B3D6A" w:rsidRPr="00FB0A18">
        <w:rPr>
          <w:rFonts w:asciiTheme="majorHAnsi" w:hAnsiTheme="majorHAnsi"/>
          <w:sz w:val="22"/>
          <w:szCs w:val="22"/>
        </w:rPr>
        <w:t xml:space="preserve">how the </w:t>
      </w:r>
      <w:r w:rsidR="006556B8">
        <w:rPr>
          <w:rFonts w:asciiTheme="majorHAnsi" w:hAnsiTheme="majorHAnsi"/>
          <w:sz w:val="22"/>
          <w:szCs w:val="22"/>
        </w:rPr>
        <w:t>grant allocation method</w:t>
      </w:r>
      <w:r w:rsidR="006556B8" w:rsidRPr="00FB0A18">
        <w:rPr>
          <w:rFonts w:asciiTheme="majorHAnsi" w:hAnsiTheme="majorHAnsi"/>
          <w:sz w:val="22"/>
          <w:szCs w:val="22"/>
        </w:rPr>
        <w:t xml:space="preserve"> </w:t>
      </w:r>
      <w:r w:rsidR="001B3D6A" w:rsidRPr="00FB0A18">
        <w:rPr>
          <w:rFonts w:asciiTheme="majorHAnsi" w:hAnsiTheme="majorHAnsi"/>
          <w:sz w:val="22"/>
          <w:szCs w:val="22"/>
        </w:rPr>
        <w:t>was developed, explain how implementation issues were considered</w:t>
      </w:r>
      <w:r w:rsidR="006556B8">
        <w:rPr>
          <w:rFonts w:asciiTheme="majorHAnsi" w:hAnsiTheme="majorHAnsi"/>
          <w:sz w:val="22"/>
          <w:szCs w:val="22"/>
        </w:rPr>
        <w:t>,</w:t>
      </w:r>
      <w:r w:rsidR="001B3D6A" w:rsidRPr="00FB0A18">
        <w:rPr>
          <w:rFonts w:asciiTheme="majorHAnsi" w:hAnsiTheme="majorHAnsi"/>
          <w:sz w:val="22"/>
          <w:szCs w:val="22"/>
        </w:rPr>
        <w:t xml:space="preserve"> and outline  risk</w:t>
      </w:r>
      <w:r w:rsidR="006556B8">
        <w:rPr>
          <w:rFonts w:asciiTheme="majorHAnsi" w:hAnsiTheme="majorHAnsi"/>
          <w:sz w:val="22"/>
          <w:szCs w:val="22"/>
        </w:rPr>
        <w:t xml:space="preserve"> mitigation strategies</w:t>
      </w:r>
      <w:r w:rsidR="00AA72DA">
        <w:rPr>
          <w:rFonts w:asciiTheme="majorHAnsi" w:hAnsiTheme="majorHAnsi"/>
          <w:sz w:val="22"/>
          <w:szCs w:val="22"/>
        </w:rPr>
        <w:t xml:space="preserve">. </w:t>
      </w:r>
      <w:r w:rsidR="001A53EF">
        <w:rPr>
          <w:rFonts w:asciiTheme="majorHAnsi" w:hAnsiTheme="majorHAnsi"/>
          <w:sz w:val="22"/>
          <w:szCs w:val="22"/>
        </w:rPr>
        <w:t xml:space="preserve">It is expected that the CGRGs will be updated for a 1 July 2017 implementation. </w:t>
      </w:r>
    </w:p>
    <w:p w:rsidR="00101FFD" w:rsidRDefault="00302E0F" w:rsidP="001A53EF">
      <w:pPr>
        <w:spacing w:after="200" w:line="276" w:lineRule="auto"/>
        <w:rPr>
          <w:rFonts w:asciiTheme="majorHAnsi" w:hAnsiTheme="majorHAnsi"/>
          <w:sz w:val="22"/>
          <w:szCs w:val="22"/>
        </w:rPr>
      </w:pPr>
      <w:r w:rsidRPr="001B3D6A">
        <w:rPr>
          <w:rFonts w:asciiTheme="majorHAnsi" w:hAnsiTheme="majorHAnsi"/>
          <w:sz w:val="22"/>
          <w:szCs w:val="22"/>
        </w:rPr>
        <w:t>Officials are also required to have regard to the key principles</w:t>
      </w:r>
      <w:r w:rsidR="006E654C" w:rsidRPr="001B3D6A">
        <w:rPr>
          <w:rFonts w:asciiTheme="majorHAnsi" w:hAnsiTheme="majorHAnsi"/>
          <w:sz w:val="22"/>
          <w:szCs w:val="22"/>
        </w:rPr>
        <w:t>,</w:t>
      </w:r>
      <w:r w:rsidRPr="001B3D6A">
        <w:rPr>
          <w:rFonts w:asciiTheme="majorHAnsi" w:hAnsiTheme="majorHAnsi"/>
          <w:sz w:val="22"/>
          <w:szCs w:val="22"/>
        </w:rPr>
        <w:t xml:space="preserve"> which include </w:t>
      </w:r>
      <w:r w:rsidR="00AA7453" w:rsidRPr="001B3D6A">
        <w:rPr>
          <w:rFonts w:asciiTheme="majorHAnsi" w:hAnsiTheme="majorHAnsi"/>
          <w:sz w:val="22"/>
          <w:szCs w:val="22"/>
        </w:rPr>
        <w:t xml:space="preserve">robust planning and design. The CGRGs note that ‘officials should ensure that risk identification and engagement is supported by performance information, procedures and systems that continuously identify and treat emerging risks throughout the grants administration process. </w:t>
      </w:r>
      <w:r w:rsidR="00101FFD" w:rsidRPr="001B3D6A">
        <w:rPr>
          <w:rFonts w:asciiTheme="majorHAnsi" w:hAnsiTheme="majorHAnsi"/>
          <w:sz w:val="22"/>
          <w:szCs w:val="22"/>
        </w:rPr>
        <w:t>In addition, the mandatory provisions in the CGRGs require that officials must provide written advice to Minister, where Ministers exercise the role of an approver</w:t>
      </w:r>
      <w:r w:rsidRPr="001B3D6A">
        <w:rPr>
          <w:rFonts w:asciiTheme="majorHAnsi" w:hAnsiTheme="majorHAnsi"/>
          <w:sz w:val="22"/>
          <w:szCs w:val="22"/>
        </w:rPr>
        <w:t xml:space="preserve">, and provide for </w:t>
      </w:r>
      <w:r w:rsidR="00101FFD" w:rsidRPr="001B3D6A">
        <w:rPr>
          <w:rFonts w:asciiTheme="majorHAnsi" w:hAnsiTheme="majorHAnsi"/>
          <w:sz w:val="22"/>
          <w:szCs w:val="22"/>
        </w:rPr>
        <w:t>minimum briefing requirements</w:t>
      </w:r>
      <w:r w:rsidR="00183E9B" w:rsidRPr="001B3D6A">
        <w:rPr>
          <w:rFonts w:asciiTheme="majorHAnsi" w:hAnsiTheme="majorHAnsi"/>
          <w:sz w:val="22"/>
          <w:szCs w:val="22"/>
        </w:rPr>
        <w:t xml:space="preserve"> (CGRGs, paragraph</w:t>
      </w:r>
      <w:r w:rsidR="00EA1B68" w:rsidRPr="001B3D6A">
        <w:rPr>
          <w:rFonts w:asciiTheme="majorHAnsi" w:hAnsiTheme="majorHAnsi"/>
          <w:sz w:val="22"/>
          <w:szCs w:val="22"/>
        </w:rPr>
        <w:t> </w:t>
      </w:r>
      <w:r w:rsidR="00183E9B" w:rsidRPr="001B3D6A">
        <w:rPr>
          <w:rFonts w:asciiTheme="majorHAnsi" w:hAnsiTheme="majorHAnsi"/>
          <w:sz w:val="22"/>
          <w:szCs w:val="22"/>
        </w:rPr>
        <w:t>4.6)</w:t>
      </w:r>
      <w:r w:rsidR="00101FFD" w:rsidRPr="001B3D6A">
        <w:rPr>
          <w:rFonts w:asciiTheme="majorHAnsi" w:hAnsiTheme="majorHAnsi"/>
          <w:sz w:val="22"/>
          <w:szCs w:val="22"/>
        </w:rPr>
        <w:t xml:space="preserve">. </w:t>
      </w:r>
      <w:r w:rsidR="00AA7453" w:rsidRPr="001B3D6A">
        <w:rPr>
          <w:rFonts w:asciiTheme="majorHAnsi" w:hAnsiTheme="majorHAnsi"/>
          <w:sz w:val="22"/>
          <w:szCs w:val="22"/>
        </w:rPr>
        <w:t xml:space="preserve"> </w:t>
      </w:r>
    </w:p>
    <w:p w:rsidR="001A53EF" w:rsidRPr="001B3D6A" w:rsidRDefault="001A53EF" w:rsidP="001A53EF">
      <w:pPr>
        <w:spacing w:before="240" w:line="276" w:lineRule="auto"/>
        <w:rPr>
          <w:rFonts w:asciiTheme="majorHAnsi" w:hAnsiTheme="majorHAnsi"/>
          <w:sz w:val="22"/>
          <w:szCs w:val="22"/>
        </w:rPr>
      </w:pPr>
    </w:p>
    <w:p w:rsidR="000E18F2" w:rsidRPr="001B3D6A" w:rsidRDefault="000139CF" w:rsidP="000E18F2">
      <w:pPr>
        <w:pBdr>
          <w:top w:val="single" w:sz="4" w:space="1" w:color="auto"/>
          <w:left w:val="single" w:sz="4" w:space="4" w:color="auto"/>
          <w:bottom w:val="single" w:sz="4" w:space="1" w:color="auto"/>
          <w:right w:val="single" w:sz="4" w:space="4" w:color="auto"/>
        </w:pBdr>
        <w:ind w:left="340" w:right="340"/>
        <w:jc w:val="both"/>
        <w:rPr>
          <w:b/>
          <w:bCs/>
        </w:rPr>
      </w:pPr>
      <w:r w:rsidRPr="001B3D6A">
        <w:rPr>
          <w:b/>
          <w:bCs/>
        </w:rPr>
        <w:t>Recommendation No. 5</w:t>
      </w:r>
    </w:p>
    <w:p w:rsidR="000139CF" w:rsidRPr="001B3D6A" w:rsidRDefault="000139CF" w:rsidP="000E18F2">
      <w:pPr>
        <w:pBdr>
          <w:top w:val="single" w:sz="4" w:space="1" w:color="auto"/>
          <w:left w:val="single" w:sz="4" w:space="4" w:color="auto"/>
          <w:bottom w:val="single" w:sz="4" w:space="1" w:color="auto"/>
          <w:right w:val="single" w:sz="4" w:space="4" w:color="auto"/>
        </w:pBdr>
        <w:ind w:left="340" w:right="340"/>
        <w:jc w:val="both"/>
        <w:rPr>
          <w:bCs/>
          <w:sz w:val="23"/>
          <w:szCs w:val="23"/>
        </w:rPr>
      </w:pPr>
      <w:r w:rsidRPr="001B3D6A">
        <w:rPr>
          <w:bCs/>
          <w:sz w:val="23"/>
          <w:szCs w:val="23"/>
        </w:rPr>
        <w:t xml:space="preserve">The Committee recommends that the Department of Finance and the Australian National Audit Office (ANAO) work together to strengthen the Commonwealth Grants Rule and Guidelines (CGRGs) and update and expand the </w:t>
      </w:r>
      <w:r w:rsidRPr="001B3D6A">
        <w:rPr>
          <w:bCs/>
          <w:i/>
          <w:iCs/>
          <w:sz w:val="23"/>
          <w:szCs w:val="23"/>
        </w:rPr>
        <w:t xml:space="preserve">Implementing Better Practice Grants Administration </w:t>
      </w:r>
      <w:r w:rsidRPr="001B3D6A">
        <w:rPr>
          <w:bCs/>
          <w:sz w:val="23"/>
          <w:szCs w:val="23"/>
        </w:rPr>
        <w:t>guide to reflect the Committee’s findings in this report, and also the ANAO findings in Report No. 23 (2014-15). In particular:</w:t>
      </w:r>
    </w:p>
    <w:p w:rsidR="007D51EE" w:rsidRPr="001B3D6A" w:rsidRDefault="007D51EE" w:rsidP="007D51EE">
      <w:pPr>
        <w:pStyle w:val="ListParagraph"/>
        <w:numPr>
          <w:ilvl w:val="0"/>
          <w:numId w:val="13"/>
        </w:numPr>
        <w:pBdr>
          <w:top w:val="single" w:sz="4" w:space="1" w:color="auto"/>
          <w:left w:val="single" w:sz="4" w:space="4" w:color="auto"/>
          <w:bottom w:val="single" w:sz="4" w:space="1" w:color="auto"/>
          <w:right w:val="single" w:sz="4" w:space="4" w:color="auto"/>
        </w:pBdr>
        <w:ind w:right="340"/>
        <w:jc w:val="both"/>
        <w:rPr>
          <w:bCs/>
          <w:sz w:val="23"/>
          <w:szCs w:val="23"/>
        </w:rPr>
      </w:pPr>
      <w:r w:rsidRPr="001B3D6A">
        <w:rPr>
          <w:bCs/>
          <w:sz w:val="23"/>
          <w:szCs w:val="23"/>
        </w:rPr>
        <w:t>the CGRGs should state that it is not advisable to include, as members on a grants program advisory board, prospective applicants for that grants program</w:t>
      </w:r>
    </w:p>
    <w:p w:rsidR="00106C44" w:rsidRPr="001B3D6A" w:rsidRDefault="00106C44" w:rsidP="000139CF">
      <w:pPr>
        <w:pStyle w:val="Default"/>
        <w:rPr>
          <w:rFonts w:ascii="Wingdings" w:hAnsi="Wingdings" w:cs="Wingdings"/>
          <w:sz w:val="16"/>
          <w:szCs w:val="16"/>
        </w:rPr>
      </w:pPr>
    </w:p>
    <w:p w:rsidR="000E18F2" w:rsidRPr="001B3D6A" w:rsidRDefault="000E18F2" w:rsidP="000E18F2">
      <w:pPr>
        <w:jc w:val="both"/>
        <w:rPr>
          <w:b/>
          <w:bCs/>
          <w:i/>
          <w:iCs/>
        </w:rPr>
      </w:pPr>
    </w:p>
    <w:p w:rsidR="000E18F2" w:rsidRPr="001B3D6A" w:rsidRDefault="00B74C1B" w:rsidP="007208B2">
      <w:pPr>
        <w:spacing w:after="200" w:line="276" w:lineRule="auto"/>
        <w:rPr>
          <w:rFonts w:asciiTheme="majorHAnsi" w:hAnsiTheme="majorHAnsi"/>
          <w:b/>
          <w:sz w:val="22"/>
          <w:szCs w:val="22"/>
        </w:rPr>
      </w:pPr>
      <w:r w:rsidRPr="001B3D6A">
        <w:rPr>
          <w:rFonts w:asciiTheme="majorHAnsi" w:hAnsiTheme="majorHAnsi"/>
          <w:b/>
          <w:sz w:val="22"/>
          <w:szCs w:val="22"/>
        </w:rPr>
        <w:t xml:space="preserve">Agree </w:t>
      </w:r>
    </w:p>
    <w:p w:rsidR="001B3D6A" w:rsidRPr="001A53EF" w:rsidRDefault="00982C5F" w:rsidP="001A53EF">
      <w:pPr>
        <w:spacing w:after="200" w:line="276" w:lineRule="auto"/>
        <w:rPr>
          <w:rFonts w:asciiTheme="majorHAnsi" w:hAnsiTheme="majorHAnsi"/>
          <w:sz w:val="22"/>
          <w:szCs w:val="22"/>
        </w:rPr>
      </w:pPr>
      <w:r w:rsidRPr="001B3D6A">
        <w:rPr>
          <w:rFonts w:asciiTheme="majorHAnsi" w:hAnsiTheme="majorHAnsi"/>
          <w:sz w:val="22"/>
          <w:szCs w:val="22"/>
        </w:rPr>
        <w:t>One of the principles of grants administration in the CGRGs is probity and transparency.</w:t>
      </w:r>
      <w:r w:rsidR="0031406B" w:rsidRPr="001B3D6A">
        <w:rPr>
          <w:rFonts w:asciiTheme="majorHAnsi" w:hAnsiTheme="majorHAnsi"/>
          <w:sz w:val="22"/>
          <w:szCs w:val="22"/>
        </w:rPr>
        <w:t xml:space="preserve"> </w:t>
      </w:r>
      <w:r w:rsidR="00770903" w:rsidRPr="001B3D6A">
        <w:rPr>
          <w:rFonts w:asciiTheme="majorHAnsi" w:hAnsiTheme="majorHAnsi"/>
          <w:sz w:val="22"/>
          <w:szCs w:val="22"/>
        </w:rPr>
        <w:t xml:space="preserve">The CGRGs note that accountable authorities should put in place appropriate mechanisms for </w:t>
      </w:r>
      <w:r w:rsidR="00770903" w:rsidRPr="00FB0A18">
        <w:rPr>
          <w:rFonts w:asciiTheme="majorHAnsi" w:hAnsiTheme="majorHAnsi"/>
          <w:sz w:val="22"/>
          <w:szCs w:val="22"/>
        </w:rPr>
        <w:t>identifying and managing potential conflicts of interest for granting activities</w:t>
      </w:r>
      <w:r w:rsidR="00782735" w:rsidRPr="00FB0A18">
        <w:rPr>
          <w:rFonts w:asciiTheme="majorHAnsi" w:hAnsiTheme="majorHAnsi"/>
          <w:sz w:val="22"/>
          <w:szCs w:val="22"/>
        </w:rPr>
        <w:t xml:space="preserve">. This </w:t>
      </w:r>
      <w:r w:rsidR="00302E0F" w:rsidRPr="00FB0A18">
        <w:rPr>
          <w:rFonts w:asciiTheme="majorHAnsi" w:hAnsiTheme="majorHAnsi"/>
          <w:sz w:val="22"/>
          <w:szCs w:val="22"/>
        </w:rPr>
        <w:t>includ</w:t>
      </w:r>
      <w:r w:rsidR="00782735" w:rsidRPr="00FB0A18">
        <w:rPr>
          <w:rFonts w:asciiTheme="majorHAnsi" w:hAnsiTheme="majorHAnsi"/>
          <w:sz w:val="22"/>
          <w:szCs w:val="22"/>
        </w:rPr>
        <w:t>es,</w:t>
      </w:r>
      <w:r w:rsidR="00302E0F" w:rsidRPr="00FB0A18">
        <w:rPr>
          <w:rFonts w:asciiTheme="majorHAnsi" w:hAnsiTheme="majorHAnsi"/>
          <w:sz w:val="22"/>
          <w:szCs w:val="22"/>
        </w:rPr>
        <w:t xml:space="preserve"> ‘where members of expert or advisory panels or committees have a direct or indirect interest in informing a decision about expenditure or providing advice on grants’.</w:t>
      </w:r>
      <w:r w:rsidR="00B74C1B" w:rsidRPr="00FB0A18">
        <w:rPr>
          <w:rFonts w:asciiTheme="majorHAnsi" w:hAnsiTheme="majorHAnsi"/>
          <w:sz w:val="22"/>
          <w:szCs w:val="22"/>
        </w:rPr>
        <w:t xml:space="preserve"> </w:t>
      </w:r>
      <w:r w:rsidR="001B3D6A" w:rsidRPr="00FB0A18">
        <w:rPr>
          <w:rFonts w:asciiTheme="majorHAnsi" w:hAnsiTheme="majorHAnsi"/>
          <w:sz w:val="22"/>
          <w:szCs w:val="22"/>
        </w:rPr>
        <w:t xml:space="preserve">The CGRGs will be </w:t>
      </w:r>
      <w:r w:rsidR="006556B8">
        <w:rPr>
          <w:rFonts w:asciiTheme="majorHAnsi" w:hAnsiTheme="majorHAnsi"/>
          <w:sz w:val="22"/>
          <w:szCs w:val="22"/>
        </w:rPr>
        <w:t xml:space="preserve">updated to indicate </w:t>
      </w:r>
      <w:r w:rsidR="001B3D6A" w:rsidRPr="00FB0A18">
        <w:rPr>
          <w:rFonts w:asciiTheme="majorHAnsi" w:hAnsiTheme="majorHAnsi"/>
          <w:sz w:val="22"/>
          <w:szCs w:val="22"/>
        </w:rPr>
        <w:t>that it is not advisable to include prospective applicants for a grants program on bodies</w:t>
      </w:r>
      <w:r w:rsidR="006556B8">
        <w:rPr>
          <w:rFonts w:asciiTheme="majorHAnsi" w:hAnsiTheme="majorHAnsi"/>
          <w:sz w:val="22"/>
          <w:szCs w:val="22"/>
        </w:rPr>
        <w:t>,</w:t>
      </w:r>
      <w:r w:rsidR="001B3D6A" w:rsidRPr="00FB0A18">
        <w:rPr>
          <w:rFonts w:asciiTheme="majorHAnsi" w:hAnsiTheme="majorHAnsi"/>
          <w:sz w:val="22"/>
          <w:szCs w:val="22"/>
        </w:rPr>
        <w:t xml:space="preserve"> which </w:t>
      </w:r>
      <w:r w:rsidR="006556B8">
        <w:rPr>
          <w:rFonts w:asciiTheme="majorHAnsi" w:hAnsiTheme="majorHAnsi"/>
          <w:sz w:val="22"/>
          <w:szCs w:val="22"/>
        </w:rPr>
        <w:t>directly input into the grant selection process</w:t>
      </w:r>
      <w:r w:rsidR="001B3D6A" w:rsidRPr="00FB0A18">
        <w:rPr>
          <w:rFonts w:asciiTheme="majorHAnsi" w:hAnsiTheme="majorHAnsi"/>
          <w:sz w:val="22"/>
          <w:szCs w:val="22"/>
        </w:rPr>
        <w:t>.</w:t>
      </w:r>
      <w:r w:rsidR="001B3D6A" w:rsidRPr="001A53EF">
        <w:rPr>
          <w:rFonts w:asciiTheme="majorHAnsi" w:hAnsiTheme="majorHAnsi"/>
          <w:sz w:val="22"/>
          <w:szCs w:val="22"/>
        </w:rPr>
        <w:t xml:space="preserve"> </w:t>
      </w:r>
      <w:r w:rsidR="001A53EF" w:rsidRPr="001A53EF">
        <w:rPr>
          <w:rFonts w:asciiTheme="majorHAnsi" w:hAnsiTheme="majorHAnsi"/>
          <w:sz w:val="22"/>
          <w:szCs w:val="22"/>
        </w:rPr>
        <w:t xml:space="preserve">It is expected that the CGRGs will be updated for a 1 July 2017 implementation. </w:t>
      </w:r>
    </w:p>
    <w:p w:rsidR="00B74C1B" w:rsidRDefault="00B74C1B" w:rsidP="00B74C1B">
      <w:pPr>
        <w:spacing w:after="200" w:line="276" w:lineRule="auto"/>
        <w:rPr>
          <w:rFonts w:asciiTheme="majorHAnsi" w:hAnsiTheme="majorHAnsi"/>
          <w:sz w:val="22"/>
          <w:szCs w:val="22"/>
        </w:rPr>
      </w:pPr>
    </w:p>
    <w:p w:rsidR="00770903" w:rsidRPr="00770903" w:rsidRDefault="00770903" w:rsidP="00770903">
      <w:pPr>
        <w:spacing w:after="200" w:line="276" w:lineRule="auto"/>
        <w:rPr>
          <w:rFonts w:asciiTheme="majorHAnsi" w:hAnsiTheme="majorHAnsi"/>
          <w:sz w:val="22"/>
          <w:szCs w:val="22"/>
        </w:rPr>
      </w:pPr>
    </w:p>
    <w:p w:rsidR="00E774EC" w:rsidRDefault="00E774EC" w:rsidP="007208B2">
      <w:pPr>
        <w:spacing w:after="200" w:line="276" w:lineRule="auto"/>
        <w:rPr>
          <w:rFonts w:asciiTheme="majorHAnsi" w:hAnsiTheme="majorHAnsi"/>
          <w:sz w:val="22"/>
          <w:szCs w:val="22"/>
        </w:rPr>
      </w:pPr>
    </w:p>
    <w:p w:rsidR="00D672E3" w:rsidRDefault="00D672E3" w:rsidP="007208B2">
      <w:pPr>
        <w:spacing w:after="200" w:line="276" w:lineRule="auto"/>
        <w:rPr>
          <w:rFonts w:asciiTheme="majorHAnsi" w:hAnsiTheme="majorHAnsi"/>
          <w:sz w:val="22"/>
          <w:szCs w:val="22"/>
        </w:rPr>
      </w:pPr>
    </w:p>
    <w:sectPr w:rsidR="00D672E3" w:rsidSect="000C1AC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42" w:rsidRDefault="00122A42" w:rsidP="00CE3061">
      <w:pPr>
        <w:spacing w:line="240" w:lineRule="auto"/>
      </w:pPr>
      <w:r>
        <w:separator/>
      </w:r>
    </w:p>
  </w:endnote>
  <w:endnote w:type="continuationSeparator" w:id="0">
    <w:p w:rsidR="00122A42" w:rsidRDefault="00122A42" w:rsidP="00CE3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C5" w:rsidRDefault="000C1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890126"/>
      <w:docPartObj>
        <w:docPartGallery w:val="Page Numbers (Bottom of Page)"/>
        <w:docPartUnique/>
      </w:docPartObj>
    </w:sdtPr>
    <w:sdtEndPr>
      <w:rPr>
        <w:noProof/>
      </w:rPr>
    </w:sdtEndPr>
    <w:sdtContent>
      <w:p w:rsidR="000C1AC5" w:rsidRDefault="00D76CFA">
        <w:pPr>
          <w:pStyle w:val="Footer"/>
          <w:jc w:val="right"/>
        </w:pPr>
        <w:r>
          <w:fldChar w:fldCharType="begin"/>
        </w:r>
        <w:r w:rsidR="000C1AC5">
          <w:instrText xml:space="preserve"> PAGE   \* MERGEFORMAT </w:instrText>
        </w:r>
        <w:r>
          <w:fldChar w:fldCharType="separate"/>
        </w:r>
        <w:r w:rsidR="007B6C25">
          <w:rPr>
            <w:noProof/>
          </w:rPr>
          <w:t>3</w:t>
        </w:r>
        <w:r>
          <w:rPr>
            <w:noProof/>
          </w:rPr>
          <w:fldChar w:fldCharType="end"/>
        </w:r>
      </w:p>
    </w:sdtContent>
  </w:sdt>
  <w:p w:rsidR="000C1AC5" w:rsidRDefault="000C1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C5" w:rsidRDefault="000C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42" w:rsidRDefault="00122A42" w:rsidP="00CE3061">
      <w:pPr>
        <w:spacing w:line="240" w:lineRule="auto"/>
      </w:pPr>
      <w:r>
        <w:separator/>
      </w:r>
    </w:p>
  </w:footnote>
  <w:footnote w:type="continuationSeparator" w:id="0">
    <w:p w:rsidR="00122A42" w:rsidRDefault="00122A42" w:rsidP="00CE30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C5" w:rsidRDefault="000C1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5E" w:rsidRDefault="0092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C5" w:rsidRDefault="000C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65A"/>
    <w:multiLevelType w:val="hybridMultilevel"/>
    <w:tmpl w:val="120252B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1C285444"/>
    <w:multiLevelType w:val="hybridMultilevel"/>
    <w:tmpl w:val="19B0F5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FA6D69"/>
    <w:multiLevelType w:val="multilevel"/>
    <w:tmpl w:val="37F04AAA"/>
    <w:lvl w:ilvl="0">
      <w:start w:val="4"/>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E20309A"/>
    <w:multiLevelType w:val="hybridMultilevel"/>
    <w:tmpl w:val="096491F4"/>
    <w:lvl w:ilvl="0" w:tplc="E5CE9808">
      <w:numFmt w:val="bullet"/>
      <w:lvlText w:val="-"/>
      <w:lvlJc w:val="left"/>
      <w:pPr>
        <w:ind w:left="700" w:hanging="360"/>
      </w:pPr>
      <w:rPr>
        <w:rFonts w:ascii="Book Antiqua" w:eastAsia="Times New Roman" w:hAnsi="Book Antiqua" w:cs="Book Antiqua"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 w15:restartNumberingAfterBreak="0">
    <w:nsid w:val="2EF23F63"/>
    <w:multiLevelType w:val="hybridMultilevel"/>
    <w:tmpl w:val="DB7EF532"/>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 w15:restartNumberingAfterBreak="0">
    <w:nsid w:val="2FE353FD"/>
    <w:multiLevelType w:val="hybridMultilevel"/>
    <w:tmpl w:val="F6E08226"/>
    <w:lvl w:ilvl="0" w:tplc="CAA24094">
      <w:start w:val="2"/>
      <w:numFmt w:val="decimal"/>
      <w:pStyle w:val="NumberedParagraph"/>
      <w:lvlText w:val="%1."/>
      <w:lvlJc w:val="left"/>
      <w:pPr>
        <w:tabs>
          <w:tab w:val="num" w:pos="680"/>
        </w:tabs>
        <w:ind w:left="680" w:hanging="6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55B37DF3"/>
    <w:multiLevelType w:val="hybridMultilevel"/>
    <w:tmpl w:val="C332053E"/>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7"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8" w15:restartNumberingAfterBreak="0">
    <w:nsid w:val="666C7E8D"/>
    <w:multiLevelType w:val="hybridMultilevel"/>
    <w:tmpl w:val="792C1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FD4EC4"/>
    <w:multiLevelType w:val="hybridMultilevel"/>
    <w:tmpl w:val="84EA7AA2"/>
    <w:lvl w:ilvl="0" w:tplc="CBCE56C6">
      <w:start w:val="1"/>
      <w:numFmt w:val="lowerRoman"/>
      <w:lvlText w:val="%1."/>
      <w:lvlJc w:val="left"/>
      <w:pPr>
        <w:ind w:left="720" w:hanging="360"/>
      </w:pPr>
      <w:rPr>
        <w:rFonts w:hint="default"/>
      </w:rPr>
    </w:lvl>
    <w:lvl w:ilvl="1" w:tplc="6946064E">
      <w:start w:val="1"/>
      <w:numFmt w:val="lowerLetter"/>
      <w:lvlText w:val="%2."/>
      <w:lvlJc w:val="left"/>
      <w:pPr>
        <w:ind w:left="1440" w:hanging="360"/>
      </w:pPr>
    </w:lvl>
    <w:lvl w:ilvl="2" w:tplc="315C17C0" w:tentative="1">
      <w:start w:val="1"/>
      <w:numFmt w:val="lowerRoman"/>
      <w:lvlText w:val="%3."/>
      <w:lvlJc w:val="right"/>
      <w:pPr>
        <w:ind w:left="2160" w:hanging="180"/>
      </w:pPr>
    </w:lvl>
    <w:lvl w:ilvl="3" w:tplc="A6520224" w:tentative="1">
      <w:start w:val="1"/>
      <w:numFmt w:val="decimal"/>
      <w:lvlText w:val="%4."/>
      <w:lvlJc w:val="left"/>
      <w:pPr>
        <w:ind w:left="2880" w:hanging="360"/>
      </w:pPr>
    </w:lvl>
    <w:lvl w:ilvl="4" w:tplc="8DCC5816" w:tentative="1">
      <w:start w:val="1"/>
      <w:numFmt w:val="lowerLetter"/>
      <w:lvlText w:val="%5."/>
      <w:lvlJc w:val="left"/>
      <w:pPr>
        <w:ind w:left="3600" w:hanging="360"/>
      </w:pPr>
    </w:lvl>
    <w:lvl w:ilvl="5" w:tplc="D9A2C074" w:tentative="1">
      <w:start w:val="1"/>
      <w:numFmt w:val="lowerRoman"/>
      <w:lvlText w:val="%6."/>
      <w:lvlJc w:val="right"/>
      <w:pPr>
        <w:ind w:left="4320" w:hanging="180"/>
      </w:pPr>
    </w:lvl>
    <w:lvl w:ilvl="6" w:tplc="C5F82DFA" w:tentative="1">
      <w:start w:val="1"/>
      <w:numFmt w:val="decimal"/>
      <w:lvlText w:val="%7."/>
      <w:lvlJc w:val="left"/>
      <w:pPr>
        <w:ind w:left="5040" w:hanging="360"/>
      </w:pPr>
    </w:lvl>
    <w:lvl w:ilvl="7" w:tplc="371EF416" w:tentative="1">
      <w:start w:val="1"/>
      <w:numFmt w:val="lowerLetter"/>
      <w:lvlText w:val="%8."/>
      <w:lvlJc w:val="left"/>
      <w:pPr>
        <w:ind w:left="5760" w:hanging="360"/>
      </w:pPr>
    </w:lvl>
    <w:lvl w:ilvl="8" w:tplc="851E4374" w:tentative="1">
      <w:start w:val="1"/>
      <w:numFmt w:val="lowerRoman"/>
      <w:lvlText w:val="%9."/>
      <w:lvlJc w:val="right"/>
      <w:pPr>
        <w:ind w:left="6480" w:hanging="180"/>
      </w:pPr>
    </w:lvl>
  </w:abstractNum>
  <w:abstractNum w:abstractNumId="10" w15:restartNumberingAfterBreak="0">
    <w:nsid w:val="6A7E2E8A"/>
    <w:multiLevelType w:val="hybridMultilevel"/>
    <w:tmpl w:val="4DCCDC9C"/>
    <w:lvl w:ilvl="0" w:tplc="E02CA6C4">
      <w:start w:val="2"/>
      <w:numFmt w:val="decimal"/>
      <w:lvlText w:val="%1."/>
      <w:lvlJc w:val="left"/>
      <w:pPr>
        <w:ind w:left="360" w:hanging="360"/>
      </w:pPr>
      <w:rPr>
        <w:rFonts w:hint="default"/>
        <w:b w:val="0"/>
        <w:color w:val="auto"/>
      </w:rPr>
    </w:lvl>
    <w:lvl w:ilvl="1" w:tplc="59440948">
      <w:start w:val="1"/>
      <w:numFmt w:val="lowerLetter"/>
      <w:lvlText w:val="(%2)"/>
      <w:lvlJc w:val="left"/>
      <w:pPr>
        <w:ind w:left="1080" w:hanging="360"/>
      </w:pPr>
      <w:rPr>
        <w:rFonts w:hint="default"/>
      </w:rPr>
    </w:lvl>
    <w:lvl w:ilvl="2" w:tplc="4A609BBE">
      <w:start w:val="1"/>
      <w:numFmt w:val="lowerRoman"/>
      <w:lvlText w:val="%3."/>
      <w:lvlJc w:val="right"/>
      <w:pPr>
        <w:ind w:left="1800" w:hanging="180"/>
      </w:pPr>
    </w:lvl>
    <w:lvl w:ilvl="3" w:tplc="526A43D4" w:tentative="1">
      <w:start w:val="1"/>
      <w:numFmt w:val="decimal"/>
      <w:lvlText w:val="%4."/>
      <w:lvlJc w:val="left"/>
      <w:pPr>
        <w:ind w:left="2520" w:hanging="360"/>
      </w:pPr>
    </w:lvl>
    <w:lvl w:ilvl="4" w:tplc="AB488E36" w:tentative="1">
      <w:start w:val="1"/>
      <w:numFmt w:val="lowerLetter"/>
      <w:lvlText w:val="%5."/>
      <w:lvlJc w:val="left"/>
      <w:pPr>
        <w:ind w:left="3240" w:hanging="360"/>
      </w:pPr>
    </w:lvl>
    <w:lvl w:ilvl="5" w:tplc="10644746" w:tentative="1">
      <w:start w:val="1"/>
      <w:numFmt w:val="lowerRoman"/>
      <w:lvlText w:val="%6."/>
      <w:lvlJc w:val="right"/>
      <w:pPr>
        <w:ind w:left="3960" w:hanging="180"/>
      </w:pPr>
    </w:lvl>
    <w:lvl w:ilvl="6" w:tplc="BDA87378" w:tentative="1">
      <w:start w:val="1"/>
      <w:numFmt w:val="decimal"/>
      <w:lvlText w:val="%7."/>
      <w:lvlJc w:val="left"/>
      <w:pPr>
        <w:ind w:left="4680" w:hanging="360"/>
      </w:pPr>
    </w:lvl>
    <w:lvl w:ilvl="7" w:tplc="451CA1D6" w:tentative="1">
      <w:start w:val="1"/>
      <w:numFmt w:val="lowerLetter"/>
      <w:lvlText w:val="%8."/>
      <w:lvlJc w:val="left"/>
      <w:pPr>
        <w:ind w:left="5400" w:hanging="360"/>
      </w:pPr>
    </w:lvl>
    <w:lvl w:ilvl="8" w:tplc="23FCC248" w:tentative="1">
      <w:start w:val="1"/>
      <w:numFmt w:val="lowerRoman"/>
      <w:lvlText w:val="%9."/>
      <w:lvlJc w:val="right"/>
      <w:pPr>
        <w:ind w:left="6120" w:hanging="180"/>
      </w:pPr>
    </w:lvl>
  </w:abstractNum>
  <w:abstractNum w:abstractNumId="11" w15:restartNumberingAfterBreak="0">
    <w:nsid w:val="75841DE0"/>
    <w:multiLevelType w:val="hybridMultilevel"/>
    <w:tmpl w:val="9E8E4D8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num w:numId="1">
    <w:abstractNumId w:val="7"/>
  </w:num>
  <w:num w:numId="2">
    <w:abstractNumId w:val="9"/>
  </w:num>
  <w:num w:numId="3">
    <w:abstractNumId w:val="2"/>
  </w:num>
  <w:num w:numId="4">
    <w:abstractNumId w:val="10"/>
  </w:num>
  <w:num w:numId="5">
    <w:abstractNumId w:val="7"/>
  </w:num>
  <w:num w:numId="6">
    <w:abstractNumId w:val="7"/>
  </w:num>
  <w:num w:numId="7">
    <w:abstractNumId w:val="7"/>
  </w:num>
  <w:num w:numId="8">
    <w:abstractNumId w:val="7"/>
  </w:num>
  <w:num w:numId="9">
    <w:abstractNumId w:val="5"/>
  </w:num>
  <w:num w:numId="10">
    <w:abstractNumId w:val="7"/>
  </w:num>
  <w:num w:numId="11">
    <w:abstractNumId w:val="0"/>
  </w:num>
  <w:num w:numId="12">
    <w:abstractNumId w:val="11"/>
  </w:num>
  <w:num w:numId="13">
    <w:abstractNumId w:val="6"/>
  </w:num>
  <w:num w:numId="14">
    <w:abstractNumId w:val="1"/>
  </w:num>
  <w:num w:numId="15">
    <w:abstractNumId w:val="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61"/>
    <w:rsid w:val="00000911"/>
    <w:rsid w:val="000104FF"/>
    <w:rsid w:val="000139CF"/>
    <w:rsid w:val="0001627E"/>
    <w:rsid w:val="00016D11"/>
    <w:rsid w:val="00030A51"/>
    <w:rsid w:val="00040FE9"/>
    <w:rsid w:val="000606F5"/>
    <w:rsid w:val="000653EE"/>
    <w:rsid w:val="000711A6"/>
    <w:rsid w:val="00077C07"/>
    <w:rsid w:val="00086741"/>
    <w:rsid w:val="000950CA"/>
    <w:rsid w:val="00096105"/>
    <w:rsid w:val="000964C6"/>
    <w:rsid w:val="000B07CF"/>
    <w:rsid w:val="000B1EDF"/>
    <w:rsid w:val="000C1AC5"/>
    <w:rsid w:val="000D0B9B"/>
    <w:rsid w:val="000D5E9B"/>
    <w:rsid w:val="000E18F2"/>
    <w:rsid w:val="000E541F"/>
    <w:rsid w:val="000F6413"/>
    <w:rsid w:val="00101FFD"/>
    <w:rsid w:val="00106C44"/>
    <w:rsid w:val="00122A42"/>
    <w:rsid w:val="00125FEB"/>
    <w:rsid w:val="0013128A"/>
    <w:rsid w:val="00132A80"/>
    <w:rsid w:val="0014233F"/>
    <w:rsid w:val="00143276"/>
    <w:rsid w:val="00144E1C"/>
    <w:rsid w:val="00177E86"/>
    <w:rsid w:val="00183E9B"/>
    <w:rsid w:val="001A00E3"/>
    <w:rsid w:val="001A53EF"/>
    <w:rsid w:val="001A64D4"/>
    <w:rsid w:val="001B3D6A"/>
    <w:rsid w:val="001C43A6"/>
    <w:rsid w:val="001D14B9"/>
    <w:rsid w:val="001F5E53"/>
    <w:rsid w:val="00204525"/>
    <w:rsid w:val="00210599"/>
    <w:rsid w:val="00211170"/>
    <w:rsid w:val="0021370A"/>
    <w:rsid w:val="00213C2F"/>
    <w:rsid w:val="00216FA4"/>
    <w:rsid w:val="00253B77"/>
    <w:rsid w:val="00263959"/>
    <w:rsid w:val="002712E7"/>
    <w:rsid w:val="0028578A"/>
    <w:rsid w:val="002A63C8"/>
    <w:rsid w:val="002A6B26"/>
    <w:rsid w:val="002A78B4"/>
    <w:rsid w:val="002A7B91"/>
    <w:rsid w:val="00302E0F"/>
    <w:rsid w:val="00311AF0"/>
    <w:rsid w:val="0031406B"/>
    <w:rsid w:val="0031562D"/>
    <w:rsid w:val="0032113D"/>
    <w:rsid w:val="00322C29"/>
    <w:rsid w:val="003235C7"/>
    <w:rsid w:val="00370A2B"/>
    <w:rsid w:val="003769E8"/>
    <w:rsid w:val="00390D94"/>
    <w:rsid w:val="00394B68"/>
    <w:rsid w:val="003A2934"/>
    <w:rsid w:val="003A4BC7"/>
    <w:rsid w:val="003A6AB1"/>
    <w:rsid w:val="003B09EA"/>
    <w:rsid w:val="003B5961"/>
    <w:rsid w:val="003C36A9"/>
    <w:rsid w:val="003E6DD7"/>
    <w:rsid w:val="003F63EA"/>
    <w:rsid w:val="00403B07"/>
    <w:rsid w:val="004156EE"/>
    <w:rsid w:val="00434E68"/>
    <w:rsid w:val="004477ED"/>
    <w:rsid w:val="00451C0E"/>
    <w:rsid w:val="004656FF"/>
    <w:rsid w:val="004701AB"/>
    <w:rsid w:val="00470729"/>
    <w:rsid w:val="004861F6"/>
    <w:rsid w:val="004872D9"/>
    <w:rsid w:val="004A30CE"/>
    <w:rsid w:val="004A77E6"/>
    <w:rsid w:val="004A7E10"/>
    <w:rsid w:val="004B666C"/>
    <w:rsid w:val="004D50E1"/>
    <w:rsid w:val="004E024B"/>
    <w:rsid w:val="00517446"/>
    <w:rsid w:val="0052524D"/>
    <w:rsid w:val="00564578"/>
    <w:rsid w:val="00577604"/>
    <w:rsid w:val="00583FD7"/>
    <w:rsid w:val="005902B8"/>
    <w:rsid w:val="00595887"/>
    <w:rsid w:val="005A50F5"/>
    <w:rsid w:val="005B66B9"/>
    <w:rsid w:val="005E3888"/>
    <w:rsid w:val="005E69D1"/>
    <w:rsid w:val="005F512E"/>
    <w:rsid w:val="005F7CCD"/>
    <w:rsid w:val="00602AFE"/>
    <w:rsid w:val="00604CD1"/>
    <w:rsid w:val="006064C4"/>
    <w:rsid w:val="00625CBA"/>
    <w:rsid w:val="006514D1"/>
    <w:rsid w:val="00651DF4"/>
    <w:rsid w:val="006542B8"/>
    <w:rsid w:val="006556B8"/>
    <w:rsid w:val="00662218"/>
    <w:rsid w:val="00662936"/>
    <w:rsid w:val="00674801"/>
    <w:rsid w:val="006948A7"/>
    <w:rsid w:val="00697208"/>
    <w:rsid w:val="006A35A6"/>
    <w:rsid w:val="006A7DC8"/>
    <w:rsid w:val="006C4EE1"/>
    <w:rsid w:val="006D62BF"/>
    <w:rsid w:val="006E0084"/>
    <w:rsid w:val="006E0253"/>
    <w:rsid w:val="006E654C"/>
    <w:rsid w:val="00706972"/>
    <w:rsid w:val="007208B2"/>
    <w:rsid w:val="00742DC7"/>
    <w:rsid w:val="007517BA"/>
    <w:rsid w:val="0075270E"/>
    <w:rsid w:val="00752DB4"/>
    <w:rsid w:val="00755037"/>
    <w:rsid w:val="00756492"/>
    <w:rsid w:val="00756E0F"/>
    <w:rsid w:val="0076029A"/>
    <w:rsid w:val="00770903"/>
    <w:rsid w:val="00782735"/>
    <w:rsid w:val="00787295"/>
    <w:rsid w:val="007B1A5D"/>
    <w:rsid w:val="007B6057"/>
    <w:rsid w:val="007B64BC"/>
    <w:rsid w:val="007B6C25"/>
    <w:rsid w:val="007D51EE"/>
    <w:rsid w:val="007E768F"/>
    <w:rsid w:val="00804AFC"/>
    <w:rsid w:val="008109BD"/>
    <w:rsid w:val="00814ABC"/>
    <w:rsid w:val="00825E7F"/>
    <w:rsid w:val="008261C2"/>
    <w:rsid w:val="00834C3E"/>
    <w:rsid w:val="0085709A"/>
    <w:rsid w:val="008615F7"/>
    <w:rsid w:val="00864E6D"/>
    <w:rsid w:val="00870873"/>
    <w:rsid w:val="0089100F"/>
    <w:rsid w:val="00897522"/>
    <w:rsid w:val="008A337B"/>
    <w:rsid w:val="008B021B"/>
    <w:rsid w:val="008C1D34"/>
    <w:rsid w:val="008C6ABB"/>
    <w:rsid w:val="008D04D8"/>
    <w:rsid w:val="008E15BA"/>
    <w:rsid w:val="008E4515"/>
    <w:rsid w:val="008E4C8E"/>
    <w:rsid w:val="008F0D53"/>
    <w:rsid w:val="00916737"/>
    <w:rsid w:val="00922D50"/>
    <w:rsid w:val="00923F5E"/>
    <w:rsid w:val="0092400C"/>
    <w:rsid w:val="0092796A"/>
    <w:rsid w:val="00927A0A"/>
    <w:rsid w:val="0094443D"/>
    <w:rsid w:val="00950D6F"/>
    <w:rsid w:val="00956036"/>
    <w:rsid w:val="00957D5B"/>
    <w:rsid w:val="00960A5C"/>
    <w:rsid w:val="0096145A"/>
    <w:rsid w:val="00963BA9"/>
    <w:rsid w:val="00982C5F"/>
    <w:rsid w:val="009929B7"/>
    <w:rsid w:val="009932DA"/>
    <w:rsid w:val="00993FAB"/>
    <w:rsid w:val="00994A00"/>
    <w:rsid w:val="009B7D5E"/>
    <w:rsid w:val="009C3892"/>
    <w:rsid w:val="009C742D"/>
    <w:rsid w:val="009C7A49"/>
    <w:rsid w:val="009D1270"/>
    <w:rsid w:val="009D1496"/>
    <w:rsid w:val="009D6951"/>
    <w:rsid w:val="009D77AB"/>
    <w:rsid w:val="009E3388"/>
    <w:rsid w:val="009F236A"/>
    <w:rsid w:val="009F3D5F"/>
    <w:rsid w:val="00A0226E"/>
    <w:rsid w:val="00A074D9"/>
    <w:rsid w:val="00A16ABF"/>
    <w:rsid w:val="00A23F76"/>
    <w:rsid w:val="00A263D8"/>
    <w:rsid w:val="00A3309E"/>
    <w:rsid w:val="00A34BFA"/>
    <w:rsid w:val="00A60425"/>
    <w:rsid w:val="00AA09DB"/>
    <w:rsid w:val="00AA0D31"/>
    <w:rsid w:val="00AA1BD9"/>
    <w:rsid w:val="00AA72DA"/>
    <w:rsid w:val="00AA7453"/>
    <w:rsid w:val="00AB02FF"/>
    <w:rsid w:val="00AB2169"/>
    <w:rsid w:val="00AB6525"/>
    <w:rsid w:val="00AE30EE"/>
    <w:rsid w:val="00AE61B0"/>
    <w:rsid w:val="00AF036E"/>
    <w:rsid w:val="00B03FC1"/>
    <w:rsid w:val="00B072EF"/>
    <w:rsid w:val="00B268F9"/>
    <w:rsid w:val="00B30E77"/>
    <w:rsid w:val="00B42B84"/>
    <w:rsid w:val="00B62958"/>
    <w:rsid w:val="00B74C1B"/>
    <w:rsid w:val="00B7583C"/>
    <w:rsid w:val="00B9034A"/>
    <w:rsid w:val="00BB3E32"/>
    <w:rsid w:val="00BC1609"/>
    <w:rsid w:val="00BF6E36"/>
    <w:rsid w:val="00C03412"/>
    <w:rsid w:val="00C0365F"/>
    <w:rsid w:val="00C12D42"/>
    <w:rsid w:val="00C5189C"/>
    <w:rsid w:val="00C56953"/>
    <w:rsid w:val="00C60994"/>
    <w:rsid w:val="00C70867"/>
    <w:rsid w:val="00C8503F"/>
    <w:rsid w:val="00C9246D"/>
    <w:rsid w:val="00CA1057"/>
    <w:rsid w:val="00CA2A24"/>
    <w:rsid w:val="00CB1331"/>
    <w:rsid w:val="00CB6B73"/>
    <w:rsid w:val="00CC3D9A"/>
    <w:rsid w:val="00CD7884"/>
    <w:rsid w:val="00CE3061"/>
    <w:rsid w:val="00CE5BB6"/>
    <w:rsid w:val="00D11690"/>
    <w:rsid w:val="00D151C7"/>
    <w:rsid w:val="00D16241"/>
    <w:rsid w:val="00D34B62"/>
    <w:rsid w:val="00D37457"/>
    <w:rsid w:val="00D6635F"/>
    <w:rsid w:val="00D672E3"/>
    <w:rsid w:val="00D74432"/>
    <w:rsid w:val="00D76CFA"/>
    <w:rsid w:val="00D82A0A"/>
    <w:rsid w:val="00DA039F"/>
    <w:rsid w:val="00DA607F"/>
    <w:rsid w:val="00DB3C99"/>
    <w:rsid w:val="00DC70D0"/>
    <w:rsid w:val="00DD69AE"/>
    <w:rsid w:val="00DE4BED"/>
    <w:rsid w:val="00DF3689"/>
    <w:rsid w:val="00E14943"/>
    <w:rsid w:val="00E2175E"/>
    <w:rsid w:val="00E36FB5"/>
    <w:rsid w:val="00E44E92"/>
    <w:rsid w:val="00E56F9B"/>
    <w:rsid w:val="00E61147"/>
    <w:rsid w:val="00E774EC"/>
    <w:rsid w:val="00E971BF"/>
    <w:rsid w:val="00EA1B68"/>
    <w:rsid w:val="00EA7BEE"/>
    <w:rsid w:val="00EB4B03"/>
    <w:rsid w:val="00EB4D8E"/>
    <w:rsid w:val="00EC4234"/>
    <w:rsid w:val="00ED5A99"/>
    <w:rsid w:val="00EE1AA5"/>
    <w:rsid w:val="00EF2D5C"/>
    <w:rsid w:val="00EF5400"/>
    <w:rsid w:val="00F056EB"/>
    <w:rsid w:val="00F0783D"/>
    <w:rsid w:val="00F128C3"/>
    <w:rsid w:val="00F227BD"/>
    <w:rsid w:val="00F25E9A"/>
    <w:rsid w:val="00F36950"/>
    <w:rsid w:val="00F43D96"/>
    <w:rsid w:val="00F45F75"/>
    <w:rsid w:val="00F474E0"/>
    <w:rsid w:val="00F503D7"/>
    <w:rsid w:val="00F55DA0"/>
    <w:rsid w:val="00F65ECC"/>
    <w:rsid w:val="00F7508E"/>
    <w:rsid w:val="00F86685"/>
    <w:rsid w:val="00F96023"/>
    <w:rsid w:val="00FA21CD"/>
    <w:rsid w:val="00FA7659"/>
    <w:rsid w:val="00FB0A18"/>
    <w:rsid w:val="00FB15C9"/>
    <w:rsid w:val="00FB7221"/>
    <w:rsid w:val="00FB7734"/>
    <w:rsid w:val="00FC1DEA"/>
    <w:rsid w:val="00FC3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9C5B9FF-0F78-44AD-B726-F1220277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5C"/>
    <w:pPr>
      <w:spacing w:line="240" w:lineRule="atLeast"/>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CD0A5C"/>
    <w:pPr>
      <w:keepNext/>
      <w:spacing w:before="60" w:after="360"/>
      <w:outlineLvl w:val="0"/>
    </w:pPr>
    <w:rPr>
      <w:rFonts w:ascii="Arial" w:hAnsi="Arial" w:cs="Arial"/>
      <w:b/>
      <w:bCs/>
      <w:kern w:val="28"/>
      <w:sz w:val="28"/>
      <w:szCs w:val="28"/>
    </w:rPr>
  </w:style>
  <w:style w:type="paragraph" w:styleId="Heading2">
    <w:name w:val="heading 2"/>
    <w:basedOn w:val="Normal"/>
    <w:next w:val="Normal"/>
    <w:link w:val="Heading2Char"/>
    <w:qFormat/>
    <w:rsid w:val="00CD0A5C"/>
    <w:pPr>
      <w:keepNext/>
      <w:spacing w:before="60" w:after="60" w:line="240" w:lineRule="exac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DRintable">
    <w:name w:val="PDR in table"/>
    <w:basedOn w:val="DefaultParagraphFont"/>
    <w:uiPriority w:val="1"/>
    <w:qFormat/>
    <w:rsid w:val="004F16CE"/>
    <w:rPr>
      <w:rFonts w:ascii="Times New Roman" w:hAnsi="Times New Roman"/>
      <w:sz w:val="16"/>
    </w:rPr>
  </w:style>
  <w:style w:type="character" w:customStyle="1" w:styleId="Heading1Char">
    <w:name w:val="Heading 1 Char"/>
    <w:basedOn w:val="DefaultParagraphFont"/>
    <w:link w:val="Heading1"/>
    <w:rsid w:val="00CD0A5C"/>
    <w:rPr>
      <w:rFonts w:ascii="Arial" w:eastAsia="Times New Roman" w:hAnsi="Arial" w:cs="Arial"/>
      <w:b/>
      <w:bCs/>
      <w:kern w:val="28"/>
      <w:sz w:val="28"/>
      <w:szCs w:val="28"/>
      <w:lang w:val="en-AU"/>
    </w:rPr>
  </w:style>
  <w:style w:type="character" w:customStyle="1" w:styleId="Heading2Char">
    <w:name w:val="Heading 2 Char"/>
    <w:basedOn w:val="DefaultParagraphFont"/>
    <w:link w:val="Heading2"/>
    <w:rsid w:val="00CD0A5C"/>
    <w:rPr>
      <w:rFonts w:ascii="Arial" w:eastAsia="Times New Roman" w:hAnsi="Arial" w:cs="Arial"/>
      <w:b/>
      <w:bCs/>
      <w:sz w:val="24"/>
      <w:szCs w:val="24"/>
      <w:lang w:val="en-AU"/>
    </w:rPr>
  </w:style>
  <w:style w:type="paragraph" w:styleId="Header">
    <w:name w:val="header"/>
    <w:basedOn w:val="Normal"/>
    <w:link w:val="HeaderChar"/>
    <w:rsid w:val="00CD0A5C"/>
    <w:pPr>
      <w:tabs>
        <w:tab w:val="center" w:pos="4153"/>
        <w:tab w:val="right" w:pos="8306"/>
      </w:tabs>
    </w:pPr>
  </w:style>
  <w:style w:type="character" w:customStyle="1" w:styleId="HeaderChar">
    <w:name w:val="Header Char"/>
    <w:basedOn w:val="DefaultParagraphFont"/>
    <w:link w:val="Header"/>
    <w:rsid w:val="00CD0A5C"/>
    <w:rPr>
      <w:rFonts w:ascii="Times New Roman" w:eastAsia="Times New Roman" w:hAnsi="Times New Roman" w:cs="Times New Roman"/>
      <w:sz w:val="24"/>
      <w:szCs w:val="24"/>
      <w:lang w:val="en-AU"/>
    </w:rPr>
  </w:style>
  <w:style w:type="paragraph" w:styleId="BodyText2">
    <w:name w:val="Body Text 2"/>
    <w:basedOn w:val="Normal"/>
    <w:link w:val="BodyText2Char"/>
    <w:rsid w:val="00CD0A5C"/>
    <w:rPr>
      <w:color w:val="808080"/>
    </w:rPr>
  </w:style>
  <w:style w:type="character" w:customStyle="1" w:styleId="BodyText2Char">
    <w:name w:val="Body Text 2 Char"/>
    <w:basedOn w:val="DefaultParagraphFont"/>
    <w:link w:val="BodyText2"/>
    <w:rsid w:val="00CD0A5C"/>
    <w:rPr>
      <w:rFonts w:ascii="Times New Roman" w:eastAsia="Times New Roman" w:hAnsi="Times New Roman" w:cs="Times New Roman"/>
      <w:color w:val="808080"/>
      <w:sz w:val="24"/>
      <w:szCs w:val="24"/>
      <w:lang w:val="en-AU"/>
    </w:rPr>
  </w:style>
  <w:style w:type="paragraph" w:styleId="BodyText3">
    <w:name w:val="Body Text 3"/>
    <w:basedOn w:val="Normal"/>
    <w:link w:val="BodyText3Char"/>
    <w:rsid w:val="00CD0A5C"/>
    <w:pPr>
      <w:tabs>
        <w:tab w:val="left" w:pos="4536"/>
      </w:tabs>
    </w:pPr>
    <w:rPr>
      <w:i/>
      <w:iCs/>
    </w:rPr>
  </w:style>
  <w:style w:type="character" w:customStyle="1" w:styleId="BodyText3Char">
    <w:name w:val="Body Text 3 Char"/>
    <w:basedOn w:val="DefaultParagraphFont"/>
    <w:link w:val="BodyText3"/>
    <w:rsid w:val="00CD0A5C"/>
    <w:rPr>
      <w:rFonts w:ascii="Times New Roman" w:eastAsia="Times New Roman" w:hAnsi="Times New Roman" w:cs="Times New Roman"/>
      <w:i/>
      <w:iCs/>
      <w:sz w:val="24"/>
      <w:szCs w:val="24"/>
      <w:lang w:val="en-AU"/>
    </w:rPr>
  </w:style>
  <w:style w:type="paragraph" w:customStyle="1" w:styleId="NumberList">
    <w:name w:val="Number List"/>
    <w:basedOn w:val="Normal"/>
    <w:rsid w:val="00CD0A5C"/>
    <w:pPr>
      <w:numPr>
        <w:numId w:val="1"/>
      </w:numPr>
      <w:tabs>
        <w:tab w:val="left" w:pos="1985"/>
      </w:tabs>
      <w:spacing w:before="240"/>
    </w:pPr>
  </w:style>
  <w:style w:type="paragraph" w:customStyle="1" w:styleId="NumberListSub">
    <w:name w:val="Number List Sub"/>
    <w:basedOn w:val="NumberList"/>
    <w:rsid w:val="00CD0A5C"/>
    <w:pPr>
      <w:numPr>
        <w:ilvl w:val="1"/>
      </w:numPr>
      <w:tabs>
        <w:tab w:val="left" w:pos="2552"/>
      </w:tabs>
    </w:pPr>
  </w:style>
  <w:style w:type="paragraph" w:styleId="Footer">
    <w:name w:val="footer"/>
    <w:basedOn w:val="Normal"/>
    <w:link w:val="FooterChar"/>
    <w:uiPriority w:val="99"/>
    <w:rsid w:val="00CD0A5C"/>
    <w:pPr>
      <w:tabs>
        <w:tab w:val="center" w:pos="4153"/>
        <w:tab w:val="right" w:pos="8306"/>
      </w:tabs>
    </w:pPr>
  </w:style>
  <w:style w:type="character" w:customStyle="1" w:styleId="FooterChar">
    <w:name w:val="Footer Char"/>
    <w:basedOn w:val="DefaultParagraphFont"/>
    <w:link w:val="Footer"/>
    <w:uiPriority w:val="99"/>
    <w:rsid w:val="00CD0A5C"/>
    <w:rPr>
      <w:rFonts w:ascii="Times New Roman" w:eastAsia="Times New Roman" w:hAnsi="Times New Roman" w:cs="Times New Roman"/>
      <w:sz w:val="24"/>
      <w:szCs w:val="24"/>
      <w:lang w:val="en-AU"/>
    </w:rPr>
  </w:style>
  <w:style w:type="character" w:customStyle="1" w:styleId="HelpText">
    <w:name w:val="Help Text"/>
    <w:basedOn w:val="DefaultParagraphFont"/>
    <w:semiHidden/>
    <w:rsid w:val="00CD0A5C"/>
    <w:rPr>
      <w:color w:val="808080"/>
    </w:rPr>
  </w:style>
  <w:style w:type="paragraph" w:customStyle="1" w:styleId="RomanPara">
    <w:name w:val="Roman Para"/>
    <w:basedOn w:val="Normal"/>
    <w:link w:val="RomanParaChar"/>
    <w:rsid w:val="00CD0A5C"/>
    <w:pPr>
      <w:tabs>
        <w:tab w:val="num" w:pos="720"/>
      </w:tabs>
      <w:spacing w:after="240"/>
      <w:ind w:left="720" w:hanging="720"/>
    </w:pPr>
  </w:style>
  <w:style w:type="character" w:customStyle="1" w:styleId="RomanParaChar">
    <w:name w:val="Roman Para Char"/>
    <w:basedOn w:val="DefaultParagraphFont"/>
    <w:link w:val="RomanPara"/>
    <w:rsid w:val="00CD0A5C"/>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CD0A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5C"/>
    <w:rPr>
      <w:rFonts w:ascii="Tahoma" w:eastAsia="Times New Roman" w:hAnsi="Tahoma" w:cs="Tahoma"/>
      <w:sz w:val="16"/>
      <w:szCs w:val="16"/>
      <w:lang w:val="en-AU"/>
    </w:rPr>
  </w:style>
  <w:style w:type="paragraph" w:customStyle="1" w:styleId="HeadingMin">
    <w:name w:val="HeadingMin"/>
    <w:basedOn w:val="Normal"/>
    <w:rsid w:val="00CD0A5C"/>
    <w:pPr>
      <w:spacing w:line="240" w:lineRule="auto"/>
      <w:jc w:val="center"/>
    </w:pPr>
    <w:rPr>
      <w:rFonts w:ascii="Arial" w:hAnsi="Arial"/>
      <w:caps/>
      <w:spacing w:val="20"/>
      <w:sz w:val="40"/>
      <w:lang w:eastAsia="en-AU"/>
    </w:rPr>
  </w:style>
  <w:style w:type="paragraph" w:customStyle="1" w:styleId="HeadingOffice">
    <w:name w:val="HeadingOffice"/>
    <w:basedOn w:val="Normal"/>
    <w:rsid w:val="00CD0A5C"/>
    <w:pPr>
      <w:spacing w:line="240" w:lineRule="auto"/>
      <w:jc w:val="center"/>
    </w:pPr>
    <w:rPr>
      <w:rFonts w:ascii="Arial" w:hAnsi="Arial"/>
      <w:spacing w:val="10"/>
      <w:sz w:val="28"/>
      <w:lang w:eastAsia="en-AU"/>
    </w:rPr>
  </w:style>
  <w:style w:type="character" w:styleId="PlaceholderText">
    <w:name w:val="Placeholder Text"/>
    <w:basedOn w:val="DefaultParagraphFont"/>
    <w:uiPriority w:val="99"/>
    <w:semiHidden/>
    <w:rsid w:val="0084531F"/>
    <w:rPr>
      <w:color w:val="808080"/>
    </w:rPr>
  </w:style>
  <w:style w:type="character" w:styleId="Hyperlink">
    <w:name w:val="Hyperlink"/>
    <w:basedOn w:val="DefaultParagraphFont"/>
    <w:uiPriority w:val="99"/>
    <w:unhideWhenUsed/>
    <w:rsid w:val="00AF036E"/>
    <w:rPr>
      <w:color w:val="0000FF" w:themeColor="hyperlink"/>
      <w:u w:val="single"/>
    </w:rPr>
  </w:style>
  <w:style w:type="paragraph" w:customStyle="1" w:styleId="NumberedParagraph">
    <w:name w:val="Numbered Paragraph"/>
    <w:basedOn w:val="Normal"/>
    <w:rsid w:val="00E971BF"/>
    <w:pPr>
      <w:numPr>
        <w:numId w:val="9"/>
      </w:numPr>
      <w:spacing w:after="240"/>
      <w:ind w:left="0" w:firstLine="0"/>
    </w:pPr>
  </w:style>
  <w:style w:type="paragraph" w:styleId="ListParagraph">
    <w:name w:val="List Paragraph"/>
    <w:basedOn w:val="Normal"/>
    <w:uiPriority w:val="34"/>
    <w:qFormat/>
    <w:rsid w:val="00E971BF"/>
    <w:pPr>
      <w:ind w:left="720"/>
      <w:contextualSpacing/>
    </w:pPr>
  </w:style>
  <w:style w:type="paragraph" w:customStyle="1" w:styleId="Default">
    <w:name w:val="Default"/>
    <w:rsid w:val="00B42B84"/>
    <w:pPr>
      <w:autoSpaceDE w:val="0"/>
      <w:autoSpaceDN w:val="0"/>
      <w:adjustRightInd w:val="0"/>
    </w:pPr>
    <w:rPr>
      <w:rFonts w:ascii="Arial Black" w:hAnsi="Arial Black" w:cs="Arial Black"/>
      <w:color w:val="000000"/>
      <w:sz w:val="24"/>
      <w:szCs w:val="24"/>
      <w:lang w:val="en-AU"/>
    </w:rPr>
  </w:style>
  <w:style w:type="paragraph" w:customStyle="1" w:styleId="footnote">
    <w:name w:val="footnote"/>
    <w:basedOn w:val="Normal"/>
    <w:uiPriority w:val="99"/>
    <w:rsid w:val="0075270E"/>
    <w:pPr>
      <w:widowControl w:val="0"/>
      <w:tabs>
        <w:tab w:val="left" w:pos="283"/>
      </w:tabs>
      <w:suppressAutoHyphens/>
      <w:autoSpaceDE w:val="0"/>
      <w:autoSpaceDN w:val="0"/>
      <w:adjustRightInd w:val="0"/>
      <w:spacing w:before="170" w:line="160" w:lineRule="atLeast"/>
      <w:textAlignment w:val="center"/>
    </w:pPr>
    <w:rPr>
      <w:rFonts w:ascii="TheSansLight-Plain" w:hAnsi="TheSansLight-Plain" w:cs="TheSansLight-Plain"/>
      <w:color w:val="000000"/>
      <w:spacing w:val="-1"/>
      <w:sz w:val="14"/>
      <w:szCs w:val="14"/>
      <w:lang w:val="en-US"/>
    </w:rPr>
  </w:style>
  <w:style w:type="character" w:styleId="CommentReference">
    <w:name w:val="annotation reference"/>
    <w:basedOn w:val="DefaultParagraphFont"/>
    <w:uiPriority w:val="99"/>
    <w:semiHidden/>
    <w:unhideWhenUsed/>
    <w:rsid w:val="001F5E53"/>
    <w:rPr>
      <w:sz w:val="16"/>
      <w:szCs w:val="16"/>
    </w:rPr>
  </w:style>
  <w:style w:type="paragraph" w:styleId="CommentText">
    <w:name w:val="annotation text"/>
    <w:basedOn w:val="Normal"/>
    <w:link w:val="CommentTextChar"/>
    <w:uiPriority w:val="99"/>
    <w:semiHidden/>
    <w:unhideWhenUsed/>
    <w:rsid w:val="001F5E53"/>
    <w:pPr>
      <w:spacing w:line="240" w:lineRule="auto"/>
    </w:pPr>
    <w:rPr>
      <w:sz w:val="20"/>
      <w:szCs w:val="20"/>
    </w:rPr>
  </w:style>
  <w:style w:type="character" w:customStyle="1" w:styleId="CommentTextChar">
    <w:name w:val="Comment Text Char"/>
    <w:basedOn w:val="DefaultParagraphFont"/>
    <w:link w:val="CommentText"/>
    <w:uiPriority w:val="99"/>
    <w:semiHidden/>
    <w:rsid w:val="001F5E53"/>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F5E53"/>
    <w:rPr>
      <w:b/>
      <w:bCs/>
    </w:rPr>
  </w:style>
  <w:style w:type="character" w:customStyle="1" w:styleId="CommentSubjectChar">
    <w:name w:val="Comment Subject Char"/>
    <w:basedOn w:val="CommentTextChar"/>
    <w:link w:val="CommentSubject"/>
    <w:uiPriority w:val="99"/>
    <w:semiHidden/>
    <w:rsid w:val="001F5E53"/>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689">
      <w:bodyDiv w:val="1"/>
      <w:marLeft w:val="0"/>
      <w:marRight w:val="0"/>
      <w:marTop w:val="0"/>
      <w:marBottom w:val="0"/>
      <w:divBdr>
        <w:top w:val="none" w:sz="0" w:space="0" w:color="auto"/>
        <w:left w:val="none" w:sz="0" w:space="0" w:color="auto"/>
        <w:bottom w:val="none" w:sz="0" w:space="0" w:color="auto"/>
        <w:right w:val="none" w:sz="0" w:space="0" w:color="auto"/>
      </w:divBdr>
    </w:div>
    <w:div w:id="156266582">
      <w:bodyDiv w:val="1"/>
      <w:marLeft w:val="0"/>
      <w:marRight w:val="0"/>
      <w:marTop w:val="0"/>
      <w:marBottom w:val="0"/>
      <w:divBdr>
        <w:top w:val="none" w:sz="0" w:space="0" w:color="auto"/>
        <w:left w:val="none" w:sz="0" w:space="0" w:color="auto"/>
        <w:bottom w:val="none" w:sz="0" w:space="0" w:color="auto"/>
        <w:right w:val="none" w:sz="0" w:space="0" w:color="auto"/>
      </w:divBdr>
    </w:div>
    <w:div w:id="533888820">
      <w:bodyDiv w:val="1"/>
      <w:marLeft w:val="0"/>
      <w:marRight w:val="0"/>
      <w:marTop w:val="0"/>
      <w:marBottom w:val="0"/>
      <w:divBdr>
        <w:top w:val="none" w:sz="0" w:space="0" w:color="auto"/>
        <w:left w:val="none" w:sz="0" w:space="0" w:color="auto"/>
        <w:bottom w:val="none" w:sz="0" w:space="0" w:color="auto"/>
        <w:right w:val="none" w:sz="0" w:space="0" w:color="auto"/>
      </w:divBdr>
    </w:div>
    <w:div w:id="668293789">
      <w:bodyDiv w:val="1"/>
      <w:marLeft w:val="0"/>
      <w:marRight w:val="0"/>
      <w:marTop w:val="0"/>
      <w:marBottom w:val="0"/>
      <w:divBdr>
        <w:top w:val="none" w:sz="0" w:space="0" w:color="auto"/>
        <w:left w:val="none" w:sz="0" w:space="0" w:color="auto"/>
        <w:bottom w:val="none" w:sz="0" w:space="0" w:color="auto"/>
        <w:right w:val="none" w:sz="0" w:space="0" w:color="auto"/>
      </w:divBdr>
    </w:div>
    <w:div w:id="15245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54DE356-323C-48DF-859D-7BF2F6B6C9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BCF2C825F0534C809C28D5AB9E1E84" ma:contentTypeVersion="" ma:contentTypeDescription="PDMS Document Site Content Type" ma:contentTypeScope="" ma:versionID="7b1473e00d8aa945ff7253cc9b22f25f">
  <xsd:schema xmlns:xsd="http://www.w3.org/2001/XMLSchema" xmlns:xs="http://www.w3.org/2001/XMLSchema" xmlns:p="http://schemas.microsoft.com/office/2006/metadata/properties" xmlns:ns2="E54DE356-323C-48DF-859D-7BF2F6B6C9B8" targetNamespace="http://schemas.microsoft.com/office/2006/metadata/properties" ma:root="true" ma:fieldsID="a692b8b87bb60363c6dd2103641fbf6b" ns2:_="">
    <xsd:import namespace="E54DE356-323C-48DF-859D-7BF2F6B6C9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DE356-323C-48DF-859D-7BF2F6B6C9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F67BF-F0C4-4707-B4EF-FBA5ADA4A43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54DE356-323C-48DF-859D-7BF2F6B6C9B8"/>
    <ds:schemaRef ds:uri="http://www.w3.org/XML/1998/namespace"/>
    <ds:schemaRef ds:uri="http://purl.org/dc/elements/1.1/"/>
  </ds:schemaRefs>
</ds:datastoreItem>
</file>

<file path=customXml/itemProps2.xml><?xml version="1.0" encoding="utf-8"?>
<ds:datastoreItem xmlns:ds="http://schemas.openxmlformats.org/officeDocument/2006/customXml" ds:itemID="{676779BA-55B3-4CCD-846C-CF6A2F559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DE356-323C-48DF-859D-7BF2F6B6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CEB70-09D7-43A3-AA0A-961A7EB92052}">
  <ds:schemaRefs>
    <ds:schemaRef ds:uri="http://schemas.microsoft.com/sharepoint/v3/contenttype/forms"/>
  </ds:schemaRefs>
</ds:datastoreItem>
</file>

<file path=customXml/itemProps4.xml><?xml version="1.0" encoding="utf-8"?>
<ds:datastoreItem xmlns:ds="http://schemas.openxmlformats.org/officeDocument/2006/customXml" ds:itemID="{388C45AF-3EED-498A-8411-09A8AC9F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EC009FFD</Template>
  <TotalTime>1</TotalTime>
  <Pages>1</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JCPAA 449 - Government response</vt:lpstr>
    </vt:vector>
  </TitlesOfParts>
  <Company>Department of Finance</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dc:title>
  <dc:creator>Department of Finance;phikir</dc:creator>
  <cp:lastModifiedBy>Truong, Minh</cp:lastModifiedBy>
  <cp:revision>3</cp:revision>
  <cp:lastPrinted>2017-02-15T01:29:00Z</cp:lastPrinted>
  <dcterms:created xsi:type="dcterms:W3CDTF">2017-02-15T01:30:00Z</dcterms:created>
  <dcterms:modified xsi:type="dcterms:W3CDTF">2017-02-15T03:35:00Z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BulkCorrespondenceReceived">
    <vt:lpwstr/>
  </property>
  <property fmtid="{D5CDD505-2E9C-101B-9397-08002B2CF9AE}" pid="4" name="CampaignName">
    <vt:lpwstr/>
  </property>
  <property fmtid="{D5CDD505-2E9C-101B-9397-08002B2CF9AE}" pid="5" name="ClearanceActualDate">
    <vt:lpwstr/>
  </property>
  <property fmtid="{D5CDD505-2E9C-101B-9397-08002B2CF9AE}" pid="6" name="ClearanceDueDate">
    <vt:lpwstr>11 January 2016</vt:lpwstr>
  </property>
  <property fmtid="{D5CDD505-2E9C-101B-9397-08002B2CF9AE}" pid="7" name="ContentTypeId">
    <vt:lpwstr>0x010100266966F133664895A6EE3632470D45F50200F6C9F4E9F2A17042868AACEF35E546F2</vt:lpwstr>
  </property>
  <property fmtid="{D5CDD505-2E9C-101B-9397-08002B2CF9AE}" pid="8" name="CorrespondenceDate">
    <vt:lpwstr>12 August 2015</vt:lpwstr>
  </property>
  <property fmtid="{D5CDD505-2E9C-101B-9397-08002B2CF9AE}" pid="9" name="CorrespondenceMethod">
    <vt:lpwstr>Letter</vt:lpwstr>
  </property>
  <property fmtid="{D5CDD505-2E9C-101B-9397-08002B2CF9AE}" pid="10" name="Electorates">
    <vt:lpwstr/>
  </property>
  <property fmtid="{D5CDD505-2E9C-101B-9397-08002B2CF9AE}" pid="11" name="GroupResponsible">
    <vt:lpwstr>GARM - Governance and Public Management (GPM)</vt:lpwstr>
  </property>
  <property fmtid="{D5CDD505-2E9C-101B-9397-08002B2CF9AE}" pid="12" name="HandlingProtocol">
    <vt:lpwstr>Standard</vt:lpwstr>
  </property>
  <property fmtid="{D5CDD505-2E9C-101B-9397-08002B2CF9AE}" pid="13" name="InformationMinister">
    <vt:lpwstr> </vt:lpwstr>
  </property>
  <property fmtid="{D5CDD505-2E9C-101B-9397-08002B2CF9AE}" pid="14" name="InitiatorAddressLine1">
    <vt:lpwstr>Parliament House</vt:lpwstr>
  </property>
  <property fmtid="{D5CDD505-2E9C-101B-9397-08002B2CF9AE}" pid="15" name="InitiatorAddressLine1And2">
    <vt:lpwstr>Parliament House</vt:lpwstr>
  </property>
  <property fmtid="{D5CDD505-2E9C-101B-9397-08002B2CF9AE}" pid="16" name="InitiatorAddressLine2">
    <vt:lpwstr/>
  </property>
  <property fmtid="{D5CDD505-2E9C-101B-9397-08002B2CF9AE}" pid="17" name="InitiatorContactName">
    <vt:lpwstr/>
  </property>
  <property fmtid="{D5CDD505-2E9C-101B-9397-08002B2CF9AE}" pid="18" name="InitiatorContactPosition">
    <vt:lpwstr/>
  </property>
  <property fmtid="{D5CDD505-2E9C-101B-9397-08002B2CF9AE}" pid="19" name="InitiatorCountry">
    <vt:lpwstr/>
  </property>
  <property fmtid="{D5CDD505-2E9C-101B-9397-08002B2CF9AE}" pid="20" name="InitiatorEmail">
    <vt:lpwstr/>
  </property>
  <property fmtid="{D5CDD505-2E9C-101B-9397-08002B2CF9AE}" pid="21" name="InitiatorFax">
    <vt:lpwstr>0262778476</vt:lpwstr>
  </property>
  <property fmtid="{D5CDD505-2E9C-101B-9397-08002B2CF9AE}" pid="22" name="InitiatorFirstName">
    <vt:lpwstr>Andrew</vt:lpwstr>
  </property>
  <property fmtid="{D5CDD505-2E9C-101B-9397-08002B2CF9AE}" pid="23" name="InitiatorFormalTitle">
    <vt:lpwstr>Dr</vt:lpwstr>
  </property>
  <property fmtid="{D5CDD505-2E9C-101B-9397-08002B2CF9AE}" pid="24" name="InitiatorFullName">
    <vt:lpwstr>Andrew Southcott</vt:lpwstr>
  </property>
  <property fmtid="{D5CDD505-2E9C-101B-9397-08002B2CF9AE}" pid="25" name="InitiatorLastName">
    <vt:lpwstr>Southcott</vt:lpwstr>
  </property>
  <property fmtid="{D5CDD505-2E9C-101B-9397-08002B2CF9AE}" pid="26" name="InitiatorMobile">
    <vt:lpwstr/>
  </property>
  <property fmtid="{D5CDD505-2E9C-101B-9397-08002B2CF9AE}" pid="27" name="InitiatorMPElectorate">
    <vt:lpwstr>Boothby</vt:lpwstr>
  </property>
  <property fmtid="{D5CDD505-2E9C-101B-9397-08002B2CF9AE}" pid="28" name="InitiatorMPState">
    <vt:lpwstr>SA</vt:lpwstr>
  </property>
  <property fmtid="{D5CDD505-2E9C-101B-9397-08002B2CF9AE}" pid="29" name="InitiatorName">
    <vt:lpwstr>Dr Andrew Southcott</vt:lpwstr>
  </property>
  <property fmtid="{D5CDD505-2E9C-101B-9397-08002B2CF9AE}" pid="30" name="InitiatorOnBehalfVia">
    <vt:lpwstr/>
  </property>
  <property fmtid="{D5CDD505-2E9C-101B-9397-08002B2CF9AE}" pid="31" name="InitiatorOrganisation">
    <vt:lpwstr>Joint Committee of Public Accounts and Audit</vt:lpwstr>
  </property>
  <property fmtid="{D5CDD505-2E9C-101B-9397-08002B2CF9AE}" pid="32" name="InitiatorOrganisationContactInformation">
    <vt:lpwstr/>
  </property>
  <property fmtid="{D5CDD505-2E9C-101B-9397-08002B2CF9AE}" pid="33" name="InitiatorOrganisationType">
    <vt:lpwstr/>
  </property>
  <property fmtid="{D5CDD505-2E9C-101B-9397-08002B2CF9AE}" pid="34" name="InitiatorOrganisationWebsite">
    <vt:lpwstr/>
  </property>
  <property fmtid="{D5CDD505-2E9C-101B-9397-08002B2CF9AE}" pid="35" name="InitiatorParliamentaryTitle">
    <vt:lpwstr>Committee Chair</vt:lpwstr>
  </property>
  <property fmtid="{D5CDD505-2E9C-101B-9397-08002B2CF9AE}" pid="36" name="InitiatorPhone">
    <vt:lpwstr>0262774283</vt:lpwstr>
  </property>
  <property fmtid="{D5CDD505-2E9C-101B-9397-08002B2CF9AE}" pid="37" name="InitiatorPostCode">
    <vt:lpwstr>2600</vt:lpwstr>
  </property>
  <property fmtid="{D5CDD505-2E9C-101B-9397-08002B2CF9AE}" pid="38" name="InitiatorPostNominal">
    <vt:lpwstr>MP</vt:lpwstr>
  </property>
  <property fmtid="{D5CDD505-2E9C-101B-9397-08002B2CF9AE}" pid="39" name="InitiatorState">
    <vt:lpwstr>ACT</vt:lpwstr>
  </property>
  <property fmtid="{D5CDD505-2E9C-101B-9397-08002B2CF9AE}" pid="40" name="InitiatorSuburbOrCity">
    <vt:lpwstr>CANBERRA</vt:lpwstr>
  </property>
  <property fmtid="{D5CDD505-2E9C-101B-9397-08002B2CF9AE}" pid="41" name="InitiatorSuburbStatePostcode">
    <vt:lpwstr>CANBERRA ACT 2600</vt:lpwstr>
  </property>
  <property fmtid="{D5CDD505-2E9C-101B-9397-08002B2CF9AE}" pid="42" name="InitiatorTitle">
    <vt:lpwstr>Dr</vt:lpwstr>
  </property>
  <property fmtid="{D5CDD505-2E9C-101B-9397-08002B2CF9AE}" pid="43" name="InitiatorTitledFullName">
    <vt:lpwstr>Dr Andrew Southcott</vt:lpwstr>
  </property>
  <property fmtid="{D5CDD505-2E9C-101B-9397-08002B2CF9AE}" pid="44" name="LastClearingOfficer">
    <vt:lpwstr/>
  </property>
  <property fmtid="{D5CDD505-2E9C-101B-9397-08002B2CF9AE}" pid="45" name="Ministers">
    <vt:lpwstr>Mathias Cormann</vt:lpwstr>
  </property>
  <property fmtid="{D5CDD505-2E9C-101B-9397-08002B2CF9AE}" pid="46" name="PdrId">
    <vt:lpwstr>MC15-002194</vt:lpwstr>
  </property>
  <property fmtid="{D5CDD505-2E9C-101B-9397-08002B2CF9AE}" pid="47" name="Principal">
    <vt:lpwstr>Reply by Minister</vt:lpwstr>
  </property>
  <property fmtid="{D5CDD505-2E9C-101B-9397-08002B2CF9AE}" pid="48" name="Priority">
    <vt:lpwstr>Standard</vt:lpwstr>
  </property>
  <property fmtid="{D5CDD505-2E9C-101B-9397-08002B2CF9AE}" pid="49" name="ReasonForSensitivity">
    <vt:lpwstr/>
  </property>
  <property fmtid="{D5CDD505-2E9C-101B-9397-08002B2CF9AE}" pid="50" name="RegisteredDate">
    <vt:lpwstr>18 August 2015</vt:lpwstr>
  </property>
  <property fmtid="{D5CDD505-2E9C-101B-9397-08002B2CF9AE}" pid="51" name="RequestedAction">
    <vt:lpwstr>Sign</vt:lpwstr>
  </property>
  <property fmtid="{D5CDD505-2E9C-101B-9397-08002B2CF9AE}" pid="52" name="ResponsibleMinister">
    <vt:lpwstr>Mathias Cormann</vt:lpwstr>
  </property>
  <property fmtid="{D5CDD505-2E9C-101B-9397-08002B2CF9AE}" pid="53" name="SecurityClassification">
    <vt:lpwstr>UNCLASSIFIED  </vt:lpwstr>
  </property>
  <property fmtid="{D5CDD505-2E9C-101B-9397-08002B2CF9AE}" pid="54" name="Subject">
    <vt:lpwstr>JCPAA Report 449 - Recommendation 3 to Department of Finance</vt:lpwstr>
  </property>
  <property fmtid="{D5CDD505-2E9C-101B-9397-08002B2CF9AE}" pid="55" name="TaskSeqNo">
    <vt:lpwstr>0</vt:lpwstr>
  </property>
  <property fmtid="{D5CDD505-2E9C-101B-9397-08002B2CF9AE}" pid="56" name="TemplateSubType">
    <vt:lpwstr>Cover Submission + Letter</vt:lpwstr>
  </property>
  <property fmtid="{D5CDD505-2E9C-101B-9397-08002B2CF9AE}" pid="57" name="TemplateType">
    <vt:lpwstr>Minister for Finance - Reply by Minister</vt:lpwstr>
  </property>
  <property fmtid="{D5CDD505-2E9C-101B-9397-08002B2CF9AE}" pid="58" name="TrustedGroups">
    <vt:lpwstr>Parliamentary Coordinator MC, DLO, Ministerial Staff - Coalition 2013, Business Administrator, Limited Distribution MC</vt:lpwstr>
  </property>
</Properties>
</file>