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55" w:rsidRPr="006E04BB" w:rsidRDefault="00A442CD" w:rsidP="006E04BB">
      <w:pPr>
        <w:pStyle w:val="Heading1"/>
        <w:spacing w:after="240"/>
        <w:rPr>
          <w:sz w:val="48"/>
        </w:rPr>
      </w:pPr>
      <w:bookmarkStart w:id="0" w:name="_Toc190766151"/>
      <w:bookmarkStart w:id="1" w:name="_Toc417895940"/>
      <w:bookmarkStart w:id="2" w:name="_Toc418078238"/>
      <w:r>
        <w:rPr>
          <w:sz w:val="48"/>
        </w:rPr>
        <w:t>G</w:t>
      </w:r>
      <w:r w:rsidR="000C3B86" w:rsidRPr="006E04BB">
        <w:rPr>
          <w:sz w:val="48"/>
        </w:rPr>
        <w:t>lossary</w:t>
      </w:r>
      <w:bookmarkEnd w:id="0"/>
      <w:bookmarkEnd w:id="1"/>
      <w:bookmarkEnd w:id="2"/>
    </w:p>
    <w:tbl>
      <w:tblPr>
        <w:tblW w:w="0" w:type="auto"/>
        <w:tblInd w:w="108" w:type="dxa"/>
        <w:tblLook w:val="0000"/>
      </w:tblPr>
      <w:tblGrid>
        <w:gridCol w:w="1980"/>
        <w:gridCol w:w="5580"/>
      </w:tblGrid>
      <w:tr w:rsidR="004B66F1" w:rsidRPr="006E04BB" w:rsidTr="004B66F1">
        <w:trPr>
          <w:trHeight w:val="567"/>
        </w:trPr>
        <w:tc>
          <w:tcPr>
            <w:tcW w:w="1980" w:type="dxa"/>
          </w:tcPr>
          <w:p w:rsidR="004B66F1" w:rsidRPr="00CE6FD3" w:rsidRDefault="004B66F1" w:rsidP="004B66F1">
            <w:pPr>
              <w:spacing w:after="0"/>
              <w:jc w:val="left"/>
              <w:rPr>
                <w:rFonts w:ascii="Arial" w:hAnsi="Arial" w:cs="Arial"/>
                <w:b/>
                <w:sz w:val="22"/>
                <w:szCs w:val="22"/>
              </w:rPr>
            </w:pPr>
            <w:r>
              <w:rPr>
                <w:rFonts w:ascii="Arial" w:hAnsi="Arial" w:cs="Arial"/>
                <w:b/>
                <w:sz w:val="22"/>
                <w:szCs w:val="22"/>
              </w:rPr>
              <w:t>Term</w:t>
            </w:r>
          </w:p>
        </w:tc>
        <w:tc>
          <w:tcPr>
            <w:tcW w:w="5580" w:type="dxa"/>
          </w:tcPr>
          <w:p w:rsidR="004B66F1" w:rsidRPr="00CE6FD3" w:rsidRDefault="004B66F1" w:rsidP="006E04BB">
            <w:pPr>
              <w:spacing w:after="0"/>
              <w:jc w:val="left"/>
              <w:rPr>
                <w:rFonts w:ascii="Arial" w:hAnsi="Arial" w:cs="Arial"/>
                <w:b/>
                <w:sz w:val="22"/>
                <w:szCs w:val="22"/>
              </w:rPr>
            </w:pPr>
            <w:r w:rsidRPr="00CE6FD3">
              <w:rPr>
                <w:rFonts w:ascii="Arial" w:hAnsi="Arial" w:cs="Arial"/>
                <w:b/>
                <w:sz w:val="22"/>
                <w:szCs w:val="22"/>
              </w:rPr>
              <w:t>Meaning</w:t>
            </w:r>
          </w:p>
        </w:tc>
      </w:tr>
      <w:tr w:rsidR="004B66F1" w:rsidTr="004B66F1">
        <w:trPr>
          <w:trHeight w:val="20"/>
        </w:trPr>
        <w:tc>
          <w:tcPr>
            <w:tcW w:w="1980" w:type="dxa"/>
          </w:tcPr>
          <w:p w:rsidR="004B66F1" w:rsidRDefault="004B66F1" w:rsidP="00DD473F">
            <w:pPr>
              <w:pStyle w:val="BodyText"/>
              <w:spacing w:beforeLines="40" w:after="40"/>
              <w:jc w:val="left"/>
            </w:pPr>
            <w:r>
              <w:t>Accumulated Depreciation</w:t>
            </w:r>
          </w:p>
        </w:tc>
        <w:tc>
          <w:tcPr>
            <w:tcW w:w="5580" w:type="dxa"/>
          </w:tcPr>
          <w:p w:rsidR="004B66F1" w:rsidRDefault="004B66F1" w:rsidP="00DD473F">
            <w:pPr>
              <w:pStyle w:val="BodyText"/>
              <w:spacing w:beforeLines="40" w:after="40"/>
            </w:pPr>
            <w:r>
              <w:t>The aggregate depreciation recorded for a particular depreciating asset.</w:t>
            </w:r>
          </w:p>
        </w:tc>
      </w:tr>
      <w:tr w:rsidR="004B66F1" w:rsidTr="004B66F1">
        <w:trPr>
          <w:trHeight w:val="20"/>
        </w:trPr>
        <w:tc>
          <w:tcPr>
            <w:tcW w:w="1980" w:type="dxa"/>
          </w:tcPr>
          <w:p w:rsidR="004B66F1" w:rsidRPr="00520244" w:rsidRDefault="004B66F1" w:rsidP="00DD473F">
            <w:pPr>
              <w:pStyle w:val="BodyText"/>
              <w:spacing w:beforeLines="40" w:after="40"/>
              <w:jc w:val="left"/>
            </w:pPr>
            <w:r>
              <w:t>Acts of Grace</w:t>
            </w:r>
            <w:r w:rsidRPr="00520244">
              <w:t xml:space="preserve"> </w:t>
            </w:r>
            <w:r>
              <w:t>P</w:t>
            </w:r>
            <w:r w:rsidRPr="00520244">
              <w:t>ayments</w:t>
            </w:r>
          </w:p>
        </w:tc>
        <w:tc>
          <w:tcPr>
            <w:tcW w:w="5580" w:type="dxa"/>
          </w:tcPr>
          <w:p w:rsidR="004B66F1" w:rsidRDefault="004B66F1" w:rsidP="00DD473F">
            <w:pPr>
              <w:spacing w:beforeLines="40" w:after="40"/>
            </w:pPr>
            <w:r w:rsidRPr="00520244">
              <w:t>The primary method of providing compensation to persons who have been unfairly disadvantaged by the Commonwealth but who have no legal claim against it.</w:t>
            </w:r>
          </w:p>
        </w:tc>
      </w:tr>
      <w:tr w:rsidR="004B66F1" w:rsidTr="004B66F1">
        <w:trPr>
          <w:trHeight w:val="819"/>
        </w:trPr>
        <w:tc>
          <w:tcPr>
            <w:tcW w:w="1980" w:type="dxa"/>
          </w:tcPr>
          <w:p w:rsidR="004B66F1" w:rsidRDefault="004B66F1" w:rsidP="00DD473F">
            <w:pPr>
              <w:spacing w:beforeLines="40" w:after="40"/>
              <w:jc w:val="left"/>
            </w:pPr>
            <w:r>
              <w:t>Administered Items</w:t>
            </w:r>
          </w:p>
        </w:tc>
        <w:tc>
          <w:tcPr>
            <w:tcW w:w="5580" w:type="dxa"/>
          </w:tcPr>
          <w:p w:rsidR="004B66F1" w:rsidRDefault="004B66F1" w:rsidP="00DD473F">
            <w:pPr>
              <w:spacing w:beforeLines="40" w:after="40"/>
            </w:pPr>
            <w:r>
              <w:t xml:space="preserve">Expenses, revenues, assets or liabilities managed by </w:t>
            </w:r>
            <w:r w:rsidR="00081A28">
              <w:t>entities</w:t>
            </w:r>
            <w:r>
              <w:t xml:space="preserve"> on behalf of the Commonwealth. </w:t>
            </w:r>
            <w:r w:rsidR="00081A28">
              <w:t>Entities</w:t>
            </w:r>
            <w:r>
              <w:t xml:space="preserve"> do not control administered items. Administered expenses include grants, subsidies and benefits. In many cases, administered expenses fund the delivery of third party outputs.</w:t>
            </w:r>
          </w:p>
        </w:tc>
      </w:tr>
      <w:tr w:rsidR="004B66F1" w:rsidTr="004B66F1">
        <w:trPr>
          <w:trHeight w:val="888"/>
        </w:trPr>
        <w:tc>
          <w:tcPr>
            <w:tcW w:w="1980" w:type="dxa"/>
          </w:tcPr>
          <w:p w:rsidR="004B66F1" w:rsidRDefault="004B66F1" w:rsidP="00DD473F">
            <w:pPr>
              <w:spacing w:beforeLines="40" w:after="40"/>
              <w:jc w:val="left"/>
            </w:pPr>
            <w:r>
              <w:t>Additional Estimates</w:t>
            </w:r>
          </w:p>
        </w:tc>
        <w:tc>
          <w:tcPr>
            <w:tcW w:w="5580" w:type="dxa"/>
          </w:tcPr>
          <w:p w:rsidR="004B66F1" w:rsidRDefault="004B66F1" w:rsidP="00DD473F">
            <w:pPr>
              <w:spacing w:beforeLines="40" w:after="40"/>
            </w:pPr>
            <w:r>
              <w:t xml:space="preserve">Where amounts appropriated at Budget time are insufficient, Parliament may appropriate more funds to portfolios through the Additional Estimates Acts. </w:t>
            </w:r>
          </w:p>
        </w:tc>
      </w:tr>
      <w:tr w:rsidR="004B66F1" w:rsidTr="004B66F1">
        <w:tc>
          <w:tcPr>
            <w:tcW w:w="1980" w:type="dxa"/>
          </w:tcPr>
          <w:p w:rsidR="004B66F1" w:rsidRPr="0064783B" w:rsidRDefault="004B66F1" w:rsidP="00DD473F">
            <w:pPr>
              <w:spacing w:beforeLines="40" w:after="40"/>
              <w:jc w:val="left"/>
            </w:pPr>
            <w:r w:rsidRPr="0064783B">
              <w:t>Additional Estimates Bills or Acts</w:t>
            </w:r>
          </w:p>
        </w:tc>
        <w:tc>
          <w:tcPr>
            <w:tcW w:w="5580" w:type="dxa"/>
          </w:tcPr>
          <w:p w:rsidR="004B66F1" w:rsidRDefault="004B66F1" w:rsidP="00DD473F">
            <w:pPr>
              <w:spacing w:beforeLines="40" w:after="40"/>
            </w:pPr>
            <w:r>
              <w:t>These are Appropriation Bills (No.3) and (No.4), and a separate Bill for the Parliamentary Departments (Parliamentary Departments) Bill (No.2). These Bills are introduced into Parliament after the Budget Bills.</w:t>
            </w:r>
          </w:p>
        </w:tc>
      </w:tr>
      <w:tr w:rsidR="004B66F1" w:rsidTr="004B66F1">
        <w:tc>
          <w:tcPr>
            <w:tcW w:w="1980" w:type="dxa"/>
          </w:tcPr>
          <w:p w:rsidR="004B66F1" w:rsidRDefault="004B66F1" w:rsidP="00DD473F">
            <w:pPr>
              <w:spacing w:beforeLines="40" w:after="40"/>
              <w:jc w:val="left"/>
            </w:pPr>
            <w:r>
              <w:t>Appropriation</w:t>
            </w:r>
          </w:p>
        </w:tc>
        <w:tc>
          <w:tcPr>
            <w:tcW w:w="5580" w:type="dxa"/>
          </w:tcPr>
          <w:p w:rsidR="004B66F1" w:rsidRDefault="004B66F1" w:rsidP="00DD473F">
            <w:pPr>
              <w:spacing w:beforeLines="40" w:after="40"/>
            </w:pPr>
            <w:r>
              <w:t>An authorisation by Parliament to spend monies from the Consolidated Revenue Fund for a particular purpose.</w:t>
            </w:r>
          </w:p>
        </w:tc>
      </w:tr>
      <w:tr w:rsidR="004B66F1" w:rsidTr="004B66F1">
        <w:tc>
          <w:tcPr>
            <w:tcW w:w="1980" w:type="dxa"/>
          </w:tcPr>
          <w:p w:rsidR="004B66F1" w:rsidRDefault="004B66F1" w:rsidP="00DD473F">
            <w:pPr>
              <w:spacing w:beforeLines="40" w:after="40"/>
              <w:jc w:val="left"/>
            </w:pPr>
            <w:r>
              <w:t>Annual Appropriation</w:t>
            </w:r>
          </w:p>
        </w:tc>
        <w:tc>
          <w:tcPr>
            <w:tcW w:w="5580" w:type="dxa"/>
          </w:tcPr>
          <w:p w:rsidR="004B66F1" w:rsidRDefault="004B66F1" w:rsidP="00DD473F">
            <w:pPr>
              <w:spacing w:beforeLines="40" w:after="40"/>
            </w:pPr>
            <w:r>
              <w:t>Two appropriation Bills are introduced into Parliament in May and comprise the Budget. Further Bills are introduced later in the financial year as part of the Additional Estimates. Parliamentary departments have their own appropriations.</w:t>
            </w:r>
          </w:p>
        </w:tc>
      </w:tr>
      <w:tr w:rsidR="004B66F1" w:rsidTr="004B66F1">
        <w:tc>
          <w:tcPr>
            <w:tcW w:w="1980" w:type="dxa"/>
          </w:tcPr>
          <w:p w:rsidR="004B66F1" w:rsidRDefault="004B66F1" w:rsidP="00DD473F">
            <w:pPr>
              <w:spacing w:beforeLines="40" w:after="40"/>
              <w:jc w:val="left"/>
            </w:pPr>
            <w:r>
              <w:t>Capital Expenditure</w:t>
            </w:r>
          </w:p>
        </w:tc>
        <w:tc>
          <w:tcPr>
            <w:tcW w:w="5580" w:type="dxa"/>
          </w:tcPr>
          <w:p w:rsidR="004B66F1" w:rsidRDefault="004B66F1" w:rsidP="00DD473F">
            <w:pPr>
              <w:spacing w:beforeLines="40" w:after="40"/>
            </w:pPr>
            <w:r w:rsidRPr="00E9716A">
              <w:t xml:space="preserve">Expenditure by an </w:t>
            </w:r>
            <w:r w:rsidR="00081A28">
              <w:t>entity</w:t>
            </w:r>
            <w:r w:rsidRPr="00E9716A">
              <w:t xml:space="preserve"> on capital projects, for example purchasing a building.</w:t>
            </w:r>
          </w:p>
        </w:tc>
      </w:tr>
      <w:tr w:rsidR="004B66F1" w:rsidTr="004B66F1">
        <w:trPr>
          <w:trHeight w:val="1348"/>
        </w:trPr>
        <w:tc>
          <w:tcPr>
            <w:tcW w:w="1980" w:type="dxa"/>
          </w:tcPr>
          <w:p w:rsidR="004B66F1" w:rsidRDefault="004B66F1" w:rsidP="00DD473F">
            <w:pPr>
              <w:spacing w:beforeLines="40" w:after="40"/>
              <w:jc w:val="left"/>
            </w:pPr>
            <w:r>
              <w:t>Consolidated Revenue Fund</w:t>
            </w:r>
          </w:p>
        </w:tc>
        <w:tc>
          <w:tcPr>
            <w:tcW w:w="5580" w:type="dxa"/>
          </w:tcPr>
          <w:p w:rsidR="004B66F1" w:rsidRDefault="004B66F1" w:rsidP="00DD473F">
            <w:pPr>
              <w:spacing w:beforeLines="40" w:after="40"/>
              <w:jc w:val="left"/>
            </w:pPr>
            <w:r>
              <w:t>s81 of the Constitution stipulates that all revenue raised or money received by the Commonwealth forms the one Consolidated Revenue Fund (CRF). The CRF is not a bank account. The Official Public Account reflects most of the operations of the CRF.</w:t>
            </w:r>
          </w:p>
        </w:tc>
      </w:tr>
    </w:tbl>
    <w:p w:rsidR="005401D5" w:rsidRDefault="005401D5">
      <w:r>
        <w:br w:type="page"/>
      </w:r>
    </w:p>
    <w:tbl>
      <w:tblPr>
        <w:tblW w:w="0" w:type="auto"/>
        <w:tblInd w:w="108" w:type="dxa"/>
        <w:tblLook w:val="0000"/>
      </w:tblPr>
      <w:tblGrid>
        <w:gridCol w:w="1980"/>
        <w:gridCol w:w="5580"/>
      </w:tblGrid>
      <w:tr w:rsidR="005401D5" w:rsidTr="004C2C7A">
        <w:trPr>
          <w:trHeight w:val="567"/>
        </w:trPr>
        <w:tc>
          <w:tcPr>
            <w:tcW w:w="1980" w:type="dxa"/>
          </w:tcPr>
          <w:p w:rsidR="005401D5" w:rsidRPr="00CE6FD3" w:rsidRDefault="005401D5" w:rsidP="004C2C7A">
            <w:pPr>
              <w:spacing w:after="0"/>
              <w:jc w:val="left"/>
              <w:rPr>
                <w:rFonts w:ascii="Arial" w:hAnsi="Arial" w:cs="Arial"/>
                <w:b/>
                <w:sz w:val="22"/>
                <w:szCs w:val="22"/>
              </w:rPr>
            </w:pPr>
            <w:r>
              <w:rPr>
                <w:rFonts w:ascii="Arial" w:hAnsi="Arial" w:cs="Arial"/>
                <w:b/>
                <w:sz w:val="22"/>
                <w:szCs w:val="22"/>
              </w:rPr>
              <w:lastRenderedPageBreak/>
              <w:t>Term</w:t>
            </w:r>
          </w:p>
        </w:tc>
        <w:tc>
          <w:tcPr>
            <w:tcW w:w="5580" w:type="dxa"/>
          </w:tcPr>
          <w:p w:rsidR="005401D5" w:rsidRPr="00CE6FD3" w:rsidRDefault="005401D5" w:rsidP="004C2C7A">
            <w:pPr>
              <w:spacing w:after="0"/>
              <w:rPr>
                <w:rFonts w:ascii="Arial" w:hAnsi="Arial" w:cs="Arial"/>
                <w:b/>
                <w:sz w:val="22"/>
                <w:szCs w:val="22"/>
              </w:rPr>
            </w:pPr>
            <w:r w:rsidRPr="00CE6FD3">
              <w:rPr>
                <w:rFonts w:ascii="Arial" w:hAnsi="Arial" w:cs="Arial"/>
                <w:b/>
                <w:sz w:val="22"/>
                <w:szCs w:val="22"/>
              </w:rPr>
              <w:t>Meaning</w:t>
            </w:r>
          </w:p>
        </w:tc>
      </w:tr>
      <w:tr w:rsidR="004B66F1" w:rsidRPr="008F0680" w:rsidTr="004B66F1">
        <w:trPr>
          <w:trHeight w:val="1654"/>
        </w:trPr>
        <w:tc>
          <w:tcPr>
            <w:tcW w:w="1980" w:type="dxa"/>
          </w:tcPr>
          <w:p w:rsidR="004B66F1" w:rsidRDefault="004B66F1" w:rsidP="00DD473F">
            <w:pPr>
              <w:spacing w:beforeLines="40" w:after="40"/>
              <w:jc w:val="left"/>
            </w:pPr>
            <w:r>
              <w:t>Departmental Items</w:t>
            </w:r>
          </w:p>
        </w:tc>
        <w:tc>
          <w:tcPr>
            <w:tcW w:w="5580" w:type="dxa"/>
          </w:tcPr>
          <w:p w:rsidR="004B66F1" w:rsidRDefault="004B66F1" w:rsidP="00DD473F">
            <w:pPr>
              <w:spacing w:beforeLines="40" w:after="40"/>
            </w:pPr>
            <w:r>
              <w:t xml:space="preserve">Assets, liabilities, revenues and expenses that are controlled by the </w:t>
            </w:r>
            <w:r w:rsidR="00081A28">
              <w:t>entity</w:t>
            </w:r>
            <w:r>
              <w:t xml:space="preserve"> in providing its outputs. Departmental items would generally include computers, plant and equipment assets used by </w:t>
            </w:r>
            <w:r w:rsidR="00081A28">
              <w:t>entities</w:t>
            </w:r>
            <w:r>
              <w:t xml:space="preserve"> in providing goods and services and most employee expenses, supplier costs and other administrative expenses incurred. </w:t>
            </w:r>
          </w:p>
        </w:tc>
      </w:tr>
      <w:tr w:rsidR="004B66F1" w:rsidTr="004B66F1">
        <w:tc>
          <w:tcPr>
            <w:tcW w:w="1980" w:type="dxa"/>
          </w:tcPr>
          <w:p w:rsidR="004B66F1" w:rsidRDefault="004B66F1" w:rsidP="00DD473F">
            <w:pPr>
              <w:spacing w:beforeLines="40" w:after="40"/>
              <w:jc w:val="left"/>
            </w:pPr>
            <w:r>
              <w:t>Depreciation</w:t>
            </w:r>
          </w:p>
        </w:tc>
        <w:tc>
          <w:tcPr>
            <w:tcW w:w="5580" w:type="dxa"/>
          </w:tcPr>
          <w:p w:rsidR="004B66F1" w:rsidRDefault="004B66F1" w:rsidP="00DD473F">
            <w:pPr>
              <w:spacing w:beforeLines="40" w:after="40"/>
            </w:pPr>
            <w:r>
              <w:t>Apportionment of an asset’s capital value as an expense over its estimated useful life to take account of normal usage, obsolescence, or the passage of time.</w:t>
            </w:r>
          </w:p>
        </w:tc>
      </w:tr>
      <w:tr w:rsidR="004B66F1" w:rsidTr="004B66F1">
        <w:tc>
          <w:tcPr>
            <w:tcW w:w="1980" w:type="dxa"/>
          </w:tcPr>
          <w:p w:rsidR="004B66F1" w:rsidRDefault="004B66F1" w:rsidP="00DD473F">
            <w:pPr>
              <w:spacing w:beforeLines="40" w:after="40"/>
              <w:jc w:val="left"/>
            </w:pPr>
            <w:r>
              <w:t>Equity or Net Assets</w:t>
            </w:r>
          </w:p>
        </w:tc>
        <w:tc>
          <w:tcPr>
            <w:tcW w:w="5580" w:type="dxa"/>
          </w:tcPr>
          <w:p w:rsidR="004B66F1" w:rsidRDefault="004B66F1" w:rsidP="00DD473F">
            <w:pPr>
              <w:spacing w:beforeLines="40" w:after="40"/>
            </w:pPr>
            <w:r>
              <w:t>Residual interest in the assets of an entity after deduction of its liabilities.</w:t>
            </w:r>
          </w:p>
        </w:tc>
      </w:tr>
      <w:tr w:rsidR="004B66F1" w:rsidTr="004B66F1">
        <w:tc>
          <w:tcPr>
            <w:tcW w:w="1980" w:type="dxa"/>
          </w:tcPr>
          <w:p w:rsidR="004B66F1" w:rsidRDefault="004B66F1" w:rsidP="00DD473F">
            <w:pPr>
              <w:spacing w:beforeLines="40" w:after="40"/>
              <w:jc w:val="left"/>
            </w:pPr>
            <w:r>
              <w:t xml:space="preserve">Expense </w:t>
            </w:r>
          </w:p>
        </w:tc>
        <w:tc>
          <w:tcPr>
            <w:tcW w:w="5580" w:type="dxa"/>
          </w:tcPr>
          <w:p w:rsidR="004B66F1" w:rsidRDefault="004B66F1" w:rsidP="00DD473F">
            <w:pPr>
              <w:spacing w:beforeLines="40" w:after="40"/>
            </w:pPr>
            <w:r>
              <w:t xml:space="preserve">Total value of all of the resources consumed in producing goods and services or the loss of future economic benefits in the form of reductions in assets or increases in liabilities of an entity. </w:t>
            </w:r>
          </w:p>
        </w:tc>
      </w:tr>
      <w:tr w:rsidR="004B66F1" w:rsidTr="004B66F1">
        <w:trPr>
          <w:trHeight w:val="1608"/>
        </w:trPr>
        <w:tc>
          <w:tcPr>
            <w:tcW w:w="1980" w:type="dxa"/>
          </w:tcPr>
          <w:p w:rsidR="004B66F1" w:rsidRDefault="004B66F1" w:rsidP="00DD473F">
            <w:pPr>
              <w:spacing w:beforeLines="40" w:after="40"/>
              <w:jc w:val="left"/>
            </w:pPr>
            <w:r>
              <w:br w:type="page"/>
              <w:t>Fair Value</w:t>
            </w:r>
          </w:p>
        </w:tc>
        <w:tc>
          <w:tcPr>
            <w:tcW w:w="5580" w:type="dxa"/>
          </w:tcPr>
          <w:p w:rsidR="004B66F1" w:rsidRDefault="004B66F1" w:rsidP="00DD473F">
            <w:pPr>
              <w:spacing w:beforeLines="40" w:after="40"/>
            </w:pPr>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B66F1" w:rsidTr="004B66F1">
        <w:trPr>
          <w:trHeight w:val="592"/>
        </w:trPr>
        <w:tc>
          <w:tcPr>
            <w:tcW w:w="1980" w:type="dxa"/>
          </w:tcPr>
          <w:p w:rsidR="004B66F1" w:rsidRDefault="004B66F1" w:rsidP="00DD473F">
            <w:pPr>
              <w:spacing w:beforeLines="40" w:after="40"/>
              <w:jc w:val="left"/>
            </w:pPr>
            <w:r>
              <w:t>Measure</w:t>
            </w:r>
          </w:p>
        </w:tc>
        <w:tc>
          <w:tcPr>
            <w:tcW w:w="5580" w:type="dxa"/>
          </w:tcPr>
          <w:p w:rsidR="004B66F1" w:rsidRDefault="004B66F1" w:rsidP="00DD473F">
            <w:pPr>
              <w:spacing w:beforeLines="40" w:after="40"/>
            </w:pPr>
            <w:r>
              <w:t xml:space="preserve">A new policy or savings decision of the government with financial impacts. </w:t>
            </w:r>
          </w:p>
        </w:tc>
      </w:tr>
      <w:tr w:rsidR="004B66F1" w:rsidTr="004B66F1">
        <w:trPr>
          <w:trHeight w:val="283"/>
        </w:trPr>
        <w:tc>
          <w:tcPr>
            <w:tcW w:w="1980" w:type="dxa"/>
          </w:tcPr>
          <w:p w:rsidR="004B66F1" w:rsidRDefault="004B66F1" w:rsidP="00DD473F">
            <w:pPr>
              <w:spacing w:beforeLines="40" w:after="40"/>
              <w:jc w:val="left"/>
            </w:pPr>
            <w:r>
              <w:t>Operating Result</w:t>
            </w:r>
          </w:p>
        </w:tc>
        <w:tc>
          <w:tcPr>
            <w:tcW w:w="5580" w:type="dxa"/>
          </w:tcPr>
          <w:p w:rsidR="004B66F1" w:rsidRDefault="004B66F1" w:rsidP="00DD473F">
            <w:pPr>
              <w:spacing w:beforeLines="40" w:after="40"/>
            </w:pPr>
            <w:r>
              <w:t>Equals income less expense.</w:t>
            </w:r>
          </w:p>
        </w:tc>
      </w:tr>
      <w:tr w:rsidR="004B66F1" w:rsidTr="004B66F1">
        <w:trPr>
          <w:trHeight w:val="627"/>
        </w:trPr>
        <w:tc>
          <w:tcPr>
            <w:tcW w:w="1980" w:type="dxa"/>
          </w:tcPr>
          <w:p w:rsidR="004B66F1" w:rsidRDefault="004B66F1" w:rsidP="00DD473F">
            <w:pPr>
              <w:spacing w:beforeLines="40" w:after="40"/>
              <w:jc w:val="left"/>
            </w:pPr>
            <w:r>
              <w:t>Outcomes</w:t>
            </w:r>
          </w:p>
        </w:tc>
        <w:tc>
          <w:tcPr>
            <w:tcW w:w="5580" w:type="dxa"/>
          </w:tcPr>
          <w:p w:rsidR="004B66F1" w:rsidRDefault="004B66F1" w:rsidP="00DD473F">
            <w:pPr>
              <w:spacing w:beforeLines="40" w:after="40"/>
            </w:pPr>
            <w: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4B66F1" w:rsidTr="004B66F1">
        <w:trPr>
          <w:trHeight w:val="567"/>
        </w:trPr>
        <w:tc>
          <w:tcPr>
            <w:tcW w:w="1980" w:type="dxa"/>
          </w:tcPr>
          <w:p w:rsidR="004B66F1" w:rsidRDefault="004B66F1" w:rsidP="00DD473F">
            <w:pPr>
              <w:spacing w:beforeLines="40" w:afterLines="40"/>
              <w:jc w:val="left"/>
            </w:pPr>
            <w:r>
              <w:t>Portfolio</w:t>
            </w:r>
          </w:p>
        </w:tc>
        <w:tc>
          <w:tcPr>
            <w:tcW w:w="5580" w:type="dxa"/>
          </w:tcPr>
          <w:p w:rsidR="004B66F1" w:rsidRDefault="004B66F1" w:rsidP="00DD473F">
            <w:pPr>
              <w:spacing w:beforeLines="40" w:afterLines="40"/>
            </w:pPr>
            <w:r>
              <w:t xml:space="preserve">A Minister’s area of responsibility as a member of Cabinet. A portfolio consists of one or more Departments of State (aka the Portfolio Departments) and a number of </w:t>
            </w:r>
            <w:r w:rsidR="00081A28">
              <w:t>entities</w:t>
            </w:r>
            <w:r>
              <w:t xml:space="preserve"> with similar general objectives and outcomes.</w:t>
            </w:r>
          </w:p>
        </w:tc>
      </w:tr>
      <w:tr w:rsidR="004B66F1" w:rsidTr="004B66F1">
        <w:trPr>
          <w:trHeight w:val="208"/>
        </w:trPr>
        <w:tc>
          <w:tcPr>
            <w:tcW w:w="1980" w:type="dxa"/>
          </w:tcPr>
          <w:p w:rsidR="004B66F1" w:rsidRDefault="004B66F1" w:rsidP="00DD473F">
            <w:pPr>
              <w:spacing w:beforeLines="40" w:afterLines="40"/>
              <w:jc w:val="left"/>
            </w:pPr>
            <w:r>
              <w:t>Programme</w:t>
            </w:r>
          </w:p>
        </w:tc>
        <w:tc>
          <w:tcPr>
            <w:tcW w:w="5580" w:type="dxa"/>
          </w:tcPr>
          <w:p w:rsidR="004B66F1" w:rsidRDefault="00081A28" w:rsidP="00DD473F">
            <w:pPr>
              <w:spacing w:beforeLines="40" w:afterLines="40"/>
            </w:pPr>
            <w:r>
              <w:t>Entities</w:t>
            </w:r>
            <w:r w:rsidR="004B66F1">
              <w:t xml:space="preserve"> </w:t>
            </w:r>
            <w:r w:rsidR="004B66F1" w:rsidRPr="008560CC">
              <w:t>deliver programmes which are the government’s actions taken to deliver the</w:t>
            </w:r>
            <w:r w:rsidR="004B66F1">
              <w:t xml:space="preserve"> stated outcomes. </w:t>
            </w:r>
            <w:r>
              <w:t>Entities</w:t>
            </w:r>
            <w:r w:rsidR="004B66F1">
              <w:t xml:space="preserve"> are required to identify the programmes which contribute to government outcomes over the Budget and forward years.</w:t>
            </w:r>
          </w:p>
        </w:tc>
      </w:tr>
      <w:tr w:rsidR="005401D5" w:rsidTr="004C2C7A">
        <w:trPr>
          <w:trHeight w:val="567"/>
        </w:trPr>
        <w:tc>
          <w:tcPr>
            <w:tcW w:w="1980" w:type="dxa"/>
          </w:tcPr>
          <w:p w:rsidR="005401D5" w:rsidRPr="00CE6FD3" w:rsidRDefault="005401D5" w:rsidP="004C2C7A">
            <w:pPr>
              <w:spacing w:after="0"/>
              <w:jc w:val="left"/>
              <w:rPr>
                <w:rFonts w:ascii="Arial" w:hAnsi="Arial" w:cs="Arial"/>
                <w:b/>
                <w:sz w:val="22"/>
                <w:szCs w:val="22"/>
              </w:rPr>
            </w:pPr>
            <w:r>
              <w:rPr>
                <w:rFonts w:ascii="Arial" w:hAnsi="Arial" w:cs="Arial"/>
                <w:b/>
                <w:sz w:val="22"/>
                <w:szCs w:val="22"/>
              </w:rPr>
              <w:lastRenderedPageBreak/>
              <w:t>Term</w:t>
            </w:r>
          </w:p>
        </w:tc>
        <w:tc>
          <w:tcPr>
            <w:tcW w:w="5580" w:type="dxa"/>
          </w:tcPr>
          <w:p w:rsidR="005401D5" w:rsidRPr="00CE6FD3" w:rsidRDefault="005401D5" w:rsidP="004C2C7A">
            <w:pPr>
              <w:spacing w:after="0"/>
              <w:rPr>
                <w:rFonts w:ascii="Arial" w:hAnsi="Arial" w:cs="Arial"/>
                <w:b/>
                <w:sz w:val="22"/>
                <w:szCs w:val="22"/>
              </w:rPr>
            </w:pPr>
            <w:r w:rsidRPr="00CE6FD3">
              <w:rPr>
                <w:rFonts w:ascii="Arial" w:hAnsi="Arial" w:cs="Arial"/>
                <w:b/>
                <w:sz w:val="22"/>
                <w:szCs w:val="22"/>
              </w:rPr>
              <w:t>Meaning</w:t>
            </w:r>
          </w:p>
        </w:tc>
      </w:tr>
      <w:tr w:rsidR="004B66F1" w:rsidTr="004B66F1">
        <w:trPr>
          <w:trHeight w:val="663"/>
        </w:trPr>
        <w:tc>
          <w:tcPr>
            <w:tcW w:w="1980" w:type="dxa"/>
          </w:tcPr>
          <w:p w:rsidR="004B66F1" w:rsidRPr="00520244" w:rsidRDefault="004B66F1" w:rsidP="00DD473F">
            <w:pPr>
              <w:spacing w:beforeLines="40" w:afterLines="40"/>
              <w:jc w:val="left"/>
              <w:rPr>
                <w:bCs/>
              </w:rPr>
            </w:pPr>
            <w:r w:rsidRPr="00520244">
              <w:rPr>
                <w:bCs/>
              </w:rPr>
              <w:t>Prescribed agencies</w:t>
            </w:r>
          </w:p>
        </w:tc>
        <w:tc>
          <w:tcPr>
            <w:tcW w:w="5580" w:type="dxa"/>
          </w:tcPr>
          <w:p w:rsidR="004B66F1" w:rsidRDefault="004B66F1" w:rsidP="00DD473F">
            <w:pPr>
              <w:spacing w:beforeLines="40" w:afterLines="40"/>
            </w:pPr>
            <w:r w:rsidRPr="00520244">
              <w:t xml:space="preserve">As per </w:t>
            </w:r>
            <w:r>
              <w:t>s.</w:t>
            </w:r>
            <w:r w:rsidRPr="00520244">
              <w:t xml:space="preserve">5 of the FMA Act, a prescribed </w:t>
            </w:r>
            <w:r w:rsidR="00081A28">
              <w:t>entity</w:t>
            </w:r>
            <w:r w:rsidRPr="00520244">
              <w:t xml:space="preserve"> means: a body, organisation or group of persons prescribed by the Regulations for the purposes of this definition.</w:t>
            </w:r>
            <w:r>
              <w:t xml:space="preserve"> </w:t>
            </w:r>
            <w:r w:rsidRPr="00520244">
              <w:t>Prescribed agencies are made by the Governor-General by Regulation under the FMA Act.</w:t>
            </w:r>
            <w:r>
              <w:t xml:space="preserve"> </w:t>
            </w:r>
            <w:r w:rsidRPr="00520244">
              <w:t>Prescribed legal authority and</w:t>
            </w:r>
            <w:r>
              <w:t xml:space="preserve"> responsibility to manage their financial affairs.</w:t>
            </w:r>
          </w:p>
        </w:tc>
      </w:tr>
      <w:tr w:rsidR="004B66F1" w:rsidTr="004B66F1">
        <w:trPr>
          <w:trHeight w:val="663"/>
        </w:trPr>
        <w:tc>
          <w:tcPr>
            <w:tcW w:w="1980" w:type="dxa"/>
          </w:tcPr>
          <w:p w:rsidR="004B66F1" w:rsidRDefault="004B66F1" w:rsidP="00DD473F">
            <w:pPr>
              <w:spacing w:beforeLines="40" w:afterLines="40"/>
              <w:jc w:val="left"/>
            </w:pPr>
            <w:r>
              <w:t>Revenue</w:t>
            </w:r>
          </w:p>
        </w:tc>
        <w:tc>
          <w:tcPr>
            <w:tcW w:w="5580" w:type="dxa"/>
          </w:tcPr>
          <w:p w:rsidR="004B66F1" w:rsidRDefault="004B66F1" w:rsidP="00DD473F">
            <w:pPr>
              <w:spacing w:beforeLines="40" w:afterLines="40"/>
            </w:pPr>
            <w:r>
              <w:t>Total value of resources earned or received to cover the production of goods and services or increases in future economic benefits in the form of increases in assets or reductions in liabilities of an entity.</w:t>
            </w:r>
          </w:p>
        </w:tc>
      </w:tr>
      <w:tr w:rsidR="004B66F1" w:rsidRPr="008F0680" w:rsidTr="004B66F1">
        <w:trPr>
          <w:trHeight w:val="350"/>
        </w:trPr>
        <w:tc>
          <w:tcPr>
            <w:tcW w:w="1980" w:type="dxa"/>
          </w:tcPr>
          <w:p w:rsidR="004B66F1" w:rsidRDefault="004B66F1" w:rsidP="00DD473F">
            <w:pPr>
              <w:spacing w:beforeLines="40" w:afterLines="40"/>
              <w:jc w:val="left"/>
            </w:pPr>
            <w:r>
              <w:t>Special Accounts</w:t>
            </w:r>
          </w:p>
        </w:tc>
        <w:tc>
          <w:tcPr>
            <w:tcW w:w="5580" w:type="dxa"/>
          </w:tcPr>
          <w:p w:rsidR="004B66F1" w:rsidRDefault="004B66F1" w:rsidP="00DD473F">
            <w:pPr>
              <w:spacing w:beforeLines="40" w:afterLines="40"/>
            </w:pPr>
            <w:r>
              <w:t>Balances existing within the CRF that are supported by standing appropriations (FMA Act s20 or s21).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(s20 of the FMA Act) or through an Act of Parliament (referred to in s21 of the FMA Act).</w:t>
            </w:r>
          </w:p>
        </w:tc>
      </w:tr>
      <w:tr w:rsidR="004B66F1" w:rsidRPr="008F0680" w:rsidTr="004B66F1">
        <w:trPr>
          <w:trHeight w:val="350"/>
        </w:trPr>
        <w:tc>
          <w:tcPr>
            <w:tcW w:w="1980" w:type="dxa"/>
          </w:tcPr>
          <w:p w:rsidR="004B66F1" w:rsidRDefault="004B66F1" w:rsidP="00DD473F">
            <w:pPr>
              <w:spacing w:beforeLines="40" w:afterLines="40"/>
              <w:jc w:val="left"/>
            </w:pPr>
            <w:r>
              <w:t>Special Appropriations (including Standing Appropriations)</w:t>
            </w:r>
          </w:p>
        </w:tc>
        <w:tc>
          <w:tcPr>
            <w:tcW w:w="5580" w:type="dxa"/>
          </w:tcPr>
          <w:p w:rsidR="004B66F1" w:rsidRDefault="004B66F1" w:rsidP="00DD473F">
            <w:pPr>
              <w:spacing w:beforeLines="40" w:afterLines="40"/>
            </w:pPr>
            <w:r>
              <w:t xml:space="preserve">An amount of money appropriated by a particular Act of Parliament for a specific purpose and number of years. For special appropriations, the authority to withdraw funds from Consolidated Revenue Fund does not generally cease at the end of the financial year. </w:t>
            </w:r>
          </w:p>
          <w:p w:rsidR="004B66F1" w:rsidRDefault="004B66F1" w:rsidP="00DD473F">
            <w:pPr>
              <w:spacing w:beforeLines="40" w:afterLines="40"/>
            </w:pPr>
            <w:r>
              <w:t>Standing appropriations are a sub-category consisting of ongoing special appropriations – the amount appropriated will depend on circumstances specified in the legislation.</w:t>
            </w:r>
          </w:p>
        </w:tc>
      </w:tr>
    </w:tbl>
    <w:p w:rsidR="00F90159" w:rsidRDefault="00F90159" w:rsidP="00B1274F">
      <w:pPr>
        <w:pStyle w:val="Heading1"/>
        <w:sectPr w:rsidR="00F90159" w:rsidSect="00DD473F">
          <w:headerReference w:type="even" r:id="rId11"/>
          <w:headerReference w:type="default" r:id="rId12"/>
          <w:footerReference w:type="even" r:id="rId13"/>
          <w:footerReference w:type="default" r:id="rId14"/>
          <w:footerReference w:type="first" r:id="rId15"/>
          <w:type w:val="oddPage"/>
          <w:pgSz w:w="11906" w:h="16838" w:code="9"/>
          <w:pgMar w:top="2466" w:right="2098" w:bottom="2466" w:left="2098" w:header="1899" w:footer="1899" w:gutter="0"/>
          <w:pgNumType w:start="155"/>
          <w:cols w:space="708"/>
          <w:titlePg/>
          <w:docGrid w:linePitch="360"/>
        </w:sectPr>
      </w:pPr>
    </w:p>
    <w:p w:rsidR="004B66F1" w:rsidRPr="006E04BB" w:rsidRDefault="004B66F1" w:rsidP="006E04BB">
      <w:pPr>
        <w:pStyle w:val="Heading1"/>
        <w:spacing w:after="240"/>
        <w:rPr>
          <w:sz w:val="48"/>
        </w:rPr>
      </w:pPr>
      <w:bookmarkStart w:id="3" w:name="_Toc355795351"/>
      <w:bookmarkStart w:id="4" w:name="_Toc355800433"/>
      <w:bookmarkStart w:id="5" w:name="_Toc355952673"/>
      <w:bookmarkStart w:id="6" w:name="_Toc377553317"/>
      <w:bookmarkStart w:id="7" w:name="_Toc386026892"/>
      <w:bookmarkStart w:id="8" w:name="_Toc386704274"/>
      <w:bookmarkStart w:id="9" w:name="_Toc417895941"/>
      <w:bookmarkStart w:id="10" w:name="_Toc418078239"/>
      <w:r w:rsidRPr="006E04BB">
        <w:rPr>
          <w:sz w:val="48"/>
        </w:rPr>
        <w:lastRenderedPageBreak/>
        <w:t>Acronyms</w:t>
      </w:r>
      <w:bookmarkEnd w:id="3"/>
      <w:bookmarkEnd w:id="4"/>
      <w:bookmarkEnd w:id="5"/>
      <w:bookmarkEnd w:id="6"/>
      <w:bookmarkEnd w:id="7"/>
      <w:bookmarkEnd w:id="8"/>
      <w:bookmarkEnd w:id="9"/>
      <w:bookmarkEnd w:id="10"/>
    </w:p>
    <w:tbl>
      <w:tblPr>
        <w:tblW w:w="0" w:type="auto"/>
        <w:tblInd w:w="108" w:type="dxa"/>
        <w:tblLook w:val="01E0"/>
      </w:tblPr>
      <w:tblGrid>
        <w:gridCol w:w="2880"/>
        <w:gridCol w:w="4860"/>
      </w:tblGrid>
      <w:tr w:rsidR="004B66F1" w:rsidRPr="00D46528" w:rsidTr="004B66F1">
        <w:tc>
          <w:tcPr>
            <w:tcW w:w="2880" w:type="dxa"/>
          </w:tcPr>
          <w:p w:rsidR="004B66F1" w:rsidRPr="006E04BB" w:rsidRDefault="004B66F1" w:rsidP="006E04BB">
            <w:pPr>
              <w:spacing w:after="120"/>
              <w:jc w:val="left"/>
              <w:rPr>
                <w:rFonts w:ascii="Arial" w:hAnsi="Arial" w:cs="Arial"/>
                <w:b/>
                <w:sz w:val="22"/>
                <w:szCs w:val="22"/>
              </w:rPr>
            </w:pPr>
            <w:r w:rsidRPr="006E04BB">
              <w:rPr>
                <w:rFonts w:ascii="Arial" w:hAnsi="Arial" w:cs="Arial"/>
                <w:b/>
                <w:sz w:val="22"/>
                <w:szCs w:val="22"/>
              </w:rPr>
              <w:t>Acronym</w:t>
            </w:r>
          </w:p>
        </w:tc>
        <w:tc>
          <w:tcPr>
            <w:tcW w:w="4860" w:type="dxa"/>
          </w:tcPr>
          <w:p w:rsidR="004B66F1" w:rsidRPr="006E04BB" w:rsidRDefault="004B66F1" w:rsidP="006E04BB">
            <w:pPr>
              <w:spacing w:after="120"/>
              <w:jc w:val="left"/>
              <w:rPr>
                <w:rFonts w:ascii="Arial" w:hAnsi="Arial" w:cs="Arial"/>
                <w:b/>
                <w:sz w:val="22"/>
                <w:szCs w:val="22"/>
              </w:rPr>
            </w:pPr>
            <w:r w:rsidRPr="006E04BB">
              <w:rPr>
                <w:rFonts w:ascii="Arial" w:hAnsi="Arial" w:cs="Arial"/>
                <w:b/>
                <w:sz w:val="22"/>
                <w:szCs w:val="22"/>
              </w:rPr>
              <w:t>Description</w:t>
            </w:r>
          </w:p>
        </w:tc>
      </w:tr>
      <w:tr w:rsidR="004B66F1" w:rsidRPr="00D46528" w:rsidTr="004B66F1">
        <w:tc>
          <w:tcPr>
            <w:tcW w:w="2880" w:type="dxa"/>
          </w:tcPr>
          <w:p w:rsidR="004B66F1" w:rsidRPr="008A1D11" w:rsidRDefault="004B66F1" w:rsidP="004B66F1">
            <w:r w:rsidRPr="008A1D11">
              <w:t>AAO</w:t>
            </w:r>
          </w:p>
        </w:tc>
        <w:tc>
          <w:tcPr>
            <w:tcW w:w="4860" w:type="dxa"/>
          </w:tcPr>
          <w:p w:rsidR="004B66F1" w:rsidRPr="008A1D11" w:rsidRDefault="004B66F1" w:rsidP="004B66F1">
            <w:r w:rsidRPr="008A1D11">
              <w:t>Administrative Arrangements Order</w:t>
            </w:r>
          </w:p>
        </w:tc>
      </w:tr>
      <w:tr w:rsidR="002D26C3" w:rsidRPr="00D46528" w:rsidTr="004B66F1">
        <w:tc>
          <w:tcPr>
            <w:tcW w:w="2880" w:type="dxa"/>
          </w:tcPr>
          <w:p w:rsidR="002D26C3" w:rsidRPr="008A1D11" w:rsidRDefault="002D26C3" w:rsidP="004B66F1">
            <w:r>
              <w:t>ACB</w:t>
            </w:r>
          </w:p>
        </w:tc>
        <w:tc>
          <w:tcPr>
            <w:tcW w:w="4860" w:type="dxa"/>
          </w:tcPr>
          <w:p w:rsidR="002D26C3" w:rsidRPr="008A1D11" w:rsidRDefault="002D26C3" w:rsidP="004B66F1">
            <w:r>
              <w:t>Administered Capital Budget</w:t>
            </w:r>
          </w:p>
        </w:tc>
      </w:tr>
      <w:tr w:rsidR="004B66F1" w:rsidRPr="00D46528" w:rsidTr="004B66F1">
        <w:tc>
          <w:tcPr>
            <w:tcW w:w="2880" w:type="dxa"/>
          </w:tcPr>
          <w:p w:rsidR="004B66F1" w:rsidRPr="008A1D11" w:rsidRDefault="004B66F1" w:rsidP="004B66F1">
            <w:r w:rsidRPr="008A1D11">
              <w:t>AEC</w:t>
            </w:r>
          </w:p>
        </w:tc>
        <w:tc>
          <w:tcPr>
            <w:tcW w:w="4860" w:type="dxa"/>
          </w:tcPr>
          <w:p w:rsidR="004B66F1" w:rsidRPr="008A1D11" w:rsidRDefault="004B66F1" w:rsidP="004B66F1">
            <w:r w:rsidRPr="008A1D11">
              <w:t>Australian Electoral Commission</w:t>
            </w:r>
          </w:p>
        </w:tc>
      </w:tr>
      <w:tr w:rsidR="002D26C3" w:rsidRPr="00D46528" w:rsidTr="004B66F1">
        <w:tc>
          <w:tcPr>
            <w:tcW w:w="2880" w:type="dxa"/>
          </w:tcPr>
          <w:p w:rsidR="002D26C3" w:rsidRPr="008A1D11" w:rsidRDefault="002D26C3" w:rsidP="004B66F1">
            <w:r>
              <w:t>AFS</w:t>
            </w:r>
          </w:p>
        </w:tc>
        <w:tc>
          <w:tcPr>
            <w:tcW w:w="4860" w:type="dxa"/>
          </w:tcPr>
          <w:p w:rsidR="002D26C3" w:rsidRPr="008A1D11" w:rsidRDefault="002D26C3" w:rsidP="004B66F1">
            <w:r>
              <w:t>Australian Financial Services</w:t>
            </w:r>
          </w:p>
        </w:tc>
      </w:tr>
      <w:tr w:rsidR="004B66F1" w:rsidRPr="00D46528" w:rsidTr="004B66F1">
        <w:tc>
          <w:tcPr>
            <w:tcW w:w="2880" w:type="dxa"/>
          </w:tcPr>
          <w:p w:rsidR="004B66F1" w:rsidRPr="008A1D11" w:rsidRDefault="004B66F1" w:rsidP="004B66F1">
            <w:r w:rsidRPr="008A1D11">
              <w:t>ANAO</w:t>
            </w:r>
          </w:p>
        </w:tc>
        <w:tc>
          <w:tcPr>
            <w:tcW w:w="4860" w:type="dxa"/>
          </w:tcPr>
          <w:p w:rsidR="004B66F1" w:rsidRPr="008A1D11" w:rsidRDefault="004B66F1" w:rsidP="004B66F1">
            <w:r w:rsidRPr="008A1D11">
              <w:t>Australian National Audit Office</w:t>
            </w:r>
          </w:p>
        </w:tc>
      </w:tr>
      <w:tr w:rsidR="002D26C3" w:rsidRPr="00D46528" w:rsidTr="004B66F1">
        <w:tc>
          <w:tcPr>
            <w:tcW w:w="2880" w:type="dxa"/>
          </w:tcPr>
          <w:p w:rsidR="002D26C3" w:rsidRPr="008A1D11" w:rsidRDefault="002D26C3" w:rsidP="004B66F1">
            <w:r>
              <w:t>APRA</w:t>
            </w:r>
          </w:p>
        </w:tc>
        <w:tc>
          <w:tcPr>
            <w:tcW w:w="4860" w:type="dxa"/>
          </w:tcPr>
          <w:p w:rsidR="002D26C3" w:rsidRPr="008A1D11" w:rsidRDefault="002D26C3" w:rsidP="004B66F1">
            <w:r>
              <w:t>Australian Prudential Regulation Authority</w:t>
            </w:r>
          </w:p>
        </w:tc>
      </w:tr>
      <w:tr w:rsidR="004B66F1" w:rsidRPr="00D46528" w:rsidTr="004B66F1">
        <w:tc>
          <w:tcPr>
            <w:tcW w:w="2880" w:type="dxa"/>
          </w:tcPr>
          <w:p w:rsidR="004B66F1" w:rsidRPr="008A1D11" w:rsidRDefault="004B66F1" w:rsidP="004B66F1">
            <w:r w:rsidRPr="008A1D11">
              <w:t>APS</w:t>
            </w:r>
          </w:p>
        </w:tc>
        <w:tc>
          <w:tcPr>
            <w:tcW w:w="4860" w:type="dxa"/>
          </w:tcPr>
          <w:p w:rsidR="004B66F1" w:rsidRPr="008A1D11" w:rsidRDefault="004B66F1" w:rsidP="004B66F1">
            <w:r w:rsidRPr="008A1D11">
              <w:t>Australian Public Service</w:t>
            </w:r>
          </w:p>
        </w:tc>
      </w:tr>
      <w:tr w:rsidR="004B66F1" w:rsidRPr="00D46528" w:rsidTr="004B66F1">
        <w:tc>
          <w:tcPr>
            <w:tcW w:w="2880" w:type="dxa"/>
          </w:tcPr>
          <w:p w:rsidR="004B66F1" w:rsidRPr="006E5384" w:rsidRDefault="004B66F1" w:rsidP="004B66F1">
            <w:r w:rsidRPr="006E5384">
              <w:t>ARF</w:t>
            </w:r>
          </w:p>
        </w:tc>
        <w:tc>
          <w:tcPr>
            <w:tcW w:w="4860" w:type="dxa"/>
          </w:tcPr>
          <w:p w:rsidR="004B66F1" w:rsidRDefault="004B66F1" w:rsidP="004B66F1">
            <w:r w:rsidRPr="006E5384">
              <w:t>Asset Recycling Fund</w:t>
            </w:r>
          </w:p>
        </w:tc>
      </w:tr>
      <w:tr w:rsidR="002D26C3" w:rsidRPr="00D46528" w:rsidTr="004B66F1">
        <w:tc>
          <w:tcPr>
            <w:tcW w:w="2880" w:type="dxa"/>
          </w:tcPr>
          <w:p w:rsidR="002D26C3" w:rsidRPr="008A1D11" w:rsidRDefault="002D26C3" w:rsidP="004B66F1">
            <w:r>
              <w:t>ASIC</w:t>
            </w:r>
          </w:p>
        </w:tc>
        <w:tc>
          <w:tcPr>
            <w:tcW w:w="4860" w:type="dxa"/>
          </w:tcPr>
          <w:p w:rsidR="002D26C3" w:rsidRPr="008A1D11" w:rsidRDefault="002D26C3" w:rsidP="004B66F1">
            <w:r>
              <w:t>Australian Securities and Investments Commission</w:t>
            </w:r>
          </w:p>
        </w:tc>
      </w:tr>
      <w:tr w:rsidR="004B66F1" w:rsidRPr="00D46528" w:rsidTr="004B66F1">
        <w:tc>
          <w:tcPr>
            <w:tcW w:w="2880" w:type="dxa"/>
          </w:tcPr>
          <w:p w:rsidR="004B66F1" w:rsidRPr="008A1D11" w:rsidRDefault="004B66F1" w:rsidP="004B66F1">
            <w:r w:rsidRPr="008A1D11">
              <w:t>BAF</w:t>
            </w:r>
          </w:p>
        </w:tc>
        <w:tc>
          <w:tcPr>
            <w:tcW w:w="4860" w:type="dxa"/>
          </w:tcPr>
          <w:p w:rsidR="004B66F1" w:rsidRPr="008A1D11" w:rsidRDefault="004B66F1" w:rsidP="004B66F1">
            <w:r w:rsidRPr="008A1D11">
              <w:t xml:space="preserve">Building </w:t>
            </w:r>
            <w:smartTag w:uri="urn:schemas-microsoft-com:office:smarttags" w:element="country-region">
              <w:smartTag w:uri="urn:schemas-microsoft-com:office:smarttags" w:element="place">
                <w:r w:rsidRPr="008A1D11">
                  <w:t>Australia</w:t>
                </w:r>
              </w:smartTag>
            </w:smartTag>
            <w:r w:rsidRPr="008A1D11">
              <w:t xml:space="preserve"> Fund</w:t>
            </w:r>
          </w:p>
        </w:tc>
      </w:tr>
      <w:tr w:rsidR="004B66F1" w:rsidRPr="00D46528" w:rsidTr="004B66F1">
        <w:tc>
          <w:tcPr>
            <w:tcW w:w="2880" w:type="dxa"/>
          </w:tcPr>
          <w:p w:rsidR="004B66F1" w:rsidRPr="008A1D11" w:rsidRDefault="004B66F1" w:rsidP="004B66F1">
            <w:r w:rsidRPr="008A1D11">
              <w:t>CAC Act</w:t>
            </w:r>
          </w:p>
        </w:tc>
        <w:tc>
          <w:tcPr>
            <w:tcW w:w="4860" w:type="dxa"/>
          </w:tcPr>
          <w:p w:rsidR="004B66F1" w:rsidRPr="005401D5" w:rsidRDefault="004B66F1" w:rsidP="004B66F1">
            <w:pPr>
              <w:rPr>
                <w:i/>
              </w:rPr>
            </w:pPr>
            <w:r w:rsidRPr="005401D5">
              <w:rPr>
                <w:i/>
              </w:rPr>
              <w:t>Commonwealth Authorities and Companies Act 1997</w:t>
            </w:r>
          </w:p>
        </w:tc>
      </w:tr>
      <w:tr w:rsidR="004B66F1" w:rsidRPr="00D46528" w:rsidTr="004B66F1">
        <w:tc>
          <w:tcPr>
            <w:tcW w:w="2880" w:type="dxa"/>
          </w:tcPr>
          <w:p w:rsidR="004B66F1" w:rsidRPr="008A1D11" w:rsidRDefault="004B66F1" w:rsidP="004B66F1">
            <w:r w:rsidRPr="008A1D11">
              <w:t>Charter of Budget Honesty</w:t>
            </w:r>
          </w:p>
        </w:tc>
        <w:tc>
          <w:tcPr>
            <w:tcW w:w="4860" w:type="dxa"/>
          </w:tcPr>
          <w:p w:rsidR="004B66F1" w:rsidRPr="005401D5" w:rsidRDefault="004B66F1" w:rsidP="004B66F1">
            <w:pPr>
              <w:rPr>
                <w:i/>
              </w:rPr>
            </w:pPr>
            <w:r w:rsidRPr="005401D5">
              <w:rPr>
                <w:i/>
              </w:rPr>
              <w:t>Charter of Budget Honesty Act 1998</w:t>
            </w:r>
          </w:p>
        </w:tc>
      </w:tr>
      <w:tr w:rsidR="002D26C3" w:rsidRPr="00D46528" w:rsidTr="004B66F1">
        <w:tc>
          <w:tcPr>
            <w:tcW w:w="2880" w:type="dxa"/>
          </w:tcPr>
          <w:p w:rsidR="002D26C3" w:rsidRPr="008A1D11" w:rsidRDefault="002D26C3" w:rsidP="004B66F1">
            <w:r>
              <w:t>COAG</w:t>
            </w:r>
          </w:p>
        </w:tc>
        <w:tc>
          <w:tcPr>
            <w:tcW w:w="4860" w:type="dxa"/>
          </w:tcPr>
          <w:p w:rsidR="002D26C3" w:rsidRPr="008A1D11" w:rsidRDefault="002D26C3" w:rsidP="004B66F1">
            <w:r>
              <w:t>Council of Australian Governments</w:t>
            </w:r>
          </w:p>
        </w:tc>
      </w:tr>
      <w:tr w:rsidR="004B66F1" w:rsidRPr="00D46528" w:rsidTr="004B66F1">
        <w:tc>
          <w:tcPr>
            <w:tcW w:w="2880" w:type="dxa"/>
          </w:tcPr>
          <w:p w:rsidR="004B66F1" w:rsidRPr="008A1D11" w:rsidRDefault="004B66F1" w:rsidP="004B66F1">
            <w:r w:rsidRPr="008A1D11">
              <w:t>CPI</w:t>
            </w:r>
          </w:p>
        </w:tc>
        <w:tc>
          <w:tcPr>
            <w:tcW w:w="4860" w:type="dxa"/>
          </w:tcPr>
          <w:p w:rsidR="004B66F1" w:rsidRPr="008A1D11" w:rsidRDefault="004B66F1" w:rsidP="004B66F1">
            <w:r w:rsidRPr="008A1D11">
              <w:t>Consumer Price Index</w:t>
            </w:r>
          </w:p>
        </w:tc>
      </w:tr>
      <w:tr w:rsidR="002D26C3" w:rsidRPr="00D46528" w:rsidTr="002D26C3">
        <w:tc>
          <w:tcPr>
            <w:tcW w:w="2880" w:type="dxa"/>
          </w:tcPr>
          <w:p w:rsidR="002D26C3" w:rsidRPr="008A1D11" w:rsidRDefault="002D26C3" w:rsidP="002D26C3">
            <w:r>
              <w:t>CRF</w:t>
            </w:r>
          </w:p>
        </w:tc>
        <w:tc>
          <w:tcPr>
            <w:tcW w:w="4860" w:type="dxa"/>
          </w:tcPr>
          <w:p w:rsidR="002D26C3" w:rsidRPr="008A1D11" w:rsidRDefault="002D26C3" w:rsidP="002D26C3">
            <w:r>
              <w:t>Consolidated Revenue Fund</w:t>
            </w:r>
          </w:p>
        </w:tc>
      </w:tr>
      <w:tr w:rsidR="00D846C2" w:rsidRPr="00D46528" w:rsidTr="004B66F1">
        <w:tc>
          <w:tcPr>
            <w:tcW w:w="2880" w:type="dxa"/>
          </w:tcPr>
          <w:p w:rsidR="00D846C2" w:rsidRPr="008A1D11" w:rsidRDefault="00D846C2" w:rsidP="004B66F1">
            <w:r>
              <w:t>CSC</w:t>
            </w:r>
          </w:p>
        </w:tc>
        <w:tc>
          <w:tcPr>
            <w:tcW w:w="4860" w:type="dxa"/>
          </w:tcPr>
          <w:p w:rsidR="00D846C2" w:rsidRPr="008A1D11" w:rsidRDefault="00D846C2" w:rsidP="004B66F1">
            <w:r>
              <w:t>Commonwealth Superannuation Corporation</w:t>
            </w:r>
          </w:p>
        </w:tc>
      </w:tr>
      <w:tr w:rsidR="004B66F1" w:rsidRPr="00D46528" w:rsidTr="004B66F1">
        <w:tc>
          <w:tcPr>
            <w:tcW w:w="2880" w:type="dxa"/>
          </w:tcPr>
          <w:p w:rsidR="004B66F1" w:rsidRPr="008A1D11" w:rsidRDefault="004B66F1" w:rsidP="004B66F1">
            <w:r w:rsidRPr="008A1D11">
              <w:t>CSS</w:t>
            </w:r>
          </w:p>
        </w:tc>
        <w:tc>
          <w:tcPr>
            <w:tcW w:w="4860" w:type="dxa"/>
          </w:tcPr>
          <w:p w:rsidR="004B66F1" w:rsidRPr="008A1D11" w:rsidRDefault="004B66F1" w:rsidP="004B66F1">
            <w:r w:rsidRPr="008A1D11">
              <w:t>Commonwealth Superannuation Scheme</w:t>
            </w:r>
          </w:p>
        </w:tc>
      </w:tr>
      <w:tr w:rsidR="004B66F1" w:rsidRPr="00D46528" w:rsidTr="004B66F1">
        <w:tc>
          <w:tcPr>
            <w:tcW w:w="2880" w:type="dxa"/>
          </w:tcPr>
          <w:p w:rsidR="004B66F1" w:rsidRDefault="004B66F1" w:rsidP="004B66F1">
            <w:r>
              <w:t>DCAF</w:t>
            </w:r>
          </w:p>
        </w:tc>
        <w:tc>
          <w:tcPr>
            <w:tcW w:w="4860" w:type="dxa"/>
          </w:tcPr>
          <w:p w:rsidR="004B66F1" w:rsidRDefault="004B66F1" w:rsidP="004B66F1">
            <w:r>
              <w:t>DisabilityCare Australia Fund</w:t>
            </w:r>
          </w:p>
        </w:tc>
      </w:tr>
      <w:tr w:rsidR="004B66F1" w:rsidRPr="00D46528" w:rsidTr="004B66F1">
        <w:tc>
          <w:tcPr>
            <w:tcW w:w="2880" w:type="dxa"/>
          </w:tcPr>
          <w:p w:rsidR="004B66F1" w:rsidRPr="008A1D11" w:rsidRDefault="004B66F1" w:rsidP="004B66F1">
            <w:r>
              <w:t>DCB</w:t>
            </w:r>
          </w:p>
        </w:tc>
        <w:tc>
          <w:tcPr>
            <w:tcW w:w="4860" w:type="dxa"/>
          </w:tcPr>
          <w:p w:rsidR="004B66F1" w:rsidRPr="008A1D11" w:rsidRDefault="004B66F1" w:rsidP="004B66F1">
            <w:r>
              <w:t>Departmental Capital Budget</w:t>
            </w:r>
          </w:p>
        </w:tc>
      </w:tr>
      <w:tr w:rsidR="002D26C3" w:rsidRPr="00D46528" w:rsidTr="004B66F1">
        <w:tc>
          <w:tcPr>
            <w:tcW w:w="2880" w:type="dxa"/>
          </w:tcPr>
          <w:p w:rsidR="002D26C3" w:rsidRPr="008A1D11" w:rsidRDefault="002D26C3" w:rsidP="004B66F1">
            <w:r>
              <w:t>DFRB</w:t>
            </w:r>
          </w:p>
        </w:tc>
        <w:tc>
          <w:tcPr>
            <w:tcW w:w="4860" w:type="dxa"/>
          </w:tcPr>
          <w:p w:rsidR="002D26C3" w:rsidRPr="008A1D11" w:rsidRDefault="002D26C3" w:rsidP="002D26C3">
            <w:r>
              <w:t>Defence Forces Retirement Benefits Scheme</w:t>
            </w:r>
          </w:p>
        </w:tc>
      </w:tr>
    </w:tbl>
    <w:p w:rsidR="002D26C3" w:rsidRDefault="002D26C3">
      <w:r>
        <w:br w:type="page"/>
      </w:r>
    </w:p>
    <w:tbl>
      <w:tblPr>
        <w:tblW w:w="0" w:type="auto"/>
        <w:tblInd w:w="108" w:type="dxa"/>
        <w:tblLook w:val="01E0"/>
      </w:tblPr>
      <w:tblGrid>
        <w:gridCol w:w="2880"/>
        <w:gridCol w:w="4860"/>
      </w:tblGrid>
      <w:tr w:rsidR="009E5BF2" w:rsidRPr="00D46528" w:rsidTr="009E5BF2">
        <w:tc>
          <w:tcPr>
            <w:tcW w:w="288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lastRenderedPageBreak/>
              <w:t>Acronym</w:t>
            </w:r>
          </w:p>
        </w:tc>
        <w:tc>
          <w:tcPr>
            <w:tcW w:w="486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t>Description</w:t>
            </w:r>
          </w:p>
        </w:tc>
      </w:tr>
      <w:tr w:rsidR="004B66F1" w:rsidRPr="00D46528" w:rsidTr="009E5BF2">
        <w:tc>
          <w:tcPr>
            <w:tcW w:w="2880" w:type="dxa"/>
          </w:tcPr>
          <w:p w:rsidR="004B66F1" w:rsidRPr="008A1D11" w:rsidRDefault="004B66F1" w:rsidP="004B66F1">
            <w:r w:rsidRPr="008A1D11">
              <w:t xml:space="preserve">DFRDB </w:t>
            </w:r>
          </w:p>
        </w:tc>
        <w:tc>
          <w:tcPr>
            <w:tcW w:w="4860" w:type="dxa"/>
          </w:tcPr>
          <w:p w:rsidR="004B66F1" w:rsidRPr="008A1D11" w:rsidRDefault="004B66F1" w:rsidP="004B66F1">
            <w:r w:rsidRPr="008A1D11">
              <w:t xml:space="preserve">Defence Force Retirement and Death Benefits </w:t>
            </w:r>
            <w:r w:rsidR="002D26C3">
              <w:t>Scheme</w:t>
            </w:r>
          </w:p>
        </w:tc>
      </w:tr>
      <w:tr w:rsidR="002D26C3" w:rsidRPr="007E6E9A" w:rsidTr="009E5BF2">
        <w:tc>
          <w:tcPr>
            <w:tcW w:w="2880" w:type="dxa"/>
          </w:tcPr>
          <w:p w:rsidR="002D26C3" w:rsidRPr="008A1D11" w:rsidRDefault="002D26C3" w:rsidP="004B66F1">
            <w:r>
              <w:t>DFSPB</w:t>
            </w:r>
          </w:p>
        </w:tc>
        <w:tc>
          <w:tcPr>
            <w:tcW w:w="4860" w:type="dxa"/>
          </w:tcPr>
          <w:p w:rsidR="002D26C3" w:rsidRPr="008A1D11" w:rsidRDefault="002D26C3" w:rsidP="004B66F1">
            <w:r>
              <w:t>Defence Force (Superannuation) (Productivity Benefit) Scheme</w:t>
            </w:r>
          </w:p>
        </w:tc>
      </w:tr>
      <w:tr w:rsidR="004B66F1" w:rsidRPr="007E6E9A" w:rsidTr="009E5BF2">
        <w:tc>
          <w:tcPr>
            <w:tcW w:w="2880" w:type="dxa"/>
          </w:tcPr>
          <w:p w:rsidR="004B66F1" w:rsidRPr="008A1D11" w:rsidRDefault="004B66F1" w:rsidP="004B66F1">
            <w:r w:rsidRPr="008A1D11">
              <w:t>EIF</w:t>
            </w:r>
          </w:p>
        </w:tc>
        <w:tc>
          <w:tcPr>
            <w:tcW w:w="4860" w:type="dxa"/>
          </w:tcPr>
          <w:p w:rsidR="004B66F1" w:rsidRPr="008A1D11" w:rsidRDefault="004B66F1" w:rsidP="004B66F1">
            <w:r w:rsidRPr="008A1D11">
              <w:t>Education Investment Fund</w:t>
            </w:r>
          </w:p>
        </w:tc>
      </w:tr>
      <w:tr w:rsidR="004B66F1" w:rsidRPr="007E6E9A" w:rsidTr="009E5BF2">
        <w:tc>
          <w:tcPr>
            <w:tcW w:w="2880" w:type="dxa"/>
          </w:tcPr>
          <w:p w:rsidR="004B66F1" w:rsidRPr="008A1D11" w:rsidRDefault="004B66F1" w:rsidP="004B66F1">
            <w:r>
              <w:t>ERC</w:t>
            </w:r>
          </w:p>
        </w:tc>
        <w:tc>
          <w:tcPr>
            <w:tcW w:w="4860" w:type="dxa"/>
          </w:tcPr>
          <w:p w:rsidR="004B66F1" w:rsidRPr="008A1D11" w:rsidRDefault="004B66F1" w:rsidP="004B66F1">
            <w:r>
              <w:t>Expenditure Review Committee</w:t>
            </w:r>
          </w:p>
        </w:tc>
      </w:tr>
      <w:tr w:rsidR="002D26C3" w:rsidRPr="007E6E9A" w:rsidTr="009E5BF2">
        <w:tc>
          <w:tcPr>
            <w:tcW w:w="2880" w:type="dxa"/>
          </w:tcPr>
          <w:p w:rsidR="002D26C3" w:rsidRPr="008A1D11" w:rsidRDefault="002D26C3" w:rsidP="004B66F1">
            <w:r>
              <w:t>FBO</w:t>
            </w:r>
          </w:p>
        </w:tc>
        <w:tc>
          <w:tcPr>
            <w:tcW w:w="4860" w:type="dxa"/>
          </w:tcPr>
          <w:p w:rsidR="002D26C3" w:rsidRPr="008A1D11" w:rsidRDefault="002D26C3" w:rsidP="004B66F1">
            <w:r>
              <w:t>Final Budget Outcome</w:t>
            </w:r>
          </w:p>
        </w:tc>
      </w:tr>
      <w:tr w:rsidR="004B66F1" w:rsidRPr="007E6E9A" w:rsidTr="009E5BF2">
        <w:tc>
          <w:tcPr>
            <w:tcW w:w="2880" w:type="dxa"/>
          </w:tcPr>
          <w:p w:rsidR="004B66F1" w:rsidRPr="008A1D11" w:rsidRDefault="004B66F1" w:rsidP="004B66F1">
            <w:r w:rsidRPr="008A1D11">
              <w:t>FFMA</w:t>
            </w:r>
          </w:p>
        </w:tc>
        <w:tc>
          <w:tcPr>
            <w:tcW w:w="4860" w:type="dxa"/>
          </w:tcPr>
          <w:p w:rsidR="004B66F1" w:rsidRPr="008A1D11" w:rsidRDefault="004B66F1" w:rsidP="004B66F1">
            <w:r w:rsidRPr="008A1D11">
              <w:t>Future Fund Management Agency</w:t>
            </w:r>
          </w:p>
        </w:tc>
      </w:tr>
      <w:tr w:rsidR="004B66F1" w:rsidRPr="007E6E9A" w:rsidTr="009E5BF2">
        <w:tc>
          <w:tcPr>
            <w:tcW w:w="2880" w:type="dxa"/>
          </w:tcPr>
          <w:p w:rsidR="004B66F1" w:rsidRPr="008A1D11" w:rsidRDefault="004B66F1" w:rsidP="004B66F1">
            <w:r w:rsidRPr="008A1D11">
              <w:t>Finance</w:t>
            </w:r>
          </w:p>
        </w:tc>
        <w:tc>
          <w:tcPr>
            <w:tcW w:w="4860" w:type="dxa"/>
          </w:tcPr>
          <w:p w:rsidR="004B66F1" w:rsidRPr="008A1D11" w:rsidRDefault="004B66F1" w:rsidP="004B66F1">
            <w:r>
              <w:t>Department of Finance</w:t>
            </w:r>
          </w:p>
        </w:tc>
      </w:tr>
      <w:tr w:rsidR="004B66F1" w:rsidTr="009E5BF2">
        <w:tc>
          <w:tcPr>
            <w:tcW w:w="2880" w:type="dxa"/>
          </w:tcPr>
          <w:p w:rsidR="004B66F1" w:rsidRPr="008A1D11" w:rsidRDefault="004B66F1" w:rsidP="004B66F1">
            <w:r>
              <w:t>Finance Minister</w:t>
            </w:r>
          </w:p>
        </w:tc>
        <w:tc>
          <w:tcPr>
            <w:tcW w:w="4860" w:type="dxa"/>
          </w:tcPr>
          <w:p w:rsidR="004B66F1" w:rsidRPr="004B66F1" w:rsidRDefault="004B66F1" w:rsidP="004B66F1">
            <w:r>
              <w:t xml:space="preserve">Minister for Finance </w:t>
            </w:r>
          </w:p>
        </w:tc>
      </w:tr>
      <w:tr w:rsidR="004B66F1" w:rsidTr="009E5BF2">
        <w:tc>
          <w:tcPr>
            <w:tcW w:w="2880" w:type="dxa"/>
          </w:tcPr>
          <w:p w:rsidR="004B66F1" w:rsidRPr="008A1D11" w:rsidRDefault="004B66F1" w:rsidP="004B66F1">
            <w:r w:rsidRPr="008A1D11">
              <w:t>FMA Act</w:t>
            </w:r>
          </w:p>
        </w:tc>
        <w:tc>
          <w:tcPr>
            <w:tcW w:w="4860" w:type="dxa"/>
          </w:tcPr>
          <w:p w:rsidR="004B66F1" w:rsidRPr="005401D5" w:rsidRDefault="004B66F1" w:rsidP="004B66F1">
            <w:pPr>
              <w:rPr>
                <w:i/>
              </w:rPr>
            </w:pPr>
            <w:r w:rsidRPr="005401D5">
              <w:rPr>
                <w:i/>
              </w:rPr>
              <w:t>Financial Management and Accountability Act 1997</w:t>
            </w:r>
          </w:p>
        </w:tc>
      </w:tr>
      <w:tr w:rsidR="002D26C3" w:rsidTr="009E5BF2">
        <w:tblPrEx>
          <w:tblLook w:val="0000"/>
        </w:tblPrEx>
        <w:trPr>
          <w:trHeight w:val="454"/>
        </w:trPr>
        <w:tc>
          <w:tcPr>
            <w:tcW w:w="2880" w:type="dxa"/>
          </w:tcPr>
          <w:p w:rsidR="002D26C3" w:rsidRDefault="002D26C3" w:rsidP="004B66F1">
            <w:pPr>
              <w:spacing w:after="120"/>
              <w:jc w:val="left"/>
            </w:pPr>
            <w:r>
              <w:t>FTE</w:t>
            </w:r>
          </w:p>
        </w:tc>
        <w:tc>
          <w:tcPr>
            <w:tcW w:w="4860" w:type="dxa"/>
          </w:tcPr>
          <w:p w:rsidR="002D26C3" w:rsidRDefault="002D26C3" w:rsidP="004B66F1">
            <w:pPr>
              <w:spacing w:after="120"/>
              <w:jc w:val="left"/>
            </w:pPr>
            <w:r>
              <w:t>Full-Time Equivalent</w:t>
            </w:r>
          </w:p>
        </w:tc>
      </w:tr>
      <w:tr w:rsidR="002D26C3" w:rsidTr="009E5BF2">
        <w:tblPrEx>
          <w:tblLook w:val="0000"/>
        </w:tblPrEx>
        <w:trPr>
          <w:trHeight w:val="454"/>
        </w:trPr>
        <w:tc>
          <w:tcPr>
            <w:tcW w:w="2880" w:type="dxa"/>
          </w:tcPr>
          <w:p w:rsidR="002D26C3" w:rsidRPr="008A1D11" w:rsidRDefault="002D26C3" w:rsidP="004B66F1">
            <w:pPr>
              <w:spacing w:after="120"/>
              <w:jc w:val="left"/>
            </w:pPr>
            <w:r>
              <w:t>FWC</w:t>
            </w:r>
          </w:p>
        </w:tc>
        <w:tc>
          <w:tcPr>
            <w:tcW w:w="4860" w:type="dxa"/>
          </w:tcPr>
          <w:p w:rsidR="002D26C3" w:rsidRPr="008A1D11" w:rsidRDefault="002D26C3" w:rsidP="004B66F1">
            <w:pPr>
              <w:spacing w:after="120"/>
              <w:jc w:val="left"/>
            </w:pPr>
            <w:r>
              <w:t>Fair Work Commission</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GBEs</w:t>
            </w:r>
          </w:p>
        </w:tc>
        <w:tc>
          <w:tcPr>
            <w:tcW w:w="4860" w:type="dxa"/>
          </w:tcPr>
          <w:p w:rsidR="004B66F1" w:rsidRPr="008A1D11" w:rsidRDefault="004B66F1" w:rsidP="004B66F1">
            <w:pPr>
              <w:spacing w:after="120"/>
              <w:jc w:val="left"/>
            </w:pPr>
            <w:r w:rsidRPr="008A1D11">
              <w:t>Government Business Enterprises</w:t>
            </w:r>
          </w:p>
        </w:tc>
      </w:tr>
      <w:tr w:rsidR="00D846C2" w:rsidTr="009E5BF2">
        <w:tblPrEx>
          <w:tblLook w:val="0000"/>
        </w:tblPrEx>
        <w:trPr>
          <w:trHeight w:val="454"/>
        </w:trPr>
        <w:tc>
          <w:tcPr>
            <w:tcW w:w="2880" w:type="dxa"/>
          </w:tcPr>
          <w:p w:rsidR="00D846C2" w:rsidRPr="008A1D11" w:rsidRDefault="00D846C2" w:rsidP="004B66F1">
            <w:pPr>
              <w:spacing w:after="120"/>
              <w:jc w:val="left"/>
            </w:pPr>
            <w:r>
              <w:t>Government</w:t>
            </w:r>
          </w:p>
        </w:tc>
        <w:tc>
          <w:tcPr>
            <w:tcW w:w="4860" w:type="dxa"/>
          </w:tcPr>
          <w:p w:rsidR="00D846C2" w:rsidRPr="008A1D11" w:rsidRDefault="00D846C2" w:rsidP="004B66F1">
            <w:pPr>
              <w:spacing w:after="120"/>
              <w:jc w:val="left"/>
            </w:pPr>
            <w:r>
              <w:t>Australian Government</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HHF</w:t>
            </w:r>
          </w:p>
        </w:tc>
        <w:tc>
          <w:tcPr>
            <w:tcW w:w="4860" w:type="dxa"/>
          </w:tcPr>
          <w:p w:rsidR="004B66F1" w:rsidRPr="008A1D11" w:rsidRDefault="004B66F1" w:rsidP="004B66F1">
            <w:pPr>
              <w:spacing w:after="120"/>
              <w:jc w:val="left"/>
            </w:pPr>
            <w:r w:rsidRPr="008A1D11">
              <w:t>Health and Hospitals Fund</w:t>
            </w:r>
          </w:p>
        </w:tc>
      </w:tr>
      <w:tr w:rsidR="004B66F1" w:rsidTr="009E5BF2">
        <w:tblPrEx>
          <w:tblLook w:val="0000"/>
        </w:tblPrEx>
        <w:trPr>
          <w:trHeight w:val="454"/>
        </w:trPr>
        <w:tc>
          <w:tcPr>
            <w:tcW w:w="2880" w:type="dxa"/>
          </w:tcPr>
          <w:p w:rsidR="004B66F1" w:rsidRPr="008A1D11" w:rsidRDefault="004B66F1" w:rsidP="004B66F1">
            <w:pPr>
              <w:spacing w:after="120"/>
              <w:jc w:val="left"/>
            </w:pPr>
            <w:r>
              <w:t>ICON</w:t>
            </w:r>
          </w:p>
        </w:tc>
        <w:tc>
          <w:tcPr>
            <w:tcW w:w="4860" w:type="dxa"/>
          </w:tcPr>
          <w:p w:rsidR="004B66F1" w:rsidRPr="008A1D11" w:rsidRDefault="004B66F1" w:rsidP="004B66F1">
            <w:pPr>
              <w:spacing w:after="120"/>
              <w:jc w:val="left"/>
              <w:rPr>
                <w:bCs/>
              </w:rPr>
            </w:pPr>
            <w:r>
              <w:rPr>
                <w:bCs/>
              </w:rPr>
              <w:t>Intra-Government Communications Network</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ICT</w:t>
            </w:r>
          </w:p>
        </w:tc>
        <w:tc>
          <w:tcPr>
            <w:tcW w:w="4860" w:type="dxa"/>
          </w:tcPr>
          <w:p w:rsidR="004B66F1" w:rsidRPr="008A1D11" w:rsidRDefault="004B66F1" w:rsidP="004B66F1">
            <w:pPr>
              <w:spacing w:after="120"/>
              <w:jc w:val="left"/>
              <w:rPr>
                <w:bCs/>
              </w:rPr>
            </w:pPr>
            <w:r w:rsidRPr="008A1D11">
              <w:rPr>
                <w:bCs/>
              </w:rPr>
              <w:t>Information and Communications Technology</w:t>
            </w:r>
          </w:p>
        </w:tc>
      </w:tr>
      <w:tr w:rsidR="002D26C3" w:rsidRPr="00D46528" w:rsidTr="009E5BF2">
        <w:tblPrEx>
          <w:tblLook w:val="0000"/>
        </w:tblPrEx>
        <w:trPr>
          <w:trHeight w:val="454"/>
        </w:trPr>
        <w:tc>
          <w:tcPr>
            <w:tcW w:w="2880" w:type="dxa"/>
          </w:tcPr>
          <w:p w:rsidR="002D26C3" w:rsidRPr="008A1D11" w:rsidRDefault="002D26C3" w:rsidP="004B66F1">
            <w:pPr>
              <w:spacing w:after="120"/>
              <w:jc w:val="left"/>
            </w:pPr>
            <w:r>
              <w:t>KPI</w:t>
            </w:r>
          </w:p>
        </w:tc>
        <w:tc>
          <w:tcPr>
            <w:tcW w:w="4860" w:type="dxa"/>
          </w:tcPr>
          <w:p w:rsidR="002D26C3" w:rsidRPr="002D26C3" w:rsidRDefault="002D26C3" w:rsidP="004B66F1">
            <w:pPr>
              <w:spacing w:after="120"/>
              <w:jc w:val="left"/>
            </w:pPr>
            <w:r w:rsidRPr="002D26C3">
              <w:t>Key Performance Indicator</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MoP(S) Act</w:t>
            </w:r>
          </w:p>
        </w:tc>
        <w:tc>
          <w:tcPr>
            <w:tcW w:w="4860" w:type="dxa"/>
          </w:tcPr>
          <w:p w:rsidR="004B66F1" w:rsidRPr="008A1D11" w:rsidRDefault="004B66F1" w:rsidP="004B66F1">
            <w:pPr>
              <w:spacing w:after="120"/>
              <w:jc w:val="left"/>
              <w:rPr>
                <w:i/>
              </w:rPr>
            </w:pPr>
            <w:r w:rsidRPr="008A1D11">
              <w:rPr>
                <w:i/>
              </w:rPr>
              <w:t>Members of Parliament (Staff) Act 1984</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t>MRFF</w:t>
            </w:r>
          </w:p>
        </w:tc>
        <w:tc>
          <w:tcPr>
            <w:tcW w:w="4860" w:type="dxa"/>
          </w:tcPr>
          <w:p w:rsidR="004B66F1" w:rsidRPr="008A1D11" w:rsidRDefault="004B66F1" w:rsidP="004B66F1">
            <w:pPr>
              <w:spacing w:after="120"/>
              <w:jc w:val="left"/>
            </w:pPr>
            <w:r>
              <w:t>Medical Research Future Fund</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MSBS</w:t>
            </w:r>
          </w:p>
        </w:tc>
        <w:tc>
          <w:tcPr>
            <w:tcW w:w="4860" w:type="dxa"/>
          </w:tcPr>
          <w:p w:rsidR="004B66F1" w:rsidRPr="008A1D11" w:rsidRDefault="004B66F1" w:rsidP="004B66F1">
            <w:pPr>
              <w:spacing w:after="120"/>
              <w:jc w:val="left"/>
            </w:pPr>
            <w:r w:rsidRPr="008A1D11">
              <w:t>Military Superannuation and Benefits Scheme</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MYEFO</w:t>
            </w:r>
          </w:p>
        </w:tc>
        <w:tc>
          <w:tcPr>
            <w:tcW w:w="4860" w:type="dxa"/>
          </w:tcPr>
          <w:p w:rsidR="004B66F1" w:rsidRPr="008A1D11" w:rsidRDefault="004B66F1" w:rsidP="004B66F1">
            <w:pPr>
              <w:spacing w:after="120"/>
              <w:jc w:val="left"/>
            </w:pPr>
            <w:r w:rsidRPr="008A1D11">
              <w:t xml:space="preserve">Mid-Year Economic Fiscal Outlook </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t>NBF</w:t>
            </w:r>
          </w:p>
        </w:tc>
        <w:tc>
          <w:tcPr>
            <w:tcW w:w="4860" w:type="dxa"/>
          </w:tcPr>
          <w:p w:rsidR="004B66F1" w:rsidRPr="008A1D11" w:rsidRDefault="004B66F1" w:rsidP="004B66F1">
            <w:pPr>
              <w:spacing w:after="120"/>
              <w:jc w:val="left"/>
            </w:pPr>
            <w:r>
              <w:t>Nation-building Funds</w:t>
            </w:r>
          </w:p>
        </w:tc>
      </w:tr>
    </w:tbl>
    <w:p w:rsidR="009E5BF2" w:rsidRDefault="009E5BF2">
      <w:r>
        <w:br w:type="page"/>
      </w:r>
    </w:p>
    <w:tbl>
      <w:tblPr>
        <w:tblW w:w="0" w:type="auto"/>
        <w:tblInd w:w="108" w:type="dxa"/>
        <w:tblLook w:val="01E0"/>
      </w:tblPr>
      <w:tblGrid>
        <w:gridCol w:w="2880"/>
        <w:gridCol w:w="4860"/>
      </w:tblGrid>
      <w:tr w:rsidR="009E5BF2" w:rsidRPr="00D46528" w:rsidTr="00E5330F">
        <w:tc>
          <w:tcPr>
            <w:tcW w:w="288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lastRenderedPageBreak/>
              <w:t>Acronym</w:t>
            </w:r>
          </w:p>
        </w:tc>
        <w:tc>
          <w:tcPr>
            <w:tcW w:w="486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t>Description</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OPA</w:t>
            </w:r>
          </w:p>
        </w:tc>
        <w:tc>
          <w:tcPr>
            <w:tcW w:w="4860" w:type="dxa"/>
          </w:tcPr>
          <w:p w:rsidR="004B66F1" w:rsidRPr="008A1D11" w:rsidRDefault="004B66F1" w:rsidP="004B66F1">
            <w:pPr>
              <w:spacing w:after="120"/>
              <w:jc w:val="left"/>
            </w:pPr>
            <w:r w:rsidRPr="008A1D11">
              <w:t>Official Public Account</w:t>
            </w:r>
          </w:p>
        </w:tc>
      </w:tr>
      <w:tr w:rsidR="002D26C3" w:rsidRPr="00C13D86" w:rsidTr="009E5BF2">
        <w:tblPrEx>
          <w:tblLook w:val="0000"/>
        </w:tblPrEx>
        <w:trPr>
          <w:trHeight w:val="454"/>
        </w:trPr>
        <w:tc>
          <w:tcPr>
            <w:tcW w:w="2880" w:type="dxa"/>
          </w:tcPr>
          <w:p w:rsidR="002D26C3" w:rsidRPr="008A1D11" w:rsidRDefault="002D26C3" w:rsidP="004B66F1">
            <w:pPr>
              <w:spacing w:after="120"/>
              <w:jc w:val="left"/>
            </w:pPr>
            <w:r>
              <w:t>PABs</w:t>
            </w:r>
          </w:p>
        </w:tc>
        <w:tc>
          <w:tcPr>
            <w:tcW w:w="4860" w:type="dxa"/>
          </w:tcPr>
          <w:p w:rsidR="002D26C3" w:rsidRPr="008A1D11" w:rsidRDefault="002D26C3" w:rsidP="004B66F1">
            <w:pPr>
              <w:spacing w:after="120"/>
              <w:jc w:val="left"/>
            </w:pPr>
            <w:r>
              <w:t>Protected Action Ballots</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PAES</w:t>
            </w:r>
          </w:p>
        </w:tc>
        <w:tc>
          <w:tcPr>
            <w:tcW w:w="4860" w:type="dxa"/>
          </w:tcPr>
          <w:p w:rsidR="004B66F1" w:rsidRPr="008A1D11" w:rsidRDefault="004B66F1" w:rsidP="004B66F1">
            <w:pPr>
              <w:spacing w:after="120"/>
              <w:jc w:val="left"/>
            </w:pPr>
            <w:r w:rsidRPr="008A1D11">
              <w:t>Portfolio Additional Estimate</w:t>
            </w:r>
            <w:r>
              <w:t>s</w:t>
            </w:r>
            <w:r w:rsidRPr="008A1D11">
              <w:t xml:space="preserve"> Statements</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PB Statements</w:t>
            </w:r>
          </w:p>
        </w:tc>
        <w:tc>
          <w:tcPr>
            <w:tcW w:w="4860" w:type="dxa"/>
          </w:tcPr>
          <w:p w:rsidR="004B66F1" w:rsidRPr="008A1D11" w:rsidRDefault="004B66F1" w:rsidP="004B66F1">
            <w:pPr>
              <w:spacing w:after="120"/>
              <w:jc w:val="left"/>
            </w:pPr>
            <w:r w:rsidRPr="008A1D11">
              <w:t>Portfolio Budget Statements</w:t>
            </w:r>
          </w:p>
        </w:tc>
      </w:tr>
      <w:tr w:rsidR="004B66F1" w:rsidRPr="00D46528" w:rsidTr="009E5BF2">
        <w:tblPrEx>
          <w:tblLook w:val="0000"/>
        </w:tblPrEx>
        <w:trPr>
          <w:trHeight w:val="454"/>
        </w:trPr>
        <w:tc>
          <w:tcPr>
            <w:tcW w:w="2880" w:type="dxa"/>
          </w:tcPr>
          <w:p w:rsidR="004B66F1" w:rsidRPr="00B75372" w:rsidRDefault="004B66F1" w:rsidP="004B66F1">
            <w:pPr>
              <w:spacing w:after="120"/>
              <w:jc w:val="left"/>
            </w:pPr>
            <w:r w:rsidRPr="00B75372">
              <w:t>PGPA Act</w:t>
            </w:r>
          </w:p>
        </w:tc>
        <w:tc>
          <w:tcPr>
            <w:tcW w:w="4860" w:type="dxa"/>
          </w:tcPr>
          <w:p w:rsidR="004B66F1" w:rsidRPr="00B75372" w:rsidRDefault="004B66F1" w:rsidP="004B66F1">
            <w:pPr>
              <w:spacing w:after="120"/>
              <w:jc w:val="left"/>
              <w:rPr>
                <w:i/>
              </w:rPr>
            </w:pPr>
            <w:r>
              <w:rPr>
                <w:i/>
              </w:rPr>
              <w:t>Public Governance, Performance and Accountability Act 2013</w:t>
            </w:r>
          </w:p>
        </w:tc>
      </w:tr>
      <w:tr w:rsidR="004B66F1" w:rsidRPr="00D46528" w:rsidTr="009E5BF2">
        <w:tblPrEx>
          <w:tblLook w:val="0000"/>
        </w:tblPrEx>
        <w:trPr>
          <w:trHeight w:val="454"/>
        </w:trPr>
        <w:tc>
          <w:tcPr>
            <w:tcW w:w="2880" w:type="dxa"/>
          </w:tcPr>
          <w:p w:rsidR="004B66F1" w:rsidRDefault="004B66F1" w:rsidP="004B66F1">
            <w:pPr>
              <w:spacing w:after="120"/>
              <w:jc w:val="left"/>
            </w:pPr>
            <w:r>
              <w:t>PM&amp;C</w:t>
            </w:r>
          </w:p>
        </w:tc>
        <w:tc>
          <w:tcPr>
            <w:tcW w:w="4860" w:type="dxa"/>
          </w:tcPr>
          <w:p w:rsidR="004B66F1" w:rsidRDefault="004B66F1" w:rsidP="004B66F1">
            <w:pPr>
              <w:spacing w:after="120"/>
              <w:jc w:val="left"/>
            </w:pPr>
            <w:r>
              <w:t>Department of the Prime Minister and Cabinet</w:t>
            </w:r>
          </w:p>
        </w:tc>
      </w:tr>
      <w:tr w:rsidR="009E5BF2" w:rsidRPr="00D46528" w:rsidTr="009E5BF2">
        <w:tblPrEx>
          <w:tblLook w:val="0000"/>
        </w:tblPrEx>
        <w:trPr>
          <w:trHeight w:val="454"/>
        </w:trPr>
        <w:tc>
          <w:tcPr>
            <w:tcW w:w="2880" w:type="dxa"/>
          </w:tcPr>
          <w:p w:rsidR="009E5BF2" w:rsidRPr="008A1D11" w:rsidRDefault="009E5BF2" w:rsidP="004B66F1">
            <w:pPr>
              <w:spacing w:after="120"/>
              <w:jc w:val="left"/>
            </w:pPr>
            <w:r>
              <w:t>PNG</w:t>
            </w:r>
          </w:p>
        </w:tc>
        <w:tc>
          <w:tcPr>
            <w:tcW w:w="4860" w:type="dxa"/>
          </w:tcPr>
          <w:p w:rsidR="009E5BF2" w:rsidRPr="008A1D11" w:rsidRDefault="009E5BF2" w:rsidP="004B66F1">
            <w:pPr>
              <w:spacing w:after="120"/>
              <w:jc w:val="left"/>
            </w:pPr>
            <w:r>
              <w:t>Papua New Guinea Scheme</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PSS</w:t>
            </w:r>
          </w:p>
        </w:tc>
        <w:tc>
          <w:tcPr>
            <w:tcW w:w="4860" w:type="dxa"/>
          </w:tcPr>
          <w:p w:rsidR="004B66F1" w:rsidRPr="008A1D11" w:rsidRDefault="004B66F1" w:rsidP="004B66F1">
            <w:pPr>
              <w:spacing w:after="120"/>
              <w:jc w:val="left"/>
            </w:pPr>
            <w:r w:rsidRPr="008A1D11">
              <w:t>Public Sector Superannuation Scheme</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PSSap</w:t>
            </w:r>
          </w:p>
        </w:tc>
        <w:tc>
          <w:tcPr>
            <w:tcW w:w="4860" w:type="dxa"/>
          </w:tcPr>
          <w:p w:rsidR="004B66F1" w:rsidRPr="008A1D11" w:rsidRDefault="004B66F1" w:rsidP="004B66F1">
            <w:pPr>
              <w:spacing w:after="120"/>
              <w:jc w:val="left"/>
            </w:pPr>
            <w:r w:rsidRPr="008A1D11">
              <w:t>Public Sector Superannuation Accumulation Plan</w:t>
            </w:r>
          </w:p>
        </w:tc>
      </w:tr>
      <w:tr w:rsidR="009E5BF2" w:rsidTr="009E5BF2">
        <w:tblPrEx>
          <w:tblLook w:val="0000"/>
        </w:tblPrEx>
        <w:trPr>
          <w:trHeight w:val="454"/>
        </w:trPr>
        <w:tc>
          <w:tcPr>
            <w:tcW w:w="2880" w:type="dxa"/>
          </w:tcPr>
          <w:p w:rsidR="009E5BF2" w:rsidRPr="008A1D11" w:rsidRDefault="009E5BF2" w:rsidP="004B66F1">
            <w:pPr>
              <w:spacing w:after="120"/>
              <w:jc w:val="left"/>
            </w:pPr>
            <w:r>
              <w:t>RSE</w:t>
            </w:r>
          </w:p>
        </w:tc>
        <w:tc>
          <w:tcPr>
            <w:tcW w:w="4860" w:type="dxa"/>
          </w:tcPr>
          <w:p w:rsidR="009E5BF2" w:rsidRPr="008A1D11" w:rsidRDefault="009E5BF2" w:rsidP="004B66F1">
            <w:pPr>
              <w:spacing w:after="120"/>
              <w:jc w:val="left"/>
            </w:pPr>
            <w:r>
              <w:t>Registrable Superannuation Entity</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SMOS</w:t>
            </w:r>
          </w:p>
        </w:tc>
        <w:tc>
          <w:tcPr>
            <w:tcW w:w="4860" w:type="dxa"/>
          </w:tcPr>
          <w:p w:rsidR="00D846C2" w:rsidRPr="008A1D11" w:rsidRDefault="004B66F1" w:rsidP="004B66F1">
            <w:pPr>
              <w:spacing w:after="120"/>
              <w:jc w:val="left"/>
            </w:pPr>
            <w:r w:rsidRPr="008A1D11">
              <w:t>Special Minister of State</w:t>
            </w:r>
          </w:p>
        </w:tc>
      </w:tr>
      <w:tr w:rsidR="002D26C3" w:rsidTr="009E5BF2">
        <w:tblPrEx>
          <w:tblLook w:val="0000"/>
        </w:tblPrEx>
        <w:trPr>
          <w:trHeight w:val="454"/>
        </w:trPr>
        <w:tc>
          <w:tcPr>
            <w:tcW w:w="2880" w:type="dxa"/>
          </w:tcPr>
          <w:p w:rsidR="002D26C3" w:rsidRDefault="002D26C3" w:rsidP="004B66F1">
            <w:pPr>
              <w:spacing w:after="120"/>
              <w:jc w:val="left"/>
            </w:pPr>
            <w:r>
              <w:t>TSRA</w:t>
            </w:r>
          </w:p>
        </w:tc>
        <w:tc>
          <w:tcPr>
            <w:tcW w:w="4860" w:type="dxa"/>
          </w:tcPr>
          <w:p w:rsidR="002D26C3" w:rsidRDefault="002D26C3" w:rsidP="004B66F1">
            <w:pPr>
              <w:spacing w:after="120"/>
              <w:jc w:val="left"/>
            </w:pPr>
            <w:r>
              <w:t>Torres Strait Regional Authority</w:t>
            </w:r>
          </w:p>
        </w:tc>
      </w:tr>
      <w:tr w:rsidR="00D846C2" w:rsidTr="009E5BF2">
        <w:tblPrEx>
          <w:tblLook w:val="0000"/>
        </w:tblPrEx>
        <w:trPr>
          <w:trHeight w:val="454"/>
        </w:trPr>
        <w:tc>
          <w:tcPr>
            <w:tcW w:w="2880" w:type="dxa"/>
          </w:tcPr>
          <w:p w:rsidR="00D846C2" w:rsidRPr="008A1D11" w:rsidRDefault="00D846C2" w:rsidP="004B66F1">
            <w:pPr>
              <w:spacing w:after="120"/>
              <w:jc w:val="left"/>
            </w:pPr>
            <w:r>
              <w:t>WoAG</w:t>
            </w:r>
          </w:p>
        </w:tc>
        <w:tc>
          <w:tcPr>
            <w:tcW w:w="4860" w:type="dxa"/>
          </w:tcPr>
          <w:p w:rsidR="00D846C2" w:rsidRPr="008A1D11" w:rsidRDefault="00D846C2" w:rsidP="004B66F1">
            <w:pPr>
              <w:spacing w:after="120"/>
              <w:jc w:val="left"/>
            </w:pPr>
            <w:r>
              <w:t>Whole of Australian Government</w:t>
            </w:r>
          </w:p>
        </w:tc>
      </w:tr>
    </w:tbl>
    <w:p w:rsidR="000C3B86" w:rsidRPr="000C3B86" w:rsidRDefault="000C3B86" w:rsidP="006E04BB"/>
    <w:sectPr w:rsidR="000C3B86" w:rsidRPr="000C3B86" w:rsidSect="00AA27AA">
      <w:headerReference w:type="even" r:id="rId16"/>
      <w:headerReference w:type="default" r:id="rId17"/>
      <w:headerReference w:type="first" r:id="rId18"/>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5" w:rsidRDefault="00321575" w:rsidP="00C07DEC">
      <w:r>
        <w:separator/>
      </w:r>
    </w:p>
  </w:endnote>
  <w:endnote w:type="continuationSeparator" w:id="0">
    <w:p w:rsidR="00321575" w:rsidRDefault="00321575" w:rsidP="00C0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3F" w:rsidRDefault="00DD473F">
    <w:pPr>
      <w:pStyle w:val="Footer"/>
    </w:pPr>
    <w:fldSimple w:instr=" PAGE   \* MERGEFORMAT ">
      <w:r>
        <w:rPr>
          <w:noProof/>
        </w:rPr>
        <w:t>156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3F" w:rsidRDefault="00DD473F">
    <w:pPr>
      <w:pStyle w:val="Footer"/>
    </w:pPr>
    <w:fldSimple w:instr=" PAGE   \* MERGEFORMAT ">
      <w:r>
        <w:rPr>
          <w:noProof/>
        </w:rPr>
        <w:t>157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3F" w:rsidRDefault="00DD473F">
    <w:pPr>
      <w:pStyle w:val="Footer"/>
    </w:pPr>
    <w:fldSimple w:instr=" PAGE   \* MERGEFORMAT ">
      <w:r>
        <w:rPr>
          <w:noProof/>
        </w:rPr>
        <w:t>159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5" w:rsidRDefault="00321575" w:rsidP="00C07DEC">
      <w:r>
        <w:separator/>
      </w:r>
    </w:p>
  </w:footnote>
  <w:footnote w:type="continuationSeparator" w:id="0">
    <w:p w:rsidR="00321575" w:rsidRDefault="00321575"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Even"/>
    </w:pPr>
    <w:r>
      <w:t>Glossary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Odd"/>
    </w:pPr>
    <w:r>
      <w:t>Glossary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Even"/>
    </w:pPr>
    <w:r>
      <w:t>Acronyms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Odd"/>
    </w:pPr>
    <w:r>
      <w:t>Acronyms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F10D71" w:rsidRDefault="00321575" w:rsidP="00F10D71">
    <w:pPr>
      <w:pStyle w:val="HeaderOd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32A"/>
    <w:multiLevelType w:val="hybridMultilevel"/>
    <w:tmpl w:val="1554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EA0"/>
    <w:multiLevelType w:val="singleLevel"/>
    <w:tmpl w:val="3982C1BE"/>
    <w:lvl w:ilvl="0">
      <w:start w:val="1"/>
      <w:numFmt w:val="bullet"/>
      <w:lvlRestart w:val="0"/>
      <w:lvlText w:val="•"/>
      <w:lvlJc w:val="left"/>
      <w:pPr>
        <w:tabs>
          <w:tab w:val="num" w:pos="284"/>
        </w:tabs>
        <w:ind w:left="284" w:hanging="284"/>
      </w:pPr>
      <w:rPr>
        <w:b w:val="0"/>
        <w:i w:val="0"/>
        <w:color w:val="000000"/>
      </w:rPr>
    </w:lvl>
  </w:abstractNum>
  <w:abstractNum w:abstractNumId="3">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nsid w:val="10DD14C3"/>
    <w:multiLevelType w:val="hybridMultilevel"/>
    <w:tmpl w:val="48600C24"/>
    <w:lvl w:ilvl="0" w:tplc="40348D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43BA1"/>
    <w:multiLevelType w:val="hybridMultilevel"/>
    <w:tmpl w:val="8A78BCBC"/>
    <w:lvl w:ilvl="0" w:tplc="FD0C5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3F16A7"/>
    <w:multiLevelType w:val="hybridMultilevel"/>
    <w:tmpl w:val="7F5EDCBE"/>
    <w:lvl w:ilvl="0" w:tplc="0B4220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B0CD5"/>
    <w:multiLevelType w:val="hybridMultilevel"/>
    <w:tmpl w:val="0FEC347A"/>
    <w:lvl w:ilvl="0" w:tplc="A534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EB74B8"/>
    <w:multiLevelType w:val="hybridMultilevel"/>
    <w:tmpl w:val="350C8036"/>
    <w:lvl w:ilvl="0" w:tplc="3B4AFF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BA4584"/>
    <w:multiLevelType w:val="hybridMultilevel"/>
    <w:tmpl w:val="1CD807EC"/>
    <w:lvl w:ilvl="0" w:tplc="7B54D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247475"/>
    <w:multiLevelType w:val="hybridMultilevel"/>
    <w:tmpl w:val="DC8212C0"/>
    <w:name w:val="ExampleTextBullet22"/>
    <w:lvl w:ilvl="0" w:tplc="50B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46F3E"/>
    <w:multiLevelType w:val="hybridMultilevel"/>
    <w:tmpl w:val="C2A245AE"/>
    <w:lvl w:ilvl="0" w:tplc="F29C03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957F0"/>
    <w:multiLevelType w:val="hybridMultilevel"/>
    <w:tmpl w:val="9C120D5E"/>
    <w:lvl w:ilvl="0" w:tplc="84CC2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F8E0765"/>
    <w:multiLevelType w:val="hybridMultilevel"/>
    <w:tmpl w:val="BE7E5F22"/>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302D74E7"/>
    <w:multiLevelType w:val="hybridMultilevel"/>
    <w:tmpl w:val="2DEACDAE"/>
    <w:lvl w:ilvl="0" w:tplc="1BF6F5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2A4314"/>
    <w:multiLevelType w:val="hybridMultilevel"/>
    <w:tmpl w:val="2B22443C"/>
    <w:lvl w:ilvl="0" w:tplc="ECECB1F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2906D9"/>
    <w:multiLevelType w:val="hybridMultilevel"/>
    <w:tmpl w:val="DAC2D4A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37014FF1"/>
    <w:multiLevelType w:val="hybridMultilevel"/>
    <w:tmpl w:val="D1E61152"/>
    <w:name w:val="ExampleTextBullet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0878E0"/>
    <w:multiLevelType w:val="hybridMultilevel"/>
    <w:tmpl w:val="0D420116"/>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nsid w:val="3C222161"/>
    <w:multiLevelType w:val="hybridMultilevel"/>
    <w:tmpl w:val="86ECB46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4B727F"/>
    <w:multiLevelType w:val="hybridMultilevel"/>
    <w:tmpl w:val="954C28A0"/>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nsid w:val="45CC754B"/>
    <w:multiLevelType w:val="hybridMultilevel"/>
    <w:tmpl w:val="079EB120"/>
    <w:lvl w:ilvl="0" w:tplc="0C090001">
      <w:start w:val="1"/>
      <w:numFmt w:val="bullet"/>
      <w:lvlText w:val=""/>
      <w:lvlJc w:val="left"/>
      <w:pPr>
        <w:ind w:left="720" w:hanging="360"/>
      </w:pPr>
      <w:rPr>
        <w:rFonts w:ascii="Symbol" w:hAnsi="Symbol" w:hint="default"/>
      </w:rPr>
    </w:lvl>
    <w:lvl w:ilvl="1" w:tplc="578E577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564150"/>
    <w:multiLevelType w:val="hybridMultilevel"/>
    <w:tmpl w:val="C6900AF8"/>
    <w:lvl w:ilvl="0" w:tplc="9DDA5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C24F51"/>
    <w:multiLevelType w:val="hybridMultilevel"/>
    <w:tmpl w:val="262A807C"/>
    <w:lvl w:ilvl="0" w:tplc="EFB240A2">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4B7054EE"/>
    <w:multiLevelType w:val="hybridMultilevel"/>
    <w:tmpl w:val="D980A9E0"/>
    <w:lvl w:ilvl="0" w:tplc="0C090001">
      <w:start w:val="1"/>
      <w:numFmt w:val="bullet"/>
      <w:lvlText w:val=""/>
      <w:lvlJc w:val="left"/>
      <w:pPr>
        <w:ind w:left="360" w:hanging="360"/>
      </w:pPr>
      <w:rPr>
        <w:rFonts w:ascii="Symbol" w:hAnsi="Symbol" w:hint="default"/>
      </w:rPr>
    </w:lvl>
    <w:lvl w:ilvl="1" w:tplc="578E5778">
      <w:start w:val="1"/>
      <w:numFmt w:val="bullet"/>
      <w:lvlText w:val="–"/>
      <w:lvlJc w:val="left"/>
      <w:pPr>
        <w:ind w:left="1080" w:hanging="360"/>
      </w:pPr>
      <w:rPr>
        <w:rFonts w:ascii="Calibri" w:hAnsi="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BFB18B6"/>
    <w:multiLevelType w:val="hybridMultilevel"/>
    <w:tmpl w:val="6ECE2E7C"/>
    <w:lvl w:ilvl="0" w:tplc="AEB6F9B0">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E6D6539"/>
    <w:multiLevelType w:val="hybridMultilevel"/>
    <w:tmpl w:val="0F6ADBCA"/>
    <w:lvl w:ilvl="0" w:tplc="D056F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ED91490"/>
    <w:multiLevelType w:val="hybridMultilevel"/>
    <w:tmpl w:val="097ADF56"/>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4F1523DD"/>
    <w:multiLevelType w:val="hybridMultilevel"/>
    <w:tmpl w:val="1414B70E"/>
    <w:lvl w:ilvl="0" w:tplc="1F94FB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397C02"/>
    <w:multiLevelType w:val="hybridMultilevel"/>
    <w:tmpl w:val="48BA5450"/>
    <w:lvl w:ilvl="0" w:tplc="578E5778">
      <w:start w:val="1"/>
      <w:numFmt w:val="bullet"/>
      <w:lvlText w:val="–"/>
      <w:lvlJc w:val="left"/>
      <w:pPr>
        <w:ind w:left="1080" w:hanging="360"/>
      </w:pPr>
      <w:rPr>
        <w:rFonts w:ascii="Calibri"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FCE6513"/>
    <w:multiLevelType w:val="hybridMultilevel"/>
    <w:tmpl w:val="9A9E0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1E57F69"/>
    <w:multiLevelType w:val="hybridMultilevel"/>
    <w:tmpl w:val="8B4420C4"/>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9A0997"/>
    <w:multiLevelType w:val="hybridMultilevel"/>
    <w:tmpl w:val="4C98DB40"/>
    <w:lvl w:ilvl="0" w:tplc="D2D84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BF626B"/>
    <w:multiLevelType w:val="hybridMultilevel"/>
    <w:tmpl w:val="FDD0A484"/>
    <w:lvl w:ilvl="0" w:tplc="01E27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6766B5"/>
    <w:multiLevelType w:val="hybridMultilevel"/>
    <w:tmpl w:val="02C6CCEC"/>
    <w:lvl w:ilvl="0" w:tplc="ECECB1FA">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nsid w:val="56D87015"/>
    <w:multiLevelType w:val="hybridMultilevel"/>
    <w:tmpl w:val="46B85734"/>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nsid w:val="5A467DDE"/>
    <w:multiLevelType w:val="hybridMultilevel"/>
    <w:tmpl w:val="65E680EE"/>
    <w:lvl w:ilvl="0" w:tplc="ECECB1FA">
      <w:start w:val="1"/>
      <w:numFmt w:val="bullet"/>
      <w:lvlText w:val=""/>
      <w:lvlJc w:val="left"/>
      <w:pPr>
        <w:tabs>
          <w:tab w:val="num" w:pos="360"/>
        </w:tabs>
        <w:ind w:left="360" w:hanging="360"/>
      </w:pPr>
      <w:rPr>
        <w:rFonts w:ascii="Symbol" w:hAnsi="Symbol" w:hint="default"/>
      </w:rPr>
    </w:lvl>
    <w:lvl w:ilvl="1" w:tplc="0C090019">
      <w:start w:val="8250"/>
      <w:numFmt w:val="bullet"/>
      <w:lvlText w:val="-"/>
      <w:lvlJc w:val="left"/>
      <w:pPr>
        <w:tabs>
          <w:tab w:val="num" w:pos="1080"/>
        </w:tabs>
        <w:ind w:left="1080" w:hanging="360"/>
      </w:pPr>
      <w:rPr>
        <w:rFonts w:ascii="Arial" w:eastAsia="Times New Roman" w:hAnsi="Arial"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48">
    <w:nsid w:val="638B1F33"/>
    <w:multiLevelType w:val="hybridMultilevel"/>
    <w:tmpl w:val="F91EBB54"/>
    <w:lvl w:ilvl="0" w:tplc="A1C813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59E325D"/>
    <w:multiLevelType w:val="hybridMultilevel"/>
    <w:tmpl w:val="CFD0DCA4"/>
    <w:lvl w:ilvl="0" w:tplc="8F7C1108">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50">
    <w:nsid w:val="661B73FA"/>
    <w:multiLevelType w:val="hybridMultilevel"/>
    <w:tmpl w:val="F4F883B2"/>
    <w:lvl w:ilvl="0" w:tplc="B94C22A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74A4487"/>
    <w:multiLevelType w:val="hybridMultilevel"/>
    <w:tmpl w:val="5E02F696"/>
    <w:lvl w:ilvl="0" w:tplc="AC70D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nsid w:val="6B6957C0"/>
    <w:multiLevelType w:val="hybridMultilevel"/>
    <w:tmpl w:val="359E449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nsid w:val="6BBD6F4D"/>
    <w:multiLevelType w:val="hybridMultilevel"/>
    <w:tmpl w:val="121622A2"/>
    <w:lvl w:ilvl="0" w:tplc="C6A89C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CA23F04"/>
    <w:multiLevelType w:val="hybridMultilevel"/>
    <w:tmpl w:val="554233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nsid w:val="700422E7"/>
    <w:multiLevelType w:val="hybridMultilevel"/>
    <w:tmpl w:val="426CA626"/>
    <w:lvl w:ilvl="0" w:tplc="F926E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A77720"/>
    <w:multiLevelType w:val="hybridMultilevel"/>
    <w:tmpl w:val="B7604D42"/>
    <w:lvl w:ilvl="0" w:tplc="F2B6B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4E01C1"/>
    <w:multiLevelType w:val="hybridMultilevel"/>
    <w:tmpl w:val="0C2A1A7A"/>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3A85323"/>
    <w:multiLevelType w:val="hybridMultilevel"/>
    <w:tmpl w:val="3626DD48"/>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5707A6"/>
    <w:multiLevelType w:val="hybridMultilevel"/>
    <w:tmpl w:val="32787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56E4F5B"/>
    <w:multiLevelType w:val="hybridMultilevel"/>
    <w:tmpl w:val="529C952E"/>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53321C"/>
    <w:multiLevelType w:val="hybridMultilevel"/>
    <w:tmpl w:val="1EFC2F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8343153"/>
    <w:multiLevelType w:val="hybridMultilevel"/>
    <w:tmpl w:val="0FA80DFC"/>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12557"/>
    <w:multiLevelType w:val="hybridMultilevel"/>
    <w:tmpl w:val="6D2C8C94"/>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nsid w:val="7E042717"/>
    <w:multiLevelType w:val="hybridMultilevel"/>
    <w:tmpl w:val="AEC06842"/>
    <w:lvl w:ilvl="0" w:tplc="5A84F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E1B1954"/>
    <w:multiLevelType w:val="hybridMultilevel"/>
    <w:tmpl w:val="E362C9AE"/>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F61056A"/>
    <w:multiLevelType w:val="hybridMultilevel"/>
    <w:tmpl w:val="AF783F22"/>
    <w:lvl w:ilvl="0" w:tplc="4C6644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8"/>
  </w:num>
  <w:num w:numId="3">
    <w:abstractNumId w:val="52"/>
  </w:num>
  <w:num w:numId="4">
    <w:abstractNumId w:val="26"/>
    <w:lvlOverride w:ilvl="0">
      <w:startOverride w:val="1"/>
    </w:lvlOverride>
  </w:num>
  <w:num w:numId="5">
    <w:abstractNumId w:val="61"/>
  </w:num>
  <w:num w:numId="6">
    <w:abstractNumId w:val="19"/>
  </w:num>
  <w:num w:numId="7">
    <w:abstractNumId w:val="46"/>
  </w:num>
  <w:num w:numId="8">
    <w:abstractNumId w:val="6"/>
  </w:num>
  <w:num w:numId="9">
    <w:abstractNumId w:val="53"/>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50"/>
  </w:num>
  <w:num w:numId="16">
    <w:abstractNumId w:val="17"/>
  </w:num>
  <w:num w:numId="17">
    <w:abstractNumId w:val="45"/>
  </w:num>
  <w:num w:numId="18">
    <w:abstractNumId w:val="21"/>
  </w:num>
  <w:num w:numId="19">
    <w:abstractNumId w:val="64"/>
  </w:num>
  <w:num w:numId="20">
    <w:abstractNumId w:val="4"/>
  </w:num>
  <w:num w:numId="21">
    <w:abstractNumId w:val="12"/>
  </w:num>
  <w:num w:numId="22">
    <w:abstractNumId w:val="32"/>
  </w:num>
  <w:num w:numId="23">
    <w:abstractNumId w:val="33"/>
  </w:num>
  <w:num w:numId="24">
    <w:abstractNumId w:val="3"/>
  </w:num>
  <w:num w:numId="25">
    <w:abstractNumId w:val="49"/>
  </w:num>
  <w:num w:numId="26">
    <w:abstractNumId w:val="10"/>
  </w:num>
  <w:num w:numId="27">
    <w:abstractNumId w:val="11"/>
  </w:num>
  <w:num w:numId="28">
    <w:abstractNumId w:val="48"/>
  </w:num>
  <w:num w:numId="29">
    <w:abstractNumId w:val="68"/>
  </w:num>
  <w:num w:numId="30">
    <w:abstractNumId w:val="67"/>
  </w:num>
  <w:num w:numId="31">
    <w:abstractNumId w:val="15"/>
  </w:num>
  <w:num w:numId="32">
    <w:abstractNumId w:val="28"/>
  </w:num>
  <w:num w:numId="33">
    <w:abstractNumId w:val="36"/>
  </w:num>
  <w:num w:numId="34">
    <w:abstractNumId w:val="59"/>
  </w:num>
  <w:num w:numId="35">
    <w:abstractNumId w:val="56"/>
  </w:num>
  <w:num w:numId="36">
    <w:abstractNumId w:val="7"/>
  </w:num>
  <w:num w:numId="37">
    <w:abstractNumId w:val="41"/>
  </w:num>
  <w:num w:numId="38">
    <w:abstractNumId w:val="25"/>
  </w:num>
  <w:num w:numId="39">
    <w:abstractNumId w:val="5"/>
  </w:num>
  <w:num w:numId="40">
    <w:abstractNumId w:val="44"/>
  </w:num>
  <w:num w:numId="41">
    <w:abstractNumId w:val="2"/>
  </w:num>
  <w:num w:numId="42">
    <w:abstractNumId w:val="37"/>
  </w:num>
  <w:num w:numId="43">
    <w:abstractNumId w:val="23"/>
  </w:num>
  <w:num w:numId="44">
    <w:abstractNumId w:val="27"/>
  </w:num>
  <w:num w:numId="45">
    <w:abstractNumId w:val="20"/>
  </w:num>
  <w:num w:numId="46">
    <w:abstractNumId w:val="65"/>
  </w:num>
  <w:num w:numId="47">
    <w:abstractNumId w:val="54"/>
  </w:num>
  <w:num w:numId="48">
    <w:abstractNumId w:val="47"/>
  </w:num>
  <w:num w:numId="49">
    <w:abstractNumId w:val="60"/>
  </w:num>
  <w:num w:numId="50">
    <w:abstractNumId w:val="40"/>
  </w:num>
  <w:num w:numId="51">
    <w:abstractNumId w:val="42"/>
  </w:num>
  <w:num w:numId="52">
    <w:abstractNumId w:val="38"/>
  </w:num>
  <w:num w:numId="53">
    <w:abstractNumId w:val="22"/>
  </w:num>
  <w:num w:numId="54">
    <w:abstractNumId w:val="51"/>
  </w:num>
  <w:num w:numId="55">
    <w:abstractNumId w:val="0"/>
  </w:num>
  <w:num w:numId="56">
    <w:abstractNumId w:val="18"/>
  </w:num>
  <w:num w:numId="57">
    <w:abstractNumId w:val="57"/>
  </w:num>
  <w:num w:numId="58">
    <w:abstractNumId w:val="43"/>
  </w:num>
  <w:num w:numId="59">
    <w:abstractNumId w:val="63"/>
  </w:num>
  <w:num w:numId="60">
    <w:abstractNumId w:val="66"/>
  </w:num>
  <w:num w:numId="61">
    <w:abstractNumId w:val="62"/>
  </w:num>
  <w:num w:numId="62">
    <w:abstractNumId w:val="29"/>
  </w:num>
  <w:num w:numId="63">
    <w:abstractNumId w:val="13"/>
  </w:num>
  <w:num w:numId="64">
    <w:abstractNumId w:val="31"/>
  </w:num>
  <w:num w:numId="65">
    <w:abstractNumId w:val="1"/>
  </w:num>
  <w:num w:numId="66">
    <w:abstractNumId w:val="58"/>
  </w:num>
  <w:num w:numId="67">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attachedTemplate r:id="rId1"/>
  <w:stylePaneFormatFilter w:val="3001"/>
  <w:defaultTabStop w:val="567"/>
  <w:evenAndOddHeaders/>
  <w:drawingGridHorizontalSpacing w:val="10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rsids>
    <w:rsidRoot w:val="0010657F"/>
    <w:rsid w:val="000000C3"/>
    <w:rsid w:val="00003AC4"/>
    <w:rsid w:val="00006AE4"/>
    <w:rsid w:val="0000711B"/>
    <w:rsid w:val="00007ECB"/>
    <w:rsid w:val="00012BB0"/>
    <w:rsid w:val="00013D25"/>
    <w:rsid w:val="0001438C"/>
    <w:rsid w:val="00016D95"/>
    <w:rsid w:val="00017619"/>
    <w:rsid w:val="000212E6"/>
    <w:rsid w:val="0002139C"/>
    <w:rsid w:val="000216A7"/>
    <w:rsid w:val="00021DA6"/>
    <w:rsid w:val="000220B0"/>
    <w:rsid w:val="000260CB"/>
    <w:rsid w:val="000300D7"/>
    <w:rsid w:val="00030FDA"/>
    <w:rsid w:val="00031C46"/>
    <w:rsid w:val="0003235D"/>
    <w:rsid w:val="00032AAF"/>
    <w:rsid w:val="00036095"/>
    <w:rsid w:val="000364F3"/>
    <w:rsid w:val="000369AC"/>
    <w:rsid w:val="0003724F"/>
    <w:rsid w:val="000373CB"/>
    <w:rsid w:val="000400ED"/>
    <w:rsid w:val="000413D4"/>
    <w:rsid w:val="00042FDD"/>
    <w:rsid w:val="00043832"/>
    <w:rsid w:val="00044568"/>
    <w:rsid w:val="00045667"/>
    <w:rsid w:val="00050182"/>
    <w:rsid w:val="00050630"/>
    <w:rsid w:val="00052423"/>
    <w:rsid w:val="00054A04"/>
    <w:rsid w:val="00054CC3"/>
    <w:rsid w:val="0005600E"/>
    <w:rsid w:val="00056260"/>
    <w:rsid w:val="0005722F"/>
    <w:rsid w:val="00060890"/>
    <w:rsid w:val="00063C44"/>
    <w:rsid w:val="00063CE1"/>
    <w:rsid w:val="00065053"/>
    <w:rsid w:val="000655E4"/>
    <w:rsid w:val="000656AD"/>
    <w:rsid w:val="00065C71"/>
    <w:rsid w:val="00065EBA"/>
    <w:rsid w:val="00067B6F"/>
    <w:rsid w:val="00067E1D"/>
    <w:rsid w:val="0007064C"/>
    <w:rsid w:val="000712EE"/>
    <w:rsid w:val="000725C0"/>
    <w:rsid w:val="00072EB6"/>
    <w:rsid w:val="00074CE6"/>
    <w:rsid w:val="0007657B"/>
    <w:rsid w:val="00077277"/>
    <w:rsid w:val="0007743A"/>
    <w:rsid w:val="00077BAC"/>
    <w:rsid w:val="00080069"/>
    <w:rsid w:val="00080D8B"/>
    <w:rsid w:val="00080F4F"/>
    <w:rsid w:val="00081A28"/>
    <w:rsid w:val="00082159"/>
    <w:rsid w:val="0008449F"/>
    <w:rsid w:val="00085732"/>
    <w:rsid w:val="00085A71"/>
    <w:rsid w:val="0009050F"/>
    <w:rsid w:val="000924A7"/>
    <w:rsid w:val="00094B28"/>
    <w:rsid w:val="00096DEE"/>
    <w:rsid w:val="00097063"/>
    <w:rsid w:val="000A08A5"/>
    <w:rsid w:val="000A10F5"/>
    <w:rsid w:val="000A1558"/>
    <w:rsid w:val="000A19AA"/>
    <w:rsid w:val="000A1A89"/>
    <w:rsid w:val="000A1C91"/>
    <w:rsid w:val="000A24C4"/>
    <w:rsid w:val="000A345B"/>
    <w:rsid w:val="000A372A"/>
    <w:rsid w:val="000A395D"/>
    <w:rsid w:val="000A56A5"/>
    <w:rsid w:val="000A5C86"/>
    <w:rsid w:val="000A6897"/>
    <w:rsid w:val="000A6DBE"/>
    <w:rsid w:val="000B0302"/>
    <w:rsid w:val="000B1FC4"/>
    <w:rsid w:val="000B2404"/>
    <w:rsid w:val="000B2C78"/>
    <w:rsid w:val="000B36D8"/>
    <w:rsid w:val="000B3B7D"/>
    <w:rsid w:val="000B6F18"/>
    <w:rsid w:val="000C19EF"/>
    <w:rsid w:val="000C1AC9"/>
    <w:rsid w:val="000C2D7D"/>
    <w:rsid w:val="000C3B86"/>
    <w:rsid w:val="000C6FB8"/>
    <w:rsid w:val="000C7C76"/>
    <w:rsid w:val="000D084B"/>
    <w:rsid w:val="000D13E5"/>
    <w:rsid w:val="000D1617"/>
    <w:rsid w:val="000D2B76"/>
    <w:rsid w:val="000D2E3D"/>
    <w:rsid w:val="000D43DE"/>
    <w:rsid w:val="000D58A1"/>
    <w:rsid w:val="000D644C"/>
    <w:rsid w:val="000D6EDF"/>
    <w:rsid w:val="000E0A85"/>
    <w:rsid w:val="000E212B"/>
    <w:rsid w:val="000E68E3"/>
    <w:rsid w:val="000E6DDB"/>
    <w:rsid w:val="000E74A6"/>
    <w:rsid w:val="000E7A66"/>
    <w:rsid w:val="000F03B1"/>
    <w:rsid w:val="000F08AE"/>
    <w:rsid w:val="000F2D33"/>
    <w:rsid w:val="000F43F4"/>
    <w:rsid w:val="000F440E"/>
    <w:rsid w:val="000F5468"/>
    <w:rsid w:val="000F6647"/>
    <w:rsid w:val="000F73B7"/>
    <w:rsid w:val="000F7E7B"/>
    <w:rsid w:val="001002F8"/>
    <w:rsid w:val="00102650"/>
    <w:rsid w:val="00102654"/>
    <w:rsid w:val="001028CC"/>
    <w:rsid w:val="001045F9"/>
    <w:rsid w:val="0010472B"/>
    <w:rsid w:val="00105770"/>
    <w:rsid w:val="0010657F"/>
    <w:rsid w:val="00112D0F"/>
    <w:rsid w:val="00112D24"/>
    <w:rsid w:val="001133E0"/>
    <w:rsid w:val="00115DE5"/>
    <w:rsid w:val="001163D6"/>
    <w:rsid w:val="0011726A"/>
    <w:rsid w:val="0012022D"/>
    <w:rsid w:val="00120B5E"/>
    <w:rsid w:val="00121EB0"/>
    <w:rsid w:val="0012228D"/>
    <w:rsid w:val="00123514"/>
    <w:rsid w:val="00123925"/>
    <w:rsid w:val="00126187"/>
    <w:rsid w:val="00126641"/>
    <w:rsid w:val="001270E3"/>
    <w:rsid w:val="00130BB7"/>
    <w:rsid w:val="00133D3A"/>
    <w:rsid w:val="001352EE"/>
    <w:rsid w:val="00135505"/>
    <w:rsid w:val="00136827"/>
    <w:rsid w:val="001375D4"/>
    <w:rsid w:val="0014131A"/>
    <w:rsid w:val="001433DB"/>
    <w:rsid w:val="00143E88"/>
    <w:rsid w:val="001455D8"/>
    <w:rsid w:val="00147347"/>
    <w:rsid w:val="0014790A"/>
    <w:rsid w:val="00151A81"/>
    <w:rsid w:val="00151ABB"/>
    <w:rsid w:val="00151ADA"/>
    <w:rsid w:val="0015261C"/>
    <w:rsid w:val="00153C7F"/>
    <w:rsid w:val="00154447"/>
    <w:rsid w:val="00154F5B"/>
    <w:rsid w:val="00155DA6"/>
    <w:rsid w:val="00160CDF"/>
    <w:rsid w:val="00161DAC"/>
    <w:rsid w:val="00162B55"/>
    <w:rsid w:val="00162D8B"/>
    <w:rsid w:val="0016371C"/>
    <w:rsid w:val="001638E9"/>
    <w:rsid w:val="001648FA"/>
    <w:rsid w:val="00165824"/>
    <w:rsid w:val="00167749"/>
    <w:rsid w:val="001677A5"/>
    <w:rsid w:val="00171A85"/>
    <w:rsid w:val="00174565"/>
    <w:rsid w:val="00175BB3"/>
    <w:rsid w:val="00177A9A"/>
    <w:rsid w:val="001808A4"/>
    <w:rsid w:val="00180CBF"/>
    <w:rsid w:val="001815A5"/>
    <w:rsid w:val="00186850"/>
    <w:rsid w:val="0018704C"/>
    <w:rsid w:val="001904A5"/>
    <w:rsid w:val="0019199B"/>
    <w:rsid w:val="001923C8"/>
    <w:rsid w:val="001939FF"/>
    <w:rsid w:val="00194DE8"/>
    <w:rsid w:val="00197990"/>
    <w:rsid w:val="001A004D"/>
    <w:rsid w:val="001A0106"/>
    <w:rsid w:val="001A02CB"/>
    <w:rsid w:val="001A11DB"/>
    <w:rsid w:val="001A2458"/>
    <w:rsid w:val="001A33F4"/>
    <w:rsid w:val="001A4F7C"/>
    <w:rsid w:val="001A6256"/>
    <w:rsid w:val="001A789B"/>
    <w:rsid w:val="001B03CC"/>
    <w:rsid w:val="001B05E5"/>
    <w:rsid w:val="001B0C75"/>
    <w:rsid w:val="001B44C2"/>
    <w:rsid w:val="001B659F"/>
    <w:rsid w:val="001B712D"/>
    <w:rsid w:val="001B7399"/>
    <w:rsid w:val="001B7655"/>
    <w:rsid w:val="001B7F09"/>
    <w:rsid w:val="001C1166"/>
    <w:rsid w:val="001C261E"/>
    <w:rsid w:val="001C3AC7"/>
    <w:rsid w:val="001C67C2"/>
    <w:rsid w:val="001C7B78"/>
    <w:rsid w:val="001D0BA6"/>
    <w:rsid w:val="001D1942"/>
    <w:rsid w:val="001D1DDB"/>
    <w:rsid w:val="001D53EA"/>
    <w:rsid w:val="001D5C5B"/>
    <w:rsid w:val="001D6BD6"/>
    <w:rsid w:val="001D6F7C"/>
    <w:rsid w:val="001E12A5"/>
    <w:rsid w:val="001E1EDB"/>
    <w:rsid w:val="001E31A4"/>
    <w:rsid w:val="001E3A18"/>
    <w:rsid w:val="001E717D"/>
    <w:rsid w:val="001E71F5"/>
    <w:rsid w:val="001E7D86"/>
    <w:rsid w:val="001F25B8"/>
    <w:rsid w:val="001F377B"/>
    <w:rsid w:val="001F3CF9"/>
    <w:rsid w:val="001F55E5"/>
    <w:rsid w:val="001F5CB9"/>
    <w:rsid w:val="00200DC3"/>
    <w:rsid w:val="002039FE"/>
    <w:rsid w:val="002050B0"/>
    <w:rsid w:val="0020514C"/>
    <w:rsid w:val="00205D80"/>
    <w:rsid w:val="0021093F"/>
    <w:rsid w:val="00211FFE"/>
    <w:rsid w:val="002133CA"/>
    <w:rsid w:val="00213CAF"/>
    <w:rsid w:val="00213E2E"/>
    <w:rsid w:val="00215783"/>
    <w:rsid w:val="00215932"/>
    <w:rsid w:val="0021644B"/>
    <w:rsid w:val="00216DC9"/>
    <w:rsid w:val="00217BAC"/>
    <w:rsid w:val="00217CA0"/>
    <w:rsid w:val="002202EB"/>
    <w:rsid w:val="00220FCF"/>
    <w:rsid w:val="002213AD"/>
    <w:rsid w:val="00221705"/>
    <w:rsid w:val="002329C3"/>
    <w:rsid w:val="002332AE"/>
    <w:rsid w:val="002333C2"/>
    <w:rsid w:val="00233676"/>
    <w:rsid w:val="00234040"/>
    <w:rsid w:val="00241245"/>
    <w:rsid w:val="00244D22"/>
    <w:rsid w:val="00246C09"/>
    <w:rsid w:val="00247262"/>
    <w:rsid w:val="002535FB"/>
    <w:rsid w:val="00255DCB"/>
    <w:rsid w:val="0025616B"/>
    <w:rsid w:val="00257FF4"/>
    <w:rsid w:val="002608CE"/>
    <w:rsid w:val="00260E55"/>
    <w:rsid w:val="0026279C"/>
    <w:rsid w:val="00262CD3"/>
    <w:rsid w:val="00265289"/>
    <w:rsid w:val="00266613"/>
    <w:rsid w:val="00266FE9"/>
    <w:rsid w:val="00272396"/>
    <w:rsid w:val="00274835"/>
    <w:rsid w:val="0027614D"/>
    <w:rsid w:val="00276DA6"/>
    <w:rsid w:val="00281CF6"/>
    <w:rsid w:val="00282943"/>
    <w:rsid w:val="0028359B"/>
    <w:rsid w:val="00285622"/>
    <w:rsid w:val="002857FE"/>
    <w:rsid w:val="00292D6A"/>
    <w:rsid w:val="0029312A"/>
    <w:rsid w:val="0029325C"/>
    <w:rsid w:val="00293B2D"/>
    <w:rsid w:val="002960B7"/>
    <w:rsid w:val="00297824"/>
    <w:rsid w:val="002A153F"/>
    <w:rsid w:val="002A40DC"/>
    <w:rsid w:val="002A5329"/>
    <w:rsid w:val="002A59CE"/>
    <w:rsid w:val="002A5C2D"/>
    <w:rsid w:val="002A61E5"/>
    <w:rsid w:val="002A7ECF"/>
    <w:rsid w:val="002A7FC8"/>
    <w:rsid w:val="002B0A81"/>
    <w:rsid w:val="002B1CE7"/>
    <w:rsid w:val="002B2687"/>
    <w:rsid w:val="002B2F0F"/>
    <w:rsid w:val="002B595D"/>
    <w:rsid w:val="002B5B7B"/>
    <w:rsid w:val="002B5F6A"/>
    <w:rsid w:val="002B6962"/>
    <w:rsid w:val="002B779E"/>
    <w:rsid w:val="002B7D6F"/>
    <w:rsid w:val="002B7D78"/>
    <w:rsid w:val="002C0552"/>
    <w:rsid w:val="002C1787"/>
    <w:rsid w:val="002C22ED"/>
    <w:rsid w:val="002C25D0"/>
    <w:rsid w:val="002C280B"/>
    <w:rsid w:val="002C2DB0"/>
    <w:rsid w:val="002C5D97"/>
    <w:rsid w:val="002C7455"/>
    <w:rsid w:val="002C75B0"/>
    <w:rsid w:val="002C7703"/>
    <w:rsid w:val="002C7A63"/>
    <w:rsid w:val="002C7E06"/>
    <w:rsid w:val="002D0153"/>
    <w:rsid w:val="002D26C3"/>
    <w:rsid w:val="002D2D6B"/>
    <w:rsid w:val="002D403A"/>
    <w:rsid w:val="002D4262"/>
    <w:rsid w:val="002E005F"/>
    <w:rsid w:val="002E043C"/>
    <w:rsid w:val="002E1064"/>
    <w:rsid w:val="002E323F"/>
    <w:rsid w:val="002E63D2"/>
    <w:rsid w:val="002E661C"/>
    <w:rsid w:val="002E7E5B"/>
    <w:rsid w:val="002E7F19"/>
    <w:rsid w:val="002F1B12"/>
    <w:rsid w:val="002F1F60"/>
    <w:rsid w:val="002F591B"/>
    <w:rsid w:val="002F5C83"/>
    <w:rsid w:val="002F6F14"/>
    <w:rsid w:val="00300013"/>
    <w:rsid w:val="003006F8"/>
    <w:rsid w:val="00300BF2"/>
    <w:rsid w:val="003027C1"/>
    <w:rsid w:val="00305718"/>
    <w:rsid w:val="00305EC5"/>
    <w:rsid w:val="003077B8"/>
    <w:rsid w:val="003111F8"/>
    <w:rsid w:val="0031204A"/>
    <w:rsid w:val="0031272B"/>
    <w:rsid w:val="00314C5F"/>
    <w:rsid w:val="00315435"/>
    <w:rsid w:val="00317218"/>
    <w:rsid w:val="0032038C"/>
    <w:rsid w:val="00321575"/>
    <w:rsid w:val="0032228A"/>
    <w:rsid w:val="00322BC3"/>
    <w:rsid w:val="00325C5E"/>
    <w:rsid w:val="00325FAE"/>
    <w:rsid w:val="0032738E"/>
    <w:rsid w:val="00331C5F"/>
    <w:rsid w:val="00332007"/>
    <w:rsid w:val="00333074"/>
    <w:rsid w:val="00333223"/>
    <w:rsid w:val="00337F82"/>
    <w:rsid w:val="00340640"/>
    <w:rsid w:val="003435D6"/>
    <w:rsid w:val="003458E0"/>
    <w:rsid w:val="00345CCD"/>
    <w:rsid w:val="003511CE"/>
    <w:rsid w:val="00351283"/>
    <w:rsid w:val="00351909"/>
    <w:rsid w:val="00352BE0"/>
    <w:rsid w:val="0035333E"/>
    <w:rsid w:val="003538F0"/>
    <w:rsid w:val="00353A8E"/>
    <w:rsid w:val="003553DE"/>
    <w:rsid w:val="00356E4B"/>
    <w:rsid w:val="00357DAE"/>
    <w:rsid w:val="00361259"/>
    <w:rsid w:val="00361429"/>
    <w:rsid w:val="003705BF"/>
    <w:rsid w:val="00370935"/>
    <w:rsid w:val="00375E52"/>
    <w:rsid w:val="00375F30"/>
    <w:rsid w:val="00382234"/>
    <w:rsid w:val="00386352"/>
    <w:rsid w:val="0038672F"/>
    <w:rsid w:val="00386BC9"/>
    <w:rsid w:val="00386F24"/>
    <w:rsid w:val="0039053D"/>
    <w:rsid w:val="00391152"/>
    <w:rsid w:val="00392767"/>
    <w:rsid w:val="003932E3"/>
    <w:rsid w:val="0039449C"/>
    <w:rsid w:val="003A0290"/>
    <w:rsid w:val="003A165B"/>
    <w:rsid w:val="003A43F4"/>
    <w:rsid w:val="003A4EAC"/>
    <w:rsid w:val="003B0D03"/>
    <w:rsid w:val="003B1F0A"/>
    <w:rsid w:val="003B1FE6"/>
    <w:rsid w:val="003B2C1F"/>
    <w:rsid w:val="003B5533"/>
    <w:rsid w:val="003B57DC"/>
    <w:rsid w:val="003B5A85"/>
    <w:rsid w:val="003B6D75"/>
    <w:rsid w:val="003B71EE"/>
    <w:rsid w:val="003B7621"/>
    <w:rsid w:val="003C13A6"/>
    <w:rsid w:val="003C1EB4"/>
    <w:rsid w:val="003C279A"/>
    <w:rsid w:val="003C2C1E"/>
    <w:rsid w:val="003C54F5"/>
    <w:rsid w:val="003D032D"/>
    <w:rsid w:val="003D0CBF"/>
    <w:rsid w:val="003D0E0D"/>
    <w:rsid w:val="003D1E47"/>
    <w:rsid w:val="003D22AE"/>
    <w:rsid w:val="003D2716"/>
    <w:rsid w:val="003D3C14"/>
    <w:rsid w:val="003D3DE6"/>
    <w:rsid w:val="003D4557"/>
    <w:rsid w:val="003D543D"/>
    <w:rsid w:val="003D59FD"/>
    <w:rsid w:val="003E08CF"/>
    <w:rsid w:val="003E0A7E"/>
    <w:rsid w:val="003E10B8"/>
    <w:rsid w:val="003E110F"/>
    <w:rsid w:val="003E122D"/>
    <w:rsid w:val="003E13F5"/>
    <w:rsid w:val="003E36EE"/>
    <w:rsid w:val="003E4ACA"/>
    <w:rsid w:val="003E4E15"/>
    <w:rsid w:val="003E5AE8"/>
    <w:rsid w:val="003E5DDA"/>
    <w:rsid w:val="003F07EE"/>
    <w:rsid w:val="003F09A6"/>
    <w:rsid w:val="003F29F2"/>
    <w:rsid w:val="003F3BFC"/>
    <w:rsid w:val="003F47DF"/>
    <w:rsid w:val="003F4F9F"/>
    <w:rsid w:val="00400B2A"/>
    <w:rsid w:val="0040272D"/>
    <w:rsid w:val="00405E90"/>
    <w:rsid w:val="004065CE"/>
    <w:rsid w:val="004105DD"/>
    <w:rsid w:val="00410DCE"/>
    <w:rsid w:val="0041429D"/>
    <w:rsid w:val="00414E1F"/>
    <w:rsid w:val="00415543"/>
    <w:rsid w:val="0041765C"/>
    <w:rsid w:val="00420837"/>
    <w:rsid w:val="00420AAC"/>
    <w:rsid w:val="00421EEC"/>
    <w:rsid w:val="00422933"/>
    <w:rsid w:val="00422F4B"/>
    <w:rsid w:val="004248B4"/>
    <w:rsid w:val="00424C66"/>
    <w:rsid w:val="00424DC1"/>
    <w:rsid w:val="0042526D"/>
    <w:rsid w:val="004254A2"/>
    <w:rsid w:val="00425D9F"/>
    <w:rsid w:val="00426D71"/>
    <w:rsid w:val="00430256"/>
    <w:rsid w:val="00431BF1"/>
    <w:rsid w:val="004342F8"/>
    <w:rsid w:val="0043440D"/>
    <w:rsid w:val="00434A2F"/>
    <w:rsid w:val="00436F7B"/>
    <w:rsid w:val="00437283"/>
    <w:rsid w:val="004372D6"/>
    <w:rsid w:val="0044083A"/>
    <w:rsid w:val="004408FA"/>
    <w:rsid w:val="004413CA"/>
    <w:rsid w:val="004414FB"/>
    <w:rsid w:val="0044245C"/>
    <w:rsid w:val="00444D99"/>
    <w:rsid w:val="00451501"/>
    <w:rsid w:val="004528D0"/>
    <w:rsid w:val="00454564"/>
    <w:rsid w:val="0045480C"/>
    <w:rsid w:val="004562E5"/>
    <w:rsid w:val="00457BC3"/>
    <w:rsid w:val="0046034D"/>
    <w:rsid w:val="00462272"/>
    <w:rsid w:val="004637B1"/>
    <w:rsid w:val="0046390C"/>
    <w:rsid w:val="00463944"/>
    <w:rsid w:val="00465D4E"/>
    <w:rsid w:val="004669C1"/>
    <w:rsid w:val="00467BDD"/>
    <w:rsid w:val="00467EB6"/>
    <w:rsid w:val="004717F6"/>
    <w:rsid w:val="0047481E"/>
    <w:rsid w:val="00474918"/>
    <w:rsid w:val="00475EAF"/>
    <w:rsid w:val="004815F8"/>
    <w:rsid w:val="00481E32"/>
    <w:rsid w:val="004831ED"/>
    <w:rsid w:val="00483228"/>
    <w:rsid w:val="004836A7"/>
    <w:rsid w:val="004847B4"/>
    <w:rsid w:val="00484921"/>
    <w:rsid w:val="00486614"/>
    <w:rsid w:val="00487E11"/>
    <w:rsid w:val="00487FB8"/>
    <w:rsid w:val="004919D4"/>
    <w:rsid w:val="00491D42"/>
    <w:rsid w:val="00491FB2"/>
    <w:rsid w:val="0049212C"/>
    <w:rsid w:val="00494152"/>
    <w:rsid w:val="0049416D"/>
    <w:rsid w:val="00495C39"/>
    <w:rsid w:val="004A0301"/>
    <w:rsid w:val="004A1224"/>
    <w:rsid w:val="004A247B"/>
    <w:rsid w:val="004A28C5"/>
    <w:rsid w:val="004A4284"/>
    <w:rsid w:val="004A4F0B"/>
    <w:rsid w:val="004A660C"/>
    <w:rsid w:val="004A6B44"/>
    <w:rsid w:val="004B0B19"/>
    <w:rsid w:val="004B0CF6"/>
    <w:rsid w:val="004B247D"/>
    <w:rsid w:val="004B37A7"/>
    <w:rsid w:val="004B4426"/>
    <w:rsid w:val="004B5F2A"/>
    <w:rsid w:val="004B66F1"/>
    <w:rsid w:val="004B74B2"/>
    <w:rsid w:val="004C07FE"/>
    <w:rsid w:val="004C1399"/>
    <w:rsid w:val="004C2A17"/>
    <w:rsid w:val="004C2C7A"/>
    <w:rsid w:val="004C4DBD"/>
    <w:rsid w:val="004C5507"/>
    <w:rsid w:val="004D134B"/>
    <w:rsid w:val="004D1E1A"/>
    <w:rsid w:val="004D23A9"/>
    <w:rsid w:val="004D29F5"/>
    <w:rsid w:val="004D2F90"/>
    <w:rsid w:val="004D657B"/>
    <w:rsid w:val="004D7804"/>
    <w:rsid w:val="004E1701"/>
    <w:rsid w:val="004E2825"/>
    <w:rsid w:val="004E3079"/>
    <w:rsid w:val="004E36EF"/>
    <w:rsid w:val="004E62E4"/>
    <w:rsid w:val="004E6716"/>
    <w:rsid w:val="004F0E90"/>
    <w:rsid w:val="004F0F5B"/>
    <w:rsid w:val="004F1756"/>
    <w:rsid w:val="004F19AC"/>
    <w:rsid w:val="004F22B8"/>
    <w:rsid w:val="004F2437"/>
    <w:rsid w:val="004F4624"/>
    <w:rsid w:val="004F5303"/>
    <w:rsid w:val="004F5573"/>
    <w:rsid w:val="004F634F"/>
    <w:rsid w:val="0050141B"/>
    <w:rsid w:val="005018E0"/>
    <w:rsid w:val="00502638"/>
    <w:rsid w:val="005029BC"/>
    <w:rsid w:val="005041F8"/>
    <w:rsid w:val="005048E3"/>
    <w:rsid w:val="00505A77"/>
    <w:rsid w:val="00505CB3"/>
    <w:rsid w:val="00506EB0"/>
    <w:rsid w:val="0050798C"/>
    <w:rsid w:val="00511EBF"/>
    <w:rsid w:val="00512143"/>
    <w:rsid w:val="00512B95"/>
    <w:rsid w:val="005136CD"/>
    <w:rsid w:val="00514F30"/>
    <w:rsid w:val="00521860"/>
    <w:rsid w:val="00521898"/>
    <w:rsid w:val="005222CC"/>
    <w:rsid w:val="00522379"/>
    <w:rsid w:val="00522622"/>
    <w:rsid w:val="00525AB1"/>
    <w:rsid w:val="00527492"/>
    <w:rsid w:val="005277F5"/>
    <w:rsid w:val="005310C1"/>
    <w:rsid w:val="00532994"/>
    <w:rsid w:val="005329BE"/>
    <w:rsid w:val="00533515"/>
    <w:rsid w:val="00534AC0"/>
    <w:rsid w:val="00535557"/>
    <w:rsid w:val="00536008"/>
    <w:rsid w:val="0053606A"/>
    <w:rsid w:val="005369C0"/>
    <w:rsid w:val="005401D5"/>
    <w:rsid w:val="00540D82"/>
    <w:rsid w:val="00541254"/>
    <w:rsid w:val="00541723"/>
    <w:rsid w:val="00542BA5"/>
    <w:rsid w:val="00547EB8"/>
    <w:rsid w:val="00552FC2"/>
    <w:rsid w:val="00553C63"/>
    <w:rsid w:val="00553DA2"/>
    <w:rsid w:val="00554D88"/>
    <w:rsid w:val="00555623"/>
    <w:rsid w:val="005562DC"/>
    <w:rsid w:val="00556725"/>
    <w:rsid w:val="00557A85"/>
    <w:rsid w:val="005606B5"/>
    <w:rsid w:val="00562BAD"/>
    <w:rsid w:val="00564D41"/>
    <w:rsid w:val="00565C86"/>
    <w:rsid w:val="00566181"/>
    <w:rsid w:val="005708BD"/>
    <w:rsid w:val="00574906"/>
    <w:rsid w:val="00574E9E"/>
    <w:rsid w:val="005752BC"/>
    <w:rsid w:val="0057622F"/>
    <w:rsid w:val="00576693"/>
    <w:rsid w:val="00577958"/>
    <w:rsid w:val="00577977"/>
    <w:rsid w:val="00581821"/>
    <w:rsid w:val="00581D30"/>
    <w:rsid w:val="005835E9"/>
    <w:rsid w:val="00584245"/>
    <w:rsid w:val="00584D80"/>
    <w:rsid w:val="00586535"/>
    <w:rsid w:val="00586BB5"/>
    <w:rsid w:val="00586DFB"/>
    <w:rsid w:val="005905BC"/>
    <w:rsid w:val="00590B75"/>
    <w:rsid w:val="00590DAA"/>
    <w:rsid w:val="00592349"/>
    <w:rsid w:val="00595E46"/>
    <w:rsid w:val="00596F3F"/>
    <w:rsid w:val="00597EEF"/>
    <w:rsid w:val="005A0A02"/>
    <w:rsid w:val="005A1C4E"/>
    <w:rsid w:val="005A3678"/>
    <w:rsid w:val="005A4A1A"/>
    <w:rsid w:val="005A61D3"/>
    <w:rsid w:val="005A7E70"/>
    <w:rsid w:val="005B1B3E"/>
    <w:rsid w:val="005B40E8"/>
    <w:rsid w:val="005B4B12"/>
    <w:rsid w:val="005B6DAA"/>
    <w:rsid w:val="005B70AB"/>
    <w:rsid w:val="005B7314"/>
    <w:rsid w:val="005B7D8B"/>
    <w:rsid w:val="005B7E9B"/>
    <w:rsid w:val="005C03F6"/>
    <w:rsid w:val="005C0475"/>
    <w:rsid w:val="005C04F7"/>
    <w:rsid w:val="005C1569"/>
    <w:rsid w:val="005C25DC"/>
    <w:rsid w:val="005C4604"/>
    <w:rsid w:val="005C4BEE"/>
    <w:rsid w:val="005C6E74"/>
    <w:rsid w:val="005C781C"/>
    <w:rsid w:val="005C7B76"/>
    <w:rsid w:val="005D079F"/>
    <w:rsid w:val="005D2646"/>
    <w:rsid w:val="005D7A35"/>
    <w:rsid w:val="005E034F"/>
    <w:rsid w:val="005E09A7"/>
    <w:rsid w:val="005E11DF"/>
    <w:rsid w:val="005E198B"/>
    <w:rsid w:val="005E19D9"/>
    <w:rsid w:val="005E1D35"/>
    <w:rsid w:val="005E1EF1"/>
    <w:rsid w:val="005E2A31"/>
    <w:rsid w:val="005E442F"/>
    <w:rsid w:val="005E483D"/>
    <w:rsid w:val="005E490E"/>
    <w:rsid w:val="005E61D8"/>
    <w:rsid w:val="005E7E2C"/>
    <w:rsid w:val="005F0FCC"/>
    <w:rsid w:val="005F18F5"/>
    <w:rsid w:val="005F29CD"/>
    <w:rsid w:val="005F3175"/>
    <w:rsid w:val="005F3436"/>
    <w:rsid w:val="005F4471"/>
    <w:rsid w:val="005F4730"/>
    <w:rsid w:val="005F57D8"/>
    <w:rsid w:val="005F5AD5"/>
    <w:rsid w:val="005F642B"/>
    <w:rsid w:val="005F67FC"/>
    <w:rsid w:val="005F7877"/>
    <w:rsid w:val="006026E1"/>
    <w:rsid w:val="00603A90"/>
    <w:rsid w:val="00605DEB"/>
    <w:rsid w:val="006065BF"/>
    <w:rsid w:val="006070EA"/>
    <w:rsid w:val="0060749D"/>
    <w:rsid w:val="00607ABE"/>
    <w:rsid w:val="00607F53"/>
    <w:rsid w:val="00610267"/>
    <w:rsid w:val="006103D0"/>
    <w:rsid w:val="00611EAE"/>
    <w:rsid w:val="0061364A"/>
    <w:rsid w:val="00613BEA"/>
    <w:rsid w:val="0061402C"/>
    <w:rsid w:val="0061595F"/>
    <w:rsid w:val="00616179"/>
    <w:rsid w:val="0061675B"/>
    <w:rsid w:val="0062052B"/>
    <w:rsid w:val="00621A86"/>
    <w:rsid w:val="00622990"/>
    <w:rsid w:val="00623401"/>
    <w:rsid w:val="00623629"/>
    <w:rsid w:val="00625C40"/>
    <w:rsid w:val="00627E7C"/>
    <w:rsid w:val="00631369"/>
    <w:rsid w:val="006315B3"/>
    <w:rsid w:val="00632481"/>
    <w:rsid w:val="0063262D"/>
    <w:rsid w:val="00633500"/>
    <w:rsid w:val="00637BBD"/>
    <w:rsid w:val="00640D17"/>
    <w:rsid w:val="00642768"/>
    <w:rsid w:val="00642C8C"/>
    <w:rsid w:val="00643BA4"/>
    <w:rsid w:val="00646ACE"/>
    <w:rsid w:val="006474C0"/>
    <w:rsid w:val="00647927"/>
    <w:rsid w:val="00652B9B"/>
    <w:rsid w:val="00652C4A"/>
    <w:rsid w:val="00653743"/>
    <w:rsid w:val="00653DD9"/>
    <w:rsid w:val="00654E6A"/>
    <w:rsid w:val="006562A1"/>
    <w:rsid w:val="006575F3"/>
    <w:rsid w:val="006602B5"/>
    <w:rsid w:val="00660871"/>
    <w:rsid w:val="00662AF4"/>
    <w:rsid w:val="006636AA"/>
    <w:rsid w:val="00664E08"/>
    <w:rsid w:val="00665B4C"/>
    <w:rsid w:val="0066774D"/>
    <w:rsid w:val="00667F42"/>
    <w:rsid w:val="0067020F"/>
    <w:rsid w:val="00670296"/>
    <w:rsid w:val="00671284"/>
    <w:rsid w:val="00671734"/>
    <w:rsid w:val="006727FC"/>
    <w:rsid w:val="00673906"/>
    <w:rsid w:val="00676E5B"/>
    <w:rsid w:val="00677D6B"/>
    <w:rsid w:val="00680795"/>
    <w:rsid w:val="00681733"/>
    <w:rsid w:val="00682713"/>
    <w:rsid w:val="0068277F"/>
    <w:rsid w:val="00683005"/>
    <w:rsid w:val="00683579"/>
    <w:rsid w:val="00684545"/>
    <w:rsid w:val="0068522C"/>
    <w:rsid w:val="006854CE"/>
    <w:rsid w:val="00686315"/>
    <w:rsid w:val="00686B72"/>
    <w:rsid w:val="0068790B"/>
    <w:rsid w:val="00691689"/>
    <w:rsid w:val="00692DAB"/>
    <w:rsid w:val="00694104"/>
    <w:rsid w:val="006941DD"/>
    <w:rsid w:val="0069466B"/>
    <w:rsid w:val="00697CAE"/>
    <w:rsid w:val="006A2615"/>
    <w:rsid w:val="006A5866"/>
    <w:rsid w:val="006A5CE2"/>
    <w:rsid w:val="006A5E77"/>
    <w:rsid w:val="006B0F54"/>
    <w:rsid w:val="006B415B"/>
    <w:rsid w:val="006B4C95"/>
    <w:rsid w:val="006B4CBA"/>
    <w:rsid w:val="006C0FA2"/>
    <w:rsid w:val="006C2E46"/>
    <w:rsid w:val="006C4E45"/>
    <w:rsid w:val="006C5090"/>
    <w:rsid w:val="006C5EE1"/>
    <w:rsid w:val="006C61B1"/>
    <w:rsid w:val="006C74D9"/>
    <w:rsid w:val="006C7DA9"/>
    <w:rsid w:val="006D0669"/>
    <w:rsid w:val="006D2660"/>
    <w:rsid w:val="006D3771"/>
    <w:rsid w:val="006D440A"/>
    <w:rsid w:val="006D5647"/>
    <w:rsid w:val="006D592F"/>
    <w:rsid w:val="006D62BE"/>
    <w:rsid w:val="006D774D"/>
    <w:rsid w:val="006D77F0"/>
    <w:rsid w:val="006D7B71"/>
    <w:rsid w:val="006E0006"/>
    <w:rsid w:val="006E04BB"/>
    <w:rsid w:val="006E0DF6"/>
    <w:rsid w:val="006E1BDE"/>
    <w:rsid w:val="006E336C"/>
    <w:rsid w:val="006E3B9E"/>
    <w:rsid w:val="006E4366"/>
    <w:rsid w:val="006E4A27"/>
    <w:rsid w:val="006E5384"/>
    <w:rsid w:val="006E5828"/>
    <w:rsid w:val="006E628D"/>
    <w:rsid w:val="006E66F8"/>
    <w:rsid w:val="006E6BB9"/>
    <w:rsid w:val="006E784F"/>
    <w:rsid w:val="006F0B4F"/>
    <w:rsid w:val="006F2DF3"/>
    <w:rsid w:val="006F2DF9"/>
    <w:rsid w:val="006F3C6F"/>
    <w:rsid w:val="006F41C6"/>
    <w:rsid w:val="006F5ADE"/>
    <w:rsid w:val="006F5DD9"/>
    <w:rsid w:val="006F6FA2"/>
    <w:rsid w:val="007001D0"/>
    <w:rsid w:val="00700CE3"/>
    <w:rsid w:val="00701397"/>
    <w:rsid w:val="00701498"/>
    <w:rsid w:val="00701E70"/>
    <w:rsid w:val="00702A49"/>
    <w:rsid w:val="00704F47"/>
    <w:rsid w:val="00706479"/>
    <w:rsid w:val="00706879"/>
    <w:rsid w:val="007070B6"/>
    <w:rsid w:val="007072C2"/>
    <w:rsid w:val="0070746B"/>
    <w:rsid w:val="007075CA"/>
    <w:rsid w:val="00707FA4"/>
    <w:rsid w:val="007108C4"/>
    <w:rsid w:val="0071151E"/>
    <w:rsid w:val="0071482B"/>
    <w:rsid w:val="00714B5C"/>
    <w:rsid w:val="00714C8F"/>
    <w:rsid w:val="00715A32"/>
    <w:rsid w:val="00716A45"/>
    <w:rsid w:val="00716F57"/>
    <w:rsid w:val="00721409"/>
    <w:rsid w:val="007221A2"/>
    <w:rsid w:val="00722928"/>
    <w:rsid w:val="00722935"/>
    <w:rsid w:val="0072335F"/>
    <w:rsid w:val="00726933"/>
    <w:rsid w:val="007273D5"/>
    <w:rsid w:val="00727815"/>
    <w:rsid w:val="00730E31"/>
    <w:rsid w:val="00731EA2"/>
    <w:rsid w:val="00734E06"/>
    <w:rsid w:val="00735CE3"/>
    <w:rsid w:val="00736E9D"/>
    <w:rsid w:val="007373FA"/>
    <w:rsid w:val="007377B7"/>
    <w:rsid w:val="0074063F"/>
    <w:rsid w:val="00740EF1"/>
    <w:rsid w:val="00744256"/>
    <w:rsid w:val="00744DBD"/>
    <w:rsid w:val="00745398"/>
    <w:rsid w:val="00747C87"/>
    <w:rsid w:val="007561F0"/>
    <w:rsid w:val="007565C3"/>
    <w:rsid w:val="00756632"/>
    <w:rsid w:val="0075754A"/>
    <w:rsid w:val="00760554"/>
    <w:rsid w:val="0076083D"/>
    <w:rsid w:val="00761DC2"/>
    <w:rsid w:val="00762B1E"/>
    <w:rsid w:val="00763D3B"/>
    <w:rsid w:val="00764742"/>
    <w:rsid w:val="007651E7"/>
    <w:rsid w:val="00766434"/>
    <w:rsid w:val="00770E10"/>
    <w:rsid w:val="00771E5C"/>
    <w:rsid w:val="00772107"/>
    <w:rsid w:val="00774A83"/>
    <w:rsid w:val="00775146"/>
    <w:rsid w:val="0077566D"/>
    <w:rsid w:val="00776097"/>
    <w:rsid w:val="007766A5"/>
    <w:rsid w:val="00776CA1"/>
    <w:rsid w:val="00776E39"/>
    <w:rsid w:val="0078016D"/>
    <w:rsid w:val="00781A4A"/>
    <w:rsid w:val="00782098"/>
    <w:rsid w:val="0078297B"/>
    <w:rsid w:val="00782A6D"/>
    <w:rsid w:val="00784161"/>
    <w:rsid w:val="00786D0B"/>
    <w:rsid w:val="00790033"/>
    <w:rsid w:val="00790E9B"/>
    <w:rsid w:val="007917E7"/>
    <w:rsid w:val="00791C4A"/>
    <w:rsid w:val="007927C6"/>
    <w:rsid w:val="00792BB2"/>
    <w:rsid w:val="0079348E"/>
    <w:rsid w:val="00793F50"/>
    <w:rsid w:val="0079405B"/>
    <w:rsid w:val="00795822"/>
    <w:rsid w:val="00795D94"/>
    <w:rsid w:val="007978DB"/>
    <w:rsid w:val="007A00A5"/>
    <w:rsid w:val="007A03ED"/>
    <w:rsid w:val="007A05F4"/>
    <w:rsid w:val="007A0BB9"/>
    <w:rsid w:val="007A0F02"/>
    <w:rsid w:val="007A1D73"/>
    <w:rsid w:val="007A3DAA"/>
    <w:rsid w:val="007A4023"/>
    <w:rsid w:val="007A5A94"/>
    <w:rsid w:val="007A6C47"/>
    <w:rsid w:val="007A7333"/>
    <w:rsid w:val="007B347F"/>
    <w:rsid w:val="007B5A98"/>
    <w:rsid w:val="007B5E30"/>
    <w:rsid w:val="007C2270"/>
    <w:rsid w:val="007C27D4"/>
    <w:rsid w:val="007C31AE"/>
    <w:rsid w:val="007C32E0"/>
    <w:rsid w:val="007C4CCE"/>
    <w:rsid w:val="007C570A"/>
    <w:rsid w:val="007C7D49"/>
    <w:rsid w:val="007D1630"/>
    <w:rsid w:val="007D1D99"/>
    <w:rsid w:val="007D4D2A"/>
    <w:rsid w:val="007D763D"/>
    <w:rsid w:val="007E00B1"/>
    <w:rsid w:val="007E0749"/>
    <w:rsid w:val="007E2F87"/>
    <w:rsid w:val="007E334F"/>
    <w:rsid w:val="007E3CB0"/>
    <w:rsid w:val="007E5D39"/>
    <w:rsid w:val="007E66C8"/>
    <w:rsid w:val="007E67BD"/>
    <w:rsid w:val="007E6BBD"/>
    <w:rsid w:val="007F06E1"/>
    <w:rsid w:val="007F517F"/>
    <w:rsid w:val="007F6391"/>
    <w:rsid w:val="007F6FB8"/>
    <w:rsid w:val="007F76FF"/>
    <w:rsid w:val="00801491"/>
    <w:rsid w:val="008015A7"/>
    <w:rsid w:val="00803099"/>
    <w:rsid w:val="00806E4B"/>
    <w:rsid w:val="0081066B"/>
    <w:rsid w:val="00810809"/>
    <w:rsid w:val="00812350"/>
    <w:rsid w:val="00812741"/>
    <w:rsid w:val="008128E3"/>
    <w:rsid w:val="00815871"/>
    <w:rsid w:val="00821789"/>
    <w:rsid w:val="0082180B"/>
    <w:rsid w:val="00824C6B"/>
    <w:rsid w:val="00825D4F"/>
    <w:rsid w:val="008260ED"/>
    <w:rsid w:val="00830017"/>
    <w:rsid w:val="00830DC9"/>
    <w:rsid w:val="00831A3F"/>
    <w:rsid w:val="00833A6A"/>
    <w:rsid w:val="00833E2F"/>
    <w:rsid w:val="008368F3"/>
    <w:rsid w:val="008400A8"/>
    <w:rsid w:val="0084156A"/>
    <w:rsid w:val="00841A85"/>
    <w:rsid w:val="00842297"/>
    <w:rsid w:val="008427B1"/>
    <w:rsid w:val="00842B06"/>
    <w:rsid w:val="008444ED"/>
    <w:rsid w:val="008449FF"/>
    <w:rsid w:val="0084601D"/>
    <w:rsid w:val="00846C73"/>
    <w:rsid w:val="00847B16"/>
    <w:rsid w:val="00847E0C"/>
    <w:rsid w:val="00850C6E"/>
    <w:rsid w:val="0085161D"/>
    <w:rsid w:val="0085349F"/>
    <w:rsid w:val="00855597"/>
    <w:rsid w:val="00855780"/>
    <w:rsid w:val="00856178"/>
    <w:rsid w:val="00856C69"/>
    <w:rsid w:val="008570AB"/>
    <w:rsid w:val="008606A2"/>
    <w:rsid w:val="00861C8E"/>
    <w:rsid w:val="00862545"/>
    <w:rsid w:val="0086273D"/>
    <w:rsid w:val="0086444C"/>
    <w:rsid w:val="00865A76"/>
    <w:rsid w:val="008667E8"/>
    <w:rsid w:val="0086730B"/>
    <w:rsid w:val="008679E6"/>
    <w:rsid w:val="00867A0F"/>
    <w:rsid w:val="00871811"/>
    <w:rsid w:val="00872C20"/>
    <w:rsid w:val="00872E1F"/>
    <w:rsid w:val="00873942"/>
    <w:rsid w:val="00873D79"/>
    <w:rsid w:val="00880558"/>
    <w:rsid w:val="00883DAF"/>
    <w:rsid w:val="00885B83"/>
    <w:rsid w:val="00885DA2"/>
    <w:rsid w:val="00886342"/>
    <w:rsid w:val="008875DE"/>
    <w:rsid w:val="00887C08"/>
    <w:rsid w:val="0089092F"/>
    <w:rsid w:val="00896FF4"/>
    <w:rsid w:val="008972BD"/>
    <w:rsid w:val="008A0E85"/>
    <w:rsid w:val="008A1DDE"/>
    <w:rsid w:val="008A1EDC"/>
    <w:rsid w:val="008A2E5A"/>
    <w:rsid w:val="008A371D"/>
    <w:rsid w:val="008A4FE2"/>
    <w:rsid w:val="008A5443"/>
    <w:rsid w:val="008A55A8"/>
    <w:rsid w:val="008A5F01"/>
    <w:rsid w:val="008A6B66"/>
    <w:rsid w:val="008B0969"/>
    <w:rsid w:val="008B11D0"/>
    <w:rsid w:val="008B15C4"/>
    <w:rsid w:val="008B4464"/>
    <w:rsid w:val="008B4692"/>
    <w:rsid w:val="008B4A0F"/>
    <w:rsid w:val="008B4BF2"/>
    <w:rsid w:val="008B56E5"/>
    <w:rsid w:val="008B5AFD"/>
    <w:rsid w:val="008B6650"/>
    <w:rsid w:val="008B7A4E"/>
    <w:rsid w:val="008C1506"/>
    <w:rsid w:val="008C2495"/>
    <w:rsid w:val="008C2D30"/>
    <w:rsid w:val="008C2E11"/>
    <w:rsid w:val="008C73DE"/>
    <w:rsid w:val="008C77F7"/>
    <w:rsid w:val="008D0AE4"/>
    <w:rsid w:val="008D1916"/>
    <w:rsid w:val="008D1B0D"/>
    <w:rsid w:val="008D2DD0"/>
    <w:rsid w:val="008D2F52"/>
    <w:rsid w:val="008D6B57"/>
    <w:rsid w:val="008D74C3"/>
    <w:rsid w:val="008D7DFC"/>
    <w:rsid w:val="008E00FD"/>
    <w:rsid w:val="008E09AC"/>
    <w:rsid w:val="008E16E7"/>
    <w:rsid w:val="008E33EA"/>
    <w:rsid w:val="008E4180"/>
    <w:rsid w:val="008E5722"/>
    <w:rsid w:val="008E5F84"/>
    <w:rsid w:val="008E6A1B"/>
    <w:rsid w:val="008F0EA9"/>
    <w:rsid w:val="008F1B1E"/>
    <w:rsid w:val="008F411D"/>
    <w:rsid w:val="008F4D31"/>
    <w:rsid w:val="008F5FF0"/>
    <w:rsid w:val="008F61F2"/>
    <w:rsid w:val="008F63BC"/>
    <w:rsid w:val="008F7F78"/>
    <w:rsid w:val="00900316"/>
    <w:rsid w:val="0090122A"/>
    <w:rsid w:val="00901F17"/>
    <w:rsid w:val="0090394F"/>
    <w:rsid w:val="00904728"/>
    <w:rsid w:val="009054D3"/>
    <w:rsid w:val="00907B9D"/>
    <w:rsid w:val="00910CFA"/>
    <w:rsid w:val="009125D2"/>
    <w:rsid w:val="00915E3F"/>
    <w:rsid w:val="00916C8B"/>
    <w:rsid w:val="00922344"/>
    <w:rsid w:val="0092273F"/>
    <w:rsid w:val="009238F1"/>
    <w:rsid w:val="009249B4"/>
    <w:rsid w:val="00926D0F"/>
    <w:rsid w:val="009279E1"/>
    <w:rsid w:val="00933783"/>
    <w:rsid w:val="00934A5A"/>
    <w:rsid w:val="00935E14"/>
    <w:rsid w:val="009410E0"/>
    <w:rsid w:val="00942454"/>
    <w:rsid w:val="009444B1"/>
    <w:rsid w:val="009467C6"/>
    <w:rsid w:val="00946DA9"/>
    <w:rsid w:val="00951035"/>
    <w:rsid w:val="00951BD3"/>
    <w:rsid w:val="00957310"/>
    <w:rsid w:val="0095750D"/>
    <w:rsid w:val="00962B8F"/>
    <w:rsid w:val="00964464"/>
    <w:rsid w:val="009654CB"/>
    <w:rsid w:val="00965665"/>
    <w:rsid w:val="00966D4F"/>
    <w:rsid w:val="0097192E"/>
    <w:rsid w:val="00971F52"/>
    <w:rsid w:val="0097202E"/>
    <w:rsid w:val="00972E0B"/>
    <w:rsid w:val="009748F0"/>
    <w:rsid w:val="00974A7C"/>
    <w:rsid w:val="0097587B"/>
    <w:rsid w:val="009766FE"/>
    <w:rsid w:val="00977715"/>
    <w:rsid w:val="00980439"/>
    <w:rsid w:val="00982444"/>
    <w:rsid w:val="00982BA7"/>
    <w:rsid w:val="00982D92"/>
    <w:rsid w:val="00982F10"/>
    <w:rsid w:val="00983267"/>
    <w:rsid w:val="009834A0"/>
    <w:rsid w:val="009843A8"/>
    <w:rsid w:val="00984993"/>
    <w:rsid w:val="00992500"/>
    <w:rsid w:val="00992F61"/>
    <w:rsid w:val="0099496C"/>
    <w:rsid w:val="00995831"/>
    <w:rsid w:val="00996569"/>
    <w:rsid w:val="00997EC1"/>
    <w:rsid w:val="009A057B"/>
    <w:rsid w:val="009A06F0"/>
    <w:rsid w:val="009A14DE"/>
    <w:rsid w:val="009A2105"/>
    <w:rsid w:val="009A5B8E"/>
    <w:rsid w:val="009A7BC2"/>
    <w:rsid w:val="009B1897"/>
    <w:rsid w:val="009B1965"/>
    <w:rsid w:val="009B1BB7"/>
    <w:rsid w:val="009B48D4"/>
    <w:rsid w:val="009C0992"/>
    <w:rsid w:val="009C0C48"/>
    <w:rsid w:val="009C1830"/>
    <w:rsid w:val="009C23DA"/>
    <w:rsid w:val="009C24B3"/>
    <w:rsid w:val="009C2C09"/>
    <w:rsid w:val="009C2E5A"/>
    <w:rsid w:val="009C347A"/>
    <w:rsid w:val="009C6214"/>
    <w:rsid w:val="009C7B18"/>
    <w:rsid w:val="009C7D55"/>
    <w:rsid w:val="009C7F52"/>
    <w:rsid w:val="009D07F2"/>
    <w:rsid w:val="009D1884"/>
    <w:rsid w:val="009D24A3"/>
    <w:rsid w:val="009D3312"/>
    <w:rsid w:val="009D3665"/>
    <w:rsid w:val="009D3C84"/>
    <w:rsid w:val="009D4B65"/>
    <w:rsid w:val="009D6969"/>
    <w:rsid w:val="009D7470"/>
    <w:rsid w:val="009D7A58"/>
    <w:rsid w:val="009E0CED"/>
    <w:rsid w:val="009E17A2"/>
    <w:rsid w:val="009E2D23"/>
    <w:rsid w:val="009E3E96"/>
    <w:rsid w:val="009E4043"/>
    <w:rsid w:val="009E43C1"/>
    <w:rsid w:val="009E4CB8"/>
    <w:rsid w:val="009E5BF2"/>
    <w:rsid w:val="009F3BA0"/>
    <w:rsid w:val="009F3F5D"/>
    <w:rsid w:val="009F4CB9"/>
    <w:rsid w:val="009F573D"/>
    <w:rsid w:val="00A00CD4"/>
    <w:rsid w:val="00A00FC6"/>
    <w:rsid w:val="00A01C02"/>
    <w:rsid w:val="00A0324F"/>
    <w:rsid w:val="00A038D1"/>
    <w:rsid w:val="00A05113"/>
    <w:rsid w:val="00A054DC"/>
    <w:rsid w:val="00A05A73"/>
    <w:rsid w:val="00A0659C"/>
    <w:rsid w:val="00A069AE"/>
    <w:rsid w:val="00A06F13"/>
    <w:rsid w:val="00A07DF7"/>
    <w:rsid w:val="00A10389"/>
    <w:rsid w:val="00A1133E"/>
    <w:rsid w:val="00A11888"/>
    <w:rsid w:val="00A11E62"/>
    <w:rsid w:val="00A11E8F"/>
    <w:rsid w:val="00A12369"/>
    <w:rsid w:val="00A14357"/>
    <w:rsid w:val="00A147BF"/>
    <w:rsid w:val="00A1524F"/>
    <w:rsid w:val="00A15E63"/>
    <w:rsid w:val="00A16646"/>
    <w:rsid w:val="00A17672"/>
    <w:rsid w:val="00A20E56"/>
    <w:rsid w:val="00A23BC2"/>
    <w:rsid w:val="00A27727"/>
    <w:rsid w:val="00A279AC"/>
    <w:rsid w:val="00A27EF3"/>
    <w:rsid w:val="00A30C5D"/>
    <w:rsid w:val="00A310F1"/>
    <w:rsid w:val="00A31D1D"/>
    <w:rsid w:val="00A35FAA"/>
    <w:rsid w:val="00A37DF9"/>
    <w:rsid w:val="00A40163"/>
    <w:rsid w:val="00A409BC"/>
    <w:rsid w:val="00A42F6D"/>
    <w:rsid w:val="00A442CD"/>
    <w:rsid w:val="00A44612"/>
    <w:rsid w:val="00A44720"/>
    <w:rsid w:val="00A51337"/>
    <w:rsid w:val="00A540A5"/>
    <w:rsid w:val="00A54248"/>
    <w:rsid w:val="00A55B6F"/>
    <w:rsid w:val="00A61F1C"/>
    <w:rsid w:val="00A6388E"/>
    <w:rsid w:val="00A675CB"/>
    <w:rsid w:val="00A70398"/>
    <w:rsid w:val="00A709AD"/>
    <w:rsid w:val="00A733CB"/>
    <w:rsid w:val="00A73816"/>
    <w:rsid w:val="00A751AD"/>
    <w:rsid w:val="00A775CF"/>
    <w:rsid w:val="00A77853"/>
    <w:rsid w:val="00A77A5F"/>
    <w:rsid w:val="00A77FAF"/>
    <w:rsid w:val="00A8009B"/>
    <w:rsid w:val="00A80C87"/>
    <w:rsid w:val="00A8425B"/>
    <w:rsid w:val="00A84503"/>
    <w:rsid w:val="00A861B9"/>
    <w:rsid w:val="00A8653B"/>
    <w:rsid w:val="00A86CDB"/>
    <w:rsid w:val="00A8782F"/>
    <w:rsid w:val="00A9167D"/>
    <w:rsid w:val="00A92D25"/>
    <w:rsid w:val="00A94689"/>
    <w:rsid w:val="00A94DDB"/>
    <w:rsid w:val="00A96FFE"/>
    <w:rsid w:val="00AA27AA"/>
    <w:rsid w:val="00AA2DF3"/>
    <w:rsid w:val="00AA50BC"/>
    <w:rsid w:val="00AB07F2"/>
    <w:rsid w:val="00AB24E7"/>
    <w:rsid w:val="00AB3237"/>
    <w:rsid w:val="00AB3A2D"/>
    <w:rsid w:val="00AB5C7E"/>
    <w:rsid w:val="00AB75AE"/>
    <w:rsid w:val="00AB76EC"/>
    <w:rsid w:val="00AB77C4"/>
    <w:rsid w:val="00AB7933"/>
    <w:rsid w:val="00AC13C9"/>
    <w:rsid w:val="00AC2792"/>
    <w:rsid w:val="00AC3CF0"/>
    <w:rsid w:val="00AC3D18"/>
    <w:rsid w:val="00AD10CF"/>
    <w:rsid w:val="00AD35EA"/>
    <w:rsid w:val="00AD3BC7"/>
    <w:rsid w:val="00AD562E"/>
    <w:rsid w:val="00AD5B1B"/>
    <w:rsid w:val="00AD6259"/>
    <w:rsid w:val="00AE1674"/>
    <w:rsid w:val="00AE1D75"/>
    <w:rsid w:val="00AE2459"/>
    <w:rsid w:val="00AE29C2"/>
    <w:rsid w:val="00AE3D23"/>
    <w:rsid w:val="00AE41BB"/>
    <w:rsid w:val="00AE4EC8"/>
    <w:rsid w:val="00AE563A"/>
    <w:rsid w:val="00AE5D9F"/>
    <w:rsid w:val="00AE5F15"/>
    <w:rsid w:val="00AE61C0"/>
    <w:rsid w:val="00AE76C9"/>
    <w:rsid w:val="00AF0C7E"/>
    <w:rsid w:val="00AF0EB2"/>
    <w:rsid w:val="00AF2791"/>
    <w:rsid w:val="00AF32F0"/>
    <w:rsid w:val="00AF3811"/>
    <w:rsid w:val="00AF418D"/>
    <w:rsid w:val="00AF5179"/>
    <w:rsid w:val="00AF560E"/>
    <w:rsid w:val="00AF6220"/>
    <w:rsid w:val="00AF70EE"/>
    <w:rsid w:val="00AF7618"/>
    <w:rsid w:val="00B00AF9"/>
    <w:rsid w:val="00B00B01"/>
    <w:rsid w:val="00B04550"/>
    <w:rsid w:val="00B04964"/>
    <w:rsid w:val="00B06F40"/>
    <w:rsid w:val="00B10605"/>
    <w:rsid w:val="00B10F95"/>
    <w:rsid w:val="00B10FCF"/>
    <w:rsid w:val="00B12331"/>
    <w:rsid w:val="00B1274F"/>
    <w:rsid w:val="00B15B71"/>
    <w:rsid w:val="00B2087D"/>
    <w:rsid w:val="00B21941"/>
    <w:rsid w:val="00B21EB4"/>
    <w:rsid w:val="00B22202"/>
    <w:rsid w:val="00B240AA"/>
    <w:rsid w:val="00B26C44"/>
    <w:rsid w:val="00B27820"/>
    <w:rsid w:val="00B30944"/>
    <w:rsid w:val="00B323BD"/>
    <w:rsid w:val="00B33F4D"/>
    <w:rsid w:val="00B37148"/>
    <w:rsid w:val="00B42B56"/>
    <w:rsid w:val="00B455C0"/>
    <w:rsid w:val="00B460B5"/>
    <w:rsid w:val="00B47240"/>
    <w:rsid w:val="00B47F4C"/>
    <w:rsid w:val="00B51526"/>
    <w:rsid w:val="00B523E2"/>
    <w:rsid w:val="00B5762D"/>
    <w:rsid w:val="00B60F6F"/>
    <w:rsid w:val="00B61A52"/>
    <w:rsid w:val="00B6230B"/>
    <w:rsid w:val="00B6389E"/>
    <w:rsid w:val="00B64DE4"/>
    <w:rsid w:val="00B66467"/>
    <w:rsid w:val="00B71222"/>
    <w:rsid w:val="00B7262F"/>
    <w:rsid w:val="00B7358B"/>
    <w:rsid w:val="00B7388C"/>
    <w:rsid w:val="00B73E0D"/>
    <w:rsid w:val="00B77593"/>
    <w:rsid w:val="00B830A1"/>
    <w:rsid w:val="00B83705"/>
    <w:rsid w:val="00B83CA0"/>
    <w:rsid w:val="00B84243"/>
    <w:rsid w:val="00B85C34"/>
    <w:rsid w:val="00B8742F"/>
    <w:rsid w:val="00B876C0"/>
    <w:rsid w:val="00B93884"/>
    <w:rsid w:val="00B94A65"/>
    <w:rsid w:val="00B94ADF"/>
    <w:rsid w:val="00B94FB4"/>
    <w:rsid w:val="00B95D2D"/>
    <w:rsid w:val="00B9676C"/>
    <w:rsid w:val="00BA0966"/>
    <w:rsid w:val="00BA0F2F"/>
    <w:rsid w:val="00BA379F"/>
    <w:rsid w:val="00BA4411"/>
    <w:rsid w:val="00BA6777"/>
    <w:rsid w:val="00BA6813"/>
    <w:rsid w:val="00BB19A7"/>
    <w:rsid w:val="00BB2A98"/>
    <w:rsid w:val="00BB3AB5"/>
    <w:rsid w:val="00BB3DA8"/>
    <w:rsid w:val="00BB498B"/>
    <w:rsid w:val="00BB6D23"/>
    <w:rsid w:val="00BB721D"/>
    <w:rsid w:val="00BB7455"/>
    <w:rsid w:val="00BC17FB"/>
    <w:rsid w:val="00BC2C65"/>
    <w:rsid w:val="00BC3CAB"/>
    <w:rsid w:val="00BC42CE"/>
    <w:rsid w:val="00BC6702"/>
    <w:rsid w:val="00BD210E"/>
    <w:rsid w:val="00BD304D"/>
    <w:rsid w:val="00BE70B3"/>
    <w:rsid w:val="00BE7D58"/>
    <w:rsid w:val="00BF0270"/>
    <w:rsid w:val="00BF0E14"/>
    <w:rsid w:val="00BF11BF"/>
    <w:rsid w:val="00BF164E"/>
    <w:rsid w:val="00BF2148"/>
    <w:rsid w:val="00BF23C3"/>
    <w:rsid w:val="00BF263F"/>
    <w:rsid w:val="00BF3E50"/>
    <w:rsid w:val="00BF6570"/>
    <w:rsid w:val="00BF6D42"/>
    <w:rsid w:val="00BF7ED9"/>
    <w:rsid w:val="00C00AA5"/>
    <w:rsid w:val="00C07DEC"/>
    <w:rsid w:val="00C1005F"/>
    <w:rsid w:val="00C107D2"/>
    <w:rsid w:val="00C11F05"/>
    <w:rsid w:val="00C11F2F"/>
    <w:rsid w:val="00C12D0A"/>
    <w:rsid w:val="00C12DE9"/>
    <w:rsid w:val="00C15DEF"/>
    <w:rsid w:val="00C17158"/>
    <w:rsid w:val="00C17A51"/>
    <w:rsid w:val="00C20E76"/>
    <w:rsid w:val="00C23647"/>
    <w:rsid w:val="00C24021"/>
    <w:rsid w:val="00C2476F"/>
    <w:rsid w:val="00C2641F"/>
    <w:rsid w:val="00C273A1"/>
    <w:rsid w:val="00C3009E"/>
    <w:rsid w:val="00C31E81"/>
    <w:rsid w:val="00C3239B"/>
    <w:rsid w:val="00C3324A"/>
    <w:rsid w:val="00C336DD"/>
    <w:rsid w:val="00C34390"/>
    <w:rsid w:val="00C34C59"/>
    <w:rsid w:val="00C359BA"/>
    <w:rsid w:val="00C35E53"/>
    <w:rsid w:val="00C3662D"/>
    <w:rsid w:val="00C36775"/>
    <w:rsid w:val="00C406CE"/>
    <w:rsid w:val="00C41219"/>
    <w:rsid w:val="00C41D55"/>
    <w:rsid w:val="00C420C5"/>
    <w:rsid w:val="00C428E6"/>
    <w:rsid w:val="00C42D37"/>
    <w:rsid w:val="00C431A3"/>
    <w:rsid w:val="00C43756"/>
    <w:rsid w:val="00C44BE3"/>
    <w:rsid w:val="00C44C1D"/>
    <w:rsid w:val="00C5028C"/>
    <w:rsid w:val="00C51C07"/>
    <w:rsid w:val="00C53EF2"/>
    <w:rsid w:val="00C5570B"/>
    <w:rsid w:val="00C55846"/>
    <w:rsid w:val="00C57082"/>
    <w:rsid w:val="00C605F4"/>
    <w:rsid w:val="00C615E5"/>
    <w:rsid w:val="00C619FE"/>
    <w:rsid w:val="00C62A49"/>
    <w:rsid w:val="00C6305B"/>
    <w:rsid w:val="00C63C1F"/>
    <w:rsid w:val="00C63ED7"/>
    <w:rsid w:val="00C706DE"/>
    <w:rsid w:val="00C74126"/>
    <w:rsid w:val="00C74C39"/>
    <w:rsid w:val="00C74DA9"/>
    <w:rsid w:val="00C7638D"/>
    <w:rsid w:val="00C763EA"/>
    <w:rsid w:val="00C771EB"/>
    <w:rsid w:val="00C8049D"/>
    <w:rsid w:val="00C81254"/>
    <w:rsid w:val="00C85E77"/>
    <w:rsid w:val="00C8748F"/>
    <w:rsid w:val="00C87FB8"/>
    <w:rsid w:val="00C91CF4"/>
    <w:rsid w:val="00C92123"/>
    <w:rsid w:val="00C94229"/>
    <w:rsid w:val="00C95596"/>
    <w:rsid w:val="00C95850"/>
    <w:rsid w:val="00C95B85"/>
    <w:rsid w:val="00C97F24"/>
    <w:rsid w:val="00CA0B5E"/>
    <w:rsid w:val="00CA0F4F"/>
    <w:rsid w:val="00CA17B1"/>
    <w:rsid w:val="00CA2A47"/>
    <w:rsid w:val="00CA3214"/>
    <w:rsid w:val="00CA450E"/>
    <w:rsid w:val="00CA4819"/>
    <w:rsid w:val="00CA600B"/>
    <w:rsid w:val="00CA709C"/>
    <w:rsid w:val="00CB00D4"/>
    <w:rsid w:val="00CB1F59"/>
    <w:rsid w:val="00CB54F0"/>
    <w:rsid w:val="00CB5C31"/>
    <w:rsid w:val="00CB62C0"/>
    <w:rsid w:val="00CB795F"/>
    <w:rsid w:val="00CC0486"/>
    <w:rsid w:val="00CC0B67"/>
    <w:rsid w:val="00CC3220"/>
    <w:rsid w:val="00CC453E"/>
    <w:rsid w:val="00CC4867"/>
    <w:rsid w:val="00CC5AB0"/>
    <w:rsid w:val="00CC63D5"/>
    <w:rsid w:val="00CC7C89"/>
    <w:rsid w:val="00CC7ED8"/>
    <w:rsid w:val="00CC7F08"/>
    <w:rsid w:val="00CD1BF3"/>
    <w:rsid w:val="00CD2C4A"/>
    <w:rsid w:val="00CD3382"/>
    <w:rsid w:val="00CD7118"/>
    <w:rsid w:val="00CE0085"/>
    <w:rsid w:val="00CE0472"/>
    <w:rsid w:val="00CE2C1A"/>
    <w:rsid w:val="00CE3F53"/>
    <w:rsid w:val="00CE4134"/>
    <w:rsid w:val="00CE4FC8"/>
    <w:rsid w:val="00CE558E"/>
    <w:rsid w:val="00CE5EC0"/>
    <w:rsid w:val="00CE645E"/>
    <w:rsid w:val="00CE7933"/>
    <w:rsid w:val="00CF2C6F"/>
    <w:rsid w:val="00CF4131"/>
    <w:rsid w:val="00CF5085"/>
    <w:rsid w:val="00CF5391"/>
    <w:rsid w:val="00CF6028"/>
    <w:rsid w:val="00CF6796"/>
    <w:rsid w:val="00D00382"/>
    <w:rsid w:val="00D0086A"/>
    <w:rsid w:val="00D02C37"/>
    <w:rsid w:val="00D02EF1"/>
    <w:rsid w:val="00D05719"/>
    <w:rsid w:val="00D076E9"/>
    <w:rsid w:val="00D07A8D"/>
    <w:rsid w:val="00D1024D"/>
    <w:rsid w:val="00D120BF"/>
    <w:rsid w:val="00D13536"/>
    <w:rsid w:val="00D13659"/>
    <w:rsid w:val="00D143EC"/>
    <w:rsid w:val="00D1515D"/>
    <w:rsid w:val="00D1545C"/>
    <w:rsid w:val="00D15ACB"/>
    <w:rsid w:val="00D1741D"/>
    <w:rsid w:val="00D174C3"/>
    <w:rsid w:val="00D17D15"/>
    <w:rsid w:val="00D17E55"/>
    <w:rsid w:val="00D2179B"/>
    <w:rsid w:val="00D22699"/>
    <w:rsid w:val="00D2316C"/>
    <w:rsid w:val="00D23FB7"/>
    <w:rsid w:val="00D24FF4"/>
    <w:rsid w:val="00D30A84"/>
    <w:rsid w:val="00D30CBA"/>
    <w:rsid w:val="00D31052"/>
    <w:rsid w:val="00D323B5"/>
    <w:rsid w:val="00D327B7"/>
    <w:rsid w:val="00D36333"/>
    <w:rsid w:val="00D37C36"/>
    <w:rsid w:val="00D42454"/>
    <w:rsid w:val="00D428B3"/>
    <w:rsid w:val="00D44D21"/>
    <w:rsid w:val="00D46A7B"/>
    <w:rsid w:val="00D503B7"/>
    <w:rsid w:val="00D50C9B"/>
    <w:rsid w:val="00D52FA6"/>
    <w:rsid w:val="00D5385C"/>
    <w:rsid w:val="00D5491C"/>
    <w:rsid w:val="00D549BF"/>
    <w:rsid w:val="00D551E1"/>
    <w:rsid w:val="00D55763"/>
    <w:rsid w:val="00D55F66"/>
    <w:rsid w:val="00D5708A"/>
    <w:rsid w:val="00D576B5"/>
    <w:rsid w:val="00D57849"/>
    <w:rsid w:val="00D60439"/>
    <w:rsid w:val="00D6199A"/>
    <w:rsid w:val="00D64BE6"/>
    <w:rsid w:val="00D6661E"/>
    <w:rsid w:val="00D66692"/>
    <w:rsid w:val="00D7026C"/>
    <w:rsid w:val="00D70EB2"/>
    <w:rsid w:val="00D715EF"/>
    <w:rsid w:val="00D75924"/>
    <w:rsid w:val="00D75DD0"/>
    <w:rsid w:val="00D7602E"/>
    <w:rsid w:val="00D76996"/>
    <w:rsid w:val="00D83B82"/>
    <w:rsid w:val="00D846C2"/>
    <w:rsid w:val="00D85D3F"/>
    <w:rsid w:val="00D87479"/>
    <w:rsid w:val="00D87624"/>
    <w:rsid w:val="00D9150D"/>
    <w:rsid w:val="00D91854"/>
    <w:rsid w:val="00D92B42"/>
    <w:rsid w:val="00D951E1"/>
    <w:rsid w:val="00D961F2"/>
    <w:rsid w:val="00D97687"/>
    <w:rsid w:val="00D9775E"/>
    <w:rsid w:val="00DA07D8"/>
    <w:rsid w:val="00DA1610"/>
    <w:rsid w:val="00DA1A11"/>
    <w:rsid w:val="00DA1BEF"/>
    <w:rsid w:val="00DA28A8"/>
    <w:rsid w:val="00DA3143"/>
    <w:rsid w:val="00DA4EAE"/>
    <w:rsid w:val="00DA6854"/>
    <w:rsid w:val="00DA6D4F"/>
    <w:rsid w:val="00DA6FB4"/>
    <w:rsid w:val="00DA7AC3"/>
    <w:rsid w:val="00DB10A8"/>
    <w:rsid w:val="00DB4C98"/>
    <w:rsid w:val="00DB4F1B"/>
    <w:rsid w:val="00DB50EA"/>
    <w:rsid w:val="00DB584E"/>
    <w:rsid w:val="00DB69D9"/>
    <w:rsid w:val="00DC235D"/>
    <w:rsid w:val="00DC32EC"/>
    <w:rsid w:val="00DC39E1"/>
    <w:rsid w:val="00DC4099"/>
    <w:rsid w:val="00DC4790"/>
    <w:rsid w:val="00DC6737"/>
    <w:rsid w:val="00DD06D6"/>
    <w:rsid w:val="00DD0BA0"/>
    <w:rsid w:val="00DD473F"/>
    <w:rsid w:val="00DD7648"/>
    <w:rsid w:val="00DD7B40"/>
    <w:rsid w:val="00DE117E"/>
    <w:rsid w:val="00DE1987"/>
    <w:rsid w:val="00DE25CC"/>
    <w:rsid w:val="00DE36CF"/>
    <w:rsid w:val="00DE42BA"/>
    <w:rsid w:val="00DE50C2"/>
    <w:rsid w:val="00DE566F"/>
    <w:rsid w:val="00DE5DF9"/>
    <w:rsid w:val="00DE5E0C"/>
    <w:rsid w:val="00DE60EA"/>
    <w:rsid w:val="00DF0728"/>
    <w:rsid w:val="00DF1ADC"/>
    <w:rsid w:val="00DF2249"/>
    <w:rsid w:val="00DF2CE5"/>
    <w:rsid w:val="00DF30D5"/>
    <w:rsid w:val="00DF363A"/>
    <w:rsid w:val="00DF4173"/>
    <w:rsid w:val="00DF61C8"/>
    <w:rsid w:val="00DF6323"/>
    <w:rsid w:val="00DF6B26"/>
    <w:rsid w:val="00DF744E"/>
    <w:rsid w:val="00E00258"/>
    <w:rsid w:val="00E01B7C"/>
    <w:rsid w:val="00E01F36"/>
    <w:rsid w:val="00E054BA"/>
    <w:rsid w:val="00E05967"/>
    <w:rsid w:val="00E06F9F"/>
    <w:rsid w:val="00E07E24"/>
    <w:rsid w:val="00E10D3F"/>
    <w:rsid w:val="00E11210"/>
    <w:rsid w:val="00E121DD"/>
    <w:rsid w:val="00E1675C"/>
    <w:rsid w:val="00E16977"/>
    <w:rsid w:val="00E16BE1"/>
    <w:rsid w:val="00E17DAB"/>
    <w:rsid w:val="00E20628"/>
    <w:rsid w:val="00E2103B"/>
    <w:rsid w:val="00E22A07"/>
    <w:rsid w:val="00E26003"/>
    <w:rsid w:val="00E27319"/>
    <w:rsid w:val="00E273FF"/>
    <w:rsid w:val="00E27B91"/>
    <w:rsid w:val="00E30FE2"/>
    <w:rsid w:val="00E37BA9"/>
    <w:rsid w:val="00E4238F"/>
    <w:rsid w:val="00E42411"/>
    <w:rsid w:val="00E42C8A"/>
    <w:rsid w:val="00E43965"/>
    <w:rsid w:val="00E43E3B"/>
    <w:rsid w:val="00E4452C"/>
    <w:rsid w:val="00E453F8"/>
    <w:rsid w:val="00E4582E"/>
    <w:rsid w:val="00E46611"/>
    <w:rsid w:val="00E46AB8"/>
    <w:rsid w:val="00E473B3"/>
    <w:rsid w:val="00E5330F"/>
    <w:rsid w:val="00E54185"/>
    <w:rsid w:val="00E55ABA"/>
    <w:rsid w:val="00E5728A"/>
    <w:rsid w:val="00E60751"/>
    <w:rsid w:val="00E6169B"/>
    <w:rsid w:val="00E62B36"/>
    <w:rsid w:val="00E62DF5"/>
    <w:rsid w:val="00E62F69"/>
    <w:rsid w:val="00E6369F"/>
    <w:rsid w:val="00E647C8"/>
    <w:rsid w:val="00E672CB"/>
    <w:rsid w:val="00E70F0A"/>
    <w:rsid w:val="00E715E7"/>
    <w:rsid w:val="00E71F0F"/>
    <w:rsid w:val="00E731D7"/>
    <w:rsid w:val="00E74ACE"/>
    <w:rsid w:val="00E77C06"/>
    <w:rsid w:val="00E81A64"/>
    <w:rsid w:val="00E831F7"/>
    <w:rsid w:val="00E835D7"/>
    <w:rsid w:val="00E855E0"/>
    <w:rsid w:val="00E860B7"/>
    <w:rsid w:val="00E86259"/>
    <w:rsid w:val="00E8780D"/>
    <w:rsid w:val="00E9358B"/>
    <w:rsid w:val="00E95103"/>
    <w:rsid w:val="00E956B3"/>
    <w:rsid w:val="00E95DB8"/>
    <w:rsid w:val="00E95E3B"/>
    <w:rsid w:val="00E971BB"/>
    <w:rsid w:val="00E97527"/>
    <w:rsid w:val="00EA2442"/>
    <w:rsid w:val="00EA5A9E"/>
    <w:rsid w:val="00EA6556"/>
    <w:rsid w:val="00EA6842"/>
    <w:rsid w:val="00EB063E"/>
    <w:rsid w:val="00EB068F"/>
    <w:rsid w:val="00EB4C26"/>
    <w:rsid w:val="00EB5127"/>
    <w:rsid w:val="00EB53F2"/>
    <w:rsid w:val="00EB7803"/>
    <w:rsid w:val="00EC0295"/>
    <w:rsid w:val="00EC0454"/>
    <w:rsid w:val="00EC19FA"/>
    <w:rsid w:val="00EC5F86"/>
    <w:rsid w:val="00ED0940"/>
    <w:rsid w:val="00ED25CE"/>
    <w:rsid w:val="00ED3A55"/>
    <w:rsid w:val="00ED402C"/>
    <w:rsid w:val="00ED468F"/>
    <w:rsid w:val="00ED6D9F"/>
    <w:rsid w:val="00EE0ACF"/>
    <w:rsid w:val="00EE37DE"/>
    <w:rsid w:val="00EE3E7F"/>
    <w:rsid w:val="00EE455E"/>
    <w:rsid w:val="00EE67C5"/>
    <w:rsid w:val="00EE788D"/>
    <w:rsid w:val="00EF18EF"/>
    <w:rsid w:val="00EF2A15"/>
    <w:rsid w:val="00EF3070"/>
    <w:rsid w:val="00EF4031"/>
    <w:rsid w:val="00EF6BDC"/>
    <w:rsid w:val="00F00728"/>
    <w:rsid w:val="00F01FF7"/>
    <w:rsid w:val="00F05784"/>
    <w:rsid w:val="00F05908"/>
    <w:rsid w:val="00F1076B"/>
    <w:rsid w:val="00F10D71"/>
    <w:rsid w:val="00F11B9B"/>
    <w:rsid w:val="00F11D20"/>
    <w:rsid w:val="00F120D0"/>
    <w:rsid w:val="00F13E0D"/>
    <w:rsid w:val="00F14467"/>
    <w:rsid w:val="00F20B6E"/>
    <w:rsid w:val="00F20FF5"/>
    <w:rsid w:val="00F248EC"/>
    <w:rsid w:val="00F24BCF"/>
    <w:rsid w:val="00F24C64"/>
    <w:rsid w:val="00F2639B"/>
    <w:rsid w:val="00F26509"/>
    <w:rsid w:val="00F276EE"/>
    <w:rsid w:val="00F31355"/>
    <w:rsid w:val="00F3255F"/>
    <w:rsid w:val="00F3374F"/>
    <w:rsid w:val="00F3510E"/>
    <w:rsid w:val="00F357F3"/>
    <w:rsid w:val="00F35B8D"/>
    <w:rsid w:val="00F373DC"/>
    <w:rsid w:val="00F37EF3"/>
    <w:rsid w:val="00F402E8"/>
    <w:rsid w:val="00F403D6"/>
    <w:rsid w:val="00F40782"/>
    <w:rsid w:val="00F42204"/>
    <w:rsid w:val="00F422EF"/>
    <w:rsid w:val="00F42894"/>
    <w:rsid w:val="00F45CF2"/>
    <w:rsid w:val="00F4743F"/>
    <w:rsid w:val="00F47B25"/>
    <w:rsid w:val="00F5077E"/>
    <w:rsid w:val="00F51346"/>
    <w:rsid w:val="00F5199A"/>
    <w:rsid w:val="00F5235B"/>
    <w:rsid w:val="00F54947"/>
    <w:rsid w:val="00F5495A"/>
    <w:rsid w:val="00F54F7B"/>
    <w:rsid w:val="00F560DC"/>
    <w:rsid w:val="00F56916"/>
    <w:rsid w:val="00F56AD0"/>
    <w:rsid w:val="00F56CB1"/>
    <w:rsid w:val="00F613E9"/>
    <w:rsid w:val="00F625D0"/>
    <w:rsid w:val="00F63F85"/>
    <w:rsid w:val="00F65819"/>
    <w:rsid w:val="00F66863"/>
    <w:rsid w:val="00F66DAA"/>
    <w:rsid w:val="00F71182"/>
    <w:rsid w:val="00F72D23"/>
    <w:rsid w:val="00F73E47"/>
    <w:rsid w:val="00F7451D"/>
    <w:rsid w:val="00F74CB0"/>
    <w:rsid w:val="00F75495"/>
    <w:rsid w:val="00F765EB"/>
    <w:rsid w:val="00F81CE4"/>
    <w:rsid w:val="00F82354"/>
    <w:rsid w:val="00F8498C"/>
    <w:rsid w:val="00F8673B"/>
    <w:rsid w:val="00F868E5"/>
    <w:rsid w:val="00F90159"/>
    <w:rsid w:val="00F908F8"/>
    <w:rsid w:val="00F91491"/>
    <w:rsid w:val="00F92442"/>
    <w:rsid w:val="00F926C8"/>
    <w:rsid w:val="00F97C22"/>
    <w:rsid w:val="00F97D2D"/>
    <w:rsid w:val="00FA05A4"/>
    <w:rsid w:val="00FA0BA3"/>
    <w:rsid w:val="00FA0C92"/>
    <w:rsid w:val="00FA30C2"/>
    <w:rsid w:val="00FA4191"/>
    <w:rsid w:val="00FA63B6"/>
    <w:rsid w:val="00FA7135"/>
    <w:rsid w:val="00FA784C"/>
    <w:rsid w:val="00FB06E1"/>
    <w:rsid w:val="00FB0CA2"/>
    <w:rsid w:val="00FB3095"/>
    <w:rsid w:val="00FB6912"/>
    <w:rsid w:val="00FC00DD"/>
    <w:rsid w:val="00FC1247"/>
    <w:rsid w:val="00FC1C66"/>
    <w:rsid w:val="00FC3CD4"/>
    <w:rsid w:val="00FC5E1E"/>
    <w:rsid w:val="00FC68BF"/>
    <w:rsid w:val="00FC7CAC"/>
    <w:rsid w:val="00FD14D0"/>
    <w:rsid w:val="00FD1B30"/>
    <w:rsid w:val="00FD284B"/>
    <w:rsid w:val="00FD295C"/>
    <w:rsid w:val="00FD3D3E"/>
    <w:rsid w:val="00FD5051"/>
    <w:rsid w:val="00FD5438"/>
    <w:rsid w:val="00FD5958"/>
    <w:rsid w:val="00FD5A0F"/>
    <w:rsid w:val="00FD756D"/>
    <w:rsid w:val="00FD7972"/>
    <w:rsid w:val="00FE059A"/>
    <w:rsid w:val="00FE0781"/>
    <w:rsid w:val="00FE29AF"/>
    <w:rsid w:val="00FE3181"/>
    <w:rsid w:val="00FE54AE"/>
    <w:rsid w:val="00FF2339"/>
    <w:rsid w:val="00FF2430"/>
    <w:rsid w:val="00FF26B9"/>
    <w:rsid w:val="00FF33AA"/>
    <w:rsid w:val="00FF371D"/>
    <w:rsid w:val="00FF637D"/>
    <w:rsid w:val="00FF64CF"/>
    <w:rsid w:val="00FF6B5D"/>
    <w:rsid w:val="00FF76AC"/>
    <w:rsid w:val="00FF7C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6977"/>
    <o:shapelayout v:ext="edit">
      <o:idmap v:ext="edit" data="1"/>
      <o:rules v:ext="edit">
        <o:r id="V:Rule5" type="connector" idref="#_x0000_s1228"/>
        <o:r id="V:Rule6" type="connector" idref="#_x0000_s1117"/>
        <o:r id="V:Rule7" type="connector" idref="#_x0000_s1114"/>
        <o:r id="V:Rule8"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F86"/>
    <w:pPr>
      <w:spacing w:after="240" w:line="260" w:lineRule="exact"/>
      <w:jc w:val="both"/>
    </w:pPr>
    <w:rPr>
      <w:rFonts w:ascii="Book Antiqua" w:hAnsi="Book Antiqua"/>
    </w:rPr>
  </w:style>
  <w:style w:type="paragraph" w:styleId="Heading1">
    <w:name w:val="heading 1"/>
    <w:basedOn w:val="HeadingBase"/>
    <w:next w:val="Normal"/>
    <w:qFormat/>
    <w:rsid w:val="00B1274F"/>
    <w:pPr>
      <w:keepNext w:val="0"/>
      <w:jc w:val="center"/>
      <w:outlineLvl w:val="0"/>
    </w:pPr>
    <w:rPr>
      <w:b/>
      <w:smallCaps/>
      <w:kern w:val="28"/>
      <w:sz w:val="52"/>
    </w:rPr>
  </w:style>
  <w:style w:type="paragraph" w:styleId="Heading2">
    <w:name w:val="heading 2"/>
    <w:basedOn w:val="HeadingBase"/>
    <w:next w:val="Normal"/>
    <w:qFormat/>
    <w:rsid w:val="004F1756"/>
    <w:pPr>
      <w:keepNext w:val="0"/>
      <w:spacing w:after="360"/>
      <w:jc w:val="center"/>
      <w:outlineLvl w:val="1"/>
    </w:pPr>
    <w:rPr>
      <w:rFonts w:ascii="Arial Bold" w:hAnsi="Arial Bold" w:cs="Arial"/>
      <w:b/>
      <w:smallCaps/>
      <w:sz w:val="34"/>
      <w:szCs w:val="34"/>
    </w:rPr>
  </w:style>
  <w:style w:type="paragraph" w:styleId="Heading3">
    <w:name w:val="heading 3"/>
    <w:basedOn w:val="HeadingBase"/>
    <w:next w:val="Normal"/>
    <w:link w:val="Heading3Char"/>
    <w:qFormat/>
    <w:rsid w:val="008D2DD0"/>
    <w:pPr>
      <w:keepNext w:val="0"/>
      <w:tabs>
        <w:tab w:val="left" w:pos="709"/>
      </w:tabs>
      <w:spacing w:after="240"/>
      <w:outlineLvl w:val="2"/>
    </w:pPr>
    <w:rPr>
      <w:rFonts w:cs="Arial"/>
      <w:sz w:val="30"/>
      <w:szCs w:val="30"/>
    </w:rPr>
  </w:style>
  <w:style w:type="paragraph" w:styleId="Heading4">
    <w:name w:val="heading 4"/>
    <w:basedOn w:val="HeadingBase"/>
    <w:next w:val="Normal"/>
    <w:qFormat/>
    <w:rsid w:val="008D2DD0"/>
    <w:pPr>
      <w:keepNext w:val="0"/>
      <w:tabs>
        <w:tab w:val="left" w:pos="709"/>
      </w:tabs>
      <w:spacing w:before="240" w:after="240"/>
      <w:outlineLvl w:val="3"/>
    </w:pPr>
    <w:rPr>
      <w:rFonts w:cs="Arial"/>
      <w:b/>
      <w:smallCaps/>
      <w:sz w:val="26"/>
    </w:rPr>
  </w:style>
  <w:style w:type="paragraph" w:styleId="Heading5">
    <w:name w:val="heading 5"/>
    <w:basedOn w:val="HeadingBase"/>
    <w:next w:val="Normal"/>
    <w:link w:val="Heading5Char"/>
    <w:qFormat/>
    <w:rsid w:val="00E453F8"/>
    <w:pPr>
      <w:keepNext w:val="0"/>
      <w:spacing w:before="120" w:after="60"/>
      <w:outlineLvl w:val="4"/>
    </w:pPr>
    <w:rPr>
      <w:rFonts w:cs="Arial"/>
      <w:b/>
      <w:sz w:val="20"/>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6"/>
    <w:next w:val="Normal"/>
    <w:qFormat/>
    <w:rsid w:val="00A37DF9"/>
    <w:pPr>
      <w:keepNext w:val="0"/>
      <w:outlineLvl w:val="6"/>
    </w:pPr>
    <w:rPr>
      <w:b/>
      <w:bCs w:val="0"/>
      <w:sz w:val="22"/>
      <w:szCs w:val="20"/>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Department"/>
    <w:qFormat/>
    <w:rsid w:val="005B4B12"/>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2B2687"/>
    <w:pPr>
      <w:spacing w:after="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aliases w:val="NFP GP Bulleted List,List Paragraph1,Recommendation"/>
    <w:basedOn w:val="Normal"/>
    <w:next w:val="TOC9"/>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D2DD0"/>
    <w:rPr>
      <w:rFonts w:ascii="Arial" w:hAnsi="Arial" w:cs="Arial"/>
      <w:sz w:val="30"/>
      <w:szCs w:val="30"/>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paragraph" w:styleId="BodyText">
    <w:name w:val="Body Text"/>
    <w:basedOn w:val="Normal"/>
    <w:link w:val="BodyTextChar"/>
    <w:uiPriority w:val="99"/>
    <w:rsid w:val="004B66F1"/>
    <w:pPr>
      <w:spacing w:after="120"/>
    </w:pPr>
  </w:style>
  <w:style w:type="character" w:customStyle="1" w:styleId="BodyTextChar">
    <w:name w:val="Body Text Char"/>
    <w:basedOn w:val="DefaultParagraphFont"/>
    <w:link w:val="BodyText"/>
    <w:uiPriority w:val="99"/>
    <w:rsid w:val="004B66F1"/>
    <w:rPr>
      <w:rFonts w:ascii="Book Antiqua" w:hAnsi="Book Antiqua"/>
    </w:rPr>
  </w:style>
  <w:style w:type="character" w:customStyle="1" w:styleId="Heading5Char">
    <w:name w:val="Heading 5 Char"/>
    <w:basedOn w:val="DefaultParagraphFont"/>
    <w:link w:val="Heading5"/>
    <w:rsid w:val="00E453F8"/>
    <w:rPr>
      <w:rFonts w:ascii="Arial" w:hAnsi="Arial" w:cs="Arial"/>
      <w:b/>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872C20"/>
    <w:rPr>
      <w:rFonts w:ascii="Calibri" w:eastAsia="Calibri" w:hAnsi="Calibri"/>
      <w:sz w:val="22"/>
      <w:szCs w:val="22"/>
      <w:lang w:val="en-US" w:eastAsia="en-US"/>
    </w:rPr>
  </w:style>
  <w:style w:type="paragraph" w:customStyle="1" w:styleId="HeadingMin">
    <w:name w:val="HeadingMin"/>
    <w:basedOn w:val="Normal"/>
    <w:rsid w:val="000D084B"/>
    <w:pPr>
      <w:spacing w:after="0" w:line="240" w:lineRule="auto"/>
      <w:jc w:val="center"/>
    </w:pPr>
    <w:rPr>
      <w:rFonts w:ascii="Arial" w:hAnsi="Arial"/>
      <w:caps/>
      <w:spacing w:val="20"/>
      <w:sz w:val="40"/>
      <w:szCs w:val="24"/>
    </w:rPr>
  </w:style>
  <w:style w:type="paragraph" w:customStyle="1" w:styleId="HeadingOffice">
    <w:name w:val="HeadingOffice"/>
    <w:basedOn w:val="Normal"/>
    <w:rsid w:val="000D084B"/>
    <w:pPr>
      <w:spacing w:after="0" w:line="240" w:lineRule="auto"/>
      <w:jc w:val="center"/>
    </w:pPr>
    <w:rPr>
      <w:rFonts w:ascii="Arial" w:hAnsi="Arial"/>
      <w:spacing w:val="10"/>
      <w:sz w:val="28"/>
      <w:szCs w:val="24"/>
    </w:rPr>
  </w:style>
  <w:style w:type="character" w:customStyle="1" w:styleId="FooterChar">
    <w:name w:val="Footer Char"/>
    <w:basedOn w:val="DefaultParagraphFont"/>
    <w:link w:val="Footer"/>
    <w:uiPriority w:val="99"/>
    <w:rsid w:val="008A2E5A"/>
    <w:rPr>
      <w:rFonts w:ascii="Arial" w:hAnsi="Arial"/>
    </w:rPr>
  </w:style>
  <w:style w:type="character" w:styleId="Emphasis">
    <w:name w:val="Emphasis"/>
    <w:uiPriority w:val="20"/>
    <w:qFormat/>
    <w:rsid w:val="00901F17"/>
    <w:rPr>
      <w:i/>
      <w:iCs/>
    </w:rPr>
  </w:style>
  <w:style w:type="character" w:customStyle="1" w:styleId="TableTextBulletChar">
    <w:name w:val="Table Text Bullet Char"/>
    <w:link w:val="TableTextBullet"/>
    <w:rsid w:val="00A00FC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875667">
      <w:bodyDiv w:val="1"/>
      <w:marLeft w:val="0"/>
      <w:marRight w:val="0"/>
      <w:marTop w:val="0"/>
      <w:marBottom w:val="0"/>
      <w:divBdr>
        <w:top w:val="none" w:sz="0" w:space="0" w:color="auto"/>
        <w:left w:val="none" w:sz="0" w:space="0" w:color="auto"/>
        <w:bottom w:val="none" w:sz="0" w:space="0" w:color="auto"/>
        <w:right w:val="none" w:sz="0" w:space="0" w:color="auto"/>
      </w:divBdr>
    </w:div>
    <w:div w:id="15931586">
      <w:bodyDiv w:val="1"/>
      <w:marLeft w:val="0"/>
      <w:marRight w:val="0"/>
      <w:marTop w:val="0"/>
      <w:marBottom w:val="0"/>
      <w:divBdr>
        <w:top w:val="none" w:sz="0" w:space="0" w:color="auto"/>
        <w:left w:val="none" w:sz="0" w:space="0" w:color="auto"/>
        <w:bottom w:val="none" w:sz="0" w:space="0" w:color="auto"/>
        <w:right w:val="none" w:sz="0" w:space="0" w:color="auto"/>
      </w:divBdr>
    </w:div>
    <w:div w:id="16733247">
      <w:bodyDiv w:val="1"/>
      <w:marLeft w:val="0"/>
      <w:marRight w:val="0"/>
      <w:marTop w:val="0"/>
      <w:marBottom w:val="0"/>
      <w:divBdr>
        <w:top w:val="none" w:sz="0" w:space="0" w:color="auto"/>
        <w:left w:val="none" w:sz="0" w:space="0" w:color="auto"/>
        <w:bottom w:val="none" w:sz="0" w:space="0" w:color="auto"/>
        <w:right w:val="none" w:sz="0" w:space="0" w:color="auto"/>
      </w:divBdr>
    </w:div>
    <w:div w:id="48113810">
      <w:bodyDiv w:val="1"/>
      <w:marLeft w:val="0"/>
      <w:marRight w:val="0"/>
      <w:marTop w:val="0"/>
      <w:marBottom w:val="0"/>
      <w:divBdr>
        <w:top w:val="none" w:sz="0" w:space="0" w:color="auto"/>
        <w:left w:val="none" w:sz="0" w:space="0" w:color="auto"/>
        <w:bottom w:val="none" w:sz="0" w:space="0" w:color="auto"/>
        <w:right w:val="none" w:sz="0" w:space="0" w:color="auto"/>
      </w:divBdr>
    </w:div>
    <w:div w:id="7879773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972225">
      <w:bodyDiv w:val="1"/>
      <w:marLeft w:val="0"/>
      <w:marRight w:val="0"/>
      <w:marTop w:val="0"/>
      <w:marBottom w:val="0"/>
      <w:divBdr>
        <w:top w:val="none" w:sz="0" w:space="0" w:color="auto"/>
        <w:left w:val="none" w:sz="0" w:space="0" w:color="auto"/>
        <w:bottom w:val="none" w:sz="0" w:space="0" w:color="auto"/>
        <w:right w:val="none" w:sz="0" w:space="0" w:color="auto"/>
      </w:divBdr>
    </w:div>
    <w:div w:id="106852591">
      <w:bodyDiv w:val="1"/>
      <w:marLeft w:val="0"/>
      <w:marRight w:val="0"/>
      <w:marTop w:val="0"/>
      <w:marBottom w:val="0"/>
      <w:divBdr>
        <w:top w:val="none" w:sz="0" w:space="0" w:color="auto"/>
        <w:left w:val="none" w:sz="0" w:space="0" w:color="auto"/>
        <w:bottom w:val="none" w:sz="0" w:space="0" w:color="auto"/>
        <w:right w:val="none" w:sz="0" w:space="0" w:color="auto"/>
      </w:divBdr>
    </w:div>
    <w:div w:id="1432781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1843573">
      <w:bodyDiv w:val="1"/>
      <w:marLeft w:val="0"/>
      <w:marRight w:val="0"/>
      <w:marTop w:val="0"/>
      <w:marBottom w:val="0"/>
      <w:divBdr>
        <w:top w:val="none" w:sz="0" w:space="0" w:color="auto"/>
        <w:left w:val="none" w:sz="0" w:space="0" w:color="auto"/>
        <w:bottom w:val="none" w:sz="0" w:space="0" w:color="auto"/>
        <w:right w:val="none" w:sz="0" w:space="0" w:color="auto"/>
      </w:divBdr>
    </w:div>
    <w:div w:id="207227727">
      <w:bodyDiv w:val="1"/>
      <w:marLeft w:val="0"/>
      <w:marRight w:val="0"/>
      <w:marTop w:val="0"/>
      <w:marBottom w:val="0"/>
      <w:divBdr>
        <w:top w:val="none" w:sz="0" w:space="0" w:color="auto"/>
        <w:left w:val="none" w:sz="0" w:space="0" w:color="auto"/>
        <w:bottom w:val="none" w:sz="0" w:space="0" w:color="auto"/>
        <w:right w:val="none" w:sz="0" w:space="0" w:color="auto"/>
      </w:divBdr>
    </w:div>
    <w:div w:id="213665568">
      <w:bodyDiv w:val="1"/>
      <w:marLeft w:val="0"/>
      <w:marRight w:val="0"/>
      <w:marTop w:val="0"/>
      <w:marBottom w:val="0"/>
      <w:divBdr>
        <w:top w:val="none" w:sz="0" w:space="0" w:color="auto"/>
        <w:left w:val="none" w:sz="0" w:space="0" w:color="auto"/>
        <w:bottom w:val="none" w:sz="0" w:space="0" w:color="auto"/>
        <w:right w:val="none" w:sz="0" w:space="0" w:color="auto"/>
      </w:divBdr>
    </w:div>
    <w:div w:id="21701794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053582">
      <w:bodyDiv w:val="1"/>
      <w:marLeft w:val="0"/>
      <w:marRight w:val="0"/>
      <w:marTop w:val="0"/>
      <w:marBottom w:val="0"/>
      <w:divBdr>
        <w:top w:val="none" w:sz="0" w:space="0" w:color="auto"/>
        <w:left w:val="none" w:sz="0" w:space="0" w:color="auto"/>
        <w:bottom w:val="none" w:sz="0" w:space="0" w:color="auto"/>
        <w:right w:val="none" w:sz="0" w:space="0" w:color="auto"/>
      </w:divBdr>
    </w:div>
    <w:div w:id="237981028">
      <w:bodyDiv w:val="1"/>
      <w:marLeft w:val="0"/>
      <w:marRight w:val="0"/>
      <w:marTop w:val="0"/>
      <w:marBottom w:val="0"/>
      <w:divBdr>
        <w:top w:val="none" w:sz="0" w:space="0" w:color="auto"/>
        <w:left w:val="none" w:sz="0" w:space="0" w:color="auto"/>
        <w:bottom w:val="none" w:sz="0" w:space="0" w:color="auto"/>
        <w:right w:val="none" w:sz="0" w:space="0" w:color="auto"/>
      </w:divBdr>
    </w:div>
    <w:div w:id="239025080">
      <w:bodyDiv w:val="1"/>
      <w:marLeft w:val="0"/>
      <w:marRight w:val="0"/>
      <w:marTop w:val="0"/>
      <w:marBottom w:val="0"/>
      <w:divBdr>
        <w:top w:val="none" w:sz="0" w:space="0" w:color="auto"/>
        <w:left w:val="none" w:sz="0" w:space="0" w:color="auto"/>
        <w:bottom w:val="none" w:sz="0" w:space="0" w:color="auto"/>
        <w:right w:val="none" w:sz="0" w:space="0" w:color="auto"/>
      </w:divBdr>
    </w:div>
    <w:div w:id="241648202">
      <w:bodyDiv w:val="1"/>
      <w:marLeft w:val="0"/>
      <w:marRight w:val="0"/>
      <w:marTop w:val="0"/>
      <w:marBottom w:val="0"/>
      <w:divBdr>
        <w:top w:val="none" w:sz="0" w:space="0" w:color="auto"/>
        <w:left w:val="none" w:sz="0" w:space="0" w:color="auto"/>
        <w:bottom w:val="none" w:sz="0" w:space="0" w:color="auto"/>
        <w:right w:val="none" w:sz="0" w:space="0" w:color="auto"/>
      </w:divBdr>
    </w:div>
    <w:div w:id="252863759">
      <w:bodyDiv w:val="1"/>
      <w:marLeft w:val="0"/>
      <w:marRight w:val="0"/>
      <w:marTop w:val="0"/>
      <w:marBottom w:val="0"/>
      <w:divBdr>
        <w:top w:val="none" w:sz="0" w:space="0" w:color="auto"/>
        <w:left w:val="none" w:sz="0" w:space="0" w:color="auto"/>
        <w:bottom w:val="none" w:sz="0" w:space="0" w:color="auto"/>
        <w:right w:val="none" w:sz="0" w:space="0" w:color="auto"/>
      </w:divBdr>
    </w:div>
    <w:div w:id="290673867">
      <w:bodyDiv w:val="1"/>
      <w:marLeft w:val="0"/>
      <w:marRight w:val="0"/>
      <w:marTop w:val="0"/>
      <w:marBottom w:val="0"/>
      <w:divBdr>
        <w:top w:val="none" w:sz="0" w:space="0" w:color="auto"/>
        <w:left w:val="none" w:sz="0" w:space="0" w:color="auto"/>
        <w:bottom w:val="none" w:sz="0" w:space="0" w:color="auto"/>
        <w:right w:val="none" w:sz="0" w:space="0" w:color="auto"/>
      </w:divBdr>
    </w:div>
    <w:div w:id="29742010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426179">
      <w:bodyDiv w:val="1"/>
      <w:marLeft w:val="0"/>
      <w:marRight w:val="0"/>
      <w:marTop w:val="0"/>
      <w:marBottom w:val="0"/>
      <w:divBdr>
        <w:top w:val="none" w:sz="0" w:space="0" w:color="auto"/>
        <w:left w:val="none" w:sz="0" w:space="0" w:color="auto"/>
        <w:bottom w:val="none" w:sz="0" w:space="0" w:color="auto"/>
        <w:right w:val="none" w:sz="0" w:space="0" w:color="auto"/>
      </w:divBdr>
    </w:div>
    <w:div w:id="311255637">
      <w:bodyDiv w:val="1"/>
      <w:marLeft w:val="0"/>
      <w:marRight w:val="0"/>
      <w:marTop w:val="0"/>
      <w:marBottom w:val="0"/>
      <w:divBdr>
        <w:top w:val="none" w:sz="0" w:space="0" w:color="auto"/>
        <w:left w:val="none" w:sz="0" w:space="0" w:color="auto"/>
        <w:bottom w:val="none" w:sz="0" w:space="0" w:color="auto"/>
        <w:right w:val="none" w:sz="0" w:space="0" w:color="auto"/>
      </w:divBdr>
    </w:div>
    <w:div w:id="3250140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1057944">
      <w:bodyDiv w:val="1"/>
      <w:marLeft w:val="0"/>
      <w:marRight w:val="0"/>
      <w:marTop w:val="0"/>
      <w:marBottom w:val="0"/>
      <w:divBdr>
        <w:top w:val="none" w:sz="0" w:space="0" w:color="auto"/>
        <w:left w:val="none" w:sz="0" w:space="0" w:color="auto"/>
        <w:bottom w:val="none" w:sz="0" w:space="0" w:color="auto"/>
        <w:right w:val="none" w:sz="0" w:space="0" w:color="auto"/>
      </w:divBdr>
    </w:div>
    <w:div w:id="343243777">
      <w:bodyDiv w:val="1"/>
      <w:marLeft w:val="0"/>
      <w:marRight w:val="0"/>
      <w:marTop w:val="0"/>
      <w:marBottom w:val="0"/>
      <w:divBdr>
        <w:top w:val="none" w:sz="0" w:space="0" w:color="auto"/>
        <w:left w:val="none" w:sz="0" w:space="0" w:color="auto"/>
        <w:bottom w:val="none" w:sz="0" w:space="0" w:color="auto"/>
        <w:right w:val="none" w:sz="0" w:space="0" w:color="auto"/>
      </w:divBdr>
    </w:div>
    <w:div w:id="3434406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0682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737272">
      <w:bodyDiv w:val="1"/>
      <w:marLeft w:val="0"/>
      <w:marRight w:val="0"/>
      <w:marTop w:val="0"/>
      <w:marBottom w:val="0"/>
      <w:divBdr>
        <w:top w:val="none" w:sz="0" w:space="0" w:color="auto"/>
        <w:left w:val="none" w:sz="0" w:space="0" w:color="auto"/>
        <w:bottom w:val="none" w:sz="0" w:space="0" w:color="auto"/>
        <w:right w:val="none" w:sz="0" w:space="0" w:color="auto"/>
      </w:divBdr>
    </w:div>
    <w:div w:id="382027844">
      <w:bodyDiv w:val="1"/>
      <w:marLeft w:val="0"/>
      <w:marRight w:val="0"/>
      <w:marTop w:val="0"/>
      <w:marBottom w:val="0"/>
      <w:divBdr>
        <w:top w:val="none" w:sz="0" w:space="0" w:color="auto"/>
        <w:left w:val="none" w:sz="0" w:space="0" w:color="auto"/>
        <w:bottom w:val="none" w:sz="0" w:space="0" w:color="auto"/>
        <w:right w:val="none" w:sz="0" w:space="0" w:color="auto"/>
      </w:divBdr>
    </w:div>
    <w:div w:id="390882456">
      <w:bodyDiv w:val="1"/>
      <w:marLeft w:val="0"/>
      <w:marRight w:val="0"/>
      <w:marTop w:val="0"/>
      <w:marBottom w:val="0"/>
      <w:divBdr>
        <w:top w:val="none" w:sz="0" w:space="0" w:color="auto"/>
        <w:left w:val="none" w:sz="0" w:space="0" w:color="auto"/>
        <w:bottom w:val="none" w:sz="0" w:space="0" w:color="auto"/>
        <w:right w:val="none" w:sz="0" w:space="0" w:color="auto"/>
      </w:divBdr>
    </w:div>
    <w:div w:id="394358723">
      <w:bodyDiv w:val="1"/>
      <w:marLeft w:val="0"/>
      <w:marRight w:val="0"/>
      <w:marTop w:val="0"/>
      <w:marBottom w:val="0"/>
      <w:divBdr>
        <w:top w:val="none" w:sz="0" w:space="0" w:color="auto"/>
        <w:left w:val="none" w:sz="0" w:space="0" w:color="auto"/>
        <w:bottom w:val="none" w:sz="0" w:space="0" w:color="auto"/>
        <w:right w:val="none" w:sz="0" w:space="0" w:color="auto"/>
      </w:divBdr>
    </w:div>
    <w:div w:id="396251118">
      <w:bodyDiv w:val="1"/>
      <w:marLeft w:val="0"/>
      <w:marRight w:val="0"/>
      <w:marTop w:val="0"/>
      <w:marBottom w:val="0"/>
      <w:divBdr>
        <w:top w:val="none" w:sz="0" w:space="0" w:color="auto"/>
        <w:left w:val="none" w:sz="0" w:space="0" w:color="auto"/>
        <w:bottom w:val="none" w:sz="0" w:space="0" w:color="auto"/>
        <w:right w:val="none" w:sz="0" w:space="0" w:color="auto"/>
      </w:divBdr>
    </w:div>
    <w:div w:id="428895462">
      <w:bodyDiv w:val="1"/>
      <w:marLeft w:val="0"/>
      <w:marRight w:val="0"/>
      <w:marTop w:val="0"/>
      <w:marBottom w:val="0"/>
      <w:divBdr>
        <w:top w:val="none" w:sz="0" w:space="0" w:color="auto"/>
        <w:left w:val="none" w:sz="0" w:space="0" w:color="auto"/>
        <w:bottom w:val="none" w:sz="0" w:space="0" w:color="auto"/>
        <w:right w:val="none" w:sz="0" w:space="0" w:color="auto"/>
      </w:divBdr>
    </w:div>
    <w:div w:id="446698882">
      <w:bodyDiv w:val="1"/>
      <w:marLeft w:val="0"/>
      <w:marRight w:val="0"/>
      <w:marTop w:val="0"/>
      <w:marBottom w:val="0"/>
      <w:divBdr>
        <w:top w:val="none" w:sz="0" w:space="0" w:color="auto"/>
        <w:left w:val="none" w:sz="0" w:space="0" w:color="auto"/>
        <w:bottom w:val="none" w:sz="0" w:space="0" w:color="auto"/>
        <w:right w:val="none" w:sz="0" w:space="0" w:color="auto"/>
      </w:divBdr>
    </w:div>
    <w:div w:id="44770116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5102728">
      <w:bodyDiv w:val="1"/>
      <w:marLeft w:val="0"/>
      <w:marRight w:val="0"/>
      <w:marTop w:val="0"/>
      <w:marBottom w:val="0"/>
      <w:divBdr>
        <w:top w:val="none" w:sz="0" w:space="0" w:color="auto"/>
        <w:left w:val="none" w:sz="0" w:space="0" w:color="auto"/>
        <w:bottom w:val="none" w:sz="0" w:space="0" w:color="auto"/>
        <w:right w:val="none" w:sz="0" w:space="0" w:color="auto"/>
      </w:divBdr>
    </w:div>
    <w:div w:id="491290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8721086">
      <w:bodyDiv w:val="1"/>
      <w:marLeft w:val="0"/>
      <w:marRight w:val="0"/>
      <w:marTop w:val="0"/>
      <w:marBottom w:val="0"/>
      <w:divBdr>
        <w:top w:val="none" w:sz="0" w:space="0" w:color="auto"/>
        <w:left w:val="none" w:sz="0" w:space="0" w:color="auto"/>
        <w:bottom w:val="none" w:sz="0" w:space="0" w:color="auto"/>
        <w:right w:val="none" w:sz="0" w:space="0" w:color="auto"/>
      </w:divBdr>
    </w:div>
    <w:div w:id="534193809">
      <w:bodyDiv w:val="1"/>
      <w:marLeft w:val="0"/>
      <w:marRight w:val="0"/>
      <w:marTop w:val="0"/>
      <w:marBottom w:val="0"/>
      <w:divBdr>
        <w:top w:val="none" w:sz="0" w:space="0" w:color="auto"/>
        <w:left w:val="none" w:sz="0" w:space="0" w:color="auto"/>
        <w:bottom w:val="none" w:sz="0" w:space="0" w:color="auto"/>
        <w:right w:val="none" w:sz="0" w:space="0" w:color="auto"/>
      </w:divBdr>
    </w:div>
    <w:div w:id="566108423">
      <w:bodyDiv w:val="1"/>
      <w:marLeft w:val="0"/>
      <w:marRight w:val="0"/>
      <w:marTop w:val="0"/>
      <w:marBottom w:val="0"/>
      <w:divBdr>
        <w:top w:val="none" w:sz="0" w:space="0" w:color="auto"/>
        <w:left w:val="none" w:sz="0" w:space="0" w:color="auto"/>
        <w:bottom w:val="none" w:sz="0" w:space="0" w:color="auto"/>
        <w:right w:val="none" w:sz="0" w:space="0" w:color="auto"/>
      </w:divBdr>
    </w:div>
    <w:div w:id="574586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4001">
      <w:bodyDiv w:val="1"/>
      <w:marLeft w:val="0"/>
      <w:marRight w:val="0"/>
      <w:marTop w:val="0"/>
      <w:marBottom w:val="0"/>
      <w:divBdr>
        <w:top w:val="none" w:sz="0" w:space="0" w:color="auto"/>
        <w:left w:val="none" w:sz="0" w:space="0" w:color="auto"/>
        <w:bottom w:val="none" w:sz="0" w:space="0" w:color="auto"/>
        <w:right w:val="none" w:sz="0" w:space="0" w:color="auto"/>
      </w:divBdr>
    </w:div>
    <w:div w:id="617493845">
      <w:bodyDiv w:val="1"/>
      <w:marLeft w:val="0"/>
      <w:marRight w:val="0"/>
      <w:marTop w:val="0"/>
      <w:marBottom w:val="0"/>
      <w:divBdr>
        <w:top w:val="none" w:sz="0" w:space="0" w:color="auto"/>
        <w:left w:val="none" w:sz="0" w:space="0" w:color="auto"/>
        <w:bottom w:val="none" w:sz="0" w:space="0" w:color="auto"/>
        <w:right w:val="none" w:sz="0" w:space="0" w:color="auto"/>
      </w:divBdr>
    </w:div>
    <w:div w:id="618336174">
      <w:bodyDiv w:val="1"/>
      <w:marLeft w:val="0"/>
      <w:marRight w:val="0"/>
      <w:marTop w:val="0"/>
      <w:marBottom w:val="0"/>
      <w:divBdr>
        <w:top w:val="none" w:sz="0" w:space="0" w:color="auto"/>
        <w:left w:val="none" w:sz="0" w:space="0" w:color="auto"/>
        <w:bottom w:val="none" w:sz="0" w:space="0" w:color="auto"/>
        <w:right w:val="none" w:sz="0" w:space="0" w:color="auto"/>
      </w:divBdr>
    </w:div>
    <w:div w:id="632951924">
      <w:bodyDiv w:val="1"/>
      <w:marLeft w:val="0"/>
      <w:marRight w:val="0"/>
      <w:marTop w:val="0"/>
      <w:marBottom w:val="0"/>
      <w:divBdr>
        <w:top w:val="none" w:sz="0" w:space="0" w:color="auto"/>
        <w:left w:val="none" w:sz="0" w:space="0" w:color="auto"/>
        <w:bottom w:val="none" w:sz="0" w:space="0" w:color="auto"/>
        <w:right w:val="none" w:sz="0" w:space="0" w:color="auto"/>
      </w:divBdr>
    </w:div>
    <w:div w:id="644940959">
      <w:bodyDiv w:val="1"/>
      <w:marLeft w:val="0"/>
      <w:marRight w:val="0"/>
      <w:marTop w:val="0"/>
      <w:marBottom w:val="0"/>
      <w:divBdr>
        <w:top w:val="none" w:sz="0" w:space="0" w:color="auto"/>
        <w:left w:val="none" w:sz="0" w:space="0" w:color="auto"/>
        <w:bottom w:val="none" w:sz="0" w:space="0" w:color="auto"/>
        <w:right w:val="none" w:sz="0" w:space="0" w:color="auto"/>
      </w:divBdr>
    </w:div>
    <w:div w:id="648747730">
      <w:bodyDiv w:val="1"/>
      <w:marLeft w:val="0"/>
      <w:marRight w:val="0"/>
      <w:marTop w:val="0"/>
      <w:marBottom w:val="0"/>
      <w:divBdr>
        <w:top w:val="none" w:sz="0" w:space="0" w:color="auto"/>
        <w:left w:val="none" w:sz="0" w:space="0" w:color="auto"/>
        <w:bottom w:val="none" w:sz="0" w:space="0" w:color="auto"/>
        <w:right w:val="none" w:sz="0" w:space="0" w:color="auto"/>
      </w:divBdr>
    </w:div>
    <w:div w:id="678387635">
      <w:bodyDiv w:val="1"/>
      <w:marLeft w:val="0"/>
      <w:marRight w:val="0"/>
      <w:marTop w:val="0"/>
      <w:marBottom w:val="0"/>
      <w:divBdr>
        <w:top w:val="none" w:sz="0" w:space="0" w:color="auto"/>
        <w:left w:val="none" w:sz="0" w:space="0" w:color="auto"/>
        <w:bottom w:val="none" w:sz="0" w:space="0" w:color="auto"/>
        <w:right w:val="none" w:sz="0" w:space="0" w:color="auto"/>
      </w:divBdr>
    </w:div>
    <w:div w:id="703362902">
      <w:bodyDiv w:val="1"/>
      <w:marLeft w:val="0"/>
      <w:marRight w:val="0"/>
      <w:marTop w:val="0"/>
      <w:marBottom w:val="0"/>
      <w:divBdr>
        <w:top w:val="none" w:sz="0" w:space="0" w:color="auto"/>
        <w:left w:val="none" w:sz="0" w:space="0" w:color="auto"/>
        <w:bottom w:val="none" w:sz="0" w:space="0" w:color="auto"/>
        <w:right w:val="none" w:sz="0" w:space="0" w:color="auto"/>
      </w:divBdr>
    </w:div>
    <w:div w:id="723219266">
      <w:bodyDiv w:val="1"/>
      <w:marLeft w:val="0"/>
      <w:marRight w:val="0"/>
      <w:marTop w:val="0"/>
      <w:marBottom w:val="0"/>
      <w:divBdr>
        <w:top w:val="none" w:sz="0" w:space="0" w:color="auto"/>
        <w:left w:val="none" w:sz="0" w:space="0" w:color="auto"/>
        <w:bottom w:val="none" w:sz="0" w:space="0" w:color="auto"/>
        <w:right w:val="none" w:sz="0" w:space="0" w:color="auto"/>
      </w:divBdr>
    </w:div>
    <w:div w:id="724182765">
      <w:bodyDiv w:val="1"/>
      <w:marLeft w:val="0"/>
      <w:marRight w:val="0"/>
      <w:marTop w:val="0"/>
      <w:marBottom w:val="0"/>
      <w:divBdr>
        <w:top w:val="none" w:sz="0" w:space="0" w:color="auto"/>
        <w:left w:val="none" w:sz="0" w:space="0" w:color="auto"/>
        <w:bottom w:val="none" w:sz="0" w:space="0" w:color="auto"/>
        <w:right w:val="none" w:sz="0" w:space="0" w:color="auto"/>
      </w:divBdr>
    </w:div>
    <w:div w:id="730663296">
      <w:bodyDiv w:val="1"/>
      <w:marLeft w:val="0"/>
      <w:marRight w:val="0"/>
      <w:marTop w:val="0"/>
      <w:marBottom w:val="0"/>
      <w:divBdr>
        <w:top w:val="none" w:sz="0" w:space="0" w:color="auto"/>
        <w:left w:val="none" w:sz="0" w:space="0" w:color="auto"/>
        <w:bottom w:val="none" w:sz="0" w:space="0" w:color="auto"/>
        <w:right w:val="none" w:sz="0" w:space="0" w:color="auto"/>
      </w:divBdr>
    </w:div>
    <w:div w:id="745349109">
      <w:bodyDiv w:val="1"/>
      <w:marLeft w:val="0"/>
      <w:marRight w:val="0"/>
      <w:marTop w:val="0"/>
      <w:marBottom w:val="0"/>
      <w:divBdr>
        <w:top w:val="none" w:sz="0" w:space="0" w:color="auto"/>
        <w:left w:val="none" w:sz="0" w:space="0" w:color="auto"/>
        <w:bottom w:val="none" w:sz="0" w:space="0" w:color="auto"/>
        <w:right w:val="none" w:sz="0" w:space="0" w:color="auto"/>
      </w:divBdr>
    </w:div>
    <w:div w:id="772212723">
      <w:bodyDiv w:val="1"/>
      <w:marLeft w:val="0"/>
      <w:marRight w:val="0"/>
      <w:marTop w:val="0"/>
      <w:marBottom w:val="0"/>
      <w:divBdr>
        <w:top w:val="none" w:sz="0" w:space="0" w:color="auto"/>
        <w:left w:val="none" w:sz="0" w:space="0" w:color="auto"/>
        <w:bottom w:val="none" w:sz="0" w:space="0" w:color="auto"/>
        <w:right w:val="none" w:sz="0" w:space="0" w:color="auto"/>
      </w:divBdr>
    </w:div>
    <w:div w:id="774053512">
      <w:bodyDiv w:val="1"/>
      <w:marLeft w:val="0"/>
      <w:marRight w:val="0"/>
      <w:marTop w:val="0"/>
      <w:marBottom w:val="0"/>
      <w:divBdr>
        <w:top w:val="none" w:sz="0" w:space="0" w:color="auto"/>
        <w:left w:val="none" w:sz="0" w:space="0" w:color="auto"/>
        <w:bottom w:val="none" w:sz="0" w:space="0" w:color="auto"/>
        <w:right w:val="none" w:sz="0" w:space="0" w:color="auto"/>
      </w:divBdr>
    </w:div>
    <w:div w:id="777217173">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
    <w:div w:id="791821132">
      <w:bodyDiv w:val="1"/>
      <w:marLeft w:val="0"/>
      <w:marRight w:val="0"/>
      <w:marTop w:val="0"/>
      <w:marBottom w:val="0"/>
      <w:divBdr>
        <w:top w:val="none" w:sz="0" w:space="0" w:color="auto"/>
        <w:left w:val="none" w:sz="0" w:space="0" w:color="auto"/>
        <w:bottom w:val="none" w:sz="0" w:space="0" w:color="auto"/>
        <w:right w:val="none" w:sz="0" w:space="0" w:color="auto"/>
      </w:divBdr>
    </w:div>
    <w:div w:id="797917482">
      <w:bodyDiv w:val="1"/>
      <w:marLeft w:val="0"/>
      <w:marRight w:val="0"/>
      <w:marTop w:val="0"/>
      <w:marBottom w:val="0"/>
      <w:divBdr>
        <w:top w:val="none" w:sz="0" w:space="0" w:color="auto"/>
        <w:left w:val="none" w:sz="0" w:space="0" w:color="auto"/>
        <w:bottom w:val="none" w:sz="0" w:space="0" w:color="auto"/>
        <w:right w:val="none" w:sz="0" w:space="0" w:color="auto"/>
      </w:divBdr>
    </w:div>
    <w:div w:id="824853926">
      <w:bodyDiv w:val="1"/>
      <w:marLeft w:val="0"/>
      <w:marRight w:val="0"/>
      <w:marTop w:val="0"/>
      <w:marBottom w:val="0"/>
      <w:divBdr>
        <w:top w:val="none" w:sz="0" w:space="0" w:color="auto"/>
        <w:left w:val="none" w:sz="0" w:space="0" w:color="auto"/>
        <w:bottom w:val="none" w:sz="0" w:space="0" w:color="auto"/>
        <w:right w:val="none" w:sz="0" w:space="0" w:color="auto"/>
      </w:divBdr>
    </w:div>
    <w:div w:id="829053857">
      <w:bodyDiv w:val="1"/>
      <w:marLeft w:val="0"/>
      <w:marRight w:val="0"/>
      <w:marTop w:val="0"/>
      <w:marBottom w:val="0"/>
      <w:divBdr>
        <w:top w:val="none" w:sz="0" w:space="0" w:color="auto"/>
        <w:left w:val="none" w:sz="0" w:space="0" w:color="auto"/>
        <w:bottom w:val="none" w:sz="0" w:space="0" w:color="auto"/>
        <w:right w:val="none" w:sz="0" w:space="0" w:color="auto"/>
      </w:divBdr>
    </w:div>
    <w:div w:id="832257572">
      <w:bodyDiv w:val="1"/>
      <w:marLeft w:val="0"/>
      <w:marRight w:val="0"/>
      <w:marTop w:val="0"/>
      <w:marBottom w:val="0"/>
      <w:divBdr>
        <w:top w:val="none" w:sz="0" w:space="0" w:color="auto"/>
        <w:left w:val="none" w:sz="0" w:space="0" w:color="auto"/>
        <w:bottom w:val="none" w:sz="0" w:space="0" w:color="auto"/>
        <w:right w:val="none" w:sz="0" w:space="0" w:color="auto"/>
      </w:divBdr>
    </w:div>
    <w:div w:id="836267157">
      <w:bodyDiv w:val="1"/>
      <w:marLeft w:val="0"/>
      <w:marRight w:val="0"/>
      <w:marTop w:val="0"/>
      <w:marBottom w:val="0"/>
      <w:divBdr>
        <w:top w:val="none" w:sz="0" w:space="0" w:color="auto"/>
        <w:left w:val="none" w:sz="0" w:space="0" w:color="auto"/>
        <w:bottom w:val="none" w:sz="0" w:space="0" w:color="auto"/>
        <w:right w:val="none" w:sz="0" w:space="0" w:color="auto"/>
      </w:divBdr>
    </w:div>
    <w:div w:id="84096956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75580475">
      <w:bodyDiv w:val="1"/>
      <w:marLeft w:val="0"/>
      <w:marRight w:val="0"/>
      <w:marTop w:val="0"/>
      <w:marBottom w:val="0"/>
      <w:divBdr>
        <w:top w:val="none" w:sz="0" w:space="0" w:color="auto"/>
        <w:left w:val="none" w:sz="0" w:space="0" w:color="auto"/>
        <w:bottom w:val="none" w:sz="0" w:space="0" w:color="auto"/>
        <w:right w:val="none" w:sz="0" w:space="0" w:color="auto"/>
      </w:divBdr>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7690765">
      <w:bodyDiv w:val="1"/>
      <w:marLeft w:val="0"/>
      <w:marRight w:val="0"/>
      <w:marTop w:val="0"/>
      <w:marBottom w:val="0"/>
      <w:divBdr>
        <w:top w:val="none" w:sz="0" w:space="0" w:color="auto"/>
        <w:left w:val="none" w:sz="0" w:space="0" w:color="auto"/>
        <w:bottom w:val="none" w:sz="0" w:space="0" w:color="auto"/>
        <w:right w:val="none" w:sz="0" w:space="0" w:color="auto"/>
      </w:divBdr>
    </w:div>
    <w:div w:id="899824175">
      <w:bodyDiv w:val="1"/>
      <w:marLeft w:val="0"/>
      <w:marRight w:val="0"/>
      <w:marTop w:val="0"/>
      <w:marBottom w:val="0"/>
      <w:divBdr>
        <w:top w:val="none" w:sz="0" w:space="0" w:color="auto"/>
        <w:left w:val="none" w:sz="0" w:space="0" w:color="auto"/>
        <w:bottom w:val="none" w:sz="0" w:space="0" w:color="auto"/>
        <w:right w:val="none" w:sz="0" w:space="0" w:color="auto"/>
      </w:divBdr>
    </w:div>
    <w:div w:id="90954001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292888">
      <w:bodyDiv w:val="1"/>
      <w:marLeft w:val="0"/>
      <w:marRight w:val="0"/>
      <w:marTop w:val="0"/>
      <w:marBottom w:val="0"/>
      <w:divBdr>
        <w:top w:val="none" w:sz="0" w:space="0" w:color="auto"/>
        <w:left w:val="none" w:sz="0" w:space="0" w:color="auto"/>
        <w:bottom w:val="none" w:sz="0" w:space="0" w:color="auto"/>
        <w:right w:val="none" w:sz="0" w:space="0" w:color="auto"/>
      </w:divBdr>
    </w:div>
    <w:div w:id="919364728">
      <w:bodyDiv w:val="1"/>
      <w:marLeft w:val="0"/>
      <w:marRight w:val="0"/>
      <w:marTop w:val="0"/>
      <w:marBottom w:val="0"/>
      <w:divBdr>
        <w:top w:val="none" w:sz="0" w:space="0" w:color="auto"/>
        <w:left w:val="none" w:sz="0" w:space="0" w:color="auto"/>
        <w:bottom w:val="none" w:sz="0" w:space="0" w:color="auto"/>
        <w:right w:val="none" w:sz="0" w:space="0" w:color="auto"/>
      </w:divBdr>
    </w:div>
    <w:div w:id="925845560">
      <w:bodyDiv w:val="1"/>
      <w:marLeft w:val="0"/>
      <w:marRight w:val="0"/>
      <w:marTop w:val="0"/>
      <w:marBottom w:val="0"/>
      <w:divBdr>
        <w:top w:val="none" w:sz="0" w:space="0" w:color="auto"/>
        <w:left w:val="none" w:sz="0" w:space="0" w:color="auto"/>
        <w:bottom w:val="none" w:sz="0" w:space="0" w:color="auto"/>
        <w:right w:val="none" w:sz="0" w:space="0" w:color="auto"/>
      </w:divBdr>
    </w:div>
    <w:div w:id="936786190">
      <w:bodyDiv w:val="1"/>
      <w:marLeft w:val="0"/>
      <w:marRight w:val="0"/>
      <w:marTop w:val="0"/>
      <w:marBottom w:val="0"/>
      <w:divBdr>
        <w:top w:val="none" w:sz="0" w:space="0" w:color="auto"/>
        <w:left w:val="none" w:sz="0" w:space="0" w:color="auto"/>
        <w:bottom w:val="none" w:sz="0" w:space="0" w:color="auto"/>
        <w:right w:val="none" w:sz="0" w:space="0" w:color="auto"/>
      </w:divBdr>
    </w:div>
    <w:div w:id="963345780">
      <w:bodyDiv w:val="1"/>
      <w:marLeft w:val="0"/>
      <w:marRight w:val="0"/>
      <w:marTop w:val="0"/>
      <w:marBottom w:val="0"/>
      <w:divBdr>
        <w:top w:val="none" w:sz="0" w:space="0" w:color="auto"/>
        <w:left w:val="none" w:sz="0" w:space="0" w:color="auto"/>
        <w:bottom w:val="none" w:sz="0" w:space="0" w:color="auto"/>
        <w:right w:val="none" w:sz="0" w:space="0" w:color="auto"/>
      </w:divBdr>
    </w:div>
    <w:div w:id="9774883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698093">
      <w:bodyDiv w:val="1"/>
      <w:marLeft w:val="0"/>
      <w:marRight w:val="0"/>
      <w:marTop w:val="0"/>
      <w:marBottom w:val="0"/>
      <w:divBdr>
        <w:top w:val="none" w:sz="0" w:space="0" w:color="auto"/>
        <w:left w:val="none" w:sz="0" w:space="0" w:color="auto"/>
        <w:bottom w:val="none" w:sz="0" w:space="0" w:color="auto"/>
        <w:right w:val="none" w:sz="0" w:space="0" w:color="auto"/>
      </w:divBdr>
    </w:div>
    <w:div w:id="984898352">
      <w:bodyDiv w:val="1"/>
      <w:marLeft w:val="0"/>
      <w:marRight w:val="0"/>
      <w:marTop w:val="0"/>
      <w:marBottom w:val="0"/>
      <w:divBdr>
        <w:top w:val="none" w:sz="0" w:space="0" w:color="auto"/>
        <w:left w:val="none" w:sz="0" w:space="0" w:color="auto"/>
        <w:bottom w:val="none" w:sz="0" w:space="0" w:color="auto"/>
        <w:right w:val="none" w:sz="0" w:space="0" w:color="auto"/>
      </w:divBdr>
    </w:div>
    <w:div w:id="990451712">
      <w:bodyDiv w:val="1"/>
      <w:marLeft w:val="0"/>
      <w:marRight w:val="0"/>
      <w:marTop w:val="0"/>
      <w:marBottom w:val="0"/>
      <w:divBdr>
        <w:top w:val="none" w:sz="0" w:space="0" w:color="auto"/>
        <w:left w:val="none" w:sz="0" w:space="0" w:color="auto"/>
        <w:bottom w:val="none" w:sz="0" w:space="0" w:color="auto"/>
        <w:right w:val="none" w:sz="0" w:space="0" w:color="auto"/>
      </w:divBdr>
    </w:div>
    <w:div w:id="99222140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776255">
      <w:bodyDiv w:val="1"/>
      <w:marLeft w:val="0"/>
      <w:marRight w:val="0"/>
      <w:marTop w:val="0"/>
      <w:marBottom w:val="0"/>
      <w:divBdr>
        <w:top w:val="none" w:sz="0" w:space="0" w:color="auto"/>
        <w:left w:val="none" w:sz="0" w:space="0" w:color="auto"/>
        <w:bottom w:val="none" w:sz="0" w:space="0" w:color="auto"/>
        <w:right w:val="none" w:sz="0" w:space="0" w:color="auto"/>
      </w:divBdr>
    </w:div>
    <w:div w:id="104413900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190243">
      <w:bodyDiv w:val="1"/>
      <w:marLeft w:val="0"/>
      <w:marRight w:val="0"/>
      <w:marTop w:val="0"/>
      <w:marBottom w:val="0"/>
      <w:divBdr>
        <w:top w:val="none" w:sz="0" w:space="0" w:color="auto"/>
        <w:left w:val="none" w:sz="0" w:space="0" w:color="auto"/>
        <w:bottom w:val="none" w:sz="0" w:space="0" w:color="auto"/>
        <w:right w:val="none" w:sz="0" w:space="0" w:color="auto"/>
      </w:divBdr>
    </w:div>
    <w:div w:id="1056123638">
      <w:bodyDiv w:val="1"/>
      <w:marLeft w:val="0"/>
      <w:marRight w:val="0"/>
      <w:marTop w:val="0"/>
      <w:marBottom w:val="0"/>
      <w:divBdr>
        <w:top w:val="none" w:sz="0" w:space="0" w:color="auto"/>
        <w:left w:val="none" w:sz="0" w:space="0" w:color="auto"/>
        <w:bottom w:val="none" w:sz="0" w:space="0" w:color="auto"/>
        <w:right w:val="none" w:sz="0" w:space="0" w:color="auto"/>
      </w:divBdr>
    </w:div>
    <w:div w:id="1062365761">
      <w:bodyDiv w:val="1"/>
      <w:marLeft w:val="0"/>
      <w:marRight w:val="0"/>
      <w:marTop w:val="0"/>
      <w:marBottom w:val="0"/>
      <w:divBdr>
        <w:top w:val="none" w:sz="0" w:space="0" w:color="auto"/>
        <w:left w:val="none" w:sz="0" w:space="0" w:color="auto"/>
        <w:bottom w:val="none" w:sz="0" w:space="0" w:color="auto"/>
        <w:right w:val="none" w:sz="0" w:space="0" w:color="auto"/>
      </w:divBdr>
    </w:div>
    <w:div w:id="107408634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3361244">
      <w:bodyDiv w:val="1"/>
      <w:marLeft w:val="0"/>
      <w:marRight w:val="0"/>
      <w:marTop w:val="0"/>
      <w:marBottom w:val="0"/>
      <w:divBdr>
        <w:top w:val="none" w:sz="0" w:space="0" w:color="auto"/>
        <w:left w:val="none" w:sz="0" w:space="0" w:color="auto"/>
        <w:bottom w:val="none" w:sz="0" w:space="0" w:color="auto"/>
        <w:right w:val="none" w:sz="0" w:space="0" w:color="auto"/>
      </w:divBdr>
    </w:div>
    <w:div w:id="1100447612">
      <w:bodyDiv w:val="1"/>
      <w:marLeft w:val="0"/>
      <w:marRight w:val="0"/>
      <w:marTop w:val="0"/>
      <w:marBottom w:val="0"/>
      <w:divBdr>
        <w:top w:val="none" w:sz="0" w:space="0" w:color="auto"/>
        <w:left w:val="none" w:sz="0" w:space="0" w:color="auto"/>
        <w:bottom w:val="none" w:sz="0" w:space="0" w:color="auto"/>
        <w:right w:val="none" w:sz="0" w:space="0" w:color="auto"/>
      </w:divBdr>
    </w:div>
    <w:div w:id="110318517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432118">
      <w:bodyDiv w:val="1"/>
      <w:marLeft w:val="0"/>
      <w:marRight w:val="0"/>
      <w:marTop w:val="0"/>
      <w:marBottom w:val="0"/>
      <w:divBdr>
        <w:top w:val="none" w:sz="0" w:space="0" w:color="auto"/>
        <w:left w:val="none" w:sz="0" w:space="0" w:color="auto"/>
        <w:bottom w:val="none" w:sz="0" w:space="0" w:color="auto"/>
        <w:right w:val="none" w:sz="0" w:space="0" w:color="auto"/>
      </w:divBdr>
    </w:div>
    <w:div w:id="1110780823">
      <w:bodyDiv w:val="1"/>
      <w:marLeft w:val="0"/>
      <w:marRight w:val="0"/>
      <w:marTop w:val="0"/>
      <w:marBottom w:val="0"/>
      <w:divBdr>
        <w:top w:val="none" w:sz="0" w:space="0" w:color="auto"/>
        <w:left w:val="none" w:sz="0" w:space="0" w:color="auto"/>
        <w:bottom w:val="none" w:sz="0" w:space="0" w:color="auto"/>
        <w:right w:val="none" w:sz="0" w:space="0" w:color="auto"/>
      </w:divBdr>
    </w:div>
    <w:div w:id="1164323700">
      <w:bodyDiv w:val="1"/>
      <w:marLeft w:val="0"/>
      <w:marRight w:val="0"/>
      <w:marTop w:val="0"/>
      <w:marBottom w:val="0"/>
      <w:divBdr>
        <w:top w:val="none" w:sz="0" w:space="0" w:color="auto"/>
        <w:left w:val="none" w:sz="0" w:space="0" w:color="auto"/>
        <w:bottom w:val="none" w:sz="0" w:space="0" w:color="auto"/>
        <w:right w:val="none" w:sz="0" w:space="0" w:color="auto"/>
      </w:divBdr>
    </w:div>
    <w:div w:id="1181579606">
      <w:bodyDiv w:val="1"/>
      <w:marLeft w:val="0"/>
      <w:marRight w:val="0"/>
      <w:marTop w:val="0"/>
      <w:marBottom w:val="0"/>
      <w:divBdr>
        <w:top w:val="none" w:sz="0" w:space="0" w:color="auto"/>
        <w:left w:val="none" w:sz="0" w:space="0" w:color="auto"/>
        <w:bottom w:val="none" w:sz="0" w:space="0" w:color="auto"/>
        <w:right w:val="none" w:sz="0" w:space="0" w:color="auto"/>
      </w:divBdr>
    </w:div>
    <w:div w:id="1185705930">
      <w:bodyDiv w:val="1"/>
      <w:marLeft w:val="0"/>
      <w:marRight w:val="0"/>
      <w:marTop w:val="0"/>
      <w:marBottom w:val="0"/>
      <w:divBdr>
        <w:top w:val="none" w:sz="0" w:space="0" w:color="auto"/>
        <w:left w:val="none" w:sz="0" w:space="0" w:color="auto"/>
        <w:bottom w:val="none" w:sz="0" w:space="0" w:color="auto"/>
        <w:right w:val="none" w:sz="0" w:space="0" w:color="auto"/>
      </w:divBdr>
    </w:div>
    <w:div w:id="1199506917">
      <w:bodyDiv w:val="1"/>
      <w:marLeft w:val="0"/>
      <w:marRight w:val="0"/>
      <w:marTop w:val="0"/>
      <w:marBottom w:val="0"/>
      <w:divBdr>
        <w:top w:val="none" w:sz="0" w:space="0" w:color="auto"/>
        <w:left w:val="none" w:sz="0" w:space="0" w:color="auto"/>
        <w:bottom w:val="none" w:sz="0" w:space="0" w:color="auto"/>
        <w:right w:val="none" w:sz="0" w:space="0" w:color="auto"/>
      </w:divBdr>
    </w:div>
    <w:div w:id="1210799703">
      <w:bodyDiv w:val="1"/>
      <w:marLeft w:val="0"/>
      <w:marRight w:val="0"/>
      <w:marTop w:val="0"/>
      <w:marBottom w:val="0"/>
      <w:divBdr>
        <w:top w:val="none" w:sz="0" w:space="0" w:color="auto"/>
        <w:left w:val="none" w:sz="0" w:space="0" w:color="auto"/>
        <w:bottom w:val="none" w:sz="0" w:space="0" w:color="auto"/>
        <w:right w:val="none" w:sz="0" w:space="0" w:color="auto"/>
      </w:divBdr>
    </w:div>
    <w:div w:id="12198244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57736">
      <w:bodyDiv w:val="1"/>
      <w:marLeft w:val="0"/>
      <w:marRight w:val="0"/>
      <w:marTop w:val="0"/>
      <w:marBottom w:val="0"/>
      <w:divBdr>
        <w:top w:val="none" w:sz="0" w:space="0" w:color="auto"/>
        <w:left w:val="none" w:sz="0" w:space="0" w:color="auto"/>
        <w:bottom w:val="none" w:sz="0" w:space="0" w:color="auto"/>
        <w:right w:val="none" w:sz="0" w:space="0" w:color="auto"/>
      </w:divBdr>
    </w:div>
    <w:div w:id="12721237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131160">
      <w:bodyDiv w:val="1"/>
      <w:marLeft w:val="0"/>
      <w:marRight w:val="0"/>
      <w:marTop w:val="0"/>
      <w:marBottom w:val="0"/>
      <w:divBdr>
        <w:top w:val="none" w:sz="0" w:space="0" w:color="auto"/>
        <w:left w:val="none" w:sz="0" w:space="0" w:color="auto"/>
        <w:bottom w:val="none" w:sz="0" w:space="0" w:color="auto"/>
        <w:right w:val="none" w:sz="0" w:space="0" w:color="auto"/>
      </w:divBdr>
    </w:div>
    <w:div w:id="1296910193">
      <w:bodyDiv w:val="1"/>
      <w:marLeft w:val="0"/>
      <w:marRight w:val="0"/>
      <w:marTop w:val="0"/>
      <w:marBottom w:val="0"/>
      <w:divBdr>
        <w:top w:val="none" w:sz="0" w:space="0" w:color="auto"/>
        <w:left w:val="none" w:sz="0" w:space="0" w:color="auto"/>
        <w:bottom w:val="none" w:sz="0" w:space="0" w:color="auto"/>
        <w:right w:val="none" w:sz="0" w:space="0" w:color="auto"/>
      </w:divBdr>
    </w:div>
    <w:div w:id="1312829037">
      <w:bodyDiv w:val="1"/>
      <w:marLeft w:val="0"/>
      <w:marRight w:val="0"/>
      <w:marTop w:val="0"/>
      <w:marBottom w:val="0"/>
      <w:divBdr>
        <w:top w:val="none" w:sz="0" w:space="0" w:color="auto"/>
        <w:left w:val="none" w:sz="0" w:space="0" w:color="auto"/>
        <w:bottom w:val="none" w:sz="0" w:space="0" w:color="auto"/>
        <w:right w:val="none" w:sz="0" w:space="0" w:color="auto"/>
      </w:divBdr>
    </w:div>
    <w:div w:id="1317413136">
      <w:bodyDiv w:val="1"/>
      <w:marLeft w:val="0"/>
      <w:marRight w:val="0"/>
      <w:marTop w:val="0"/>
      <w:marBottom w:val="0"/>
      <w:divBdr>
        <w:top w:val="none" w:sz="0" w:space="0" w:color="auto"/>
        <w:left w:val="none" w:sz="0" w:space="0" w:color="auto"/>
        <w:bottom w:val="none" w:sz="0" w:space="0" w:color="auto"/>
        <w:right w:val="none" w:sz="0" w:space="0" w:color="auto"/>
      </w:divBdr>
    </w:div>
    <w:div w:id="132430960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838905">
      <w:bodyDiv w:val="1"/>
      <w:marLeft w:val="0"/>
      <w:marRight w:val="0"/>
      <w:marTop w:val="0"/>
      <w:marBottom w:val="0"/>
      <w:divBdr>
        <w:top w:val="none" w:sz="0" w:space="0" w:color="auto"/>
        <w:left w:val="none" w:sz="0" w:space="0" w:color="auto"/>
        <w:bottom w:val="none" w:sz="0" w:space="0" w:color="auto"/>
        <w:right w:val="none" w:sz="0" w:space="0" w:color="auto"/>
      </w:divBdr>
    </w:div>
    <w:div w:id="1362900391">
      <w:bodyDiv w:val="1"/>
      <w:marLeft w:val="0"/>
      <w:marRight w:val="0"/>
      <w:marTop w:val="0"/>
      <w:marBottom w:val="0"/>
      <w:divBdr>
        <w:top w:val="none" w:sz="0" w:space="0" w:color="auto"/>
        <w:left w:val="none" w:sz="0" w:space="0" w:color="auto"/>
        <w:bottom w:val="none" w:sz="0" w:space="0" w:color="auto"/>
        <w:right w:val="none" w:sz="0" w:space="0" w:color="auto"/>
      </w:divBdr>
    </w:div>
    <w:div w:id="1378968206">
      <w:bodyDiv w:val="1"/>
      <w:marLeft w:val="0"/>
      <w:marRight w:val="0"/>
      <w:marTop w:val="0"/>
      <w:marBottom w:val="0"/>
      <w:divBdr>
        <w:top w:val="none" w:sz="0" w:space="0" w:color="auto"/>
        <w:left w:val="none" w:sz="0" w:space="0" w:color="auto"/>
        <w:bottom w:val="none" w:sz="0" w:space="0" w:color="auto"/>
        <w:right w:val="none" w:sz="0" w:space="0" w:color="auto"/>
      </w:divBdr>
    </w:div>
    <w:div w:id="1395465096">
      <w:bodyDiv w:val="1"/>
      <w:marLeft w:val="0"/>
      <w:marRight w:val="0"/>
      <w:marTop w:val="0"/>
      <w:marBottom w:val="0"/>
      <w:divBdr>
        <w:top w:val="none" w:sz="0" w:space="0" w:color="auto"/>
        <w:left w:val="none" w:sz="0" w:space="0" w:color="auto"/>
        <w:bottom w:val="none" w:sz="0" w:space="0" w:color="auto"/>
        <w:right w:val="none" w:sz="0" w:space="0" w:color="auto"/>
      </w:divBdr>
    </w:div>
    <w:div w:id="1395468470">
      <w:bodyDiv w:val="1"/>
      <w:marLeft w:val="0"/>
      <w:marRight w:val="0"/>
      <w:marTop w:val="0"/>
      <w:marBottom w:val="0"/>
      <w:divBdr>
        <w:top w:val="none" w:sz="0" w:space="0" w:color="auto"/>
        <w:left w:val="none" w:sz="0" w:space="0" w:color="auto"/>
        <w:bottom w:val="none" w:sz="0" w:space="0" w:color="auto"/>
        <w:right w:val="none" w:sz="0" w:space="0" w:color="auto"/>
      </w:divBdr>
    </w:div>
    <w:div w:id="1397432449">
      <w:bodyDiv w:val="1"/>
      <w:marLeft w:val="0"/>
      <w:marRight w:val="0"/>
      <w:marTop w:val="0"/>
      <w:marBottom w:val="0"/>
      <w:divBdr>
        <w:top w:val="none" w:sz="0" w:space="0" w:color="auto"/>
        <w:left w:val="none" w:sz="0" w:space="0" w:color="auto"/>
        <w:bottom w:val="none" w:sz="0" w:space="0" w:color="auto"/>
        <w:right w:val="none" w:sz="0" w:space="0" w:color="auto"/>
      </w:divBdr>
    </w:div>
    <w:div w:id="1399743993">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04568474">
      <w:bodyDiv w:val="1"/>
      <w:marLeft w:val="0"/>
      <w:marRight w:val="0"/>
      <w:marTop w:val="0"/>
      <w:marBottom w:val="0"/>
      <w:divBdr>
        <w:top w:val="none" w:sz="0" w:space="0" w:color="auto"/>
        <w:left w:val="none" w:sz="0" w:space="0" w:color="auto"/>
        <w:bottom w:val="none" w:sz="0" w:space="0" w:color="auto"/>
        <w:right w:val="none" w:sz="0" w:space="0" w:color="auto"/>
      </w:divBdr>
    </w:div>
    <w:div w:id="1411973387">
      <w:bodyDiv w:val="1"/>
      <w:marLeft w:val="0"/>
      <w:marRight w:val="0"/>
      <w:marTop w:val="0"/>
      <w:marBottom w:val="0"/>
      <w:divBdr>
        <w:top w:val="none" w:sz="0" w:space="0" w:color="auto"/>
        <w:left w:val="none" w:sz="0" w:space="0" w:color="auto"/>
        <w:bottom w:val="none" w:sz="0" w:space="0" w:color="auto"/>
        <w:right w:val="none" w:sz="0" w:space="0" w:color="auto"/>
      </w:divBdr>
    </w:div>
    <w:div w:id="1421832819">
      <w:bodyDiv w:val="1"/>
      <w:marLeft w:val="0"/>
      <w:marRight w:val="0"/>
      <w:marTop w:val="0"/>
      <w:marBottom w:val="0"/>
      <w:divBdr>
        <w:top w:val="none" w:sz="0" w:space="0" w:color="auto"/>
        <w:left w:val="none" w:sz="0" w:space="0" w:color="auto"/>
        <w:bottom w:val="none" w:sz="0" w:space="0" w:color="auto"/>
        <w:right w:val="none" w:sz="0" w:space="0" w:color="auto"/>
      </w:divBdr>
    </w:div>
    <w:div w:id="1429080940">
      <w:bodyDiv w:val="1"/>
      <w:marLeft w:val="0"/>
      <w:marRight w:val="0"/>
      <w:marTop w:val="0"/>
      <w:marBottom w:val="0"/>
      <w:divBdr>
        <w:top w:val="none" w:sz="0" w:space="0" w:color="auto"/>
        <w:left w:val="none" w:sz="0" w:space="0" w:color="auto"/>
        <w:bottom w:val="none" w:sz="0" w:space="0" w:color="auto"/>
        <w:right w:val="none" w:sz="0" w:space="0" w:color="auto"/>
      </w:divBdr>
    </w:div>
    <w:div w:id="1432973697">
      <w:bodyDiv w:val="1"/>
      <w:marLeft w:val="0"/>
      <w:marRight w:val="0"/>
      <w:marTop w:val="0"/>
      <w:marBottom w:val="0"/>
      <w:divBdr>
        <w:top w:val="none" w:sz="0" w:space="0" w:color="auto"/>
        <w:left w:val="none" w:sz="0" w:space="0" w:color="auto"/>
        <w:bottom w:val="none" w:sz="0" w:space="0" w:color="auto"/>
        <w:right w:val="none" w:sz="0" w:space="0" w:color="auto"/>
      </w:divBdr>
    </w:div>
    <w:div w:id="143917711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116938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055013">
      <w:bodyDiv w:val="1"/>
      <w:marLeft w:val="0"/>
      <w:marRight w:val="0"/>
      <w:marTop w:val="0"/>
      <w:marBottom w:val="0"/>
      <w:divBdr>
        <w:top w:val="none" w:sz="0" w:space="0" w:color="auto"/>
        <w:left w:val="none" w:sz="0" w:space="0" w:color="auto"/>
        <w:bottom w:val="none" w:sz="0" w:space="0" w:color="auto"/>
        <w:right w:val="none" w:sz="0" w:space="0" w:color="auto"/>
      </w:divBdr>
    </w:div>
    <w:div w:id="1510440250">
      <w:bodyDiv w:val="1"/>
      <w:marLeft w:val="0"/>
      <w:marRight w:val="0"/>
      <w:marTop w:val="0"/>
      <w:marBottom w:val="0"/>
      <w:divBdr>
        <w:top w:val="none" w:sz="0" w:space="0" w:color="auto"/>
        <w:left w:val="none" w:sz="0" w:space="0" w:color="auto"/>
        <w:bottom w:val="none" w:sz="0" w:space="0" w:color="auto"/>
        <w:right w:val="none" w:sz="0" w:space="0" w:color="auto"/>
      </w:divBdr>
    </w:div>
    <w:div w:id="1524394747">
      <w:bodyDiv w:val="1"/>
      <w:marLeft w:val="0"/>
      <w:marRight w:val="0"/>
      <w:marTop w:val="0"/>
      <w:marBottom w:val="0"/>
      <w:divBdr>
        <w:top w:val="none" w:sz="0" w:space="0" w:color="auto"/>
        <w:left w:val="none" w:sz="0" w:space="0" w:color="auto"/>
        <w:bottom w:val="none" w:sz="0" w:space="0" w:color="auto"/>
        <w:right w:val="none" w:sz="0" w:space="0" w:color="auto"/>
      </w:divBdr>
    </w:div>
    <w:div w:id="1526669910">
      <w:bodyDiv w:val="1"/>
      <w:marLeft w:val="0"/>
      <w:marRight w:val="0"/>
      <w:marTop w:val="0"/>
      <w:marBottom w:val="0"/>
      <w:divBdr>
        <w:top w:val="none" w:sz="0" w:space="0" w:color="auto"/>
        <w:left w:val="none" w:sz="0" w:space="0" w:color="auto"/>
        <w:bottom w:val="none" w:sz="0" w:space="0" w:color="auto"/>
        <w:right w:val="none" w:sz="0" w:space="0" w:color="auto"/>
      </w:divBdr>
    </w:div>
    <w:div w:id="1548641194">
      <w:bodyDiv w:val="1"/>
      <w:marLeft w:val="0"/>
      <w:marRight w:val="0"/>
      <w:marTop w:val="0"/>
      <w:marBottom w:val="0"/>
      <w:divBdr>
        <w:top w:val="none" w:sz="0" w:space="0" w:color="auto"/>
        <w:left w:val="none" w:sz="0" w:space="0" w:color="auto"/>
        <w:bottom w:val="none" w:sz="0" w:space="0" w:color="auto"/>
        <w:right w:val="none" w:sz="0" w:space="0" w:color="auto"/>
      </w:divBdr>
    </w:div>
    <w:div w:id="1549877733">
      <w:bodyDiv w:val="1"/>
      <w:marLeft w:val="0"/>
      <w:marRight w:val="0"/>
      <w:marTop w:val="0"/>
      <w:marBottom w:val="0"/>
      <w:divBdr>
        <w:top w:val="none" w:sz="0" w:space="0" w:color="auto"/>
        <w:left w:val="none" w:sz="0" w:space="0" w:color="auto"/>
        <w:bottom w:val="none" w:sz="0" w:space="0" w:color="auto"/>
        <w:right w:val="none" w:sz="0" w:space="0" w:color="auto"/>
      </w:divBdr>
    </w:div>
    <w:div w:id="1576281255">
      <w:bodyDiv w:val="1"/>
      <w:marLeft w:val="0"/>
      <w:marRight w:val="0"/>
      <w:marTop w:val="0"/>
      <w:marBottom w:val="0"/>
      <w:divBdr>
        <w:top w:val="none" w:sz="0" w:space="0" w:color="auto"/>
        <w:left w:val="none" w:sz="0" w:space="0" w:color="auto"/>
        <w:bottom w:val="none" w:sz="0" w:space="0" w:color="auto"/>
        <w:right w:val="none" w:sz="0" w:space="0" w:color="auto"/>
      </w:divBdr>
    </w:div>
    <w:div w:id="159543169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143621">
      <w:bodyDiv w:val="1"/>
      <w:marLeft w:val="0"/>
      <w:marRight w:val="0"/>
      <w:marTop w:val="0"/>
      <w:marBottom w:val="0"/>
      <w:divBdr>
        <w:top w:val="none" w:sz="0" w:space="0" w:color="auto"/>
        <w:left w:val="none" w:sz="0" w:space="0" w:color="auto"/>
        <w:bottom w:val="none" w:sz="0" w:space="0" w:color="auto"/>
        <w:right w:val="none" w:sz="0" w:space="0" w:color="auto"/>
      </w:divBdr>
    </w:div>
    <w:div w:id="16100415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5690348">
      <w:bodyDiv w:val="1"/>
      <w:marLeft w:val="0"/>
      <w:marRight w:val="0"/>
      <w:marTop w:val="0"/>
      <w:marBottom w:val="0"/>
      <w:divBdr>
        <w:top w:val="none" w:sz="0" w:space="0" w:color="auto"/>
        <w:left w:val="none" w:sz="0" w:space="0" w:color="auto"/>
        <w:bottom w:val="none" w:sz="0" w:space="0" w:color="auto"/>
        <w:right w:val="none" w:sz="0" w:space="0" w:color="auto"/>
      </w:divBdr>
    </w:div>
    <w:div w:id="1632709773">
      <w:bodyDiv w:val="1"/>
      <w:marLeft w:val="0"/>
      <w:marRight w:val="0"/>
      <w:marTop w:val="0"/>
      <w:marBottom w:val="0"/>
      <w:divBdr>
        <w:top w:val="none" w:sz="0" w:space="0" w:color="auto"/>
        <w:left w:val="none" w:sz="0" w:space="0" w:color="auto"/>
        <w:bottom w:val="none" w:sz="0" w:space="0" w:color="auto"/>
        <w:right w:val="none" w:sz="0" w:space="0" w:color="auto"/>
      </w:divBdr>
    </w:div>
    <w:div w:id="165460389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6928369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139331">
      <w:bodyDiv w:val="1"/>
      <w:marLeft w:val="0"/>
      <w:marRight w:val="0"/>
      <w:marTop w:val="0"/>
      <w:marBottom w:val="0"/>
      <w:divBdr>
        <w:top w:val="none" w:sz="0" w:space="0" w:color="auto"/>
        <w:left w:val="none" w:sz="0" w:space="0" w:color="auto"/>
        <w:bottom w:val="none" w:sz="0" w:space="0" w:color="auto"/>
        <w:right w:val="none" w:sz="0" w:space="0" w:color="auto"/>
      </w:divBdr>
    </w:div>
    <w:div w:id="1715538144">
      <w:bodyDiv w:val="1"/>
      <w:marLeft w:val="0"/>
      <w:marRight w:val="0"/>
      <w:marTop w:val="0"/>
      <w:marBottom w:val="0"/>
      <w:divBdr>
        <w:top w:val="none" w:sz="0" w:space="0" w:color="auto"/>
        <w:left w:val="none" w:sz="0" w:space="0" w:color="auto"/>
        <w:bottom w:val="none" w:sz="0" w:space="0" w:color="auto"/>
        <w:right w:val="none" w:sz="0" w:space="0" w:color="auto"/>
      </w:divBdr>
    </w:div>
    <w:div w:id="1716344956">
      <w:bodyDiv w:val="1"/>
      <w:marLeft w:val="0"/>
      <w:marRight w:val="0"/>
      <w:marTop w:val="0"/>
      <w:marBottom w:val="0"/>
      <w:divBdr>
        <w:top w:val="none" w:sz="0" w:space="0" w:color="auto"/>
        <w:left w:val="none" w:sz="0" w:space="0" w:color="auto"/>
        <w:bottom w:val="none" w:sz="0" w:space="0" w:color="auto"/>
        <w:right w:val="none" w:sz="0" w:space="0" w:color="auto"/>
      </w:divBdr>
    </w:div>
    <w:div w:id="172610286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5319658">
      <w:bodyDiv w:val="1"/>
      <w:marLeft w:val="0"/>
      <w:marRight w:val="0"/>
      <w:marTop w:val="0"/>
      <w:marBottom w:val="0"/>
      <w:divBdr>
        <w:top w:val="none" w:sz="0" w:space="0" w:color="auto"/>
        <w:left w:val="none" w:sz="0" w:space="0" w:color="auto"/>
        <w:bottom w:val="none" w:sz="0" w:space="0" w:color="auto"/>
        <w:right w:val="none" w:sz="0" w:space="0" w:color="auto"/>
      </w:divBdr>
    </w:div>
    <w:div w:id="17557785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061957">
      <w:bodyDiv w:val="1"/>
      <w:marLeft w:val="0"/>
      <w:marRight w:val="0"/>
      <w:marTop w:val="0"/>
      <w:marBottom w:val="0"/>
      <w:divBdr>
        <w:top w:val="none" w:sz="0" w:space="0" w:color="auto"/>
        <w:left w:val="none" w:sz="0" w:space="0" w:color="auto"/>
        <w:bottom w:val="none" w:sz="0" w:space="0" w:color="auto"/>
        <w:right w:val="none" w:sz="0" w:space="0" w:color="auto"/>
      </w:divBdr>
    </w:div>
    <w:div w:id="1778986960">
      <w:bodyDiv w:val="1"/>
      <w:marLeft w:val="0"/>
      <w:marRight w:val="0"/>
      <w:marTop w:val="0"/>
      <w:marBottom w:val="0"/>
      <w:divBdr>
        <w:top w:val="none" w:sz="0" w:space="0" w:color="auto"/>
        <w:left w:val="none" w:sz="0" w:space="0" w:color="auto"/>
        <w:bottom w:val="none" w:sz="0" w:space="0" w:color="auto"/>
        <w:right w:val="none" w:sz="0" w:space="0" w:color="auto"/>
      </w:divBdr>
    </w:div>
    <w:div w:id="1782609666">
      <w:bodyDiv w:val="1"/>
      <w:marLeft w:val="0"/>
      <w:marRight w:val="0"/>
      <w:marTop w:val="0"/>
      <w:marBottom w:val="0"/>
      <w:divBdr>
        <w:top w:val="none" w:sz="0" w:space="0" w:color="auto"/>
        <w:left w:val="none" w:sz="0" w:space="0" w:color="auto"/>
        <w:bottom w:val="none" w:sz="0" w:space="0" w:color="auto"/>
        <w:right w:val="none" w:sz="0" w:space="0" w:color="auto"/>
      </w:divBdr>
    </w:div>
    <w:div w:id="1794054718">
      <w:bodyDiv w:val="1"/>
      <w:marLeft w:val="0"/>
      <w:marRight w:val="0"/>
      <w:marTop w:val="0"/>
      <w:marBottom w:val="0"/>
      <w:divBdr>
        <w:top w:val="none" w:sz="0" w:space="0" w:color="auto"/>
        <w:left w:val="none" w:sz="0" w:space="0" w:color="auto"/>
        <w:bottom w:val="none" w:sz="0" w:space="0" w:color="auto"/>
        <w:right w:val="none" w:sz="0" w:space="0" w:color="auto"/>
      </w:divBdr>
    </w:div>
    <w:div w:id="1802334598">
      <w:bodyDiv w:val="1"/>
      <w:marLeft w:val="0"/>
      <w:marRight w:val="0"/>
      <w:marTop w:val="0"/>
      <w:marBottom w:val="0"/>
      <w:divBdr>
        <w:top w:val="none" w:sz="0" w:space="0" w:color="auto"/>
        <w:left w:val="none" w:sz="0" w:space="0" w:color="auto"/>
        <w:bottom w:val="none" w:sz="0" w:space="0" w:color="auto"/>
        <w:right w:val="none" w:sz="0" w:space="0" w:color="auto"/>
      </w:divBdr>
    </w:div>
    <w:div w:id="1805001545">
      <w:bodyDiv w:val="1"/>
      <w:marLeft w:val="0"/>
      <w:marRight w:val="0"/>
      <w:marTop w:val="0"/>
      <w:marBottom w:val="0"/>
      <w:divBdr>
        <w:top w:val="none" w:sz="0" w:space="0" w:color="auto"/>
        <w:left w:val="none" w:sz="0" w:space="0" w:color="auto"/>
        <w:bottom w:val="none" w:sz="0" w:space="0" w:color="auto"/>
        <w:right w:val="none" w:sz="0" w:space="0" w:color="auto"/>
      </w:divBdr>
    </w:div>
    <w:div w:id="1810971409">
      <w:bodyDiv w:val="1"/>
      <w:marLeft w:val="0"/>
      <w:marRight w:val="0"/>
      <w:marTop w:val="0"/>
      <w:marBottom w:val="0"/>
      <w:divBdr>
        <w:top w:val="none" w:sz="0" w:space="0" w:color="auto"/>
        <w:left w:val="none" w:sz="0" w:space="0" w:color="auto"/>
        <w:bottom w:val="none" w:sz="0" w:space="0" w:color="auto"/>
        <w:right w:val="none" w:sz="0" w:space="0" w:color="auto"/>
      </w:divBdr>
    </w:div>
    <w:div w:id="18157532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298291">
      <w:bodyDiv w:val="1"/>
      <w:marLeft w:val="0"/>
      <w:marRight w:val="0"/>
      <w:marTop w:val="0"/>
      <w:marBottom w:val="0"/>
      <w:divBdr>
        <w:top w:val="none" w:sz="0" w:space="0" w:color="auto"/>
        <w:left w:val="none" w:sz="0" w:space="0" w:color="auto"/>
        <w:bottom w:val="none" w:sz="0" w:space="0" w:color="auto"/>
        <w:right w:val="none" w:sz="0" w:space="0" w:color="auto"/>
      </w:divBdr>
    </w:div>
    <w:div w:id="1835949292">
      <w:bodyDiv w:val="1"/>
      <w:marLeft w:val="0"/>
      <w:marRight w:val="0"/>
      <w:marTop w:val="0"/>
      <w:marBottom w:val="0"/>
      <w:divBdr>
        <w:top w:val="none" w:sz="0" w:space="0" w:color="auto"/>
        <w:left w:val="none" w:sz="0" w:space="0" w:color="auto"/>
        <w:bottom w:val="none" w:sz="0" w:space="0" w:color="auto"/>
        <w:right w:val="none" w:sz="0" w:space="0" w:color="auto"/>
      </w:divBdr>
    </w:div>
    <w:div w:id="1840920729">
      <w:bodyDiv w:val="1"/>
      <w:marLeft w:val="0"/>
      <w:marRight w:val="0"/>
      <w:marTop w:val="0"/>
      <w:marBottom w:val="0"/>
      <w:divBdr>
        <w:top w:val="none" w:sz="0" w:space="0" w:color="auto"/>
        <w:left w:val="none" w:sz="0" w:space="0" w:color="auto"/>
        <w:bottom w:val="none" w:sz="0" w:space="0" w:color="auto"/>
        <w:right w:val="none" w:sz="0" w:space="0" w:color="auto"/>
      </w:divBdr>
    </w:div>
    <w:div w:id="1898512696">
      <w:bodyDiv w:val="1"/>
      <w:marLeft w:val="0"/>
      <w:marRight w:val="0"/>
      <w:marTop w:val="0"/>
      <w:marBottom w:val="0"/>
      <w:divBdr>
        <w:top w:val="none" w:sz="0" w:space="0" w:color="auto"/>
        <w:left w:val="none" w:sz="0" w:space="0" w:color="auto"/>
        <w:bottom w:val="none" w:sz="0" w:space="0" w:color="auto"/>
        <w:right w:val="none" w:sz="0" w:space="0" w:color="auto"/>
      </w:divBdr>
    </w:div>
    <w:div w:id="1902206599">
      <w:bodyDiv w:val="1"/>
      <w:marLeft w:val="0"/>
      <w:marRight w:val="0"/>
      <w:marTop w:val="0"/>
      <w:marBottom w:val="0"/>
      <w:divBdr>
        <w:top w:val="none" w:sz="0" w:space="0" w:color="auto"/>
        <w:left w:val="none" w:sz="0" w:space="0" w:color="auto"/>
        <w:bottom w:val="none" w:sz="0" w:space="0" w:color="auto"/>
        <w:right w:val="none" w:sz="0" w:space="0" w:color="auto"/>
      </w:divBdr>
    </w:div>
    <w:div w:id="1912353544">
      <w:bodyDiv w:val="1"/>
      <w:marLeft w:val="0"/>
      <w:marRight w:val="0"/>
      <w:marTop w:val="0"/>
      <w:marBottom w:val="0"/>
      <w:divBdr>
        <w:top w:val="none" w:sz="0" w:space="0" w:color="auto"/>
        <w:left w:val="none" w:sz="0" w:space="0" w:color="auto"/>
        <w:bottom w:val="none" w:sz="0" w:space="0" w:color="auto"/>
        <w:right w:val="none" w:sz="0" w:space="0" w:color="auto"/>
      </w:divBdr>
    </w:div>
    <w:div w:id="192245003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707915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013469">
      <w:bodyDiv w:val="1"/>
      <w:marLeft w:val="0"/>
      <w:marRight w:val="0"/>
      <w:marTop w:val="0"/>
      <w:marBottom w:val="0"/>
      <w:divBdr>
        <w:top w:val="none" w:sz="0" w:space="0" w:color="auto"/>
        <w:left w:val="none" w:sz="0" w:space="0" w:color="auto"/>
        <w:bottom w:val="none" w:sz="0" w:space="0" w:color="auto"/>
        <w:right w:val="none" w:sz="0" w:space="0" w:color="auto"/>
      </w:divBdr>
    </w:div>
    <w:div w:id="1977489381">
      <w:bodyDiv w:val="1"/>
      <w:marLeft w:val="0"/>
      <w:marRight w:val="0"/>
      <w:marTop w:val="0"/>
      <w:marBottom w:val="0"/>
      <w:divBdr>
        <w:top w:val="none" w:sz="0" w:space="0" w:color="auto"/>
        <w:left w:val="none" w:sz="0" w:space="0" w:color="auto"/>
        <w:bottom w:val="none" w:sz="0" w:space="0" w:color="auto"/>
        <w:right w:val="none" w:sz="0" w:space="0" w:color="auto"/>
      </w:divBdr>
    </w:div>
    <w:div w:id="1987319697">
      <w:bodyDiv w:val="1"/>
      <w:marLeft w:val="0"/>
      <w:marRight w:val="0"/>
      <w:marTop w:val="0"/>
      <w:marBottom w:val="0"/>
      <w:divBdr>
        <w:top w:val="none" w:sz="0" w:space="0" w:color="auto"/>
        <w:left w:val="none" w:sz="0" w:space="0" w:color="auto"/>
        <w:bottom w:val="none" w:sz="0" w:space="0" w:color="auto"/>
        <w:right w:val="none" w:sz="0" w:space="0" w:color="auto"/>
      </w:divBdr>
    </w:div>
    <w:div w:id="2004506403">
      <w:bodyDiv w:val="1"/>
      <w:marLeft w:val="0"/>
      <w:marRight w:val="0"/>
      <w:marTop w:val="0"/>
      <w:marBottom w:val="0"/>
      <w:divBdr>
        <w:top w:val="none" w:sz="0" w:space="0" w:color="auto"/>
        <w:left w:val="none" w:sz="0" w:space="0" w:color="auto"/>
        <w:bottom w:val="none" w:sz="0" w:space="0" w:color="auto"/>
        <w:right w:val="none" w:sz="0" w:space="0" w:color="auto"/>
      </w:divBdr>
    </w:div>
    <w:div w:id="2014260160">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4886892">
      <w:bodyDiv w:val="1"/>
      <w:marLeft w:val="0"/>
      <w:marRight w:val="0"/>
      <w:marTop w:val="0"/>
      <w:marBottom w:val="0"/>
      <w:divBdr>
        <w:top w:val="none" w:sz="0" w:space="0" w:color="auto"/>
        <w:left w:val="none" w:sz="0" w:space="0" w:color="auto"/>
        <w:bottom w:val="none" w:sz="0" w:space="0" w:color="auto"/>
        <w:right w:val="none" w:sz="0" w:space="0" w:color="auto"/>
      </w:divBdr>
    </w:div>
    <w:div w:id="2113432833">
      <w:bodyDiv w:val="1"/>
      <w:marLeft w:val="0"/>
      <w:marRight w:val="0"/>
      <w:marTop w:val="0"/>
      <w:marBottom w:val="0"/>
      <w:divBdr>
        <w:top w:val="none" w:sz="0" w:space="0" w:color="auto"/>
        <w:left w:val="none" w:sz="0" w:space="0" w:color="auto"/>
        <w:bottom w:val="none" w:sz="0" w:space="0" w:color="auto"/>
        <w:right w:val="none" w:sz="0" w:space="0" w:color="auto"/>
      </w:divBdr>
    </w:div>
    <w:div w:id="2128773007">
      <w:bodyDiv w:val="1"/>
      <w:marLeft w:val="0"/>
      <w:marRight w:val="0"/>
      <w:marTop w:val="0"/>
      <w:marBottom w:val="0"/>
      <w:divBdr>
        <w:top w:val="none" w:sz="0" w:space="0" w:color="auto"/>
        <w:left w:val="none" w:sz="0" w:space="0" w:color="auto"/>
        <w:bottom w:val="none" w:sz="0" w:space="0" w:color="auto"/>
        <w:right w:val="none" w:sz="0" w:space="0" w:color="auto"/>
      </w:divBdr>
    </w:div>
    <w:div w:id="2129473502">
      <w:bodyDiv w:val="1"/>
      <w:marLeft w:val="0"/>
      <w:marRight w:val="0"/>
      <w:marTop w:val="0"/>
      <w:marBottom w:val="0"/>
      <w:divBdr>
        <w:top w:val="none" w:sz="0" w:space="0" w:color="auto"/>
        <w:left w:val="none" w:sz="0" w:space="0" w:color="auto"/>
        <w:bottom w:val="none" w:sz="0" w:space="0" w:color="auto"/>
        <w:right w:val="none" w:sz="0" w:space="0" w:color="auto"/>
      </w:divBdr>
    </w:div>
    <w:div w:id="2138257639">
      <w:bodyDiv w:val="1"/>
      <w:marLeft w:val="0"/>
      <w:marRight w:val="0"/>
      <w:marTop w:val="0"/>
      <w:marBottom w:val="0"/>
      <w:divBdr>
        <w:top w:val="none" w:sz="0" w:space="0" w:color="auto"/>
        <w:left w:val="none" w:sz="0" w:space="0" w:color="auto"/>
        <w:bottom w:val="none" w:sz="0" w:space="0" w:color="auto"/>
        <w:right w:val="none" w:sz="0" w:space="0" w:color="auto"/>
      </w:divBdr>
    </w:div>
    <w:div w:id="2141919428">
      <w:bodyDiv w:val="1"/>
      <w:marLeft w:val="0"/>
      <w:marRight w:val="0"/>
      <w:marTop w:val="0"/>
      <w:marBottom w:val="0"/>
      <w:divBdr>
        <w:top w:val="none" w:sz="0" w:space="0" w:color="auto"/>
        <w:left w:val="none" w:sz="0" w:space="0" w:color="auto"/>
        <w:bottom w:val="none" w:sz="0" w:space="0" w:color="auto"/>
        <w:right w:val="none" w:sz="0" w:space="0" w:color="auto"/>
      </w:divBdr>
    </w:div>
    <w:div w:id="21465080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C3886-6B48-46FD-9173-50D31267B297}">
  <ds:schemaRefs>
    <ds:schemaRef ds:uri="http://schemas.microsoft.com/office/2006/metadata/properties"/>
    <ds:schemaRef ds:uri="92f8bd56-8465-45fb-84ac-454baa360449"/>
  </ds:schemaRefs>
</ds:datastoreItem>
</file>

<file path=customXml/itemProps4.xml><?xml version="1.0" encoding="utf-8"?>
<ds:datastoreItem xmlns:ds="http://schemas.openxmlformats.org/officeDocument/2006/customXml" ds:itemID="{CD6D41F1-74C7-4F3A-BF9C-21EB5C06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TotalTime>
  <Pages>7</Pages>
  <Words>1077</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7629</CharactersWithSpaces>
  <SharedDoc>false</SharedDoc>
  <HLinks>
    <vt:vector size="24"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Brendan Palazzi</cp:lastModifiedBy>
  <cp:revision>2</cp:revision>
  <cp:lastPrinted>2015-05-10T07:11:00Z</cp:lastPrinted>
  <dcterms:created xsi:type="dcterms:W3CDTF">2015-05-12T06:31:00Z</dcterms:created>
  <dcterms:modified xsi:type="dcterms:W3CDTF">2015-05-12T06:31:00Z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