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F4" w:rsidRDefault="00257FF4" w:rsidP="00257FF4">
      <w:pPr>
        <w:pStyle w:val="Department"/>
      </w:pPr>
    </w:p>
    <w:p w:rsidR="00257FF4" w:rsidRPr="005B4B12" w:rsidRDefault="00257FF4" w:rsidP="005B4B12">
      <w:pPr>
        <w:pStyle w:val="Title"/>
      </w:pPr>
      <w:bookmarkStart w:id="0" w:name="_Toc418078234"/>
      <w:bookmarkStart w:id="1" w:name="_Toc418078254"/>
      <w:r w:rsidRPr="005B4B12">
        <w:t>Departm</w:t>
      </w:r>
      <w:r w:rsidR="005E11DF" w:rsidRPr="005B4B12">
        <w:t>ent of Finance</w:t>
      </w:r>
      <w:bookmarkEnd w:id="0"/>
      <w:bookmarkEnd w:id="1"/>
    </w:p>
    <w:p w:rsidR="00257FF4" w:rsidRDefault="00257FF4" w:rsidP="00257FF4">
      <w:pPr>
        <w:pStyle w:val="Department"/>
      </w:pPr>
    </w:p>
    <w:p w:rsidR="00257FF4" w:rsidRDefault="00257FF4" w:rsidP="00257FF4">
      <w:pPr>
        <w:pStyle w:val="Department"/>
      </w:pPr>
    </w:p>
    <w:p w:rsidR="00257FF4" w:rsidRDefault="00257FF4" w:rsidP="00257FF4">
      <w:pPr>
        <w:pStyle w:val="Department"/>
      </w:pPr>
    </w:p>
    <w:p w:rsidR="00257FF4" w:rsidRDefault="00257FF4" w:rsidP="00257FF4">
      <w:pPr>
        <w:pStyle w:val="Department"/>
      </w:pPr>
    </w:p>
    <w:p w:rsidR="00257FF4" w:rsidRDefault="007E6BBD" w:rsidP="00257FF4">
      <w:pPr>
        <w:pStyle w:val="DepartmentSubtitle"/>
      </w:pPr>
      <w:r>
        <w:t xml:space="preserve">Entity </w:t>
      </w:r>
      <w:r w:rsidR="006E1BDE">
        <w:t>R</w:t>
      </w:r>
      <w:r w:rsidR="00257FF4">
        <w:t xml:space="preserve">esources and </w:t>
      </w:r>
      <w:r w:rsidR="006E1BDE">
        <w:t>P</w:t>
      </w:r>
      <w:r w:rsidR="00257FF4">
        <w:t xml:space="preserve">lanned </w:t>
      </w:r>
      <w:r w:rsidR="006E1BDE">
        <w:t>P</w:t>
      </w:r>
      <w:r w:rsidR="00257FF4">
        <w:t>erformance</w:t>
      </w:r>
    </w:p>
    <w:p w:rsidR="00257FF4" w:rsidRDefault="00257FF4" w:rsidP="00257FF4">
      <w:pPr>
        <w:sectPr w:rsidR="00257FF4" w:rsidSect="00AA27AA">
          <w:type w:val="oddPage"/>
          <w:pgSz w:w="11906" w:h="16838" w:code="9"/>
          <w:pgMar w:top="2466" w:right="2098" w:bottom="2466" w:left="2098" w:header="1899" w:footer="1899" w:gutter="0"/>
          <w:cols w:space="708"/>
          <w:titlePg/>
          <w:docGrid w:linePitch="360"/>
        </w:sectPr>
      </w:pPr>
    </w:p>
    <w:p w:rsidR="00257FF4" w:rsidRDefault="00257FF4" w:rsidP="004F1756">
      <w:pPr>
        <w:pStyle w:val="ContentsHeading"/>
        <w:keepNext w:val="0"/>
      </w:pPr>
      <w:bookmarkStart w:id="2" w:name="_Toc190766150"/>
      <w:r>
        <w:lastRenderedPageBreak/>
        <w:t xml:space="preserve">Department of </w:t>
      </w:r>
      <w:bookmarkEnd w:id="2"/>
      <w:r w:rsidR="005E11DF">
        <w:t>Finance</w:t>
      </w:r>
    </w:p>
    <w:p w:rsidR="002E7E5B" w:rsidRDefault="009C3A5D">
      <w:pPr>
        <w:pStyle w:val="TOC1"/>
        <w:rPr>
          <w:rFonts w:asciiTheme="minorHAnsi" w:eastAsiaTheme="minorEastAsia" w:hAnsiTheme="minorHAnsi" w:cstheme="minorBidi"/>
          <w:b w:val="0"/>
          <w:noProof/>
          <w:sz w:val="22"/>
          <w:szCs w:val="22"/>
        </w:rPr>
      </w:pPr>
      <w:r w:rsidRPr="009C3A5D">
        <w:rPr>
          <w:b w:val="0"/>
        </w:rPr>
        <w:fldChar w:fldCharType="begin"/>
      </w:r>
      <w:r w:rsidR="005835E9">
        <w:rPr>
          <w:b w:val="0"/>
        </w:rPr>
        <w:instrText xml:space="preserve"> TOC</w:instrText>
      </w:r>
      <w:r w:rsidR="00392767">
        <w:rPr>
          <w:b w:val="0"/>
        </w:rPr>
        <w:instrText xml:space="preserve"> \b Finance</w:instrText>
      </w:r>
      <w:r w:rsidR="005835E9">
        <w:rPr>
          <w:b w:val="0"/>
        </w:rPr>
        <w:instrText xml:space="preserve"> \h \z \t "Heading 3,1,Heading 4,2" </w:instrText>
      </w:r>
      <w:r w:rsidRPr="009C3A5D">
        <w:rPr>
          <w:b w:val="0"/>
        </w:rPr>
        <w:fldChar w:fldCharType="separate"/>
      </w:r>
      <w:hyperlink w:anchor="_Toc418003400" w:history="1">
        <w:r w:rsidR="002E7E5B" w:rsidRPr="00F16101">
          <w:rPr>
            <w:rStyle w:val="Hyperlink"/>
            <w:noProof/>
          </w:rPr>
          <w:t>Section 1: Entity Overview and Resources</w:t>
        </w:r>
        <w:r w:rsidR="002E7E5B">
          <w:rPr>
            <w:noProof/>
            <w:webHidden/>
          </w:rPr>
          <w:tab/>
        </w:r>
        <w:r>
          <w:rPr>
            <w:noProof/>
            <w:webHidden/>
          </w:rPr>
          <w:fldChar w:fldCharType="begin"/>
        </w:r>
        <w:r w:rsidR="002E7E5B">
          <w:rPr>
            <w:noProof/>
            <w:webHidden/>
          </w:rPr>
          <w:instrText xml:space="preserve"> PAGEREF _Toc418003400 \h </w:instrText>
        </w:r>
        <w:r>
          <w:rPr>
            <w:noProof/>
            <w:webHidden/>
          </w:rPr>
        </w:r>
        <w:r>
          <w:rPr>
            <w:noProof/>
            <w:webHidden/>
          </w:rPr>
          <w:fldChar w:fldCharType="separate"/>
        </w:r>
        <w:r w:rsidR="00276DA6">
          <w:rPr>
            <w:noProof/>
            <w:webHidden/>
          </w:rPr>
          <w:t>15</w:t>
        </w:r>
        <w:r>
          <w:rPr>
            <w:noProof/>
            <w:webHidden/>
          </w:rPr>
          <w:fldChar w:fldCharType="end"/>
        </w:r>
      </w:hyperlink>
    </w:p>
    <w:p w:rsidR="002E7E5B" w:rsidRDefault="009C3A5D">
      <w:pPr>
        <w:pStyle w:val="TOC2"/>
        <w:tabs>
          <w:tab w:val="left" w:pos="800"/>
        </w:tabs>
        <w:rPr>
          <w:rFonts w:asciiTheme="minorHAnsi" w:eastAsiaTheme="minorEastAsia" w:hAnsiTheme="minorHAnsi" w:cstheme="minorBidi"/>
          <w:noProof/>
          <w:sz w:val="22"/>
          <w:szCs w:val="22"/>
        </w:rPr>
      </w:pPr>
      <w:hyperlink w:anchor="_Toc418003401" w:history="1">
        <w:r w:rsidR="002E7E5B" w:rsidRPr="00F16101">
          <w:rPr>
            <w:rStyle w:val="Hyperlink"/>
            <w:noProof/>
          </w:rPr>
          <w:t>1.1</w:t>
        </w:r>
        <w:r w:rsidR="002E7E5B">
          <w:rPr>
            <w:rFonts w:asciiTheme="minorHAnsi" w:eastAsiaTheme="minorEastAsia" w:hAnsiTheme="minorHAnsi" w:cstheme="minorBidi"/>
            <w:noProof/>
            <w:sz w:val="22"/>
            <w:szCs w:val="22"/>
          </w:rPr>
          <w:tab/>
        </w:r>
        <w:r w:rsidR="002E7E5B" w:rsidRPr="00F16101">
          <w:rPr>
            <w:rStyle w:val="Hyperlink"/>
            <w:noProof/>
          </w:rPr>
          <w:t>Strategic Direction Statement</w:t>
        </w:r>
        <w:r w:rsidR="002E7E5B">
          <w:rPr>
            <w:noProof/>
            <w:webHidden/>
          </w:rPr>
          <w:tab/>
        </w:r>
        <w:r>
          <w:rPr>
            <w:noProof/>
            <w:webHidden/>
          </w:rPr>
          <w:fldChar w:fldCharType="begin"/>
        </w:r>
        <w:r w:rsidR="002E7E5B">
          <w:rPr>
            <w:noProof/>
            <w:webHidden/>
          </w:rPr>
          <w:instrText xml:space="preserve"> PAGEREF _Toc418003401 \h </w:instrText>
        </w:r>
        <w:r>
          <w:rPr>
            <w:noProof/>
            <w:webHidden/>
          </w:rPr>
        </w:r>
        <w:r>
          <w:rPr>
            <w:noProof/>
            <w:webHidden/>
          </w:rPr>
          <w:fldChar w:fldCharType="separate"/>
        </w:r>
        <w:r w:rsidR="00276DA6">
          <w:rPr>
            <w:noProof/>
            <w:webHidden/>
          </w:rPr>
          <w:t>15</w:t>
        </w:r>
        <w:r>
          <w:rPr>
            <w:noProof/>
            <w:webHidden/>
          </w:rPr>
          <w:fldChar w:fldCharType="end"/>
        </w:r>
      </w:hyperlink>
    </w:p>
    <w:p w:rsidR="002E7E5B" w:rsidRDefault="009C3A5D">
      <w:pPr>
        <w:pStyle w:val="TOC2"/>
        <w:tabs>
          <w:tab w:val="left" w:pos="800"/>
        </w:tabs>
        <w:rPr>
          <w:rFonts w:asciiTheme="minorHAnsi" w:eastAsiaTheme="minorEastAsia" w:hAnsiTheme="minorHAnsi" w:cstheme="minorBidi"/>
          <w:noProof/>
          <w:sz w:val="22"/>
          <w:szCs w:val="22"/>
        </w:rPr>
      </w:pPr>
      <w:hyperlink w:anchor="_Toc418003402" w:history="1">
        <w:r w:rsidR="002E7E5B" w:rsidRPr="00F16101">
          <w:rPr>
            <w:rStyle w:val="Hyperlink"/>
            <w:noProof/>
          </w:rPr>
          <w:t>1.2</w:t>
        </w:r>
        <w:r w:rsidR="002E7E5B">
          <w:rPr>
            <w:rFonts w:asciiTheme="minorHAnsi" w:eastAsiaTheme="minorEastAsia" w:hAnsiTheme="minorHAnsi" w:cstheme="minorBidi"/>
            <w:noProof/>
            <w:sz w:val="22"/>
            <w:szCs w:val="22"/>
          </w:rPr>
          <w:tab/>
        </w:r>
        <w:r w:rsidR="002E7E5B" w:rsidRPr="00F16101">
          <w:rPr>
            <w:rStyle w:val="Hyperlink"/>
            <w:noProof/>
          </w:rPr>
          <w:t>Entity Resource Statement</w:t>
        </w:r>
        <w:r w:rsidR="002E7E5B">
          <w:rPr>
            <w:noProof/>
            <w:webHidden/>
          </w:rPr>
          <w:tab/>
        </w:r>
        <w:r>
          <w:rPr>
            <w:noProof/>
            <w:webHidden/>
          </w:rPr>
          <w:fldChar w:fldCharType="begin"/>
        </w:r>
        <w:r w:rsidR="002E7E5B">
          <w:rPr>
            <w:noProof/>
            <w:webHidden/>
          </w:rPr>
          <w:instrText xml:space="preserve"> PAGEREF _Toc418003402 \h </w:instrText>
        </w:r>
        <w:r>
          <w:rPr>
            <w:noProof/>
            <w:webHidden/>
          </w:rPr>
        </w:r>
        <w:r>
          <w:rPr>
            <w:noProof/>
            <w:webHidden/>
          </w:rPr>
          <w:fldChar w:fldCharType="separate"/>
        </w:r>
        <w:r w:rsidR="00276DA6">
          <w:rPr>
            <w:noProof/>
            <w:webHidden/>
          </w:rPr>
          <w:t>17</w:t>
        </w:r>
        <w:r>
          <w:rPr>
            <w:noProof/>
            <w:webHidden/>
          </w:rPr>
          <w:fldChar w:fldCharType="end"/>
        </w:r>
      </w:hyperlink>
    </w:p>
    <w:p w:rsidR="002E7E5B" w:rsidRDefault="009C3A5D">
      <w:pPr>
        <w:pStyle w:val="TOC2"/>
        <w:tabs>
          <w:tab w:val="left" w:pos="800"/>
        </w:tabs>
        <w:rPr>
          <w:rFonts w:asciiTheme="minorHAnsi" w:eastAsiaTheme="minorEastAsia" w:hAnsiTheme="minorHAnsi" w:cstheme="minorBidi"/>
          <w:noProof/>
          <w:sz w:val="22"/>
          <w:szCs w:val="22"/>
        </w:rPr>
      </w:pPr>
      <w:hyperlink w:anchor="_Toc418003403" w:history="1">
        <w:r w:rsidR="002E7E5B" w:rsidRPr="00F16101">
          <w:rPr>
            <w:rStyle w:val="Hyperlink"/>
            <w:noProof/>
          </w:rPr>
          <w:t>1.3</w:t>
        </w:r>
        <w:r w:rsidR="002E7E5B">
          <w:rPr>
            <w:rFonts w:asciiTheme="minorHAnsi" w:eastAsiaTheme="minorEastAsia" w:hAnsiTheme="minorHAnsi" w:cstheme="minorBidi"/>
            <w:noProof/>
            <w:sz w:val="22"/>
            <w:szCs w:val="22"/>
          </w:rPr>
          <w:tab/>
        </w:r>
        <w:r w:rsidR="002E7E5B" w:rsidRPr="00F16101">
          <w:rPr>
            <w:rStyle w:val="Hyperlink"/>
            <w:noProof/>
          </w:rPr>
          <w:t>Budget Measures</w:t>
        </w:r>
        <w:r w:rsidR="002E7E5B">
          <w:rPr>
            <w:noProof/>
            <w:webHidden/>
          </w:rPr>
          <w:tab/>
        </w:r>
        <w:r>
          <w:rPr>
            <w:noProof/>
            <w:webHidden/>
          </w:rPr>
          <w:fldChar w:fldCharType="begin"/>
        </w:r>
        <w:r w:rsidR="002E7E5B">
          <w:rPr>
            <w:noProof/>
            <w:webHidden/>
          </w:rPr>
          <w:instrText xml:space="preserve"> PAGEREF _Toc418003403 \h </w:instrText>
        </w:r>
        <w:r>
          <w:rPr>
            <w:noProof/>
            <w:webHidden/>
          </w:rPr>
        </w:r>
        <w:r>
          <w:rPr>
            <w:noProof/>
            <w:webHidden/>
          </w:rPr>
          <w:fldChar w:fldCharType="separate"/>
        </w:r>
        <w:r w:rsidR="00276DA6">
          <w:rPr>
            <w:noProof/>
            <w:webHidden/>
          </w:rPr>
          <w:t>21</w:t>
        </w:r>
        <w:r>
          <w:rPr>
            <w:noProof/>
            <w:webHidden/>
          </w:rPr>
          <w:fldChar w:fldCharType="end"/>
        </w:r>
      </w:hyperlink>
    </w:p>
    <w:p w:rsidR="002E7E5B" w:rsidRDefault="009C3A5D">
      <w:pPr>
        <w:pStyle w:val="TOC1"/>
        <w:rPr>
          <w:rFonts w:asciiTheme="minorHAnsi" w:eastAsiaTheme="minorEastAsia" w:hAnsiTheme="minorHAnsi" w:cstheme="minorBidi"/>
          <w:b w:val="0"/>
          <w:noProof/>
          <w:sz w:val="22"/>
          <w:szCs w:val="22"/>
        </w:rPr>
      </w:pPr>
      <w:hyperlink w:anchor="_Toc418003404" w:history="1">
        <w:r w:rsidR="002E7E5B" w:rsidRPr="00F16101">
          <w:rPr>
            <w:rStyle w:val="Hyperlink"/>
            <w:noProof/>
          </w:rPr>
          <w:t>Section 2: Outcomes and Planned Performance</w:t>
        </w:r>
        <w:r w:rsidR="002E7E5B">
          <w:rPr>
            <w:noProof/>
            <w:webHidden/>
          </w:rPr>
          <w:tab/>
        </w:r>
        <w:r>
          <w:rPr>
            <w:noProof/>
            <w:webHidden/>
          </w:rPr>
          <w:fldChar w:fldCharType="begin"/>
        </w:r>
        <w:r w:rsidR="002E7E5B">
          <w:rPr>
            <w:noProof/>
            <w:webHidden/>
          </w:rPr>
          <w:instrText xml:space="preserve"> PAGEREF _Toc418003404 \h </w:instrText>
        </w:r>
        <w:r>
          <w:rPr>
            <w:noProof/>
            <w:webHidden/>
          </w:rPr>
        </w:r>
        <w:r>
          <w:rPr>
            <w:noProof/>
            <w:webHidden/>
          </w:rPr>
          <w:fldChar w:fldCharType="separate"/>
        </w:r>
        <w:r w:rsidR="00276DA6">
          <w:rPr>
            <w:noProof/>
            <w:webHidden/>
          </w:rPr>
          <w:t>26</w:t>
        </w:r>
        <w:r>
          <w:rPr>
            <w:noProof/>
            <w:webHidden/>
          </w:rPr>
          <w:fldChar w:fldCharType="end"/>
        </w:r>
      </w:hyperlink>
    </w:p>
    <w:p w:rsidR="002E7E5B" w:rsidRDefault="009C3A5D">
      <w:pPr>
        <w:pStyle w:val="TOC2"/>
        <w:tabs>
          <w:tab w:val="left" w:pos="800"/>
        </w:tabs>
        <w:rPr>
          <w:rFonts w:asciiTheme="minorHAnsi" w:eastAsiaTheme="minorEastAsia" w:hAnsiTheme="minorHAnsi" w:cstheme="minorBidi"/>
          <w:noProof/>
          <w:sz w:val="22"/>
          <w:szCs w:val="22"/>
        </w:rPr>
      </w:pPr>
      <w:hyperlink w:anchor="_Toc418003405" w:history="1">
        <w:r w:rsidR="002E7E5B" w:rsidRPr="00F16101">
          <w:rPr>
            <w:rStyle w:val="Hyperlink"/>
            <w:noProof/>
          </w:rPr>
          <w:t>2.1</w:t>
        </w:r>
        <w:r w:rsidR="002E7E5B">
          <w:rPr>
            <w:rFonts w:asciiTheme="minorHAnsi" w:eastAsiaTheme="minorEastAsia" w:hAnsiTheme="minorHAnsi" w:cstheme="minorBidi"/>
            <w:noProof/>
            <w:sz w:val="22"/>
            <w:szCs w:val="22"/>
          </w:rPr>
          <w:tab/>
        </w:r>
        <w:r w:rsidR="002E7E5B" w:rsidRPr="00F16101">
          <w:rPr>
            <w:rStyle w:val="Hyperlink"/>
            <w:noProof/>
          </w:rPr>
          <w:t>Outcomes and Performance Information</w:t>
        </w:r>
        <w:r w:rsidR="002E7E5B">
          <w:rPr>
            <w:noProof/>
            <w:webHidden/>
          </w:rPr>
          <w:tab/>
        </w:r>
        <w:r>
          <w:rPr>
            <w:noProof/>
            <w:webHidden/>
          </w:rPr>
          <w:fldChar w:fldCharType="begin"/>
        </w:r>
        <w:r w:rsidR="002E7E5B">
          <w:rPr>
            <w:noProof/>
            <w:webHidden/>
          </w:rPr>
          <w:instrText xml:space="preserve"> PAGEREF _Toc418003405 \h </w:instrText>
        </w:r>
        <w:r>
          <w:rPr>
            <w:noProof/>
            <w:webHidden/>
          </w:rPr>
        </w:r>
        <w:r>
          <w:rPr>
            <w:noProof/>
            <w:webHidden/>
          </w:rPr>
          <w:fldChar w:fldCharType="separate"/>
        </w:r>
        <w:r w:rsidR="00276DA6">
          <w:rPr>
            <w:noProof/>
            <w:webHidden/>
          </w:rPr>
          <w:t>26</w:t>
        </w:r>
        <w:r>
          <w:rPr>
            <w:noProof/>
            <w:webHidden/>
          </w:rPr>
          <w:fldChar w:fldCharType="end"/>
        </w:r>
      </w:hyperlink>
    </w:p>
    <w:p w:rsidR="002E7E5B" w:rsidRDefault="009C3A5D">
      <w:pPr>
        <w:pStyle w:val="TOC1"/>
        <w:rPr>
          <w:rFonts w:asciiTheme="minorHAnsi" w:eastAsiaTheme="minorEastAsia" w:hAnsiTheme="minorHAnsi" w:cstheme="minorBidi"/>
          <w:b w:val="0"/>
          <w:noProof/>
          <w:sz w:val="22"/>
          <w:szCs w:val="22"/>
        </w:rPr>
      </w:pPr>
      <w:hyperlink w:anchor="_Toc418003406" w:history="1">
        <w:r w:rsidR="002E7E5B" w:rsidRPr="00F16101">
          <w:rPr>
            <w:rStyle w:val="Hyperlink"/>
            <w:noProof/>
          </w:rPr>
          <w:t>Section 3: Explanatory Tables and Budgeted Financial Statements</w:t>
        </w:r>
        <w:r w:rsidR="002E7E5B">
          <w:rPr>
            <w:noProof/>
            <w:webHidden/>
          </w:rPr>
          <w:tab/>
        </w:r>
        <w:r>
          <w:rPr>
            <w:noProof/>
            <w:webHidden/>
          </w:rPr>
          <w:fldChar w:fldCharType="begin"/>
        </w:r>
        <w:r w:rsidR="002E7E5B">
          <w:rPr>
            <w:noProof/>
            <w:webHidden/>
          </w:rPr>
          <w:instrText xml:space="preserve"> PAGEREF _Toc418003406 \h </w:instrText>
        </w:r>
        <w:r>
          <w:rPr>
            <w:noProof/>
            <w:webHidden/>
          </w:rPr>
        </w:r>
        <w:r>
          <w:rPr>
            <w:noProof/>
            <w:webHidden/>
          </w:rPr>
          <w:fldChar w:fldCharType="separate"/>
        </w:r>
        <w:r w:rsidR="00276DA6">
          <w:rPr>
            <w:noProof/>
            <w:webHidden/>
          </w:rPr>
          <w:t>57</w:t>
        </w:r>
        <w:r>
          <w:rPr>
            <w:noProof/>
            <w:webHidden/>
          </w:rPr>
          <w:fldChar w:fldCharType="end"/>
        </w:r>
      </w:hyperlink>
    </w:p>
    <w:p w:rsidR="002E7E5B" w:rsidRDefault="009C3A5D">
      <w:pPr>
        <w:pStyle w:val="TOC2"/>
        <w:tabs>
          <w:tab w:val="left" w:pos="800"/>
        </w:tabs>
        <w:rPr>
          <w:rFonts w:asciiTheme="minorHAnsi" w:eastAsiaTheme="minorEastAsia" w:hAnsiTheme="minorHAnsi" w:cstheme="minorBidi"/>
          <w:noProof/>
          <w:sz w:val="22"/>
          <w:szCs w:val="22"/>
        </w:rPr>
      </w:pPr>
      <w:hyperlink w:anchor="_Toc418003407" w:history="1">
        <w:r w:rsidR="002E7E5B" w:rsidRPr="00F16101">
          <w:rPr>
            <w:rStyle w:val="Hyperlink"/>
            <w:noProof/>
          </w:rPr>
          <w:t>3.1</w:t>
        </w:r>
        <w:r w:rsidR="002E7E5B">
          <w:rPr>
            <w:rFonts w:asciiTheme="minorHAnsi" w:eastAsiaTheme="minorEastAsia" w:hAnsiTheme="minorHAnsi" w:cstheme="minorBidi"/>
            <w:noProof/>
            <w:sz w:val="22"/>
            <w:szCs w:val="22"/>
          </w:rPr>
          <w:tab/>
        </w:r>
        <w:r w:rsidR="002E7E5B" w:rsidRPr="00F16101">
          <w:rPr>
            <w:rStyle w:val="Hyperlink"/>
            <w:noProof/>
          </w:rPr>
          <w:t>Explanatory Tables</w:t>
        </w:r>
        <w:r w:rsidR="002E7E5B">
          <w:rPr>
            <w:noProof/>
            <w:webHidden/>
          </w:rPr>
          <w:tab/>
        </w:r>
        <w:r>
          <w:rPr>
            <w:noProof/>
            <w:webHidden/>
          </w:rPr>
          <w:fldChar w:fldCharType="begin"/>
        </w:r>
        <w:r w:rsidR="002E7E5B">
          <w:rPr>
            <w:noProof/>
            <w:webHidden/>
          </w:rPr>
          <w:instrText xml:space="preserve"> PAGEREF _Toc418003407 \h </w:instrText>
        </w:r>
        <w:r>
          <w:rPr>
            <w:noProof/>
            <w:webHidden/>
          </w:rPr>
        </w:r>
        <w:r>
          <w:rPr>
            <w:noProof/>
            <w:webHidden/>
          </w:rPr>
          <w:fldChar w:fldCharType="separate"/>
        </w:r>
        <w:r w:rsidR="00276DA6">
          <w:rPr>
            <w:noProof/>
            <w:webHidden/>
          </w:rPr>
          <w:t>57</w:t>
        </w:r>
        <w:r>
          <w:rPr>
            <w:noProof/>
            <w:webHidden/>
          </w:rPr>
          <w:fldChar w:fldCharType="end"/>
        </w:r>
      </w:hyperlink>
    </w:p>
    <w:p w:rsidR="002E7E5B" w:rsidRDefault="009C3A5D">
      <w:pPr>
        <w:pStyle w:val="TOC2"/>
        <w:tabs>
          <w:tab w:val="left" w:pos="800"/>
        </w:tabs>
        <w:rPr>
          <w:rFonts w:asciiTheme="minorHAnsi" w:eastAsiaTheme="minorEastAsia" w:hAnsiTheme="minorHAnsi" w:cstheme="minorBidi"/>
          <w:noProof/>
          <w:sz w:val="22"/>
          <w:szCs w:val="22"/>
        </w:rPr>
      </w:pPr>
      <w:hyperlink w:anchor="_Toc418003408" w:history="1">
        <w:r w:rsidR="002E7E5B" w:rsidRPr="00F16101">
          <w:rPr>
            <w:rStyle w:val="Hyperlink"/>
            <w:noProof/>
          </w:rPr>
          <w:t>3.2</w:t>
        </w:r>
        <w:r w:rsidR="002E7E5B">
          <w:rPr>
            <w:rFonts w:asciiTheme="minorHAnsi" w:eastAsiaTheme="minorEastAsia" w:hAnsiTheme="minorHAnsi" w:cstheme="minorBidi"/>
            <w:noProof/>
            <w:sz w:val="22"/>
            <w:szCs w:val="22"/>
          </w:rPr>
          <w:tab/>
        </w:r>
        <w:r w:rsidR="002E7E5B" w:rsidRPr="00F16101">
          <w:rPr>
            <w:rStyle w:val="Hyperlink"/>
            <w:noProof/>
          </w:rPr>
          <w:t>Budgeted Financial Statements</w:t>
        </w:r>
        <w:r w:rsidR="002E7E5B">
          <w:rPr>
            <w:noProof/>
            <w:webHidden/>
          </w:rPr>
          <w:tab/>
        </w:r>
        <w:r>
          <w:rPr>
            <w:noProof/>
            <w:webHidden/>
          </w:rPr>
          <w:fldChar w:fldCharType="begin"/>
        </w:r>
        <w:r w:rsidR="002E7E5B">
          <w:rPr>
            <w:noProof/>
            <w:webHidden/>
          </w:rPr>
          <w:instrText xml:space="preserve"> PAGEREF _Toc418003408 \h </w:instrText>
        </w:r>
        <w:r>
          <w:rPr>
            <w:noProof/>
            <w:webHidden/>
          </w:rPr>
        </w:r>
        <w:r>
          <w:rPr>
            <w:noProof/>
            <w:webHidden/>
          </w:rPr>
          <w:fldChar w:fldCharType="separate"/>
        </w:r>
        <w:r w:rsidR="00276DA6">
          <w:rPr>
            <w:noProof/>
            <w:webHidden/>
          </w:rPr>
          <w:t>66</w:t>
        </w:r>
        <w:r>
          <w:rPr>
            <w:noProof/>
            <w:webHidden/>
          </w:rPr>
          <w:fldChar w:fldCharType="end"/>
        </w:r>
      </w:hyperlink>
    </w:p>
    <w:p w:rsidR="00610267" w:rsidRDefault="009C3A5D" w:rsidP="001E31A4">
      <w:pPr>
        <w:pStyle w:val="TOC2"/>
        <w:tabs>
          <w:tab w:val="left" w:pos="800"/>
        </w:tabs>
        <w:rPr>
          <w:b/>
        </w:rPr>
        <w:sectPr w:rsidR="00610267" w:rsidSect="00341079">
          <w:footerReference w:type="first" r:id="rId11"/>
          <w:type w:val="oddPage"/>
          <w:pgSz w:w="11906" w:h="16838" w:code="9"/>
          <w:pgMar w:top="2466" w:right="2098" w:bottom="2466" w:left="2098" w:header="1899" w:footer="1899" w:gutter="0"/>
          <w:pgNumType w:start="13"/>
          <w:cols w:space="708"/>
          <w:titlePg/>
          <w:docGrid w:linePitch="360"/>
        </w:sectPr>
      </w:pPr>
      <w:r>
        <w:rPr>
          <w:b/>
        </w:rPr>
        <w:fldChar w:fldCharType="end"/>
      </w:r>
    </w:p>
    <w:p w:rsidR="00257FF4" w:rsidRDefault="005E11DF" w:rsidP="004F1756">
      <w:pPr>
        <w:pStyle w:val="Heading2"/>
      </w:pPr>
      <w:bookmarkStart w:id="3" w:name="_Toc417373590"/>
      <w:bookmarkStart w:id="4" w:name="_Toc417895936"/>
      <w:bookmarkStart w:id="5" w:name="Finance"/>
      <w:r>
        <w:lastRenderedPageBreak/>
        <w:t>Department of Finance</w:t>
      </w:r>
      <w:bookmarkEnd w:id="3"/>
      <w:bookmarkEnd w:id="4"/>
    </w:p>
    <w:p w:rsidR="00257FF4" w:rsidRPr="008D2DD0" w:rsidRDefault="00257FF4" w:rsidP="008D2DD0">
      <w:pPr>
        <w:pStyle w:val="Heading3"/>
      </w:pPr>
      <w:bookmarkStart w:id="6" w:name="_Toc190682308"/>
      <w:bookmarkStart w:id="7" w:name="_Toc190682526"/>
      <w:bookmarkStart w:id="8" w:name="_Toc416874468"/>
      <w:bookmarkStart w:id="9" w:name="_Toc418003400"/>
      <w:r w:rsidRPr="008D2DD0">
        <w:t xml:space="preserve">Section 1: </w:t>
      </w:r>
      <w:r w:rsidR="007E6BBD" w:rsidRPr="008D2DD0">
        <w:t xml:space="preserve">Entity </w:t>
      </w:r>
      <w:r w:rsidR="007E2F87" w:rsidRPr="008D2DD0">
        <w:t>O</w:t>
      </w:r>
      <w:r w:rsidRPr="008D2DD0">
        <w:t xml:space="preserve">verview and </w:t>
      </w:r>
      <w:r w:rsidR="007E2F87" w:rsidRPr="008D2DD0">
        <w:t>R</w:t>
      </w:r>
      <w:r w:rsidRPr="008D2DD0">
        <w:t>esources</w:t>
      </w:r>
      <w:bookmarkEnd w:id="6"/>
      <w:bookmarkEnd w:id="7"/>
      <w:bookmarkEnd w:id="8"/>
      <w:bookmarkEnd w:id="9"/>
    </w:p>
    <w:p w:rsidR="00257FF4" w:rsidRPr="008D2DD0" w:rsidRDefault="00257FF4" w:rsidP="008D2DD0">
      <w:pPr>
        <w:pStyle w:val="Heading4"/>
      </w:pPr>
      <w:bookmarkStart w:id="10" w:name="_Toc190682309"/>
      <w:bookmarkStart w:id="11" w:name="_Toc190682527"/>
      <w:bookmarkStart w:id="12" w:name="_Toc416874469"/>
      <w:bookmarkStart w:id="13" w:name="_Toc418003401"/>
      <w:r w:rsidRPr="008D2DD0">
        <w:t>1.1</w:t>
      </w:r>
      <w:r w:rsidRPr="008D2DD0">
        <w:tab/>
        <w:t xml:space="preserve">Strategic </w:t>
      </w:r>
      <w:r w:rsidR="00DF61C8" w:rsidRPr="008D2DD0">
        <w:t>D</w:t>
      </w:r>
      <w:r w:rsidRPr="008D2DD0">
        <w:t>irection</w:t>
      </w:r>
      <w:bookmarkEnd w:id="10"/>
      <w:bookmarkEnd w:id="11"/>
      <w:r w:rsidR="00DF61C8" w:rsidRPr="008D2DD0">
        <w:t xml:space="preserve"> Statement</w:t>
      </w:r>
      <w:bookmarkEnd w:id="12"/>
      <w:bookmarkEnd w:id="13"/>
    </w:p>
    <w:p w:rsidR="00A07DF7" w:rsidRPr="001B712D" w:rsidRDefault="00A07DF7" w:rsidP="00A07DF7">
      <w:pPr>
        <w:spacing w:after="120"/>
      </w:pPr>
      <w:bookmarkStart w:id="14" w:name="_Toc190682310"/>
      <w:bookmarkStart w:id="15" w:name="_Toc190682528"/>
      <w:r w:rsidRPr="001B712D">
        <w:t>The key purpose of the Department of Finance (Finance) is to support the Australian Government’s (the government’s) objectives and public sector improvement, through responsible expenditure and oversight.</w:t>
      </w:r>
    </w:p>
    <w:p w:rsidR="00A07DF7" w:rsidRPr="001B712D" w:rsidRDefault="00A07DF7" w:rsidP="00A07DF7">
      <w:pPr>
        <w:spacing w:after="120"/>
      </w:pPr>
      <w:r w:rsidRPr="001B712D">
        <w:t xml:space="preserve">As one of the government’s central agencies, Finance assists the government to shape and deliver its agenda by providing high quality advice, policies, governance arrangements and professional services.  </w:t>
      </w:r>
    </w:p>
    <w:p w:rsidR="00A07DF7" w:rsidRDefault="00A07DF7" w:rsidP="00FF7C33">
      <w:pPr>
        <w:spacing w:line="240" w:lineRule="auto"/>
      </w:pPr>
      <w:r w:rsidRPr="001B712D">
        <w:t>Finance has reviewed its outcome statements and strategies for 2015-16 to better reflect its purpose.</w:t>
      </w:r>
    </w:p>
    <w:p w:rsidR="00A07DF7" w:rsidRPr="001B712D" w:rsidRDefault="00A07DF7" w:rsidP="00CD2C4A">
      <w:pPr>
        <w:spacing w:line="240" w:lineRule="auto"/>
        <w:ind w:left="1559" w:hanging="1559"/>
        <w:rPr>
          <w:i/>
        </w:rPr>
      </w:pPr>
      <w:r w:rsidRPr="001B712D">
        <w:rPr>
          <w:b/>
          <w:i/>
        </w:rPr>
        <w:t>Outcome 1</w:t>
      </w:r>
      <w:r w:rsidRPr="001B712D">
        <w:rPr>
          <w:b/>
          <w:i/>
        </w:rPr>
        <w:tab/>
      </w:r>
      <w:r w:rsidRPr="001B712D">
        <w:rPr>
          <w:i/>
        </w:rPr>
        <w:t>Support sustainable Australian Government finances through providing high quality policy advice and operational support to the government and Commonwealth entities to maintain effective and efficient use of public resources.</w:t>
      </w:r>
    </w:p>
    <w:p w:rsidR="00A07DF7" w:rsidRPr="001B712D" w:rsidRDefault="00A07DF7" w:rsidP="00A07DF7">
      <w:pPr>
        <w:spacing w:after="120"/>
      </w:pPr>
      <w:r w:rsidRPr="001B712D">
        <w:t>To achieve Outcome 1, Finance:</w:t>
      </w:r>
    </w:p>
    <w:p w:rsidR="00A07DF7" w:rsidRPr="001B712D"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B712D">
        <w:rPr>
          <w:rFonts w:ascii="Book Antiqua" w:hAnsi="Book Antiqua"/>
          <w:sz w:val="20"/>
          <w:szCs w:val="20"/>
        </w:rPr>
        <w:t xml:space="preserve">assists the government to develop and deliver its fiscal and economic policies by producing the Budget and the government’s financial statements; and </w:t>
      </w:r>
    </w:p>
    <w:p w:rsidR="00CD2C4A" w:rsidRPr="00FF7C33" w:rsidRDefault="00A07DF7" w:rsidP="00FF7C33">
      <w:pPr>
        <w:pStyle w:val="ListParagraph"/>
        <w:numPr>
          <w:ilvl w:val="0"/>
          <w:numId w:val="9"/>
        </w:numPr>
        <w:autoSpaceDE w:val="0"/>
        <w:autoSpaceDN w:val="0"/>
        <w:spacing w:after="240" w:line="240" w:lineRule="auto"/>
        <w:ind w:left="567" w:hanging="357"/>
        <w:contextualSpacing w:val="0"/>
        <w:jc w:val="both"/>
        <w:rPr>
          <w:rFonts w:ascii="Book Antiqua" w:hAnsi="Book Antiqua"/>
          <w:sz w:val="20"/>
          <w:szCs w:val="20"/>
        </w:rPr>
      </w:pPr>
      <w:proofErr w:type="gramStart"/>
      <w:r w:rsidRPr="001B712D">
        <w:rPr>
          <w:rFonts w:ascii="Book Antiqua" w:hAnsi="Book Antiqua"/>
          <w:sz w:val="20"/>
          <w:szCs w:val="20"/>
        </w:rPr>
        <w:t>contributes</w:t>
      </w:r>
      <w:proofErr w:type="gramEnd"/>
      <w:r w:rsidRPr="001B712D">
        <w:rPr>
          <w:rFonts w:ascii="Book Antiqua" w:hAnsi="Book Antiqua"/>
          <w:sz w:val="20"/>
          <w:szCs w:val="20"/>
        </w:rPr>
        <w:t xml:space="preserve"> to the government’s reform agenda by seeking to improve the effectiveness and efficiency of the use of public resources.</w:t>
      </w:r>
    </w:p>
    <w:p w:rsidR="00A07DF7" w:rsidRPr="001B712D" w:rsidRDefault="00A07DF7" w:rsidP="00CD2C4A">
      <w:pPr>
        <w:spacing w:line="240" w:lineRule="auto"/>
        <w:ind w:left="1559" w:hanging="1559"/>
        <w:rPr>
          <w:i/>
        </w:rPr>
      </w:pPr>
      <w:r w:rsidRPr="001B712D">
        <w:rPr>
          <w:b/>
          <w:i/>
        </w:rPr>
        <w:t>Outcome 2</w:t>
      </w:r>
      <w:r w:rsidRPr="001B712D">
        <w:rPr>
          <w:b/>
          <w:i/>
        </w:rPr>
        <w:tab/>
      </w:r>
      <w:r w:rsidRPr="001B712D">
        <w:rPr>
          <w:i/>
        </w:rPr>
        <w:t>Support an efficient a</w:t>
      </w:r>
      <w:r w:rsidR="00BF263F">
        <w:rPr>
          <w:i/>
        </w:rPr>
        <w:t>nd high-performing public sector</w:t>
      </w:r>
      <w:r w:rsidRPr="001B712D">
        <w:rPr>
          <w:i/>
        </w:rPr>
        <w:t xml:space="preserve"> through providing leadership to Commonwealth entities in ongoing improvement</w:t>
      </w:r>
      <w:r w:rsidR="00CC63D5">
        <w:rPr>
          <w:i/>
        </w:rPr>
        <w:t>s</w:t>
      </w:r>
      <w:r w:rsidRPr="001B712D">
        <w:rPr>
          <w:i/>
        </w:rPr>
        <w:t xml:space="preserve"> to public sector governance, including through sys</w:t>
      </w:r>
      <w:r w:rsidR="00CC63D5">
        <w:rPr>
          <w:i/>
        </w:rPr>
        <w:t xml:space="preserve">tems, frameworks, policy, </w:t>
      </w:r>
      <w:proofErr w:type="gramStart"/>
      <w:r w:rsidR="00CC63D5">
        <w:rPr>
          <w:i/>
        </w:rPr>
        <w:t>advice</w:t>
      </w:r>
      <w:proofErr w:type="gramEnd"/>
      <w:r w:rsidRPr="001B712D">
        <w:rPr>
          <w:i/>
        </w:rPr>
        <w:t xml:space="preserve"> and service delivery.</w:t>
      </w:r>
    </w:p>
    <w:p w:rsidR="00A07DF7" w:rsidRPr="001B712D" w:rsidRDefault="00A07DF7" w:rsidP="00A07DF7">
      <w:pPr>
        <w:spacing w:after="120"/>
      </w:pPr>
      <w:r w:rsidRPr="001B712D">
        <w:t>To achieve Outcome 2, Finance:</w:t>
      </w:r>
    </w:p>
    <w:p w:rsidR="00A07DF7" w:rsidRPr="001B712D"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B712D">
        <w:rPr>
          <w:rFonts w:ascii="Book Antiqua" w:hAnsi="Book Antiqua"/>
          <w:sz w:val="20"/>
          <w:szCs w:val="20"/>
        </w:rPr>
        <w:t>contributes to, and fosters, leading practice in public sector governance and accountability, encompassing the public resource management framework, procurement and grants policies, and the oversight of Government Business Enterprises and other commercial entities;</w:t>
      </w:r>
    </w:p>
    <w:p w:rsidR="00A07DF7" w:rsidRPr="001B712D"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B712D">
        <w:rPr>
          <w:rFonts w:ascii="Book Antiqua" w:hAnsi="Book Antiqua"/>
          <w:sz w:val="20"/>
          <w:szCs w:val="20"/>
        </w:rPr>
        <w:t xml:space="preserve">develops and administers key government policies in relation to Commonwealth land, public works and property management, advertising and the government’s use of </w:t>
      </w:r>
      <w:r w:rsidR="00E71F0F">
        <w:rPr>
          <w:rFonts w:ascii="Book Antiqua" w:hAnsi="Book Antiqua"/>
          <w:sz w:val="20"/>
          <w:szCs w:val="20"/>
        </w:rPr>
        <w:t>I</w:t>
      </w:r>
      <w:r w:rsidR="00E71F0F" w:rsidRPr="004D657B">
        <w:rPr>
          <w:rFonts w:ascii="Book Antiqua" w:hAnsi="Book Antiqua"/>
          <w:sz w:val="20"/>
          <w:szCs w:val="20"/>
        </w:rPr>
        <w:t xml:space="preserve">nformation </w:t>
      </w:r>
      <w:r w:rsidR="00E71F0F">
        <w:rPr>
          <w:rFonts w:ascii="Book Antiqua" w:hAnsi="Book Antiqua"/>
          <w:sz w:val="20"/>
          <w:szCs w:val="20"/>
        </w:rPr>
        <w:t>and C</w:t>
      </w:r>
      <w:r w:rsidR="00E71F0F" w:rsidRPr="004D657B">
        <w:rPr>
          <w:rFonts w:ascii="Book Antiqua" w:hAnsi="Book Antiqua"/>
          <w:sz w:val="20"/>
          <w:szCs w:val="20"/>
        </w:rPr>
        <w:t>ommunications</w:t>
      </w:r>
      <w:r w:rsidR="00E71F0F">
        <w:rPr>
          <w:rFonts w:ascii="Book Antiqua" w:hAnsi="Book Antiqua"/>
          <w:sz w:val="20"/>
          <w:szCs w:val="20"/>
        </w:rPr>
        <w:t xml:space="preserve"> Technology</w:t>
      </w:r>
      <w:r w:rsidR="00E71F0F" w:rsidRPr="004D657B">
        <w:rPr>
          <w:rFonts w:ascii="Book Antiqua" w:hAnsi="Book Antiqua"/>
          <w:sz w:val="20"/>
          <w:szCs w:val="20"/>
        </w:rPr>
        <w:t xml:space="preserve"> (</w:t>
      </w:r>
      <w:r w:rsidRPr="001B712D">
        <w:rPr>
          <w:rFonts w:ascii="Book Antiqua" w:hAnsi="Book Antiqua"/>
          <w:sz w:val="20"/>
          <w:szCs w:val="20"/>
        </w:rPr>
        <w:t>ICT</w:t>
      </w:r>
      <w:r w:rsidR="00E71F0F">
        <w:rPr>
          <w:rFonts w:ascii="Book Antiqua" w:hAnsi="Book Antiqua"/>
          <w:sz w:val="20"/>
          <w:szCs w:val="20"/>
        </w:rPr>
        <w:t>)</w:t>
      </w:r>
      <w:r w:rsidRPr="001B712D">
        <w:rPr>
          <w:rFonts w:ascii="Book Antiqua" w:hAnsi="Book Antiqua"/>
          <w:sz w:val="20"/>
          <w:szCs w:val="20"/>
        </w:rPr>
        <w:t xml:space="preserve"> to ensure leading practice and ongoing improvement in the public sector management of government resources;</w:t>
      </w:r>
    </w:p>
    <w:p w:rsidR="00A07DF7" w:rsidRPr="001B712D"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B712D">
        <w:rPr>
          <w:rFonts w:ascii="Book Antiqua" w:hAnsi="Book Antiqua"/>
          <w:sz w:val="20"/>
          <w:szCs w:val="20"/>
        </w:rPr>
        <w:lastRenderedPageBreak/>
        <w:t>delivers professional services in respect of the government’s: non-Defence property portfolio within Australia (including major capital works projects), risk management and insurance arrangements (</w:t>
      </w:r>
      <w:proofErr w:type="spellStart"/>
      <w:r w:rsidRPr="001B712D">
        <w:rPr>
          <w:rFonts w:ascii="Book Antiqua" w:hAnsi="Book Antiqua"/>
          <w:sz w:val="20"/>
          <w:szCs w:val="20"/>
        </w:rPr>
        <w:t>Comcover</w:t>
      </w:r>
      <w:proofErr w:type="spellEnd"/>
      <w:r w:rsidRPr="001B712D">
        <w:rPr>
          <w:rFonts w:ascii="Book Antiqua" w:hAnsi="Book Antiqua"/>
          <w:sz w:val="20"/>
          <w:szCs w:val="20"/>
        </w:rPr>
        <w:t xml:space="preserve">), and key </w:t>
      </w:r>
      <w:r w:rsidR="001A4F7C">
        <w:rPr>
          <w:rFonts w:ascii="Book Antiqua" w:hAnsi="Book Antiqua"/>
          <w:sz w:val="20"/>
          <w:szCs w:val="20"/>
        </w:rPr>
        <w:t>Whole of Australian Government (</w:t>
      </w:r>
      <w:proofErr w:type="spellStart"/>
      <w:r w:rsidR="00C619FE">
        <w:rPr>
          <w:rFonts w:ascii="Book Antiqua" w:hAnsi="Book Antiqua"/>
          <w:sz w:val="20"/>
          <w:szCs w:val="20"/>
        </w:rPr>
        <w:t>WoAG</w:t>
      </w:r>
      <w:proofErr w:type="spellEnd"/>
      <w:r w:rsidR="001A4F7C">
        <w:rPr>
          <w:rFonts w:ascii="Book Antiqua" w:hAnsi="Book Antiqua"/>
          <w:sz w:val="20"/>
          <w:szCs w:val="20"/>
        </w:rPr>
        <w:t>)</w:t>
      </w:r>
      <w:r w:rsidRPr="001B712D">
        <w:rPr>
          <w:rFonts w:ascii="Book Antiqua" w:hAnsi="Book Antiqua"/>
          <w:sz w:val="20"/>
          <w:szCs w:val="20"/>
        </w:rPr>
        <w:t xml:space="preserve"> purchasing arrangements (such as travel, office equipment, stationery) to ensure efficient and effective management of government resources; and</w:t>
      </w:r>
    </w:p>
    <w:p w:rsidR="00A07DF7" w:rsidRDefault="00A07DF7" w:rsidP="00B7262F">
      <w:pPr>
        <w:pStyle w:val="ListParagraph"/>
        <w:numPr>
          <w:ilvl w:val="0"/>
          <w:numId w:val="9"/>
        </w:numPr>
        <w:autoSpaceDE w:val="0"/>
        <w:autoSpaceDN w:val="0"/>
        <w:spacing w:after="240" w:line="240" w:lineRule="auto"/>
        <w:ind w:left="567" w:hanging="357"/>
        <w:contextualSpacing w:val="0"/>
        <w:jc w:val="both"/>
        <w:rPr>
          <w:rFonts w:ascii="Book Antiqua" w:hAnsi="Book Antiqua"/>
          <w:sz w:val="20"/>
          <w:szCs w:val="20"/>
        </w:rPr>
      </w:pPr>
      <w:proofErr w:type="gramStart"/>
      <w:r w:rsidRPr="001B712D">
        <w:rPr>
          <w:rFonts w:ascii="Book Antiqua" w:hAnsi="Book Antiqua"/>
          <w:sz w:val="20"/>
          <w:szCs w:val="20"/>
        </w:rPr>
        <w:t>advises</w:t>
      </w:r>
      <w:proofErr w:type="gramEnd"/>
      <w:r w:rsidRPr="001B712D">
        <w:rPr>
          <w:rFonts w:ascii="Book Antiqua" w:hAnsi="Book Antiqua"/>
          <w:sz w:val="20"/>
          <w:szCs w:val="20"/>
        </w:rPr>
        <w:t xml:space="preserve"> on the government’s Investment Funds and administers superannuation arrangements for the government’s civilian employees, politicians and judges to support efficient and effective management of government resources.</w:t>
      </w:r>
    </w:p>
    <w:p w:rsidR="00A07DF7" w:rsidRPr="001B712D" w:rsidRDefault="00A07DF7" w:rsidP="00CD2C4A">
      <w:pPr>
        <w:spacing w:line="240" w:lineRule="auto"/>
        <w:ind w:left="1559" w:hanging="1559"/>
        <w:rPr>
          <w:i/>
        </w:rPr>
      </w:pPr>
      <w:r w:rsidRPr="001B712D">
        <w:rPr>
          <w:b/>
          <w:i/>
        </w:rPr>
        <w:t>Outcome 3</w:t>
      </w:r>
      <w:r w:rsidRPr="001B712D">
        <w:rPr>
          <w:b/>
          <w:i/>
        </w:rPr>
        <w:tab/>
      </w:r>
      <w:r w:rsidRPr="001B712D">
        <w:rPr>
          <w:i/>
        </w:rPr>
        <w:t>Support for Parliamentarians and others as required by the Australian Government through the delivery of, and advice on, entitlements and targeted assistance.</w:t>
      </w:r>
    </w:p>
    <w:p w:rsidR="00A07DF7" w:rsidRPr="001B712D" w:rsidRDefault="00A07DF7" w:rsidP="00A07DF7">
      <w:pPr>
        <w:spacing w:after="120"/>
      </w:pPr>
      <w:r w:rsidRPr="001B712D">
        <w:t>To achieve Outcome 3, Finance provides entitlements, advice and services to Ministers, Office-holders, Senators, Members, their staff and others as required by the government.</w:t>
      </w:r>
    </w:p>
    <w:p w:rsidR="00257FF4" w:rsidRDefault="0060749D" w:rsidP="008D2DD0">
      <w:pPr>
        <w:pStyle w:val="Heading4"/>
      </w:pPr>
      <w:r>
        <w:br w:type="page"/>
      </w:r>
      <w:bookmarkStart w:id="16" w:name="_Toc416874470"/>
      <w:bookmarkStart w:id="17" w:name="_Toc418003402"/>
      <w:r w:rsidR="00257FF4">
        <w:lastRenderedPageBreak/>
        <w:t>1.2</w:t>
      </w:r>
      <w:r w:rsidR="00257FF4">
        <w:tab/>
      </w:r>
      <w:r w:rsidR="007E6BBD">
        <w:t xml:space="preserve">Entity </w:t>
      </w:r>
      <w:r w:rsidR="00C5028C">
        <w:t>Resource S</w:t>
      </w:r>
      <w:r w:rsidR="00257FF4">
        <w:t>tatement</w:t>
      </w:r>
      <w:bookmarkEnd w:id="14"/>
      <w:bookmarkEnd w:id="15"/>
      <w:bookmarkEnd w:id="16"/>
      <w:bookmarkEnd w:id="17"/>
    </w:p>
    <w:p w:rsidR="00257FF4" w:rsidRDefault="00257FF4" w:rsidP="00257FF4">
      <w:bookmarkStart w:id="18" w:name="OLE_LINK11"/>
      <w:bookmarkStart w:id="19" w:name="OLE_LINK12"/>
      <w:r>
        <w:t>Table 1.1 shows the total resources from all</w:t>
      </w:r>
      <w:r w:rsidR="00BB721D">
        <w:t xml:space="preserve"> sources</w:t>
      </w:r>
      <w:r w:rsidR="00E95DB8">
        <w:t xml:space="preserve">. </w:t>
      </w:r>
      <w:r>
        <w:t>The table summarises how resources will be applied by outcome and by administered and departmental classification.</w:t>
      </w:r>
    </w:p>
    <w:bookmarkEnd w:id="18"/>
    <w:bookmarkEnd w:id="19"/>
    <w:p w:rsidR="009834A0" w:rsidRPr="003C54F5" w:rsidRDefault="006A5866" w:rsidP="00E453F8">
      <w:pPr>
        <w:pStyle w:val="Heading5"/>
      </w:pPr>
      <w:r w:rsidRPr="003C54F5">
        <w:t xml:space="preserve">Table 1.1: </w:t>
      </w:r>
      <w:r w:rsidR="0060749D" w:rsidRPr="003C54F5">
        <w:t>Department of Finance</w:t>
      </w:r>
      <w:r w:rsidRPr="003C54F5">
        <w:t xml:space="preserve"> </w:t>
      </w:r>
      <w:r w:rsidR="00AD10CF" w:rsidRPr="003C54F5">
        <w:t>R</w:t>
      </w:r>
      <w:r w:rsidRPr="003C54F5">
        <w:t xml:space="preserve">esource </w:t>
      </w:r>
      <w:r w:rsidR="00AD10CF" w:rsidRPr="003C54F5">
        <w:t>S</w:t>
      </w:r>
      <w:r w:rsidRPr="003C54F5">
        <w:t>tat</w:t>
      </w:r>
      <w:r w:rsidR="00B10F95" w:rsidRPr="003C54F5">
        <w:t>ement — Budget</w:t>
      </w:r>
      <w:r w:rsidR="00B10F95" w:rsidRPr="003C54F5">
        <w:br/>
        <w:t>E</w:t>
      </w:r>
      <w:r w:rsidR="00C11F05" w:rsidRPr="003C54F5">
        <w:t xml:space="preserve">stimates for </w:t>
      </w:r>
      <w:r w:rsidR="00475EAF" w:rsidRPr="003C54F5">
        <w:t>201</w:t>
      </w:r>
      <w:r w:rsidR="00426D71" w:rsidRPr="003C54F5">
        <w:t>5</w:t>
      </w:r>
      <w:r w:rsidR="00475EAF" w:rsidRPr="003C54F5">
        <w:t>-1</w:t>
      </w:r>
      <w:r w:rsidR="00426D71" w:rsidRPr="003C54F5">
        <w:t>6</w:t>
      </w:r>
      <w:r w:rsidRPr="003C54F5">
        <w:t xml:space="preserve"> as at Budget May </w:t>
      </w:r>
      <w:r w:rsidR="00426D71" w:rsidRPr="003C54F5">
        <w:t>2015</w:t>
      </w:r>
    </w:p>
    <w:tbl>
      <w:tblPr>
        <w:tblW w:w="7720" w:type="dxa"/>
        <w:tblInd w:w="87" w:type="dxa"/>
        <w:tblLook w:val="04A0"/>
      </w:tblPr>
      <w:tblGrid>
        <w:gridCol w:w="2647"/>
        <w:gridCol w:w="326"/>
        <w:gridCol w:w="1094"/>
        <w:gridCol w:w="258"/>
        <w:gridCol w:w="1047"/>
        <w:gridCol w:w="271"/>
        <w:gridCol w:w="972"/>
        <w:gridCol w:w="271"/>
        <w:gridCol w:w="953"/>
      </w:tblGrid>
      <w:tr w:rsidR="003B6D75" w:rsidRPr="003B6D75" w:rsidTr="003B6D75">
        <w:trPr>
          <w:trHeight w:val="222"/>
        </w:trPr>
        <w:tc>
          <w:tcPr>
            <w:tcW w:w="2800" w:type="dxa"/>
            <w:tcBorders>
              <w:top w:val="single" w:sz="4" w:space="0" w:color="000000"/>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80" w:type="dxa"/>
            <w:tcBorders>
              <w:top w:val="single" w:sz="4" w:space="0" w:color="000000"/>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108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Actual</w:t>
            </w:r>
          </w:p>
        </w:tc>
        <w:tc>
          <w:tcPr>
            <w:tcW w:w="18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110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c>
          <w:tcPr>
            <w:tcW w:w="18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02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Proposed</w:t>
            </w:r>
          </w:p>
        </w:tc>
        <w:tc>
          <w:tcPr>
            <w:tcW w:w="18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vertAlign w:val="superscript"/>
              </w:rPr>
              <w:t> </w:t>
            </w:r>
          </w:p>
        </w:tc>
        <w:tc>
          <w:tcPr>
            <w:tcW w:w="1000" w:type="dxa"/>
            <w:tcBorders>
              <w:top w:val="single" w:sz="4" w:space="0" w:color="000000"/>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Total</w:t>
            </w:r>
          </w:p>
        </w:tc>
      </w:tr>
      <w:tr w:rsidR="003B6D75" w:rsidRPr="003B6D75" w:rsidTr="003B6D75">
        <w:trPr>
          <w:trHeight w:val="222"/>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available</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of prior</w:t>
            </w:r>
          </w:p>
        </w:tc>
        <w:tc>
          <w:tcPr>
            <w:tcW w:w="18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at Budget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r>
      <w:tr w:rsidR="003B6D75" w:rsidRPr="003B6D75" w:rsidTr="003B6D75">
        <w:trPr>
          <w:trHeight w:val="222"/>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appropriation</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year amounts</w:t>
            </w:r>
          </w:p>
        </w:tc>
        <w:tc>
          <w:tcPr>
            <w:tcW w:w="18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xml:space="preserve"> available in</w:t>
            </w:r>
          </w:p>
        </w:tc>
        <w:tc>
          <w:tcPr>
            <w:tcW w:w="18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bookmarkStart w:id="20" w:name="RANGE!C8"/>
            <w:r w:rsidRPr="003B6D75">
              <w:rPr>
                <w:rFonts w:ascii="Arial" w:hAnsi="Arial" w:cs="Arial"/>
                <w:sz w:val="16"/>
                <w:szCs w:val="16"/>
              </w:rPr>
              <w:t>2014-15</w:t>
            </w:r>
            <w:bookmarkEnd w:id="20"/>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bookmarkStart w:id="21" w:name="RANGE!E8"/>
            <w:r w:rsidRPr="003B6D75">
              <w:rPr>
                <w:rFonts w:ascii="Arial" w:hAnsi="Arial" w:cs="Arial"/>
                <w:sz w:val="16"/>
                <w:szCs w:val="16"/>
              </w:rPr>
              <w:t>2015-16</w:t>
            </w:r>
            <w:bookmarkEnd w:id="21"/>
          </w:p>
        </w:tc>
        <w:tc>
          <w:tcPr>
            <w:tcW w:w="18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r>
      <w:tr w:rsidR="003B6D75" w:rsidRPr="003B6D75" w:rsidTr="003B6D75">
        <w:trPr>
          <w:trHeight w:val="222"/>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single" w:sz="4" w:space="0" w:color="000000"/>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40"/>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Ordinary annual services</w:t>
            </w:r>
            <w:r w:rsidRPr="003B6D75">
              <w:rPr>
                <w:rFonts w:ascii="Arial" w:hAnsi="Arial" w:cs="Arial"/>
                <w:b/>
                <w:bCs/>
                <w:sz w:val="16"/>
                <w:szCs w:val="16"/>
                <w:vertAlign w:val="superscript"/>
              </w:rPr>
              <w:t xml:space="preserve"> 1</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Departmental appropriation</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2800" w:type="dxa"/>
            <w:tcBorders>
              <w:top w:val="nil"/>
              <w:left w:val="nil"/>
              <w:bottom w:val="nil"/>
              <w:right w:val="nil"/>
            </w:tcBorders>
            <w:shd w:val="clear" w:color="000000" w:fill="FFFFFF"/>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Departmental appropriation</w:t>
            </w:r>
            <w:r w:rsidRPr="003B6D75">
              <w:rPr>
                <w:rFonts w:ascii="Arial" w:hAnsi="Arial" w:cs="Arial"/>
                <w:sz w:val="16"/>
                <w:szCs w:val="16"/>
                <w:vertAlign w:val="superscript"/>
              </w:rPr>
              <w:t xml:space="preserve"> 2</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324,004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97,313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vertAlign w:val="superscript"/>
              </w:rPr>
              <w:t>3</w:t>
            </w: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268,966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366,279</w:t>
            </w:r>
          </w:p>
        </w:tc>
      </w:tr>
      <w:tr w:rsidR="003B6D75" w:rsidRPr="003B6D75" w:rsidTr="003B6D75">
        <w:trPr>
          <w:trHeight w:val="240"/>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s74 Retained revenue receipts</w:t>
            </w:r>
            <w:r w:rsidRPr="003B6D75">
              <w:rPr>
                <w:rFonts w:ascii="Arial" w:hAnsi="Arial" w:cs="Arial"/>
                <w:sz w:val="16"/>
                <w:szCs w:val="16"/>
                <w:vertAlign w:val="superscript"/>
              </w:rPr>
              <w:t xml:space="preserve"> 4</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18,456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17,232</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17,232</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Total</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342,460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97,313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286,198</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383,511</w:t>
            </w:r>
          </w:p>
        </w:tc>
      </w:tr>
      <w:tr w:rsidR="003B6D75" w:rsidRPr="003B6D75" w:rsidTr="003B6D75">
        <w:trPr>
          <w:trHeight w:val="60"/>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300" w:firstLine="480"/>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Administered expenses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Outcome 1</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13,652</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Outcome 2</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694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12,205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12,205</w:t>
            </w:r>
          </w:p>
        </w:tc>
      </w:tr>
      <w:tr w:rsidR="003B6D75" w:rsidRPr="003B6D75" w:rsidTr="003B6D75">
        <w:trPr>
          <w:trHeight w:val="240"/>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Outcome 3</w:t>
            </w:r>
            <w:r w:rsidRPr="003B6D75">
              <w:rPr>
                <w:rFonts w:ascii="Arial" w:hAnsi="Arial" w:cs="Arial"/>
                <w:sz w:val="16"/>
                <w:szCs w:val="16"/>
                <w:vertAlign w:val="superscript"/>
              </w:rPr>
              <w:t xml:space="preserve"> 5</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277,236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277,650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277,650</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Total</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291,582</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289,855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289,855</w:t>
            </w:r>
          </w:p>
        </w:tc>
      </w:tr>
      <w:tr w:rsidR="003B6D75" w:rsidRPr="003B6D75" w:rsidTr="003B6D75">
        <w:trPr>
          <w:trHeight w:val="60"/>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ordinary annual services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A</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634,042</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97,313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576,053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673,366</w:t>
            </w:r>
          </w:p>
        </w:tc>
      </w:tr>
      <w:tr w:rsidR="003B6D75" w:rsidRPr="003B6D75" w:rsidTr="003B6D75">
        <w:trPr>
          <w:trHeight w:val="60"/>
        </w:trPr>
        <w:tc>
          <w:tcPr>
            <w:tcW w:w="2800"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Other services</w:t>
            </w:r>
            <w:r w:rsidRPr="003B6D75">
              <w:rPr>
                <w:rFonts w:ascii="Arial" w:hAnsi="Arial" w:cs="Arial"/>
                <w:b/>
                <w:bCs/>
                <w:sz w:val="16"/>
                <w:szCs w:val="16"/>
                <w:vertAlign w:val="superscript"/>
              </w:rPr>
              <w:t xml:space="preserve"> 6</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Departmental non-operating</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Equity injections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213,877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42,357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155,084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197,441</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Total</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single" w:sz="4" w:space="0" w:color="auto"/>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213,877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42,357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155,084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197,441</w:t>
            </w:r>
          </w:p>
        </w:tc>
      </w:tr>
      <w:tr w:rsidR="003B6D75" w:rsidRPr="003B6D75" w:rsidTr="003B6D75">
        <w:trPr>
          <w:trHeight w:val="60"/>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100" w:firstLine="161"/>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Administered non-operating</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Administered assets and liabilities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1,556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1,606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1,606</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Total</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1,556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1,606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1,606</w:t>
            </w:r>
          </w:p>
        </w:tc>
      </w:tr>
      <w:tr w:rsidR="003B6D75" w:rsidRPr="003B6D75" w:rsidTr="003B6D75">
        <w:trPr>
          <w:trHeight w:val="60"/>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200" w:firstLine="320"/>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other services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B</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215,433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42,357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156,690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199,047</w:t>
            </w:r>
          </w:p>
        </w:tc>
      </w:tr>
      <w:tr w:rsidR="003B6D75" w:rsidRPr="003B6D75" w:rsidTr="003B6D75">
        <w:trPr>
          <w:trHeight w:val="60"/>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200" w:firstLine="320"/>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available annual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1"/>
              <w:jc w:val="left"/>
              <w:rPr>
                <w:rFonts w:ascii="Arial" w:hAnsi="Arial" w:cs="Arial"/>
                <w:b/>
                <w:bCs/>
                <w:sz w:val="16"/>
                <w:szCs w:val="16"/>
              </w:rPr>
            </w:pPr>
            <w:r w:rsidRPr="003B6D75">
              <w:rPr>
                <w:rFonts w:ascii="Arial" w:hAnsi="Arial" w:cs="Arial"/>
                <w:b/>
                <w:bCs/>
                <w:sz w:val="16"/>
                <w:szCs w:val="16"/>
              </w:rPr>
              <w:t>appropriations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p>
        </w:tc>
        <w:tc>
          <w:tcPr>
            <w:tcW w:w="10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A+B</w:t>
            </w:r>
          </w:p>
        </w:tc>
        <w:tc>
          <w:tcPr>
            <w:tcW w:w="180"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0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849,475</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1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139,670</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vertAlign w:val="superscript"/>
              </w:rPr>
              <w:t> </w:t>
            </w:r>
          </w:p>
        </w:tc>
        <w:tc>
          <w:tcPr>
            <w:tcW w:w="10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732,743</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vertAlign w:val="superscript"/>
              </w:rPr>
              <w:t> </w:t>
            </w:r>
          </w:p>
        </w:tc>
        <w:tc>
          <w:tcPr>
            <w:tcW w:w="100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872,413</w:t>
            </w:r>
          </w:p>
        </w:tc>
      </w:tr>
    </w:tbl>
    <w:p w:rsidR="005E483D" w:rsidRPr="0015261C" w:rsidRDefault="005E483D" w:rsidP="00153C7F">
      <w:pPr>
        <w:spacing w:after="0" w:line="240" w:lineRule="auto"/>
        <w:rPr>
          <w:sz w:val="6"/>
          <w:szCs w:val="6"/>
        </w:rPr>
      </w:pPr>
    </w:p>
    <w:p w:rsidR="000B0302" w:rsidRPr="0015261C" w:rsidRDefault="000B0302" w:rsidP="000B0302">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5E483D" w:rsidRPr="003C54F5" w:rsidRDefault="0042526D" w:rsidP="00E453F8">
      <w:pPr>
        <w:pStyle w:val="Heading5"/>
      </w:pPr>
      <w:r>
        <w:br w:type="page"/>
      </w:r>
      <w:r w:rsidR="006A5866" w:rsidRPr="003C54F5">
        <w:lastRenderedPageBreak/>
        <w:t xml:space="preserve">Table 1.1: </w:t>
      </w:r>
      <w:r w:rsidR="0060749D" w:rsidRPr="003C54F5">
        <w:t>Department of Finance</w:t>
      </w:r>
      <w:r w:rsidR="006A5866" w:rsidRPr="003C54F5">
        <w:t xml:space="preserve"> </w:t>
      </w:r>
      <w:r w:rsidR="00DE1987" w:rsidRPr="003C54F5">
        <w:t>R</w:t>
      </w:r>
      <w:r w:rsidR="006A5866" w:rsidRPr="003C54F5">
        <w:t xml:space="preserve">esource </w:t>
      </w:r>
      <w:r w:rsidR="00DE1987" w:rsidRPr="003C54F5">
        <w:t>S</w:t>
      </w:r>
      <w:r w:rsidR="00C20E76" w:rsidRPr="003C54F5">
        <w:t>tatement —</w:t>
      </w:r>
      <w:r w:rsidR="00B10F95" w:rsidRPr="003C54F5">
        <w:t xml:space="preserve"> Budget</w:t>
      </w:r>
      <w:r w:rsidR="00B10F95" w:rsidRPr="003C54F5">
        <w:br/>
        <w:t>E</w:t>
      </w:r>
      <w:r w:rsidR="00C11F05" w:rsidRPr="003C54F5">
        <w:t xml:space="preserve">stimates for </w:t>
      </w:r>
      <w:r w:rsidR="00475EAF" w:rsidRPr="003C54F5">
        <w:t>201</w:t>
      </w:r>
      <w:r w:rsidR="005B7E9B" w:rsidRPr="003C54F5">
        <w:t>5-16</w:t>
      </w:r>
      <w:r w:rsidR="006A5866" w:rsidRPr="003C54F5">
        <w:t xml:space="preserve"> as at Budget May </w:t>
      </w:r>
      <w:r w:rsidR="00E55ABA" w:rsidRPr="003C54F5">
        <w:t>20</w:t>
      </w:r>
      <w:r w:rsidR="00C11F05" w:rsidRPr="003C54F5">
        <w:t>1</w:t>
      </w:r>
      <w:r w:rsidR="005B7E9B" w:rsidRPr="003C54F5">
        <w:t>5</w:t>
      </w:r>
      <w:r w:rsidR="00E55ABA" w:rsidRPr="003C54F5">
        <w:t xml:space="preserve"> </w:t>
      </w:r>
      <w:r w:rsidR="00A23BC2" w:rsidRPr="003C54F5">
        <w:t>(continued)</w:t>
      </w:r>
    </w:p>
    <w:tbl>
      <w:tblPr>
        <w:tblW w:w="8060" w:type="dxa"/>
        <w:tblInd w:w="87" w:type="dxa"/>
        <w:tblLook w:val="04A0"/>
      </w:tblPr>
      <w:tblGrid>
        <w:gridCol w:w="3140"/>
        <w:gridCol w:w="332"/>
        <w:gridCol w:w="1150"/>
        <w:gridCol w:w="261"/>
        <w:gridCol w:w="1100"/>
        <w:gridCol w:w="275"/>
        <w:gridCol w:w="1020"/>
        <w:gridCol w:w="275"/>
        <w:gridCol w:w="1017"/>
      </w:tblGrid>
      <w:tr w:rsidR="003B6D75" w:rsidRPr="003B6D75" w:rsidTr="003B6D75">
        <w:trPr>
          <w:trHeight w:val="225"/>
        </w:trPr>
        <w:tc>
          <w:tcPr>
            <w:tcW w:w="314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8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10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Actual</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110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02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Proposed</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vertAlign w:val="superscript"/>
              </w:rPr>
              <w:t> </w:t>
            </w:r>
          </w:p>
        </w:tc>
        <w:tc>
          <w:tcPr>
            <w:tcW w:w="100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Total</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available</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of prior</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at Budget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appropriation</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year amounts</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xml:space="preserve"> available in</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Special appropriations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Special appropriations limited</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2"/>
              <w:jc w:val="left"/>
              <w:rPr>
                <w:rFonts w:ascii="Arial" w:hAnsi="Arial" w:cs="Arial"/>
                <w:b/>
                <w:bCs/>
                <w:sz w:val="16"/>
                <w:szCs w:val="16"/>
              </w:rPr>
            </w:pPr>
            <w:r w:rsidRPr="003B6D75">
              <w:rPr>
                <w:rFonts w:ascii="Arial" w:hAnsi="Arial" w:cs="Arial"/>
                <w:b/>
                <w:bCs/>
                <w:sz w:val="16"/>
                <w:szCs w:val="16"/>
              </w:rPr>
              <w:t xml:space="preserve"> by criteria/entitlement</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 xml:space="preserve">Federal Circuit Court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of Australia Act 1999</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729</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741</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741</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Governance of Australian</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Government Superannuation</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Schemes Act 2011</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1,400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Governor-General Act 1974</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893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1,244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1,244</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Judges' Pensions Act 1968</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84,100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82,100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82,100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proofErr w:type="spellStart"/>
            <w:r w:rsidRPr="003B6D75">
              <w:rPr>
                <w:rFonts w:ascii="Arial" w:hAnsi="Arial" w:cs="Arial"/>
                <w:i/>
                <w:iCs/>
                <w:sz w:val="16"/>
                <w:szCs w:val="16"/>
              </w:rPr>
              <w:t>Medibank</w:t>
            </w:r>
            <w:proofErr w:type="spellEnd"/>
            <w:r w:rsidRPr="003B6D75">
              <w:rPr>
                <w:rFonts w:ascii="Arial" w:hAnsi="Arial" w:cs="Arial"/>
                <w:i/>
                <w:iCs/>
                <w:sz w:val="16"/>
                <w:szCs w:val="16"/>
              </w:rPr>
              <w:t xml:space="preserve"> Private Sale Act 2006</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3,327,182</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Members of Parliament (Life</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Gold Pass) Act 2002</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1,065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1,120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1,120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Parliamentary Contributory</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Superannuation Act 1948</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51,629</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54,417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54,417</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 xml:space="preserve">Parliamentary Entitlements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Act 1990</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166,610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175,064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175,064</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 xml:space="preserve">Parliamentary Superannuation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Act 2004</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5,769</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5,887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5,887</w:t>
            </w:r>
          </w:p>
        </w:tc>
      </w:tr>
      <w:tr w:rsidR="003B6D75" w:rsidRPr="003B6D75" w:rsidTr="003B6D75">
        <w:trPr>
          <w:trHeight w:val="225"/>
        </w:trPr>
        <w:tc>
          <w:tcPr>
            <w:tcW w:w="3320" w:type="dxa"/>
            <w:gridSpan w:val="2"/>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Public Governance, Performance and</w:t>
            </w: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4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Accountability Act 2013</w:t>
            </w:r>
            <w:r w:rsidRPr="003B6D75">
              <w:rPr>
                <w:rFonts w:ascii="Arial" w:hAnsi="Arial" w:cs="Arial"/>
                <w:sz w:val="16"/>
                <w:szCs w:val="16"/>
              </w:rPr>
              <w:t xml:space="preserve"> - s77</w:t>
            </w:r>
            <w:r w:rsidRPr="003B6D75">
              <w:rPr>
                <w:rFonts w:ascii="Arial" w:hAnsi="Arial" w:cs="Arial"/>
                <w:sz w:val="16"/>
                <w:szCs w:val="16"/>
                <w:vertAlign w:val="superscript"/>
              </w:rPr>
              <w:t xml:space="preserve"> 7</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2,300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2,300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Same-Sex Relationships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 xml:space="preserve">(Equal Treatment in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 xml:space="preserve">Commonwealth Laws -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General Law Reform) Act 2008</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57</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Superannuation Act 1922</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32,106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37,341</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37,341</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Superannuation Act 1976</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3,060,701</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3,510,317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3,510,317</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Superannuation Act 1990</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5,394,180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4,494,556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4,494,556</w:t>
            </w:r>
          </w:p>
        </w:tc>
      </w:tr>
      <w:tr w:rsidR="003B6D75" w:rsidRPr="003B6D75" w:rsidTr="003B6D75">
        <w:trPr>
          <w:trHeight w:val="6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i/>
                <w:iCs/>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Special appropriations limited</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by amount</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i/>
                <w:iCs/>
                <w:sz w:val="16"/>
                <w:szCs w:val="16"/>
              </w:rPr>
            </w:pPr>
            <w:r w:rsidRPr="003B6D75">
              <w:rPr>
                <w:rFonts w:ascii="Arial" w:hAnsi="Arial" w:cs="Arial"/>
                <w:i/>
                <w:iCs/>
                <w:sz w:val="16"/>
                <w:szCs w:val="16"/>
              </w:rPr>
              <w:t>Commonwealth of Australia</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Constitution Act</w:t>
            </w:r>
            <w:r w:rsidRPr="003B6D75">
              <w:rPr>
                <w:rFonts w:ascii="Arial" w:hAnsi="Arial" w:cs="Arial"/>
                <w:sz w:val="16"/>
                <w:szCs w:val="16"/>
              </w:rPr>
              <w:t xml:space="preserve"> (s66)</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4,825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4,825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4,825</w:t>
            </w:r>
          </w:p>
        </w:tc>
      </w:tr>
      <w:tr w:rsidR="003B6D75" w:rsidRPr="003B6D75" w:rsidTr="003B6D75">
        <w:trPr>
          <w:trHeight w:val="6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i/>
                <w:iCs/>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Special appropriations limited</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1"/>
              <w:jc w:val="left"/>
              <w:rPr>
                <w:rFonts w:ascii="Arial" w:hAnsi="Arial" w:cs="Arial"/>
                <w:b/>
                <w:bCs/>
                <w:sz w:val="16"/>
                <w:szCs w:val="16"/>
              </w:rPr>
            </w:pPr>
            <w:r w:rsidRPr="003B6D75">
              <w:rPr>
                <w:rFonts w:ascii="Arial" w:hAnsi="Arial" w:cs="Arial"/>
                <w:b/>
                <w:bCs/>
                <w:sz w:val="16"/>
                <w:szCs w:val="16"/>
              </w:rPr>
              <w:t>by capital</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Special capital appropriations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2,722,008</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1,983,404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1,983,404</w:t>
            </w:r>
          </w:p>
        </w:tc>
      </w:tr>
      <w:tr w:rsidR="003B6D75" w:rsidRPr="003B6D75" w:rsidTr="003B6D75">
        <w:trPr>
          <w:trHeight w:val="6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special appropriations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C</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14,853,247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10,354,773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10,354,773</w:t>
            </w:r>
          </w:p>
        </w:tc>
      </w:tr>
      <w:tr w:rsidR="003B6D75" w:rsidRPr="003B6D75" w:rsidTr="003B6D75">
        <w:trPr>
          <w:trHeight w:val="6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appropriations excluding</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special accounts</w:t>
            </w:r>
          </w:p>
        </w:tc>
        <w:tc>
          <w:tcPr>
            <w:tcW w:w="180"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15,702,722</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139,670</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vertAlign w:val="superscript"/>
              </w:rPr>
              <w:t> </w:t>
            </w: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11,087,516</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vertAlign w:val="superscript"/>
              </w:rPr>
              <w:t> </w:t>
            </w: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11,227,186</w:t>
            </w:r>
          </w:p>
        </w:tc>
      </w:tr>
    </w:tbl>
    <w:p w:rsidR="0015261C" w:rsidRPr="0015261C" w:rsidRDefault="0015261C" w:rsidP="0015261C">
      <w:pPr>
        <w:spacing w:after="0" w:line="240" w:lineRule="auto"/>
        <w:rPr>
          <w:sz w:val="6"/>
          <w:szCs w:val="6"/>
        </w:rPr>
      </w:pPr>
    </w:p>
    <w:p w:rsidR="0015261C" w:rsidRPr="0015261C" w:rsidRDefault="0015261C" w:rsidP="0015261C">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153C7F" w:rsidRPr="003C54F5" w:rsidRDefault="00153C7F" w:rsidP="00E453F8">
      <w:pPr>
        <w:pStyle w:val="Heading5"/>
      </w:pPr>
      <w:r>
        <w:br w:type="page"/>
      </w:r>
      <w:r w:rsidRPr="003C54F5">
        <w:lastRenderedPageBreak/>
        <w:t>Table 1.1: Department of Finance Resource Statement — Budget</w:t>
      </w:r>
      <w:r w:rsidRPr="003C54F5">
        <w:br/>
        <w:t>Estimates for 201</w:t>
      </w:r>
      <w:r w:rsidR="005B7E9B" w:rsidRPr="003C54F5">
        <w:t>5-16</w:t>
      </w:r>
      <w:r w:rsidRPr="003C54F5">
        <w:t xml:space="preserve"> as at Budget May 201</w:t>
      </w:r>
      <w:r w:rsidR="005B7E9B" w:rsidRPr="003C54F5">
        <w:t>5</w:t>
      </w:r>
      <w:r w:rsidRPr="003C54F5">
        <w:t xml:space="preserve"> (continued)</w:t>
      </w:r>
    </w:p>
    <w:tbl>
      <w:tblPr>
        <w:tblW w:w="8060" w:type="dxa"/>
        <w:tblInd w:w="87" w:type="dxa"/>
        <w:tblLook w:val="04A0"/>
      </w:tblPr>
      <w:tblGrid>
        <w:gridCol w:w="3140"/>
        <w:gridCol w:w="332"/>
        <w:gridCol w:w="1150"/>
        <w:gridCol w:w="261"/>
        <w:gridCol w:w="1100"/>
        <w:gridCol w:w="275"/>
        <w:gridCol w:w="1020"/>
        <w:gridCol w:w="275"/>
        <w:gridCol w:w="1017"/>
      </w:tblGrid>
      <w:tr w:rsidR="003B6D75" w:rsidRPr="003B6D75" w:rsidTr="003B6D75">
        <w:trPr>
          <w:trHeight w:val="225"/>
        </w:trPr>
        <w:tc>
          <w:tcPr>
            <w:tcW w:w="314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8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10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Actual</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110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02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Proposed</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vertAlign w:val="superscript"/>
              </w:rPr>
              <w:t> </w:t>
            </w:r>
          </w:p>
        </w:tc>
        <w:tc>
          <w:tcPr>
            <w:tcW w:w="100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Total</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available</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of prior</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at Budget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appropriation</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year amounts</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xml:space="preserve"> available in</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Special accounts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4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Opening balance</w:t>
            </w:r>
            <w:r w:rsidRPr="003B6D75">
              <w:rPr>
                <w:rFonts w:ascii="Arial" w:hAnsi="Arial" w:cs="Arial"/>
                <w:sz w:val="16"/>
                <w:szCs w:val="16"/>
                <w:vertAlign w:val="superscript"/>
              </w:rPr>
              <w:t xml:space="preserve"> 8</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690,124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639,148</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639,148</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Appropriation receipts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113,657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68,301</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68,301</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Equity injection</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189,983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49,346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49,346</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Non-appropriation receipts to</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special accounts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4,454,060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23,935,494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23,935,494</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special accounts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D</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5,447,824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24,692,289</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24,692,289</w:t>
            </w:r>
          </w:p>
        </w:tc>
      </w:tr>
      <w:tr w:rsidR="003B6D75" w:rsidRPr="003B6D75" w:rsidTr="003B6D75">
        <w:trPr>
          <w:trHeight w:val="6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resourcing</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A+B+C+D</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21,150,546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139,670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35,779,805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35,919,475</w:t>
            </w:r>
          </w:p>
        </w:tc>
      </w:tr>
      <w:tr w:rsidR="003B6D75" w:rsidRPr="003B6D75" w:rsidTr="003B6D75">
        <w:trPr>
          <w:trHeight w:val="60"/>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100" w:firstLine="160"/>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Less appropriations drawn from</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annual or special appropriations above</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and credited to special accounts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and/or payments to corporate entities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through annual appropriations </w:t>
            </w:r>
            <w:r w:rsidRPr="003B6D75">
              <w:rPr>
                <w:rFonts w:ascii="Arial" w:hAnsi="Arial" w:cs="Arial"/>
                <w:sz w:val="16"/>
                <w:szCs w:val="16"/>
                <w:vertAlign w:val="superscript"/>
              </w:rPr>
              <w:t>9</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(303,640)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(117,647)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(117,647)</w:t>
            </w:r>
          </w:p>
        </w:tc>
      </w:tr>
      <w:tr w:rsidR="003B6D75" w:rsidRPr="003B6D75" w:rsidTr="003B6D75">
        <w:trPr>
          <w:trHeight w:val="60"/>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200" w:firstLine="320"/>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14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net resourcing for Finance</w:t>
            </w:r>
          </w:p>
        </w:tc>
        <w:tc>
          <w:tcPr>
            <w:tcW w:w="180"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 </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20,846,906</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139,670</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35,662,158</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35,801,828</w:t>
            </w:r>
          </w:p>
        </w:tc>
      </w:tr>
    </w:tbl>
    <w:p w:rsidR="0042526D" w:rsidRPr="009467C6" w:rsidRDefault="0042526D" w:rsidP="00E86259">
      <w:pPr>
        <w:spacing w:after="0" w:line="240" w:lineRule="auto"/>
        <w:rPr>
          <w:sz w:val="6"/>
          <w:szCs w:val="6"/>
        </w:rPr>
      </w:pPr>
    </w:p>
    <w:p w:rsidR="0042526D" w:rsidRPr="004637B1" w:rsidRDefault="0042526D"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Appropriation Bill (No. 1) 2015-16.</w:t>
      </w:r>
    </w:p>
    <w:p w:rsidR="0042526D" w:rsidRPr="004637B1" w:rsidRDefault="0042526D"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 xml:space="preserve">Includes an </w:t>
      </w:r>
      <w:r w:rsidRPr="002F1F60">
        <w:rPr>
          <w:rFonts w:ascii="Arial" w:hAnsi="Arial" w:cs="Arial"/>
          <w:sz w:val="15"/>
          <w:szCs w:val="15"/>
        </w:rPr>
        <w:t xml:space="preserve">amount of </w:t>
      </w:r>
      <w:r w:rsidR="007C32E0">
        <w:rPr>
          <w:rFonts w:ascii="Arial" w:hAnsi="Arial" w:cs="Arial"/>
          <w:sz w:val="15"/>
          <w:szCs w:val="15"/>
        </w:rPr>
        <w:t xml:space="preserve">$11.050m in 2014-15 and </w:t>
      </w:r>
      <w:r w:rsidRPr="002F1F60">
        <w:rPr>
          <w:rFonts w:ascii="Arial" w:hAnsi="Arial" w:cs="Arial"/>
          <w:sz w:val="15"/>
          <w:szCs w:val="15"/>
        </w:rPr>
        <w:t>$</w:t>
      </w:r>
      <w:r w:rsidR="002F1F60" w:rsidRPr="002F1F60">
        <w:rPr>
          <w:rFonts w:ascii="Arial" w:hAnsi="Arial" w:cs="Arial"/>
          <w:sz w:val="15"/>
          <w:szCs w:val="15"/>
        </w:rPr>
        <w:t>10.926</w:t>
      </w:r>
      <w:r w:rsidRPr="002F1F60">
        <w:rPr>
          <w:rFonts w:ascii="Arial" w:hAnsi="Arial" w:cs="Arial"/>
          <w:sz w:val="15"/>
          <w:szCs w:val="15"/>
        </w:rPr>
        <w:t>m</w:t>
      </w:r>
      <w:r w:rsidR="00420AAC">
        <w:rPr>
          <w:rFonts w:ascii="Arial" w:hAnsi="Arial" w:cs="Arial"/>
          <w:sz w:val="15"/>
          <w:szCs w:val="15"/>
        </w:rPr>
        <w:t xml:space="preserve"> in 2015-16 </w:t>
      </w:r>
      <w:r w:rsidRPr="002F1F60">
        <w:rPr>
          <w:rFonts w:ascii="Arial" w:hAnsi="Arial" w:cs="Arial"/>
          <w:sz w:val="15"/>
          <w:szCs w:val="15"/>
        </w:rPr>
        <w:t xml:space="preserve">for the </w:t>
      </w:r>
      <w:r w:rsidRPr="004637B1">
        <w:rPr>
          <w:rFonts w:ascii="Arial" w:hAnsi="Arial" w:cs="Arial"/>
          <w:sz w:val="15"/>
          <w:szCs w:val="15"/>
        </w:rPr>
        <w:t xml:space="preserve">Departmental Capital Budget (refer to table 3.2.5 for further details). For accounting purposes this amount has been designated as ‘contributions by owners’. </w:t>
      </w:r>
      <w:r w:rsidR="00623629">
        <w:rPr>
          <w:rFonts w:ascii="Arial" w:hAnsi="Arial" w:cs="Arial"/>
          <w:sz w:val="15"/>
          <w:szCs w:val="15"/>
        </w:rPr>
        <w:t xml:space="preserve">Also includes interest equivalency payments of </w:t>
      </w:r>
      <w:r w:rsidR="00623629" w:rsidRPr="00C3662D">
        <w:rPr>
          <w:rFonts w:ascii="Arial" w:hAnsi="Arial" w:cs="Arial"/>
          <w:sz w:val="15"/>
          <w:szCs w:val="15"/>
        </w:rPr>
        <w:t>$</w:t>
      </w:r>
      <w:r w:rsidR="00C3662D" w:rsidRPr="00C3662D">
        <w:rPr>
          <w:rFonts w:ascii="Arial" w:hAnsi="Arial" w:cs="Arial"/>
          <w:sz w:val="15"/>
          <w:szCs w:val="15"/>
        </w:rPr>
        <w:t>9.1</w:t>
      </w:r>
      <w:r w:rsidR="00623629" w:rsidRPr="00C3662D">
        <w:rPr>
          <w:rFonts w:ascii="Arial" w:hAnsi="Arial" w:cs="Arial"/>
          <w:sz w:val="15"/>
          <w:szCs w:val="15"/>
        </w:rPr>
        <w:t>m in 2014-15 and $</w:t>
      </w:r>
      <w:r w:rsidR="00C3662D" w:rsidRPr="00C3662D">
        <w:rPr>
          <w:rFonts w:ascii="Arial" w:hAnsi="Arial" w:cs="Arial"/>
          <w:sz w:val="15"/>
          <w:szCs w:val="15"/>
        </w:rPr>
        <w:t>10.2</w:t>
      </w:r>
      <w:r w:rsidR="00623629" w:rsidRPr="00C3662D">
        <w:rPr>
          <w:rFonts w:ascii="Arial" w:hAnsi="Arial" w:cs="Arial"/>
          <w:sz w:val="15"/>
          <w:szCs w:val="15"/>
        </w:rPr>
        <w:t>m</w:t>
      </w:r>
      <w:r w:rsidR="00623629">
        <w:rPr>
          <w:rFonts w:ascii="Arial" w:hAnsi="Arial" w:cs="Arial"/>
          <w:sz w:val="15"/>
          <w:szCs w:val="15"/>
        </w:rPr>
        <w:t xml:space="preserve"> in 2015-16.</w:t>
      </w:r>
    </w:p>
    <w:p w:rsidR="00581821" w:rsidRPr="004637B1" w:rsidRDefault="00581821"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 xml:space="preserve">Estimated adjusted balance carried forward from previous year. </w:t>
      </w:r>
    </w:p>
    <w:p w:rsidR="0042526D" w:rsidRPr="004637B1" w:rsidRDefault="0042526D"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Estimated retained revenue receipts under section 74 of the</w:t>
      </w:r>
      <w:r w:rsidR="00581821" w:rsidRPr="004637B1">
        <w:rPr>
          <w:rFonts w:ascii="Arial" w:hAnsi="Arial" w:cs="Arial"/>
          <w:sz w:val="15"/>
          <w:szCs w:val="15"/>
        </w:rPr>
        <w:t xml:space="preserve"> </w:t>
      </w:r>
      <w:r w:rsidR="00581821" w:rsidRPr="00FF76AC">
        <w:rPr>
          <w:rFonts w:ascii="Arial" w:hAnsi="Arial" w:cs="Arial"/>
          <w:i/>
          <w:sz w:val="15"/>
          <w:szCs w:val="15"/>
        </w:rPr>
        <w:t>Public Governance, Performance and Accountability (PGPA) Act 2013</w:t>
      </w:r>
      <w:r w:rsidRPr="004637B1">
        <w:rPr>
          <w:rFonts w:ascii="Arial" w:hAnsi="Arial" w:cs="Arial"/>
          <w:sz w:val="15"/>
          <w:szCs w:val="15"/>
        </w:rPr>
        <w:t xml:space="preserve">. </w:t>
      </w:r>
    </w:p>
    <w:p w:rsidR="0042526D" w:rsidRPr="004637B1" w:rsidRDefault="0042526D"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 xml:space="preserve">Includes an </w:t>
      </w:r>
      <w:r w:rsidRPr="002F1F60">
        <w:rPr>
          <w:rFonts w:ascii="Arial" w:hAnsi="Arial" w:cs="Arial"/>
          <w:sz w:val="15"/>
          <w:szCs w:val="15"/>
        </w:rPr>
        <w:t xml:space="preserve">amount of </w:t>
      </w:r>
      <w:r w:rsidR="007C32E0">
        <w:rPr>
          <w:rFonts w:ascii="Arial" w:hAnsi="Arial" w:cs="Arial"/>
          <w:sz w:val="15"/>
          <w:szCs w:val="15"/>
        </w:rPr>
        <w:t xml:space="preserve">$4.810m in 2014-15 and </w:t>
      </w:r>
      <w:r w:rsidRPr="002F1F60">
        <w:rPr>
          <w:rFonts w:ascii="Arial" w:hAnsi="Arial" w:cs="Arial"/>
          <w:sz w:val="15"/>
          <w:szCs w:val="15"/>
        </w:rPr>
        <w:t>$</w:t>
      </w:r>
      <w:r w:rsidR="002F1F60" w:rsidRPr="002F1F60">
        <w:rPr>
          <w:rFonts w:ascii="Arial" w:hAnsi="Arial" w:cs="Arial"/>
          <w:sz w:val="15"/>
          <w:szCs w:val="15"/>
        </w:rPr>
        <w:t>4.832</w:t>
      </w:r>
      <w:r w:rsidRPr="002F1F60">
        <w:rPr>
          <w:rFonts w:ascii="Arial" w:hAnsi="Arial" w:cs="Arial"/>
          <w:sz w:val="15"/>
          <w:szCs w:val="15"/>
        </w:rPr>
        <w:t xml:space="preserve">m </w:t>
      </w:r>
      <w:r w:rsidR="00420AAC">
        <w:rPr>
          <w:rFonts w:ascii="Arial" w:hAnsi="Arial" w:cs="Arial"/>
          <w:sz w:val="15"/>
          <w:szCs w:val="15"/>
        </w:rPr>
        <w:t xml:space="preserve">in 2015-16 </w:t>
      </w:r>
      <w:r w:rsidRPr="002F1F60">
        <w:rPr>
          <w:rFonts w:ascii="Arial" w:hAnsi="Arial" w:cs="Arial"/>
          <w:sz w:val="15"/>
          <w:szCs w:val="15"/>
        </w:rPr>
        <w:t xml:space="preserve">for the Administered Capital Budget </w:t>
      </w:r>
      <w:r w:rsidRPr="004637B1">
        <w:rPr>
          <w:rFonts w:ascii="Arial" w:hAnsi="Arial" w:cs="Arial"/>
          <w:sz w:val="15"/>
          <w:szCs w:val="15"/>
        </w:rPr>
        <w:t xml:space="preserve">(refer to table 3.2.10 for further details). For accounting purposes this amount has been designated as ‘contributions by owners’. </w:t>
      </w:r>
    </w:p>
    <w:p w:rsidR="0042526D" w:rsidRPr="004637B1" w:rsidRDefault="0042526D"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 xml:space="preserve">Appropriation Bill (No. 2) 2015-16. </w:t>
      </w:r>
    </w:p>
    <w:p w:rsidR="006D77F0" w:rsidRDefault="00F4743F"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Pr>
          <w:rFonts w:ascii="Arial" w:hAnsi="Arial" w:cs="Arial"/>
          <w:sz w:val="15"/>
          <w:szCs w:val="15"/>
        </w:rPr>
        <w:t>Repayments not provided for under other appropriations.</w:t>
      </w:r>
    </w:p>
    <w:p w:rsidR="008A1EDC" w:rsidRPr="004637B1" w:rsidRDefault="008A1EDC"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 xml:space="preserve">Estimated opening balance for special accounts (less ‘Special Public Money’ held in accounts like Other Trust Monies </w:t>
      </w:r>
      <w:r w:rsidR="00623629" w:rsidRPr="004637B1">
        <w:rPr>
          <w:rFonts w:ascii="Arial" w:hAnsi="Arial" w:cs="Arial"/>
          <w:sz w:val="15"/>
          <w:szCs w:val="15"/>
        </w:rPr>
        <w:t>(OTM)</w:t>
      </w:r>
      <w:r w:rsidR="00623629">
        <w:rPr>
          <w:rFonts w:ascii="Arial" w:hAnsi="Arial" w:cs="Arial"/>
          <w:sz w:val="15"/>
          <w:szCs w:val="15"/>
        </w:rPr>
        <w:t xml:space="preserve"> </w:t>
      </w:r>
      <w:r w:rsidRPr="004637B1">
        <w:rPr>
          <w:rFonts w:ascii="Arial" w:hAnsi="Arial" w:cs="Arial"/>
          <w:sz w:val="15"/>
          <w:szCs w:val="15"/>
        </w:rPr>
        <w:t xml:space="preserve">accounts, Services for </w:t>
      </w:r>
      <w:r w:rsidR="00D87624">
        <w:rPr>
          <w:rFonts w:ascii="Arial" w:hAnsi="Arial" w:cs="Arial"/>
          <w:sz w:val="15"/>
          <w:szCs w:val="15"/>
        </w:rPr>
        <w:t>O</w:t>
      </w:r>
      <w:r w:rsidRPr="004637B1">
        <w:rPr>
          <w:rFonts w:ascii="Arial" w:hAnsi="Arial" w:cs="Arial"/>
          <w:sz w:val="15"/>
          <w:szCs w:val="15"/>
        </w:rPr>
        <w:t xml:space="preserve">ther </w:t>
      </w:r>
      <w:r w:rsidR="00D87624">
        <w:rPr>
          <w:rFonts w:ascii="Arial" w:hAnsi="Arial" w:cs="Arial"/>
          <w:sz w:val="15"/>
          <w:szCs w:val="15"/>
        </w:rPr>
        <w:t>G</w:t>
      </w:r>
      <w:r w:rsidRPr="004637B1">
        <w:rPr>
          <w:rFonts w:ascii="Arial" w:hAnsi="Arial" w:cs="Arial"/>
          <w:sz w:val="15"/>
          <w:szCs w:val="15"/>
        </w:rPr>
        <w:t xml:space="preserve">overnment and </w:t>
      </w:r>
      <w:r w:rsidR="00D87624">
        <w:rPr>
          <w:rFonts w:ascii="Arial" w:hAnsi="Arial" w:cs="Arial"/>
          <w:sz w:val="15"/>
          <w:szCs w:val="15"/>
        </w:rPr>
        <w:t>N</w:t>
      </w:r>
      <w:r w:rsidRPr="004637B1">
        <w:rPr>
          <w:rFonts w:ascii="Arial" w:hAnsi="Arial" w:cs="Arial"/>
          <w:sz w:val="15"/>
          <w:szCs w:val="15"/>
        </w:rPr>
        <w:t xml:space="preserve">on-agency </w:t>
      </w:r>
      <w:r w:rsidR="00D87624">
        <w:rPr>
          <w:rFonts w:ascii="Arial" w:hAnsi="Arial" w:cs="Arial"/>
          <w:sz w:val="15"/>
          <w:szCs w:val="15"/>
        </w:rPr>
        <w:t>B</w:t>
      </w:r>
      <w:r w:rsidRPr="004637B1">
        <w:rPr>
          <w:rFonts w:ascii="Arial" w:hAnsi="Arial" w:cs="Arial"/>
          <w:sz w:val="15"/>
          <w:szCs w:val="15"/>
        </w:rPr>
        <w:t xml:space="preserve">odies </w:t>
      </w:r>
      <w:r w:rsidR="00623629" w:rsidRPr="004637B1">
        <w:rPr>
          <w:rFonts w:ascii="Arial" w:hAnsi="Arial" w:cs="Arial"/>
          <w:sz w:val="15"/>
          <w:szCs w:val="15"/>
        </w:rPr>
        <w:t>(SOG)</w:t>
      </w:r>
      <w:r w:rsidR="00623629">
        <w:rPr>
          <w:rFonts w:ascii="Arial" w:hAnsi="Arial" w:cs="Arial"/>
          <w:sz w:val="15"/>
          <w:szCs w:val="15"/>
        </w:rPr>
        <w:t xml:space="preserve"> </w:t>
      </w:r>
      <w:r w:rsidRPr="004637B1">
        <w:rPr>
          <w:rFonts w:ascii="Arial" w:hAnsi="Arial" w:cs="Arial"/>
          <w:sz w:val="15"/>
          <w:szCs w:val="15"/>
        </w:rPr>
        <w:t xml:space="preserve">accounts, or Services for Other Entities and Trust Moneys </w:t>
      </w:r>
      <w:r w:rsidR="008B4692" w:rsidRPr="004637B1">
        <w:rPr>
          <w:rFonts w:ascii="Arial" w:hAnsi="Arial" w:cs="Arial"/>
          <w:sz w:val="15"/>
          <w:szCs w:val="15"/>
        </w:rPr>
        <w:t>(SOETM)</w:t>
      </w:r>
      <w:r w:rsidR="008B4692">
        <w:rPr>
          <w:rFonts w:ascii="Arial" w:hAnsi="Arial" w:cs="Arial"/>
          <w:sz w:val="15"/>
          <w:szCs w:val="15"/>
        </w:rPr>
        <w:t xml:space="preserve"> </w:t>
      </w:r>
      <w:r w:rsidRPr="004637B1">
        <w:rPr>
          <w:rFonts w:ascii="Arial" w:hAnsi="Arial" w:cs="Arial"/>
          <w:sz w:val="15"/>
          <w:szCs w:val="15"/>
        </w:rPr>
        <w:t>accounts). For further information on special accounts, see Table 3.1.2.</w:t>
      </w:r>
    </w:p>
    <w:p w:rsidR="0042526D" w:rsidRPr="0002139C" w:rsidRDefault="00581821" w:rsidP="00EF6BDC">
      <w:pPr>
        <w:pStyle w:val="ListParagraph"/>
        <w:numPr>
          <w:ilvl w:val="0"/>
          <w:numId w:val="13"/>
        </w:numPr>
        <w:spacing w:after="0" w:line="240" w:lineRule="auto"/>
        <w:ind w:left="425" w:hanging="425"/>
        <w:contextualSpacing w:val="0"/>
        <w:outlineLvl w:val="6"/>
        <w:rPr>
          <w:rFonts w:ascii="Arial" w:hAnsi="Arial" w:cs="Arial"/>
          <w:sz w:val="15"/>
          <w:szCs w:val="15"/>
        </w:rPr>
      </w:pPr>
      <w:r w:rsidRPr="0002139C">
        <w:rPr>
          <w:rFonts w:ascii="Arial" w:hAnsi="Arial" w:cs="Arial"/>
          <w:sz w:val="15"/>
          <w:szCs w:val="15"/>
        </w:rPr>
        <w:t>‘Corporate entities’ are corporate Commonwealth entities and Commonwealth companies as</w:t>
      </w:r>
      <w:r w:rsidR="00FF76AC">
        <w:rPr>
          <w:rFonts w:ascii="Arial" w:hAnsi="Arial" w:cs="Arial"/>
          <w:sz w:val="15"/>
          <w:szCs w:val="15"/>
        </w:rPr>
        <w:t xml:space="preserve"> defined under the PGPA Act</w:t>
      </w:r>
      <w:r w:rsidRPr="0002139C">
        <w:rPr>
          <w:rFonts w:ascii="Arial" w:hAnsi="Arial" w:cs="Arial"/>
          <w:sz w:val="15"/>
          <w:szCs w:val="15"/>
        </w:rPr>
        <w:t>.</w:t>
      </w:r>
      <w:r w:rsidR="008A1EDC" w:rsidRPr="0002139C">
        <w:rPr>
          <w:rFonts w:ascii="Arial" w:hAnsi="Arial" w:cs="Arial"/>
          <w:sz w:val="15"/>
          <w:szCs w:val="15"/>
        </w:rPr>
        <w:br/>
      </w:r>
    </w:p>
    <w:p w:rsidR="0042526D" w:rsidRPr="002F1F60" w:rsidRDefault="0042526D" w:rsidP="003C54F5">
      <w:pPr>
        <w:pStyle w:val="ChartandTableFootnote"/>
        <w:keepNext w:val="0"/>
        <w:rPr>
          <w:sz w:val="15"/>
          <w:szCs w:val="15"/>
        </w:rPr>
      </w:pPr>
      <w:r w:rsidRPr="002F1F60">
        <w:rPr>
          <w:sz w:val="15"/>
          <w:szCs w:val="15"/>
        </w:rPr>
        <w:t>Reader note: All figures are GST exclusive.</w:t>
      </w:r>
    </w:p>
    <w:p w:rsidR="000A5C86" w:rsidRPr="000A5C86" w:rsidRDefault="000A5C86" w:rsidP="009C23DA">
      <w:pPr>
        <w:pStyle w:val="NoSpacing"/>
      </w:pPr>
    </w:p>
    <w:p w:rsidR="005E483D" w:rsidRDefault="005E483D">
      <w:pPr>
        <w:spacing w:after="0" w:line="240" w:lineRule="auto"/>
        <w:jc w:val="left"/>
        <w:rPr>
          <w:rFonts w:ascii="Arial" w:hAnsi="Arial"/>
          <w:b/>
        </w:rPr>
      </w:pPr>
      <w:r>
        <w:br w:type="page"/>
      </w:r>
    </w:p>
    <w:p w:rsidR="000B0302" w:rsidRPr="003C54F5" w:rsidRDefault="000B0302" w:rsidP="00E453F8">
      <w:pPr>
        <w:pStyle w:val="Heading5"/>
      </w:pPr>
      <w:r w:rsidRPr="003C54F5">
        <w:lastRenderedPageBreak/>
        <w:t>Table 1.1: Department of Finance Resource Statement — Budget</w:t>
      </w:r>
      <w:r w:rsidRPr="003C54F5">
        <w:br/>
        <w:t>Estimates for 2015-16 as at Budget May 2015 (continued)</w:t>
      </w:r>
    </w:p>
    <w:p w:rsidR="00C7638D" w:rsidRPr="003C54F5" w:rsidRDefault="00C5028C" w:rsidP="00E453F8">
      <w:pPr>
        <w:pStyle w:val="Heading5"/>
      </w:pPr>
      <w:r w:rsidRPr="003C54F5">
        <w:t>Third p</w:t>
      </w:r>
      <w:r w:rsidR="00C7638D" w:rsidRPr="003C54F5">
        <w:t xml:space="preserve">arty </w:t>
      </w:r>
      <w:r w:rsidRPr="003C54F5">
        <w:t>payments f</w:t>
      </w:r>
      <w:r w:rsidR="00C7638D" w:rsidRPr="003C54F5">
        <w:t xml:space="preserve">rom and on behalf of other </w:t>
      </w:r>
      <w:r w:rsidR="00422F4B" w:rsidRPr="003C54F5">
        <w:t>entities</w:t>
      </w:r>
    </w:p>
    <w:tbl>
      <w:tblPr>
        <w:tblW w:w="8409" w:type="dxa"/>
        <w:tblInd w:w="93" w:type="dxa"/>
        <w:tblLook w:val="04A0"/>
      </w:tblPr>
      <w:tblGrid>
        <w:gridCol w:w="5118"/>
        <w:gridCol w:w="261"/>
        <w:gridCol w:w="261"/>
        <w:gridCol w:w="261"/>
        <w:gridCol w:w="244"/>
        <w:gridCol w:w="1020"/>
        <w:gridCol w:w="244"/>
        <w:gridCol w:w="1000"/>
      </w:tblGrid>
      <w:tr w:rsidR="003B6D75" w:rsidRPr="003B6D75" w:rsidTr="003B6D75">
        <w:trPr>
          <w:trHeight w:val="225"/>
        </w:trPr>
        <w:tc>
          <w:tcPr>
            <w:tcW w:w="5118"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bookmarkStart w:id="22" w:name="_Toc190682311"/>
            <w:bookmarkStart w:id="23" w:name="_Toc190682529"/>
            <w:r w:rsidRPr="003B6D75">
              <w:rPr>
                <w:rFonts w:ascii="Arial" w:hAnsi="Arial" w:cs="Arial"/>
                <w:sz w:val="16"/>
                <w:szCs w:val="16"/>
              </w:rPr>
              <w:t> </w:t>
            </w:r>
          </w:p>
        </w:tc>
        <w:tc>
          <w:tcPr>
            <w:tcW w:w="261"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261" w:type="dxa"/>
            <w:tcBorders>
              <w:top w:val="single" w:sz="4" w:space="0" w:color="auto"/>
              <w:left w:val="nil"/>
              <w:bottom w:val="nil"/>
              <w:right w:val="nil"/>
            </w:tcBorders>
            <w:shd w:val="clear" w:color="auto" w:fill="auto"/>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261"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244" w:type="dxa"/>
            <w:tcBorders>
              <w:top w:val="single" w:sz="4" w:space="0" w:color="auto"/>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vertAlign w:val="superscript"/>
              </w:rPr>
              <w:t> </w:t>
            </w:r>
          </w:p>
        </w:tc>
        <w:tc>
          <w:tcPr>
            <w:tcW w:w="102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244"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vertAlign w:val="superscript"/>
              </w:rPr>
              <w:t> </w:t>
            </w:r>
          </w:p>
        </w:tc>
        <w:tc>
          <w:tcPr>
            <w:tcW w:w="100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2015-16</w:t>
            </w:r>
          </w:p>
        </w:tc>
      </w:tr>
      <w:tr w:rsidR="003B6D75" w:rsidRPr="003B6D75" w:rsidTr="003B6D75">
        <w:trPr>
          <w:trHeight w:val="225"/>
        </w:trPr>
        <w:tc>
          <w:tcPr>
            <w:tcW w:w="5118"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244"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vertAlign w:val="superscript"/>
              </w:rPr>
              <w:t> </w:t>
            </w:r>
          </w:p>
        </w:tc>
        <w:tc>
          <w:tcPr>
            <w:tcW w:w="100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r>
      <w:tr w:rsidR="003B6D75" w:rsidRPr="003B6D75" w:rsidTr="003B6D75">
        <w:trPr>
          <w:trHeight w:val="225"/>
        </w:trPr>
        <w:tc>
          <w:tcPr>
            <w:tcW w:w="5640" w:type="dxa"/>
            <w:gridSpan w:val="3"/>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Payments made on behalf of other entities</w:t>
            </w: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640" w:type="dxa"/>
            <w:gridSpan w:val="3"/>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(disclosed in the respective Entity Resource Statement)</w:t>
            </w: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Attorney-General's Department</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Law Officers Act 1964</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450</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Australian Security Intelligence Organisation</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Appropriation Act (No.2)</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11,926</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3,251</w:t>
            </w:r>
          </w:p>
        </w:tc>
      </w:tr>
      <w:tr w:rsidR="003B6D75" w:rsidRPr="003B6D75" w:rsidTr="003B6D75">
        <w:trPr>
          <w:trHeight w:val="60"/>
        </w:trPr>
        <w:tc>
          <w:tcPr>
            <w:tcW w:w="5118"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901" w:type="dxa"/>
            <w:gridSpan w:val="4"/>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Payments made by other entities on behalf of Finance</w:t>
            </w: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Attorney-General's Department</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Entitlements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1,650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300</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4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 xml:space="preserve">Commonwealth Superannuation Corporation </w:t>
            </w:r>
            <w:r w:rsidRPr="003B6D75">
              <w:rPr>
                <w:rFonts w:ascii="Arial" w:hAnsi="Arial" w:cs="Arial"/>
                <w:sz w:val="16"/>
                <w:szCs w:val="16"/>
                <w:vertAlign w:val="superscript"/>
              </w:rPr>
              <w:t>1</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 xml:space="preserve">Governance of Australian Government </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400" w:firstLine="640"/>
              <w:jc w:val="left"/>
              <w:rPr>
                <w:rFonts w:ascii="Arial" w:hAnsi="Arial" w:cs="Arial"/>
                <w:i/>
                <w:iCs/>
                <w:sz w:val="16"/>
                <w:szCs w:val="16"/>
              </w:rPr>
            </w:pPr>
            <w:r w:rsidRPr="003B6D75">
              <w:rPr>
                <w:rFonts w:ascii="Arial" w:hAnsi="Arial" w:cs="Arial"/>
                <w:i/>
                <w:iCs/>
                <w:sz w:val="16"/>
                <w:szCs w:val="16"/>
              </w:rPr>
              <w:t>Superannuation Schemes Act 2011</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1,400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1,400</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 xml:space="preserve">Same-Sex Relationships (Equal Treatment in </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400" w:firstLine="640"/>
              <w:jc w:val="left"/>
              <w:rPr>
                <w:rFonts w:ascii="Arial" w:hAnsi="Arial" w:cs="Arial"/>
                <w:i/>
                <w:iCs/>
                <w:sz w:val="16"/>
                <w:szCs w:val="16"/>
              </w:rPr>
            </w:pPr>
            <w:r w:rsidRPr="003B6D75">
              <w:rPr>
                <w:rFonts w:ascii="Arial" w:hAnsi="Arial" w:cs="Arial"/>
                <w:i/>
                <w:iCs/>
                <w:sz w:val="16"/>
                <w:szCs w:val="16"/>
              </w:rPr>
              <w:t>Commonwealth Laws - General Law Reform) Act 2008</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57</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Superannuation Act 1922</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32,106</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37,341</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Superannuation Act 1976</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3,060,701</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3,510,316</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Superannuation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5,394,180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4,494,556</w:t>
            </w:r>
          </w:p>
        </w:tc>
      </w:tr>
      <w:tr w:rsidR="003B6D75" w:rsidRPr="003B6D75" w:rsidTr="003B6D75">
        <w:trPr>
          <w:trHeight w:val="24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Appropriation Act (No.1) </w:t>
            </w:r>
            <w:r w:rsidRPr="003B6D75">
              <w:rPr>
                <w:rFonts w:ascii="Arial" w:hAnsi="Arial" w:cs="Arial"/>
                <w:sz w:val="16"/>
                <w:szCs w:val="16"/>
                <w:vertAlign w:val="superscript"/>
              </w:rPr>
              <w:t>2</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500</w:t>
            </w:r>
          </w:p>
        </w:tc>
      </w:tr>
      <w:tr w:rsidR="003B6D75" w:rsidRPr="003B6D75" w:rsidTr="003B6D75">
        <w:trPr>
          <w:trHeight w:val="24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Appropriation Act (No.1) </w:t>
            </w:r>
            <w:r w:rsidRPr="003B6D75">
              <w:rPr>
                <w:rFonts w:ascii="Arial" w:hAnsi="Arial" w:cs="Arial"/>
                <w:sz w:val="16"/>
                <w:szCs w:val="16"/>
                <w:vertAlign w:val="superscript"/>
              </w:rPr>
              <w:t>3</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3,308</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546</w:t>
            </w:r>
          </w:p>
        </w:tc>
      </w:tr>
      <w:tr w:rsidR="003B6D75" w:rsidRPr="003B6D75" w:rsidTr="003B6D75">
        <w:trPr>
          <w:trHeight w:val="24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Appropriation Act (No.2) </w:t>
            </w:r>
            <w:r w:rsidRPr="003B6D75">
              <w:rPr>
                <w:rFonts w:ascii="Arial" w:hAnsi="Arial" w:cs="Arial"/>
                <w:sz w:val="16"/>
                <w:szCs w:val="16"/>
                <w:vertAlign w:val="superscript"/>
              </w:rPr>
              <w:t>3</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541</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592</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 of Defence</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Entitlements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 of the House of Representatives</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Commonwealth of Australia</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400" w:firstLine="640"/>
              <w:jc w:val="left"/>
              <w:rPr>
                <w:rFonts w:ascii="Arial" w:hAnsi="Arial" w:cs="Arial"/>
                <w:i/>
                <w:iCs/>
                <w:sz w:val="16"/>
                <w:szCs w:val="16"/>
              </w:rPr>
            </w:pPr>
            <w:r w:rsidRPr="003B6D75">
              <w:rPr>
                <w:rFonts w:ascii="Arial" w:hAnsi="Arial" w:cs="Arial"/>
                <w:i/>
                <w:iCs/>
                <w:sz w:val="16"/>
                <w:szCs w:val="16"/>
              </w:rPr>
              <w:t>Constitution Act</w:t>
            </w:r>
            <w:r w:rsidRPr="003B6D75">
              <w:rPr>
                <w:rFonts w:ascii="Arial" w:hAnsi="Arial" w:cs="Arial"/>
                <w:sz w:val="16"/>
                <w:szCs w:val="16"/>
              </w:rPr>
              <w:t xml:space="preserve"> (s66)</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3,390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3,390</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Entitlements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300</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Superannuation Act 2004</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3,774</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3,812</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 of Parliamentary Services</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Appropriation Act (No.1)</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400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225</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Entitlements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16,645</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24,334</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 of the Senate</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Commonwealth of Australia</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400" w:firstLine="640"/>
              <w:jc w:val="left"/>
              <w:rPr>
                <w:rFonts w:ascii="Arial" w:hAnsi="Arial" w:cs="Arial"/>
                <w:i/>
                <w:iCs/>
                <w:sz w:val="16"/>
                <w:szCs w:val="16"/>
              </w:rPr>
            </w:pPr>
            <w:r w:rsidRPr="003B6D75">
              <w:rPr>
                <w:rFonts w:ascii="Arial" w:hAnsi="Arial" w:cs="Arial"/>
                <w:i/>
                <w:iCs/>
                <w:sz w:val="16"/>
                <w:szCs w:val="16"/>
              </w:rPr>
              <w:t>Constitution Act</w:t>
            </w:r>
            <w:r w:rsidRPr="003B6D75">
              <w:rPr>
                <w:rFonts w:ascii="Arial" w:hAnsi="Arial" w:cs="Arial"/>
                <w:sz w:val="16"/>
                <w:szCs w:val="16"/>
              </w:rPr>
              <w:t xml:space="preserve"> (s66)</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1,434</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1,434</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Entitlements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736</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200</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Superannuation Act 2004</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1,995</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2,075</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Fair Work Commission</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Judges' Pensions Act 1968</w:t>
            </w:r>
          </w:p>
        </w:tc>
        <w:tc>
          <w:tcPr>
            <w:tcW w:w="261" w:type="dxa"/>
            <w:tcBorders>
              <w:top w:val="nil"/>
              <w:left w:val="nil"/>
              <w:bottom w:val="single" w:sz="4" w:space="0" w:color="auto"/>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261"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244" w:type="dxa"/>
            <w:tcBorders>
              <w:top w:val="nil"/>
              <w:left w:val="nil"/>
              <w:bottom w:val="single" w:sz="4" w:space="0" w:color="auto"/>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vertAlign w:val="superscript"/>
              </w:rPr>
              <w:t> </w:t>
            </w:r>
          </w:p>
        </w:tc>
        <w:tc>
          <w:tcPr>
            <w:tcW w:w="1020"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4,817</w:t>
            </w:r>
          </w:p>
        </w:tc>
        <w:tc>
          <w:tcPr>
            <w:tcW w:w="244"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vertAlign w:val="superscript"/>
              </w:rPr>
              <w:t> </w:t>
            </w:r>
          </w:p>
        </w:tc>
        <w:tc>
          <w:tcPr>
            <w:tcW w:w="1000" w:type="dxa"/>
            <w:tcBorders>
              <w:top w:val="nil"/>
              <w:left w:val="nil"/>
              <w:bottom w:val="single" w:sz="4" w:space="0" w:color="auto"/>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5,014</w:t>
            </w:r>
          </w:p>
        </w:tc>
      </w:tr>
    </w:tbl>
    <w:p w:rsidR="005E483D" w:rsidRPr="009467C6" w:rsidRDefault="005E483D" w:rsidP="005E483D">
      <w:pPr>
        <w:spacing w:after="0" w:line="240" w:lineRule="auto"/>
        <w:rPr>
          <w:sz w:val="6"/>
          <w:szCs w:val="6"/>
        </w:rPr>
      </w:pPr>
    </w:p>
    <w:p w:rsidR="00467EB6" w:rsidRDefault="00467EB6" w:rsidP="0003235D">
      <w:pPr>
        <w:pStyle w:val="ListParagraph"/>
        <w:numPr>
          <w:ilvl w:val="0"/>
          <w:numId w:val="21"/>
        </w:numPr>
        <w:spacing w:after="60" w:line="240" w:lineRule="auto"/>
        <w:ind w:left="426" w:hanging="426"/>
        <w:contextualSpacing w:val="0"/>
        <w:outlineLvl w:val="6"/>
        <w:rPr>
          <w:rFonts w:ascii="Arial" w:hAnsi="Arial" w:cs="Arial"/>
          <w:sz w:val="15"/>
          <w:szCs w:val="15"/>
        </w:rPr>
      </w:pPr>
      <w:r>
        <w:rPr>
          <w:rFonts w:ascii="Arial" w:hAnsi="Arial" w:cs="Arial"/>
          <w:sz w:val="15"/>
          <w:szCs w:val="15"/>
        </w:rPr>
        <w:t>ComSuper will make these payments until 30 June 2015, with Commonwealth Superannuation Corporation assuming responsibility from 1 July 2015.</w:t>
      </w:r>
    </w:p>
    <w:p w:rsidR="005E483D" w:rsidRPr="009467C6" w:rsidRDefault="00153C7F" w:rsidP="0003235D">
      <w:pPr>
        <w:pStyle w:val="ListParagraph"/>
        <w:numPr>
          <w:ilvl w:val="0"/>
          <w:numId w:val="21"/>
        </w:numPr>
        <w:spacing w:after="60" w:line="240" w:lineRule="auto"/>
        <w:ind w:left="426" w:hanging="426"/>
        <w:contextualSpacing w:val="0"/>
        <w:outlineLvl w:val="6"/>
        <w:rPr>
          <w:rFonts w:ascii="Arial" w:hAnsi="Arial" w:cs="Arial"/>
          <w:sz w:val="15"/>
          <w:szCs w:val="15"/>
        </w:rPr>
      </w:pPr>
      <w:r w:rsidRPr="009467C6">
        <w:rPr>
          <w:rFonts w:ascii="Arial" w:hAnsi="Arial" w:cs="Arial"/>
          <w:sz w:val="15"/>
          <w:szCs w:val="15"/>
        </w:rPr>
        <w:t>Compensation and legal payments.</w:t>
      </w:r>
    </w:p>
    <w:p w:rsidR="00153C7F" w:rsidRPr="009467C6" w:rsidRDefault="00153C7F" w:rsidP="0003235D">
      <w:pPr>
        <w:pStyle w:val="ListParagraph"/>
        <w:numPr>
          <w:ilvl w:val="0"/>
          <w:numId w:val="21"/>
        </w:numPr>
        <w:spacing w:after="60" w:line="240" w:lineRule="auto"/>
        <w:ind w:left="426" w:hanging="426"/>
        <w:contextualSpacing w:val="0"/>
        <w:outlineLvl w:val="6"/>
        <w:rPr>
          <w:rFonts w:ascii="Arial" w:hAnsi="Arial" w:cs="Arial"/>
          <w:sz w:val="15"/>
          <w:szCs w:val="15"/>
        </w:rPr>
      </w:pPr>
      <w:r w:rsidRPr="009467C6">
        <w:rPr>
          <w:rFonts w:ascii="Arial" w:hAnsi="Arial" w:cs="Arial"/>
          <w:sz w:val="15"/>
          <w:szCs w:val="15"/>
        </w:rPr>
        <w:lastRenderedPageBreak/>
        <w:t xml:space="preserve">Act of Grace </w:t>
      </w:r>
      <w:proofErr w:type="gramStart"/>
      <w:r w:rsidRPr="009467C6">
        <w:rPr>
          <w:rFonts w:ascii="Arial" w:hAnsi="Arial" w:cs="Arial"/>
          <w:sz w:val="15"/>
          <w:szCs w:val="15"/>
        </w:rPr>
        <w:t>payments</w:t>
      </w:r>
      <w:proofErr w:type="gramEnd"/>
      <w:r w:rsidR="00D64BE6">
        <w:rPr>
          <w:rFonts w:ascii="Arial" w:hAnsi="Arial" w:cs="Arial"/>
          <w:sz w:val="15"/>
          <w:szCs w:val="15"/>
        </w:rPr>
        <w:t>.</w:t>
      </w:r>
    </w:p>
    <w:p w:rsidR="0008449F" w:rsidRDefault="00E06F9F" w:rsidP="008D2DD0">
      <w:pPr>
        <w:pStyle w:val="Heading4"/>
      </w:pPr>
      <w:r>
        <w:br w:type="page"/>
      </w:r>
      <w:bookmarkStart w:id="24" w:name="_Toc416874471"/>
      <w:bookmarkStart w:id="25" w:name="_Toc418003403"/>
      <w:r w:rsidR="00C5028C">
        <w:lastRenderedPageBreak/>
        <w:t>1.3</w:t>
      </w:r>
      <w:r w:rsidR="00C5028C">
        <w:tab/>
        <w:t>Budget M</w:t>
      </w:r>
      <w:r w:rsidR="0008449F">
        <w:t>easures</w:t>
      </w:r>
      <w:bookmarkEnd w:id="22"/>
      <w:bookmarkEnd w:id="23"/>
      <w:bookmarkEnd w:id="24"/>
      <w:bookmarkEnd w:id="25"/>
    </w:p>
    <w:p w:rsidR="00F20B6E" w:rsidRDefault="00DC32EC" w:rsidP="0008449F">
      <w:r w:rsidRPr="00DC32EC">
        <w:t xml:space="preserve">Budget measures </w:t>
      </w:r>
      <w:r w:rsidR="005C4BEE">
        <w:t xml:space="preserve">in Part 1 </w:t>
      </w:r>
      <w:r w:rsidRPr="00DC32EC">
        <w:t>relating to</w:t>
      </w:r>
      <w:r w:rsidR="001B03CC">
        <w:t xml:space="preserve"> </w:t>
      </w:r>
      <w:r w:rsidR="0060749D">
        <w:t>Finance</w:t>
      </w:r>
      <w:r w:rsidRPr="00DC32EC">
        <w:t xml:space="preserve"> </w:t>
      </w:r>
      <w:proofErr w:type="gramStart"/>
      <w:r w:rsidRPr="00DC32EC">
        <w:t>are</w:t>
      </w:r>
      <w:proofErr w:type="gramEnd"/>
      <w:r w:rsidRPr="00DC32EC">
        <w:t xml:space="preserve"> detailed in Budget Paper No. 2</w:t>
      </w:r>
      <w:r w:rsidR="00C2641F">
        <w:t xml:space="preserve"> and are summarised </w:t>
      </w:r>
      <w:r w:rsidR="002C7703">
        <w:t>below</w:t>
      </w:r>
      <w:r w:rsidR="00C8049D">
        <w:t xml:space="preserve">. </w:t>
      </w:r>
    </w:p>
    <w:p w:rsidR="00AF3811" w:rsidRPr="003C54F5" w:rsidRDefault="00AF3811" w:rsidP="00E453F8">
      <w:pPr>
        <w:pStyle w:val="Heading5"/>
      </w:pPr>
      <w:r w:rsidRPr="003C54F5">
        <w:t xml:space="preserve">Table 1.2: </w:t>
      </w:r>
      <w:r w:rsidR="0060749D" w:rsidRPr="003C54F5">
        <w:t>Department of Finance</w:t>
      </w:r>
      <w:r w:rsidR="007E6BBD" w:rsidRPr="003C54F5">
        <w:t xml:space="preserve"> </w:t>
      </w:r>
      <w:r w:rsidR="006727FC" w:rsidRPr="003C54F5">
        <w:t>2015-16</w:t>
      </w:r>
      <w:r w:rsidRPr="003C54F5">
        <w:t xml:space="preserve"> Budget measures</w:t>
      </w:r>
    </w:p>
    <w:p w:rsidR="00DC32EC" w:rsidRPr="00F4743F" w:rsidRDefault="00AF3811" w:rsidP="006E4366">
      <w:pPr>
        <w:pStyle w:val="TableColumnHeadingLeft"/>
        <w:spacing w:before="120"/>
      </w:pPr>
      <w:r w:rsidRPr="00F4743F">
        <w:t xml:space="preserve">Part 1: Measures announced since the </w:t>
      </w:r>
      <w:r w:rsidR="006727FC" w:rsidRPr="00F4743F">
        <w:t>2014-15</w:t>
      </w:r>
      <w:r w:rsidRPr="00F4743F">
        <w:t xml:space="preserve"> M</w:t>
      </w:r>
      <w:r w:rsidR="006727FC" w:rsidRPr="00F4743F">
        <w:t>id-Year Economic and Fiscal Outlook (MYEFO)</w:t>
      </w:r>
    </w:p>
    <w:tbl>
      <w:tblPr>
        <w:tblW w:w="8220" w:type="dxa"/>
        <w:tblInd w:w="87" w:type="dxa"/>
        <w:tblLook w:val="04A0"/>
      </w:tblPr>
      <w:tblGrid>
        <w:gridCol w:w="3500"/>
        <w:gridCol w:w="1052"/>
        <w:gridCol w:w="760"/>
        <w:gridCol w:w="760"/>
        <w:gridCol w:w="760"/>
        <w:gridCol w:w="760"/>
        <w:gridCol w:w="760"/>
      </w:tblGrid>
      <w:tr w:rsidR="003B6D75" w:rsidRPr="003B6D75" w:rsidTr="003B6D75">
        <w:trPr>
          <w:trHeight w:val="225"/>
        </w:trPr>
        <w:tc>
          <w:tcPr>
            <w:tcW w:w="350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Programme</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2016-17</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2017-18</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2018-19</w:t>
            </w:r>
          </w:p>
        </w:tc>
      </w:tr>
      <w:tr w:rsidR="003B6D75" w:rsidRPr="003B6D75" w:rsidTr="003B6D75">
        <w:trPr>
          <w:trHeight w:val="225"/>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Revenue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revenues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Smaller Government - Property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Divestment Programme - general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office accommodation Canberra</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Smaller Government - Property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Divestment Programme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Mount Macedon Property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b/>
                <w:bCs/>
                <w:sz w:val="16"/>
                <w:szCs w:val="16"/>
              </w:rPr>
            </w:pP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r>
      <w:tr w:rsidR="003B6D75" w:rsidRPr="003B6D75" w:rsidTr="003B6D75">
        <w:trPr>
          <w:trHeight w:val="60"/>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revenue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r>
      <w:tr w:rsidR="003B6D75" w:rsidRPr="003B6D75" w:rsidTr="003B6D75">
        <w:trPr>
          <w:trHeight w:val="60"/>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Expense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 expenses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Information technology security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enhancements for Parliamentarians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3.1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(1,685)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(1,714)</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(1,745)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(1,776)</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Parliamentary Departments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additional funding</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3.1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(708)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(727)</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(691)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(709)</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Simplifying Parliamentary Budgets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3.1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(174)</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(111)</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(103)</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(96)</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Expenses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Central Budget Management System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further redevelopment</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1.1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Aged Care - Home Care Programme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increasing consumer choice </w:t>
            </w:r>
            <w:r w:rsidRPr="003B6D75">
              <w:rPr>
                <w:rFonts w:ascii="Arial" w:hAnsi="Arial" w:cs="Arial"/>
                <w:sz w:val="16"/>
                <w:szCs w:val="16"/>
                <w:vertAlign w:val="superscript"/>
              </w:rPr>
              <w:t>1</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Australian Bureau of Statistics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 - business transformation </w:t>
            </w:r>
            <w:r w:rsidRPr="003B6D75">
              <w:rPr>
                <w:rFonts w:ascii="Arial" w:hAnsi="Arial" w:cs="Arial"/>
                <w:sz w:val="16"/>
                <w:szCs w:val="16"/>
                <w:vertAlign w:val="superscript"/>
              </w:rPr>
              <w:t>2</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Families Package - child care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workforce participation stream </w:t>
            </w:r>
            <w:r w:rsidRPr="003B6D75">
              <w:rPr>
                <w:rFonts w:ascii="Arial" w:hAnsi="Arial" w:cs="Arial"/>
                <w:sz w:val="16"/>
                <w:szCs w:val="16"/>
                <w:vertAlign w:val="superscript"/>
              </w:rPr>
              <w:t>3</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proofErr w:type="spellStart"/>
            <w:r w:rsidRPr="003B6D75">
              <w:rPr>
                <w:rFonts w:ascii="Arial" w:hAnsi="Arial" w:cs="Arial"/>
                <w:sz w:val="16"/>
                <w:szCs w:val="16"/>
              </w:rPr>
              <w:t>Intercountry</w:t>
            </w:r>
            <w:proofErr w:type="spellEnd"/>
            <w:r w:rsidRPr="003B6D75">
              <w:rPr>
                <w:rFonts w:ascii="Arial" w:hAnsi="Arial" w:cs="Arial"/>
                <w:sz w:val="16"/>
                <w:szCs w:val="16"/>
              </w:rPr>
              <w:t xml:space="preserve"> Adoption - national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support service </w:t>
            </w:r>
            <w:r w:rsidRPr="003B6D75">
              <w:rPr>
                <w:rFonts w:ascii="Arial" w:hAnsi="Arial" w:cs="Arial"/>
                <w:sz w:val="16"/>
                <w:szCs w:val="16"/>
                <w:vertAlign w:val="superscript"/>
              </w:rPr>
              <w:t>4</w:t>
            </w: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bl>
    <w:p w:rsidR="0015261C" w:rsidRPr="0015261C" w:rsidRDefault="0015261C" w:rsidP="0015261C">
      <w:pPr>
        <w:spacing w:after="0" w:line="240" w:lineRule="auto"/>
        <w:rPr>
          <w:sz w:val="6"/>
          <w:szCs w:val="6"/>
        </w:rPr>
      </w:pPr>
    </w:p>
    <w:p w:rsidR="0015261C" w:rsidRPr="0015261C" w:rsidRDefault="0015261C" w:rsidP="0015261C">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356E4B" w:rsidRPr="003C54F5" w:rsidRDefault="00EE788D" w:rsidP="00356E4B">
      <w:pPr>
        <w:pStyle w:val="Heading5"/>
      </w:pPr>
      <w:r>
        <w:br w:type="page"/>
      </w:r>
      <w:r w:rsidR="00356E4B" w:rsidRPr="003C54F5">
        <w:lastRenderedPageBreak/>
        <w:t>Table 1.2: Department of Finance 2015-16 Budget measures</w:t>
      </w:r>
    </w:p>
    <w:p w:rsidR="00356E4B" w:rsidRPr="00F4743F" w:rsidRDefault="00356E4B" w:rsidP="00356E4B">
      <w:pPr>
        <w:pStyle w:val="TableColumnHeadingLeft"/>
      </w:pPr>
      <w:r w:rsidRPr="00F4743F">
        <w:t>Part 1: Measures announced since the 2014-15 MYEFO (continued)</w:t>
      </w:r>
    </w:p>
    <w:tbl>
      <w:tblPr>
        <w:tblW w:w="8220" w:type="dxa"/>
        <w:tblInd w:w="93" w:type="dxa"/>
        <w:tblLook w:val="04A0"/>
      </w:tblPr>
      <w:tblGrid>
        <w:gridCol w:w="3500"/>
        <w:gridCol w:w="1052"/>
        <w:gridCol w:w="760"/>
        <w:gridCol w:w="812"/>
        <w:gridCol w:w="760"/>
        <w:gridCol w:w="760"/>
        <w:gridCol w:w="760"/>
      </w:tblGrid>
      <w:tr w:rsidR="003B6D75" w:rsidRPr="003B6D75" w:rsidTr="003B6D75">
        <w:trPr>
          <w:trHeight w:val="225"/>
        </w:trPr>
        <w:tc>
          <w:tcPr>
            <w:tcW w:w="350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Programme</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2016-17</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2017-18</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2018-19</w:t>
            </w:r>
          </w:p>
        </w:tc>
      </w:tr>
      <w:tr w:rsidR="003B6D75" w:rsidRPr="003B6D75" w:rsidTr="003B6D75">
        <w:trPr>
          <w:trHeight w:val="225"/>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My Health Record - a new</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direction for electronic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health records in Australia </w:t>
            </w:r>
            <w:r w:rsidRPr="003B6D75">
              <w:rPr>
                <w:rFonts w:ascii="Arial" w:hAnsi="Arial" w:cs="Arial"/>
                <w:sz w:val="16"/>
                <w:szCs w:val="16"/>
                <w:vertAlign w:val="superscript"/>
              </w:rPr>
              <w:t>5</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85</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46</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National Disability Insurance Agency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Full Scheme ICT </w:t>
            </w:r>
            <w:r w:rsidRPr="003B6D75">
              <w:rPr>
                <w:rFonts w:ascii="Arial" w:hAnsi="Arial" w:cs="Arial"/>
                <w:sz w:val="16"/>
                <w:szCs w:val="16"/>
                <w:vertAlign w:val="superscript"/>
              </w:rPr>
              <w:t>6</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National Security - Australian Secret</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Intelligence Service - strengthening</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capabilities </w:t>
            </w:r>
            <w:r w:rsidRPr="003B6D75">
              <w:rPr>
                <w:rFonts w:ascii="Arial" w:hAnsi="Arial" w:cs="Arial"/>
                <w:sz w:val="16"/>
                <w:szCs w:val="16"/>
                <w:vertAlign w:val="superscript"/>
              </w:rPr>
              <w:t>7</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(90)</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(90)</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(90)</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(90)</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No Jab No Pay </w:t>
            </w:r>
            <w:r w:rsidRPr="003B6D75">
              <w:rPr>
                <w:rFonts w:ascii="Arial" w:hAnsi="Arial" w:cs="Arial"/>
                <w:sz w:val="16"/>
                <w:szCs w:val="16"/>
                <w:vertAlign w:val="superscript"/>
              </w:rPr>
              <w:t>8</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Welfare Payment Infrastructure</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Transformation - Tranche One </w:t>
            </w:r>
            <w:r w:rsidRPr="003B6D75">
              <w:rPr>
                <w:rFonts w:ascii="Arial" w:hAnsi="Arial" w:cs="Arial"/>
                <w:sz w:val="16"/>
                <w:szCs w:val="16"/>
                <w:vertAlign w:val="superscript"/>
              </w:rPr>
              <w:t>9</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(57)</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Defence Housing Australia -  reform</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(3,468)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(488)</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Digital Transformation Agenda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Stage One and establishment of</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the Digital Transformation Office </w:t>
            </w:r>
            <w:r w:rsidRPr="003B6D75">
              <w:rPr>
                <w:rFonts w:ascii="Arial" w:hAnsi="Arial" w:cs="Arial"/>
                <w:sz w:val="16"/>
                <w:szCs w:val="16"/>
                <w:vertAlign w:val="superscript"/>
              </w:rPr>
              <w:t>10</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(824)</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(761)</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(958)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(773)</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Smaller Government - Property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Divestment Programme - general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office accommodation Canberra</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(4,375)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(434)</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Public Sector Savings - Enterprise</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Resource Planning Systems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14,103</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17,298</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Smaller Government - Australian Securities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and Investments Commission Registry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Function - commercialisation</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(11,602)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Smaller Government - Australian Rail Track</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Corporation Limited - scoping study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Smaller Government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Finance Portfolio</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Smaller Government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Property Divestment Programme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Mount Macedon Property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2.3</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(300)</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(200)</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Whole-of-government procurement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arrangements - Information and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Communications Technologies (ICT)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products and services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3</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(3,412)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(3,278)</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(4,537)</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(4,414)</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(72)</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(27,115)</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(8,045)</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5,755</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9,170</w:t>
            </w:r>
          </w:p>
        </w:tc>
      </w:tr>
      <w:tr w:rsidR="003B6D75" w:rsidRPr="003B6D75" w:rsidTr="003B6D75">
        <w:trPr>
          <w:trHeight w:val="60"/>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expense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(2,567)</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(2,552)</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(2,539)</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(2,581)</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(24,548)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(5,493)</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8,294</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11,751</w:t>
            </w:r>
          </w:p>
        </w:tc>
      </w:tr>
      <w:tr w:rsidR="003B6D75" w:rsidRPr="003B6D75" w:rsidTr="003B6D75">
        <w:trPr>
          <w:trHeight w:val="225"/>
        </w:trPr>
        <w:tc>
          <w:tcPr>
            <w:tcW w:w="35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(72)</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(27,115)</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(8,045)</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5,755</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9,170</w:t>
            </w:r>
          </w:p>
        </w:tc>
      </w:tr>
    </w:tbl>
    <w:p w:rsidR="00356E4B" w:rsidRPr="00FD14D0" w:rsidRDefault="00356E4B" w:rsidP="00356E4B">
      <w:pPr>
        <w:spacing w:after="0" w:line="240" w:lineRule="auto"/>
        <w:rPr>
          <w:rFonts w:ascii="Arial" w:hAnsi="Arial" w:cs="Arial"/>
          <w:sz w:val="6"/>
          <w:szCs w:val="6"/>
        </w:rPr>
      </w:pPr>
    </w:p>
    <w:p w:rsidR="00356E4B" w:rsidRPr="0015261C" w:rsidRDefault="00356E4B" w:rsidP="00356E4B">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356E4B" w:rsidRDefault="00356E4B">
      <w:pPr>
        <w:spacing w:after="0" w:line="240" w:lineRule="auto"/>
        <w:jc w:val="left"/>
        <w:rPr>
          <w:rFonts w:ascii="Arial" w:hAnsi="Arial" w:cs="Arial"/>
          <w:b/>
        </w:rPr>
      </w:pPr>
      <w:r>
        <w:br w:type="page"/>
      </w:r>
    </w:p>
    <w:p w:rsidR="00EE788D" w:rsidRPr="003C54F5" w:rsidRDefault="00EE788D" w:rsidP="00E453F8">
      <w:pPr>
        <w:pStyle w:val="Heading5"/>
      </w:pPr>
      <w:r w:rsidRPr="003C54F5">
        <w:lastRenderedPageBreak/>
        <w:t>Table 1.2: Department of Finance 2015-16 Budget measures</w:t>
      </w:r>
    </w:p>
    <w:p w:rsidR="00EE788D" w:rsidRPr="00F4743F" w:rsidRDefault="00EE788D" w:rsidP="006E4366">
      <w:pPr>
        <w:pStyle w:val="TableColumnHeadingLeft"/>
      </w:pPr>
      <w:r w:rsidRPr="00F4743F">
        <w:t>Part 1: Measures announced since the 2014-15 MYEFO (continued)</w:t>
      </w:r>
    </w:p>
    <w:tbl>
      <w:tblPr>
        <w:tblW w:w="8220" w:type="dxa"/>
        <w:tblInd w:w="93" w:type="dxa"/>
        <w:tblLook w:val="04A0"/>
      </w:tblPr>
      <w:tblGrid>
        <w:gridCol w:w="3500"/>
        <w:gridCol w:w="1052"/>
        <w:gridCol w:w="760"/>
        <w:gridCol w:w="812"/>
        <w:gridCol w:w="812"/>
        <w:gridCol w:w="760"/>
        <w:gridCol w:w="760"/>
      </w:tblGrid>
      <w:tr w:rsidR="003B6D75" w:rsidRPr="003B6D75" w:rsidTr="003B6D75">
        <w:trPr>
          <w:trHeight w:val="225"/>
        </w:trPr>
        <w:tc>
          <w:tcPr>
            <w:tcW w:w="350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Programme</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2016-17</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2017-18</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2018-19</w:t>
            </w:r>
          </w:p>
        </w:tc>
      </w:tr>
      <w:tr w:rsidR="003B6D75" w:rsidRPr="003B6D75" w:rsidTr="003B6D75">
        <w:trPr>
          <w:trHeight w:val="225"/>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Capital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 capital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Information technology security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enhancements for Parliamentarians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3.1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(6,020)</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capital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Central Budget Management System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further redevelopment</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1.1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Families Package - child care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workforce participation stream </w:t>
            </w:r>
            <w:r w:rsidRPr="003B6D75">
              <w:rPr>
                <w:rFonts w:ascii="Arial" w:hAnsi="Arial" w:cs="Arial"/>
                <w:sz w:val="16"/>
                <w:szCs w:val="16"/>
                <w:vertAlign w:val="superscript"/>
              </w:rPr>
              <w:t>3</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National Security - Australian Secret</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Intelligence Service - strengthening</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capabilities </w:t>
            </w:r>
            <w:r w:rsidRPr="003B6D75">
              <w:rPr>
                <w:rFonts w:ascii="Arial" w:hAnsi="Arial" w:cs="Arial"/>
                <w:sz w:val="16"/>
                <w:szCs w:val="16"/>
                <w:vertAlign w:val="superscript"/>
              </w:rPr>
              <w:t>7</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Welfare Payment Infrastructure</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Transformation - Tranche One </w:t>
            </w:r>
            <w:r w:rsidRPr="003B6D75">
              <w:rPr>
                <w:rFonts w:ascii="Arial" w:hAnsi="Arial" w:cs="Arial"/>
                <w:sz w:val="16"/>
                <w:szCs w:val="16"/>
                <w:vertAlign w:val="superscript"/>
              </w:rPr>
              <w:t>9</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Streamlining and improving the</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Sustainability of Courts </w:t>
            </w:r>
            <w:r w:rsidRPr="003B6D75">
              <w:rPr>
                <w:rFonts w:ascii="Arial" w:hAnsi="Arial" w:cs="Arial"/>
                <w:sz w:val="16"/>
                <w:szCs w:val="16"/>
                <w:vertAlign w:val="superscript"/>
              </w:rPr>
              <w:t>11</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2.3</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(7,864)</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(11,404)</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(6,138)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(4,590)</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(13,884)</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(11,404)</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(6,138)</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(4,590)</w:t>
            </w:r>
          </w:p>
        </w:tc>
      </w:tr>
      <w:tr w:rsidR="003B6D75" w:rsidRPr="003B6D75" w:rsidTr="003B6D75">
        <w:trPr>
          <w:trHeight w:val="60"/>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capital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(6,020)</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(7,864)</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(11,404)</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(6,138)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(4,590)</w:t>
            </w:r>
          </w:p>
        </w:tc>
      </w:tr>
      <w:tr w:rsidR="003B6D75" w:rsidRPr="003B6D75" w:rsidTr="003B6D75">
        <w:trPr>
          <w:trHeight w:val="225"/>
        </w:trPr>
        <w:tc>
          <w:tcPr>
            <w:tcW w:w="35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(13,884)</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(11,404)</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(6,138)</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(4,590)</w:t>
            </w:r>
          </w:p>
        </w:tc>
      </w:tr>
    </w:tbl>
    <w:p w:rsidR="00A038D1" w:rsidRPr="00FD14D0" w:rsidRDefault="00A038D1" w:rsidP="00EE788D">
      <w:pPr>
        <w:spacing w:after="0" w:line="240" w:lineRule="auto"/>
        <w:rPr>
          <w:rFonts w:ascii="Arial" w:hAnsi="Arial" w:cs="Arial"/>
          <w:sz w:val="6"/>
          <w:szCs w:val="6"/>
        </w:rPr>
      </w:pPr>
    </w:p>
    <w:p w:rsidR="001A2458" w:rsidRDefault="001A2458"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w:t>
      </w:r>
      <w:r w:rsidR="009E3E96">
        <w:rPr>
          <w:rFonts w:ascii="Arial" w:hAnsi="Arial" w:cs="Arial"/>
          <w:sz w:val="15"/>
          <w:szCs w:val="15"/>
        </w:rPr>
        <w:t>entity</w:t>
      </w:r>
      <w:r>
        <w:rPr>
          <w:rFonts w:ascii="Arial" w:hAnsi="Arial" w:cs="Arial"/>
          <w:sz w:val="15"/>
          <w:szCs w:val="15"/>
        </w:rPr>
        <w:t xml:space="preserve"> for the measure </w:t>
      </w:r>
      <w:r>
        <w:rPr>
          <w:rFonts w:ascii="Arial" w:hAnsi="Arial" w:cs="Arial"/>
          <w:i/>
          <w:sz w:val="15"/>
          <w:szCs w:val="15"/>
        </w:rPr>
        <w:t xml:space="preserve">Aged Care – Home Care Programme – </w:t>
      </w:r>
      <w:r w:rsidR="00933783">
        <w:rPr>
          <w:rFonts w:ascii="Arial" w:hAnsi="Arial" w:cs="Arial"/>
          <w:i/>
          <w:sz w:val="15"/>
          <w:szCs w:val="15"/>
        </w:rPr>
        <w:t>i</w:t>
      </w:r>
      <w:r>
        <w:rPr>
          <w:rFonts w:ascii="Arial" w:hAnsi="Arial" w:cs="Arial"/>
          <w:i/>
          <w:sz w:val="15"/>
          <w:szCs w:val="15"/>
        </w:rPr>
        <w:t xml:space="preserve">ncreasing </w:t>
      </w:r>
      <w:r w:rsidR="00933783">
        <w:rPr>
          <w:rFonts w:ascii="Arial" w:hAnsi="Arial" w:cs="Arial"/>
          <w:i/>
          <w:sz w:val="15"/>
          <w:szCs w:val="15"/>
        </w:rPr>
        <w:t>c</w:t>
      </w:r>
      <w:r>
        <w:rPr>
          <w:rFonts w:ascii="Arial" w:hAnsi="Arial" w:cs="Arial"/>
          <w:i/>
          <w:sz w:val="15"/>
          <w:szCs w:val="15"/>
        </w:rPr>
        <w:t xml:space="preserve">onsumer </w:t>
      </w:r>
      <w:r w:rsidR="00933783">
        <w:rPr>
          <w:rFonts w:ascii="Arial" w:hAnsi="Arial" w:cs="Arial"/>
          <w:i/>
          <w:sz w:val="15"/>
          <w:szCs w:val="15"/>
        </w:rPr>
        <w:t>c</w:t>
      </w:r>
      <w:r>
        <w:rPr>
          <w:rFonts w:ascii="Arial" w:hAnsi="Arial" w:cs="Arial"/>
          <w:i/>
          <w:sz w:val="15"/>
          <w:szCs w:val="15"/>
        </w:rPr>
        <w:t>hoice</w:t>
      </w:r>
      <w:r>
        <w:rPr>
          <w:rFonts w:ascii="Arial" w:hAnsi="Arial" w:cs="Arial"/>
          <w:sz w:val="15"/>
          <w:szCs w:val="15"/>
        </w:rPr>
        <w:t xml:space="preserve"> is the Department of Social Services. The full measure description and package details appear in Budget Paper 2 under the Social Services portfolio.</w:t>
      </w:r>
    </w:p>
    <w:p w:rsidR="009E3E96" w:rsidRDefault="009E3E96"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r>
        <w:rPr>
          <w:rFonts w:ascii="Arial" w:hAnsi="Arial" w:cs="Arial"/>
          <w:i/>
          <w:sz w:val="15"/>
          <w:szCs w:val="15"/>
        </w:rPr>
        <w:t xml:space="preserve">Australian Bureau of Statistics – </w:t>
      </w:r>
      <w:r w:rsidR="00933783">
        <w:rPr>
          <w:rFonts w:ascii="Arial" w:hAnsi="Arial" w:cs="Arial"/>
          <w:i/>
          <w:sz w:val="15"/>
          <w:szCs w:val="15"/>
        </w:rPr>
        <w:t>b</w:t>
      </w:r>
      <w:r>
        <w:rPr>
          <w:rFonts w:ascii="Arial" w:hAnsi="Arial" w:cs="Arial"/>
          <w:i/>
          <w:sz w:val="15"/>
          <w:szCs w:val="15"/>
        </w:rPr>
        <w:t xml:space="preserve">usiness </w:t>
      </w:r>
      <w:r w:rsidR="00933783">
        <w:rPr>
          <w:rFonts w:ascii="Arial" w:hAnsi="Arial" w:cs="Arial"/>
          <w:i/>
          <w:sz w:val="15"/>
          <w:szCs w:val="15"/>
        </w:rPr>
        <w:t>t</w:t>
      </w:r>
      <w:r>
        <w:rPr>
          <w:rFonts w:ascii="Arial" w:hAnsi="Arial" w:cs="Arial"/>
          <w:i/>
          <w:sz w:val="15"/>
          <w:szCs w:val="15"/>
        </w:rPr>
        <w:t>ransformation</w:t>
      </w:r>
      <w:r>
        <w:rPr>
          <w:rFonts w:ascii="Arial" w:hAnsi="Arial" w:cs="Arial"/>
          <w:sz w:val="15"/>
          <w:szCs w:val="15"/>
        </w:rPr>
        <w:t xml:space="preserve"> is the Australian Bureau of Statistics. The full measure description and package details appear in Budget Paper 2 under the Treasury portfolio.</w:t>
      </w:r>
    </w:p>
    <w:p w:rsidR="009E3E96" w:rsidRDefault="009E3E96"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r w:rsidRPr="009E3E96">
        <w:rPr>
          <w:rFonts w:ascii="Arial" w:hAnsi="Arial" w:cs="Arial"/>
          <w:i/>
          <w:sz w:val="15"/>
          <w:szCs w:val="15"/>
        </w:rPr>
        <w:t>Families Package – child</w:t>
      </w:r>
      <w:r w:rsidR="00933783">
        <w:rPr>
          <w:rFonts w:ascii="Arial" w:hAnsi="Arial" w:cs="Arial"/>
          <w:i/>
          <w:sz w:val="15"/>
          <w:szCs w:val="15"/>
        </w:rPr>
        <w:t xml:space="preserve"> </w:t>
      </w:r>
      <w:r w:rsidRPr="009E3E96">
        <w:rPr>
          <w:rFonts w:ascii="Arial" w:hAnsi="Arial" w:cs="Arial"/>
          <w:i/>
          <w:sz w:val="15"/>
          <w:szCs w:val="15"/>
        </w:rPr>
        <w:t>care</w:t>
      </w:r>
      <w:r w:rsidR="00933783">
        <w:rPr>
          <w:rFonts w:ascii="Arial" w:hAnsi="Arial" w:cs="Arial"/>
          <w:i/>
          <w:sz w:val="15"/>
          <w:szCs w:val="15"/>
        </w:rPr>
        <w:t xml:space="preserve"> -</w:t>
      </w:r>
      <w:r w:rsidRPr="009E3E96">
        <w:rPr>
          <w:rFonts w:ascii="Arial" w:hAnsi="Arial" w:cs="Arial"/>
          <w:i/>
          <w:sz w:val="15"/>
          <w:szCs w:val="15"/>
        </w:rPr>
        <w:t xml:space="preserve"> workforce participation stream</w:t>
      </w:r>
      <w:r>
        <w:rPr>
          <w:rFonts w:ascii="Arial" w:hAnsi="Arial" w:cs="Arial"/>
          <w:sz w:val="15"/>
          <w:szCs w:val="15"/>
        </w:rPr>
        <w:t xml:space="preserve"> is the Department of Social Services. The full measure description and package details appear in Budget Paper 2 under the Social Services portfolio.</w:t>
      </w:r>
    </w:p>
    <w:p w:rsidR="009E3E96" w:rsidRDefault="009E3E96"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proofErr w:type="spellStart"/>
      <w:r w:rsidR="00356E4B">
        <w:rPr>
          <w:rFonts w:ascii="Arial" w:hAnsi="Arial" w:cs="Arial"/>
          <w:i/>
          <w:sz w:val="15"/>
          <w:szCs w:val="15"/>
        </w:rPr>
        <w:t>Intercountry</w:t>
      </w:r>
      <w:proofErr w:type="spellEnd"/>
      <w:r w:rsidR="00356E4B">
        <w:rPr>
          <w:rFonts w:ascii="Arial" w:hAnsi="Arial" w:cs="Arial"/>
          <w:i/>
          <w:sz w:val="15"/>
          <w:szCs w:val="15"/>
        </w:rPr>
        <w:t xml:space="preserve"> Adoption –</w:t>
      </w:r>
      <w:r w:rsidR="00933783">
        <w:rPr>
          <w:rFonts w:ascii="Arial" w:hAnsi="Arial" w:cs="Arial"/>
          <w:i/>
          <w:sz w:val="15"/>
          <w:szCs w:val="15"/>
        </w:rPr>
        <w:t xml:space="preserve"> </w:t>
      </w:r>
      <w:r w:rsidR="00356E4B">
        <w:rPr>
          <w:rFonts w:ascii="Arial" w:hAnsi="Arial" w:cs="Arial"/>
          <w:i/>
          <w:sz w:val="15"/>
          <w:szCs w:val="15"/>
        </w:rPr>
        <w:t xml:space="preserve">national support service </w:t>
      </w:r>
      <w:r>
        <w:rPr>
          <w:rFonts w:ascii="Arial" w:hAnsi="Arial" w:cs="Arial"/>
          <w:sz w:val="15"/>
          <w:szCs w:val="15"/>
        </w:rPr>
        <w:t>is the Department of Social Services. The full measure description and package details appear in Budget Paper 2 under the Social Services portfolio.</w:t>
      </w:r>
    </w:p>
    <w:p w:rsidR="001A2458" w:rsidRPr="007377B7" w:rsidRDefault="001A2458"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sidRPr="007377B7">
        <w:rPr>
          <w:rFonts w:ascii="Arial" w:hAnsi="Arial" w:cs="Arial"/>
          <w:sz w:val="15"/>
          <w:szCs w:val="15"/>
        </w:rPr>
        <w:t xml:space="preserve">The lead </w:t>
      </w:r>
      <w:r w:rsidR="009E3E96" w:rsidRPr="007377B7">
        <w:rPr>
          <w:rFonts w:ascii="Arial" w:hAnsi="Arial" w:cs="Arial"/>
          <w:sz w:val="15"/>
          <w:szCs w:val="15"/>
        </w:rPr>
        <w:t>entity</w:t>
      </w:r>
      <w:r w:rsidRPr="007377B7">
        <w:rPr>
          <w:rFonts w:ascii="Arial" w:hAnsi="Arial" w:cs="Arial"/>
          <w:sz w:val="15"/>
          <w:szCs w:val="15"/>
        </w:rPr>
        <w:t xml:space="preserve"> for the measure </w:t>
      </w:r>
      <w:r w:rsidRPr="007377B7">
        <w:rPr>
          <w:rFonts w:ascii="Arial" w:hAnsi="Arial" w:cs="Arial"/>
          <w:i/>
          <w:sz w:val="15"/>
          <w:szCs w:val="15"/>
        </w:rPr>
        <w:t>My Health Record – a new direction for electronic health records in Australia</w:t>
      </w:r>
      <w:r w:rsidRPr="007377B7">
        <w:rPr>
          <w:rFonts w:ascii="Arial" w:hAnsi="Arial" w:cs="Arial"/>
          <w:sz w:val="15"/>
          <w:szCs w:val="15"/>
        </w:rPr>
        <w:t xml:space="preserve"> is the Department of Health. The full measure description and package details appear in Budget Paper 2 under the Health portfolio.</w:t>
      </w:r>
      <w:r w:rsidR="007377B7" w:rsidRPr="007377B7">
        <w:rPr>
          <w:rFonts w:ascii="Arial" w:hAnsi="Arial" w:cs="Arial"/>
          <w:sz w:val="15"/>
          <w:szCs w:val="15"/>
        </w:rPr>
        <w:t xml:space="preserve"> This measure will provide $485.1 million over four years to continue the operation of the </w:t>
      </w:r>
      <w:proofErr w:type="spellStart"/>
      <w:r w:rsidR="007377B7" w:rsidRPr="007377B7">
        <w:rPr>
          <w:rFonts w:ascii="Arial" w:hAnsi="Arial" w:cs="Arial"/>
          <w:sz w:val="15"/>
          <w:szCs w:val="15"/>
        </w:rPr>
        <w:t>eHealth</w:t>
      </w:r>
      <w:proofErr w:type="spellEnd"/>
      <w:r w:rsidR="007377B7" w:rsidRPr="007377B7">
        <w:rPr>
          <w:rFonts w:ascii="Arial" w:hAnsi="Arial" w:cs="Arial"/>
          <w:sz w:val="15"/>
          <w:szCs w:val="15"/>
        </w:rPr>
        <w:t xml:space="preserve"> system, make key system and governance improvements and implement trials, including of opt-out arrangements. Funding for this measure has already been provided for by the </w:t>
      </w:r>
      <w:r w:rsidR="007377B7">
        <w:rPr>
          <w:rFonts w:ascii="Arial" w:hAnsi="Arial" w:cs="Arial"/>
          <w:sz w:val="15"/>
          <w:szCs w:val="15"/>
        </w:rPr>
        <w:t>g</w:t>
      </w:r>
      <w:r w:rsidR="007377B7" w:rsidRPr="007377B7">
        <w:rPr>
          <w:rFonts w:ascii="Arial" w:hAnsi="Arial" w:cs="Arial"/>
          <w:sz w:val="15"/>
          <w:szCs w:val="15"/>
        </w:rPr>
        <w:t>overnment in the 2014</w:t>
      </w:r>
      <w:r w:rsidR="007377B7">
        <w:rPr>
          <w:rFonts w:ascii="Arial" w:hAnsi="Arial" w:cs="Arial"/>
          <w:sz w:val="15"/>
          <w:szCs w:val="15"/>
        </w:rPr>
        <w:noBreakHyphen/>
      </w:r>
      <w:r w:rsidR="007377B7" w:rsidRPr="007377B7">
        <w:rPr>
          <w:rFonts w:ascii="Arial" w:hAnsi="Arial" w:cs="Arial"/>
          <w:sz w:val="15"/>
          <w:szCs w:val="15"/>
        </w:rPr>
        <w:t>15 Budget.</w:t>
      </w:r>
    </w:p>
    <w:p w:rsidR="001A2458" w:rsidRDefault="001A2458"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w:t>
      </w:r>
      <w:r w:rsidR="009E3E96">
        <w:rPr>
          <w:rFonts w:ascii="Arial" w:hAnsi="Arial" w:cs="Arial"/>
          <w:sz w:val="15"/>
          <w:szCs w:val="15"/>
        </w:rPr>
        <w:t>entity</w:t>
      </w:r>
      <w:r>
        <w:rPr>
          <w:rFonts w:ascii="Arial" w:hAnsi="Arial" w:cs="Arial"/>
          <w:sz w:val="15"/>
          <w:szCs w:val="15"/>
        </w:rPr>
        <w:t xml:space="preserve"> for the measure </w:t>
      </w:r>
      <w:r>
        <w:rPr>
          <w:rFonts w:ascii="Arial" w:hAnsi="Arial" w:cs="Arial"/>
          <w:i/>
          <w:sz w:val="15"/>
          <w:szCs w:val="15"/>
        </w:rPr>
        <w:t xml:space="preserve">National Disability Insurance </w:t>
      </w:r>
      <w:r w:rsidR="00933783">
        <w:rPr>
          <w:rFonts w:ascii="Arial" w:hAnsi="Arial" w:cs="Arial"/>
          <w:i/>
          <w:sz w:val="15"/>
          <w:szCs w:val="15"/>
        </w:rPr>
        <w:t xml:space="preserve">Agency </w:t>
      </w:r>
      <w:r>
        <w:rPr>
          <w:rFonts w:ascii="Arial" w:hAnsi="Arial" w:cs="Arial"/>
          <w:i/>
          <w:sz w:val="15"/>
          <w:szCs w:val="15"/>
        </w:rPr>
        <w:t>Full Scheme ICT</w:t>
      </w:r>
      <w:r>
        <w:rPr>
          <w:rFonts w:ascii="Arial" w:hAnsi="Arial" w:cs="Arial"/>
          <w:sz w:val="15"/>
          <w:szCs w:val="15"/>
        </w:rPr>
        <w:t xml:space="preserve"> is the National Disability Insurance Scheme Launch Transition </w:t>
      </w:r>
      <w:r w:rsidR="009E3E96">
        <w:rPr>
          <w:rFonts w:ascii="Arial" w:hAnsi="Arial" w:cs="Arial"/>
          <w:sz w:val="15"/>
          <w:szCs w:val="15"/>
        </w:rPr>
        <w:t>Entity</w:t>
      </w:r>
      <w:r>
        <w:rPr>
          <w:rFonts w:ascii="Arial" w:hAnsi="Arial" w:cs="Arial"/>
          <w:sz w:val="15"/>
          <w:szCs w:val="15"/>
        </w:rPr>
        <w:t>. The full measure description and package details appear in Budget Paper 2 under the Social Services portfolio.</w:t>
      </w:r>
    </w:p>
    <w:p w:rsidR="001A2458" w:rsidRDefault="001A2458"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w:t>
      </w:r>
      <w:r w:rsidR="009E3E96">
        <w:rPr>
          <w:rFonts w:ascii="Arial" w:hAnsi="Arial" w:cs="Arial"/>
          <w:sz w:val="15"/>
          <w:szCs w:val="15"/>
        </w:rPr>
        <w:t>entity</w:t>
      </w:r>
      <w:r>
        <w:rPr>
          <w:rFonts w:ascii="Arial" w:hAnsi="Arial" w:cs="Arial"/>
          <w:sz w:val="15"/>
          <w:szCs w:val="15"/>
        </w:rPr>
        <w:t xml:space="preserve"> for the measure </w:t>
      </w:r>
      <w:r w:rsidR="00933783">
        <w:rPr>
          <w:rFonts w:ascii="Arial" w:hAnsi="Arial" w:cs="Arial"/>
          <w:i/>
          <w:sz w:val="15"/>
          <w:szCs w:val="15"/>
        </w:rPr>
        <w:t>National Security – Australian Secret Intelligence Service – strengthening capabilities</w:t>
      </w:r>
      <w:r>
        <w:rPr>
          <w:rFonts w:ascii="Arial" w:hAnsi="Arial" w:cs="Arial"/>
          <w:sz w:val="15"/>
          <w:szCs w:val="15"/>
        </w:rPr>
        <w:t xml:space="preserve"> is the Australian Secret Intelligence Service. The full measure description and package details appear in Budget Paper 2 under the </w:t>
      </w:r>
      <w:r w:rsidR="00F868E5">
        <w:rPr>
          <w:rFonts w:ascii="Arial" w:hAnsi="Arial" w:cs="Arial"/>
          <w:sz w:val="15"/>
          <w:szCs w:val="15"/>
        </w:rPr>
        <w:t>Foreign Affairs and Trade</w:t>
      </w:r>
      <w:r>
        <w:rPr>
          <w:rFonts w:ascii="Arial" w:hAnsi="Arial" w:cs="Arial"/>
          <w:sz w:val="15"/>
          <w:szCs w:val="15"/>
        </w:rPr>
        <w:t xml:space="preserve"> portfolio.</w:t>
      </w:r>
    </w:p>
    <w:p w:rsidR="00356E4B" w:rsidRDefault="00356E4B"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r w:rsidR="00933783">
        <w:rPr>
          <w:rFonts w:ascii="Arial" w:hAnsi="Arial" w:cs="Arial"/>
          <w:i/>
          <w:sz w:val="15"/>
          <w:szCs w:val="15"/>
        </w:rPr>
        <w:t>No Jab No Pay</w:t>
      </w:r>
      <w:r>
        <w:rPr>
          <w:rFonts w:ascii="Arial" w:hAnsi="Arial" w:cs="Arial"/>
          <w:sz w:val="15"/>
          <w:szCs w:val="15"/>
        </w:rPr>
        <w:t xml:space="preserve"> is the Department of Social Services. The full measure description and package details appear in Budget Paper 2 under the Social Services portfolio.</w:t>
      </w:r>
    </w:p>
    <w:p w:rsidR="00933783" w:rsidRDefault="00356E4B"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r w:rsidRPr="00933783">
        <w:rPr>
          <w:rFonts w:ascii="Arial" w:hAnsi="Arial" w:cs="Arial"/>
          <w:sz w:val="15"/>
          <w:szCs w:val="15"/>
        </w:rPr>
        <w:t>Welfare Payme</w:t>
      </w:r>
      <w:r w:rsidR="00933783" w:rsidRPr="00933783">
        <w:rPr>
          <w:rFonts w:ascii="Arial" w:hAnsi="Arial" w:cs="Arial"/>
          <w:sz w:val="15"/>
          <w:szCs w:val="15"/>
        </w:rPr>
        <w:t>nt Infrastructure Transformation</w:t>
      </w:r>
      <w:r w:rsidRPr="00933783">
        <w:rPr>
          <w:rFonts w:ascii="Arial" w:hAnsi="Arial" w:cs="Arial"/>
          <w:sz w:val="15"/>
          <w:szCs w:val="15"/>
        </w:rPr>
        <w:t xml:space="preserve"> – Tranche One</w:t>
      </w:r>
      <w:r>
        <w:rPr>
          <w:rFonts w:ascii="Arial" w:hAnsi="Arial" w:cs="Arial"/>
          <w:sz w:val="15"/>
          <w:szCs w:val="15"/>
        </w:rPr>
        <w:t xml:space="preserve"> is the Department of Human Services. The full measure description and package details appear in Budget Paper 2 under the Human Services portfolio.</w:t>
      </w:r>
      <w:r w:rsidR="00933783">
        <w:rPr>
          <w:rFonts w:ascii="Arial" w:hAnsi="Arial" w:cs="Arial"/>
          <w:sz w:val="15"/>
          <w:szCs w:val="15"/>
        </w:rPr>
        <w:br w:type="page"/>
      </w:r>
    </w:p>
    <w:p w:rsidR="00356E4B" w:rsidRPr="00933783" w:rsidRDefault="00356E4B" w:rsidP="00933783">
      <w:pPr>
        <w:spacing w:after="60" w:line="240" w:lineRule="auto"/>
        <w:outlineLvl w:val="6"/>
        <w:rPr>
          <w:rFonts w:ascii="Arial" w:hAnsi="Arial" w:cs="Arial"/>
          <w:sz w:val="15"/>
          <w:szCs w:val="15"/>
        </w:rPr>
      </w:pPr>
    </w:p>
    <w:p w:rsidR="00F868E5" w:rsidRDefault="00564D41"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r>
        <w:rPr>
          <w:rFonts w:ascii="Arial" w:hAnsi="Arial" w:cs="Arial"/>
          <w:i/>
          <w:sz w:val="15"/>
          <w:szCs w:val="15"/>
        </w:rPr>
        <w:t xml:space="preserve">Digital Transformation Agenda </w:t>
      </w:r>
      <w:r w:rsidR="00933783">
        <w:rPr>
          <w:rFonts w:ascii="Arial" w:hAnsi="Arial" w:cs="Arial"/>
          <w:i/>
          <w:sz w:val="15"/>
          <w:szCs w:val="15"/>
        </w:rPr>
        <w:t xml:space="preserve">- </w:t>
      </w:r>
      <w:r>
        <w:rPr>
          <w:rFonts w:ascii="Arial" w:hAnsi="Arial" w:cs="Arial"/>
          <w:i/>
          <w:sz w:val="15"/>
          <w:szCs w:val="15"/>
        </w:rPr>
        <w:t>Stage One and establishment of the Digital Transformation Office</w:t>
      </w:r>
      <w:r>
        <w:rPr>
          <w:rFonts w:ascii="Arial" w:hAnsi="Arial" w:cs="Arial"/>
          <w:sz w:val="15"/>
          <w:szCs w:val="15"/>
        </w:rPr>
        <w:t xml:space="preserve"> is the Digital Transformation Office. The full measure description and package details appear in Budget Paper 2 under the Communications portfolio.</w:t>
      </w:r>
    </w:p>
    <w:p w:rsidR="001A2458" w:rsidRPr="006E5384" w:rsidRDefault="00F868E5"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sidRPr="006E5384">
        <w:rPr>
          <w:rFonts w:ascii="Arial" w:hAnsi="Arial" w:cs="Arial"/>
          <w:sz w:val="15"/>
          <w:szCs w:val="15"/>
        </w:rPr>
        <w:t xml:space="preserve">The lead entity for the measure </w:t>
      </w:r>
      <w:r w:rsidRPr="006E5384">
        <w:rPr>
          <w:rFonts w:ascii="Arial" w:hAnsi="Arial" w:cs="Arial"/>
          <w:i/>
          <w:sz w:val="15"/>
          <w:szCs w:val="15"/>
        </w:rPr>
        <w:t xml:space="preserve">Streamlining and improving the </w:t>
      </w:r>
      <w:r w:rsidR="00933783">
        <w:rPr>
          <w:rFonts w:ascii="Arial" w:hAnsi="Arial" w:cs="Arial"/>
          <w:i/>
          <w:sz w:val="15"/>
          <w:szCs w:val="15"/>
        </w:rPr>
        <w:t>S</w:t>
      </w:r>
      <w:r w:rsidRPr="006E5384">
        <w:rPr>
          <w:rFonts w:ascii="Arial" w:hAnsi="Arial" w:cs="Arial"/>
          <w:i/>
          <w:sz w:val="15"/>
          <w:szCs w:val="15"/>
        </w:rPr>
        <w:t>ustainability of Courts</w:t>
      </w:r>
      <w:r w:rsidRPr="006E5384">
        <w:rPr>
          <w:rFonts w:ascii="Arial" w:hAnsi="Arial" w:cs="Arial"/>
          <w:sz w:val="15"/>
          <w:szCs w:val="15"/>
        </w:rPr>
        <w:t xml:space="preserve"> is the Family Court and Federal Circuit Court. The full measure description and package details appear in Budget Paper 2 under the Attorney-General’s portfolio.</w:t>
      </w:r>
      <w:r w:rsidR="00356E4B" w:rsidRPr="006E5384">
        <w:rPr>
          <w:rFonts w:ascii="Arial" w:hAnsi="Arial" w:cs="Arial"/>
          <w:sz w:val="15"/>
          <w:szCs w:val="15"/>
        </w:rPr>
        <w:br/>
      </w:r>
    </w:p>
    <w:p w:rsidR="002B779E" w:rsidRDefault="00337F82" w:rsidP="00933783">
      <w:pPr>
        <w:spacing w:after="60" w:line="240" w:lineRule="auto"/>
      </w:pPr>
      <w:proofErr w:type="gramStart"/>
      <w:r w:rsidRPr="00A038D1">
        <w:rPr>
          <w:rFonts w:ascii="Arial" w:hAnsi="Arial" w:cs="Arial"/>
          <w:sz w:val="16"/>
          <w:szCs w:val="16"/>
        </w:rPr>
        <w:t>Pr</w:t>
      </w:r>
      <w:r w:rsidR="0031204A" w:rsidRPr="00A038D1">
        <w:rPr>
          <w:rFonts w:ascii="Arial" w:hAnsi="Arial" w:cs="Arial"/>
          <w:sz w:val="16"/>
          <w:szCs w:val="16"/>
        </w:rPr>
        <w:t>epared on a Government Finance</w:t>
      </w:r>
      <w:r w:rsidRPr="00A038D1">
        <w:rPr>
          <w:rFonts w:ascii="Arial" w:hAnsi="Arial" w:cs="Arial"/>
          <w:sz w:val="16"/>
          <w:szCs w:val="16"/>
        </w:rPr>
        <w:t xml:space="preserve"> Statistics </w:t>
      </w:r>
      <w:r w:rsidR="00BC2C65" w:rsidRPr="00A038D1">
        <w:rPr>
          <w:rFonts w:ascii="Arial" w:hAnsi="Arial" w:cs="Arial"/>
          <w:sz w:val="16"/>
          <w:szCs w:val="16"/>
        </w:rPr>
        <w:t xml:space="preserve">(fiscal) </w:t>
      </w:r>
      <w:r w:rsidRPr="00A038D1">
        <w:rPr>
          <w:rFonts w:ascii="Arial" w:hAnsi="Arial" w:cs="Arial"/>
          <w:sz w:val="16"/>
          <w:szCs w:val="16"/>
        </w:rPr>
        <w:t>basis.</w:t>
      </w:r>
      <w:proofErr w:type="gramEnd"/>
      <w:r w:rsidR="00F868E5">
        <w:t xml:space="preserve"> </w:t>
      </w:r>
      <w:r w:rsidR="00C7638D">
        <w:br w:type="page"/>
      </w:r>
    </w:p>
    <w:p w:rsidR="002213AD" w:rsidRPr="003C54F5" w:rsidRDefault="002213AD" w:rsidP="00E453F8">
      <w:pPr>
        <w:pStyle w:val="Heading5"/>
      </w:pPr>
      <w:bookmarkStart w:id="26" w:name="_Toc190682312"/>
      <w:bookmarkStart w:id="27" w:name="_Toc190682530"/>
      <w:r w:rsidRPr="003C54F5">
        <w:lastRenderedPageBreak/>
        <w:t xml:space="preserve">Table 2: Changes to the Outcome and Programme Structures </w:t>
      </w:r>
      <w:proofErr w:type="gramStart"/>
      <w:r w:rsidRPr="003C54F5">
        <w:t>Since</w:t>
      </w:r>
      <w:proofErr w:type="gramEnd"/>
      <w:r w:rsidRPr="003C54F5">
        <w:t xml:space="preserve"> the Last Portfolio Statement</w:t>
      </w:r>
    </w:p>
    <w:p w:rsidR="002213AD" w:rsidRPr="00F4743F" w:rsidRDefault="002213AD" w:rsidP="006E4366">
      <w:pPr>
        <w:pStyle w:val="TableColumnHeadingLeft"/>
      </w:pPr>
      <w:r w:rsidRPr="00F4743F">
        <w:t>Outcome Changes</w:t>
      </w:r>
    </w:p>
    <w:tbl>
      <w:tblPr>
        <w:tblW w:w="7320" w:type="dxa"/>
        <w:tblInd w:w="93" w:type="dxa"/>
        <w:tblLook w:val="04A0"/>
      </w:tblPr>
      <w:tblGrid>
        <w:gridCol w:w="1536"/>
        <w:gridCol w:w="222"/>
        <w:gridCol w:w="5562"/>
      </w:tblGrid>
      <w:tr w:rsidR="003B6D75" w:rsidRPr="003B6D75" w:rsidTr="003B6D75">
        <w:trPr>
          <w:trHeight w:val="810"/>
        </w:trPr>
        <w:tc>
          <w:tcPr>
            <w:tcW w:w="1536" w:type="dxa"/>
            <w:tcBorders>
              <w:top w:val="single" w:sz="4" w:space="0" w:color="000000"/>
              <w:left w:val="nil"/>
              <w:bottom w:val="nil"/>
              <w:right w:val="nil"/>
            </w:tcBorders>
            <w:shd w:val="clear" w:color="000000" w:fill="D8D8D8"/>
            <w:vAlign w:val="center"/>
            <w:hideMark/>
          </w:tcPr>
          <w:p w:rsidR="003B6D75" w:rsidRPr="003B6D75" w:rsidRDefault="003B6D75" w:rsidP="003B6D75">
            <w:pPr>
              <w:spacing w:after="0" w:line="240" w:lineRule="auto"/>
              <w:jc w:val="center"/>
              <w:rPr>
                <w:rFonts w:ascii="Arial" w:hAnsi="Arial" w:cs="Arial"/>
                <w:b/>
                <w:bCs/>
                <w:color w:val="000000"/>
                <w:sz w:val="16"/>
                <w:szCs w:val="16"/>
              </w:rPr>
            </w:pPr>
            <w:r w:rsidRPr="003B6D75">
              <w:rPr>
                <w:rFonts w:ascii="Arial" w:hAnsi="Arial" w:cs="Arial"/>
                <w:b/>
                <w:bCs/>
                <w:color w:val="000000"/>
                <w:sz w:val="16"/>
                <w:szCs w:val="16"/>
              </w:rPr>
              <w:t>New</w:t>
            </w:r>
            <w:r w:rsidRPr="003B6D75">
              <w:rPr>
                <w:rFonts w:ascii="Arial" w:hAnsi="Arial" w:cs="Arial"/>
                <w:b/>
                <w:bCs/>
                <w:color w:val="000000"/>
                <w:sz w:val="16"/>
                <w:szCs w:val="16"/>
              </w:rPr>
              <w:br/>
              <w:t>Outcome 1</w:t>
            </w:r>
          </w:p>
        </w:tc>
        <w:tc>
          <w:tcPr>
            <w:tcW w:w="5784" w:type="dxa"/>
            <w:gridSpan w:val="2"/>
            <w:tcBorders>
              <w:top w:val="single" w:sz="4" w:space="0" w:color="000000"/>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Support sustainable Australian Government finances through providing high quality policy advice and operational support to the government and Commonwealth entities to maintain effective and efficient use of public resources.</w:t>
            </w: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87"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Description of change:</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11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784" w:type="dxa"/>
            <w:gridSpan w:val="2"/>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xml:space="preserve">The statement was revised to better reflect Finance's purpose. The Public Sector Superannuation and Australian Government Investment Funds programmes, as well as the Financial Framework, Procurement Framework and Coordinated Procurement Contracting Special Account sub-programmes, have been moved from this Outcome to Outcome 2. </w:t>
            </w: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Old Statement:</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450"/>
        </w:trPr>
        <w:tc>
          <w:tcPr>
            <w:tcW w:w="1536" w:type="dxa"/>
            <w:tcBorders>
              <w:top w:val="nil"/>
              <w:left w:val="nil"/>
              <w:bottom w:val="single" w:sz="4" w:space="0" w:color="000000"/>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w:t>
            </w:r>
          </w:p>
        </w:tc>
        <w:tc>
          <w:tcPr>
            <w:tcW w:w="5784" w:type="dxa"/>
            <w:gridSpan w:val="2"/>
            <w:tcBorders>
              <w:top w:val="nil"/>
              <w:left w:val="nil"/>
              <w:bottom w:val="single" w:sz="4" w:space="0" w:color="000000"/>
              <w:right w:val="nil"/>
            </w:tcBorders>
            <w:shd w:val="clear" w:color="auto" w:fill="auto"/>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Informed decisions on Government finances through: policy advice; implementing frameworks; and providing financial advice, guidance and assurance.</w:t>
            </w: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87"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810"/>
        </w:trPr>
        <w:tc>
          <w:tcPr>
            <w:tcW w:w="1536" w:type="dxa"/>
            <w:tcBorders>
              <w:top w:val="single" w:sz="4" w:space="0" w:color="000000"/>
              <w:left w:val="nil"/>
              <w:bottom w:val="nil"/>
              <w:right w:val="nil"/>
            </w:tcBorders>
            <w:shd w:val="clear" w:color="000000" w:fill="D8D8D8"/>
            <w:vAlign w:val="center"/>
            <w:hideMark/>
          </w:tcPr>
          <w:p w:rsidR="003B6D75" w:rsidRPr="003B6D75" w:rsidRDefault="003B6D75" w:rsidP="003B6D75">
            <w:pPr>
              <w:spacing w:after="0" w:line="240" w:lineRule="auto"/>
              <w:jc w:val="center"/>
              <w:rPr>
                <w:rFonts w:ascii="Arial" w:hAnsi="Arial" w:cs="Arial"/>
                <w:b/>
                <w:bCs/>
                <w:color w:val="000000"/>
                <w:sz w:val="16"/>
                <w:szCs w:val="16"/>
              </w:rPr>
            </w:pPr>
            <w:r w:rsidRPr="003B6D75">
              <w:rPr>
                <w:rFonts w:ascii="Arial" w:hAnsi="Arial" w:cs="Arial"/>
                <w:b/>
                <w:bCs/>
                <w:color w:val="000000"/>
                <w:sz w:val="16"/>
                <w:szCs w:val="16"/>
              </w:rPr>
              <w:t>New</w:t>
            </w:r>
            <w:r w:rsidRPr="003B6D75">
              <w:rPr>
                <w:rFonts w:ascii="Arial" w:hAnsi="Arial" w:cs="Arial"/>
                <w:b/>
                <w:bCs/>
                <w:color w:val="000000"/>
                <w:sz w:val="16"/>
                <w:szCs w:val="16"/>
              </w:rPr>
              <w:br/>
              <w:t>Outcome 2</w:t>
            </w:r>
          </w:p>
        </w:tc>
        <w:tc>
          <w:tcPr>
            <w:tcW w:w="5784" w:type="dxa"/>
            <w:gridSpan w:val="2"/>
            <w:tcBorders>
              <w:top w:val="single" w:sz="4" w:space="0" w:color="000000"/>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 xml:space="preserve">Support an efficient and high-performing public sector through providing leadership to Commonwealth entities in ongoing improvements to public sector governance, including through systems, frameworks, policy, </w:t>
            </w:r>
            <w:proofErr w:type="gramStart"/>
            <w:r w:rsidRPr="003B6D75">
              <w:rPr>
                <w:rFonts w:ascii="Arial" w:hAnsi="Arial" w:cs="Arial"/>
                <w:i/>
                <w:iCs/>
                <w:color w:val="000000"/>
                <w:sz w:val="16"/>
                <w:szCs w:val="16"/>
              </w:rPr>
              <w:t>advice</w:t>
            </w:r>
            <w:proofErr w:type="gramEnd"/>
            <w:r w:rsidRPr="003B6D75">
              <w:rPr>
                <w:rFonts w:ascii="Arial" w:hAnsi="Arial" w:cs="Arial"/>
                <w:i/>
                <w:iCs/>
                <w:color w:val="000000"/>
                <w:sz w:val="16"/>
                <w:szCs w:val="16"/>
              </w:rPr>
              <w:t xml:space="preserve"> and service delivery.</w:t>
            </w: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87"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Description of change:</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11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784" w:type="dxa"/>
            <w:gridSpan w:val="2"/>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xml:space="preserve">The statement was revised to better reflect Finance's purpose. The Public Sector Superannuation and Australian Government Investment Funds programmes, as well as the Financial Framework, Procurement Framework and Coordinated Procurement Contracting Special Account sub-programmes, have been moved to this Outcome from Outcome 1. </w:t>
            </w: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Old Statement:</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675"/>
        </w:trPr>
        <w:tc>
          <w:tcPr>
            <w:tcW w:w="1536" w:type="dxa"/>
            <w:tcBorders>
              <w:top w:val="nil"/>
              <w:left w:val="nil"/>
              <w:bottom w:val="single" w:sz="4" w:space="0" w:color="000000"/>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w:t>
            </w:r>
          </w:p>
        </w:tc>
        <w:tc>
          <w:tcPr>
            <w:tcW w:w="5784" w:type="dxa"/>
            <w:gridSpan w:val="2"/>
            <w:tcBorders>
              <w:top w:val="nil"/>
              <w:left w:val="nil"/>
              <w:bottom w:val="single" w:sz="4" w:space="0" w:color="000000"/>
              <w:right w:val="nil"/>
            </w:tcBorders>
            <w:shd w:val="clear" w:color="auto" w:fill="auto"/>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Effective Government policy advice, administration and operations through: oversight of Government Business Enterprises; Commonwealth property management and construction; risk management; and providing ICT services.</w:t>
            </w: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87"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810"/>
        </w:trPr>
        <w:tc>
          <w:tcPr>
            <w:tcW w:w="1536" w:type="dxa"/>
            <w:tcBorders>
              <w:top w:val="single" w:sz="4" w:space="0" w:color="000000"/>
              <w:left w:val="nil"/>
              <w:bottom w:val="nil"/>
              <w:right w:val="nil"/>
            </w:tcBorders>
            <w:shd w:val="clear" w:color="000000" w:fill="D8D8D8"/>
            <w:vAlign w:val="center"/>
            <w:hideMark/>
          </w:tcPr>
          <w:p w:rsidR="003B6D75" w:rsidRPr="003B6D75" w:rsidRDefault="003B6D75" w:rsidP="003B6D75">
            <w:pPr>
              <w:spacing w:after="0" w:line="240" w:lineRule="auto"/>
              <w:jc w:val="center"/>
              <w:rPr>
                <w:rFonts w:ascii="Arial" w:hAnsi="Arial" w:cs="Arial"/>
                <w:b/>
                <w:bCs/>
                <w:color w:val="000000"/>
                <w:sz w:val="16"/>
                <w:szCs w:val="16"/>
              </w:rPr>
            </w:pPr>
            <w:r w:rsidRPr="003B6D75">
              <w:rPr>
                <w:rFonts w:ascii="Arial" w:hAnsi="Arial" w:cs="Arial"/>
                <w:b/>
                <w:bCs/>
                <w:color w:val="000000"/>
                <w:sz w:val="16"/>
                <w:szCs w:val="16"/>
              </w:rPr>
              <w:t>New</w:t>
            </w:r>
            <w:r w:rsidRPr="003B6D75">
              <w:rPr>
                <w:rFonts w:ascii="Arial" w:hAnsi="Arial" w:cs="Arial"/>
                <w:b/>
                <w:bCs/>
                <w:color w:val="000000"/>
                <w:sz w:val="16"/>
                <w:szCs w:val="16"/>
              </w:rPr>
              <w:br/>
              <w:t>Outcome 3</w:t>
            </w:r>
          </w:p>
        </w:tc>
        <w:tc>
          <w:tcPr>
            <w:tcW w:w="5784" w:type="dxa"/>
            <w:gridSpan w:val="2"/>
            <w:tcBorders>
              <w:top w:val="single" w:sz="4" w:space="0" w:color="000000"/>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Support for Parliamentarians and others as required by the Australian Government through the delivery of, and advice on, entitlements and targeted assistance.</w:t>
            </w: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87"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Description of change:</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784"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The statement was revised to better reflect Finance's purpose.</w:t>
            </w: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Old Statement:</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675"/>
        </w:trPr>
        <w:tc>
          <w:tcPr>
            <w:tcW w:w="1536" w:type="dxa"/>
            <w:tcBorders>
              <w:top w:val="nil"/>
              <w:left w:val="nil"/>
              <w:bottom w:val="single" w:sz="4" w:space="0" w:color="000000"/>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w:t>
            </w:r>
          </w:p>
        </w:tc>
        <w:tc>
          <w:tcPr>
            <w:tcW w:w="5784" w:type="dxa"/>
            <w:gridSpan w:val="2"/>
            <w:tcBorders>
              <w:top w:val="nil"/>
              <w:left w:val="nil"/>
              <w:bottom w:val="single" w:sz="4" w:space="0" w:color="000000"/>
              <w:right w:val="nil"/>
            </w:tcBorders>
            <w:shd w:val="clear" w:color="auto" w:fill="auto"/>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Support for Parliamentarians, others with entitlements and organisations as approved by Government through the delivery of entitlements and targeted assistance.</w:t>
            </w:r>
          </w:p>
        </w:tc>
      </w:tr>
    </w:tbl>
    <w:p w:rsidR="00847B16" w:rsidRDefault="00847B16">
      <w:pPr>
        <w:spacing w:after="0" w:line="240" w:lineRule="auto"/>
        <w:jc w:val="left"/>
      </w:pPr>
      <w:r>
        <w:br w:type="page"/>
      </w:r>
    </w:p>
    <w:p w:rsidR="00BE7D58" w:rsidRDefault="00BE7D58" w:rsidP="00847B16">
      <w:pPr>
        <w:pStyle w:val="Heading3"/>
      </w:pPr>
      <w:bookmarkStart w:id="28" w:name="_Toc418003404"/>
      <w:r>
        <w:lastRenderedPageBreak/>
        <w:t xml:space="preserve">Section 2: Outcomes and </w:t>
      </w:r>
      <w:r w:rsidR="00C5028C">
        <w:t>P</w:t>
      </w:r>
      <w:r w:rsidR="0069466B">
        <w:t>lanned</w:t>
      </w:r>
      <w:r w:rsidR="00C5028C">
        <w:t xml:space="preserve"> P</w:t>
      </w:r>
      <w:r>
        <w:t>erformance</w:t>
      </w:r>
      <w:bookmarkEnd w:id="28"/>
    </w:p>
    <w:p w:rsidR="00BE7D58" w:rsidRDefault="00C5028C" w:rsidP="008D2DD0">
      <w:pPr>
        <w:pStyle w:val="Heading4"/>
      </w:pPr>
      <w:bookmarkStart w:id="29" w:name="_Toc416874472"/>
      <w:bookmarkStart w:id="30" w:name="_Toc418003405"/>
      <w:r>
        <w:t>2.1</w:t>
      </w:r>
      <w:r>
        <w:tab/>
        <w:t>Outcomes and Performance I</w:t>
      </w:r>
      <w:r w:rsidR="00BE7D58">
        <w:t>nformation</w:t>
      </w:r>
      <w:bookmarkEnd w:id="29"/>
      <w:bookmarkEnd w:id="30"/>
    </w:p>
    <w:p w:rsidR="00BE7D58" w:rsidRDefault="00BE7D58" w:rsidP="00BE7D58">
      <w:r>
        <w:t xml:space="preserve">Government outcomes are the intended results, impacts or consequences of actions by the </w:t>
      </w:r>
      <w:r w:rsidR="00AE41BB">
        <w:t>g</w:t>
      </w:r>
      <w:r>
        <w:t xml:space="preserve">overnment on the Australian community. </w:t>
      </w:r>
      <w:r w:rsidR="004E62E4" w:rsidRPr="00E95DB8">
        <w:t xml:space="preserve">Commonwealth </w:t>
      </w:r>
      <w:r w:rsidR="00C95850">
        <w:t>programmes</w:t>
      </w:r>
      <w:r w:rsidR="004E62E4" w:rsidRPr="00E95DB8">
        <w:t xml:space="preserve"> are </w:t>
      </w:r>
      <w:r w:rsidR="00CC5AB0" w:rsidRPr="00E95DB8">
        <w:t xml:space="preserve">the primary vehicle </w:t>
      </w:r>
      <w:r w:rsidR="004E62E4" w:rsidRPr="00E95DB8">
        <w:t xml:space="preserve">by which </w:t>
      </w:r>
      <w:r w:rsidR="00AE41BB">
        <w:t>g</w:t>
      </w:r>
      <w:r w:rsidR="004E62E4" w:rsidRPr="00E95DB8">
        <w:t xml:space="preserve">overnment </w:t>
      </w:r>
      <w:r w:rsidR="007E6BBD">
        <w:t xml:space="preserve">entities </w:t>
      </w:r>
      <w:r w:rsidR="004E62E4" w:rsidRPr="00E95DB8">
        <w:t xml:space="preserve">achieve the intended results of their outcome statements. </w:t>
      </w:r>
      <w:r w:rsidR="007E6BBD">
        <w:t xml:space="preserve">Entities </w:t>
      </w:r>
      <w:r w:rsidRPr="00E95DB8">
        <w:t xml:space="preserve">are required to identify the </w:t>
      </w:r>
      <w:r w:rsidR="00C95850">
        <w:t>programmes</w:t>
      </w:r>
      <w:r>
        <w:t xml:space="preserve"> which contribute to </w:t>
      </w:r>
      <w:r w:rsidR="00AE41BB">
        <w:t>g</w:t>
      </w:r>
      <w:r>
        <w:t>overnment outcomes over the Budget and forward years.</w:t>
      </w:r>
    </w:p>
    <w:p w:rsidR="00BE7D58" w:rsidRDefault="00BE7D58" w:rsidP="00BE7D58">
      <w:r>
        <w:t xml:space="preserve">Each outcome is described below together with its related </w:t>
      </w:r>
      <w:r w:rsidR="00C95850">
        <w:t>programmes</w:t>
      </w:r>
      <w:r>
        <w:t xml:space="preserve">, specifying the performance indicators and targets used to assess and monitor the performance of </w:t>
      </w:r>
      <w:r w:rsidR="00885B83">
        <w:t xml:space="preserve">Finance </w:t>
      </w:r>
      <w:r w:rsidR="004831ED">
        <w:t xml:space="preserve">in achieving </w:t>
      </w:r>
      <w:r w:rsidR="00AE41BB">
        <w:t>g</w:t>
      </w:r>
      <w:r>
        <w:t>overnment outcomes.</w:t>
      </w:r>
    </w:p>
    <w:p w:rsidR="00160CDF" w:rsidRDefault="00160CDF" w:rsidP="00160CDF">
      <w:pPr>
        <w:spacing w:after="0" w:line="240" w:lineRule="auto"/>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BE7D58">
        <w:tc>
          <w:tcPr>
            <w:tcW w:w="7713" w:type="dxa"/>
            <w:shd w:val="clear" w:color="auto" w:fill="E6E6E6"/>
          </w:tcPr>
          <w:p w:rsidR="00BE7D58" w:rsidRPr="00AF5179" w:rsidRDefault="00A07DF7" w:rsidP="00160CDF">
            <w:pPr>
              <w:spacing w:before="120" w:after="120" w:line="240" w:lineRule="auto"/>
              <w:ind w:left="1559" w:hanging="1559"/>
              <w:rPr>
                <w:rFonts w:ascii="Arial" w:hAnsi="Arial" w:cs="Arial"/>
                <w:b/>
              </w:rPr>
            </w:pPr>
            <w:r w:rsidRPr="00AF5179">
              <w:rPr>
                <w:rFonts w:ascii="Arial" w:hAnsi="Arial" w:cs="Arial"/>
                <w:b/>
              </w:rPr>
              <w:lastRenderedPageBreak/>
              <w:t>Outcome 1</w:t>
            </w:r>
            <w:r w:rsidRPr="00AF5179">
              <w:rPr>
                <w:rFonts w:ascii="Arial" w:hAnsi="Arial" w:cs="Arial"/>
                <w:b/>
              </w:rPr>
              <w:tab/>
              <w:t>Support sustainable Australian Government finances through providing high quality policy advice and operational support to the government and Commonwealth entities to maintain effective and efficient use of public resources.</w:t>
            </w:r>
          </w:p>
        </w:tc>
      </w:tr>
    </w:tbl>
    <w:p w:rsidR="00451501" w:rsidRDefault="00451501" w:rsidP="00451501">
      <w:pPr>
        <w:pStyle w:val="NoSpacing"/>
      </w:pPr>
    </w:p>
    <w:p w:rsidR="00BE7D58" w:rsidRDefault="00BE7D58" w:rsidP="00E453F8">
      <w:pPr>
        <w:pStyle w:val="Heading5"/>
      </w:pPr>
      <w:r w:rsidRPr="00702A49">
        <w:t>Outcome 1 Strategy</w:t>
      </w:r>
    </w:p>
    <w:p w:rsidR="008972BD" w:rsidRPr="008972BD" w:rsidRDefault="008972BD" w:rsidP="008972BD">
      <w:pPr>
        <w:spacing w:after="0"/>
      </w:pPr>
    </w:p>
    <w:p w:rsidR="00A07DF7" w:rsidRPr="00992F61" w:rsidRDefault="00A07DF7" w:rsidP="00C35E53">
      <w:pPr>
        <w:spacing w:after="120"/>
      </w:pPr>
      <w:r w:rsidRPr="00992F61">
        <w:t>To achieve Outcome 1, Finance:</w:t>
      </w:r>
    </w:p>
    <w:p w:rsidR="00A07DF7" w:rsidRPr="00992F61" w:rsidRDefault="000260CB"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assist</w:t>
      </w:r>
      <w:r w:rsidR="00D87624">
        <w:rPr>
          <w:rFonts w:ascii="Book Antiqua" w:hAnsi="Book Antiqua"/>
          <w:sz w:val="20"/>
          <w:szCs w:val="20"/>
        </w:rPr>
        <w:t>s</w:t>
      </w:r>
      <w:r w:rsidR="00A07DF7" w:rsidRPr="00992F61">
        <w:rPr>
          <w:rFonts w:ascii="Book Antiqua" w:hAnsi="Book Antiqua"/>
          <w:sz w:val="20"/>
          <w:szCs w:val="20"/>
        </w:rPr>
        <w:t xml:space="preserve"> the </w:t>
      </w:r>
      <w:r>
        <w:rPr>
          <w:rFonts w:ascii="Book Antiqua" w:hAnsi="Book Antiqua"/>
          <w:sz w:val="20"/>
          <w:szCs w:val="20"/>
        </w:rPr>
        <w:t xml:space="preserve">government </w:t>
      </w:r>
      <w:r w:rsidR="00A07DF7" w:rsidRPr="00992F61">
        <w:rPr>
          <w:rFonts w:ascii="Book Antiqua" w:hAnsi="Book Antiqua"/>
          <w:sz w:val="20"/>
          <w:szCs w:val="20"/>
        </w:rPr>
        <w:t xml:space="preserve">to develop and deliver its fiscal and economic policies by producing the Budget and the government’s financial statements; and </w:t>
      </w:r>
    </w:p>
    <w:p w:rsidR="00A07DF7" w:rsidRPr="00992F61" w:rsidRDefault="00A07DF7" w:rsidP="00282943">
      <w:pPr>
        <w:pStyle w:val="ListParagraph"/>
        <w:numPr>
          <w:ilvl w:val="0"/>
          <w:numId w:val="9"/>
        </w:numPr>
        <w:autoSpaceDE w:val="0"/>
        <w:autoSpaceDN w:val="0"/>
        <w:spacing w:after="0" w:line="240" w:lineRule="auto"/>
        <w:ind w:left="567" w:hanging="357"/>
        <w:contextualSpacing w:val="0"/>
        <w:jc w:val="both"/>
        <w:rPr>
          <w:rFonts w:ascii="Book Antiqua" w:hAnsi="Book Antiqua"/>
          <w:sz w:val="20"/>
          <w:szCs w:val="20"/>
        </w:rPr>
      </w:pPr>
      <w:proofErr w:type="gramStart"/>
      <w:r w:rsidRPr="00992F61">
        <w:rPr>
          <w:rFonts w:ascii="Book Antiqua" w:hAnsi="Book Antiqua"/>
          <w:sz w:val="20"/>
          <w:szCs w:val="20"/>
        </w:rPr>
        <w:t>contributes</w:t>
      </w:r>
      <w:proofErr w:type="gramEnd"/>
      <w:r w:rsidRPr="00992F61">
        <w:rPr>
          <w:rFonts w:ascii="Book Antiqua" w:hAnsi="Book Antiqua"/>
          <w:sz w:val="20"/>
          <w:szCs w:val="20"/>
        </w:rPr>
        <w:t xml:space="preserve"> to the government’s reform agenda by seeking to improve the effectiveness and efficiency of the use of public resources.</w:t>
      </w:r>
    </w:p>
    <w:p w:rsidR="005C04F7" w:rsidRPr="005C04F7" w:rsidRDefault="005C04F7" w:rsidP="005C04F7">
      <w:pPr>
        <w:pStyle w:val="NoSpacing"/>
      </w:pPr>
    </w:p>
    <w:p w:rsidR="00BE7D58" w:rsidRDefault="00BE7D58" w:rsidP="00E453F8">
      <w:pPr>
        <w:pStyle w:val="Heading5"/>
      </w:pPr>
      <w:r w:rsidRPr="00B8742F">
        <w:t xml:space="preserve">Outcome </w:t>
      </w:r>
      <w:r w:rsidR="005222CC" w:rsidRPr="00B8742F">
        <w:t>E</w:t>
      </w:r>
      <w:r w:rsidR="00C431A3" w:rsidRPr="00B8742F">
        <w:t xml:space="preserve">xpense </w:t>
      </w:r>
      <w:r w:rsidR="00D31052" w:rsidRPr="00B8742F">
        <w:t>Statement</w:t>
      </w:r>
    </w:p>
    <w:p w:rsidR="008972BD" w:rsidRPr="008972BD" w:rsidRDefault="008972BD" w:rsidP="008972BD">
      <w:pPr>
        <w:spacing w:after="0"/>
      </w:pPr>
    </w:p>
    <w:p w:rsidR="00BE7D58" w:rsidRDefault="00BE7D58" w:rsidP="00C35E53">
      <w:r w:rsidRPr="00C5028C">
        <w:t>Table 2.1</w:t>
      </w:r>
      <w:r w:rsidR="00C5028C">
        <w:t>.1</w:t>
      </w:r>
      <w:r>
        <w:t xml:space="preserve"> provides an overview of the total expenses for </w:t>
      </w:r>
      <w:r w:rsidR="00D64BE6">
        <w:t>O</w:t>
      </w:r>
      <w:r>
        <w:t xml:space="preserve">utcome </w:t>
      </w:r>
      <w:r w:rsidR="00885B83" w:rsidRPr="00885B83">
        <w:t>1,</w:t>
      </w:r>
      <w:r>
        <w:t xml:space="preserve"> by </w:t>
      </w:r>
      <w:r w:rsidR="00E121DD">
        <w:t>programme</w:t>
      </w:r>
      <w:r>
        <w:t>.</w:t>
      </w:r>
    </w:p>
    <w:p w:rsidR="00BE7D58" w:rsidRPr="003C54F5" w:rsidRDefault="00C431A3" w:rsidP="00E453F8">
      <w:pPr>
        <w:pStyle w:val="Heading5"/>
      </w:pPr>
      <w:r w:rsidRPr="003C54F5">
        <w:t>Table 2.1</w:t>
      </w:r>
      <w:r w:rsidR="003F3BFC">
        <w:t>.1</w:t>
      </w:r>
      <w:r w:rsidRPr="003C54F5">
        <w:t xml:space="preserve">: Budgeted </w:t>
      </w:r>
      <w:r w:rsidR="005222CC" w:rsidRPr="003C54F5">
        <w:t>E</w:t>
      </w:r>
      <w:r w:rsidRPr="003C54F5">
        <w:t xml:space="preserve">xpenses </w:t>
      </w:r>
      <w:r w:rsidR="00BE7D58" w:rsidRPr="003C54F5">
        <w:t>for Outcome 1</w:t>
      </w:r>
    </w:p>
    <w:tbl>
      <w:tblPr>
        <w:tblW w:w="7140" w:type="dxa"/>
        <w:tblInd w:w="93" w:type="dxa"/>
        <w:tblLook w:val="04A0"/>
      </w:tblPr>
      <w:tblGrid>
        <w:gridCol w:w="4900"/>
        <w:gridCol w:w="1120"/>
        <w:gridCol w:w="1120"/>
      </w:tblGrid>
      <w:tr w:rsidR="003B6D75" w:rsidRPr="003B6D75" w:rsidTr="003B6D75">
        <w:trPr>
          <w:trHeight w:val="225"/>
        </w:trPr>
        <w:tc>
          <w:tcPr>
            <w:tcW w:w="490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 xml:space="preserve">Outcome 1: </w:t>
            </w:r>
            <w:r w:rsidRPr="003B6D75">
              <w:rPr>
                <w:rFonts w:ascii="Arial" w:hAnsi="Arial" w:cs="Arial"/>
                <w:b/>
                <w:bCs/>
                <w:sz w:val="16"/>
                <w:szCs w:val="16"/>
              </w:rPr>
              <w:t xml:space="preserve">Support sustainable Australian Government </w:t>
            </w:r>
          </w:p>
        </w:tc>
        <w:tc>
          <w:tcPr>
            <w:tcW w:w="112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2015-16</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finances through providing high quality policy advice and</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Estimated</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 xml:space="preserve">operational support to the government and </w:t>
            </w:r>
          </w:p>
        </w:tc>
        <w:tc>
          <w:tcPr>
            <w:tcW w:w="1120" w:type="dxa"/>
            <w:tcBorders>
              <w:top w:val="nil"/>
              <w:left w:val="nil"/>
              <w:bottom w:val="nil"/>
              <w:right w:val="nil"/>
            </w:tcBorders>
            <w:shd w:val="clear" w:color="000000" w:fill="FFFFFF"/>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expenses</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 xml:space="preserve">Commonwealth entities to maintain effective and </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proofErr w:type="gramStart"/>
            <w:r w:rsidRPr="003B6D75">
              <w:rPr>
                <w:rFonts w:ascii="Arial" w:hAnsi="Arial" w:cs="Arial"/>
                <w:b/>
                <w:bCs/>
                <w:color w:val="000000"/>
                <w:sz w:val="16"/>
                <w:szCs w:val="16"/>
              </w:rPr>
              <w:t>efficient</w:t>
            </w:r>
            <w:proofErr w:type="gramEnd"/>
            <w:r w:rsidRPr="003B6D75">
              <w:rPr>
                <w:rFonts w:ascii="Arial" w:hAnsi="Arial" w:cs="Arial"/>
                <w:b/>
                <w:bCs/>
                <w:color w:val="000000"/>
                <w:sz w:val="16"/>
                <w:szCs w:val="16"/>
              </w:rPr>
              <w:t xml:space="preserve"> use of public resources.</w:t>
            </w:r>
          </w:p>
        </w:tc>
        <w:tc>
          <w:tcPr>
            <w:tcW w:w="11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c>
          <w:tcPr>
            <w:tcW w:w="112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r>
      <w:tr w:rsidR="003B6D75" w:rsidRPr="003B6D75" w:rsidTr="003B6D75">
        <w:trPr>
          <w:trHeight w:val="60"/>
        </w:trPr>
        <w:tc>
          <w:tcPr>
            <w:tcW w:w="490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Programme 1.1: Budget and Financial Management</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Departmental appropriation</w:t>
            </w:r>
            <w:r w:rsidRPr="003B6D75">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Budget Advice</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50,658</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49,739</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Financial Reporting</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26,625</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29,880</w:t>
            </w:r>
          </w:p>
        </w:tc>
      </w:tr>
      <w:tr w:rsidR="003B6D75" w:rsidRPr="003B6D75" w:rsidTr="003B6D75">
        <w:trPr>
          <w:trHeight w:val="24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Expenses not requiring appropriation in the Budget year</w:t>
            </w:r>
            <w:r w:rsidRPr="003B6D75">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3,563</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11,293</w:t>
            </w:r>
          </w:p>
        </w:tc>
      </w:tr>
      <w:tr w:rsidR="003B6D75" w:rsidRPr="003B6D75" w:rsidTr="003B6D75">
        <w:trPr>
          <w:trHeight w:val="6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for Programme 1.1</w:t>
            </w:r>
          </w:p>
        </w:tc>
        <w:tc>
          <w:tcPr>
            <w:tcW w:w="11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color w:val="000000"/>
                <w:sz w:val="16"/>
                <w:szCs w:val="16"/>
              </w:rPr>
            </w:pPr>
            <w:r w:rsidRPr="003B6D75">
              <w:rPr>
                <w:rFonts w:ascii="Arial" w:hAnsi="Arial" w:cs="Arial"/>
                <w:b/>
                <w:bCs/>
                <w:color w:val="000000"/>
                <w:sz w:val="16"/>
                <w:szCs w:val="16"/>
              </w:rPr>
              <w:t>80,846</w:t>
            </w:r>
          </w:p>
        </w:tc>
        <w:tc>
          <w:tcPr>
            <w:tcW w:w="112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color w:val="000000"/>
                <w:sz w:val="16"/>
                <w:szCs w:val="16"/>
              </w:rPr>
            </w:pPr>
            <w:r w:rsidRPr="003B6D75">
              <w:rPr>
                <w:rFonts w:ascii="Arial" w:hAnsi="Arial" w:cs="Arial"/>
                <w:b/>
                <w:bCs/>
                <w:color w:val="000000"/>
                <w:sz w:val="16"/>
                <w:szCs w:val="16"/>
              </w:rPr>
              <w:t>90,912</w:t>
            </w:r>
          </w:p>
        </w:tc>
      </w:tr>
      <w:tr w:rsidR="003B6D75" w:rsidRPr="003B6D75" w:rsidTr="003B6D75">
        <w:trPr>
          <w:trHeight w:val="6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Outcome 1 Totals by appropriation type</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Departmental appropriation</w:t>
            </w:r>
            <w:r w:rsidRPr="003B6D75">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77,283</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79,619</w:t>
            </w:r>
          </w:p>
        </w:tc>
      </w:tr>
      <w:tr w:rsidR="003B6D75" w:rsidRPr="003B6D75" w:rsidTr="003B6D75">
        <w:trPr>
          <w:trHeight w:val="24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Expenses not requiring appropriation in the Budget year</w:t>
            </w:r>
            <w:r w:rsidRPr="003B6D75">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3,563</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11,293</w:t>
            </w:r>
          </w:p>
        </w:tc>
      </w:tr>
      <w:tr w:rsidR="003B6D75" w:rsidRPr="003B6D75" w:rsidTr="003B6D75">
        <w:trPr>
          <w:trHeight w:val="6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color w:val="000000"/>
                <w:sz w:val="16"/>
                <w:szCs w:val="16"/>
              </w:rPr>
            </w:pPr>
          </w:p>
        </w:tc>
        <w:tc>
          <w:tcPr>
            <w:tcW w:w="11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 </w:t>
            </w:r>
          </w:p>
        </w:tc>
        <w:tc>
          <w:tcPr>
            <w:tcW w:w="112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 </w:t>
            </w:r>
          </w:p>
        </w:tc>
      </w:tr>
      <w:tr w:rsidR="003B6D75" w:rsidRPr="003B6D75" w:rsidTr="003B6D75">
        <w:trPr>
          <w:trHeight w:val="225"/>
        </w:trPr>
        <w:tc>
          <w:tcPr>
            <w:tcW w:w="49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Total expenses for Outcome 1</w:t>
            </w:r>
          </w:p>
        </w:tc>
        <w:tc>
          <w:tcPr>
            <w:tcW w:w="11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color w:val="000000"/>
                <w:sz w:val="16"/>
                <w:szCs w:val="16"/>
              </w:rPr>
            </w:pPr>
            <w:r w:rsidRPr="003B6D75">
              <w:rPr>
                <w:rFonts w:ascii="Arial" w:hAnsi="Arial" w:cs="Arial"/>
                <w:b/>
                <w:bCs/>
                <w:color w:val="000000"/>
                <w:sz w:val="16"/>
                <w:szCs w:val="16"/>
              </w:rPr>
              <w:t>80,846</w:t>
            </w:r>
          </w:p>
        </w:tc>
        <w:tc>
          <w:tcPr>
            <w:tcW w:w="112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color w:val="000000"/>
                <w:sz w:val="16"/>
                <w:szCs w:val="16"/>
              </w:rPr>
            </w:pPr>
            <w:r w:rsidRPr="003B6D75">
              <w:rPr>
                <w:rFonts w:ascii="Arial" w:hAnsi="Arial" w:cs="Arial"/>
                <w:b/>
                <w:bCs/>
                <w:color w:val="000000"/>
                <w:sz w:val="16"/>
                <w:szCs w:val="16"/>
              </w:rPr>
              <w:t>90,912</w:t>
            </w:r>
          </w:p>
        </w:tc>
      </w:tr>
      <w:tr w:rsidR="003B6D75" w:rsidRPr="003B6D75" w:rsidTr="003B6D75">
        <w:trPr>
          <w:trHeight w:val="6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r>
      <w:tr w:rsidR="003B6D75" w:rsidRPr="003B6D75" w:rsidTr="003B6D75">
        <w:trPr>
          <w:trHeight w:val="225"/>
        </w:trPr>
        <w:tc>
          <w:tcPr>
            <w:tcW w:w="490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r>
      <w:tr w:rsidR="003B6D75" w:rsidRPr="003B6D75" w:rsidTr="003B6D75">
        <w:trPr>
          <w:trHeight w:val="225"/>
        </w:trPr>
        <w:tc>
          <w:tcPr>
            <w:tcW w:w="4900" w:type="dxa"/>
            <w:tcBorders>
              <w:top w:val="nil"/>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Average Staffing Level (number)</w:t>
            </w:r>
          </w:p>
        </w:tc>
        <w:tc>
          <w:tcPr>
            <w:tcW w:w="1120" w:type="dxa"/>
            <w:tcBorders>
              <w:top w:val="single" w:sz="4" w:space="0" w:color="000000"/>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391</w:t>
            </w:r>
          </w:p>
        </w:tc>
        <w:tc>
          <w:tcPr>
            <w:tcW w:w="1120" w:type="dxa"/>
            <w:tcBorders>
              <w:top w:val="single" w:sz="4" w:space="0" w:color="000000"/>
              <w:left w:val="nil"/>
              <w:bottom w:val="single" w:sz="4" w:space="0" w:color="000000"/>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396</w:t>
            </w:r>
          </w:p>
        </w:tc>
      </w:tr>
    </w:tbl>
    <w:p w:rsidR="00686B72" w:rsidRPr="00697CAE" w:rsidRDefault="00686B72" w:rsidP="00697CAE">
      <w:pPr>
        <w:spacing w:after="0" w:line="240" w:lineRule="auto"/>
        <w:rPr>
          <w:sz w:val="6"/>
          <w:szCs w:val="6"/>
        </w:rPr>
      </w:pPr>
    </w:p>
    <w:p w:rsidR="006070EA" w:rsidRPr="004637B1" w:rsidRDefault="004E2825" w:rsidP="0003235D">
      <w:pPr>
        <w:pStyle w:val="ListParagraph"/>
        <w:numPr>
          <w:ilvl w:val="0"/>
          <w:numId w:val="17"/>
        </w:numPr>
        <w:spacing w:after="60" w:line="240" w:lineRule="auto"/>
        <w:ind w:left="426" w:hanging="426"/>
        <w:contextualSpacing w:val="0"/>
        <w:outlineLvl w:val="6"/>
        <w:rPr>
          <w:rFonts w:ascii="Arial" w:eastAsia="Times New Roman" w:hAnsi="Arial" w:cs="Arial"/>
          <w:sz w:val="15"/>
          <w:szCs w:val="15"/>
          <w:lang w:val="en-AU" w:eastAsia="en-AU"/>
        </w:rPr>
      </w:pPr>
      <w:r w:rsidRPr="004637B1">
        <w:rPr>
          <w:rFonts w:ascii="Arial" w:eastAsia="Times New Roman" w:hAnsi="Arial" w:cs="Arial"/>
          <w:sz w:val="15"/>
          <w:szCs w:val="15"/>
          <w:lang w:val="en-AU" w:eastAsia="en-AU"/>
        </w:rPr>
        <w:t xml:space="preserve">Departmental Appropriation combines </w:t>
      </w:r>
      <w:r w:rsidR="006854CE" w:rsidRPr="004637B1">
        <w:rPr>
          <w:rFonts w:ascii="Arial" w:eastAsia="Times New Roman" w:hAnsi="Arial" w:cs="Arial"/>
          <w:sz w:val="15"/>
          <w:szCs w:val="15"/>
          <w:lang w:val="en-AU" w:eastAsia="en-AU"/>
        </w:rPr>
        <w:t>‘</w:t>
      </w:r>
      <w:r w:rsidRPr="004637B1">
        <w:rPr>
          <w:rFonts w:ascii="Arial" w:eastAsia="Times New Roman" w:hAnsi="Arial" w:cs="Arial"/>
          <w:sz w:val="15"/>
          <w:szCs w:val="15"/>
          <w:lang w:val="en-AU" w:eastAsia="en-AU"/>
        </w:rPr>
        <w:t>Ordinary annual services (Appropriation Bill No. 1)</w:t>
      </w:r>
      <w:r w:rsidR="006854CE" w:rsidRPr="004637B1">
        <w:rPr>
          <w:rFonts w:ascii="Arial" w:eastAsia="Times New Roman" w:hAnsi="Arial" w:cs="Arial"/>
          <w:sz w:val="15"/>
          <w:szCs w:val="15"/>
          <w:lang w:val="en-AU" w:eastAsia="en-AU"/>
        </w:rPr>
        <w:t>’</w:t>
      </w:r>
      <w:r w:rsidRPr="004637B1">
        <w:rPr>
          <w:rFonts w:ascii="Arial" w:eastAsia="Times New Roman" w:hAnsi="Arial" w:cs="Arial"/>
          <w:sz w:val="15"/>
          <w:szCs w:val="15"/>
          <w:lang w:val="en-AU" w:eastAsia="en-AU"/>
        </w:rPr>
        <w:t xml:space="preserve"> and </w:t>
      </w:r>
      <w:r w:rsidR="005E1EF1">
        <w:rPr>
          <w:rFonts w:ascii="Arial" w:eastAsia="Times New Roman" w:hAnsi="Arial" w:cs="Arial"/>
          <w:sz w:val="15"/>
          <w:szCs w:val="15"/>
          <w:lang w:val="en-AU" w:eastAsia="en-AU"/>
        </w:rPr>
        <w:t>‘s.74 Retained revenue receipts’</w:t>
      </w:r>
      <w:r w:rsidR="006070EA" w:rsidRPr="004637B1">
        <w:rPr>
          <w:rFonts w:ascii="Arial" w:eastAsia="Times New Roman" w:hAnsi="Arial" w:cs="Arial"/>
          <w:sz w:val="15"/>
          <w:szCs w:val="15"/>
          <w:lang w:val="en-AU" w:eastAsia="en-AU"/>
        </w:rPr>
        <w:t>.</w:t>
      </w:r>
      <w:bookmarkStart w:id="31" w:name="OLE_LINK3"/>
    </w:p>
    <w:p w:rsidR="006D62BE" w:rsidRPr="000D2E3D" w:rsidRDefault="00C43756" w:rsidP="005E1EF1">
      <w:pPr>
        <w:pStyle w:val="ListParagraph"/>
        <w:numPr>
          <w:ilvl w:val="0"/>
          <w:numId w:val="17"/>
        </w:numPr>
        <w:spacing w:after="0" w:line="240" w:lineRule="auto"/>
        <w:ind w:left="425" w:hanging="425"/>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bookmarkEnd w:id="31"/>
    <w:p w:rsidR="00006AE4" w:rsidRDefault="00006AE4" w:rsidP="00581D30">
      <w:pPr>
        <w:pStyle w:val="Source"/>
      </w:pPr>
    </w:p>
    <w:p w:rsidR="00581D30" w:rsidRPr="005E1EF1" w:rsidRDefault="00581D30" w:rsidP="00581D30">
      <w:pPr>
        <w:pStyle w:val="Source"/>
        <w:rPr>
          <w:sz w:val="15"/>
          <w:szCs w:val="15"/>
        </w:rPr>
      </w:pPr>
      <w:r w:rsidRPr="005E1EF1">
        <w:rPr>
          <w:sz w:val="15"/>
          <w:szCs w:val="15"/>
        </w:rPr>
        <w:lastRenderedPageBreak/>
        <w:t>Note: Departmental appropriation splits and totals are indicative estimates and may change in the course of the budget year as government priorities change.</w:t>
      </w:r>
    </w:p>
    <w:p w:rsidR="00BE7D58" w:rsidRPr="005835E9" w:rsidRDefault="000A24C4" w:rsidP="005835E9">
      <w:pPr>
        <w:spacing w:before="240" w:line="240" w:lineRule="auto"/>
        <w:jc w:val="left"/>
        <w:rPr>
          <w:rFonts w:ascii="Arial Bold" w:hAnsi="Arial Bold" w:cs="Arial"/>
          <w:b/>
          <w:smallCaps/>
          <w:sz w:val="26"/>
          <w:szCs w:val="26"/>
        </w:rPr>
      </w:pPr>
      <w:r>
        <w:br w:type="page"/>
      </w:r>
      <w:bookmarkStart w:id="32" w:name="_Toc416874473"/>
      <w:r w:rsidR="00885B83" w:rsidRPr="005835E9">
        <w:rPr>
          <w:rFonts w:ascii="Arial Bold" w:hAnsi="Arial Bold" w:cs="Arial"/>
          <w:b/>
          <w:smallCaps/>
          <w:sz w:val="26"/>
          <w:szCs w:val="26"/>
        </w:rPr>
        <w:lastRenderedPageBreak/>
        <w:t>Contributions to Outcome 1</w:t>
      </w:r>
      <w:bookmarkEnd w:id="3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BE7D58">
        <w:tc>
          <w:tcPr>
            <w:tcW w:w="7713" w:type="dxa"/>
            <w:shd w:val="clear" w:color="auto" w:fill="E6E6E6"/>
          </w:tcPr>
          <w:p w:rsidR="00BE7D58" w:rsidRDefault="00E121DD" w:rsidP="00926D0F">
            <w:pPr>
              <w:pStyle w:val="TableColumnHeadingLeft"/>
            </w:pPr>
            <w:r>
              <w:t>Programme</w:t>
            </w:r>
            <w:r w:rsidR="00BE7D58">
              <w:t xml:space="preserve"> 1.</w:t>
            </w:r>
            <w:r w:rsidR="00885B83">
              <w:t>1</w:t>
            </w:r>
            <w:r w:rsidR="00BE7D58">
              <w:t xml:space="preserve">: </w:t>
            </w:r>
            <w:r w:rsidR="00885B83">
              <w:t>Budget and Financial Management</w:t>
            </w:r>
          </w:p>
        </w:tc>
      </w:tr>
    </w:tbl>
    <w:p w:rsidR="00FD5958" w:rsidRDefault="00FD5958" w:rsidP="00581D30">
      <w:pPr>
        <w:pStyle w:val="NoSpacing"/>
      </w:pPr>
    </w:p>
    <w:p w:rsidR="005041F8" w:rsidRPr="003C54F5" w:rsidRDefault="005041F8" w:rsidP="00E453F8">
      <w:pPr>
        <w:pStyle w:val="Heading5"/>
      </w:pPr>
      <w:r w:rsidRPr="003C54F5">
        <w:t>Programme 1.1 Objective</w:t>
      </w:r>
    </w:p>
    <w:p w:rsidR="005041F8" w:rsidRPr="00F00728" w:rsidRDefault="005041F8" w:rsidP="005041F8">
      <w:pPr>
        <w:pStyle w:val="TableTextLeft"/>
        <w:spacing w:before="40" w:after="0"/>
        <w:rPr>
          <w:rFonts w:ascii="Book Antiqua" w:hAnsi="Book Antiqua"/>
          <w:b/>
          <w:sz w:val="20"/>
        </w:rPr>
      </w:pPr>
    </w:p>
    <w:p w:rsidR="005041F8" w:rsidRPr="00F00728" w:rsidRDefault="005041F8" w:rsidP="00CA17B1">
      <w:pPr>
        <w:spacing w:after="120" w:line="240" w:lineRule="auto"/>
      </w:pPr>
      <w:r w:rsidRPr="00F00728">
        <w:t>This programme contributes to the outcome through:</w:t>
      </w:r>
    </w:p>
    <w:p w:rsidR="005041F8" w:rsidRPr="00415543"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advising the </w:t>
      </w:r>
      <w:r w:rsidR="00536008">
        <w:rPr>
          <w:rFonts w:ascii="Book Antiqua" w:hAnsi="Book Antiqua"/>
          <w:sz w:val="20"/>
          <w:szCs w:val="20"/>
        </w:rPr>
        <w:t>Minister for Finance (</w:t>
      </w:r>
      <w:r w:rsidRPr="00F00728">
        <w:rPr>
          <w:rFonts w:ascii="Book Antiqua" w:hAnsi="Book Antiqua"/>
          <w:sz w:val="20"/>
          <w:szCs w:val="20"/>
        </w:rPr>
        <w:t>Finance Minister</w:t>
      </w:r>
      <w:r w:rsidR="00536008">
        <w:rPr>
          <w:rFonts w:ascii="Book Antiqua" w:hAnsi="Book Antiqua"/>
          <w:sz w:val="20"/>
          <w:szCs w:val="20"/>
        </w:rPr>
        <w:t>)</w:t>
      </w:r>
      <w:r w:rsidRPr="00F00728">
        <w:rPr>
          <w:rFonts w:ascii="Book Antiqua" w:hAnsi="Book Antiqua"/>
          <w:sz w:val="20"/>
          <w:szCs w:val="20"/>
        </w:rPr>
        <w:t xml:space="preserve"> and the Expenditure Review Committee (ERC) of Cabinet on fiscal and economic policies and related matters so they can </w:t>
      </w:r>
      <w:r w:rsidRPr="00415543">
        <w:rPr>
          <w:rFonts w:ascii="Book Antiqua" w:hAnsi="Book Antiqua"/>
          <w:sz w:val="20"/>
          <w:szCs w:val="20"/>
        </w:rPr>
        <w:t xml:space="preserve">make informed resource allocation decisions; </w:t>
      </w:r>
    </w:p>
    <w:p w:rsidR="00C420C5"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15543">
        <w:rPr>
          <w:rFonts w:ascii="Book Antiqua" w:hAnsi="Book Antiqua"/>
          <w:sz w:val="20"/>
          <w:szCs w:val="20"/>
        </w:rPr>
        <w:t xml:space="preserve">supporting the Finance Minister in meeting financial reporting responsibilities under the </w:t>
      </w:r>
      <w:r w:rsidR="00670296">
        <w:rPr>
          <w:rFonts w:ascii="Book Antiqua" w:hAnsi="Book Antiqua"/>
          <w:sz w:val="20"/>
          <w:szCs w:val="20"/>
        </w:rPr>
        <w:t xml:space="preserve">PGPA </w:t>
      </w:r>
      <w:r w:rsidR="00670296" w:rsidRPr="00670296">
        <w:rPr>
          <w:rFonts w:ascii="Book Antiqua" w:hAnsi="Book Antiqua"/>
          <w:sz w:val="20"/>
          <w:szCs w:val="20"/>
        </w:rPr>
        <w:t>A</w:t>
      </w:r>
      <w:r w:rsidRPr="00670296">
        <w:rPr>
          <w:rFonts w:ascii="Book Antiqua" w:hAnsi="Book Antiqua"/>
          <w:sz w:val="20"/>
          <w:szCs w:val="20"/>
        </w:rPr>
        <w:t>ct</w:t>
      </w:r>
      <w:r w:rsidRPr="00415543">
        <w:rPr>
          <w:rFonts w:ascii="Book Antiqua" w:hAnsi="Book Antiqua"/>
          <w:sz w:val="20"/>
          <w:szCs w:val="20"/>
        </w:rPr>
        <w:t xml:space="preserve">, the </w:t>
      </w:r>
      <w:r w:rsidRPr="00FF76AC">
        <w:rPr>
          <w:rFonts w:ascii="Book Antiqua" w:hAnsi="Book Antiqua"/>
          <w:i/>
          <w:sz w:val="20"/>
          <w:szCs w:val="20"/>
        </w:rPr>
        <w:t>Charter of Budget Honesty Act 1998</w:t>
      </w:r>
      <w:r w:rsidRPr="00415543">
        <w:rPr>
          <w:rFonts w:ascii="Book Antiqua" w:hAnsi="Book Antiqua"/>
          <w:sz w:val="20"/>
          <w:szCs w:val="20"/>
        </w:rPr>
        <w:t xml:space="preserve"> and the Annual Appropriation Acts; and</w:t>
      </w:r>
    </w:p>
    <w:p w:rsidR="005041F8" w:rsidRPr="005041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415543">
        <w:rPr>
          <w:rFonts w:ascii="Book Antiqua" w:hAnsi="Book Antiqua"/>
          <w:sz w:val="20"/>
          <w:szCs w:val="20"/>
        </w:rPr>
        <w:t>supporting</w:t>
      </w:r>
      <w:proofErr w:type="gramEnd"/>
      <w:r w:rsidRPr="00415543">
        <w:rPr>
          <w:rFonts w:ascii="Book Antiqua" w:hAnsi="Book Antiqua"/>
          <w:sz w:val="20"/>
          <w:szCs w:val="20"/>
        </w:rPr>
        <w:t xml:space="preserve"> the delivery of the Budget.</w:t>
      </w:r>
    </w:p>
    <w:p w:rsidR="005041F8" w:rsidRDefault="005041F8" w:rsidP="00581D30">
      <w:pPr>
        <w:pStyle w:val="NoSpacing"/>
      </w:pPr>
    </w:p>
    <w:p w:rsidR="005041F8" w:rsidRPr="003C54F5" w:rsidRDefault="005041F8" w:rsidP="00E453F8">
      <w:pPr>
        <w:pStyle w:val="Heading5"/>
      </w:pPr>
      <w:r w:rsidRPr="003C54F5">
        <w:t>Programme 1.1 Expenses</w:t>
      </w:r>
    </w:p>
    <w:tbl>
      <w:tblPr>
        <w:tblW w:w="7240" w:type="dxa"/>
        <w:tblInd w:w="93" w:type="dxa"/>
        <w:tblLook w:val="04A0"/>
      </w:tblPr>
      <w:tblGrid>
        <w:gridCol w:w="3240"/>
        <w:gridCol w:w="928"/>
        <w:gridCol w:w="820"/>
        <w:gridCol w:w="821"/>
        <w:gridCol w:w="821"/>
        <w:gridCol w:w="821"/>
      </w:tblGrid>
      <w:tr w:rsidR="003B6D75" w:rsidRPr="003B6D75" w:rsidTr="003B6D75">
        <w:trPr>
          <w:trHeight w:val="225"/>
        </w:trPr>
        <w:tc>
          <w:tcPr>
            <w:tcW w:w="3240" w:type="dxa"/>
            <w:tcBorders>
              <w:top w:val="single" w:sz="4" w:space="0" w:color="auto"/>
              <w:left w:val="nil"/>
              <w:bottom w:val="nil"/>
              <w:right w:val="nil"/>
            </w:tcBorders>
            <w:shd w:val="clear" w:color="auto" w:fill="auto"/>
            <w:noWrap/>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 </w:t>
            </w:r>
          </w:p>
        </w:tc>
        <w:tc>
          <w:tcPr>
            <w:tcW w:w="84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2014-15</w:t>
            </w:r>
          </w:p>
        </w:tc>
        <w:tc>
          <w:tcPr>
            <w:tcW w:w="82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2015-16</w:t>
            </w:r>
          </w:p>
        </w:tc>
        <w:tc>
          <w:tcPr>
            <w:tcW w:w="7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2016-17</w:t>
            </w:r>
          </w:p>
        </w:tc>
        <w:tc>
          <w:tcPr>
            <w:tcW w:w="7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2017-18</w:t>
            </w:r>
          </w:p>
        </w:tc>
        <w:tc>
          <w:tcPr>
            <w:tcW w:w="7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2018-19</w:t>
            </w:r>
          </w:p>
        </w:tc>
      </w:tr>
      <w:tr w:rsidR="003B6D75" w:rsidRPr="003B6D75" w:rsidTr="003B6D75">
        <w:trPr>
          <w:trHeight w:val="225"/>
        </w:trPr>
        <w:tc>
          <w:tcPr>
            <w:tcW w:w="3240"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Forward</w:t>
            </w:r>
          </w:p>
        </w:tc>
      </w:tr>
      <w:tr w:rsidR="003B6D75" w:rsidRPr="003B6D75" w:rsidTr="003B6D75">
        <w:trPr>
          <w:trHeight w:val="225"/>
        </w:trPr>
        <w:tc>
          <w:tcPr>
            <w:tcW w:w="3240"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FFFFFF"/>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actual</w:t>
            </w:r>
          </w:p>
        </w:tc>
        <w:tc>
          <w:tcPr>
            <w:tcW w:w="82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r>
      <w:tr w:rsidR="003B6D75" w:rsidRPr="003B6D75" w:rsidTr="003B6D75">
        <w:trPr>
          <w:trHeight w:val="225"/>
        </w:trPr>
        <w:tc>
          <w:tcPr>
            <w:tcW w:w="3240"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r>
      <w:tr w:rsidR="003B6D75" w:rsidRPr="003B6D75" w:rsidTr="003B6D75">
        <w:trPr>
          <w:trHeight w:val="225"/>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Annual departmental expenses:</w:t>
            </w: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80" w:type="dxa"/>
            <w:tcBorders>
              <w:top w:val="nil"/>
              <w:left w:val="nil"/>
              <w:bottom w:val="nil"/>
              <w:right w:val="nil"/>
            </w:tcBorders>
            <w:shd w:val="clear" w:color="auto" w:fill="auto"/>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hideMark/>
          </w:tcPr>
          <w:p w:rsidR="003B6D75" w:rsidRPr="003B6D75" w:rsidRDefault="003B6D75" w:rsidP="003B6D75">
            <w:pPr>
              <w:spacing w:after="0" w:line="240" w:lineRule="auto"/>
              <w:jc w:val="right"/>
              <w:rPr>
                <w:rFonts w:ascii="Arial" w:hAnsi="Arial" w:cs="Arial"/>
                <w:sz w:val="16"/>
                <w:szCs w:val="16"/>
              </w:rPr>
            </w:pPr>
          </w:p>
        </w:tc>
      </w:tr>
      <w:tr w:rsidR="003B6D75" w:rsidRPr="003B6D75" w:rsidTr="003B6D75">
        <w:trPr>
          <w:trHeight w:val="225"/>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Budget Advice</w:t>
            </w: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50,658</w:t>
            </w: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49,739</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49,016</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49,636</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50,004</w:t>
            </w:r>
          </w:p>
        </w:tc>
      </w:tr>
      <w:tr w:rsidR="003B6D75" w:rsidRPr="003B6D75" w:rsidTr="003B6D75">
        <w:trPr>
          <w:trHeight w:val="225"/>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Financial Reporting</w:t>
            </w: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26,625</w:t>
            </w: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29,880</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31,841</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25,271</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25,088</w:t>
            </w:r>
          </w:p>
        </w:tc>
      </w:tr>
      <w:tr w:rsidR="003B6D75" w:rsidRPr="003B6D75" w:rsidTr="003B6D75">
        <w:trPr>
          <w:trHeight w:val="225"/>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Expenses not requiring appropriation in</w:t>
            </w: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r>
      <w:tr w:rsidR="003B6D75" w:rsidRPr="003B6D75" w:rsidTr="003B6D75">
        <w:trPr>
          <w:trHeight w:val="240"/>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the Budget year</w:t>
            </w:r>
            <w:r w:rsidRPr="003B6D75">
              <w:rPr>
                <w:rFonts w:ascii="Arial" w:hAnsi="Arial" w:cs="Arial"/>
                <w:sz w:val="16"/>
                <w:szCs w:val="16"/>
                <w:vertAlign w:val="superscript"/>
              </w:rPr>
              <w:t xml:space="preserve"> 1</w:t>
            </w: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3,563</w:t>
            </w: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11,293</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11,373</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11,367</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11,367</w:t>
            </w:r>
          </w:p>
        </w:tc>
      </w:tr>
      <w:tr w:rsidR="003B6D75" w:rsidRPr="003B6D75" w:rsidTr="003B6D75">
        <w:trPr>
          <w:trHeight w:val="60"/>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r>
      <w:tr w:rsidR="003B6D75" w:rsidRPr="003B6D75" w:rsidTr="003B6D75">
        <w:trPr>
          <w:trHeight w:val="225"/>
        </w:trPr>
        <w:tc>
          <w:tcPr>
            <w:tcW w:w="324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Programme expenses </w:t>
            </w:r>
          </w:p>
        </w:tc>
        <w:tc>
          <w:tcPr>
            <w:tcW w:w="840" w:type="dxa"/>
            <w:tcBorders>
              <w:top w:val="single" w:sz="4" w:space="0" w:color="auto"/>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80,846</w:t>
            </w:r>
          </w:p>
        </w:tc>
        <w:tc>
          <w:tcPr>
            <w:tcW w:w="82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90,912</w:t>
            </w:r>
          </w:p>
        </w:tc>
        <w:tc>
          <w:tcPr>
            <w:tcW w:w="780" w:type="dxa"/>
            <w:tcBorders>
              <w:top w:val="single" w:sz="4" w:space="0" w:color="auto"/>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92,230</w:t>
            </w:r>
          </w:p>
        </w:tc>
        <w:tc>
          <w:tcPr>
            <w:tcW w:w="780" w:type="dxa"/>
            <w:tcBorders>
              <w:top w:val="single" w:sz="4" w:space="0" w:color="auto"/>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86,274</w:t>
            </w:r>
          </w:p>
        </w:tc>
        <w:tc>
          <w:tcPr>
            <w:tcW w:w="780" w:type="dxa"/>
            <w:tcBorders>
              <w:top w:val="single" w:sz="4" w:space="0" w:color="auto"/>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86,459</w:t>
            </w:r>
          </w:p>
        </w:tc>
      </w:tr>
    </w:tbl>
    <w:p w:rsidR="00686B72" w:rsidRPr="00FD14D0" w:rsidRDefault="00686B72" w:rsidP="00686B72">
      <w:pPr>
        <w:spacing w:after="0" w:line="240" w:lineRule="auto"/>
        <w:rPr>
          <w:sz w:val="6"/>
          <w:szCs w:val="6"/>
        </w:rPr>
      </w:pPr>
    </w:p>
    <w:p w:rsidR="00A42F6D" w:rsidRPr="000D2E3D" w:rsidRDefault="00C43756" w:rsidP="0003235D">
      <w:pPr>
        <w:pStyle w:val="ListParagraph"/>
        <w:numPr>
          <w:ilvl w:val="0"/>
          <w:numId w:val="18"/>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p w:rsidR="00130BB7" w:rsidRDefault="00130BB7" w:rsidP="00130BB7">
      <w:pPr>
        <w:pStyle w:val="SingleParagraph"/>
      </w:pPr>
    </w:p>
    <w:p w:rsidR="005041F8" w:rsidRPr="003C54F5" w:rsidRDefault="005041F8" w:rsidP="00E453F8">
      <w:pPr>
        <w:pStyle w:val="Heading5"/>
      </w:pPr>
      <w:r w:rsidRPr="003C54F5">
        <w:t xml:space="preserve">Programme 1.1 Deliverables </w:t>
      </w:r>
    </w:p>
    <w:p w:rsidR="005041F8" w:rsidRPr="00F00728" w:rsidRDefault="005041F8" w:rsidP="005041F8">
      <w:pPr>
        <w:pStyle w:val="TableTextLeft"/>
        <w:rPr>
          <w:rFonts w:ascii="Book Antiqua" w:hAnsi="Book Antiqua"/>
        </w:rPr>
      </w:pPr>
    </w:p>
    <w:p w:rsidR="005041F8" w:rsidRPr="00F00728" w:rsidRDefault="005041F8" w:rsidP="005041F8">
      <w:pPr>
        <w:spacing w:after="0" w:line="240" w:lineRule="auto"/>
      </w:pPr>
      <w:r w:rsidRPr="00F00728">
        <w:t xml:space="preserve">The key deliverables for </w:t>
      </w:r>
      <w:r w:rsidR="00D13659">
        <w:t>this programme</w:t>
      </w:r>
      <w:r w:rsidRPr="00F00728">
        <w:t xml:space="preserve"> are:</w:t>
      </w:r>
    </w:p>
    <w:p w:rsidR="005041F8" w:rsidRPr="00F00728" w:rsidRDefault="005041F8" w:rsidP="008972BD">
      <w:pPr>
        <w:spacing w:before="240" w:after="60" w:line="240" w:lineRule="auto"/>
        <w:rPr>
          <w:b/>
        </w:rPr>
      </w:pPr>
      <w:r w:rsidRPr="00F00728">
        <w:rPr>
          <w:b/>
        </w:rPr>
        <w:t>Budget</w:t>
      </w:r>
    </w:p>
    <w:p w:rsidR="005041F8" w:rsidRPr="00E453F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p</w:t>
      </w:r>
      <w:r w:rsidR="005041F8" w:rsidRPr="00E453F8">
        <w:rPr>
          <w:rFonts w:ascii="Book Antiqua" w:hAnsi="Book Antiqua"/>
          <w:sz w:val="20"/>
          <w:szCs w:val="20"/>
        </w:rPr>
        <w:t>rovide effective, timely and accurate advice to entities on Budget processes</w:t>
      </w:r>
      <w:r w:rsidRPr="00E453F8">
        <w:rPr>
          <w:rFonts w:ascii="Book Antiqua" w:hAnsi="Book Antiqua"/>
          <w:sz w:val="20"/>
          <w:szCs w:val="20"/>
        </w:rPr>
        <w:t>;</w:t>
      </w:r>
    </w:p>
    <w:p w:rsidR="005041F8" w:rsidRPr="00E453F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e</w:t>
      </w:r>
      <w:r w:rsidR="005041F8" w:rsidRPr="00E453F8">
        <w:rPr>
          <w:rFonts w:ascii="Book Antiqua" w:hAnsi="Book Antiqua"/>
          <w:sz w:val="20"/>
          <w:szCs w:val="20"/>
        </w:rPr>
        <w:t>nsure the Budget framework effectively supports decision making</w:t>
      </w:r>
      <w:r w:rsidRPr="00E453F8">
        <w:rPr>
          <w:rFonts w:ascii="Book Antiqua" w:hAnsi="Book Antiqua"/>
          <w:sz w:val="20"/>
          <w:szCs w:val="20"/>
        </w:rPr>
        <w:t>;</w:t>
      </w:r>
    </w:p>
    <w:p w:rsidR="005041F8" w:rsidRPr="00E453F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i</w:t>
      </w:r>
      <w:r w:rsidR="005041F8" w:rsidRPr="00E453F8">
        <w:rPr>
          <w:rFonts w:ascii="Book Antiqua" w:hAnsi="Book Antiqua"/>
          <w:sz w:val="20"/>
          <w:szCs w:val="20"/>
        </w:rPr>
        <w:t>nform the Finance Minister and ERC on the use of government finances</w:t>
      </w:r>
      <w:r w:rsidRPr="00E453F8">
        <w:rPr>
          <w:rFonts w:ascii="Book Antiqua" w:hAnsi="Book Antiqua"/>
          <w:sz w:val="20"/>
          <w:szCs w:val="20"/>
        </w:rPr>
        <w:t>; and</w:t>
      </w:r>
    </w:p>
    <w:p w:rsidR="005041F8" w:rsidRPr="00E453F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E453F8">
        <w:rPr>
          <w:rFonts w:ascii="Book Antiqua" w:hAnsi="Book Antiqua"/>
          <w:sz w:val="20"/>
          <w:szCs w:val="20"/>
        </w:rPr>
        <w:t>c</w:t>
      </w:r>
      <w:r w:rsidR="005041F8" w:rsidRPr="00E453F8">
        <w:rPr>
          <w:rFonts w:ascii="Book Antiqua" w:hAnsi="Book Antiqua"/>
          <w:sz w:val="20"/>
          <w:szCs w:val="20"/>
        </w:rPr>
        <w:t>oordinate</w:t>
      </w:r>
      <w:proofErr w:type="gramEnd"/>
      <w:r w:rsidR="005041F8" w:rsidRPr="00E453F8">
        <w:rPr>
          <w:rFonts w:ascii="Book Antiqua" w:hAnsi="Book Antiqua"/>
          <w:sz w:val="20"/>
          <w:szCs w:val="20"/>
        </w:rPr>
        <w:t>, prepare and deliver Budget estimates and documentation in an accurate and timely manner.</w:t>
      </w:r>
    </w:p>
    <w:p w:rsidR="008972BD" w:rsidRDefault="008972BD">
      <w:pPr>
        <w:spacing w:after="0" w:line="240" w:lineRule="auto"/>
        <w:jc w:val="left"/>
        <w:rPr>
          <w:b/>
        </w:rPr>
      </w:pPr>
      <w:r>
        <w:rPr>
          <w:b/>
        </w:rPr>
        <w:br w:type="page"/>
      </w:r>
    </w:p>
    <w:p w:rsidR="005041F8" w:rsidRPr="00F00728" w:rsidRDefault="005041F8" w:rsidP="008972BD">
      <w:pPr>
        <w:spacing w:before="240" w:after="60" w:line="240" w:lineRule="auto"/>
        <w:rPr>
          <w:b/>
        </w:rPr>
      </w:pPr>
      <w:r w:rsidRPr="00F00728">
        <w:rPr>
          <w:b/>
        </w:rPr>
        <w:lastRenderedPageBreak/>
        <w:t>Financial Management</w:t>
      </w:r>
    </w:p>
    <w:p w:rsidR="005041F8" w:rsidRPr="00E453F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m</w:t>
      </w:r>
      <w:r w:rsidR="005041F8" w:rsidRPr="00E453F8">
        <w:rPr>
          <w:rFonts w:ascii="Book Antiqua" w:hAnsi="Book Antiqua"/>
          <w:sz w:val="20"/>
          <w:szCs w:val="20"/>
        </w:rPr>
        <w:t xml:space="preserve">onitor and </w:t>
      </w:r>
      <w:r w:rsidR="005041F8" w:rsidRPr="00F00728">
        <w:rPr>
          <w:rFonts w:ascii="Book Antiqua" w:hAnsi="Book Antiqua"/>
          <w:sz w:val="20"/>
          <w:szCs w:val="20"/>
        </w:rPr>
        <w:t>report</w:t>
      </w:r>
      <w:r w:rsidR="005041F8" w:rsidRPr="00E453F8">
        <w:rPr>
          <w:rFonts w:ascii="Book Antiqua" w:hAnsi="Book Antiqua"/>
          <w:sz w:val="20"/>
          <w:szCs w:val="20"/>
        </w:rPr>
        <w:t xml:space="preserve"> on</w:t>
      </w:r>
      <w:r w:rsidRPr="00E453F8">
        <w:rPr>
          <w:rFonts w:ascii="Book Antiqua" w:hAnsi="Book Antiqua"/>
          <w:sz w:val="20"/>
          <w:szCs w:val="20"/>
        </w:rPr>
        <w:t xml:space="preserve"> the government’s cash balances;</w:t>
      </w:r>
    </w:p>
    <w:p w:rsidR="005041F8" w:rsidRPr="00E453F8" w:rsidRDefault="00F1446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 xml:space="preserve">deliver monthly and annual </w:t>
      </w:r>
      <w:proofErr w:type="spellStart"/>
      <w:r w:rsidR="005041F8" w:rsidRPr="00F00728">
        <w:rPr>
          <w:rFonts w:ascii="Book Antiqua" w:hAnsi="Book Antiqua"/>
          <w:sz w:val="20"/>
          <w:szCs w:val="20"/>
        </w:rPr>
        <w:t>WoAG</w:t>
      </w:r>
      <w:proofErr w:type="spellEnd"/>
      <w:r w:rsidR="005041F8" w:rsidRPr="00E453F8">
        <w:rPr>
          <w:rFonts w:ascii="Book Antiqua" w:hAnsi="Book Antiqua"/>
          <w:sz w:val="20"/>
          <w:szCs w:val="20"/>
        </w:rPr>
        <w:t xml:space="preserve"> financial statements </w:t>
      </w:r>
      <w:r w:rsidRPr="00E453F8">
        <w:rPr>
          <w:rFonts w:ascii="Book Antiqua" w:hAnsi="Book Antiqua"/>
          <w:sz w:val="20"/>
          <w:szCs w:val="20"/>
        </w:rPr>
        <w:t>and Final Budget Outcome</w:t>
      </w:r>
      <w:r w:rsidR="00C420C5" w:rsidRPr="00E453F8">
        <w:rPr>
          <w:rFonts w:ascii="Book Antiqua" w:hAnsi="Book Antiqua"/>
          <w:sz w:val="20"/>
          <w:szCs w:val="20"/>
        </w:rPr>
        <w:t xml:space="preserve"> (FBO)</w:t>
      </w:r>
      <w:r w:rsidR="002E63D2" w:rsidRPr="00E453F8">
        <w:rPr>
          <w:rFonts w:ascii="Book Antiqua" w:hAnsi="Book Antiqua"/>
          <w:sz w:val="20"/>
          <w:szCs w:val="20"/>
        </w:rPr>
        <w:t>;</w:t>
      </w:r>
    </w:p>
    <w:p w:rsidR="00F14467" w:rsidRPr="00E453F8" w:rsidRDefault="00F1446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deliver financial reporting and accounting rules and advice for entities;</w:t>
      </w:r>
    </w:p>
    <w:p w:rsidR="00F14467" w:rsidRPr="00E453F8" w:rsidRDefault="00F1446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produce appropriation bills and appropriation instruments; and</w:t>
      </w:r>
    </w:p>
    <w:p w:rsidR="00F14467" w:rsidRPr="00E453F8" w:rsidRDefault="00F1446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E453F8">
        <w:rPr>
          <w:rFonts w:ascii="Book Antiqua" w:hAnsi="Book Antiqua"/>
          <w:sz w:val="20"/>
          <w:szCs w:val="20"/>
        </w:rPr>
        <w:t>maintain</w:t>
      </w:r>
      <w:proofErr w:type="gramEnd"/>
      <w:r w:rsidRPr="00E453F8">
        <w:rPr>
          <w:rFonts w:ascii="Book Antiqua" w:hAnsi="Book Antiqua"/>
          <w:sz w:val="20"/>
          <w:szCs w:val="20"/>
        </w:rPr>
        <w:t xml:space="preserve"> the Australian Government Organisations </w:t>
      </w:r>
      <w:r w:rsidR="00D13659">
        <w:rPr>
          <w:rFonts w:ascii="Book Antiqua" w:hAnsi="Book Antiqua"/>
          <w:sz w:val="20"/>
          <w:szCs w:val="20"/>
        </w:rPr>
        <w:t>R</w:t>
      </w:r>
      <w:r w:rsidRPr="00E453F8">
        <w:rPr>
          <w:rFonts w:ascii="Book Antiqua" w:hAnsi="Book Antiqua"/>
          <w:sz w:val="20"/>
          <w:szCs w:val="20"/>
        </w:rPr>
        <w:t>egister.</w:t>
      </w:r>
    </w:p>
    <w:p w:rsidR="005041F8" w:rsidRDefault="005041F8" w:rsidP="005041F8">
      <w:pPr>
        <w:pStyle w:val="SingleParagraph"/>
      </w:pPr>
    </w:p>
    <w:p w:rsidR="005041F8" w:rsidRPr="003C54F5" w:rsidRDefault="005041F8" w:rsidP="00E453F8">
      <w:pPr>
        <w:pStyle w:val="Heading5"/>
      </w:pPr>
      <w:r w:rsidRPr="003C54F5">
        <w:t xml:space="preserve">Programme 1.1 Key Performance Indicators  </w:t>
      </w:r>
    </w:p>
    <w:p w:rsidR="005041F8" w:rsidRPr="00F00728" w:rsidRDefault="005041F8" w:rsidP="005041F8">
      <w:pPr>
        <w:pStyle w:val="TableTextLeft"/>
        <w:rPr>
          <w:rFonts w:ascii="Book Antiqua" w:hAnsi="Book Antiqua"/>
          <w:b/>
          <w:sz w:val="20"/>
        </w:rPr>
      </w:pPr>
    </w:p>
    <w:p w:rsidR="005041F8" w:rsidRPr="00F00728" w:rsidRDefault="005041F8" w:rsidP="005041F8">
      <w:pPr>
        <w:spacing w:after="0" w:line="240" w:lineRule="auto"/>
      </w:pPr>
      <w:r w:rsidRPr="00F00728">
        <w:t xml:space="preserve">The key performance </w:t>
      </w:r>
      <w:r w:rsidR="00670296">
        <w:t>indicators</w:t>
      </w:r>
      <w:r w:rsidRPr="00F00728">
        <w:t xml:space="preserve"> for </w:t>
      </w:r>
      <w:r w:rsidR="00D13659">
        <w:t>this programme</w:t>
      </w:r>
      <w:r w:rsidRPr="00F00728">
        <w:t xml:space="preserve"> are:</w:t>
      </w:r>
    </w:p>
    <w:p w:rsidR="005041F8" w:rsidRPr="00F00728" w:rsidRDefault="005041F8" w:rsidP="008972BD">
      <w:pPr>
        <w:spacing w:before="240" w:after="60" w:line="240" w:lineRule="auto"/>
        <w:rPr>
          <w:b/>
        </w:rPr>
      </w:pPr>
      <w:r w:rsidRPr="00F00728">
        <w:rPr>
          <w:b/>
        </w:rPr>
        <w:t>Budget</w:t>
      </w:r>
    </w:p>
    <w:p w:rsidR="005041F8" w:rsidRPr="00F0072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w:t>
      </w:r>
      <w:r w:rsidR="005041F8" w:rsidRPr="00F00728">
        <w:rPr>
          <w:rFonts w:ascii="Book Antiqua" w:hAnsi="Book Antiqua"/>
          <w:sz w:val="20"/>
          <w:szCs w:val="20"/>
        </w:rPr>
        <w:t>nalysis</w:t>
      </w:r>
      <w:r w:rsidR="005041F8" w:rsidRPr="00E453F8">
        <w:rPr>
          <w:rFonts w:ascii="Book Antiqua" w:hAnsi="Book Antiqua"/>
          <w:sz w:val="20"/>
          <w:szCs w:val="20"/>
        </w:rPr>
        <w:t xml:space="preserve">, advice and costing information is relevant, accurate, evidence-based and </w:t>
      </w:r>
      <w:r w:rsidR="005041F8" w:rsidRPr="00F00728">
        <w:rPr>
          <w:rFonts w:ascii="Book Antiqua" w:hAnsi="Book Antiqua"/>
          <w:sz w:val="20"/>
          <w:szCs w:val="20"/>
        </w:rPr>
        <w:t>timely</w:t>
      </w:r>
      <w:r w:rsidRPr="00E453F8">
        <w:rPr>
          <w:rFonts w:ascii="Book Antiqua" w:hAnsi="Book Antiqua"/>
          <w:sz w:val="20"/>
          <w:szCs w:val="20"/>
        </w:rPr>
        <w:t>;</w:t>
      </w:r>
    </w:p>
    <w:p w:rsidR="005041F8" w:rsidRPr="00F0072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w:t>
      </w:r>
      <w:r w:rsidR="005041F8" w:rsidRPr="00F00728">
        <w:rPr>
          <w:rFonts w:ascii="Book Antiqua" w:hAnsi="Book Antiqua"/>
          <w:sz w:val="20"/>
          <w:szCs w:val="20"/>
        </w:rPr>
        <w:t xml:space="preserve">dvice is objective and based on a thorough understanding of issues from a </w:t>
      </w:r>
      <w:proofErr w:type="spellStart"/>
      <w:r w:rsidR="00C420C5">
        <w:rPr>
          <w:rFonts w:ascii="Book Antiqua" w:hAnsi="Book Antiqua"/>
          <w:sz w:val="20"/>
          <w:szCs w:val="20"/>
        </w:rPr>
        <w:t>WoAG</w:t>
      </w:r>
      <w:proofErr w:type="spellEnd"/>
      <w:r w:rsidR="00C420C5">
        <w:rPr>
          <w:rFonts w:ascii="Book Antiqua" w:hAnsi="Book Antiqua"/>
          <w:sz w:val="20"/>
          <w:szCs w:val="20"/>
        </w:rPr>
        <w:t xml:space="preserve"> </w:t>
      </w:r>
      <w:r>
        <w:rPr>
          <w:rFonts w:ascii="Book Antiqua" w:hAnsi="Book Antiqua"/>
          <w:sz w:val="20"/>
          <w:szCs w:val="20"/>
        </w:rPr>
        <w:t>perspective; and</w:t>
      </w:r>
    </w:p>
    <w:p w:rsidR="005041F8" w:rsidRPr="00F0072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w:t>
      </w:r>
      <w:r w:rsidR="005041F8" w:rsidRPr="00F00728">
        <w:rPr>
          <w:rFonts w:ascii="Book Antiqua" w:hAnsi="Book Antiqua"/>
          <w:sz w:val="20"/>
          <w:szCs w:val="20"/>
        </w:rPr>
        <w:t>ccurate budget</w:t>
      </w:r>
      <w:r w:rsidR="005041F8">
        <w:rPr>
          <w:rFonts w:ascii="Book Antiqua" w:hAnsi="Book Antiqua"/>
          <w:sz w:val="20"/>
          <w:szCs w:val="20"/>
        </w:rPr>
        <w:t xml:space="preserve"> estimates measured as follows (</w:t>
      </w:r>
      <w:r w:rsidR="005041F8" w:rsidRPr="00F00728">
        <w:rPr>
          <w:rFonts w:ascii="Book Antiqua" w:hAnsi="Book Antiqua"/>
          <w:sz w:val="20"/>
          <w:szCs w:val="20"/>
        </w:rPr>
        <w:t xml:space="preserve">after allowing for </w:t>
      </w:r>
      <w:r w:rsidR="005041F8">
        <w:rPr>
          <w:rFonts w:ascii="Book Antiqua" w:hAnsi="Book Antiqua"/>
          <w:sz w:val="20"/>
          <w:szCs w:val="20"/>
        </w:rPr>
        <w:t>the effects of policy decisions)</w:t>
      </w:r>
      <w:r w:rsidR="005041F8" w:rsidRPr="00F00728">
        <w:rPr>
          <w:rFonts w:ascii="Book Antiqua" w:hAnsi="Book Antiqua"/>
          <w:sz w:val="20"/>
          <w:szCs w:val="20"/>
        </w:rPr>
        <w:t xml:space="preserve"> movements in economic parameters and changes in accounting treatments:</w:t>
      </w:r>
    </w:p>
    <w:p w:rsidR="005041F8" w:rsidRPr="00F00728" w:rsidRDefault="005041F8"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F00728">
        <w:rPr>
          <w:rFonts w:ascii="Book Antiqua" w:hAnsi="Book Antiqua"/>
          <w:sz w:val="20"/>
          <w:szCs w:val="20"/>
        </w:rPr>
        <w:t>2.0% difference between first forward year estimated expenses and final outcome;</w:t>
      </w:r>
    </w:p>
    <w:p w:rsidR="005041F8" w:rsidRPr="00F00728" w:rsidRDefault="005041F8"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F00728">
        <w:rPr>
          <w:rFonts w:ascii="Book Antiqua" w:hAnsi="Book Antiqua"/>
          <w:sz w:val="20"/>
          <w:szCs w:val="20"/>
        </w:rPr>
        <w:t>1.5% difference between Budget estimated expenses and final outcome;</w:t>
      </w:r>
    </w:p>
    <w:p w:rsidR="005041F8" w:rsidRPr="00F00728" w:rsidRDefault="005041F8"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F00728">
        <w:rPr>
          <w:rFonts w:ascii="Book Antiqua" w:hAnsi="Book Antiqua"/>
          <w:sz w:val="20"/>
          <w:szCs w:val="20"/>
        </w:rPr>
        <w:t xml:space="preserve">1.0% difference between revised estimated expenses at </w:t>
      </w:r>
      <w:r w:rsidR="002B2687">
        <w:rPr>
          <w:rFonts w:ascii="Book Antiqua" w:hAnsi="Book Antiqua"/>
          <w:sz w:val="20"/>
          <w:szCs w:val="20"/>
        </w:rPr>
        <w:t>MYEFO</w:t>
      </w:r>
      <w:r w:rsidRPr="00F00728">
        <w:rPr>
          <w:rFonts w:ascii="Book Antiqua" w:hAnsi="Book Antiqua"/>
          <w:sz w:val="20"/>
          <w:szCs w:val="20"/>
        </w:rPr>
        <w:t xml:space="preserve"> and FBO; and</w:t>
      </w:r>
    </w:p>
    <w:p w:rsidR="005041F8" w:rsidRPr="00F00728" w:rsidRDefault="005041F8"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F00728">
        <w:rPr>
          <w:rFonts w:ascii="Book Antiqua" w:hAnsi="Book Antiqua"/>
          <w:sz w:val="20"/>
          <w:szCs w:val="20"/>
        </w:rPr>
        <w:t>0.5% difference between revised estimated expenses at Budget and FBO.</w:t>
      </w:r>
    </w:p>
    <w:p w:rsidR="005041F8" w:rsidRPr="00F00728" w:rsidRDefault="005041F8" w:rsidP="008972BD">
      <w:pPr>
        <w:spacing w:before="240" w:after="60" w:line="240" w:lineRule="auto"/>
        <w:rPr>
          <w:b/>
        </w:rPr>
      </w:pPr>
      <w:r w:rsidRPr="00F00728">
        <w:rPr>
          <w:b/>
        </w:rPr>
        <w:t>Financial Management</w:t>
      </w:r>
    </w:p>
    <w:p w:rsidR="00F14467" w:rsidRPr="00E81A64"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t</w:t>
      </w:r>
      <w:r w:rsidR="00F14467" w:rsidRPr="00E81A64">
        <w:rPr>
          <w:rFonts w:ascii="Book Antiqua" w:hAnsi="Book Antiqua"/>
          <w:sz w:val="20"/>
          <w:szCs w:val="20"/>
        </w:rPr>
        <w:t>he</w:t>
      </w:r>
      <w:proofErr w:type="gramEnd"/>
      <w:r w:rsidR="00F14467" w:rsidRPr="00E81A64">
        <w:rPr>
          <w:rFonts w:ascii="Book Antiqua" w:hAnsi="Book Antiqua"/>
          <w:sz w:val="20"/>
          <w:szCs w:val="20"/>
        </w:rPr>
        <w:t xml:space="preserve"> </w:t>
      </w:r>
      <w:r w:rsidR="00C420C5">
        <w:rPr>
          <w:rFonts w:ascii="Book Antiqua" w:hAnsi="Book Antiqua"/>
          <w:sz w:val="20"/>
          <w:szCs w:val="20"/>
        </w:rPr>
        <w:t>g</w:t>
      </w:r>
      <w:r w:rsidR="00F14467" w:rsidRPr="00E81A64">
        <w:rPr>
          <w:rFonts w:ascii="Book Antiqua" w:hAnsi="Book Antiqua"/>
          <w:sz w:val="20"/>
          <w:szCs w:val="20"/>
        </w:rPr>
        <w:t>overnment</w:t>
      </w:r>
      <w:r w:rsidR="00E81A64">
        <w:rPr>
          <w:rFonts w:ascii="Book Antiqua" w:hAnsi="Book Antiqua"/>
          <w:sz w:val="20"/>
          <w:szCs w:val="20"/>
        </w:rPr>
        <w:t>’</w:t>
      </w:r>
      <w:r w:rsidR="00F14467" w:rsidRPr="00E81A64">
        <w:rPr>
          <w:rFonts w:ascii="Book Antiqua" w:hAnsi="Book Antiqua"/>
          <w:sz w:val="20"/>
          <w:szCs w:val="20"/>
        </w:rPr>
        <w:t>s cash requir</w:t>
      </w:r>
      <w:r w:rsidR="00BC17FB">
        <w:rPr>
          <w:rFonts w:ascii="Book Antiqua" w:hAnsi="Book Antiqua"/>
          <w:sz w:val="20"/>
          <w:szCs w:val="20"/>
        </w:rPr>
        <w:t>ements are met on a daily basis</w:t>
      </w:r>
      <w:r w:rsidR="00F14467" w:rsidRPr="00E81A64">
        <w:rPr>
          <w:rFonts w:ascii="Book Antiqua" w:hAnsi="Book Antiqua"/>
          <w:sz w:val="20"/>
          <w:szCs w:val="20"/>
        </w:rPr>
        <w:t>.</w:t>
      </w:r>
    </w:p>
    <w:p w:rsidR="001270E3" w:rsidRPr="00E81A64" w:rsidRDefault="00791C4A" w:rsidP="001270E3">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t</w:t>
      </w:r>
      <w:r w:rsidR="001270E3" w:rsidRPr="00E81A64">
        <w:rPr>
          <w:rFonts w:ascii="Book Antiqua" w:hAnsi="Book Antiqua"/>
          <w:sz w:val="20"/>
          <w:szCs w:val="20"/>
        </w:rPr>
        <w:t>he derived underlying cash balance is provided to government within 5 days o</w:t>
      </w:r>
      <w:r w:rsidR="001270E3">
        <w:rPr>
          <w:rFonts w:ascii="Book Antiqua" w:hAnsi="Book Antiqua"/>
          <w:sz w:val="20"/>
          <w:szCs w:val="20"/>
        </w:rPr>
        <w:t>f the end of the financial year; and</w:t>
      </w:r>
    </w:p>
    <w:p w:rsidR="00F14467" w:rsidRPr="00E81A64"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t</w:t>
      </w:r>
      <w:r w:rsidR="00C420C5">
        <w:rPr>
          <w:rFonts w:ascii="Book Antiqua" w:hAnsi="Book Antiqua"/>
          <w:sz w:val="20"/>
          <w:szCs w:val="20"/>
        </w:rPr>
        <w:t>he g</w:t>
      </w:r>
      <w:r w:rsidR="00F14467" w:rsidRPr="00E81A64">
        <w:rPr>
          <w:rFonts w:ascii="Book Antiqua" w:hAnsi="Book Antiqua"/>
          <w:sz w:val="20"/>
          <w:szCs w:val="20"/>
        </w:rPr>
        <w:t>overnment</w:t>
      </w:r>
      <w:r w:rsidR="00C420C5">
        <w:rPr>
          <w:rFonts w:ascii="Book Antiqua" w:hAnsi="Book Antiqua"/>
          <w:sz w:val="20"/>
          <w:szCs w:val="20"/>
        </w:rPr>
        <w:t>’s</w:t>
      </w:r>
      <w:r w:rsidR="00F14467" w:rsidRPr="00E81A64">
        <w:rPr>
          <w:rFonts w:ascii="Book Antiqua" w:hAnsi="Book Antiqua"/>
          <w:sz w:val="20"/>
          <w:szCs w:val="20"/>
        </w:rPr>
        <w:t xml:space="preserve"> financial statements are accurate and delivered within legislated or agreed time frames, as follows:</w:t>
      </w:r>
    </w:p>
    <w:p w:rsidR="00F14467" w:rsidRPr="00E81A64" w:rsidRDefault="00F14467"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E81A64">
        <w:rPr>
          <w:rFonts w:ascii="Book Antiqua" w:hAnsi="Book Antiqua"/>
          <w:sz w:val="20"/>
          <w:szCs w:val="20"/>
        </w:rPr>
        <w:t xml:space="preserve">the </w:t>
      </w:r>
      <w:r w:rsidR="00C420C5">
        <w:rPr>
          <w:rFonts w:ascii="Book Antiqua" w:hAnsi="Book Antiqua"/>
          <w:sz w:val="20"/>
          <w:szCs w:val="20"/>
        </w:rPr>
        <w:t>FBO;</w:t>
      </w:r>
    </w:p>
    <w:p w:rsidR="00F14467" w:rsidRPr="00E81A64" w:rsidRDefault="00F14467"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E81A64">
        <w:rPr>
          <w:rFonts w:ascii="Book Antiqua" w:hAnsi="Book Antiqua"/>
          <w:sz w:val="20"/>
          <w:szCs w:val="20"/>
        </w:rPr>
        <w:t>monthly financial statements, on average, within 21</w:t>
      </w:r>
      <w:r w:rsidR="00D13659">
        <w:rPr>
          <w:rFonts w:ascii="Book Antiqua" w:hAnsi="Book Antiqua"/>
          <w:sz w:val="20"/>
          <w:szCs w:val="20"/>
        </w:rPr>
        <w:t xml:space="preserve"> </w:t>
      </w:r>
      <w:r w:rsidRPr="00E81A64">
        <w:rPr>
          <w:rFonts w:ascii="Book Antiqua" w:hAnsi="Book Antiqua"/>
          <w:sz w:val="20"/>
          <w:szCs w:val="20"/>
        </w:rPr>
        <w:t xml:space="preserve">days of month end after release of the </w:t>
      </w:r>
      <w:r w:rsidR="00C420C5">
        <w:rPr>
          <w:rFonts w:ascii="Book Antiqua" w:hAnsi="Book Antiqua"/>
          <w:sz w:val="20"/>
          <w:szCs w:val="20"/>
        </w:rPr>
        <w:t>FBO; and</w:t>
      </w:r>
    </w:p>
    <w:p w:rsidR="00F14467" w:rsidRPr="00E81A64" w:rsidRDefault="00F14467"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proofErr w:type="gramStart"/>
      <w:r w:rsidRPr="00E81A64">
        <w:rPr>
          <w:rFonts w:ascii="Book Antiqua" w:hAnsi="Book Antiqua"/>
          <w:sz w:val="20"/>
          <w:szCs w:val="20"/>
        </w:rPr>
        <w:t>consolidated</w:t>
      </w:r>
      <w:proofErr w:type="gramEnd"/>
      <w:r w:rsidRPr="00E81A64">
        <w:rPr>
          <w:rFonts w:ascii="Book Antiqua" w:hAnsi="Book Antiqua"/>
          <w:sz w:val="20"/>
          <w:szCs w:val="20"/>
        </w:rPr>
        <w:t xml:space="preserve"> financial statements.</w:t>
      </w:r>
    </w:p>
    <w:p w:rsidR="00926D0F" w:rsidRPr="000E7A66" w:rsidRDefault="00926D0F" w:rsidP="0003235D">
      <w:pPr>
        <w:pStyle w:val="ListParagraph"/>
        <w:numPr>
          <w:ilvl w:val="0"/>
          <w:numId w:val="9"/>
        </w:numPr>
        <w:autoSpaceDE w:val="0"/>
        <w:autoSpaceDN w:val="0"/>
        <w:spacing w:after="80" w:line="240" w:lineRule="auto"/>
        <w:ind w:left="567" w:hanging="357"/>
        <w:contextualSpacing w:val="0"/>
        <w:jc w:val="both"/>
        <w:rPr>
          <w:rFonts w:ascii="Book Antiqua" w:hAnsi="Book Antiqua"/>
          <w:sz w:val="20"/>
          <w:szCs w:val="20"/>
        </w:rPr>
      </w:pPr>
      <w:r w:rsidRPr="000E7A66">
        <w:rPr>
          <w:rFonts w:ascii="Book Antiqua" w:hAnsi="Book Antiqua"/>
          <w:sz w:val="20"/>
          <w:szCs w:val="20"/>
        </w:rPr>
        <w:br w:type="page"/>
      </w:r>
    </w:p>
    <w:p w:rsidR="00885B83" w:rsidRPr="00926D0F" w:rsidRDefault="00885B83" w:rsidP="00DB4F1B">
      <w:pPr>
        <w:spacing w:after="0" w:line="240" w:lineRule="auto"/>
        <w:rPr>
          <w:sz w:val="2"/>
          <w:szCs w:val="2"/>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885B83" w:rsidTr="00885B83">
        <w:tc>
          <w:tcPr>
            <w:tcW w:w="7713" w:type="dxa"/>
            <w:shd w:val="clear" w:color="auto" w:fill="E6E6E6"/>
          </w:tcPr>
          <w:p w:rsidR="00885B83" w:rsidRPr="00A07DF7" w:rsidRDefault="00A07DF7" w:rsidP="00CC63D5">
            <w:pPr>
              <w:spacing w:before="120" w:after="120" w:line="240" w:lineRule="auto"/>
              <w:ind w:left="1559" w:hanging="1559"/>
              <w:rPr>
                <w:i/>
              </w:rPr>
            </w:pPr>
            <w:r w:rsidRPr="00160CDF">
              <w:rPr>
                <w:rFonts w:ascii="Arial" w:hAnsi="Arial" w:cs="Arial"/>
                <w:b/>
              </w:rPr>
              <w:t>Outcome 2</w:t>
            </w:r>
            <w:r w:rsidRPr="00160CDF">
              <w:rPr>
                <w:rFonts w:ascii="Arial" w:hAnsi="Arial" w:cs="Arial"/>
                <w:b/>
              </w:rPr>
              <w:tab/>
              <w:t>Support an efficient and high-performing public sector through providing leadership to Commonwealth entities in ongoing improvement</w:t>
            </w:r>
            <w:r w:rsidR="00CC63D5">
              <w:rPr>
                <w:rFonts w:ascii="Arial" w:hAnsi="Arial" w:cs="Arial"/>
                <w:b/>
              </w:rPr>
              <w:t>s</w:t>
            </w:r>
            <w:r w:rsidRPr="00160CDF">
              <w:rPr>
                <w:rFonts w:ascii="Arial" w:hAnsi="Arial" w:cs="Arial"/>
                <w:b/>
              </w:rPr>
              <w:t xml:space="preserve"> to public sector governance, including through systems, frameworks, policy, advice and service delivery.</w:t>
            </w:r>
          </w:p>
        </w:tc>
      </w:tr>
    </w:tbl>
    <w:p w:rsidR="00885B83" w:rsidRDefault="00885B83" w:rsidP="00885B83">
      <w:pPr>
        <w:pStyle w:val="NoSpacing"/>
      </w:pPr>
    </w:p>
    <w:p w:rsidR="00885B83" w:rsidRDefault="00885B83" w:rsidP="00E453F8">
      <w:pPr>
        <w:pStyle w:val="Heading5"/>
      </w:pPr>
      <w:r w:rsidRPr="00E5728A">
        <w:t xml:space="preserve">Outcome </w:t>
      </w:r>
      <w:r w:rsidR="00D52FA6" w:rsidRPr="00E5728A">
        <w:t>2</w:t>
      </w:r>
      <w:r w:rsidRPr="00E5728A">
        <w:t xml:space="preserve"> Strategy</w:t>
      </w:r>
    </w:p>
    <w:p w:rsidR="008972BD" w:rsidRPr="008972BD" w:rsidRDefault="008972BD" w:rsidP="008972BD">
      <w:pPr>
        <w:spacing w:after="0"/>
      </w:pPr>
    </w:p>
    <w:p w:rsidR="00A07DF7" w:rsidRPr="00F00728" w:rsidRDefault="00A07DF7" w:rsidP="00C35E53">
      <w:pPr>
        <w:spacing w:after="120"/>
      </w:pPr>
      <w:r w:rsidRPr="00F00728">
        <w:t>To achieve Outcome 2, Finance:</w:t>
      </w:r>
    </w:p>
    <w:p w:rsidR="00A07DF7" w:rsidRPr="00F00728"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contributes to, and fosters, leading practice in public sector governance and </w:t>
      </w:r>
      <w:r w:rsidRPr="00E453F8">
        <w:rPr>
          <w:rFonts w:ascii="Book Antiqua" w:hAnsi="Book Antiqua"/>
          <w:sz w:val="20"/>
          <w:szCs w:val="20"/>
        </w:rPr>
        <w:t>accountability</w:t>
      </w:r>
      <w:r w:rsidRPr="00F00728">
        <w:rPr>
          <w:rFonts w:ascii="Book Antiqua" w:hAnsi="Book Antiqua"/>
          <w:sz w:val="20"/>
          <w:szCs w:val="20"/>
        </w:rPr>
        <w:t>, encompassing the public resource management framework, procurement and grants policies, and the oversight of Government Business Enterprises and other commercial entities;</w:t>
      </w:r>
    </w:p>
    <w:p w:rsidR="00A07DF7" w:rsidRPr="00F00728"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develops and administers key government policies in relation to </w:t>
      </w:r>
      <w:r w:rsidRPr="00E453F8">
        <w:rPr>
          <w:rFonts w:ascii="Book Antiqua" w:hAnsi="Book Antiqua"/>
          <w:sz w:val="20"/>
          <w:szCs w:val="20"/>
        </w:rPr>
        <w:t>Commonwealth</w:t>
      </w:r>
      <w:r w:rsidRPr="00F00728">
        <w:rPr>
          <w:rFonts w:ascii="Book Antiqua" w:hAnsi="Book Antiqua"/>
          <w:sz w:val="20"/>
          <w:szCs w:val="20"/>
        </w:rPr>
        <w:t xml:space="preserve"> land, public works and property management, advertising and the government’s use of ICT to ensure leading practice and ongoing improvement in the public sector management of government resources;</w:t>
      </w:r>
    </w:p>
    <w:p w:rsidR="00A07DF7" w:rsidRPr="00F00728"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delivers professional services in respect of the government’s: non-Defence </w:t>
      </w:r>
      <w:r w:rsidRPr="00E453F8">
        <w:rPr>
          <w:rFonts w:ascii="Book Antiqua" w:hAnsi="Book Antiqua"/>
          <w:sz w:val="20"/>
          <w:szCs w:val="20"/>
        </w:rPr>
        <w:t>property</w:t>
      </w:r>
      <w:r w:rsidRPr="00F00728">
        <w:rPr>
          <w:rFonts w:ascii="Book Antiqua" w:hAnsi="Book Antiqua"/>
          <w:sz w:val="20"/>
          <w:szCs w:val="20"/>
        </w:rPr>
        <w:t xml:space="preserve"> portfolio within Australia (including major capital works projects), risk management and insurance arrangements (</w:t>
      </w:r>
      <w:proofErr w:type="spellStart"/>
      <w:r w:rsidRPr="00F00728">
        <w:rPr>
          <w:rFonts w:ascii="Book Antiqua" w:hAnsi="Book Antiqua"/>
          <w:sz w:val="20"/>
          <w:szCs w:val="20"/>
        </w:rPr>
        <w:t>Comcover</w:t>
      </w:r>
      <w:proofErr w:type="spellEnd"/>
      <w:r w:rsidRPr="00F00728">
        <w:rPr>
          <w:rFonts w:ascii="Book Antiqua" w:hAnsi="Book Antiqua"/>
          <w:sz w:val="20"/>
          <w:szCs w:val="20"/>
        </w:rPr>
        <w:t xml:space="preserve">), and key </w:t>
      </w:r>
      <w:proofErr w:type="spellStart"/>
      <w:r w:rsidR="00C619FE">
        <w:rPr>
          <w:rFonts w:ascii="Book Antiqua" w:hAnsi="Book Antiqua"/>
          <w:sz w:val="20"/>
          <w:szCs w:val="20"/>
        </w:rPr>
        <w:t>WoAG</w:t>
      </w:r>
      <w:proofErr w:type="spellEnd"/>
      <w:r w:rsidRPr="00F00728">
        <w:rPr>
          <w:rFonts w:ascii="Book Antiqua" w:hAnsi="Book Antiqua"/>
          <w:sz w:val="20"/>
          <w:szCs w:val="20"/>
        </w:rPr>
        <w:t xml:space="preserve"> purchasing arrangements (such as travel, office equipment, stationery) to ensure efficient and effective management of government resources; and</w:t>
      </w:r>
    </w:p>
    <w:p w:rsidR="00A07DF7" w:rsidRPr="00F00728"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F00728">
        <w:rPr>
          <w:rFonts w:ascii="Book Antiqua" w:hAnsi="Book Antiqua"/>
          <w:sz w:val="20"/>
          <w:szCs w:val="20"/>
        </w:rPr>
        <w:t>advises</w:t>
      </w:r>
      <w:proofErr w:type="gramEnd"/>
      <w:r w:rsidRPr="00F00728">
        <w:rPr>
          <w:rFonts w:ascii="Book Antiqua" w:hAnsi="Book Antiqua"/>
          <w:sz w:val="20"/>
          <w:szCs w:val="20"/>
        </w:rPr>
        <w:t xml:space="preserve"> on the government’s Investment Funds and administers </w:t>
      </w:r>
      <w:r w:rsidRPr="00E453F8">
        <w:rPr>
          <w:rFonts w:ascii="Book Antiqua" w:hAnsi="Book Antiqua"/>
          <w:sz w:val="20"/>
          <w:szCs w:val="20"/>
        </w:rPr>
        <w:t>superannuation</w:t>
      </w:r>
      <w:r w:rsidRPr="00F00728">
        <w:rPr>
          <w:rFonts w:ascii="Book Antiqua" w:hAnsi="Book Antiqua"/>
          <w:sz w:val="20"/>
          <w:szCs w:val="20"/>
        </w:rPr>
        <w:t xml:space="preserve"> arrangements for the government’s civilian employees, politicians and judges to support efficient and effective management of government resources.</w:t>
      </w:r>
    </w:p>
    <w:p w:rsidR="00B77593" w:rsidRPr="00F00728" w:rsidRDefault="00B77593" w:rsidP="00C35E53">
      <w:pPr>
        <w:spacing w:after="0" w:line="240" w:lineRule="auto"/>
      </w:pPr>
    </w:p>
    <w:p w:rsidR="00B77593" w:rsidRPr="00F00728" w:rsidRDefault="00B77593" w:rsidP="00C35E53">
      <w:pPr>
        <w:spacing w:after="120" w:line="276" w:lineRule="auto"/>
      </w:pPr>
      <w:r w:rsidRPr="00F00728">
        <w:t>The Programmes that support Outcome 2 are:</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2.1:  Public Sector Governance;</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2.2:  Transforming Government;</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2.3:  Property and Construction;</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2.4:  Insurance and Risk Management;</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2.5:  Procurement Services;</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2.6:  Public Sector Superannuation; and</w:t>
      </w:r>
    </w:p>
    <w:p w:rsidR="00B77593" w:rsidRPr="00F00728" w:rsidRDefault="00B77593" w:rsidP="00E453F8">
      <w:pPr>
        <w:pStyle w:val="ListParagraph"/>
        <w:numPr>
          <w:ilvl w:val="0"/>
          <w:numId w:val="11"/>
        </w:numPr>
        <w:autoSpaceDE w:val="0"/>
        <w:autoSpaceDN w:val="0"/>
        <w:spacing w:after="120" w:line="240" w:lineRule="auto"/>
        <w:ind w:left="714" w:hanging="357"/>
        <w:contextualSpacing w:val="0"/>
        <w:jc w:val="both"/>
        <w:rPr>
          <w:rFonts w:ascii="Book Antiqua" w:hAnsi="Book Antiqua"/>
          <w:sz w:val="20"/>
          <w:szCs w:val="20"/>
        </w:rPr>
      </w:pPr>
      <w:r w:rsidRPr="00F00728">
        <w:rPr>
          <w:rFonts w:ascii="Book Antiqua" w:hAnsi="Book Antiqua"/>
          <w:sz w:val="20"/>
          <w:szCs w:val="20"/>
        </w:rPr>
        <w:t>2.7:  Australian Government Investment Funds.</w:t>
      </w:r>
    </w:p>
    <w:p w:rsidR="00885B83" w:rsidRDefault="00B77593" w:rsidP="00E453F8">
      <w:pPr>
        <w:pStyle w:val="Heading5"/>
      </w:pPr>
      <w:r>
        <w:br w:type="page"/>
      </w:r>
      <w:r w:rsidR="00885B83" w:rsidRPr="00E5728A">
        <w:lastRenderedPageBreak/>
        <w:t>Outcome Expense Statement</w:t>
      </w:r>
    </w:p>
    <w:p w:rsidR="008972BD" w:rsidRPr="008972BD" w:rsidRDefault="008972BD" w:rsidP="008972BD">
      <w:pPr>
        <w:spacing w:after="0"/>
      </w:pPr>
    </w:p>
    <w:p w:rsidR="00885B83" w:rsidRDefault="00885B83" w:rsidP="00885B83">
      <w:r w:rsidRPr="004D134B">
        <w:t>Table 2.</w:t>
      </w:r>
      <w:r w:rsidR="004D134B" w:rsidRPr="004D134B">
        <w:t>1.</w:t>
      </w:r>
      <w:r w:rsidR="00130BB7" w:rsidRPr="004D134B">
        <w:t>2</w:t>
      </w:r>
      <w:r w:rsidRPr="004D134B">
        <w:t xml:space="preserve"> provides an overview of the total expenses for </w:t>
      </w:r>
      <w:r w:rsidR="00081A28">
        <w:t>Outcome 2</w:t>
      </w:r>
      <w:r w:rsidRPr="00D13659">
        <w:rPr>
          <w:i/>
        </w:rPr>
        <w:t>,</w:t>
      </w:r>
      <w:r w:rsidRPr="004D134B">
        <w:t xml:space="preserve"> by programme.</w:t>
      </w:r>
    </w:p>
    <w:p w:rsidR="00885B83" w:rsidRPr="003C54F5" w:rsidRDefault="00885B83" w:rsidP="00E453F8">
      <w:pPr>
        <w:pStyle w:val="Heading5"/>
      </w:pPr>
      <w:r w:rsidRPr="003C54F5">
        <w:t>Table 2.</w:t>
      </w:r>
      <w:r w:rsidR="004D134B" w:rsidRPr="003C54F5">
        <w:t>1.</w:t>
      </w:r>
      <w:r w:rsidR="00130BB7" w:rsidRPr="003C54F5">
        <w:t>2</w:t>
      </w:r>
      <w:r w:rsidRPr="003C54F5">
        <w:t>:</w:t>
      </w:r>
      <w:r w:rsidR="00686B72" w:rsidRPr="003C54F5">
        <w:t xml:space="preserve"> Budgeted Expenses for Outcome 2</w:t>
      </w:r>
    </w:p>
    <w:tbl>
      <w:tblPr>
        <w:tblW w:w="7060" w:type="dxa"/>
        <w:tblInd w:w="93" w:type="dxa"/>
        <w:tblLook w:val="04A0"/>
      </w:tblPr>
      <w:tblGrid>
        <w:gridCol w:w="4820"/>
        <w:gridCol w:w="1120"/>
        <w:gridCol w:w="1120"/>
      </w:tblGrid>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Outcome 2: Support an efficient and high-performing</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through providing leadership to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Commonwealth entities in ongoing improvements to </w:t>
            </w:r>
          </w:p>
        </w:tc>
        <w:tc>
          <w:tcPr>
            <w:tcW w:w="11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expenses</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governance, including through systems,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roofErr w:type="gramStart"/>
            <w:r w:rsidRPr="00C5570B">
              <w:rPr>
                <w:rFonts w:ascii="Arial" w:hAnsi="Arial" w:cs="Arial"/>
                <w:b/>
                <w:bCs/>
                <w:color w:val="000000"/>
                <w:sz w:val="16"/>
                <w:szCs w:val="16"/>
              </w:rPr>
              <w:t>frameworks</w:t>
            </w:r>
            <w:proofErr w:type="gramEnd"/>
            <w:r w:rsidRPr="00C5570B">
              <w:rPr>
                <w:rFonts w:ascii="Arial" w:hAnsi="Arial" w:cs="Arial"/>
                <w:b/>
                <w:bCs/>
                <w:color w:val="000000"/>
                <w:sz w:val="16"/>
                <w:szCs w:val="16"/>
              </w:rPr>
              <w:t>, policy, advice and service delivery.</w:t>
            </w:r>
          </w:p>
        </w:tc>
        <w:tc>
          <w:tcPr>
            <w:tcW w:w="11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12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2.1: Public Sector Governance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Ordinary annual services (Appropriation Bill No.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Australian Institute of Policy and Science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Chifley Research Centre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218</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223</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Green Institute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Menzies Research Centre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218</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223</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Page Research Centre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Royal Humane Society of Australasia</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RSPCA Australia Inc</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roofErr w:type="spellStart"/>
            <w:r w:rsidRPr="00C5570B">
              <w:rPr>
                <w:rFonts w:ascii="Arial" w:hAnsi="Arial" w:cs="Arial"/>
                <w:i/>
                <w:iCs/>
                <w:sz w:val="16"/>
                <w:szCs w:val="16"/>
              </w:rPr>
              <w:t>Medibank</w:t>
            </w:r>
            <w:proofErr w:type="spellEnd"/>
            <w:r w:rsidRPr="00C5570B">
              <w:rPr>
                <w:rFonts w:ascii="Arial" w:hAnsi="Arial" w:cs="Arial"/>
                <w:i/>
                <w:iCs/>
                <w:sz w:val="16"/>
                <w:szCs w:val="16"/>
              </w:rPr>
              <w:t xml:space="preserve"> Private Sale Act (2006)</w:t>
            </w:r>
            <w:r w:rsidRPr="00C5570B">
              <w:rPr>
                <w:rFonts w:ascii="Arial" w:hAnsi="Arial" w:cs="Arial"/>
                <w:sz w:val="16"/>
                <w:szCs w:val="16"/>
              </w:rPr>
              <w:t xml:space="preserve"> (A)</w:t>
            </w:r>
            <w:r w:rsidRPr="00C5570B">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appropriations</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Financial Framework</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18,826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18,939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Procurement Framework</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10,273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11,119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Government Shareholder Oversight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16,892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6,762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Special Financial Claims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2,205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2,245</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Business Services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color w:val="000000"/>
                <w:sz w:val="16"/>
                <w:szCs w:val="16"/>
              </w:rPr>
            </w:pPr>
            <w:r w:rsidRPr="00C5570B">
              <w:rPr>
                <w:rFonts w:ascii="Arial" w:hAnsi="Arial" w:cs="Arial"/>
                <w:color w:val="000000"/>
                <w:sz w:val="16"/>
                <w:szCs w:val="16"/>
              </w:rPr>
              <w:t>-</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3</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1,960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1,797</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2.1</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50,851</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41,572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2.2: Transforming Government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appropriations</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Transforming the Public Sector</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15,689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28,751</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Digital Transformation Agenda</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26,303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23,714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proofErr w:type="spellStart"/>
            <w:r w:rsidRPr="00C5570B">
              <w:rPr>
                <w:rFonts w:ascii="Arial" w:hAnsi="Arial" w:cs="Arial"/>
                <w:i/>
                <w:iCs/>
                <w:sz w:val="16"/>
                <w:szCs w:val="16"/>
              </w:rPr>
              <w:t>Medibank</w:t>
            </w:r>
            <w:proofErr w:type="spellEnd"/>
            <w:r w:rsidRPr="00C5570B">
              <w:rPr>
                <w:rFonts w:ascii="Arial" w:hAnsi="Arial" w:cs="Arial"/>
                <w:i/>
                <w:iCs/>
                <w:sz w:val="16"/>
                <w:szCs w:val="16"/>
              </w:rPr>
              <w:t xml:space="preserve"> Private Sale Act 2006</w:t>
            </w:r>
            <w:r w:rsidRPr="00C5570B">
              <w:rPr>
                <w:rFonts w:ascii="Arial" w:hAnsi="Arial" w:cs="Arial"/>
                <w:sz w:val="16"/>
                <w:szCs w:val="16"/>
              </w:rPr>
              <w:t xml:space="preserve"> (D)</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75,526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3</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3,825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3,778</w:t>
            </w:r>
          </w:p>
        </w:tc>
      </w:tr>
      <w:tr w:rsidR="00C5570B" w:rsidRPr="00C5570B" w:rsidTr="00C5570B">
        <w:trPr>
          <w:trHeight w:val="225"/>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2.2</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121,343</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56,243</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2.3: Property and Construction</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appropriations</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and Construction</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9,325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14,195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Special Account 2014</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100,127</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119,587</w:t>
            </w:r>
          </w:p>
        </w:tc>
      </w:tr>
      <w:tr w:rsidR="00C5570B" w:rsidRPr="00C5570B" w:rsidTr="00C5570B">
        <w:trPr>
          <w:trHeight w:val="225"/>
        </w:trPr>
        <w:tc>
          <w:tcPr>
            <w:tcW w:w="48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2.3</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123,647</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119,587</w:t>
            </w:r>
          </w:p>
        </w:tc>
      </w:tr>
    </w:tbl>
    <w:p w:rsidR="0015261C" w:rsidRPr="0015261C" w:rsidRDefault="0015261C" w:rsidP="0015261C">
      <w:pPr>
        <w:spacing w:after="0" w:line="240" w:lineRule="auto"/>
        <w:rPr>
          <w:sz w:val="6"/>
          <w:szCs w:val="6"/>
        </w:rPr>
      </w:pPr>
    </w:p>
    <w:p w:rsidR="0015261C" w:rsidRPr="0015261C" w:rsidRDefault="0015261C" w:rsidP="0015261C">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0B0302" w:rsidRDefault="000B0302">
      <w:pPr>
        <w:spacing w:after="0" w:line="240" w:lineRule="auto"/>
        <w:jc w:val="left"/>
        <w:rPr>
          <w:rFonts w:ascii="Arial" w:hAnsi="Arial"/>
          <w:b/>
        </w:rPr>
      </w:pPr>
      <w:r>
        <w:br w:type="page"/>
      </w:r>
    </w:p>
    <w:p w:rsidR="00686B72" w:rsidRPr="003C54F5" w:rsidRDefault="00686B72" w:rsidP="00E453F8">
      <w:pPr>
        <w:pStyle w:val="Heading5"/>
      </w:pPr>
      <w:r w:rsidRPr="003C54F5">
        <w:lastRenderedPageBreak/>
        <w:t>Table 2.1.2: Budgeted Expenses for Outcome 2 (continued)</w:t>
      </w:r>
    </w:p>
    <w:tbl>
      <w:tblPr>
        <w:tblW w:w="7060" w:type="dxa"/>
        <w:tblInd w:w="93" w:type="dxa"/>
        <w:tblLook w:val="04A0"/>
      </w:tblPr>
      <w:tblGrid>
        <w:gridCol w:w="4820"/>
        <w:gridCol w:w="1120"/>
        <w:gridCol w:w="1120"/>
      </w:tblGrid>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Outcome 2: Support an efficient and high-performing</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through providing leadership to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Commonwealth entities in ongoing improvements to </w:t>
            </w:r>
          </w:p>
        </w:tc>
        <w:tc>
          <w:tcPr>
            <w:tcW w:w="11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expenses</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governance, including through systems,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roofErr w:type="gramStart"/>
            <w:r w:rsidRPr="00C5570B">
              <w:rPr>
                <w:rFonts w:ascii="Arial" w:hAnsi="Arial" w:cs="Arial"/>
                <w:b/>
                <w:bCs/>
                <w:color w:val="000000"/>
                <w:sz w:val="16"/>
                <w:szCs w:val="16"/>
              </w:rPr>
              <w:t>frameworks</w:t>
            </w:r>
            <w:proofErr w:type="gramEnd"/>
            <w:r w:rsidRPr="00C5570B">
              <w:rPr>
                <w:rFonts w:ascii="Arial" w:hAnsi="Arial" w:cs="Arial"/>
                <w:b/>
                <w:bCs/>
                <w:color w:val="000000"/>
                <w:sz w:val="16"/>
                <w:szCs w:val="16"/>
              </w:rPr>
              <w:t>, policy, advice and service delivery.</w:t>
            </w:r>
          </w:p>
        </w:tc>
        <w:tc>
          <w:tcPr>
            <w:tcW w:w="11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12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60"/>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2.4: Insurance and Risk Management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roofErr w:type="spellStart"/>
            <w:r w:rsidRPr="00C5570B">
              <w:rPr>
                <w:rFonts w:ascii="Arial" w:hAnsi="Arial" w:cs="Arial"/>
                <w:sz w:val="16"/>
                <w:szCs w:val="16"/>
              </w:rPr>
              <w:t>Comcover</w:t>
            </w:r>
            <w:proofErr w:type="spellEnd"/>
            <w:r w:rsidRPr="00C5570B">
              <w:rPr>
                <w:rFonts w:ascii="Arial" w:hAnsi="Arial" w:cs="Arial"/>
                <w:sz w:val="16"/>
                <w:szCs w:val="16"/>
              </w:rPr>
              <w:t xml:space="preserve">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116,747</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143,819</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2.4</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116,747</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143,819</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2.5: Procurement Services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Coordinated Procurement Contracting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color w:val="000000"/>
                <w:sz w:val="16"/>
                <w:szCs w:val="16"/>
              </w:rPr>
            </w:pPr>
            <w:r w:rsidRPr="00C5570B">
              <w:rPr>
                <w:rFonts w:ascii="Arial" w:hAnsi="Arial" w:cs="Arial"/>
                <w:color w:val="000000"/>
                <w:sz w:val="16"/>
                <w:szCs w:val="16"/>
              </w:rPr>
              <w:t>128,800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122,262</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2.5</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128,800</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122,262</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2.6: Public Sector Superannuation</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Ordinary annual services (Appropriation Bill No.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Act of Grace nominal interests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3,308</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Compensation and legal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500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Superannuation administration costs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9,845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10,448</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Federal Circuit Court of Australia</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 xml:space="preserve"> Act 1999</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729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741</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Governance of Australian Government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Superannuation Schemes Act 2011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1,400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Governor-General Act 1974</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893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1,244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Judges' Pensions Act 1968</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84,100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82,100</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Parliamentary Contributory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Superannuation Act 1948</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51,629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54,417</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Parliamentary Superannuation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Act 2004</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5,769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5,887</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Same-Sex Relationships (Equal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Treatment in Commonwealth Laws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 xml:space="preserve"> - General Law Reform) Act 2008</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1922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32,106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37,341</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1976</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3,060,701</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3,510,316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1990</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5,394,180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4,494,556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appropriations</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Public Sector Superannuation</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5,203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5,121</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3</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251</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265</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2.6</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8,650,664</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8,204,939</w:t>
            </w:r>
          </w:p>
        </w:tc>
      </w:tr>
    </w:tbl>
    <w:p w:rsidR="000B0302" w:rsidRDefault="000B0302">
      <w:pPr>
        <w:spacing w:after="0" w:line="240" w:lineRule="auto"/>
        <w:jc w:val="left"/>
      </w:pPr>
    </w:p>
    <w:p w:rsidR="0015261C" w:rsidRPr="0015261C" w:rsidRDefault="0015261C" w:rsidP="0015261C">
      <w:pPr>
        <w:spacing w:after="0" w:line="240" w:lineRule="auto"/>
        <w:rPr>
          <w:sz w:val="6"/>
          <w:szCs w:val="6"/>
        </w:rPr>
      </w:pPr>
    </w:p>
    <w:p w:rsidR="0015261C" w:rsidRPr="0015261C" w:rsidRDefault="0015261C" w:rsidP="0015261C">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F4743F" w:rsidRPr="003C54F5" w:rsidRDefault="000B0302" w:rsidP="00E453F8">
      <w:pPr>
        <w:pStyle w:val="Heading5"/>
      </w:pPr>
      <w:r>
        <w:br w:type="page"/>
      </w:r>
      <w:r w:rsidR="00F4743F" w:rsidRPr="003C54F5">
        <w:lastRenderedPageBreak/>
        <w:t>Table 2.1.2: Budgeted Expenses for Outcome 2 (continued)</w:t>
      </w:r>
    </w:p>
    <w:tbl>
      <w:tblPr>
        <w:tblW w:w="7060" w:type="dxa"/>
        <w:tblInd w:w="93" w:type="dxa"/>
        <w:tblLook w:val="04A0"/>
      </w:tblPr>
      <w:tblGrid>
        <w:gridCol w:w="4820"/>
        <w:gridCol w:w="1120"/>
        <w:gridCol w:w="1120"/>
      </w:tblGrid>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Outcome 2: Support an efficient and high-performing</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through providing leadership to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Commonwealth entities in ongoing improvements to </w:t>
            </w:r>
          </w:p>
        </w:tc>
        <w:tc>
          <w:tcPr>
            <w:tcW w:w="11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expenses</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governance, including through systems,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roofErr w:type="gramStart"/>
            <w:r w:rsidRPr="00C5570B">
              <w:rPr>
                <w:rFonts w:ascii="Arial" w:hAnsi="Arial" w:cs="Arial"/>
                <w:b/>
                <w:bCs/>
                <w:color w:val="000000"/>
                <w:sz w:val="16"/>
                <w:szCs w:val="16"/>
              </w:rPr>
              <w:t>frameworks</w:t>
            </w:r>
            <w:proofErr w:type="gramEnd"/>
            <w:r w:rsidRPr="00C5570B">
              <w:rPr>
                <w:rFonts w:ascii="Arial" w:hAnsi="Arial" w:cs="Arial"/>
                <w:b/>
                <w:bCs/>
                <w:color w:val="000000"/>
                <w:sz w:val="16"/>
                <w:szCs w:val="16"/>
              </w:rPr>
              <w:t>, policy, advice and service delivery.</w:t>
            </w:r>
          </w:p>
        </w:tc>
        <w:tc>
          <w:tcPr>
            <w:tcW w:w="11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12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60"/>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2.7: Australian Government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Investment Funds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roofErr w:type="spellStart"/>
            <w:r w:rsidRPr="00C5570B">
              <w:rPr>
                <w:rFonts w:ascii="Arial" w:hAnsi="Arial" w:cs="Arial"/>
                <w:sz w:val="16"/>
                <w:szCs w:val="16"/>
              </w:rPr>
              <w:t>DisabilityCare</w:t>
            </w:r>
            <w:proofErr w:type="spellEnd"/>
            <w:r w:rsidRPr="00C5570B">
              <w:rPr>
                <w:rFonts w:ascii="Arial" w:hAnsi="Arial" w:cs="Arial"/>
                <w:sz w:val="16"/>
                <w:szCs w:val="16"/>
              </w:rPr>
              <w:t xml:space="preserve"> Australia Fund Special Account</w:t>
            </w:r>
          </w:p>
        </w:tc>
        <w:tc>
          <w:tcPr>
            <w:tcW w:w="11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655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69,892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Asset Recycling Fund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3,619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Medical Research Future Fund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11,716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Building Australia Fund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187,969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56,086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Education Investment Fund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217,723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38,754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Health and Hospitals Fund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721,850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35,327</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2.7</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1,128,197</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215,394</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Outcome 2 Totals by appropriation type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Ordinary annual services (Appropriation Bill No.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14,348</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12,204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Other services (Appropriation Bill No.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8,631,557</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8,188,059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1,128,197</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215,394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Departmental appropriations </w:t>
            </w:r>
            <w:r w:rsidRPr="00C5570B">
              <w:rPr>
                <w:rFonts w:ascii="Arial" w:hAnsi="Arial" w:cs="Arial"/>
                <w:sz w:val="16"/>
                <w:szCs w:val="16"/>
                <w:vertAlign w:val="superscript"/>
              </w:rPr>
              <w:t>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104,716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96,651</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75,526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359,869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385,668</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3</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6,036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5,840</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1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1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Total expenses for Outcome 2</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10,320,249</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8,903,816</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4"/>
                <w:szCs w:val="14"/>
              </w:rPr>
            </w:pPr>
          </w:p>
        </w:tc>
      </w:tr>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r>
      <w:tr w:rsidR="00C5570B" w:rsidRPr="00C5570B" w:rsidTr="00C5570B">
        <w:trPr>
          <w:trHeight w:val="225"/>
        </w:trPr>
        <w:tc>
          <w:tcPr>
            <w:tcW w:w="48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Average Staffing Level (number)</w:t>
            </w:r>
          </w:p>
        </w:tc>
        <w:tc>
          <w:tcPr>
            <w:tcW w:w="1120" w:type="dxa"/>
            <w:tcBorders>
              <w:top w:val="single" w:sz="4" w:space="0" w:color="000000"/>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712</w:t>
            </w:r>
          </w:p>
        </w:tc>
        <w:tc>
          <w:tcPr>
            <w:tcW w:w="1120" w:type="dxa"/>
            <w:tcBorders>
              <w:top w:val="single" w:sz="4" w:space="0" w:color="000000"/>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709</w:t>
            </w:r>
          </w:p>
        </w:tc>
      </w:tr>
    </w:tbl>
    <w:p w:rsidR="000B0302" w:rsidRPr="00126187" w:rsidRDefault="000B0302" w:rsidP="00686B72">
      <w:pPr>
        <w:spacing w:after="0" w:line="240" w:lineRule="auto"/>
        <w:rPr>
          <w:sz w:val="6"/>
          <w:szCs w:val="6"/>
        </w:rPr>
      </w:pPr>
    </w:p>
    <w:p w:rsidR="005018E0" w:rsidRDefault="005018E0" w:rsidP="005018E0">
      <w:pPr>
        <w:spacing w:after="60" w:line="240" w:lineRule="auto"/>
        <w:outlineLvl w:val="6"/>
        <w:rPr>
          <w:rFonts w:ascii="Arial" w:hAnsi="Arial" w:cs="Arial"/>
          <w:sz w:val="15"/>
          <w:szCs w:val="15"/>
        </w:rPr>
      </w:pPr>
      <w:r>
        <w:rPr>
          <w:rFonts w:ascii="Arial" w:hAnsi="Arial" w:cs="Arial"/>
          <w:sz w:val="15"/>
          <w:szCs w:val="15"/>
        </w:rPr>
        <w:t>(A) = Administered</w:t>
      </w:r>
    </w:p>
    <w:p w:rsidR="005018E0" w:rsidRDefault="005018E0" w:rsidP="005018E0">
      <w:pPr>
        <w:spacing w:after="0" w:line="240" w:lineRule="auto"/>
        <w:outlineLvl w:val="6"/>
        <w:rPr>
          <w:rFonts w:ascii="Arial" w:hAnsi="Arial" w:cs="Arial"/>
          <w:sz w:val="15"/>
          <w:szCs w:val="15"/>
        </w:rPr>
      </w:pPr>
      <w:r>
        <w:rPr>
          <w:rFonts w:ascii="Arial" w:hAnsi="Arial" w:cs="Arial"/>
          <w:sz w:val="15"/>
          <w:szCs w:val="15"/>
        </w:rPr>
        <w:t>(D) = Departmental</w:t>
      </w:r>
    </w:p>
    <w:p w:rsidR="005018E0" w:rsidRPr="005018E0" w:rsidRDefault="005018E0" w:rsidP="001270E3">
      <w:pPr>
        <w:spacing w:after="0" w:line="240" w:lineRule="auto"/>
        <w:outlineLvl w:val="6"/>
        <w:rPr>
          <w:rFonts w:ascii="Arial" w:hAnsi="Arial" w:cs="Arial"/>
          <w:sz w:val="15"/>
          <w:szCs w:val="15"/>
        </w:rPr>
      </w:pPr>
    </w:p>
    <w:p w:rsidR="008A4FE2" w:rsidRPr="00CC3220" w:rsidRDefault="008A4FE2" w:rsidP="001270E3">
      <w:pPr>
        <w:pStyle w:val="ListParagraph"/>
        <w:numPr>
          <w:ilvl w:val="0"/>
          <w:numId w:val="19"/>
        </w:numPr>
        <w:spacing w:after="60" w:line="240" w:lineRule="auto"/>
        <w:ind w:left="425" w:hanging="425"/>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Estimates of expenses for the </w:t>
      </w:r>
      <w:proofErr w:type="spellStart"/>
      <w:r w:rsidRPr="00FF76AC">
        <w:rPr>
          <w:rFonts w:ascii="Arial" w:eastAsia="Times New Roman" w:hAnsi="Arial" w:cs="Arial"/>
          <w:i/>
          <w:sz w:val="15"/>
          <w:szCs w:val="15"/>
          <w:lang w:val="en-AU" w:eastAsia="en-AU"/>
        </w:rPr>
        <w:t>Medibank</w:t>
      </w:r>
      <w:proofErr w:type="spellEnd"/>
      <w:r w:rsidRPr="00FF76AC">
        <w:rPr>
          <w:rFonts w:ascii="Arial" w:eastAsia="Times New Roman" w:hAnsi="Arial" w:cs="Arial"/>
          <w:i/>
          <w:sz w:val="15"/>
          <w:szCs w:val="15"/>
          <w:lang w:val="en-AU" w:eastAsia="en-AU"/>
        </w:rPr>
        <w:t xml:space="preserve"> Private Sale Act 2006</w:t>
      </w:r>
      <w:r w:rsidRPr="00CC3220">
        <w:rPr>
          <w:rFonts w:ascii="Arial" w:eastAsia="Times New Roman" w:hAnsi="Arial" w:cs="Arial"/>
          <w:sz w:val="15"/>
          <w:szCs w:val="15"/>
          <w:lang w:val="en-AU" w:eastAsia="en-AU"/>
        </w:rPr>
        <w:t xml:space="preserve"> (A) are zero. Estimates of </w:t>
      </w:r>
      <w:r w:rsidRPr="002E7E5B">
        <w:rPr>
          <w:rFonts w:ascii="Arial" w:eastAsia="Times New Roman" w:hAnsi="Arial" w:cs="Arial"/>
          <w:sz w:val="15"/>
          <w:szCs w:val="15"/>
          <w:lang w:val="en-AU" w:eastAsia="en-AU"/>
        </w:rPr>
        <w:t>$</w:t>
      </w:r>
      <w:r w:rsidR="002E7E5B" w:rsidRPr="002E7E5B">
        <w:rPr>
          <w:rFonts w:ascii="Arial" w:eastAsia="Times New Roman" w:hAnsi="Arial" w:cs="Arial"/>
          <w:sz w:val="15"/>
          <w:szCs w:val="15"/>
          <w:lang w:val="en-AU" w:eastAsia="en-AU"/>
        </w:rPr>
        <w:t>3.3b</w:t>
      </w:r>
      <w:r w:rsidRPr="00CC3220">
        <w:rPr>
          <w:rFonts w:ascii="Arial" w:eastAsia="Times New Roman" w:hAnsi="Arial" w:cs="Arial"/>
          <w:sz w:val="15"/>
          <w:szCs w:val="15"/>
          <w:lang w:val="en-AU" w:eastAsia="en-AU"/>
        </w:rPr>
        <w:t xml:space="preserve"> in Table 1.1 </w:t>
      </w:r>
      <w:r w:rsidR="002E7E5B">
        <w:rPr>
          <w:rFonts w:ascii="Arial" w:eastAsia="Times New Roman" w:hAnsi="Arial" w:cs="Arial"/>
          <w:sz w:val="15"/>
          <w:szCs w:val="15"/>
          <w:lang w:val="en-AU" w:eastAsia="en-AU"/>
        </w:rPr>
        <w:t xml:space="preserve">primarily </w:t>
      </w:r>
      <w:r w:rsidRPr="00CC3220">
        <w:rPr>
          <w:rFonts w:ascii="Arial" w:eastAsia="Times New Roman" w:hAnsi="Arial" w:cs="Arial"/>
          <w:sz w:val="15"/>
          <w:szCs w:val="15"/>
          <w:lang w:val="en-AU" w:eastAsia="en-AU"/>
        </w:rPr>
        <w:t>relate to refund of oversubscr</w:t>
      </w:r>
      <w:r w:rsidR="003F4F9F" w:rsidRPr="00CC3220">
        <w:rPr>
          <w:rFonts w:ascii="Arial" w:eastAsia="Times New Roman" w:hAnsi="Arial" w:cs="Arial"/>
          <w:sz w:val="15"/>
          <w:szCs w:val="15"/>
          <w:lang w:val="en-AU" w:eastAsia="en-AU"/>
        </w:rPr>
        <w:t xml:space="preserve">iption on the </w:t>
      </w:r>
      <w:proofErr w:type="spellStart"/>
      <w:r w:rsidR="003F4F9F" w:rsidRPr="00CC3220">
        <w:rPr>
          <w:rFonts w:ascii="Arial" w:eastAsia="Times New Roman" w:hAnsi="Arial" w:cs="Arial"/>
          <w:sz w:val="15"/>
          <w:szCs w:val="15"/>
          <w:lang w:val="en-AU" w:eastAsia="en-AU"/>
        </w:rPr>
        <w:t>Medibank</w:t>
      </w:r>
      <w:proofErr w:type="spellEnd"/>
      <w:r w:rsidR="003F4F9F" w:rsidRPr="00CC3220">
        <w:rPr>
          <w:rFonts w:ascii="Arial" w:eastAsia="Times New Roman" w:hAnsi="Arial" w:cs="Arial"/>
          <w:sz w:val="15"/>
          <w:szCs w:val="15"/>
          <w:lang w:val="en-AU" w:eastAsia="en-AU"/>
        </w:rPr>
        <w:t xml:space="preserve"> Private s</w:t>
      </w:r>
      <w:r w:rsidRPr="00CC3220">
        <w:rPr>
          <w:rFonts w:ascii="Arial" w:eastAsia="Times New Roman" w:hAnsi="Arial" w:cs="Arial"/>
          <w:sz w:val="15"/>
          <w:szCs w:val="15"/>
          <w:lang w:val="en-AU" w:eastAsia="en-AU"/>
        </w:rPr>
        <w:t>ale.</w:t>
      </w:r>
    </w:p>
    <w:p w:rsidR="00885B83" w:rsidRPr="00CC3220" w:rsidRDefault="008A4FE2" w:rsidP="0003235D">
      <w:pPr>
        <w:pStyle w:val="ListParagraph"/>
        <w:numPr>
          <w:ilvl w:val="0"/>
          <w:numId w:val="19"/>
        </w:numPr>
        <w:spacing w:before="60" w:after="60" w:line="240" w:lineRule="auto"/>
        <w:ind w:left="425" w:hanging="425"/>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Departmental Appropriation combines ‘Ordinary annual services (Appropriation Bill No. 1)’ and </w:t>
      </w:r>
      <w:r w:rsidR="005E1EF1" w:rsidRPr="00CC3220">
        <w:rPr>
          <w:rFonts w:ascii="Arial" w:eastAsia="Times New Roman" w:hAnsi="Arial" w:cs="Arial"/>
          <w:sz w:val="15"/>
          <w:szCs w:val="15"/>
          <w:lang w:val="en-AU" w:eastAsia="en-AU"/>
        </w:rPr>
        <w:t>‘s.74 Retained revenue receipts’</w:t>
      </w:r>
      <w:r w:rsidR="00885B83" w:rsidRPr="00CC3220">
        <w:rPr>
          <w:rFonts w:ascii="Arial" w:eastAsia="Times New Roman" w:hAnsi="Arial" w:cs="Arial"/>
          <w:sz w:val="15"/>
          <w:szCs w:val="15"/>
          <w:lang w:val="en-AU" w:eastAsia="en-AU"/>
        </w:rPr>
        <w:t>.</w:t>
      </w:r>
    </w:p>
    <w:p w:rsidR="00885B83" w:rsidRPr="00CC3220" w:rsidRDefault="00C43756" w:rsidP="0003235D">
      <w:pPr>
        <w:pStyle w:val="ListParagraph"/>
        <w:numPr>
          <w:ilvl w:val="0"/>
          <w:numId w:val="19"/>
        </w:numPr>
        <w:spacing w:before="60" w:after="60" w:line="240" w:lineRule="auto"/>
        <w:ind w:left="425" w:hanging="425"/>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p w:rsidR="00885B83" w:rsidRPr="00CC3220" w:rsidRDefault="00885B83" w:rsidP="00885B83">
      <w:pPr>
        <w:pStyle w:val="Source"/>
        <w:rPr>
          <w:sz w:val="15"/>
          <w:szCs w:val="15"/>
          <w:highlight w:val="yellow"/>
        </w:rPr>
      </w:pPr>
    </w:p>
    <w:p w:rsidR="00885B83" w:rsidRPr="00CC3220" w:rsidRDefault="00885B83" w:rsidP="00885B83">
      <w:pPr>
        <w:pStyle w:val="Source"/>
        <w:rPr>
          <w:sz w:val="15"/>
          <w:szCs w:val="15"/>
        </w:rPr>
      </w:pPr>
      <w:r w:rsidRPr="00CC3220">
        <w:rPr>
          <w:sz w:val="15"/>
          <w:szCs w:val="15"/>
        </w:rPr>
        <w:t>Note: Departmental appropriation splits and totals are indicative estimates and may change in the course of the budget year as government priorities change.</w:t>
      </w:r>
    </w:p>
    <w:p w:rsidR="00885B83" w:rsidRPr="00D52FA6" w:rsidRDefault="00885B83" w:rsidP="00885B83">
      <w:pPr>
        <w:pStyle w:val="NoSpacing"/>
        <w:rPr>
          <w:highlight w:val="yellow"/>
        </w:rPr>
      </w:pPr>
    </w:p>
    <w:p w:rsidR="00885B83" w:rsidRPr="005835E9" w:rsidRDefault="00885B83" w:rsidP="005835E9">
      <w:pPr>
        <w:spacing w:before="240" w:line="240" w:lineRule="auto"/>
        <w:jc w:val="left"/>
        <w:rPr>
          <w:rFonts w:ascii="Arial Bold" w:hAnsi="Arial Bold" w:cs="Arial"/>
          <w:b/>
          <w:smallCaps/>
          <w:sz w:val="26"/>
          <w:szCs w:val="26"/>
        </w:rPr>
      </w:pPr>
      <w:r>
        <w:br w:type="page"/>
      </w:r>
      <w:bookmarkStart w:id="33" w:name="_Toc416874474"/>
      <w:r w:rsidR="00DC39E1" w:rsidRPr="005835E9">
        <w:rPr>
          <w:rFonts w:ascii="Arial Bold" w:hAnsi="Arial Bold" w:cs="Arial"/>
          <w:b/>
          <w:smallCaps/>
          <w:sz w:val="26"/>
          <w:szCs w:val="26"/>
        </w:rPr>
        <w:lastRenderedPageBreak/>
        <w:t>Contributions to Outcome 2</w:t>
      </w:r>
      <w:bookmarkEnd w:id="33"/>
      <w:r w:rsidRPr="005835E9">
        <w:rPr>
          <w:rFonts w:ascii="Arial Bold" w:hAnsi="Arial Bold" w:cs="Arial"/>
          <w:b/>
          <w:smallCaps/>
          <w:sz w:val="26"/>
          <w:szCs w:val="26"/>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885B83" w:rsidTr="00885B83">
        <w:tc>
          <w:tcPr>
            <w:tcW w:w="7713" w:type="dxa"/>
            <w:shd w:val="clear" w:color="auto" w:fill="E6E6E6"/>
          </w:tcPr>
          <w:p w:rsidR="00885B83" w:rsidRPr="00F00728" w:rsidRDefault="00553C63" w:rsidP="00DC39E1">
            <w:pPr>
              <w:pStyle w:val="TableColumnHeadingLeft"/>
            </w:pPr>
            <w:r w:rsidRPr="00F00728">
              <w:t>Programme 2.1:  Public Sector Governance</w:t>
            </w:r>
          </w:p>
        </w:tc>
      </w:tr>
    </w:tbl>
    <w:p w:rsidR="00885B83" w:rsidRDefault="00885B83" w:rsidP="00885B83">
      <w:pPr>
        <w:pStyle w:val="NoSpacing"/>
      </w:pPr>
    </w:p>
    <w:p w:rsidR="005041F8" w:rsidRPr="003C54F5" w:rsidRDefault="005041F8" w:rsidP="00E453F8">
      <w:pPr>
        <w:pStyle w:val="Heading5"/>
      </w:pPr>
      <w:r w:rsidRPr="003C54F5">
        <w:t>Programme 2.1 Objective</w:t>
      </w:r>
    </w:p>
    <w:p w:rsidR="005041F8" w:rsidRPr="00DC235D" w:rsidRDefault="005041F8" w:rsidP="005041F8">
      <w:pPr>
        <w:spacing w:after="0" w:line="240" w:lineRule="auto"/>
        <w:rPr>
          <w:lang w:eastAsia="en-US"/>
        </w:rPr>
      </w:pPr>
    </w:p>
    <w:p w:rsidR="005041F8" w:rsidRPr="00F00728" w:rsidRDefault="005041F8" w:rsidP="003C54F5">
      <w:pPr>
        <w:spacing w:after="120"/>
        <w:rPr>
          <w:lang w:eastAsia="en-US"/>
        </w:rPr>
      </w:pPr>
      <w:r w:rsidRPr="00F00728">
        <w:rPr>
          <w:lang w:eastAsia="en-US"/>
        </w:rPr>
        <w:t xml:space="preserve">This </w:t>
      </w:r>
      <w:r w:rsidRPr="00F00728">
        <w:t>programme</w:t>
      </w:r>
      <w:r w:rsidRPr="00F00728">
        <w:rPr>
          <w:lang w:eastAsia="en-US"/>
        </w:rPr>
        <w:t xml:space="preserve"> contributes to the outcome through:</w:t>
      </w:r>
    </w:p>
    <w:p w:rsidR="003B57DC"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0E7A66">
        <w:rPr>
          <w:rFonts w:ascii="Book Antiqua" w:hAnsi="Book Antiqua"/>
          <w:sz w:val="20"/>
          <w:szCs w:val="20"/>
        </w:rPr>
        <w:t>developing</w:t>
      </w:r>
      <w:r w:rsidRPr="00E453F8">
        <w:rPr>
          <w:rFonts w:ascii="Book Antiqua" w:hAnsi="Book Antiqua"/>
          <w:sz w:val="20"/>
          <w:szCs w:val="20"/>
        </w:rPr>
        <w:t xml:space="preserve"> and maintaining the public sector resource </w:t>
      </w:r>
      <w:r w:rsidRPr="000E7A66">
        <w:rPr>
          <w:rFonts w:ascii="Book Antiqua" w:hAnsi="Book Antiqua"/>
          <w:sz w:val="20"/>
          <w:szCs w:val="20"/>
        </w:rPr>
        <w:t>management</w:t>
      </w:r>
      <w:r w:rsidRPr="00E453F8">
        <w:rPr>
          <w:rFonts w:ascii="Book Antiqua" w:hAnsi="Book Antiqua"/>
          <w:sz w:val="20"/>
          <w:szCs w:val="20"/>
        </w:rPr>
        <w:t xml:space="preserve"> framework and ensuring it supports efficient, effective, ethical and economical </w:t>
      </w:r>
      <w:r w:rsidR="00D87624">
        <w:rPr>
          <w:rFonts w:ascii="Book Antiqua" w:hAnsi="Book Antiqua"/>
          <w:sz w:val="20"/>
          <w:szCs w:val="20"/>
        </w:rPr>
        <w:t xml:space="preserve">government </w:t>
      </w:r>
      <w:r w:rsidR="003B57DC" w:rsidRPr="00E453F8">
        <w:rPr>
          <w:rFonts w:ascii="Book Antiqua" w:hAnsi="Book Antiqua"/>
          <w:sz w:val="20"/>
          <w:szCs w:val="20"/>
        </w:rPr>
        <w:t>administration;</w:t>
      </w:r>
    </w:p>
    <w:p w:rsidR="00C420C5"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0E7A66">
        <w:rPr>
          <w:rFonts w:ascii="Book Antiqua" w:hAnsi="Book Antiqua"/>
          <w:sz w:val="20"/>
          <w:szCs w:val="20"/>
        </w:rPr>
        <w:t xml:space="preserve">undertaking shareholder oversight of </w:t>
      </w:r>
      <w:r w:rsidR="00D13659">
        <w:rPr>
          <w:rFonts w:ascii="Book Antiqua" w:hAnsi="Book Antiqua"/>
          <w:sz w:val="20"/>
          <w:szCs w:val="20"/>
        </w:rPr>
        <w:t>GBEs</w:t>
      </w:r>
      <w:r w:rsidRPr="000E7A66">
        <w:rPr>
          <w:rFonts w:ascii="Book Antiqua" w:hAnsi="Book Antiqua"/>
          <w:sz w:val="20"/>
          <w:szCs w:val="20"/>
        </w:rPr>
        <w:t xml:space="preserve"> and other commercial entities</w:t>
      </w:r>
      <w:r w:rsidR="00C420C5">
        <w:rPr>
          <w:rFonts w:ascii="Book Antiqua" w:hAnsi="Book Antiqua"/>
          <w:sz w:val="20"/>
          <w:szCs w:val="20"/>
        </w:rPr>
        <w:t>; and</w:t>
      </w:r>
    </w:p>
    <w:p w:rsidR="005041F8" w:rsidRDefault="001E31A4"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i</w:t>
      </w:r>
      <w:r w:rsidR="00872C20" w:rsidRPr="00872C20">
        <w:rPr>
          <w:rFonts w:ascii="Book Antiqua" w:hAnsi="Book Antiqua"/>
          <w:sz w:val="20"/>
          <w:szCs w:val="20"/>
        </w:rPr>
        <w:t>mprov</w:t>
      </w:r>
      <w:r w:rsidR="00872C20">
        <w:rPr>
          <w:rFonts w:ascii="Book Antiqua" w:hAnsi="Book Antiqua"/>
          <w:sz w:val="20"/>
          <w:szCs w:val="20"/>
        </w:rPr>
        <w:t>ing, a</w:t>
      </w:r>
      <w:r w:rsidR="00872C20" w:rsidRPr="00872C20">
        <w:rPr>
          <w:rFonts w:ascii="Book Antiqua" w:hAnsi="Book Antiqua"/>
          <w:sz w:val="20"/>
          <w:szCs w:val="20"/>
        </w:rPr>
        <w:t xml:space="preserve">s part of the transforming </w:t>
      </w:r>
      <w:r w:rsidR="00AE41BB">
        <w:rPr>
          <w:rFonts w:ascii="Book Antiqua" w:hAnsi="Book Antiqua"/>
          <w:sz w:val="20"/>
          <w:szCs w:val="20"/>
        </w:rPr>
        <w:t>the government</w:t>
      </w:r>
      <w:r w:rsidR="00C420C5">
        <w:rPr>
          <w:rFonts w:ascii="Book Antiqua" w:hAnsi="Book Antiqua"/>
          <w:sz w:val="20"/>
          <w:szCs w:val="20"/>
        </w:rPr>
        <w:t xml:space="preserve"> </w:t>
      </w:r>
      <w:r w:rsidR="00872C20" w:rsidRPr="00872C20">
        <w:rPr>
          <w:rFonts w:ascii="Book Antiqua" w:hAnsi="Book Antiqua"/>
          <w:sz w:val="20"/>
          <w:szCs w:val="20"/>
        </w:rPr>
        <w:t>agenda, the standard of governance, performance and accountability as well as improve the quality of information provided to the parliament and the public through sound legal and policy settings and by influencing the behaviour of entities and companies.  </w:t>
      </w:r>
    </w:p>
    <w:p w:rsidR="001A4F7C" w:rsidRPr="001A4F7C" w:rsidRDefault="001A4F7C" w:rsidP="002B2687">
      <w:pPr>
        <w:pStyle w:val="TOC9"/>
        <w:rPr>
          <w:lang w:val="en-US" w:eastAsia="en-US"/>
        </w:rPr>
      </w:pPr>
    </w:p>
    <w:p w:rsidR="005041F8" w:rsidRPr="003C54F5" w:rsidRDefault="005041F8" w:rsidP="00E453F8">
      <w:pPr>
        <w:pStyle w:val="Heading5"/>
      </w:pPr>
      <w:r w:rsidRPr="003C54F5">
        <w:t>Programme 2.1 Expenses</w:t>
      </w:r>
    </w:p>
    <w:tbl>
      <w:tblPr>
        <w:tblW w:w="7740" w:type="dxa"/>
        <w:tblInd w:w="93" w:type="dxa"/>
        <w:tblLook w:val="04A0"/>
      </w:tblPr>
      <w:tblGrid>
        <w:gridCol w:w="3658"/>
        <w:gridCol w:w="920"/>
        <w:gridCol w:w="813"/>
        <w:gridCol w:w="814"/>
        <w:gridCol w:w="814"/>
        <w:gridCol w:w="814"/>
      </w:tblGrid>
      <w:tr w:rsidR="00C5570B" w:rsidRPr="00C5570B" w:rsidTr="00C5570B">
        <w:trPr>
          <w:trHeight w:val="225"/>
        </w:trPr>
        <w:tc>
          <w:tcPr>
            <w:tcW w:w="370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7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7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7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administered expenses:</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Australian Institute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of Policy and Science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Chifley Research Centre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218</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239</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Green Institute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82</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84</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90</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Menzies Research Centre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218</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239</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Page Research Centre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82</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84</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90</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Royal Humane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Society of Australasia</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RSPCA Australia Inc</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Special account expenses: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Business Services Special Account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departmental expenses:</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Financial Framework</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18,826</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18,939</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18,424</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18,338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17,874</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Procurement Framework</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10,273</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11,119</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13,135</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13,247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13,314</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Government Shareholder Oversight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16,892</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6,762</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4,907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4,963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4,526</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Special Financial Claims</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2,205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2,245</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2,211</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2,240</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2,257</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the Budget year</w:t>
            </w:r>
            <w:r w:rsidRPr="00C5570B">
              <w:rPr>
                <w:rFonts w:ascii="Arial" w:hAnsi="Arial" w:cs="Arial"/>
                <w:sz w:val="16"/>
                <w:szCs w:val="16"/>
                <w:vertAlign w:val="superscript"/>
              </w:rPr>
              <w:t xml:space="preserve"> 1</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1,960</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1,797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1,836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1,850</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1,850</w:t>
            </w:r>
          </w:p>
        </w:tc>
      </w:tr>
      <w:tr w:rsidR="00C5570B" w:rsidRPr="00C5570B" w:rsidTr="00C5570B">
        <w:trPr>
          <w:trHeight w:val="60"/>
        </w:trPr>
        <w:tc>
          <w:tcPr>
            <w:tcW w:w="370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50,851</w:t>
            </w:r>
          </w:p>
        </w:tc>
        <w:tc>
          <w:tcPr>
            <w:tcW w:w="82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41,572</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41,239</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41,381</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40,583</w:t>
            </w:r>
          </w:p>
        </w:tc>
      </w:tr>
    </w:tbl>
    <w:p w:rsidR="00885B83" w:rsidRPr="00FD14D0" w:rsidRDefault="00885B83" w:rsidP="00885B83">
      <w:pPr>
        <w:pStyle w:val="TableGraphic"/>
        <w:rPr>
          <w:sz w:val="6"/>
          <w:szCs w:val="6"/>
        </w:rPr>
      </w:pPr>
    </w:p>
    <w:p w:rsidR="00F00728" w:rsidRPr="003C54F5" w:rsidRDefault="00C43756" w:rsidP="0003235D">
      <w:pPr>
        <w:pStyle w:val="ListParagraph"/>
        <w:numPr>
          <w:ilvl w:val="0"/>
          <w:numId w:val="33"/>
        </w:numPr>
        <w:spacing w:before="60"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r w:rsidR="00F00728" w:rsidRPr="003C54F5">
        <w:rPr>
          <w:rFonts w:ascii="Arial" w:eastAsia="Times New Roman" w:hAnsi="Arial" w:cs="Arial"/>
          <w:sz w:val="15"/>
          <w:szCs w:val="15"/>
          <w:lang w:val="en-AU" w:eastAsia="en-AU"/>
        </w:rPr>
        <w:br w:type="page"/>
      </w:r>
    </w:p>
    <w:p w:rsidR="005041F8" w:rsidRPr="00E5728A" w:rsidRDefault="005041F8" w:rsidP="00E453F8">
      <w:pPr>
        <w:pStyle w:val="Heading5"/>
      </w:pPr>
      <w:r w:rsidRPr="00E5728A">
        <w:lastRenderedPageBreak/>
        <w:t xml:space="preserve">Programme 2.1 Deliverables  </w:t>
      </w:r>
    </w:p>
    <w:p w:rsidR="005041F8" w:rsidRPr="00F00728" w:rsidRDefault="005041F8" w:rsidP="005041F8">
      <w:pPr>
        <w:spacing w:after="0" w:line="240" w:lineRule="auto"/>
        <w:rPr>
          <w:lang w:eastAsia="en-US"/>
        </w:rPr>
      </w:pPr>
    </w:p>
    <w:p w:rsidR="005041F8" w:rsidRPr="00F00728" w:rsidRDefault="005041F8" w:rsidP="008972BD">
      <w:pPr>
        <w:spacing w:after="0"/>
      </w:pPr>
      <w:r w:rsidRPr="00F00728">
        <w:t xml:space="preserve">The key deliverables for </w:t>
      </w:r>
      <w:r w:rsidR="00D13659">
        <w:t>this programme</w:t>
      </w:r>
      <w:r w:rsidRPr="00F00728">
        <w:t xml:space="preserve"> are:</w:t>
      </w:r>
    </w:p>
    <w:p w:rsidR="005041F8" w:rsidRPr="00F00728" w:rsidRDefault="005041F8" w:rsidP="008972BD">
      <w:pPr>
        <w:spacing w:before="240" w:after="60" w:line="240" w:lineRule="auto"/>
        <w:rPr>
          <w:b/>
        </w:rPr>
      </w:pPr>
      <w:r w:rsidRPr="00F00728">
        <w:rPr>
          <w:b/>
        </w:rPr>
        <w:t>Financial Framework</w:t>
      </w:r>
    </w:p>
    <w:p w:rsidR="005041F8" w:rsidRPr="00F00728" w:rsidRDefault="005041F8" w:rsidP="005041F8">
      <w:pPr>
        <w:spacing w:after="120"/>
        <w:rPr>
          <w:lang w:eastAsia="en-US"/>
        </w:rPr>
      </w:pPr>
      <w:r w:rsidRPr="00F00728">
        <w:rPr>
          <w:lang w:eastAsia="en-US"/>
        </w:rPr>
        <w:t xml:space="preserve">Provide advice on policy and </w:t>
      </w:r>
      <w:r w:rsidRPr="00F00728">
        <w:t>implementation</w:t>
      </w:r>
      <w:r w:rsidRPr="00F00728">
        <w:rPr>
          <w:lang w:eastAsia="en-US"/>
        </w:rPr>
        <w:t xml:space="preserve"> issues in relation to the financial framework, to improve efficiencies government administration.</w:t>
      </w:r>
    </w:p>
    <w:p w:rsidR="005041F8" w:rsidRPr="00F00728" w:rsidRDefault="005041F8" w:rsidP="005041F8">
      <w:pPr>
        <w:spacing w:after="120"/>
        <w:rPr>
          <w:lang w:eastAsia="en-US"/>
        </w:rPr>
      </w:pPr>
      <w:r w:rsidRPr="00F00728">
        <w:rPr>
          <w:lang w:eastAsia="en-US"/>
        </w:rPr>
        <w:t xml:space="preserve">In </w:t>
      </w:r>
      <w:r w:rsidRPr="00F00728">
        <w:t>particular</w:t>
      </w:r>
      <w:r w:rsidRPr="00F00728">
        <w:rPr>
          <w:lang w:eastAsia="en-US"/>
        </w:rPr>
        <w:t>:</w:t>
      </w:r>
    </w:p>
    <w:p w:rsidR="00872C20" w:rsidRPr="00E453F8" w:rsidRDefault="00C420C5"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g</w:t>
      </w:r>
      <w:r w:rsidR="00872C20" w:rsidRPr="00E453F8">
        <w:rPr>
          <w:rFonts w:ascii="Book Antiqua" w:hAnsi="Book Antiqua"/>
          <w:sz w:val="20"/>
          <w:szCs w:val="20"/>
        </w:rPr>
        <w:t>iving structure and support to the transforming governme</w:t>
      </w:r>
      <w:r w:rsidR="001270E3">
        <w:rPr>
          <w:rFonts w:ascii="Book Antiqua" w:hAnsi="Book Antiqua"/>
          <w:sz w:val="20"/>
          <w:szCs w:val="20"/>
        </w:rPr>
        <w:t>nt agenda through the following</w:t>
      </w:r>
      <w:r w:rsidR="00872C20" w:rsidRPr="00E453F8">
        <w:rPr>
          <w:rFonts w:ascii="Book Antiqua" w:hAnsi="Book Antiqua"/>
          <w:sz w:val="20"/>
          <w:szCs w:val="20"/>
        </w:rPr>
        <w:t>:</w:t>
      </w:r>
    </w:p>
    <w:p w:rsidR="00872C20" w:rsidRPr="00A96FFE" w:rsidRDefault="00C420C5" w:rsidP="00E453F8">
      <w:pPr>
        <w:pStyle w:val="ListParagraph"/>
        <w:numPr>
          <w:ilvl w:val="0"/>
          <w:numId w:val="12"/>
        </w:numPr>
        <w:autoSpaceDE w:val="0"/>
        <w:autoSpaceDN w:val="0"/>
        <w:spacing w:after="80" w:line="240" w:lineRule="auto"/>
        <w:contextualSpacing w:val="0"/>
        <w:jc w:val="both"/>
        <w:rPr>
          <w:rFonts w:ascii="Book Antiqua" w:hAnsi="Book Antiqua"/>
          <w:sz w:val="20"/>
          <w:szCs w:val="20"/>
        </w:rPr>
      </w:pPr>
      <w:r>
        <w:rPr>
          <w:rFonts w:ascii="Book Antiqua" w:hAnsi="Book Antiqua"/>
          <w:sz w:val="20"/>
          <w:szCs w:val="20"/>
        </w:rPr>
        <w:t>l</w:t>
      </w:r>
      <w:r w:rsidR="00872C20" w:rsidRPr="00A96FFE">
        <w:rPr>
          <w:rFonts w:ascii="Book Antiqua" w:hAnsi="Book Antiqua"/>
          <w:sz w:val="20"/>
          <w:szCs w:val="20"/>
        </w:rPr>
        <w:t>egislation</w:t>
      </w:r>
      <w:r w:rsidR="00D13659">
        <w:rPr>
          <w:rFonts w:ascii="Book Antiqua" w:hAnsi="Book Antiqua"/>
          <w:sz w:val="20"/>
          <w:szCs w:val="20"/>
        </w:rPr>
        <w:t>;</w:t>
      </w:r>
    </w:p>
    <w:p w:rsidR="00872C20" w:rsidRPr="00A96FFE" w:rsidRDefault="00C420C5" w:rsidP="00E453F8">
      <w:pPr>
        <w:pStyle w:val="ListParagraph"/>
        <w:numPr>
          <w:ilvl w:val="0"/>
          <w:numId w:val="12"/>
        </w:numPr>
        <w:autoSpaceDE w:val="0"/>
        <w:autoSpaceDN w:val="0"/>
        <w:spacing w:after="80" w:line="240" w:lineRule="auto"/>
        <w:contextualSpacing w:val="0"/>
        <w:jc w:val="both"/>
        <w:rPr>
          <w:rFonts w:ascii="Book Antiqua" w:hAnsi="Book Antiqua"/>
          <w:sz w:val="20"/>
          <w:szCs w:val="20"/>
        </w:rPr>
      </w:pPr>
      <w:r>
        <w:rPr>
          <w:rFonts w:ascii="Book Antiqua" w:hAnsi="Book Antiqua"/>
          <w:sz w:val="20"/>
          <w:szCs w:val="20"/>
        </w:rPr>
        <w:t>r</w:t>
      </w:r>
      <w:r w:rsidR="00872C20" w:rsidRPr="00A96FFE">
        <w:rPr>
          <w:rFonts w:ascii="Book Antiqua" w:hAnsi="Book Antiqua"/>
          <w:sz w:val="20"/>
          <w:szCs w:val="20"/>
        </w:rPr>
        <w:t>ules</w:t>
      </w:r>
      <w:r w:rsidR="00D13659">
        <w:rPr>
          <w:rFonts w:ascii="Book Antiqua" w:hAnsi="Book Antiqua"/>
          <w:sz w:val="20"/>
          <w:szCs w:val="20"/>
        </w:rPr>
        <w:t>;</w:t>
      </w:r>
    </w:p>
    <w:p w:rsidR="00872C20" w:rsidRPr="00A96FFE" w:rsidRDefault="00C420C5" w:rsidP="00E453F8">
      <w:pPr>
        <w:pStyle w:val="ListParagraph"/>
        <w:numPr>
          <w:ilvl w:val="0"/>
          <w:numId w:val="12"/>
        </w:numPr>
        <w:autoSpaceDE w:val="0"/>
        <w:autoSpaceDN w:val="0"/>
        <w:spacing w:after="80" w:line="240" w:lineRule="auto"/>
        <w:contextualSpacing w:val="0"/>
        <w:jc w:val="both"/>
        <w:rPr>
          <w:rFonts w:ascii="Book Antiqua" w:hAnsi="Book Antiqua"/>
          <w:sz w:val="20"/>
          <w:szCs w:val="20"/>
        </w:rPr>
      </w:pPr>
      <w:r>
        <w:rPr>
          <w:rFonts w:ascii="Book Antiqua" w:hAnsi="Book Antiqua"/>
          <w:sz w:val="20"/>
          <w:szCs w:val="20"/>
        </w:rPr>
        <w:t>g</w:t>
      </w:r>
      <w:r w:rsidR="00872C20" w:rsidRPr="00A96FFE">
        <w:rPr>
          <w:rFonts w:ascii="Book Antiqua" w:hAnsi="Book Antiqua"/>
          <w:sz w:val="20"/>
          <w:szCs w:val="20"/>
        </w:rPr>
        <w:t>uidance material</w:t>
      </w:r>
      <w:r>
        <w:rPr>
          <w:rFonts w:ascii="Book Antiqua" w:hAnsi="Book Antiqua"/>
          <w:sz w:val="20"/>
          <w:szCs w:val="20"/>
        </w:rPr>
        <w:t>; and</w:t>
      </w:r>
    </w:p>
    <w:p w:rsidR="00872C20" w:rsidRPr="00A96FFE" w:rsidRDefault="00C420C5"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proofErr w:type="gramStart"/>
      <w:r>
        <w:rPr>
          <w:rFonts w:ascii="Book Antiqua" w:hAnsi="Book Antiqua"/>
          <w:sz w:val="20"/>
          <w:szCs w:val="20"/>
        </w:rPr>
        <w:t>t</w:t>
      </w:r>
      <w:r w:rsidR="00872C20" w:rsidRPr="00A96FFE">
        <w:rPr>
          <w:rFonts w:ascii="Book Antiqua" w:hAnsi="Book Antiqua"/>
          <w:sz w:val="20"/>
          <w:szCs w:val="20"/>
        </w:rPr>
        <w:t>raining</w:t>
      </w:r>
      <w:proofErr w:type="gramEnd"/>
      <w:r w:rsidR="00872C20" w:rsidRPr="00A96FFE">
        <w:rPr>
          <w:rFonts w:ascii="Book Antiqua" w:hAnsi="Book Antiqua"/>
          <w:sz w:val="20"/>
          <w:szCs w:val="20"/>
        </w:rPr>
        <w:t xml:space="preserve"> </w:t>
      </w:r>
      <w:r>
        <w:rPr>
          <w:rFonts w:ascii="Book Antiqua" w:hAnsi="Book Antiqua"/>
          <w:sz w:val="20"/>
          <w:szCs w:val="20"/>
        </w:rPr>
        <w:t>and c</w:t>
      </w:r>
      <w:r w:rsidR="00872C20" w:rsidRPr="00A96FFE">
        <w:rPr>
          <w:rFonts w:ascii="Book Antiqua" w:hAnsi="Book Antiqua"/>
          <w:sz w:val="20"/>
          <w:szCs w:val="20"/>
        </w:rPr>
        <w:t>ommunication</w:t>
      </w:r>
      <w:r>
        <w:rPr>
          <w:rFonts w:ascii="Book Antiqua" w:hAnsi="Book Antiqua"/>
          <w:sz w:val="20"/>
          <w:szCs w:val="20"/>
        </w:rPr>
        <w:t>.</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 xml:space="preserve">providing policy advice </w:t>
      </w:r>
      <w:r w:rsidRPr="00F00728">
        <w:rPr>
          <w:rFonts w:ascii="Book Antiqua" w:hAnsi="Book Antiqua"/>
          <w:sz w:val="20"/>
          <w:szCs w:val="20"/>
        </w:rPr>
        <w:t>and</w:t>
      </w:r>
      <w:r w:rsidRPr="00E453F8">
        <w:rPr>
          <w:rFonts w:ascii="Book Antiqua" w:hAnsi="Book Antiqua"/>
          <w:sz w:val="20"/>
          <w:szCs w:val="20"/>
        </w:rPr>
        <w:t xml:space="preserve"> support to the government and Commonwealth entities on grants policy and related operational matters;</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undertaking</w:t>
      </w:r>
      <w:r w:rsidRPr="00E453F8">
        <w:rPr>
          <w:rFonts w:ascii="Book Antiqua" w:hAnsi="Book Antiqua"/>
          <w:sz w:val="20"/>
          <w:szCs w:val="20"/>
        </w:rPr>
        <w:t xml:space="preserve"> Gateway Reviews and Implementation Readiness Assessments of major projects and programmes over their lifecycle, to provide assurance to Commonwealth entities regarding delivery and implementation; </w:t>
      </w:r>
    </w:p>
    <w:p w:rsidR="005041F8" w:rsidRPr="00F0072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providing consistent and balanced policy guidance and management of </w:t>
      </w:r>
      <w:r w:rsidR="00F66863">
        <w:rPr>
          <w:rFonts w:ascii="Book Antiqua" w:hAnsi="Book Antiqua"/>
          <w:sz w:val="20"/>
          <w:szCs w:val="20"/>
        </w:rPr>
        <w:t>Act of Grace</w:t>
      </w:r>
      <w:r w:rsidRPr="00F00728">
        <w:rPr>
          <w:rFonts w:ascii="Book Antiqua" w:hAnsi="Book Antiqua"/>
          <w:sz w:val="20"/>
          <w:szCs w:val="20"/>
        </w:rPr>
        <w:t xml:space="preserve"> requests, waiver of debt applications and set off matters; </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deploying public financial management advisory staff to partner countries as agreed with the governments of these countries, in line with the governmen</w:t>
      </w:r>
      <w:r w:rsidR="001270E3">
        <w:rPr>
          <w:rFonts w:ascii="Book Antiqua" w:hAnsi="Book Antiqua"/>
          <w:sz w:val="20"/>
          <w:szCs w:val="20"/>
        </w:rPr>
        <w:t xml:space="preserve">t's overseas </w:t>
      </w:r>
      <w:r w:rsidR="0007657B">
        <w:rPr>
          <w:rFonts w:ascii="Book Antiqua" w:hAnsi="Book Antiqua"/>
          <w:sz w:val="20"/>
          <w:szCs w:val="20"/>
        </w:rPr>
        <w:t>development assistance</w:t>
      </w:r>
      <w:r w:rsidR="001270E3">
        <w:rPr>
          <w:rFonts w:ascii="Book Antiqua" w:hAnsi="Book Antiqua"/>
          <w:sz w:val="20"/>
          <w:szCs w:val="20"/>
        </w:rPr>
        <w:t xml:space="preserve"> priorities;</w:t>
      </w:r>
    </w:p>
    <w:p w:rsidR="005041F8" w:rsidRPr="00F0072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paying</w:t>
      </w:r>
      <w:r w:rsidRPr="00F00728">
        <w:rPr>
          <w:rFonts w:ascii="Book Antiqua" w:hAnsi="Book Antiqua"/>
          <w:sz w:val="20"/>
          <w:szCs w:val="20"/>
        </w:rPr>
        <w:t xml:space="preserve"> Grants in Aid funding to approved organisations; and</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F00728">
        <w:rPr>
          <w:rFonts w:ascii="Book Antiqua" w:hAnsi="Book Antiqua"/>
          <w:sz w:val="20"/>
          <w:szCs w:val="20"/>
        </w:rPr>
        <w:t>strengthening</w:t>
      </w:r>
      <w:proofErr w:type="gramEnd"/>
      <w:r w:rsidRPr="00E453F8">
        <w:rPr>
          <w:rFonts w:ascii="Book Antiqua" w:hAnsi="Book Antiqua"/>
          <w:sz w:val="20"/>
          <w:szCs w:val="20"/>
        </w:rPr>
        <w:t xml:space="preserve"> public sector capability through regular capacity building activities.</w:t>
      </w:r>
    </w:p>
    <w:p w:rsidR="005041F8" w:rsidRPr="00F00728" w:rsidRDefault="005041F8" w:rsidP="008972BD">
      <w:pPr>
        <w:spacing w:before="240" w:after="60" w:line="240" w:lineRule="auto"/>
        <w:rPr>
          <w:b/>
        </w:rPr>
      </w:pPr>
      <w:r w:rsidRPr="00F00728">
        <w:rPr>
          <w:b/>
        </w:rPr>
        <w:t>Procurement Framework</w:t>
      </w:r>
    </w:p>
    <w:p w:rsidR="005041F8" w:rsidRPr="00F00728" w:rsidRDefault="005041F8" w:rsidP="005041F8">
      <w:pPr>
        <w:spacing w:after="120"/>
        <w:rPr>
          <w:lang w:eastAsia="en-US"/>
        </w:rPr>
      </w:pPr>
      <w:r w:rsidRPr="00F00728">
        <w:rPr>
          <w:lang w:eastAsia="en-US"/>
        </w:rPr>
        <w:t xml:space="preserve">Provide advice on policy and </w:t>
      </w:r>
      <w:r w:rsidRPr="00F00728">
        <w:t>implementation</w:t>
      </w:r>
      <w:r w:rsidRPr="00F00728">
        <w:rPr>
          <w:lang w:eastAsia="en-US"/>
        </w:rPr>
        <w:t xml:space="preserve"> issues in relation to the procurement framework, to improve efficiencies government administration.</w:t>
      </w:r>
    </w:p>
    <w:p w:rsidR="005041F8" w:rsidRPr="00F00728" w:rsidRDefault="005041F8" w:rsidP="005041F8">
      <w:pPr>
        <w:spacing w:after="120"/>
        <w:rPr>
          <w:lang w:eastAsia="en-US"/>
        </w:rPr>
      </w:pPr>
      <w:r w:rsidRPr="00F00728">
        <w:rPr>
          <w:lang w:eastAsia="en-US"/>
        </w:rPr>
        <w:t xml:space="preserve">In </w:t>
      </w:r>
      <w:r w:rsidRPr="00F00728">
        <w:t>particular</w:t>
      </w:r>
      <w:r w:rsidRPr="00F00728">
        <w:rPr>
          <w:lang w:eastAsia="en-US"/>
        </w:rPr>
        <w:t>:</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 xml:space="preserve">providing policy advice </w:t>
      </w:r>
      <w:r w:rsidRPr="00F00728">
        <w:rPr>
          <w:rFonts w:ascii="Book Antiqua" w:hAnsi="Book Antiqua"/>
          <w:sz w:val="20"/>
          <w:szCs w:val="20"/>
        </w:rPr>
        <w:t>and</w:t>
      </w:r>
      <w:r w:rsidRPr="00E453F8">
        <w:rPr>
          <w:rFonts w:ascii="Book Antiqua" w:hAnsi="Book Antiqua"/>
          <w:sz w:val="20"/>
          <w:szCs w:val="20"/>
        </w:rPr>
        <w:t xml:space="preserve"> support to the government and Commonwealth entities on procurement policy and related operational matters; </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developing and managing AusTender; and</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E453F8">
        <w:rPr>
          <w:rFonts w:ascii="Book Antiqua" w:hAnsi="Book Antiqua"/>
          <w:sz w:val="20"/>
          <w:szCs w:val="20"/>
        </w:rPr>
        <w:t>strengthening</w:t>
      </w:r>
      <w:proofErr w:type="gramEnd"/>
      <w:r w:rsidRPr="00E453F8">
        <w:rPr>
          <w:rFonts w:ascii="Book Antiqua" w:hAnsi="Book Antiqua"/>
          <w:sz w:val="20"/>
          <w:szCs w:val="20"/>
        </w:rPr>
        <w:t xml:space="preserve"> public sector capability through regular capacity building activities.</w:t>
      </w:r>
    </w:p>
    <w:p w:rsidR="00E453F8" w:rsidRDefault="00E453F8">
      <w:pPr>
        <w:spacing w:after="0" w:line="240" w:lineRule="auto"/>
        <w:jc w:val="left"/>
        <w:rPr>
          <w:b/>
        </w:rPr>
      </w:pPr>
      <w:r>
        <w:rPr>
          <w:b/>
        </w:rPr>
        <w:br w:type="page"/>
      </w:r>
    </w:p>
    <w:p w:rsidR="005041F8" w:rsidRPr="00F00728" w:rsidRDefault="005041F8" w:rsidP="008972BD">
      <w:pPr>
        <w:spacing w:before="240" w:after="60" w:line="240" w:lineRule="auto"/>
        <w:rPr>
          <w:b/>
        </w:rPr>
      </w:pPr>
      <w:r w:rsidRPr="00F00728">
        <w:rPr>
          <w:b/>
        </w:rPr>
        <w:lastRenderedPageBreak/>
        <w:t xml:space="preserve">Government Shareholder Oversight </w:t>
      </w:r>
    </w:p>
    <w:p w:rsidR="005041F8" w:rsidRPr="00D5385C" w:rsidRDefault="005041F8" w:rsidP="005041F8">
      <w:pPr>
        <w:spacing w:after="120"/>
        <w:rPr>
          <w:lang w:eastAsia="en-US"/>
        </w:rPr>
      </w:pPr>
      <w:r w:rsidRPr="00F00728">
        <w:rPr>
          <w:lang w:eastAsia="en-US"/>
        </w:rPr>
        <w:t xml:space="preserve">Promoting a robust governance and accountability framework for GBEs and other </w:t>
      </w:r>
      <w:r w:rsidRPr="00D5385C">
        <w:rPr>
          <w:lang w:eastAsia="en-US"/>
        </w:rPr>
        <w:t>commercial entities and:</w:t>
      </w:r>
    </w:p>
    <w:p w:rsidR="005041F8" w:rsidRPr="00D5385C"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D5385C">
        <w:rPr>
          <w:rFonts w:ascii="Book Antiqua" w:hAnsi="Book Antiqua"/>
          <w:sz w:val="20"/>
          <w:szCs w:val="20"/>
        </w:rPr>
        <w:t>providing advice to the government on strategy and governance;</w:t>
      </w:r>
      <w:r w:rsidR="00D5385C">
        <w:rPr>
          <w:rFonts w:ascii="Book Antiqua" w:hAnsi="Book Antiqua"/>
          <w:sz w:val="20"/>
          <w:szCs w:val="20"/>
        </w:rPr>
        <w:t xml:space="preserve"> </w:t>
      </w:r>
      <w:r w:rsidR="00D5385C" w:rsidRPr="00D5385C">
        <w:rPr>
          <w:rFonts w:ascii="Book Antiqua" w:hAnsi="Book Antiqua"/>
          <w:sz w:val="20"/>
          <w:szCs w:val="20"/>
        </w:rPr>
        <w:t>and</w:t>
      </w:r>
    </w:p>
    <w:p w:rsidR="005041F8" w:rsidRPr="00D5385C" w:rsidRDefault="005041F8" w:rsidP="00D5385C">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5385C">
        <w:rPr>
          <w:rFonts w:ascii="Book Antiqua" w:hAnsi="Book Antiqua"/>
          <w:sz w:val="20"/>
          <w:szCs w:val="20"/>
        </w:rPr>
        <w:t>providing</w:t>
      </w:r>
      <w:proofErr w:type="gramEnd"/>
      <w:r w:rsidRPr="00D5385C">
        <w:rPr>
          <w:rFonts w:ascii="Book Antiqua" w:hAnsi="Book Antiqua"/>
          <w:sz w:val="20"/>
          <w:szCs w:val="20"/>
        </w:rPr>
        <w:t xml:space="preserve"> advice to the government on their operations, financial forecasts and performance</w:t>
      </w:r>
      <w:r w:rsidR="00D5385C" w:rsidRPr="00D5385C">
        <w:rPr>
          <w:rFonts w:ascii="Book Antiqua" w:hAnsi="Book Antiqua"/>
          <w:sz w:val="20"/>
          <w:szCs w:val="20"/>
        </w:rPr>
        <w:t>.</w:t>
      </w:r>
    </w:p>
    <w:p w:rsidR="005041F8" w:rsidRPr="00F00728" w:rsidRDefault="005041F8" w:rsidP="008972BD">
      <w:pPr>
        <w:spacing w:before="240" w:after="60" w:line="240" w:lineRule="auto"/>
        <w:rPr>
          <w:b/>
        </w:rPr>
      </w:pPr>
      <w:r w:rsidRPr="00D5385C">
        <w:rPr>
          <w:b/>
        </w:rPr>
        <w:t>Special Financial Claims</w:t>
      </w:r>
    </w:p>
    <w:p w:rsidR="005041F8" w:rsidRDefault="005041F8" w:rsidP="005041F8">
      <w:pPr>
        <w:spacing w:after="0" w:line="240" w:lineRule="auto"/>
        <w:rPr>
          <w:b/>
          <w:bCs/>
          <w:iCs/>
        </w:rPr>
      </w:pPr>
      <w:r w:rsidRPr="00F00728">
        <w:t xml:space="preserve">Provide consistent and balanced policy guidance and management of </w:t>
      </w:r>
      <w:r w:rsidR="00F66863">
        <w:t>Act of Grace</w:t>
      </w:r>
      <w:r w:rsidRPr="00F00728">
        <w:t xml:space="preserve"> requests, waiver of debt applications and set off matters.</w:t>
      </w:r>
    </w:p>
    <w:p w:rsidR="005041F8" w:rsidRDefault="005041F8" w:rsidP="00F00728">
      <w:pPr>
        <w:spacing w:after="0" w:line="240" w:lineRule="auto"/>
        <w:rPr>
          <w:b/>
          <w:bCs/>
          <w:iCs/>
        </w:rPr>
      </w:pPr>
    </w:p>
    <w:p w:rsidR="005041F8" w:rsidRPr="00E5728A" w:rsidRDefault="005041F8" w:rsidP="00E453F8">
      <w:pPr>
        <w:pStyle w:val="Heading5"/>
      </w:pPr>
      <w:r w:rsidRPr="00E5728A">
        <w:t xml:space="preserve">Programme 2.1 Key Performance Indicators  </w:t>
      </w:r>
    </w:p>
    <w:p w:rsidR="005041F8" w:rsidRPr="00F00728" w:rsidRDefault="005041F8" w:rsidP="005041F8">
      <w:pPr>
        <w:spacing w:after="0" w:line="240" w:lineRule="auto"/>
        <w:rPr>
          <w:lang w:eastAsia="en-US"/>
        </w:rPr>
      </w:pPr>
    </w:p>
    <w:p w:rsidR="005041F8" w:rsidRPr="00F00728" w:rsidRDefault="005041F8" w:rsidP="005041F8">
      <w:r w:rsidRPr="00F00728">
        <w:t xml:space="preserve">The key performance </w:t>
      </w:r>
      <w:r w:rsidR="00670296">
        <w:t>indicators</w:t>
      </w:r>
      <w:r w:rsidRPr="00F00728">
        <w:t xml:space="preserve"> for </w:t>
      </w:r>
      <w:r w:rsidR="00D13659">
        <w:t>this programme</w:t>
      </w:r>
      <w:r w:rsidRPr="00F00728">
        <w:t xml:space="preserve"> are:</w:t>
      </w:r>
    </w:p>
    <w:p w:rsidR="005041F8" w:rsidRPr="00F00728" w:rsidRDefault="00670296" w:rsidP="008972BD">
      <w:pPr>
        <w:spacing w:before="240" w:after="60" w:line="240" w:lineRule="auto"/>
        <w:rPr>
          <w:b/>
        </w:rPr>
      </w:pPr>
      <w:r>
        <w:rPr>
          <w:b/>
        </w:rPr>
        <w:t>Financial Framework</w:t>
      </w:r>
    </w:p>
    <w:p w:rsidR="00872C20" w:rsidRPr="00E453F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a</w:t>
      </w:r>
      <w:r w:rsidR="00872C20" w:rsidRPr="00E453F8">
        <w:rPr>
          <w:rFonts w:ascii="Book Antiqua" w:hAnsi="Book Antiqua"/>
          <w:sz w:val="20"/>
          <w:szCs w:val="20"/>
        </w:rPr>
        <w:t>n</w:t>
      </w:r>
      <w:proofErr w:type="gramEnd"/>
      <w:r w:rsidR="00872C20" w:rsidRPr="00E453F8">
        <w:rPr>
          <w:rFonts w:ascii="Book Antiqua" w:hAnsi="Book Antiqua"/>
          <w:sz w:val="20"/>
          <w:szCs w:val="20"/>
        </w:rPr>
        <w:t xml:space="preserve"> independent review of the operation of the PGPA Act and its rules is to be conducted under section 112 of the Act after 1 July 2017. The review is to be tabled in the Pa</w:t>
      </w:r>
      <w:r w:rsidR="001270E3">
        <w:rPr>
          <w:rFonts w:ascii="Book Antiqua" w:hAnsi="Book Antiqua"/>
          <w:sz w:val="20"/>
          <w:szCs w:val="20"/>
        </w:rPr>
        <w:t>rliament;</w:t>
      </w:r>
    </w:p>
    <w:p w:rsidR="005041F8" w:rsidRPr="00E453F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t</w:t>
      </w:r>
      <w:r w:rsidR="005041F8" w:rsidRPr="00E453F8">
        <w:rPr>
          <w:rFonts w:ascii="Book Antiqua" w:hAnsi="Book Antiqua"/>
          <w:sz w:val="20"/>
          <w:szCs w:val="20"/>
        </w:rPr>
        <w:t>imely and relevant</w:t>
      </w:r>
      <w:r w:rsidR="001270E3">
        <w:rPr>
          <w:rFonts w:ascii="Book Antiqua" w:hAnsi="Book Antiqua"/>
          <w:sz w:val="20"/>
          <w:szCs w:val="20"/>
        </w:rPr>
        <w:t xml:space="preserve"> advice on grant policy matters;</w:t>
      </w:r>
    </w:p>
    <w:p w:rsidR="00CF6796" w:rsidRDefault="00CF6796"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 xml:space="preserve">90% of senior responsible officials identify that Gateway has contributed </w:t>
      </w:r>
      <w:r w:rsidR="001270E3">
        <w:rPr>
          <w:rFonts w:ascii="Book Antiqua" w:hAnsi="Book Antiqua"/>
          <w:sz w:val="20"/>
          <w:szCs w:val="20"/>
        </w:rPr>
        <w:t>constructively to their project;</w:t>
      </w:r>
    </w:p>
    <w:p w:rsidR="005041F8" w:rsidRPr="00E453F8" w:rsidRDefault="00CF6796"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 xml:space="preserve">90% of Gateway review report recommendations are </w:t>
      </w:r>
      <w:proofErr w:type="spellStart"/>
      <w:r>
        <w:rPr>
          <w:rFonts w:ascii="Book Antiqua" w:hAnsi="Book Antiqua"/>
          <w:sz w:val="20"/>
          <w:szCs w:val="20"/>
        </w:rPr>
        <w:t>actioned</w:t>
      </w:r>
      <w:proofErr w:type="spellEnd"/>
      <w:r>
        <w:rPr>
          <w:rFonts w:ascii="Book Antiqua" w:hAnsi="Book Antiqua"/>
          <w:sz w:val="20"/>
          <w:szCs w:val="20"/>
        </w:rPr>
        <w:t xml:space="preserve"> or being </w:t>
      </w:r>
      <w:proofErr w:type="spellStart"/>
      <w:r>
        <w:rPr>
          <w:rFonts w:ascii="Book Antiqua" w:hAnsi="Book Antiqua"/>
          <w:sz w:val="20"/>
          <w:szCs w:val="20"/>
        </w:rPr>
        <w:t>actioned</w:t>
      </w:r>
      <w:proofErr w:type="spellEnd"/>
      <w:r>
        <w:rPr>
          <w:rFonts w:ascii="Book Antiqua" w:hAnsi="Book Antiqua"/>
          <w:sz w:val="20"/>
          <w:szCs w:val="20"/>
        </w:rPr>
        <w:t xml:space="preserve"> by </w:t>
      </w:r>
      <w:r w:rsidR="00081A28">
        <w:rPr>
          <w:rFonts w:ascii="Book Antiqua" w:hAnsi="Book Antiqua"/>
          <w:sz w:val="20"/>
          <w:szCs w:val="20"/>
        </w:rPr>
        <w:t>entities</w:t>
      </w:r>
      <w:r w:rsidR="001270E3">
        <w:rPr>
          <w:rFonts w:ascii="Book Antiqua" w:hAnsi="Book Antiqua"/>
          <w:sz w:val="20"/>
          <w:szCs w:val="20"/>
        </w:rPr>
        <w:t>;</w:t>
      </w:r>
    </w:p>
    <w:p w:rsidR="005041F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c</w:t>
      </w:r>
      <w:r w:rsidR="005041F8" w:rsidRPr="00E453F8">
        <w:rPr>
          <w:rFonts w:ascii="Book Antiqua" w:hAnsi="Book Antiqua"/>
          <w:sz w:val="20"/>
          <w:szCs w:val="20"/>
        </w:rPr>
        <w:t>ompletion</w:t>
      </w:r>
      <w:r w:rsidR="005041F8" w:rsidRPr="00F00728">
        <w:rPr>
          <w:rFonts w:ascii="Book Antiqua" w:hAnsi="Book Antiqua"/>
          <w:sz w:val="20"/>
          <w:szCs w:val="20"/>
        </w:rPr>
        <w:t xml:space="preserve"> of 50% of all Act of Grace and waiver of debt requests within 60 days and 100% compliance with timeframes in the </w:t>
      </w:r>
      <w:r w:rsidR="005041F8" w:rsidRPr="00FF76AC">
        <w:rPr>
          <w:rFonts w:ascii="Book Antiqua" w:hAnsi="Book Antiqua"/>
          <w:i/>
          <w:sz w:val="20"/>
          <w:szCs w:val="20"/>
        </w:rPr>
        <w:t>Administrative Decisions (Judicial Review) Act 1977</w:t>
      </w:r>
      <w:r w:rsidR="001270E3">
        <w:rPr>
          <w:rFonts w:ascii="Book Antiqua" w:hAnsi="Book Antiqua"/>
          <w:sz w:val="20"/>
          <w:szCs w:val="20"/>
        </w:rPr>
        <w:t>;</w:t>
      </w:r>
    </w:p>
    <w:p w:rsidR="005041F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n</w:t>
      </w:r>
      <w:r w:rsidR="005041F8" w:rsidRPr="00F00728">
        <w:rPr>
          <w:rFonts w:ascii="Book Antiqua" w:hAnsi="Book Antiqua"/>
          <w:sz w:val="20"/>
          <w:szCs w:val="20"/>
        </w:rPr>
        <w:t xml:space="preserve">o </w:t>
      </w:r>
      <w:r w:rsidR="005041F8" w:rsidRPr="00E453F8">
        <w:rPr>
          <w:rFonts w:ascii="Book Antiqua" w:hAnsi="Book Antiqua"/>
          <w:sz w:val="20"/>
          <w:szCs w:val="20"/>
        </w:rPr>
        <w:t>adverse</w:t>
      </w:r>
      <w:r w:rsidR="005041F8" w:rsidRPr="00F00728">
        <w:rPr>
          <w:rFonts w:ascii="Book Antiqua" w:hAnsi="Book Antiqua"/>
          <w:sz w:val="20"/>
          <w:szCs w:val="20"/>
        </w:rPr>
        <w:t xml:space="preserve"> findings from the Commonwealth Ombudsman in respect of special cla</w:t>
      </w:r>
      <w:r w:rsidR="001270E3">
        <w:rPr>
          <w:rFonts w:ascii="Book Antiqua" w:hAnsi="Book Antiqua"/>
          <w:sz w:val="20"/>
          <w:szCs w:val="20"/>
        </w:rPr>
        <w:t>ims; and</w:t>
      </w:r>
    </w:p>
    <w:p w:rsidR="005041F8" w:rsidRPr="00872C20"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c</w:t>
      </w:r>
      <w:r w:rsidR="005041F8" w:rsidRPr="00E453F8">
        <w:rPr>
          <w:rFonts w:ascii="Book Antiqua" w:hAnsi="Book Antiqua"/>
          <w:sz w:val="20"/>
          <w:szCs w:val="20"/>
        </w:rPr>
        <w:t>ontribute</w:t>
      </w:r>
      <w:proofErr w:type="gramEnd"/>
      <w:r w:rsidR="005041F8" w:rsidRPr="00E453F8">
        <w:rPr>
          <w:rFonts w:ascii="Book Antiqua" w:hAnsi="Book Antiqua"/>
          <w:sz w:val="20"/>
          <w:szCs w:val="20"/>
        </w:rPr>
        <w:t xml:space="preserve"> to the achievement of the government’s objectives in Papua New Guinea, the Pacific, and East Asia</w:t>
      </w:r>
      <w:r w:rsidR="00872C20" w:rsidRPr="00E453F8">
        <w:rPr>
          <w:rFonts w:ascii="Book Antiqua" w:hAnsi="Book Antiqua"/>
          <w:sz w:val="20"/>
          <w:szCs w:val="20"/>
        </w:rPr>
        <w:t>.</w:t>
      </w:r>
    </w:p>
    <w:p w:rsidR="005041F8" w:rsidRPr="00F00728" w:rsidRDefault="005041F8" w:rsidP="008972BD">
      <w:pPr>
        <w:spacing w:before="240" w:after="60" w:line="240" w:lineRule="auto"/>
        <w:rPr>
          <w:b/>
        </w:rPr>
      </w:pPr>
      <w:r w:rsidRPr="00F00728">
        <w:rPr>
          <w:b/>
        </w:rPr>
        <w:t xml:space="preserve">Procurement Framework </w:t>
      </w:r>
    </w:p>
    <w:p w:rsidR="005041F8" w:rsidRPr="00E453F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t</w:t>
      </w:r>
      <w:r w:rsidR="005041F8" w:rsidRPr="00E453F8">
        <w:rPr>
          <w:rFonts w:ascii="Book Antiqua" w:hAnsi="Book Antiqua"/>
          <w:sz w:val="20"/>
          <w:szCs w:val="20"/>
        </w:rPr>
        <w:t xml:space="preserve">imely and relevant advice on procurement policy matters is provided, with at least 80% of </w:t>
      </w:r>
      <w:r w:rsidR="00D64BE6">
        <w:rPr>
          <w:rFonts w:ascii="Book Antiqua" w:hAnsi="Book Antiqua"/>
          <w:sz w:val="20"/>
          <w:szCs w:val="20"/>
        </w:rPr>
        <w:t>entity</w:t>
      </w:r>
      <w:r w:rsidR="005041F8" w:rsidRPr="00E453F8">
        <w:rPr>
          <w:rFonts w:ascii="Book Antiqua" w:hAnsi="Book Antiqua"/>
          <w:sz w:val="20"/>
          <w:szCs w:val="20"/>
        </w:rPr>
        <w:t xml:space="preserve"> queries to the procurement advice inbox</w:t>
      </w:r>
      <w:r w:rsidR="001270E3">
        <w:rPr>
          <w:rFonts w:ascii="Book Antiqua" w:hAnsi="Book Antiqua"/>
          <w:sz w:val="20"/>
          <w:szCs w:val="20"/>
        </w:rPr>
        <w:t xml:space="preserve"> responded to within three days; and</w:t>
      </w:r>
    </w:p>
    <w:p w:rsidR="00E453F8" w:rsidRPr="00317218" w:rsidRDefault="005041F8" w:rsidP="00317218">
      <w:pPr>
        <w:pStyle w:val="ListParagraph"/>
        <w:numPr>
          <w:ilvl w:val="0"/>
          <w:numId w:val="9"/>
        </w:numPr>
        <w:autoSpaceDE w:val="0"/>
        <w:autoSpaceDN w:val="0"/>
        <w:spacing w:after="0" w:line="240" w:lineRule="auto"/>
        <w:ind w:left="567" w:hanging="357"/>
        <w:contextualSpacing w:val="0"/>
        <w:rPr>
          <w:b/>
        </w:rPr>
      </w:pPr>
      <w:r w:rsidRPr="00E453F8">
        <w:rPr>
          <w:rFonts w:ascii="Book Antiqua" w:hAnsi="Book Antiqua"/>
          <w:sz w:val="20"/>
          <w:szCs w:val="20"/>
        </w:rPr>
        <w:t>AusTender is available 99% of the time during business hours (ACT local time)</w:t>
      </w:r>
      <w:r w:rsidR="001270E3">
        <w:rPr>
          <w:rFonts w:ascii="Book Antiqua" w:hAnsi="Book Antiqua"/>
          <w:sz w:val="20"/>
          <w:szCs w:val="20"/>
        </w:rPr>
        <w:t>.</w:t>
      </w:r>
      <w:r w:rsidR="00E453F8" w:rsidRPr="00317218">
        <w:rPr>
          <w:b/>
        </w:rPr>
        <w:br w:type="page"/>
      </w:r>
    </w:p>
    <w:p w:rsidR="005041F8" w:rsidRPr="00F00728" w:rsidRDefault="005041F8" w:rsidP="008972BD">
      <w:pPr>
        <w:spacing w:before="240" w:after="60" w:line="240" w:lineRule="auto"/>
        <w:rPr>
          <w:b/>
        </w:rPr>
      </w:pPr>
      <w:r w:rsidRPr="00F00728">
        <w:rPr>
          <w:b/>
        </w:rPr>
        <w:lastRenderedPageBreak/>
        <w:t xml:space="preserve">Government Shareholder Oversight </w:t>
      </w:r>
    </w:p>
    <w:p w:rsidR="005041F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w:t>
      </w:r>
      <w:r w:rsidR="005041F8" w:rsidRPr="00E453F8">
        <w:rPr>
          <w:rFonts w:ascii="Book Antiqua" w:hAnsi="Book Antiqua"/>
          <w:sz w:val="20"/>
          <w:szCs w:val="20"/>
        </w:rPr>
        <w:t>dvice</w:t>
      </w:r>
      <w:r w:rsidR="005041F8" w:rsidRPr="00F00728">
        <w:rPr>
          <w:rFonts w:ascii="Book Antiqua" w:hAnsi="Book Antiqua"/>
          <w:sz w:val="20"/>
          <w:szCs w:val="20"/>
        </w:rPr>
        <w:t xml:space="preserve"> </w:t>
      </w:r>
      <w:r w:rsidR="005041F8" w:rsidRPr="00E453F8">
        <w:rPr>
          <w:rFonts w:ascii="Book Antiqua" w:hAnsi="Book Antiqua"/>
          <w:sz w:val="20"/>
          <w:szCs w:val="20"/>
        </w:rPr>
        <w:t>to</w:t>
      </w:r>
      <w:r w:rsidR="005041F8" w:rsidRPr="00F00728">
        <w:rPr>
          <w:rFonts w:ascii="Book Antiqua" w:hAnsi="Book Antiqua"/>
          <w:sz w:val="20"/>
          <w:szCs w:val="20"/>
        </w:rPr>
        <w:t xml:space="preserve"> the Finance Minister is timel</w:t>
      </w:r>
      <w:r w:rsidR="001270E3">
        <w:rPr>
          <w:rFonts w:ascii="Book Antiqua" w:hAnsi="Book Antiqua"/>
          <w:sz w:val="20"/>
          <w:szCs w:val="20"/>
        </w:rPr>
        <w:t>y, relevant and of high quality;</w:t>
      </w:r>
    </w:p>
    <w:p w:rsidR="005041F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b</w:t>
      </w:r>
      <w:r w:rsidR="005041F8" w:rsidRPr="00E453F8">
        <w:rPr>
          <w:rFonts w:ascii="Book Antiqua" w:hAnsi="Book Antiqua"/>
          <w:sz w:val="20"/>
          <w:szCs w:val="20"/>
        </w:rPr>
        <w:t>riefings</w:t>
      </w:r>
      <w:r w:rsidR="005041F8" w:rsidRPr="00F00728">
        <w:rPr>
          <w:rFonts w:ascii="Book Antiqua" w:hAnsi="Book Antiqua"/>
          <w:sz w:val="20"/>
          <w:szCs w:val="20"/>
        </w:rPr>
        <w:t xml:space="preserve"> on Corporate Plans and Progress Reports to be provided to the Finance Minist</w:t>
      </w:r>
      <w:r w:rsidR="001270E3">
        <w:rPr>
          <w:rFonts w:ascii="Book Antiqua" w:hAnsi="Book Antiqua"/>
          <w:sz w:val="20"/>
          <w:szCs w:val="20"/>
        </w:rPr>
        <w:t>er within four weeks of receipt; and</w:t>
      </w:r>
    </w:p>
    <w:p w:rsidR="005041F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q</w:t>
      </w:r>
      <w:r w:rsidR="005041F8" w:rsidRPr="00E453F8">
        <w:rPr>
          <w:rFonts w:ascii="Book Antiqua" w:hAnsi="Book Antiqua"/>
          <w:sz w:val="20"/>
          <w:szCs w:val="20"/>
        </w:rPr>
        <w:t>uarterly</w:t>
      </w:r>
      <w:proofErr w:type="gramEnd"/>
      <w:r w:rsidR="005041F8" w:rsidRPr="00F00728">
        <w:rPr>
          <w:rFonts w:ascii="Book Antiqua" w:hAnsi="Book Antiqua"/>
          <w:sz w:val="20"/>
          <w:szCs w:val="20"/>
        </w:rPr>
        <w:t xml:space="preserve"> meeting</w:t>
      </w:r>
      <w:r w:rsidR="00F402E8">
        <w:rPr>
          <w:rFonts w:ascii="Book Antiqua" w:hAnsi="Book Antiqua"/>
          <w:sz w:val="20"/>
          <w:szCs w:val="20"/>
        </w:rPr>
        <w:t>s</w:t>
      </w:r>
      <w:r w:rsidR="005041F8" w:rsidRPr="00F00728">
        <w:rPr>
          <w:rFonts w:ascii="Book Antiqua" w:hAnsi="Book Antiqua"/>
          <w:sz w:val="20"/>
          <w:szCs w:val="20"/>
        </w:rPr>
        <w:t xml:space="preserve"> with GBEs.</w:t>
      </w:r>
    </w:p>
    <w:p w:rsidR="005041F8" w:rsidRPr="00F00728" w:rsidRDefault="005041F8" w:rsidP="008972BD">
      <w:pPr>
        <w:spacing w:before="240" w:after="60" w:line="240" w:lineRule="auto"/>
        <w:rPr>
          <w:b/>
        </w:rPr>
      </w:pPr>
      <w:r w:rsidRPr="00F00728">
        <w:rPr>
          <w:b/>
        </w:rPr>
        <w:t>Special Financial Claims</w:t>
      </w:r>
    </w:p>
    <w:p w:rsidR="000E7A66"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c</w:t>
      </w:r>
      <w:r w:rsidR="005041F8" w:rsidRPr="00E453F8">
        <w:rPr>
          <w:rFonts w:ascii="Book Antiqua" w:hAnsi="Book Antiqua"/>
          <w:sz w:val="20"/>
          <w:szCs w:val="20"/>
        </w:rPr>
        <w:t>ompletion</w:t>
      </w:r>
      <w:r w:rsidR="005041F8" w:rsidRPr="00F00728">
        <w:rPr>
          <w:rFonts w:ascii="Book Antiqua" w:hAnsi="Book Antiqua"/>
          <w:sz w:val="20"/>
          <w:szCs w:val="20"/>
        </w:rPr>
        <w:t xml:space="preserve"> of 50% of all Act of Grace and waiver of debt requests within 60 days and 100% compliance with timeframes in the </w:t>
      </w:r>
      <w:r w:rsidR="005041F8" w:rsidRPr="00E453F8">
        <w:rPr>
          <w:rFonts w:ascii="Book Antiqua" w:hAnsi="Book Antiqua"/>
          <w:i/>
          <w:sz w:val="20"/>
          <w:szCs w:val="20"/>
        </w:rPr>
        <w:t>Administrative Decisions (Judicial Review) Act 1977</w:t>
      </w:r>
      <w:r w:rsidR="001270E3">
        <w:rPr>
          <w:rFonts w:ascii="Book Antiqua" w:hAnsi="Book Antiqua"/>
          <w:sz w:val="20"/>
          <w:szCs w:val="20"/>
        </w:rPr>
        <w:t>; and</w:t>
      </w:r>
    </w:p>
    <w:p w:rsidR="005041F8" w:rsidRPr="000E7A66"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n</w:t>
      </w:r>
      <w:r w:rsidR="005041F8" w:rsidRPr="000E7A66">
        <w:rPr>
          <w:rFonts w:ascii="Book Antiqua" w:hAnsi="Book Antiqua"/>
          <w:sz w:val="20"/>
          <w:szCs w:val="20"/>
        </w:rPr>
        <w:t>o</w:t>
      </w:r>
      <w:proofErr w:type="gramEnd"/>
      <w:r w:rsidR="005041F8" w:rsidRPr="000E7A66">
        <w:rPr>
          <w:rFonts w:ascii="Book Antiqua" w:hAnsi="Book Antiqua"/>
          <w:sz w:val="20"/>
          <w:szCs w:val="20"/>
        </w:rPr>
        <w:t xml:space="preserve"> adverse findings from the Commonwealth Ombudsman in respect of special claims.</w:t>
      </w:r>
      <w:r w:rsidR="005041F8" w:rsidRPr="000E7A66">
        <w:rPr>
          <w:rFonts w:ascii="Book Antiqua" w:hAnsi="Book Antiqua"/>
          <w:sz w:val="20"/>
          <w:szCs w:val="20"/>
        </w:rPr>
        <w:br w:type="page"/>
      </w:r>
    </w:p>
    <w:p w:rsidR="00F3374F" w:rsidRPr="00926D0F" w:rsidRDefault="00F3374F" w:rsidP="00F3374F">
      <w:pPr>
        <w:pStyle w:val="SingleParagraph"/>
        <w:rPr>
          <w:sz w:val="2"/>
          <w:szCs w:val="2"/>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DC39E1" w:rsidTr="00DC39E1">
        <w:tc>
          <w:tcPr>
            <w:tcW w:w="7713" w:type="dxa"/>
            <w:shd w:val="clear" w:color="auto" w:fill="E6E6E6"/>
          </w:tcPr>
          <w:p w:rsidR="00DC39E1" w:rsidRPr="00F00728" w:rsidRDefault="00130BB7" w:rsidP="00873D79">
            <w:pPr>
              <w:pStyle w:val="TableColumnHeadingLeft"/>
            </w:pPr>
            <w:r>
              <w:br w:type="page"/>
            </w:r>
            <w:r w:rsidR="00553C63" w:rsidRPr="00F00728">
              <w:t>Programme 2.2:  Transforming Government</w:t>
            </w:r>
          </w:p>
        </w:tc>
      </w:tr>
    </w:tbl>
    <w:p w:rsidR="00DC39E1" w:rsidRDefault="00DC39E1" w:rsidP="00DC39E1">
      <w:pPr>
        <w:pStyle w:val="NoSpacing"/>
      </w:pPr>
    </w:p>
    <w:p w:rsidR="005041F8" w:rsidRPr="00E5728A" w:rsidRDefault="005041F8" w:rsidP="00E453F8">
      <w:pPr>
        <w:pStyle w:val="Heading5"/>
      </w:pPr>
      <w:r w:rsidRPr="00E5728A">
        <w:t>Programme 2.2 Objective</w:t>
      </w:r>
    </w:p>
    <w:p w:rsidR="005041F8" w:rsidRPr="007A0F02" w:rsidRDefault="005041F8" w:rsidP="005041F8">
      <w:pPr>
        <w:spacing w:after="0" w:line="240" w:lineRule="auto"/>
      </w:pPr>
    </w:p>
    <w:p w:rsidR="005041F8" w:rsidRPr="000E7A66" w:rsidRDefault="005041F8" w:rsidP="005041F8">
      <w:pPr>
        <w:spacing w:after="120"/>
      </w:pPr>
      <w:r w:rsidRPr="000E7A66">
        <w:t xml:space="preserve">This programme </w:t>
      </w:r>
      <w:r w:rsidRPr="000E7A66">
        <w:rPr>
          <w:lang w:eastAsia="en-US"/>
        </w:rPr>
        <w:t>contributes</w:t>
      </w:r>
      <w:r w:rsidRPr="000E7A66">
        <w:t xml:space="preserve"> to the outcome through:</w:t>
      </w:r>
    </w:p>
    <w:p w:rsidR="002E63D2"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0E7A66">
        <w:rPr>
          <w:rFonts w:ascii="Book Antiqua" w:hAnsi="Book Antiqua"/>
          <w:sz w:val="20"/>
          <w:szCs w:val="20"/>
        </w:rPr>
        <w:t>providing leadership and supporting decision making relating to the digital economy and use of technology in government operations, that enables the delivery of better and more efficient services for the Australian people, commun</w:t>
      </w:r>
      <w:r w:rsidR="002E63D2">
        <w:rPr>
          <w:rFonts w:ascii="Book Antiqua" w:hAnsi="Book Antiqua"/>
          <w:sz w:val="20"/>
          <w:szCs w:val="20"/>
        </w:rPr>
        <w:t>ities and business</w:t>
      </w:r>
      <w:r w:rsidR="007108C4">
        <w:rPr>
          <w:rFonts w:ascii="Book Antiqua" w:hAnsi="Book Antiqua"/>
          <w:sz w:val="20"/>
          <w:szCs w:val="20"/>
        </w:rPr>
        <w:t>; and</w:t>
      </w:r>
    </w:p>
    <w:p w:rsidR="005041F8" w:rsidRPr="000E7A66"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0E7A66">
        <w:rPr>
          <w:rFonts w:ascii="Book Antiqua" w:hAnsi="Book Antiqua"/>
          <w:sz w:val="20"/>
          <w:szCs w:val="20"/>
        </w:rPr>
        <w:t>scoping</w:t>
      </w:r>
      <w:proofErr w:type="gramEnd"/>
      <w:r w:rsidRPr="000E7A66">
        <w:rPr>
          <w:rFonts w:ascii="Book Antiqua" w:hAnsi="Book Antiqua"/>
          <w:sz w:val="20"/>
          <w:szCs w:val="20"/>
        </w:rPr>
        <w:t xml:space="preserve"> divestment opportunities and managing asset sales and any residual issues arising from previous asset sales.</w:t>
      </w:r>
    </w:p>
    <w:p w:rsidR="005041F8" w:rsidRDefault="005041F8" w:rsidP="00DC39E1">
      <w:pPr>
        <w:pStyle w:val="NoSpacing"/>
      </w:pPr>
    </w:p>
    <w:p w:rsidR="005041F8" w:rsidRPr="00E5728A" w:rsidRDefault="005041F8" w:rsidP="00E453F8">
      <w:pPr>
        <w:pStyle w:val="Heading5"/>
      </w:pPr>
      <w:r w:rsidRPr="00E5728A">
        <w:t>Programme 2.2 Expenses</w:t>
      </w:r>
    </w:p>
    <w:tbl>
      <w:tblPr>
        <w:tblW w:w="7280" w:type="dxa"/>
        <w:tblInd w:w="93" w:type="dxa"/>
        <w:tblLook w:val="04A0"/>
      </w:tblPr>
      <w:tblGrid>
        <w:gridCol w:w="3240"/>
        <w:gridCol w:w="928"/>
        <w:gridCol w:w="820"/>
        <w:gridCol w:w="821"/>
        <w:gridCol w:w="821"/>
        <w:gridCol w:w="821"/>
      </w:tblGrid>
      <w:tr w:rsidR="00C5570B" w:rsidRPr="00C5570B" w:rsidTr="00C5570B">
        <w:trPr>
          <w:trHeight w:val="225"/>
        </w:trPr>
        <w:tc>
          <w:tcPr>
            <w:tcW w:w="324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Special appropriations expenses:</w:t>
            </w:r>
          </w:p>
        </w:tc>
        <w:tc>
          <w:tcPr>
            <w:tcW w:w="8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proofErr w:type="spellStart"/>
            <w:r w:rsidRPr="00C5570B">
              <w:rPr>
                <w:rFonts w:ascii="Arial" w:hAnsi="Arial" w:cs="Arial"/>
                <w:i/>
                <w:iCs/>
                <w:sz w:val="16"/>
                <w:szCs w:val="16"/>
              </w:rPr>
              <w:t>Medibank</w:t>
            </w:r>
            <w:proofErr w:type="spellEnd"/>
            <w:r w:rsidRPr="00C5570B">
              <w:rPr>
                <w:rFonts w:ascii="Arial" w:hAnsi="Arial" w:cs="Arial"/>
                <w:i/>
                <w:iCs/>
                <w:sz w:val="16"/>
                <w:szCs w:val="16"/>
              </w:rPr>
              <w:t xml:space="preserve"> Private Sale Act 2006</w:t>
            </w:r>
            <w:r w:rsidRPr="00C5570B">
              <w:rPr>
                <w:rFonts w:ascii="Arial" w:hAnsi="Arial" w:cs="Arial"/>
                <w:sz w:val="16"/>
                <w:szCs w:val="16"/>
              </w:rPr>
              <w:t xml:space="preserve"> (D)</w:t>
            </w:r>
          </w:p>
        </w:tc>
        <w:tc>
          <w:tcPr>
            <w:tcW w:w="8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75,526</w:t>
            </w: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departmental expenses:</w:t>
            </w: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Transforming the Public Sector</w:t>
            </w: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15,689</w:t>
            </w: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28,751</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7,779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6,685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6,727</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Digital Transformation Agenda</w:t>
            </w: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26,303</w:t>
            </w: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23,714</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23,416</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23,833</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23,776</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w:t>
            </w: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the Budget year</w:t>
            </w:r>
            <w:r w:rsidRPr="00C5570B">
              <w:rPr>
                <w:rFonts w:ascii="Arial" w:hAnsi="Arial" w:cs="Arial"/>
                <w:sz w:val="16"/>
                <w:szCs w:val="16"/>
                <w:vertAlign w:val="superscript"/>
              </w:rPr>
              <w:t xml:space="preserve"> 1</w:t>
            </w: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3,825</w:t>
            </w: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3,778</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3,605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3,575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3,575</w:t>
            </w:r>
          </w:p>
        </w:tc>
      </w:tr>
      <w:tr w:rsidR="00C5570B" w:rsidRPr="00C5570B" w:rsidTr="00C5570B">
        <w:trPr>
          <w:trHeight w:val="60"/>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121,343</w:t>
            </w:r>
          </w:p>
        </w:tc>
        <w:tc>
          <w:tcPr>
            <w:tcW w:w="820" w:type="dxa"/>
            <w:tcBorders>
              <w:top w:val="single" w:sz="4" w:space="0" w:color="auto"/>
              <w:left w:val="nil"/>
              <w:bottom w:val="single" w:sz="4" w:space="0" w:color="000000"/>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56,243</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34,800</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34,093</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34,078</w:t>
            </w:r>
          </w:p>
        </w:tc>
      </w:tr>
    </w:tbl>
    <w:p w:rsidR="00DC39E1" w:rsidRPr="00FD14D0" w:rsidRDefault="00DC39E1" w:rsidP="00FD14D0">
      <w:pPr>
        <w:pStyle w:val="TableGraphic"/>
        <w:rPr>
          <w:sz w:val="6"/>
          <w:szCs w:val="6"/>
        </w:rPr>
      </w:pPr>
    </w:p>
    <w:p w:rsidR="002B5B7B" w:rsidRDefault="002B5B7B" w:rsidP="002B5B7B">
      <w:pPr>
        <w:spacing w:after="0" w:line="240" w:lineRule="auto"/>
        <w:outlineLvl w:val="6"/>
        <w:rPr>
          <w:rFonts w:ascii="Arial" w:hAnsi="Arial" w:cs="Arial"/>
          <w:sz w:val="15"/>
          <w:szCs w:val="15"/>
        </w:rPr>
      </w:pPr>
      <w:r>
        <w:rPr>
          <w:rFonts w:ascii="Arial" w:hAnsi="Arial" w:cs="Arial"/>
          <w:sz w:val="15"/>
          <w:szCs w:val="15"/>
        </w:rPr>
        <w:t>(D) = Departmental</w:t>
      </w:r>
    </w:p>
    <w:p w:rsidR="002B5B7B" w:rsidRPr="002B5B7B" w:rsidRDefault="002B5B7B" w:rsidP="002B5B7B">
      <w:pPr>
        <w:spacing w:after="0" w:line="240" w:lineRule="auto"/>
        <w:outlineLvl w:val="6"/>
        <w:rPr>
          <w:rFonts w:ascii="Arial" w:hAnsi="Arial" w:cs="Arial"/>
          <w:sz w:val="15"/>
          <w:szCs w:val="15"/>
        </w:rPr>
      </w:pPr>
    </w:p>
    <w:p w:rsidR="008A4FE2" w:rsidRPr="000D2E3D" w:rsidRDefault="00C43756" w:rsidP="0003235D">
      <w:pPr>
        <w:pStyle w:val="ListParagraph"/>
        <w:numPr>
          <w:ilvl w:val="0"/>
          <w:numId w:val="20"/>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p w:rsidR="0032228A" w:rsidRDefault="00DC39E1" w:rsidP="0032228A">
      <w:pPr>
        <w:pStyle w:val="SingleParagraph"/>
      </w:pPr>
      <w:r>
        <w:br w:type="page"/>
      </w:r>
    </w:p>
    <w:p w:rsidR="005041F8" w:rsidRPr="00E5728A" w:rsidRDefault="00F42204" w:rsidP="00E453F8">
      <w:pPr>
        <w:pStyle w:val="Heading5"/>
      </w:pPr>
      <w:r>
        <w:lastRenderedPageBreak/>
        <w:t>Programme 2.2 Deliverables</w:t>
      </w:r>
    </w:p>
    <w:p w:rsidR="005041F8" w:rsidRPr="00F00728" w:rsidRDefault="005041F8" w:rsidP="005041F8">
      <w:pPr>
        <w:pStyle w:val="TableTextLeft"/>
        <w:spacing w:before="0" w:after="0"/>
        <w:rPr>
          <w:rFonts w:ascii="Book Antiqua" w:hAnsi="Book Antiqua"/>
          <w:sz w:val="20"/>
        </w:rPr>
      </w:pPr>
    </w:p>
    <w:p w:rsidR="005041F8" w:rsidRPr="00F00728" w:rsidRDefault="005041F8" w:rsidP="005041F8">
      <w:r w:rsidRPr="00F00728">
        <w:t xml:space="preserve">The key deliverables for </w:t>
      </w:r>
      <w:r w:rsidR="00D13659">
        <w:t>this programme</w:t>
      </w:r>
      <w:r w:rsidRPr="00F00728">
        <w:t xml:space="preserve"> are:</w:t>
      </w:r>
    </w:p>
    <w:p w:rsidR="005041F8" w:rsidRPr="00F00728" w:rsidRDefault="005041F8" w:rsidP="008972BD">
      <w:pPr>
        <w:spacing w:before="240" w:after="60" w:line="240" w:lineRule="auto"/>
        <w:rPr>
          <w:b/>
        </w:rPr>
      </w:pPr>
      <w:r w:rsidRPr="00F00728">
        <w:rPr>
          <w:b/>
        </w:rPr>
        <w:t xml:space="preserve">Transforming the Public Sector </w:t>
      </w:r>
    </w:p>
    <w:p w:rsidR="00872C20" w:rsidRPr="00872C20"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s</w:t>
      </w:r>
      <w:r w:rsidR="00872C20" w:rsidRPr="00872C20">
        <w:rPr>
          <w:rFonts w:ascii="Book Antiqua" w:hAnsi="Book Antiqua"/>
          <w:sz w:val="20"/>
          <w:szCs w:val="20"/>
        </w:rPr>
        <w:t>upporting the government’s transformation agenda through key projects including:</w:t>
      </w:r>
    </w:p>
    <w:p w:rsidR="00872C20" w:rsidRPr="00872C20" w:rsidRDefault="00872C20"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872C20">
        <w:rPr>
          <w:rFonts w:ascii="Book Antiqua" w:hAnsi="Book Antiqua"/>
          <w:sz w:val="20"/>
          <w:szCs w:val="20"/>
        </w:rPr>
        <w:t xml:space="preserve">the Efficiency through Contestability Programme </w:t>
      </w:r>
      <w:r w:rsidR="001D5C5B">
        <w:rPr>
          <w:rFonts w:ascii="Book Antiqua" w:hAnsi="Book Antiqua"/>
          <w:sz w:val="20"/>
          <w:szCs w:val="20"/>
        </w:rPr>
        <w:t>encouraging</w:t>
      </w:r>
      <w:r w:rsidRPr="00872C20">
        <w:rPr>
          <w:rFonts w:ascii="Book Antiqua" w:hAnsi="Book Antiqua"/>
          <w:sz w:val="20"/>
          <w:szCs w:val="20"/>
        </w:rPr>
        <w:t xml:space="preserve"> entities to </w:t>
      </w:r>
      <w:r w:rsidR="001D5C5B">
        <w:rPr>
          <w:rFonts w:ascii="Book Antiqua" w:hAnsi="Book Antiqua"/>
          <w:sz w:val="20"/>
          <w:szCs w:val="20"/>
        </w:rPr>
        <w:t>improve</w:t>
      </w:r>
      <w:r w:rsidRPr="00872C20">
        <w:rPr>
          <w:rFonts w:ascii="Book Antiqua" w:hAnsi="Book Antiqua"/>
          <w:sz w:val="20"/>
          <w:szCs w:val="20"/>
        </w:rPr>
        <w:t xml:space="preserve"> their performance;</w:t>
      </w:r>
    </w:p>
    <w:p w:rsidR="00872C20" w:rsidRPr="00872C20" w:rsidRDefault="00872C20"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872C20">
        <w:rPr>
          <w:rFonts w:ascii="Book Antiqua" w:hAnsi="Book Antiqua"/>
          <w:sz w:val="20"/>
          <w:szCs w:val="20"/>
        </w:rPr>
        <w:t>the Shared and Common Services project driving reform through public sector resource management; and</w:t>
      </w:r>
    </w:p>
    <w:p w:rsidR="00872C20" w:rsidRPr="00872C20" w:rsidRDefault="00872C20"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proofErr w:type="gramStart"/>
      <w:r w:rsidRPr="00872C20">
        <w:rPr>
          <w:rFonts w:ascii="Book Antiqua" w:hAnsi="Book Antiqua"/>
          <w:sz w:val="20"/>
          <w:szCs w:val="20"/>
        </w:rPr>
        <w:t>advising</w:t>
      </w:r>
      <w:proofErr w:type="gramEnd"/>
      <w:r w:rsidRPr="00872C20">
        <w:rPr>
          <w:rFonts w:ascii="Book Antiqua" w:hAnsi="Book Antiqua"/>
          <w:sz w:val="20"/>
          <w:szCs w:val="20"/>
        </w:rPr>
        <w:t xml:space="preserve"> </w:t>
      </w:r>
      <w:r w:rsidR="00C420C5">
        <w:rPr>
          <w:rFonts w:ascii="Book Antiqua" w:hAnsi="Book Antiqua"/>
          <w:sz w:val="20"/>
          <w:szCs w:val="20"/>
        </w:rPr>
        <w:t>the g</w:t>
      </w:r>
      <w:r w:rsidRPr="00872C20">
        <w:rPr>
          <w:rFonts w:ascii="Book Antiqua" w:hAnsi="Book Antiqua"/>
          <w:sz w:val="20"/>
          <w:szCs w:val="20"/>
        </w:rPr>
        <w:t>overnment on delivering its Smaller Government objectives through identifying opportunities for short to medium-term savings.</w:t>
      </w:r>
    </w:p>
    <w:p w:rsidR="005041F8" w:rsidRPr="000A155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C420C5">
        <w:rPr>
          <w:rFonts w:ascii="Book Antiqua" w:hAnsi="Book Antiqua"/>
          <w:sz w:val="20"/>
          <w:szCs w:val="20"/>
        </w:rPr>
        <w:t>roviding advice to the g</w:t>
      </w:r>
      <w:r w:rsidR="000A1558" w:rsidRPr="00872C20">
        <w:rPr>
          <w:rFonts w:ascii="Book Antiqua" w:hAnsi="Book Antiqua"/>
          <w:sz w:val="20"/>
          <w:szCs w:val="20"/>
        </w:rPr>
        <w:t xml:space="preserve">overnment on the efficient and effective delivery of </w:t>
      </w:r>
      <w:r w:rsidR="00C420C5">
        <w:rPr>
          <w:rFonts w:ascii="Book Antiqua" w:hAnsi="Book Antiqua"/>
          <w:sz w:val="20"/>
          <w:szCs w:val="20"/>
        </w:rPr>
        <w:t>g</w:t>
      </w:r>
      <w:r w:rsidR="000A1558" w:rsidRPr="00872C20">
        <w:rPr>
          <w:rFonts w:ascii="Book Antiqua" w:hAnsi="Book Antiqua"/>
          <w:sz w:val="20"/>
          <w:szCs w:val="20"/>
        </w:rPr>
        <w:t>overnment activities through consideration of the rec</w:t>
      </w:r>
      <w:r w:rsidR="001270E3">
        <w:rPr>
          <w:rFonts w:ascii="Book Antiqua" w:hAnsi="Book Antiqua"/>
          <w:sz w:val="20"/>
          <w:szCs w:val="20"/>
        </w:rPr>
        <w:t>ommendations of scoping studies; and</w:t>
      </w:r>
    </w:p>
    <w:p w:rsidR="000A155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i</w:t>
      </w:r>
      <w:r w:rsidR="000A1558" w:rsidRPr="00872C20">
        <w:rPr>
          <w:rFonts w:ascii="Book Antiqua" w:hAnsi="Book Antiqua"/>
          <w:sz w:val="20"/>
          <w:szCs w:val="20"/>
        </w:rPr>
        <w:t>mplementing</w:t>
      </w:r>
      <w:proofErr w:type="gramEnd"/>
      <w:r w:rsidR="000A1558" w:rsidRPr="00872C20">
        <w:rPr>
          <w:rFonts w:ascii="Book Antiqua" w:hAnsi="Book Antiqua"/>
          <w:sz w:val="20"/>
          <w:szCs w:val="20"/>
        </w:rPr>
        <w:t xml:space="preserve"> agreed scoping study outcomes.  </w:t>
      </w:r>
    </w:p>
    <w:p w:rsidR="00872C20" w:rsidRPr="00872C20" w:rsidRDefault="00872C20" w:rsidP="008972BD">
      <w:pPr>
        <w:spacing w:before="240" w:after="60" w:line="240" w:lineRule="auto"/>
        <w:rPr>
          <w:b/>
        </w:rPr>
      </w:pPr>
      <w:r w:rsidRPr="00872C20">
        <w:rPr>
          <w:b/>
        </w:rPr>
        <w:t xml:space="preserve">Improving </w:t>
      </w:r>
      <w:proofErr w:type="spellStart"/>
      <w:r w:rsidR="00C619FE">
        <w:rPr>
          <w:b/>
        </w:rPr>
        <w:t>WoAG</w:t>
      </w:r>
      <w:proofErr w:type="spellEnd"/>
      <w:r w:rsidR="00C420C5">
        <w:rPr>
          <w:b/>
        </w:rPr>
        <w:t xml:space="preserve"> </w:t>
      </w:r>
      <w:r w:rsidRPr="00872C20">
        <w:rPr>
          <w:b/>
        </w:rPr>
        <w:t>ICT</w:t>
      </w:r>
    </w:p>
    <w:p w:rsidR="00FC7CAC" w:rsidRPr="00872C20"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FC7CAC" w:rsidRPr="00872C20">
        <w:rPr>
          <w:rFonts w:ascii="Book Antiqua" w:hAnsi="Book Antiqua"/>
          <w:sz w:val="20"/>
          <w:szCs w:val="20"/>
        </w:rPr>
        <w:t xml:space="preserve">roviding advice to government and </w:t>
      </w:r>
      <w:r w:rsidR="00FC7CAC">
        <w:rPr>
          <w:rFonts w:ascii="Book Antiqua" w:hAnsi="Book Antiqua"/>
          <w:sz w:val="20"/>
          <w:szCs w:val="20"/>
        </w:rPr>
        <w:t xml:space="preserve">Commonwealth </w:t>
      </w:r>
      <w:r w:rsidR="00FC7CAC" w:rsidRPr="00872C20">
        <w:rPr>
          <w:rFonts w:ascii="Book Antiqua" w:hAnsi="Book Antiqua"/>
          <w:sz w:val="20"/>
          <w:szCs w:val="20"/>
        </w:rPr>
        <w:t>entities on ICT investment, delivery and implementation of ICT policies to deliver better value for money, increase productivity and deliver better services across government;</w:t>
      </w:r>
    </w:p>
    <w:p w:rsidR="00FC7CAC" w:rsidRPr="00872C20"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FC7CAC" w:rsidRPr="00872C20">
        <w:rPr>
          <w:rFonts w:ascii="Book Antiqua" w:hAnsi="Book Antiqua"/>
          <w:sz w:val="20"/>
          <w:szCs w:val="20"/>
        </w:rPr>
        <w:t xml:space="preserve">roviding appropriate </w:t>
      </w:r>
      <w:proofErr w:type="spellStart"/>
      <w:r w:rsidR="00FC7CAC">
        <w:rPr>
          <w:rFonts w:ascii="Book Antiqua" w:hAnsi="Book Antiqua"/>
          <w:sz w:val="20"/>
          <w:szCs w:val="20"/>
        </w:rPr>
        <w:t>WoAG</w:t>
      </w:r>
      <w:proofErr w:type="spellEnd"/>
      <w:r w:rsidR="00FC7CAC" w:rsidRPr="00872C20">
        <w:rPr>
          <w:rFonts w:ascii="Book Antiqua" w:hAnsi="Book Antiqua"/>
          <w:sz w:val="20"/>
          <w:szCs w:val="20"/>
        </w:rPr>
        <w:t xml:space="preserve"> ICT services, including communications networks and on</w:t>
      </w:r>
      <w:r w:rsidR="001270E3">
        <w:rPr>
          <w:rFonts w:ascii="Book Antiqua" w:hAnsi="Book Antiqua"/>
          <w:sz w:val="20"/>
          <w:szCs w:val="20"/>
        </w:rPr>
        <w:t>line services; and</w:t>
      </w:r>
    </w:p>
    <w:p w:rsidR="00FC7CAC"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d</w:t>
      </w:r>
      <w:r w:rsidR="00FC7CAC" w:rsidRPr="00872C20">
        <w:rPr>
          <w:rFonts w:ascii="Book Antiqua" w:hAnsi="Book Antiqua"/>
          <w:sz w:val="20"/>
          <w:szCs w:val="20"/>
        </w:rPr>
        <w:t>elivering</w:t>
      </w:r>
      <w:proofErr w:type="gramEnd"/>
      <w:r w:rsidR="00FC7CAC" w:rsidRPr="00872C20">
        <w:rPr>
          <w:rFonts w:ascii="Book Antiqua" w:hAnsi="Book Antiqua"/>
          <w:sz w:val="20"/>
          <w:szCs w:val="20"/>
        </w:rPr>
        <w:t xml:space="preserve"> high quality ICT Entry Level Programmes to support entity capability and address ICT skills shortages.</w:t>
      </w:r>
    </w:p>
    <w:p w:rsidR="001D5C5B" w:rsidRPr="001D5C5B" w:rsidRDefault="001D5C5B" w:rsidP="001D5C5B">
      <w:pPr>
        <w:spacing w:after="0"/>
        <w:rPr>
          <w:lang w:val="en-US" w:eastAsia="en-US"/>
        </w:rPr>
      </w:pPr>
    </w:p>
    <w:p w:rsidR="005041F8" w:rsidRPr="00E5728A" w:rsidRDefault="005041F8" w:rsidP="00E453F8">
      <w:pPr>
        <w:pStyle w:val="Heading5"/>
      </w:pPr>
      <w:r w:rsidRPr="00E5728A">
        <w:t xml:space="preserve">Programme 2.2 Key Performance Indicators </w:t>
      </w:r>
    </w:p>
    <w:p w:rsidR="005041F8" w:rsidRPr="00F00728" w:rsidRDefault="005041F8" w:rsidP="005041F8">
      <w:pPr>
        <w:pStyle w:val="TableTextLeft"/>
        <w:spacing w:before="0" w:after="0"/>
        <w:rPr>
          <w:rFonts w:ascii="Book Antiqua" w:hAnsi="Book Antiqua"/>
        </w:rPr>
      </w:pPr>
    </w:p>
    <w:p w:rsidR="005041F8" w:rsidRPr="00F00728" w:rsidRDefault="005041F8" w:rsidP="005041F8">
      <w:r w:rsidRPr="00F00728">
        <w:t xml:space="preserve">The key performance </w:t>
      </w:r>
      <w:r w:rsidR="00670296">
        <w:t>indicators</w:t>
      </w:r>
      <w:r w:rsidRPr="00F00728">
        <w:t xml:space="preserve"> for </w:t>
      </w:r>
      <w:r w:rsidR="00D13659">
        <w:t>this programme</w:t>
      </w:r>
      <w:r w:rsidRPr="00F00728">
        <w:t xml:space="preserve"> are:</w:t>
      </w:r>
    </w:p>
    <w:p w:rsidR="005041F8" w:rsidRPr="00F00728" w:rsidRDefault="005041F8" w:rsidP="008972BD">
      <w:pPr>
        <w:spacing w:before="240" w:after="60" w:line="240" w:lineRule="auto"/>
        <w:rPr>
          <w:b/>
        </w:rPr>
      </w:pPr>
      <w:r w:rsidRPr="00F00728">
        <w:rPr>
          <w:b/>
        </w:rPr>
        <w:t xml:space="preserve">Transforming the Public Sector </w:t>
      </w:r>
    </w:p>
    <w:p w:rsidR="004372D6"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s</w:t>
      </w:r>
      <w:r w:rsidR="004372D6">
        <w:rPr>
          <w:rFonts w:ascii="Book Antiqua" w:hAnsi="Book Antiqua"/>
          <w:sz w:val="20"/>
          <w:szCs w:val="20"/>
        </w:rPr>
        <w:t xml:space="preserve">upport entities to design and implement initiatives to improve the efficient delivery of </w:t>
      </w:r>
      <w:r w:rsidR="00D87624">
        <w:rPr>
          <w:rFonts w:ascii="Book Antiqua" w:hAnsi="Book Antiqua"/>
          <w:sz w:val="20"/>
          <w:szCs w:val="20"/>
        </w:rPr>
        <w:t>government</w:t>
      </w:r>
      <w:r w:rsidR="001270E3">
        <w:rPr>
          <w:rFonts w:ascii="Book Antiqua" w:hAnsi="Book Antiqua"/>
          <w:sz w:val="20"/>
          <w:szCs w:val="20"/>
        </w:rPr>
        <w:t xml:space="preserve"> functions; and</w:t>
      </w:r>
    </w:p>
    <w:p w:rsidR="005041F8" w:rsidRPr="00E453F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d</w:t>
      </w:r>
      <w:r w:rsidR="000A1558" w:rsidRPr="00F5077E">
        <w:rPr>
          <w:rFonts w:ascii="Book Antiqua" w:hAnsi="Book Antiqua"/>
          <w:sz w:val="20"/>
          <w:szCs w:val="20"/>
        </w:rPr>
        <w:t>elivering</w:t>
      </w:r>
      <w:proofErr w:type="gramEnd"/>
      <w:r w:rsidR="000A1558" w:rsidRPr="00F5077E">
        <w:rPr>
          <w:rFonts w:ascii="Book Antiqua" w:hAnsi="Book Antiqua"/>
          <w:sz w:val="20"/>
          <w:szCs w:val="20"/>
        </w:rPr>
        <w:t xml:space="preserve"> to </w:t>
      </w:r>
      <w:r w:rsidR="00FC7CAC">
        <w:rPr>
          <w:rFonts w:ascii="Book Antiqua" w:hAnsi="Book Antiqua"/>
          <w:sz w:val="20"/>
          <w:szCs w:val="20"/>
        </w:rPr>
        <w:t>g</w:t>
      </w:r>
      <w:r w:rsidR="000A1558" w:rsidRPr="00F5077E">
        <w:rPr>
          <w:rFonts w:ascii="Book Antiqua" w:hAnsi="Book Antiqua"/>
          <w:sz w:val="20"/>
          <w:szCs w:val="20"/>
        </w:rPr>
        <w:t>overnment agreed scoping studies that report on their respective terms of reference.</w:t>
      </w:r>
    </w:p>
    <w:p w:rsidR="005041F8" w:rsidRPr="00F00728" w:rsidRDefault="00872C20" w:rsidP="008972BD">
      <w:pPr>
        <w:spacing w:before="240" w:after="60" w:line="240" w:lineRule="auto"/>
        <w:rPr>
          <w:b/>
        </w:rPr>
      </w:pPr>
      <w:r>
        <w:rPr>
          <w:b/>
        </w:rPr>
        <w:t xml:space="preserve">Improving </w:t>
      </w:r>
      <w:proofErr w:type="spellStart"/>
      <w:r w:rsidR="001E31A4">
        <w:rPr>
          <w:b/>
        </w:rPr>
        <w:t>WoAG</w:t>
      </w:r>
      <w:proofErr w:type="spellEnd"/>
      <w:r>
        <w:rPr>
          <w:b/>
        </w:rPr>
        <w:t xml:space="preserve"> ICT</w:t>
      </w:r>
    </w:p>
    <w:p w:rsidR="00FC7CAC" w:rsidRPr="00E453F8" w:rsidRDefault="00FC7CAC"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B0183">
        <w:rPr>
          <w:rFonts w:ascii="Book Antiqua" w:hAnsi="Book Antiqua"/>
          <w:sz w:val="20"/>
          <w:szCs w:val="20"/>
        </w:rPr>
        <w:t>75% of relevant entities access the internet through their shared internet gateway</w:t>
      </w:r>
      <w:r w:rsidR="001270E3">
        <w:rPr>
          <w:rFonts w:ascii="Book Antiqua" w:hAnsi="Book Antiqua"/>
          <w:sz w:val="20"/>
          <w:szCs w:val="20"/>
        </w:rPr>
        <w:t>;</w:t>
      </w:r>
    </w:p>
    <w:p w:rsidR="00FC7CAC" w:rsidRDefault="00FC7CAC"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0E7A66">
        <w:rPr>
          <w:rFonts w:ascii="Book Antiqua" w:hAnsi="Book Antiqua"/>
          <w:sz w:val="20"/>
          <w:szCs w:val="20"/>
        </w:rPr>
        <w:lastRenderedPageBreak/>
        <w:t>70% of students annually accepted for the government ICT Apprenticeships Programme remain in the government after one year,</w:t>
      </w:r>
      <w:r w:rsidR="001270E3">
        <w:rPr>
          <w:rFonts w:ascii="Book Antiqua" w:hAnsi="Book Antiqua"/>
          <w:sz w:val="20"/>
          <w:szCs w:val="20"/>
        </w:rPr>
        <w:t xml:space="preserve"> and 50% remain after two years;</w:t>
      </w:r>
    </w:p>
    <w:p w:rsidR="00FC7CAC" w:rsidRDefault="00FC7CAC"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spellStart"/>
      <w:r>
        <w:rPr>
          <w:rFonts w:ascii="Book Antiqua" w:hAnsi="Book Antiqua"/>
          <w:sz w:val="20"/>
          <w:szCs w:val="20"/>
        </w:rPr>
        <w:t>govCMS</w:t>
      </w:r>
      <w:proofErr w:type="spellEnd"/>
      <w:r>
        <w:rPr>
          <w:rFonts w:ascii="Book Antiqua" w:hAnsi="Book Antiqua"/>
          <w:sz w:val="20"/>
          <w:szCs w:val="20"/>
        </w:rPr>
        <w:t xml:space="preserve"> is providing useful cap</w:t>
      </w:r>
      <w:r w:rsidR="001270E3">
        <w:rPr>
          <w:rFonts w:ascii="Book Antiqua" w:hAnsi="Book Antiqua"/>
          <w:sz w:val="20"/>
          <w:szCs w:val="20"/>
        </w:rPr>
        <w:t>ability for entities; and</w:t>
      </w:r>
    </w:p>
    <w:p w:rsidR="00FC7CAC" w:rsidRPr="00F5077E" w:rsidRDefault="00FC7CAC"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usage</w:t>
      </w:r>
      <w:proofErr w:type="gramEnd"/>
      <w:r>
        <w:rPr>
          <w:rFonts w:ascii="Book Antiqua" w:hAnsi="Book Antiqua"/>
          <w:sz w:val="20"/>
          <w:szCs w:val="20"/>
        </w:rPr>
        <w:t xml:space="preserve"> of the National Telepresence System increases by 10% annually</w:t>
      </w:r>
      <w:r w:rsidR="001270E3">
        <w:rPr>
          <w:rFonts w:ascii="Book Antiqua" w:hAnsi="Book Antiqua"/>
          <w:sz w:val="20"/>
          <w:szCs w:val="20"/>
        </w:rPr>
        <w:t>.</w:t>
      </w:r>
    </w:p>
    <w:p w:rsidR="00F3374F" w:rsidRPr="004C2C7A" w:rsidRDefault="00F3374F" w:rsidP="004C2C7A">
      <w:pPr>
        <w:autoSpaceDE w:val="0"/>
        <w:autoSpaceDN w:val="0"/>
        <w:spacing w:after="80" w:line="240" w:lineRule="auto"/>
      </w:pPr>
      <w:r w:rsidRPr="004C2C7A">
        <w:rPr>
          <w:b/>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DC39E1" w:rsidTr="00DC39E1">
        <w:tc>
          <w:tcPr>
            <w:tcW w:w="7713" w:type="dxa"/>
            <w:shd w:val="clear" w:color="auto" w:fill="E6E6E6"/>
          </w:tcPr>
          <w:p w:rsidR="00DC39E1" w:rsidRDefault="00DC39E1" w:rsidP="00873D79">
            <w:pPr>
              <w:pStyle w:val="TableColumnHeadingLeft"/>
            </w:pPr>
            <w:r>
              <w:lastRenderedPageBreak/>
              <w:t>Programme 2.</w:t>
            </w:r>
            <w:r w:rsidR="00873D79">
              <w:t>3</w:t>
            </w:r>
            <w:r>
              <w:t xml:space="preserve">: </w:t>
            </w:r>
            <w:r w:rsidR="00873D79">
              <w:t>Property and Construction</w:t>
            </w:r>
          </w:p>
        </w:tc>
      </w:tr>
    </w:tbl>
    <w:p w:rsidR="00DC39E1" w:rsidRDefault="00DC39E1" w:rsidP="00DC39E1">
      <w:pPr>
        <w:pStyle w:val="NoSpacing"/>
      </w:pPr>
    </w:p>
    <w:p w:rsidR="005041F8" w:rsidRDefault="005041F8" w:rsidP="00E453F8">
      <w:pPr>
        <w:pStyle w:val="Heading5"/>
      </w:pPr>
      <w:r w:rsidRPr="00E5728A">
        <w:t>Programme 2.3 Objective</w:t>
      </w:r>
    </w:p>
    <w:p w:rsidR="008972BD" w:rsidRPr="008972BD" w:rsidRDefault="008972BD" w:rsidP="008972BD">
      <w:pPr>
        <w:spacing w:after="0"/>
      </w:pPr>
    </w:p>
    <w:p w:rsidR="005041F8" w:rsidRPr="000E7A66" w:rsidRDefault="005041F8" w:rsidP="00EA2442">
      <w:pPr>
        <w:spacing w:after="120"/>
      </w:pPr>
      <w:r w:rsidRPr="00F00728">
        <w:t xml:space="preserve">This programme </w:t>
      </w:r>
      <w:r w:rsidRPr="00F00728">
        <w:rPr>
          <w:lang w:eastAsia="en-US"/>
        </w:rPr>
        <w:t>contributes</w:t>
      </w:r>
      <w:r w:rsidR="00EA2442">
        <w:t xml:space="preserve"> to the outcome by </w:t>
      </w:r>
      <w:r w:rsidR="00F5077E" w:rsidRPr="00F5077E">
        <w:t>providing policy, advice, guidance and support on managing Commonwealth property, l</w:t>
      </w:r>
      <w:r w:rsidR="00D87624">
        <w:t xml:space="preserve">and and public works across the </w:t>
      </w:r>
      <w:r w:rsidR="00F5077E" w:rsidRPr="00F5077E">
        <w:t xml:space="preserve">government; and </w:t>
      </w:r>
      <w:r w:rsidR="00CE645E">
        <w:t>m</w:t>
      </w:r>
      <w:r w:rsidR="00F5077E" w:rsidRPr="00F5077E">
        <w:t>anaging specified major capital works projects and the government’s non-Defence property portfolio within Australia.</w:t>
      </w:r>
    </w:p>
    <w:p w:rsidR="005041F8" w:rsidRDefault="005041F8" w:rsidP="005041F8">
      <w:pPr>
        <w:pStyle w:val="NoSpacing"/>
      </w:pPr>
    </w:p>
    <w:p w:rsidR="005041F8" w:rsidRPr="00E5728A" w:rsidRDefault="005041F8" w:rsidP="00E453F8">
      <w:pPr>
        <w:pStyle w:val="Heading5"/>
      </w:pPr>
      <w:r w:rsidRPr="00E5728A">
        <w:t>Programme 2.3 Expenses</w:t>
      </w:r>
    </w:p>
    <w:tbl>
      <w:tblPr>
        <w:tblW w:w="7200" w:type="dxa"/>
        <w:tblInd w:w="87" w:type="dxa"/>
        <w:tblLook w:val="04A0"/>
      </w:tblPr>
      <w:tblGrid>
        <w:gridCol w:w="3240"/>
        <w:gridCol w:w="928"/>
        <w:gridCol w:w="820"/>
        <w:gridCol w:w="821"/>
        <w:gridCol w:w="821"/>
        <w:gridCol w:w="821"/>
      </w:tblGrid>
      <w:tr w:rsidR="00C5570B" w:rsidRPr="00C5570B" w:rsidTr="00C5570B">
        <w:trPr>
          <w:trHeight w:val="225"/>
        </w:trPr>
        <w:tc>
          <w:tcPr>
            <w:tcW w:w="324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24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Special account expenses: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Special Account</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14,195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Special Account 2014</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100,127</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119,587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109,215</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100,503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109,366</w:t>
            </w:r>
          </w:p>
        </w:tc>
      </w:tr>
      <w:tr w:rsidR="00C5570B" w:rsidRPr="00C5570B" w:rsidTr="00C5570B">
        <w:trPr>
          <w:trHeight w:val="225"/>
        </w:trPr>
        <w:tc>
          <w:tcPr>
            <w:tcW w:w="324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departmental 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and Construction</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9,325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324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123,647</w:t>
            </w:r>
          </w:p>
        </w:tc>
        <w:tc>
          <w:tcPr>
            <w:tcW w:w="82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119,587</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109,215</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100,503</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109,366</w:t>
            </w:r>
          </w:p>
        </w:tc>
      </w:tr>
    </w:tbl>
    <w:p w:rsidR="00483228" w:rsidRDefault="00DC39E1" w:rsidP="00483228">
      <w:pPr>
        <w:pStyle w:val="SingleParagraph"/>
      </w:pPr>
      <w:r>
        <w:br w:type="page"/>
      </w:r>
    </w:p>
    <w:p w:rsidR="005041F8" w:rsidRPr="00E5728A" w:rsidRDefault="005041F8" w:rsidP="00E453F8">
      <w:pPr>
        <w:pStyle w:val="Heading5"/>
      </w:pPr>
      <w:r w:rsidRPr="00E5728A">
        <w:lastRenderedPageBreak/>
        <w:t xml:space="preserve">Programme 2.3 Deliverables  </w:t>
      </w:r>
    </w:p>
    <w:p w:rsidR="005041F8" w:rsidRPr="00F00728" w:rsidRDefault="005041F8" w:rsidP="005041F8">
      <w:pPr>
        <w:pStyle w:val="TableTextLeft"/>
        <w:spacing w:before="0" w:after="0"/>
        <w:rPr>
          <w:sz w:val="20"/>
        </w:rPr>
      </w:pPr>
    </w:p>
    <w:p w:rsidR="005041F8" w:rsidRPr="00F00728" w:rsidRDefault="005041F8" w:rsidP="005041F8">
      <w:pPr>
        <w:spacing w:after="120"/>
      </w:pPr>
      <w:r w:rsidRPr="00F00728">
        <w:t xml:space="preserve">The key deliverables for </w:t>
      </w:r>
      <w:r w:rsidR="00D13659">
        <w:t>this programme</w:t>
      </w:r>
      <w:r w:rsidRPr="00F00728">
        <w:t xml:space="preserve"> are:</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providing advice to the government on property management issues;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F5077E">
        <w:rPr>
          <w:rFonts w:ascii="Book Antiqua" w:hAnsi="Book Antiqua"/>
          <w:sz w:val="20"/>
          <w:szCs w:val="20"/>
        </w:rPr>
        <w:t>assisti</w:t>
      </w:r>
      <w:r w:rsidR="00EA2442">
        <w:rPr>
          <w:rFonts w:ascii="Book Antiqua" w:hAnsi="Book Antiqua"/>
          <w:sz w:val="20"/>
          <w:szCs w:val="20"/>
        </w:rPr>
        <w:t>ng</w:t>
      </w:r>
      <w:proofErr w:type="gramEnd"/>
      <w:r w:rsidR="00EA2442">
        <w:rPr>
          <w:rFonts w:ascii="Book Antiqua" w:hAnsi="Book Antiqua"/>
          <w:sz w:val="20"/>
          <w:szCs w:val="20"/>
        </w:rPr>
        <w:t xml:space="preserve"> Commonwealth entities to use</w:t>
      </w:r>
      <w:r w:rsidRPr="00F5077E">
        <w:rPr>
          <w:rFonts w:ascii="Book Antiqua" w:hAnsi="Book Antiqua"/>
          <w:sz w:val="20"/>
          <w:szCs w:val="20"/>
        </w:rPr>
        <w:t xml:space="preserve"> the Commonwealth Property Management Framework to achieve best practice in property management and planning.  This role includes collecting property data on Commonwealth leasing trends and assisting in the disposal of Commonwealth </w:t>
      </w:r>
      <w:r w:rsidR="00EE3E7F">
        <w:rPr>
          <w:rFonts w:ascii="Book Antiqua" w:hAnsi="Book Antiqua"/>
          <w:sz w:val="20"/>
          <w:szCs w:val="20"/>
        </w:rPr>
        <w:t>property</w:t>
      </w:r>
      <w:r w:rsidRPr="00F5077E">
        <w:rPr>
          <w:rFonts w:ascii="Book Antiqua" w:hAnsi="Book Antiqua"/>
          <w:sz w:val="20"/>
          <w:szCs w:val="20"/>
        </w:rPr>
        <w:t>;</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providing advice and support to the government on decisions to own, lease, divest or acquire properties using whole-of-life cost</w:t>
      </w:r>
      <w:r w:rsidRPr="00F5077E">
        <w:rPr>
          <w:rFonts w:ascii="Book Antiqua" w:hAnsi="Book Antiqua"/>
          <w:sz w:val="20"/>
          <w:szCs w:val="20"/>
        </w:rPr>
        <w:noBreakHyphen/>
      </w:r>
      <w:proofErr w:type="spellStart"/>
      <w:r w:rsidRPr="00F5077E">
        <w:rPr>
          <w:rFonts w:ascii="Book Antiqua" w:hAnsi="Book Antiqua"/>
          <w:sz w:val="20"/>
          <w:szCs w:val="20"/>
        </w:rPr>
        <w:t>benefit</w:t>
      </w:r>
      <w:proofErr w:type="spellEnd"/>
      <w:r w:rsidRPr="00F5077E">
        <w:rPr>
          <w:rFonts w:ascii="Book Antiqua" w:hAnsi="Book Antiqua"/>
          <w:sz w:val="20"/>
          <w:szCs w:val="20"/>
        </w:rPr>
        <w:t xml:space="preserve"> analysis, an annual</w:t>
      </w:r>
      <w:r w:rsidR="00EA2442">
        <w:rPr>
          <w:rFonts w:ascii="Book Antiqua" w:hAnsi="Book Antiqua"/>
          <w:sz w:val="20"/>
          <w:szCs w:val="20"/>
        </w:rPr>
        <w:t xml:space="preserve"> </w:t>
      </w:r>
      <w:proofErr w:type="spellStart"/>
      <w:r w:rsidRPr="00F5077E">
        <w:rPr>
          <w:rFonts w:ascii="Book Antiqua" w:hAnsi="Book Antiqua"/>
          <w:sz w:val="20"/>
          <w:szCs w:val="20"/>
        </w:rPr>
        <w:t>WoAG</w:t>
      </w:r>
      <w:proofErr w:type="spellEnd"/>
      <w:r w:rsidRPr="00F5077E">
        <w:rPr>
          <w:rFonts w:ascii="Book Antiqua" w:hAnsi="Book Antiqua"/>
          <w:sz w:val="20"/>
          <w:szCs w:val="20"/>
        </w:rPr>
        <w:t xml:space="preserve"> property capability plan, and the two-stage process for approval of major capital works;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 xml:space="preserve">acquiring properties as required by </w:t>
      </w:r>
      <w:r w:rsidR="00EA2442">
        <w:rPr>
          <w:rFonts w:ascii="Book Antiqua" w:hAnsi="Book Antiqua"/>
          <w:sz w:val="20"/>
          <w:szCs w:val="20"/>
        </w:rPr>
        <w:t>g</w:t>
      </w:r>
      <w:r w:rsidRPr="00F5077E">
        <w:rPr>
          <w:rFonts w:ascii="Book Antiqua" w:hAnsi="Book Antiqua"/>
          <w:sz w:val="20"/>
          <w:szCs w:val="20"/>
        </w:rPr>
        <w:t xml:space="preserve">overnment, divesting properties that are surplus to the </w:t>
      </w:r>
      <w:r w:rsidR="00EA2442">
        <w:rPr>
          <w:rFonts w:ascii="Book Antiqua" w:hAnsi="Book Antiqua"/>
          <w:sz w:val="20"/>
          <w:szCs w:val="20"/>
        </w:rPr>
        <w:t>g</w:t>
      </w:r>
      <w:r w:rsidRPr="00F5077E">
        <w:rPr>
          <w:rFonts w:ascii="Book Antiqua" w:hAnsi="Book Antiqua"/>
          <w:sz w:val="20"/>
          <w:szCs w:val="20"/>
        </w:rPr>
        <w:t>overnment’s needs, and managing residual issues arising from previous Commonwealth property interests;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managing properties within the Finance-managed property portfolio to meet their intended purposes, maintain their condition to agreed standards and meet legislative requirements, including environment, heritage, health and safety obligations, through the adoption of effective property management systems and process;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providing advice and support to the government and offic</w:t>
      </w:r>
      <w:r w:rsidR="00EA2442">
        <w:rPr>
          <w:rFonts w:ascii="Book Antiqua" w:hAnsi="Book Antiqua"/>
          <w:sz w:val="20"/>
          <w:szCs w:val="20"/>
        </w:rPr>
        <w:t>i</w:t>
      </w:r>
      <w:r w:rsidRPr="00F5077E">
        <w:rPr>
          <w:rFonts w:ascii="Book Antiqua" w:hAnsi="Book Antiqua"/>
          <w:sz w:val="20"/>
          <w:szCs w:val="20"/>
        </w:rPr>
        <w:t xml:space="preserve">als in relation to the </w:t>
      </w:r>
      <w:r w:rsidRPr="00FF76AC">
        <w:rPr>
          <w:rFonts w:ascii="Book Antiqua" w:hAnsi="Book Antiqua"/>
          <w:i/>
          <w:sz w:val="20"/>
          <w:szCs w:val="20"/>
        </w:rPr>
        <w:t>Lands Acquisition Act 1989</w:t>
      </w:r>
      <w:r w:rsidRPr="00F5077E">
        <w:rPr>
          <w:rFonts w:ascii="Book Antiqua" w:hAnsi="Book Antiqua"/>
          <w:sz w:val="20"/>
          <w:szCs w:val="20"/>
        </w:rPr>
        <w:t xml:space="preserve">, </w:t>
      </w:r>
      <w:r w:rsidRPr="00FF76AC">
        <w:rPr>
          <w:rFonts w:ascii="Book Antiqua" w:hAnsi="Book Antiqua"/>
          <w:i/>
          <w:sz w:val="20"/>
          <w:szCs w:val="20"/>
        </w:rPr>
        <w:t>the Public Works Committee Act 1969</w:t>
      </w:r>
      <w:r w:rsidRPr="00F5077E">
        <w:rPr>
          <w:rFonts w:ascii="Book Antiqua" w:hAnsi="Book Antiqua"/>
          <w:sz w:val="20"/>
          <w:szCs w:val="20"/>
        </w:rPr>
        <w:t xml:space="preserve">, relevant sections of the </w:t>
      </w:r>
      <w:r w:rsidRPr="00FF76AC">
        <w:rPr>
          <w:rFonts w:ascii="Book Antiqua" w:hAnsi="Book Antiqua"/>
          <w:i/>
          <w:sz w:val="20"/>
          <w:szCs w:val="20"/>
        </w:rPr>
        <w:t>Native Title Act 1993</w:t>
      </w:r>
      <w:r w:rsidRPr="00F5077E">
        <w:rPr>
          <w:rFonts w:ascii="Book Antiqua" w:hAnsi="Book Antiqua"/>
          <w:sz w:val="20"/>
          <w:szCs w:val="20"/>
        </w:rPr>
        <w:t>, the National Land Ordinance and the Commonwealth Property Disposal Policy; and</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developing, delivering, and providing expert advice on, significant government construction and land remediation projects, including:</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F5077E">
        <w:rPr>
          <w:rFonts w:ascii="Book Antiqua" w:hAnsi="Book Antiqua"/>
          <w:sz w:val="20"/>
          <w:szCs w:val="20"/>
        </w:rPr>
        <w:t xml:space="preserve">the post entry quarantine facility for the Department of Agriculture in </w:t>
      </w:r>
      <w:proofErr w:type="spellStart"/>
      <w:r w:rsidRPr="00F5077E">
        <w:rPr>
          <w:rFonts w:ascii="Book Antiqua" w:hAnsi="Book Antiqua"/>
          <w:sz w:val="20"/>
          <w:szCs w:val="20"/>
        </w:rPr>
        <w:t>Mickleham</w:t>
      </w:r>
      <w:proofErr w:type="spellEnd"/>
      <w:r w:rsidRPr="00F5077E">
        <w:rPr>
          <w:rFonts w:ascii="Book Antiqua" w:hAnsi="Book Antiqua"/>
          <w:sz w:val="20"/>
          <w:szCs w:val="20"/>
        </w:rPr>
        <w:t>, Victoria;</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F5077E">
        <w:rPr>
          <w:rFonts w:ascii="Book Antiqua" w:hAnsi="Book Antiqua"/>
          <w:sz w:val="20"/>
          <w:szCs w:val="20"/>
        </w:rPr>
        <w:t>site remediation and maintenance works at Malabar Headland, Cox Peninsula and the Industrial Waste Collection site at Lucas Heights;</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F5077E">
        <w:rPr>
          <w:rFonts w:ascii="Book Antiqua" w:hAnsi="Book Antiqua"/>
          <w:sz w:val="20"/>
          <w:szCs w:val="20"/>
        </w:rPr>
        <w:t xml:space="preserve">redevelopment of the </w:t>
      </w:r>
      <w:proofErr w:type="spellStart"/>
      <w:r w:rsidRPr="00F5077E">
        <w:rPr>
          <w:rFonts w:ascii="Book Antiqua" w:hAnsi="Book Antiqua"/>
          <w:sz w:val="20"/>
          <w:szCs w:val="20"/>
        </w:rPr>
        <w:t>Villawood</w:t>
      </w:r>
      <w:proofErr w:type="spellEnd"/>
      <w:r w:rsidRPr="00F5077E">
        <w:rPr>
          <w:rFonts w:ascii="Book Antiqua" w:hAnsi="Book Antiqua"/>
          <w:sz w:val="20"/>
          <w:szCs w:val="20"/>
        </w:rPr>
        <w:t xml:space="preserve"> Immigration Detention Centre;</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proofErr w:type="spellStart"/>
      <w:r w:rsidRPr="00F5077E">
        <w:rPr>
          <w:rFonts w:ascii="Book Antiqua" w:hAnsi="Book Antiqua"/>
          <w:sz w:val="20"/>
          <w:szCs w:val="20"/>
        </w:rPr>
        <w:t>finalisation</w:t>
      </w:r>
      <w:proofErr w:type="spellEnd"/>
      <w:r w:rsidRPr="00F5077E">
        <w:rPr>
          <w:rFonts w:ascii="Book Antiqua" w:hAnsi="Book Antiqua"/>
          <w:sz w:val="20"/>
          <w:szCs w:val="20"/>
        </w:rPr>
        <w:t xml:space="preserve"> of the Australian Security Intelligence Organisation central office construction project including the Australian Cyber Security Centre; </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F5077E">
        <w:rPr>
          <w:rFonts w:ascii="Book Antiqua" w:hAnsi="Book Antiqua"/>
          <w:sz w:val="20"/>
          <w:szCs w:val="20"/>
        </w:rPr>
        <w:t>refurbishment of the John Gorton Building façade; and</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proofErr w:type="gramStart"/>
      <w:r w:rsidRPr="00F5077E">
        <w:rPr>
          <w:rFonts w:ascii="Book Antiqua" w:hAnsi="Book Antiqua"/>
          <w:sz w:val="20"/>
          <w:szCs w:val="20"/>
        </w:rPr>
        <w:t>other</w:t>
      </w:r>
      <w:proofErr w:type="gramEnd"/>
      <w:r w:rsidRPr="00F5077E">
        <w:rPr>
          <w:rFonts w:ascii="Book Antiqua" w:hAnsi="Book Antiqua"/>
          <w:sz w:val="20"/>
          <w:szCs w:val="20"/>
        </w:rPr>
        <w:t xml:space="preserve"> projects allocated to Property and Construction Division by the government with respect to the management of the government’s non</w:t>
      </w:r>
      <w:r w:rsidR="00CE645E">
        <w:rPr>
          <w:rFonts w:ascii="Book Antiqua" w:hAnsi="Book Antiqua"/>
          <w:sz w:val="20"/>
          <w:szCs w:val="20"/>
        </w:rPr>
        <w:noBreakHyphen/>
      </w:r>
      <w:proofErr w:type="spellStart"/>
      <w:r w:rsidRPr="00F5077E">
        <w:rPr>
          <w:rFonts w:ascii="Book Antiqua" w:hAnsi="Book Antiqua"/>
          <w:sz w:val="20"/>
          <w:szCs w:val="20"/>
        </w:rPr>
        <w:t>Defence</w:t>
      </w:r>
      <w:proofErr w:type="spellEnd"/>
      <w:r w:rsidRPr="00F5077E">
        <w:rPr>
          <w:rFonts w:ascii="Book Antiqua" w:hAnsi="Book Antiqua"/>
          <w:sz w:val="20"/>
          <w:szCs w:val="20"/>
        </w:rPr>
        <w:t xml:space="preserve"> domestic portfolio including on a </w:t>
      </w:r>
      <w:proofErr w:type="spellStart"/>
      <w:r w:rsidRPr="00F5077E">
        <w:rPr>
          <w:rFonts w:ascii="Book Antiqua" w:hAnsi="Book Antiqua"/>
          <w:sz w:val="20"/>
          <w:szCs w:val="20"/>
        </w:rPr>
        <w:t>WoAG</w:t>
      </w:r>
      <w:proofErr w:type="spellEnd"/>
      <w:r w:rsidRPr="00F5077E">
        <w:rPr>
          <w:rFonts w:ascii="Book Antiqua" w:hAnsi="Book Antiqua"/>
          <w:sz w:val="20"/>
          <w:szCs w:val="20"/>
        </w:rPr>
        <w:t xml:space="preserve"> basis</w:t>
      </w:r>
      <w:r w:rsidR="00EA2442">
        <w:rPr>
          <w:rFonts w:ascii="Book Antiqua" w:hAnsi="Book Antiqua"/>
          <w:sz w:val="20"/>
          <w:szCs w:val="20"/>
        </w:rPr>
        <w:t>.</w:t>
      </w:r>
    </w:p>
    <w:p w:rsidR="005041F8" w:rsidRDefault="005041F8" w:rsidP="00483228">
      <w:pPr>
        <w:pStyle w:val="SingleParagraph"/>
      </w:pPr>
    </w:p>
    <w:p w:rsidR="00F5077E" w:rsidRDefault="00F5077E">
      <w:pPr>
        <w:spacing w:after="0" w:line="240" w:lineRule="auto"/>
        <w:jc w:val="left"/>
        <w:rPr>
          <w:rFonts w:ascii="Arial" w:hAnsi="Arial" w:cs="Arial"/>
          <w:b/>
        </w:rPr>
      </w:pPr>
      <w:r>
        <w:rPr>
          <w:rFonts w:cs="Arial"/>
        </w:rPr>
        <w:br w:type="page"/>
      </w:r>
    </w:p>
    <w:p w:rsidR="005041F8" w:rsidRPr="00E5728A" w:rsidRDefault="005041F8" w:rsidP="00E453F8">
      <w:pPr>
        <w:pStyle w:val="Heading5"/>
      </w:pPr>
      <w:r w:rsidRPr="00E5728A">
        <w:lastRenderedPageBreak/>
        <w:t>Programme 2.3 K</w:t>
      </w:r>
      <w:r w:rsidR="00F5077E" w:rsidRPr="00E5728A">
        <w:t xml:space="preserve">ey Performance Indicators </w:t>
      </w:r>
    </w:p>
    <w:p w:rsidR="005041F8" w:rsidRPr="00F00728" w:rsidRDefault="005041F8" w:rsidP="005041F8">
      <w:pPr>
        <w:pStyle w:val="TableTextLeft"/>
        <w:spacing w:before="0" w:after="0"/>
      </w:pPr>
    </w:p>
    <w:p w:rsidR="005041F8" w:rsidRPr="00F00728" w:rsidRDefault="005041F8" w:rsidP="005041F8">
      <w:pPr>
        <w:spacing w:after="120"/>
      </w:pPr>
      <w:r w:rsidRPr="00F00728">
        <w:t xml:space="preserve">The key performance </w:t>
      </w:r>
      <w:r w:rsidR="00670296">
        <w:t>indicators</w:t>
      </w:r>
      <w:r w:rsidRPr="00F00728">
        <w:t xml:space="preserve"> for </w:t>
      </w:r>
      <w:r w:rsidR="00D13659">
        <w:t>this programme</w:t>
      </w:r>
      <w:r w:rsidRPr="00F00728">
        <w:t xml:space="preserve"> </w:t>
      </w:r>
      <w:r w:rsidR="00670296">
        <w:t>are</w:t>
      </w:r>
      <w:r w:rsidRPr="00F00728">
        <w:t>:</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sustainable property management practices and tools are promulgated to relevant entities and assisted in using these tools to achieve more efficient, effective and sustainable property outcomes on a whole-of-life basis;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spellStart"/>
      <w:r w:rsidRPr="00F5077E">
        <w:rPr>
          <w:rFonts w:ascii="Book Antiqua" w:hAnsi="Book Antiqua"/>
          <w:sz w:val="20"/>
          <w:szCs w:val="20"/>
        </w:rPr>
        <w:t>WoAG</w:t>
      </w:r>
      <w:proofErr w:type="spellEnd"/>
      <w:r w:rsidRPr="00F5077E">
        <w:rPr>
          <w:rFonts w:ascii="Book Antiqua" w:hAnsi="Book Antiqua"/>
          <w:sz w:val="20"/>
          <w:szCs w:val="20"/>
        </w:rPr>
        <w:t xml:space="preserve"> property data is collected, </w:t>
      </w:r>
      <w:proofErr w:type="spellStart"/>
      <w:r w:rsidRPr="00F5077E">
        <w:rPr>
          <w:rFonts w:ascii="Book Antiqua" w:hAnsi="Book Antiqua"/>
          <w:sz w:val="20"/>
          <w:szCs w:val="20"/>
        </w:rPr>
        <w:t>analysed</w:t>
      </w:r>
      <w:proofErr w:type="spellEnd"/>
      <w:r w:rsidRPr="00F5077E">
        <w:rPr>
          <w:rFonts w:ascii="Book Antiqua" w:hAnsi="Book Antiqua"/>
          <w:sz w:val="20"/>
          <w:szCs w:val="20"/>
        </w:rPr>
        <w:t xml:space="preserve"> and used as the evidence base to inform government property management policy and </w:t>
      </w:r>
      <w:r w:rsidR="00D64BE6">
        <w:rPr>
          <w:rFonts w:ascii="Book Antiqua" w:hAnsi="Book Antiqua"/>
          <w:sz w:val="20"/>
          <w:szCs w:val="20"/>
        </w:rPr>
        <w:t>entity</w:t>
      </w:r>
      <w:r w:rsidRPr="00F5077E">
        <w:rPr>
          <w:rFonts w:ascii="Book Antiqua" w:hAnsi="Book Antiqua"/>
          <w:sz w:val="20"/>
          <w:szCs w:val="20"/>
        </w:rPr>
        <w:t xml:space="preserve"> property decisions;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 xml:space="preserve">cost-benefit analysis, an annual </w:t>
      </w:r>
      <w:proofErr w:type="spellStart"/>
      <w:r w:rsidRPr="00F5077E">
        <w:rPr>
          <w:rFonts w:ascii="Book Antiqua" w:hAnsi="Book Antiqua"/>
          <w:sz w:val="20"/>
          <w:szCs w:val="20"/>
        </w:rPr>
        <w:t>WoAG</w:t>
      </w:r>
      <w:proofErr w:type="spellEnd"/>
      <w:r w:rsidRPr="00F5077E">
        <w:rPr>
          <w:rFonts w:ascii="Book Antiqua" w:hAnsi="Book Antiqua"/>
          <w:sz w:val="20"/>
          <w:szCs w:val="20"/>
        </w:rPr>
        <w:t xml:space="preserve"> </w:t>
      </w:r>
      <w:r w:rsidR="00CE645E">
        <w:rPr>
          <w:rFonts w:ascii="Book Antiqua" w:hAnsi="Book Antiqua"/>
          <w:sz w:val="20"/>
          <w:szCs w:val="20"/>
        </w:rPr>
        <w:t>P</w:t>
      </w:r>
      <w:r w:rsidRPr="00F5077E">
        <w:rPr>
          <w:rFonts w:ascii="Book Antiqua" w:hAnsi="Book Antiqua"/>
          <w:sz w:val="20"/>
          <w:szCs w:val="20"/>
        </w:rPr>
        <w:t xml:space="preserve">roperty </w:t>
      </w:r>
      <w:r w:rsidR="00CE645E">
        <w:rPr>
          <w:rFonts w:ascii="Book Antiqua" w:hAnsi="Book Antiqua"/>
          <w:sz w:val="20"/>
          <w:szCs w:val="20"/>
        </w:rPr>
        <w:t>C</w:t>
      </w:r>
      <w:r w:rsidRPr="00F5077E">
        <w:rPr>
          <w:rFonts w:ascii="Book Antiqua" w:hAnsi="Book Antiqua"/>
          <w:sz w:val="20"/>
          <w:szCs w:val="20"/>
        </w:rPr>
        <w:t xml:space="preserve">apability </w:t>
      </w:r>
      <w:r w:rsidR="00CE645E">
        <w:rPr>
          <w:rFonts w:ascii="Book Antiqua" w:hAnsi="Book Antiqua"/>
          <w:sz w:val="20"/>
          <w:szCs w:val="20"/>
        </w:rPr>
        <w:t>P</w:t>
      </w:r>
      <w:r w:rsidRPr="00F5077E">
        <w:rPr>
          <w:rFonts w:ascii="Book Antiqua" w:hAnsi="Book Antiqua"/>
          <w:sz w:val="20"/>
          <w:szCs w:val="20"/>
        </w:rPr>
        <w:t xml:space="preserve">lan, and the two-stage process for approval of major capital works are systematically applied to better inform government and </w:t>
      </w:r>
      <w:r w:rsidR="00D64BE6">
        <w:rPr>
          <w:rFonts w:ascii="Book Antiqua" w:hAnsi="Book Antiqua"/>
          <w:sz w:val="20"/>
          <w:szCs w:val="20"/>
        </w:rPr>
        <w:t>entity</w:t>
      </w:r>
      <w:r w:rsidRPr="00F5077E">
        <w:rPr>
          <w:rFonts w:ascii="Book Antiqua" w:hAnsi="Book Antiqua"/>
          <w:sz w:val="20"/>
          <w:szCs w:val="20"/>
        </w:rPr>
        <w:t xml:space="preserve"> decisions to own, lease, divest or acquire properties;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 xml:space="preserve">advice and support is provided to the government and Commonwealth entities in relation to the </w:t>
      </w:r>
      <w:r w:rsidRPr="00FF76AC">
        <w:rPr>
          <w:rFonts w:ascii="Book Antiqua" w:hAnsi="Book Antiqua"/>
          <w:i/>
          <w:sz w:val="20"/>
          <w:szCs w:val="20"/>
        </w:rPr>
        <w:t>Lands Acquisition Act 1989</w:t>
      </w:r>
      <w:r w:rsidRPr="00F5077E">
        <w:rPr>
          <w:rFonts w:ascii="Book Antiqua" w:hAnsi="Book Antiqua"/>
          <w:sz w:val="20"/>
          <w:szCs w:val="20"/>
        </w:rPr>
        <w:t xml:space="preserve">, the </w:t>
      </w:r>
      <w:r w:rsidRPr="00FF76AC">
        <w:rPr>
          <w:rFonts w:ascii="Book Antiqua" w:hAnsi="Book Antiqua"/>
          <w:i/>
          <w:sz w:val="20"/>
          <w:szCs w:val="20"/>
        </w:rPr>
        <w:t>Public Works Committee Act 1969</w:t>
      </w:r>
      <w:r w:rsidRPr="00F5077E">
        <w:rPr>
          <w:rFonts w:ascii="Book Antiqua" w:hAnsi="Book Antiqua"/>
          <w:sz w:val="20"/>
          <w:szCs w:val="20"/>
        </w:rPr>
        <w:t xml:space="preserve">, relevant sections of the </w:t>
      </w:r>
      <w:r w:rsidRPr="00FF76AC">
        <w:rPr>
          <w:rFonts w:ascii="Book Antiqua" w:hAnsi="Book Antiqua"/>
          <w:i/>
          <w:sz w:val="20"/>
          <w:szCs w:val="20"/>
        </w:rPr>
        <w:t>Native Title Act 1993</w:t>
      </w:r>
      <w:r w:rsidRPr="00F5077E">
        <w:rPr>
          <w:rFonts w:ascii="Book Antiqua" w:hAnsi="Book Antiqua"/>
          <w:sz w:val="20"/>
          <w:szCs w:val="20"/>
        </w:rPr>
        <w:t>, the National Land Ordinances and the Commonwealth Property Disposals Policy;</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major capital works projects and major land contamination remediation projects are completed in close consultation with clients and within the time, cost and quality parameters agreed by the government for the project;</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properties within the government’s non-Defence domestic property portfolio are strategically managed to meet their intended purposes and legislative requirements; and</w:t>
      </w:r>
    </w:p>
    <w:p w:rsidR="00F3374F"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F5077E">
        <w:rPr>
          <w:rFonts w:ascii="Book Antiqua" w:hAnsi="Book Antiqua"/>
          <w:sz w:val="20"/>
          <w:szCs w:val="20"/>
        </w:rPr>
        <w:t>properties</w:t>
      </w:r>
      <w:proofErr w:type="gramEnd"/>
      <w:r w:rsidRPr="00F5077E">
        <w:rPr>
          <w:rFonts w:ascii="Book Antiqua" w:hAnsi="Book Antiqua"/>
          <w:sz w:val="20"/>
          <w:szCs w:val="20"/>
        </w:rPr>
        <w:t xml:space="preserve"> are acquired and divested as </w:t>
      </w:r>
      <w:r w:rsidR="00EA2442">
        <w:rPr>
          <w:rFonts w:ascii="Book Antiqua" w:hAnsi="Book Antiqua"/>
          <w:sz w:val="20"/>
          <w:szCs w:val="20"/>
        </w:rPr>
        <w:t>appropriate and desired by the g</w:t>
      </w:r>
      <w:r w:rsidRPr="00F5077E">
        <w:rPr>
          <w:rFonts w:ascii="Book Antiqua" w:hAnsi="Book Antiqua"/>
          <w:sz w:val="20"/>
          <w:szCs w:val="20"/>
        </w:rPr>
        <w:t>overnment, and residual issues are managed to protect the government’s interests.</w:t>
      </w:r>
      <w:r w:rsidR="00F3374F" w:rsidRPr="00F5077E">
        <w:rPr>
          <w:rFonts w:ascii="Book Antiqua" w:hAnsi="Book Antiqua"/>
          <w:sz w:val="20"/>
          <w:szCs w:val="20"/>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DC39E1" w:rsidTr="00DC39E1">
        <w:tc>
          <w:tcPr>
            <w:tcW w:w="7713" w:type="dxa"/>
            <w:shd w:val="clear" w:color="auto" w:fill="E6E6E6"/>
          </w:tcPr>
          <w:p w:rsidR="00DC39E1" w:rsidRDefault="00DC39E1" w:rsidP="00873D79">
            <w:pPr>
              <w:pStyle w:val="TableColumnHeadingLeft"/>
            </w:pPr>
            <w:r>
              <w:lastRenderedPageBreak/>
              <w:t>Programme 2.</w:t>
            </w:r>
            <w:r w:rsidR="00873D79">
              <w:t>4</w:t>
            </w:r>
            <w:r>
              <w:t xml:space="preserve">: </w:t>
            </w:r>
            <w:r w:rsidR="00873D79">
              <w:t>Insurance and Risk Management</w:t>
            </w:r>
          </w:p>
        </w:tc>
      </w:tr>
    </w:tbl>
    <w:p w:rsidR="00DC39E1" w:rsidRDefault="00DC39E1" w:rsidP="00DC39E1">
      <w:pPr>
        <w:pStyle w:val="NoSpacing"/>
      </w:pPr>
    </w:p>
    <w:p w:rsidR="00633500" w:rsidRPr="00E5728A" w:rsidRDefault="00633500" w:rsidP="00E453F8">
      <w:pPr>
        <w:pStyle w:val="Heading5"/>
      </w:pPr>
      <w:r w:rsidRPr="00E5728A">
        <w:t>Programme 2.4 Objective</w:t>
      </w:r>
    </w:p>
    <w:p w:rsidR="00633500" w:rsidRPr="00F00728" w:rsidRDefault="00633500" w:rsidP="00633500">
      <w:pPr>
        <w:pStyle w:val="TableTextLeft"/>
        <w:spacing w:before="0" w:after="0"/>
        <w:rPr>
          <w:rFonts w:ascii="Book Antiqua" w:hAnsi="Book Antiqua"/>
          <w:sz w:val="20"/>
        </w:rPr>
      </w:pPr>
    </w:p>
    <w:p w:rsidR="00633500" w:rsidRPr="00F00728" w:rsidRDefault="00633500" w:rsidP="00633500">
      <w:pPr>
        <w:spacing w:after="120"/>
      </w:pPr>
      <w:r w:rsidRPr="00F00728">
        <w:t>This programme contributes to the outcome through providing general insurance services and promoting risk management across the government</w:t>
      </w:r>
      <w:r w:rsidR="00D87624">
        <w:t xml:space="preserve"> </w:t>
      </w:r>
      <w:r w:rsidRPr="00F00728">
        <w:t xml:space="preserve">through the </w:t>
      </w:r>
      <w:proofErr w:type="spellStart"/>
      <w:r w:rsidRPr="00F00728">
        <w:t>Comcover</w:t>
      </w:r>
      <w:proofErr w:type="spellEnd"/>
      <w:r w:rsidRPr="00F00728">
        <w:t xml:space="preserve"> </w:t>
      </w:r>
      <w:r w:rsidR="00CE645E">
        <w:t>S</w:t>
      </w:r>
      <w:r w:rsidRPr="00F00728">
        <w:t xml:space="preserve">pecial </w:t>
      </w:r>
      <w:r w:rsidR="00CE645E">
        <w:t>A</w:t>
      </w:r>
      <w:r w:rsidRPr="00F00728">
        <w:t>ccount.</w:t>
      </w:r>
    </w:p>
    <w:p w:rsidR="00633500" w:rsidRPr="00F00728" w:rsidRDefault="00633500" w:rsidP="00633500">
      <w:pPr>
        <w:spacing w:after="120"/>
      </w:pPr>
      <w:proofErr w:type="spellStart"/>
      <w:r w:rsidRPr="00F00728">
        <w:t>Comcover’s</w:t>
      </w:r>
      <w:proofErr w:type="spellEnd"/>
      <w:r w:rsidRPr="00F00728">
        <w:t xml:space="preserve"> objectives are to deliver a net benefit to the Budget over the longer term by:</w:t>
      </w:r>
    </w:p>
    <w:p w:rsidR="00633500" w:rsidRPr="00F00728"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promoting best practice risk management in entities to improve policy formulation and delivery of government programmes and services;</w:t>
      </w:r>
    </w:p>
    <w:p w:rsidR="00DF2CE5"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providing a comprehensive self-managed general insurance fund to protect Commonwealth entities against the impact and volatility of insurable losses; and </w:t>
      </w:r>
    </w:p>
    <w:p w:rsidR="00633500" w:rsidRPr="00DF2CE5"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F2CE5">
        <w:rPr>
          <w:rFonts w:ascii="Book Antiqua" w:hAnsi="Book Antiqua"/>
          <w:sz w:val="20"/>
          <w:szCs w:val="20"/>
        </w:rPr>
        <w:t>managing</w:t>
      </w:r>
      <w:proofErr w:type="gramEnd"/>
      <w:r w:rsidRPr="00DF2CE5">
        <w:rPr>
          <w:rFonts w:ascii="Book Antiqua" w:hAnsi="Book Antiqua"/>
          <w:sz w:val="20"/>
          <w:szCs w:val="20"/>
        </w:rPr>
        <w:t xml:space="preserve"> legal liability claims against the government in accordance with legislative and regulatory requirements.</w:t>
      </w:r>
    </w:p>
    <w:p w:rsidR="00633500" w:rsidRDefault="00633500" w:rsidP="00DC39E1">
      <w:pPr>
        <w:pStyle w:val="NoSpacing"/>
      </w:pPr>
    </w:p>
    <w:p w:rsidR="00633500" w:rsidRPr="00E5728A" w:rsidRDefault="00633500" w:rsidP="00E453F8">
      <w:pPr>
        <w:pStyle w:val="Heading5"/>
      </w:pPr>
      <w:r w:rsidRPr="00E5728A">
        <w:t>Programme 2.4 Expenses</w:t>
      </w:r>
    </w:p>
    <w:tbl>
      <w:tblPr>
        <w:tblW w:w="7200" w:type="dxa"/>
        <w:tblInd w:w="93" w:type="dxa"/>
        <w:tblLook w:val="04A0"/>
      </w:tblPr>
      <w:tblGrid>
        <w:gridCol w:w="3240"/>
        <w:gridCol w:w="928"/>
        <w:gridCol w:w="820"/>
        <w:gridCol w:w="821"/>
        <w:gridCol w:w="821"/>
        <w:gridCol w:w="821"/>
      </w:tblGrid>
      <w:tr w:rsidR="00C5570B" w:rsidRPr="00C5570B" w:rsidTr="00C5570B">
        <w:trPr>
          <w:trHeight w:val="225"/>
        </w:trPr>
        <w:tc>
          <w:tcPr>
            <w:tcW w:w="324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24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Special account expenses: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roofErr w:type="spellStart"/>
            <w:r w:rsidRPr="00C5570B">
              <w:rPr>
                <w:rFonts w:ascii="Arial" w:hAnsi="Arial" w:cs="Arial"/>
                <w:sz w:val="16"/>
                <w:szCs w:val="16"/>
              </w:rPr>
              <w:t>Comcover</w:t>
            </w:r>
            <w:proofErr w:type="spellEnd"/>
            <w:r w:rsidRPr="00C5570B">
              <w:rPr>
                <w:rFonts w:ascii="Arial" w:hAnsi="Arial" w:cs="Arial"/>
                <w:sz w:val="16"/>
                <w:szCs w:val="16"/>
              </w:rPr>
              <w:t xml:space="preserve"> Special Account</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116,747</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143,819</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145,126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148,423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151,927</w:t>
            </w:r>
          </w:p>
        </w:tc>
      </w:tr>
      <w:tr w:rsidR="00C5570B" w:rsidRPr="00C5570B" w:rsidTr="00C5570B">
        <w:trPr>
          <w:trHeight w:val="60"/>
        </w:trPr>
        <w:tc>
          <w:tcPr>
            <w:tcW w:w="324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116,747</w:t>
            </w:r>
          </w:p>
        </w:tc>
        <w:tc>
          <w:tcPr>
            <w:tcW w:w="82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143,819</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145,126</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148,423</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151,927</w:t>
            </w:r>
          </w:p>
        </w:tc>
      </w:tr>
    </w:tbl>
    <w:p w:rsidR="00483228" w:rsidRDefault="00483228" w:rsidP="00483228">
      <w:pPr>
        <w:pStyle w:val="SingleParagraph"/>
      </w:pPr>
    </w:p>
    <w:p w:rsidR="00E453F8" w:rsidRDefault="00E453F8">
      <w:pPr>
        <w:spacing w:after="0" w:line="240" w:lineRule="auto"/>
        <w:jc w:val="left"/>
        <w:rPr>
          <w:rFonts w:ascii="Arial" w:hAnsi="Arial" w:cs="Arial"/>
          <w:b/>
        </w:rPr>
      </w:pPr>
      <w:r>
        <w:br w:type="page"/>
      </w:r>
    </w:p>
    <w:p w:rsidR="00633500" w:rsidRPr="00E5728A" w:rsidRDefault="00633500" w:rsidP="00E453F8">
      <w:pPr>
        <w:pStyle w:val="Heading5"/>
      </w:pPr>
      <w:r w:rsidRPr="00E5728A">
        <w:lastRenderedPageBreak/>
        <w:t xml:space="preserve">Programme 2.4 Deliverables  </w:t>
      </w:r>
    </w:p>
    <w:p w:rsidR="00633500" w:rsidRPr="00F00728" w:rsidRDefault="00633500" w:rsidP="00633500">
      <w:pPr>
        <w:pStyle w:val="TableTextLeft"/>
        <w:spacing w:before="0" w:after="0"/>
        <w:rPr>
          <w:rFonts w:ascii="Book Antiqua" w:hAnsi="Book Antiqua"/>
          <w:sz w:val="20"/>
        </w:rPr>
      </w:pPr>
    </w:p>
    <w:p w:rsidR="00633500" w:rsidRPr="00F00728" w:rsidRDefault="00633500" w:rsidP="00633500">
      <w:pPr>
        <w:spacing w:after="120"/>
      </w:pPr>
      <w:r w:rsidRPr="00F00728">
        <w:t xml:space="preserve">The key deliverables for </w:t>
      </w:r>
      <w:r w:rsidR="00D13659">
        <w:t>this programme</w:t>
      </w:r>
      <w:r w:rsidRPr="00F00728">
        <w:t xml:space="preserve"> are:</w:t>
      </w:r>
    </w:p>
    <w:p w:rsidR="00633500" w:rsidRPr="00F00728"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managing the </w:t>
      </w:r>
      <w:proofErr w:type="spellStart"/>
      <w:r w:rsidRPr="00F00728">
        <w:rPr>
          <w:rFonts w:ascii="Book Antiqua" w:hAnsi="Book Antiqua"/>
          <w:sz w:val="20"/>
          <w:szCs w:val="20"/>
        </w:rPr>
        <w:t>Comcover</w:t>
      </w:r>
      <w:proofErr w:type="spellEnd"/>
      <w:r w:rsidRPr="00F00728">
        <w:rPr>
          <w:rFonts w:ascii="Book Antiqua" w:hAnsi="Book Antiqua"/>
          <w:sz w:val="20"/>
          <w:szCs w:val="20"/>
        </w:rPr>
        <w:t xml:space="preserve"> fund to protect Commonwealth entities against the impact and volatility of insurable losses;</w:t>
      </w:r>
    </w:p>
    <w:p w:rsidR="00633500" w:rsidRPr="00F00728"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providing fund members with risk management advice and education services that build capability and supports best practice risk management across the fund;</w:t>
      </w:r>
    </w:p>
    <w:p w:rsidR="00DF2CE5"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providing fund members with comprehensive insurance for all normally insurable risks and ensure efficient and effective management of all claims; and</w:t>
      </w:r>
    </w:p>
    <w:p w:rsidR="00633500" w:rsidRPr="00DF2CE5"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F2CE5">
        <w:rPr>
          <w:rFonts w:ascii="Book Antiqua" w:hAnsi="Book Antiqua"/>
          <w:sz w:val="20"/>
          <w:szCs w:val="20"/>
        </w:rPr>
        <w:t>managing</w:t>
      </w:r>
      <w:proofErr w:type="gramEnd"/>
      <w:r w:rsidRPr="00DF2CE5">
        <w:rPr>
          <w:rFonts w:ascii="Book Antiqua" w:hAnsi="Book Antiqua"/>
          <w:sz w:val="20"/>
          <w:szCs w:val="20"/>
        </w:rPr>
        <w:t xml:space="preserve"> fire services arrangements with the states and territories for the protection of government property.</w:t>
      </w:r>
    </w:p>
    <w:p w:rsidR="00633500" w:rsidRDefault="00633500" w:rsidP="00633500">
      <w:pPr>
        <w:pStyle w:val="SingleParagraph"/>
      </w:pPr>
    </w:p>
    <w:p w:rsidR="00633500" w:rsidRPr="00E5728A" w:rsidRDefault="00633500" w:rsidP="00E453F8">
      <w:pPr>
        <w:pStyle w:val="Heading5"/>
      </w:pPr>
      <w:r w:rsidRPr="00E5728A">
        <w:t xml:space="preserve">Programme 2.4 Key Performance Indicators  </w:t>
      </w:r>
    </w:p>
    <w:p w:rsidR="00633500" w:rsidRPr="00F613E9" w:rsidRDefault="00633500" w:rsidP="00EA2442">
      <w:pPr>
        <w:pStyle w:val="TableTextLeft"/>
        <w:keepNext/>
        <w:spacing w:before="0" w:after="0"/>
        <w:rPr>
          <w:rFonts w:ascii="Book Antiqua" w:hAnsi="Book Antiqua"/>
          <w:sz w:val="20"/>
        </w:rPr>
      </w:pPr>
    </w:p>
    <w:p w:rsidR="00633500" w:rsidRPr="00F613E9" w:rsidRDefault="00633500" w:rsidP="00EA2442">
      <w:pPr>
        <w:keepNext/>
        <w:spacing w:after="120"/>
      </w:pPr>
      <w:r w:rsidRPr="00F613E9">
        <w:t xml:space="preserve">The key performance </w:t>
      </w:r>
      <w:r w:rsidR="00CE645E">
        <w:t>indicator</w:t>
      </w:r>
      <w:r w:rsidRPr="00F613E9">
        <w:t xml:space="preserve"> for </w:t>
      </w:r>
      <w:r w:rsidR="00D13659">
        <w:t>this programme</w:t>
      </w:r>
      <w:r w:rsidRPr="00F613E9">
        <w:t xml:space="preserve"> </w:t>
      </w:r>
      <w:r w:rsidR="00E60751">
        <w:t>is</w:t>
      </w:r>
      <w:r w:rsidRPr="00F613E9">
        <w:t>:</w:t>
      </w:r>
    </w:p>
    <w:p w:rsidR="00633500" w:rsidRPr="00375F30" w:rsidRDefault="00633500"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A2442">
        <w:rPr>
          <w:rFonts w:ascii="Book Antiqua" w:hAnsi="Book Antiqua"/>
          <w:sz w:val="20"/>
          <w:szCs w:val="20"/>
        </w:rPr>
        <w:t xml:space="preserve">80% of </w:t>
      </w:r>
      <w:proofErr w:type="spellStart"/>
      <w:r w:rsidRPr="00EA2442">
        <w:rPr>
          <w:rFonts w:ascii="Book Antiqua" w:hAnsi="Book Antiqua"/>
          <w:sz w:val="20"/>
          <w:szCs w:val="20"/>
        </w:rPr>
        <w:t>Comcover</w:t>
      </w:r>
      <w:proofErr w:type="spellEnd"/>
      <w:r w:rsidRPr="00EA2442">
        <w:rPr>
          <w:rFonts w:ascii="Book Antiqua" w:hAnsi="Book Antiqua"/>
          <w:sz w:val="20"/>
          <w:szCs w:val="20"/>
        </w:rPr>
        <w:t xml:space="preserve"> fund members have achieved their identified level of risk maturity as measure</w:t>
      </w:r>
      <w:r w:rsidR="00CE645E">
        <w:rPr>
          <w:rFonts w:ascii="Book Antiqua" w:hAnsi="Book Antiqua"/>
          <w:sz w:val="20"/>
          <w:szCs w:val="20"/>
        </w:rPr>
        <w:t xml:space="preserve">d in the </w:t>
      </w:r>
      <w:proofErr w:type="spellStart"/>
      <w:r w:rsidR="00CE645E">
        <w:rPr>
          <w:rFonts w:ascii="Book Antiqua" w:hAnsi="Book Antiqua"/>
          <w:sz w:val="20"/>
          <w:szCs w:val="20"/>
        </w:rPr>
        <w:t>Comcover</w:t>
      </w:r>
      <w:proofErr w:type="spellEnd"/>
      <w:r w:rsidR="00CE645E">
        <w:rPr>
          <w:rFonts w:ascii="Book Antiqua" w:hAnsi="Book Antiqua"/>
          <w:sz w:val="20"/>
          <w:szCs w:val="20"/>
        </w:rPr>
        <w:t xml:space="preserve"> Benchmarking P</w:t>
      </w:r>
      <w:r w:rsidRPr="00EA2442">
        <w:rPr>
          <w:rFonts w:ascii="Book Antiqua" w:hAnsi="Book Antiqua"/>
          <w:sz w:val="20"/>
          <w:szCs w:val="20"/>
        </w:rPr>
        <w:t>rogramme.</w:t>
      </w:r>
      <w:r w:rsidRPr="00375F30">
        <w:rPr>
          <w:rFonts w:ascii="Book Antiqua" w:hAnsi="Book Antiqua"/>
          <w:sz w:val="20"/>
          <w:szCs w:val="20"/>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DC39E1" w:rsidTr="00DC39E1">
        <w:tc>
          <w:tcPr>
            <w:tcW w:w="7713" w:type="dxa"/>
            <w:shd w:val="clear" w:color="auto" w:fill="E6E6E6"/>
          </w:tcPr>
          <w:p w:rsidR="00DC39E1" w:rsidRDefault="00873D79" w:rsidP="00873D79">
            <w:pPr>
              <w:pStyle w:val="TableColumnHeadingLeft"/>
            </w:pPr>
            <w:r>
              <w:lastRenderedPageBreak/>
              <w:t>Programme 2.5</w:t>
            </w:r>
            <w:r w:rsidR="00DC39E1">
              <w:t>: P</w:t>
            </w:r>
            <w:r>
              <w:t>rocurement Services</w:t>
            </w:r>
          </w:p>
        </w:tc>
      </w:tr>
    </w:tbl>
    <w:p w:rsidR="00DC39E1" w:rsidRDefault="00DC39E1" w:rsidP="00DC39E1">
      <w:pPr>
        <w:pStyle w:val="NoSpacing"/>
      </w:pPr>
    </w:p>
    <w:p w:rsidR="00633500" w:rsidRDefault="00633500" w:rsidP="00E453F8">
      <w:pPr>
        <w:pStyle w:val="Heading5"/>
      </w:pPr>
      <w:r w:rsidRPr="00E5728A">
        <w:t>Programme 2.5 Objective</w:t>
      </w:r>
    </w:p>
    <w:p w:rsidR="008972BD" w:rsidRPr="008972BD" w:rsidRDefault="008972BD" w:rsidP="008972BD">
      <w:pPr>
        <w:spacing w:after="0"/>
      </w:pPr>
    </w:p>
    <w:p w:rsidR="00633500" w:rsidRDefault="00633500" w:rsidP="00633500">
      <w:pPr>
        <w:pStyle w:val="NoSpacing"/>
      </w:pPr>
      <w:r w:rsidRPr="00AF5179">
        <w:t xml:space="preserve">This programme contributes to the outcome through establishing </w:t>
      </w:r>
      <w:proofErr w:type="spellStart"/>
      <w:r w:rsidRPr="00AF5179">
        <w:t>WoAG</w:t>
      </w:r>
      <w:proofErr w:type="spellEnd"/>
      <w:r w:rsidRPr="00AF5179">
        <w:t xml:space="preserve"> arrangements for common goods and services to maximise market benefits for Commonwealth entities and providing advice </w:t>
      </w:r>
      <w:r w:rsidR="00D87624">
        <w:t>to</w:t>
      </w:r>
      <w:r w:rsidRPr="00AF5179">
        <w:t xml:space="preserve"> </w:t>
      </w:r>
      <w:r w:rsidR="00D87624">
        <w:t xml:space="preserve">the </w:t>
      </w:r>
      <w:r w:rsidRPr="00AF5179">
        <w:t>government on advertising.</w:t>
      </w:r>
    </w:p>
    <w:p w:rsidR="00DC39E1" w:rsidRDefault="00DC39E1" w:rsidP="00DC39E1">
      <w:pPr>
        <w:pStyle w:val="SingleParagraph"/>
      </w:pPr>
    </w:p>
    <w:p w:rsidR="00633500" w:rsidRPr="00E5728A" w:rsidRDefault="00633500" w:rsidP="00E453F8">
      <w:pPr>
        <w:pStyle w:val="Heading5"/>
      </w:pPr>
      <w:r w:rsidRPr="00E5728A">
        <w:t>Programme 2.5 Expenses</w:t>
      </w:r>
    </w:p>
    <w:tbl>
      <w:tblPr>
        <w:tblW w:w="7200" w:type="dxa"/>
        <w:tblInd w:w="87" w:type="dxa"/>
        <w:tblLook w:val="04A0"/>
      </w:tblPr>
      <w:tblGrid>
        <w:gridCol w:w="3240"/>
        <w:gridCol w:w="928"/>
        <w:gridCol w:w="820"/>
        <w:gridCol w:w="821"/>
        <w:gridCol w:w="821"/>
        <w:gridCol w:w="821"/>
      </w:tblGrid>
      <w:tr w:rsidR="00C5570B" w:rsidRPr="00C5570B" w:rsidTr="00C5570B">
        <w:trPr>
          <w:trHeight w:val="225"/>
        </w:trPr>
        <w:tc>
          <w:tcPr>
            <w:tcW w:w="324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24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Special account expenses: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Coordinated Procurement</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Contracting Special Account</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128,800</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122,262</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108,941</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105,408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98,109</w:t>
            </w:r>
          </w:p>
        </w:tc>
      </w:tr>
      <w:tr w:rsidR="00C5570B" w:rsidRPr="00C5570B" w:rsidTr="00C5570B">
        <w:trPr>
          <w:trHeight w:val="60"/>
        </w:trPr>
        <w:tc>
          <w:tcPr>
            <w:tcW w:w="324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128,800</w:t>
            </w:r>
          </w:p>
        </w:tc>
        <w:tc>
          <w:tcPr>
            <w:tcW w:w="82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122,262</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108,941</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105,408</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98,109</w:t>
            </w:r>
          </w:p>
        </w:tc>
      </w:tr>
    </w:tbl>
    <w:p w:rsidR="00DC39E1" w:rsidRDefault="00DC39E1" w:rsidP="00DC39E1">
      <w:pPr>
        <w:pStyle w:val="NoSpacing"/>
        <w:rPr>
          <w:highlight w:val="yellow"/>
        </w:rPr>
      </w:pPr>
    </w:p>
    <w:p w:rsidR="00633500" w:rsidRPr="00E5728A" w:rsidRDefault="00633500" w:rsidP="00E453F8">
      <w:pPr>
        <w:pStyle w:val="Heading5"/>
      </w:pPr>
      <w:r w:rsidRPr="00E5728A">
        <w:t xml:space="preserve">Programme 2.5 Deliverables  </w:t>
      </w:r>
    </w:p>
    <w:p w:rsidR="00633500" w:rsidRPr="00AF5179" w:rsidRDefault="00633500" w:rsidP="00633500">
      <w:pPr>
        <w:pStyle w:val="TableTextLeft"/>
        <w:spacing w:before="0" w:after="0"/>
        <w:rPr>
          <w:rFonts w:ascii="Book Antiqua" w:hAnsi="Book Antiqua"/>
          <w:sz w:val="20"/>
        </w:rPr>
      </w:pPr>
    </w:p>
    <w:p w:rsidR="00633500" w:rsidRPr="00AF5179" w:rsidRDefault="00633500" w:rsidP="00633500">
      <w:pPr>
        <w:spacing w:after="120"/>
      </w:pPr>
      <w:r w:rsidRPr="00AF5179">
        <w:t xml:space="preserve">The key deliverables for </w:t>
      </w:r>
      <w:r w:rsidR="00D13659">
        <w:t>this programme</w:t>
      </w:r>
      <w:r w:rsidRPr="00AF5179">
        <w:t xml:space="preserve"> are:</w:t>
      </w:r>
    </w:p>
    <w:p w:rsidR="00DF2CE5" w:rsidRDefault="00633500"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 xml:space="preserve">developing and manage </w:t>
      </w:r>
      <w:proofErr w:type="spellStart"/>
      <w:r w:rsidRPr="00AF5179">
        <w:rPr>
          <w:rFonts w:ascii="Book Antiqua" w:hAnsi="Book Antiqua"/>
          <w:sz w:val="20"/>
          <w:szCs w:val="20"/>
        </w:rPr>
        <w:t>WoAG</w:t>
      </w:r>
      <w:proofErr w:type="spellEnd"/>
      <w:r w:rsidRPr="00AF5179">
        <w:rPr>
          <w:rFonts w:ascii="Book Antiqua" w:hAnsi="Book Antiqua"/>
          <w:sz w:val="20"/>
          <w:szCs w:val="20"/>
        </w:rPr>
        <w:t xml:space="preserve"> procurement arrangements; and</w:t>
      </w:r>
    </w:p>
    <w:p w:rsidR="00633500" w:rsidRPr="00DF2CE5" w:rsidRDefault="00633500"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F2CE5">
        <w:rPr>
          <w:rFonts w:ascii="Book Antiqua" w:hAnsi="Book Antiqua"/>
          <w:sz w:val="20"/>
          <w:szCs w:val="20"/>
        </w:rPr>
        <w:t>providing</w:t>
      </w:r>
      <w:proofErr w:type="gramEnd"/>
      <w:r w:rsidRPr="00DF2CE5">
        <w:rPr>
          <w:rFonts w:ascii="Book Antiqua" w:hAnsi="Book Antiqua"/>
          <w:sz w:val="20"/>
          <w:szCs w:val="20"/>
        </w:rPr>
        <w:t xml:space="preserve"> assistance and advice to Commonwealth entities on the process of developing government advertising campaigns.</w:t>
      </w:r>
    </w:p>
    <w:p w:rsidR="00633500" w:rsidRDefault="00633500" w:rsidP="00483228">
      <w:pPr>
        <w:pStyle w:val="NoSpacing"/>
      </w:pPr>
    </w:p>
    <w:p w:rsidR="00633500" w:rsidRPr="00E453F8" w:rsidRDefault="00633500" w:rsidP="00E453F8">
      <w:pPr>
        <w:pStyle w:val="Heading5"/>
      </w:pPr>
      <w:r w:rsidRPr="00E453F8">
        <w:t xml:space="preserve">Programme 2.5 Key Performance Indicators  </w:t>
      </w:r>
    </w:p>
    <w:p w:rsidR="00633500" w:rsidRPr="00AF5179" w:rsidRDefault="00633500" w:rsidP="00633500">
      <w:pPr>
        <w:pStyle w:val="TableTextLeft"/>
        <w:spacing w:before="0" w:after="0"/>
        <w:rPr>
          <w:rFonts w:ascii="Book Antiqua" w:hAnsi="Book Antiqua"/>
          <w:sz w:val="20"/>
        </w:rPr>
      </w:pPr>
    </w:p>
    <w:p w:rsidR="00633500" w:rsidRPr="00AF5179" w:rsidRDefault="00633500" w:rsidP="00633500">
      <w:pPr>
        <w:spacing w:after="120"/>
      </w:pPr>
      <w:r w:rsidRPr="00AF5179">
        <w:t xml:space="preserve">The key performance </w:t>
      </w:r>
      <w:r w:rsidR="00670296">
        <w:t xml:space="preserve">indicators </w:t>
      </w:r>
      <w:r w:rsidRPr="00AF5179">
        <w:t xml:space="preserve">for </w:t>
      </w:r>
      <w:r w:rsidR="00D13659">
        <w:t>this programme</w:t>
      </w:r>
      <w:r w:rsidRPr="00AF5179">
        <w:t xml:space="preserve"> </w:t>
      </w:r>
      <w:r w:rsidR="00670296">
        <w:t>are</w:t>
      </w:r>
      <w:r w:rsidRPr="00AF5179">
        <w:t>:</w:t>
      </w:r>
    </w:p>
    <w:p w:rsidR="00DF2CE5" w:rsidRDefault="00633500"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spellStart"/>
      <w:r w:rsidRPr="00AF5179">
        <w:rPr>
          <w:rFonts w:ascii="Book Antiqua" w:hAnsi="Book Antiqua"/>
          <w:sz w:val="20"/>
          <w:szCs w:val="20"/>
        </w:rPr>
        <w:t>WoAG</w:t>
      </w:r>
      <w:proofErr w:type="spellEnd"/>
      <w:r w:rsidRPr="00AF5179">
        <w:rPr>
          <w:rFonts w:ascii="Book Antiqua" w:hAnsi="Book Antiqua"/>
          <w:sz w:val="20"/>
          <w:szCs w:val="20"/>
        </w:rPr>
        <w:t xml:space="preserve"> arrangements are well managed.  In particular, scoping studies and tender processes are conducted within agreed timeframes and budget; and contracts are managed in accordance with appropriate contract management plans; and</w:t>
      </w:r>
    </w:p>
    <w:p w:rsidR="00F3374F" w:rsidRPr="00DF2CE5" w:rsidRDefault="00633500"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F2CE5">
        <w:rPr>
          <w:rFonts w:ascii="Book Antiqua" w:hAnsi="Book Antiqua"/>
          <w:sz w:val="20"/>
          <w:szCs w:val="20"/>
        </w:rPr>
        <w:t>government</w:t>
      </w:r>
      <w:proofErr w:type="gramEnd"/>
      <w:r w:rsidRPr="00DF2CE5">
        <w:rPr>
          <w:rFonts w:ascii="Book Antiqua" w:hAnsi="Book Antiqua"/>
          <w:sz w:val="20"/>
          <w:szCs w:val="20"/>
        </w:rPr>
        <w:t xml:space="preserve"> advertising is conducted in accordance with government advertising policies.</w:t>
      </w:r>
      <w:r w:rsidR="00F3374F" w:rsidRPr="00DF2CE5">
        <w:rPr>
          <w:rFonts w:ascii="Book Antiqua" w:hAnsi="Book Antiqua"/>
          <w:sz w:val="20"/>
          <w:szCs w:val="20"/>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873D79" w:rsidTr="00873D79">
        <w:tc>
          <w:tcPr>
            <w:tcW w:w="7713" w:type="dxa"/>
            <w:shd w:val="clear" w:color="auto" w:fill="E6E6E6"/>
          </w:tcPr>
          <w:p w:rsidR="00873D79" w:rsidRDefault="00873D79" w:rsidP="00873D79">
            <w:pPr>
              <w:pStyle w:val="TableColumnHeadingLeft"/>
            </w:pPr>
            <w:r>
              <w:lastRenderedPageBreak/>
              <w:t>Programme 2.6: Public Sector Superannuation</w:t>
            </w:r>
          </w:p>
        </w:tc>
      </w:tr>
    </w:tbl>
    <w:p w:rsidR="00873D79" w:rsidRDefault="00873D79" w:rsidP="00873D79">
      <w:pPr>
        <w:pStyle w:val="NoSpacing"/>
      </w:pPr>
    </w:p>
    <w:p w:rsidR="00784161" w:rsidRPr="00E5728A" w:rsidRDefault="00793F50" w:rsidP="00E453F8">
      <w:pPr>
        <w:pStyle w:val="Heading5"/>
      </w:pPr>
      <w:r>
        <w:t>Programme 2.6</w:t>
      </w:r>
      <w:r w:rsidR="00784161" w:rsidRPr="00E5728A">
        <w:t xml:space="preserve"> Objective</w:t>
      </w:r>
    </w:p>
    <w:p w:rsidR="00784161" w:rsidRPr="00AF5179" w:rsidRDefault="00784161" w:rsidP="00784161">
      <w:pPr>
        <w:spacing w:after="0" w:line="240" w:lineRule="auto"/>
      </w:pPr>
    </w:p>
    <w:p w:rsidR="00784161" w:rsidRPr="00AF5179" w:rsidRDefault="00784161" w:rsidP="00784161">
      <w:pPr>
        <w:spacing w:after="120"/>
      </w:pPr>
      <w:r w:rsidRPr="00AF5179">
        <w:t xml:space="preserve">This programme contributes to the outcome through advising the government on managing the </w:t>
      </w:r>
      <w:r w:rsidRPr="00AF5179">
        <w:rPr>
          <w:lang w:eastAsia="en-US"/>
        </w:rPr>
        <w:t>Future</w:t>
      </w:r>
      <w:r w:rsidRPr="00AF5179">
        <w:t xml:space="preserve"> Fund, the </w:t>
      </w:r>
      <w:r w:rsidR="00EA2442">
        <w:t xml:space="preserve">stability of the </w:t>
      </w:r>
      <w:r w:rsidRPr="00AF5179">
        <w:t>government’s unfunded superannuation liabilities and its associated administered expense items and superannuation arrangements for government employees.</w:t>
      </w:r>
    </w:p>
    <w:p w:rsidR="00784161" w:rsidRDefault="00784161" w:rsidP="00784161">
      <w:pPr>
        <w:pStyle w:val="NoSpacing"/>
      </w:pPr>
      <w:r w:rsidRPr="00AF5179">
        <w:t xml:space="preserve">This includes the administration and management of superannuation arrangements for </w:t>
      </w:r>
      <w:r w:rsidRPr="00AF5179">
        <w:rPr>
          <w:lang w:eastAsia="en-US"/>
        </w:rPr>
        <w:t>parliamentarians</w:t>
      </w:r>
      <w:r w:rsidRPr="00AF5179">
        <w:t>, as well as current and former Governors-General, Federal Judges and Federal Circuit Court Judges.</w:t>
      </w:r>
    </w:p>
    <w:p w:rsidR="00784161" w:rsidRDefault="00784161" w:rsidP="00784161">
      <w:pPr>
        <w:pStyle w:val="NoSpacing"/>
      </w:pPr>
    </w:p>
    <w:p w:rsidR="00784161" w:rsidRPr="00E5728A" w:rsidRDefault="00784161" w:rsidP="008972BD">
      <w:pPr>
        <w:spacing w:before="120" w:after="60" w:line="240" w:lineRule="auto"/>
        <w:jc w:val="left"/>
        <w:rPr>
          <w:rFonts w:ascii="Arial" w:hAnsi="Arial" w:cs="Arial"/>
          <w:b/>
        </w:rPr>
      </w:pPr>
      <w:r w:rsidRPr="00E5728A">
        <w:rPr>
          <w:rFonts w:ascii="Arial" w:hAnsi="Arial" w:cs="Arial"/>
          <w:b/>
        </w:rPr>
        <w:t>Linked to:</w:t>
      </w:r>
    </w:p>
    <w:p w:rsidR="00784161" w:rsidRPr="00926D0F" w:rsidRDefault="00784161" w:rsidP="00784161">
      <w:pPr>
        <w:spacing w:after="0" w:line="240" w:lineRule="auto"/>
      </w:pPr>
    </w:p>
    <w:p w:rsidR="00784161" w:rsidRPr="00A96FFE" w:rsidRDefault="00784161" w:rsidP="00784161">
      <w:pPr>
        <w:spacing w:after="120"/>
      </w:pPr>
      <w:r w:rsidRPr="00A96FFE">
        <w:t>Commonwealth Superannuation Corporation (CSC) is the trustee that manages the government’s main superannuation schemes, including the Public Sector Superannuation Accumulation Plan</w:t>
      </w:r>
      <w:r w:rsidR="00CE645E">
        <w:t>,</w:t>
      </w:r>
      <w:r w:rsidRPr="00A96FFE">
        <w:t xml:space="preserve"> the Public Sector Superannuation Scheme and the Commonwealth Superannuation Scheme.</w:t>
      </w:r>
      <w:r w:rsidR="00A96FFE" w:rsidRPr="00A96FFE">
        <w:rPr>
          <w:rFonts w:eastAsiaTheme="majorEastAsia"/>
        </w:rPr>
        <w:t xml:space="preserve"> Subject to the passage of legislation, CSC will undertake the administration functions currently performed by ComSuper</w:t>
      </w:r>
      <w:r w:rsidR="00A96FFE" w:rsidRPr="00A96FFE" w:rsidDel="007057F2">
        <w:rPr>
          <w:rFonts w:eastAsiaTheme="majorEastAsia"/>
        </w:rPr>
        <w:t xml:space="preserve">. </w:t>
      </w:r>
      <w:r w:rsidR="00A96FFE" w:rsidRPr="00A96FFE">
        <w:rPr>
          <w:rFonts w:eastAsiaTheme="majorEastAsia"/>
        </w:rPr>
        <w:t>Legislation to merge ComSuper with CSC from 1 July 2015 was introduced into the Parliament on 19 March 2015</w:t>
      </w:r>
      <w:r w:rsidR="00F402E8">
        <w:rPr>
          <w:rFonts w:eastAsiaTheme="majorEastAsia"/>
        </w:rPr>
        <w:t>.</w:t>
      </w:r>
    </w:p>
    <w:p w:rsidR="00784161" w:rsidRDefault="00784161" w:rsidP="00784161">
      <w:pPr>
        <w:pStyle w:val="NoSpacing"/>
      </w:pPr>
      <w:r w:rsidRPr="00926D0F">
        <w:t>The Future Fund Management Agency supports and advises the Future Fund Board of Guardians in its task of investing the assets of the Future Fund. Finance provides advice to the government on the investment mandates and governance arrangements for the Future Fund.</w:t>
      </w:r>
    </w:p>
    <w:p w:rsidR="00873D79" w:rsidRDefault="00AF5179" w:rsidP="00873D79">
      <w:pPr>
        <w:pStyle w:val="SingleParagraph"/>
      </w:pPr>
      <w:r>
        <w:br w:type="page"/>
      </w:r>
    </w:p>
    <w:p w:rsidR="00784161" w:rsidRPr="00793F50" w:rsidRDefault="00784161" w:rsidP="00E453F8">
      <w:pPr>
        <w:pStyle w:val="Heading5"/>
      </w:pPr>
      <w:r w:rsidRPr="00793F50">
        <w:lastRenderedPageBreak/>
        <w:t>Programme 2.6 Expenses</w:t>
      </w:r>
    </w:p>
    <w:tbl>
      <w:tblPr>
        <w:tblW w:w="8020" w:type="dxa"/>
        <w:tblInd w:w="93" w:type="dxa"/>
        <w:tblLook w:val="04A0"/>
      </w:tblPr>
      <w:tblGrid>
        <w:gridCol w:w="3520"/>
        <w:gridCol w:w="928"/>
        <w:gridCol w:w="928"/>
        <w:gridCol w:w="928"/>
        <w:gridCol w:w="928"/>
        <w:gridCol w:w="928"/>
      </w:tblGrid>
      <w:tr w:rsidR="00C5570B" w:rsidRPr="00C5570B" w:rsidTr="00C5570B">
        <w:trPr>
          <w:trHeight w:val="225"/>
        </w:trPr>
        <w:tc>
          <w:tcPr>
            <w:tcW w:w="352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9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90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9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9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9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52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52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9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9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9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52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9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90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9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9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9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5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administered expenses: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Act of Grace nominal interests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3,308</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450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398</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Compensation and legal expenses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Superannuation administration costs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9,845</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10,448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10,448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10,448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10,448</w:t>
            </w:r>
          </w:p>
        </w:tc>
      </w:tr>
      <w:tr w:rsidR="00C5570B" w:rsidRPr="00C5570B" w:rsidTr="00C5570B">
        <w:trPr>
          <w:trHeight w:val="225"/>
        </w:trPr>
        <w:tc>
          <w:tcPr>
            <w:tcW w:w="35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Special appropriations expenses: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Federal Circuit Court of Australia</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 xml:space="preserve"> Act 1999</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729</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741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796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835</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958</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Governance of Australian Government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Superannuation Schemes Act 2011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Governor-General Act 1974</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893</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1,244</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1,233</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1,221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7,064</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Judges' Pensions Act 1968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84,100</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82,100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83,900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86,900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90,600</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Parliamentary Contributory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Superannuation Act 1948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51,629</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54,417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54,643</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54,987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53,491</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Parliamentary Superannuation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Act 2004</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5,769</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5,887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6,732</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7,001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7,281</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Same-Sex Relationships (Equal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Treatment in Commonwealth Laws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 xml:space="preserve"> - General Law Reform) Act 2008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47</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1922</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32,106</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37,341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34,232</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31,351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28,686</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1976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3,060,701</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3,510,316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3,481,685</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3,448,258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3,409,368</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1990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5,394,180</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4,494,556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4,721,154</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4,947,898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5,174,066</w:t>
            </w:r>
          </w:p>
        </w:tc>
      </w:tr>
      <w:tr w:rsidR="00C5570B" w:rsidRPr="00C5570B" w:rsidTr="00C5570B">
        <w:trPr>
          <w:trHeight w:val="225"/>
        </w:trPr>
        <w:tc>
          <w:tcPr>
            <w:tcW w:w="35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departmental expenses: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Public Sector Superannuation</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5,203</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5,121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4,896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4,951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4,986</w:t>
            </w:r>
          </w:p>
        </w:tc>
      </w:tr>
      <w:tr w:rsidR="00C5570B" w:rsidRPr="00C5570B" w:rsidTr="00C5570B">
        <w:trPr>
          <w:trHeight w:val="225"/>
        </w:trPr>
        <w:tc>
          <w:tcPr>
            <w:tcW w:w="352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52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the Budget year</w:t>
            </w:r>
            <w:r w:rsidRPr="00C5570B">
              <w:rPr>
                <w:rFonts w:ascii="Arial" w:hAnsi="Arial" w:cs="Arial"/>
                <w:sz w:val="16"/>
                <w:szCs w:val="16"/>
                <w:vertAlign w:val="superscript"/>
              </w:rPr>
              <w:t xml:space="preserve"> 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251</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265</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273</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273</w:t>
            </w:r>
          </w:p>
        </w:tc>
      </w:tr>
      <w:tr w:rsidR="00C5570B" w:rsidRPr="00C5570B" w:rsidTr="00C5570B">
        <w:trPr>
          <w:trHeight w:val="60"/>
        </w:trPr>
        <w:tc>
          <w:tcPr>
            <w:tcW w:w="352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9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8,650,664</w:t>
            </w:r>
          </w:p>
        </w:tc>
        <w:tc>
          <w:tcPr>
            <w:tcW w:w="90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8,204,939</w:t>
            </w:r>
          </w:p>
        </w:tc>
        <w:tc>
          <w:tcPr>
            <w:tcW w:w="9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8,402,446</w:t>
            </w:r>
          </w:p>
        </w:tc>
        <w:tc>
          <w:tcPr>
            <w:tcW w:w="9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8,596,530</w:t>
            </w:r>
          </w:p>
        </w:tc>
        <w:tc>
          <w:tcPr>
            <w:tcW w:w="9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8,789,566</w:t>
            </w:r>
          </w:p>
        </w:tc>
      </w:tr>
    </w:tbl>
    <w:p w:rsidR="00873D79" w:rsidRPr="00DF2CE5" w:rsidRDefault="00873D79" w:rsidP="00873D79">
      <w:pPr>
        <w:pStyle w:val="TableGraphic"/>
        <w:rPr>
          <w:sz w:val="6"/>
          <w:szCs w:val="6"/>
        </w:rPr>
      </w:pPr>
    </w:p>
    <w:p w:rsidR="00126187" w:rsidRPr="00DF2CE5" w:rsidRDefault="00C43756" w:rsidP="0003235D">
      <w:pPr>
        <w:pStyle w:val="ListParagraph"/>
        <w:numPr>
          <w:ilvl w:val="0"/>
          <w:numId w:val="22"/>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p w:rsidR="0032228A" w:rsidRDefault="00873D79" w:rsidP="0032228A">
      <w:pPr>
        <w:pStyle w:val="SingleParagraph"/>
      </w:pPr>
      <w:r>
        <w:br w:type="page"/>
      </w:r>
    </w:p>
    <w:p w:rsidR="00784161" w:rsidRPr="00793F50" w:rsidRDefault="00784161" w:rsidP="00E453F8">
      <w:pPr>
        <w:pStyle w:val="Heading5"/>
      </w:pPr>
      <w:r w:rsidRPr="00793F50">
        <w:lastRenderedPageBreak/>
        <w:t xml:space="preserve">Programme 2.6 Deliverables  </w:t>
      </w:r>
    </w:p>
    <w:p w:rsidR="00784161" w:rsidRPr="00AF5179" w:rsidRDefault="00784161" w:rsidP="00784161">
      <w:pPr>
        <w:pStyle w:val="TableTextLeft"/>
        <w:spacing w:before="0" w:after="0"/>
      </w:pPr>
    </w:p>
    <w:p w:rsidR="00784161" w:rsidRPr="00AF5179" w:rsidRDefault="00784161" w:rsidP="00784161">
      <w:r w:rsidRPr="00AF5179">
        <w:t xml:space="preserve">The key deliverables for </w:t>
      </w:r>
      <w:r w:rsidR="00D13659">
        <w:t>this programme</w:t>
      </w:r>
      <w:r w:rsidRPr="00AF5179">
        <w:t xml:space="preserve"> are:</w:t>
      </w:r>
    </w:p>
    <w:p w:rsidR="00784161" w:rsidRPr="00AF5179" w:rsidRDefault="00784161"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 xml:space="preserve">providing policy advice </w:t>
      </w:r>
      <w:r w:rsidR="00A96FFE">
        <w:rPr>
          <w:rFonts w:ascii="Book Antiqua" w:hAnsi="Book Antiqua"/>
          <w:sz w:val="20"/>
          <w:szCs w:val="20"/>
        </w:rPr>
        <w:t xml:space="preserve">and analysis </w:t>
      </w:r>
      <w:r w:rsidRPr="00AF5179">
        <w:rPr>
          <w:rFonts w:ascii="Book Antiqua" w:hAnsi="Book Antiqua"/>
          <w:sz w:val="20"/>
          <w:szCs w:val="20"/>
        </w:rPr>
        <w:t>on the superannuation arrangements for government employees, parliamentarians, as well as current and former Governors-General, Federal Judges and Federal Circuit Court Judges;</w:t>
      </w:r>
    </w:p>
    <w:p w:rsidR="00A96FFE" w:rsidRDefault="00A96F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administer the superannuation schemes for parliamentarians, as well as current and former Governors-General, Federal Judges and Federal Circuit Court Judges;</w:t>
      </w:r>
    </w:p>
    <w:p w:rsidR="00784161" w:rsidRPr="00AF5179" w:rsidRDefault="00784161"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 xml:space="preserve">providing policy advice </w:t>
      </w:r>
      <w:r w:rsidR="00A96FFE">
        <w:rPr>
          <w:rFonts w:ascii="Book Antiqua" w:hAnsi="Book Antiqua"/>
          <w:sz w:val="20"/>
          <w:szCs w:val="20"/>
        </w:rPr>
        <w:t xml:space="preserve">to ensure the stability of </w:t>
      </w:r>
      <w:r w:rsidRPr="00AF5179">
        <w:rPr>
          <w:rFonts w:ascii="Book Antiqua" w:hAnsi="Book Antiqua"/>
          <w:sz w:val="20"/>
          <w:szCs w:val="20"/>
        </w:rPr>
        <w:t>the government’s unfunded superannuation liability and associated administered expenses;</w:t>
      </w:r>
    </w:p>
    <w:p w:rsidR="00DF2CE5" w:rsidRDefault="00784161"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providing policy advice on the Future Fund, including the investment mandate and other governance matters</w:t>
      </w:r>
      <w:r w:rsidR="00F402E8">
        <w:rPr>
          <w:rFonts w:ascii="Book Antiqua" w:hAnsi="Book Antiqua"/>
          <w:sz w:val="20"/>
          <w:szCs w:val="20"/>
        </w:rPr>
        <w:t>;</w:t>
      </w:r>
      <w:r w:rsidRPr="00AF5179">
        <w:rPr>
          <w:rFonts w:ascii="Book Antiqua" w:hAnsi="Book Antiqua"/>
          <w:sz w:val="20"/>
          <w:szCs w:val="20"/>
        </w:rPr>
        <w:t xml:space="preserve"> and</w:t>
      </w:r>
    </w:p>
    <w:p w:rsidR="00784161" w:rsidRPr="00DF2CE5" w:rsidRDefault="00784161"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F2CE5">
        <w:rPr>
          <w:rFonts w:ascii="Book Antiqua" w:hAnsi="Book Antiqua"/>
          <w:sz w:val="20"/>
          <w:szCs w:val="20"/>
        </w:rPr>
        <w:t>providing</w:t>
      </w:r>
      <w:proofErr w:type="gramEnd"/>
      <w:r w:rsidRPr="00DF2CE5">
        <w:rPr>
          <w:rFonts w:ascii="Book Antiqua" w:hAnsi="Book Antiqua"/>
          <w:sz w:val="20"/>
          <w:szCs w:val="20"/>
        </w:rPr>
        <w:t xml:space="preserve"> policy advice on the governance of Sovereign Wealth Funds.</w:t>
      </w:r>
    </w:p>
    <w:p w:rsidR="00FB3095" w:rsidRDefault="00FB3095" w:rsidP="00784161">
      <w:pPr>
        <w:pStyle w:val="SingleParagraph"/>
      </w:pPr>
    </w:p>
    <w:p w:rsidR="00FB3095" w:rsidRPr="00793F50" w:rsidRDefault="00FB3095" w:rsidP="00E453F8">
      <w:pPr>
        <w:pStyle w:val="Heading5"/>
      </w:pPr>
      <w:r w:rsidRPr="00793F50">
        <w:t xml:space="preserve">Programme 2.6 Key Performance Indicators </w:t>
      </w:r>
    </w:p>
    <w:p w:rsidR="00FB3095" w:rsidRPr="00AF5179" w:rsidRDefault="00FB3095" w:rsidP="00FB3095">
      <w:pPr>
        <w:pStyle w:val="TableTextLeft"/>
        <w:spacing w:before="0" w:after="0"/>
      </w:pPr>
    </w:p>
    <w:p w:rsidR="00FB3095" w:rsidRPr="00EA2442" w:rsidRDefault="00FB3095" w:rsidP="00FB3095">
      <w:r w:rsidRPr="00AF5179">
        <w:t xml:space="preserve">The key </w:t>
      </w:r>
      <w:r w:rsidRPr="00EA2442">
        <w:t xml:space="preserve">performance </w:t>
      </w:r>
      <w:r w:rsidR="00670296">
        <w:t xml:space="preserve">indicators </w:t>
      </w:r>
      <w:r w:rsidRPr="00EA2442">
        <w:t xml:space="preserve">for </w:t>
      </w:r>
      <w:r w:rsidR="00D13659">
        <w:t>this programme</w:t>
      </w:r>
      <w:r w:rsidRPr="00EA2442">
        <w:t xml:space="preserve"> </w:t>
      </w:r>
      <w:r w:rsidR="00670296">
        <w:t>are</w:t>
      </w:r>
      <w:r w:rsidRPr="00EA2442">
        <w:t>:</w:t>
      </w:r>
    </w:p>
    <w:p w:rsidR="00A96FFE" w:rsidRPr="00EA2442" w:rsidRDefault="00A96F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A2442">
        <w:rPr>
          <w:rFonts w:ascii="Book Antiqua" w:hAnsi="Book Antiqua"/>
          <w:sz w:val="20"/>
          <w:szCs w:val="20"/>
        </w:rPr>
        <w:t>advice, analysis and support provided to the government and Commonwealth entities on public sector superannuation policy and governance matters is provided in a timely manner, and is assessed  by key stakeholders as high quality and robust and as meeting their timeframes; and</w:t>
      </w:r>
    </w:p>
    <w:p w:rsidR="00FB3095" w:rsidRPr="00AF5179" w:rsidRDefault="00FB3095"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 xml:space="preserve">members of schemes administered are satisfied with service provision, in particular: </w:t>
      </w:r>
    </w:p>
    <w:p w:rsidR="00126187" w:rsidRPr="00EA2442" w:rsidRDefault="00FB3095" w:rsidP="00375F30">
      <w:pPr>
        <w:pStyle w:val="ListParagraph"/>
        <w:numPr>
          <w:ilvl w:val="1"/>
          <w:numId w:val="10"/>
        </w:numPr>
        <w:autoSpaceDE w:val="0"/>
        <w:autoSpaceDN w:val="0"/>
        <w:spacing w:after="80" w:line="240" w:lineRule="auto"/>
        <w:ind w:left="1077" w:hanging="357"/>
        <w:contextualSpacing w:val="0"/>
        <w:jc w:val="both"/>
        <w:rPr>
          <w:rFonts w:ascii="Book Antiqua" w:eastAsia="Times New Roman" w:hAnsi="Book Antiqua"/>
          <w:sz w:val="20"/>
          <w:szCs w:val="20"/>
        </w:rPr>
      </w:pPr>
      <w:r w:rsidRPr="00AF5179">
        <w:rPr>
          <w:rFonts w:ascii="Book Antiqua" w:eastAsia="Times New Roman" w:hAnsi="Book Antiqua"/>
          <w:sz w:val="20"/>
          <w:szCs w:val="20"/>
        </w:rPr>
        <w:t xml:space="preserve">payments are accurate and in accordance with scheme </w:t>
      </w:r>
      <w:r w:rsidRPr="00EA2442">
        <w:rPr>
          <w:rFonts w:ascii="Book Antiqua" w:eastAsia="Times New Roman" w:hAnsi="Book Antiqua"/>
          <w:sz w:val="20"/>
          <w:szCs w:val="20"/>
        </w:rPr>
        <w:t>timeframes</w:t>
      </w:r>
      <w:r w:rsidRPr="00AF5179">
        <w:rPr>
          <w:rFonts w:ascii="Book Antiqua" w:eastAsia="Times New Roman" w:hAnsi="Book Antiqua"/>
          <w:sz w:val="20"/>
          <w:szCs w:val="20"/>
        </w:rPr>
        <w:t>; and</w:t>
      </w:r>
    </w:p>
    <w:p w:rsidR="00FB3095" w:rsidRPr="00EA2442" w:rsidRDefault="00FB3095" w:rsidP="00375F30">
      <w:pPr>
        <w:pStyle w:val="ListParagraph"/>
        <w:numPr>
          <w:ilvl w:val="1"/>
          <w:numId w:val="10"/>
        </w:numPr>
        <w:autoSpaceDE w:val="0"/>
        <w:autoSpaceDN w:val="0"/>
        <w:spacing w:after="80" w:line="240" w:lineRule="auto"/>
        <w:ind w:left="1077" w:hanging="357"/>
        <w:contextualSpacing w:val="0"/>
        <w:jc w:val="both"/>
        <w:rPr>
          <w:rFonts w:ascii="Book Antiqua" w:eastAsia="Times New Roman" w:hAnsi="Book Antiqua"/>
          <w:sz w:val="20"/>
          <w:szCs w:val="20"/>
        </w:rPr>
      </w:pPr>
      <w:proofErr w:type="gramStart"/>
      <w:r w:rsidRPr="00EA2442">
        <w:rPr>
          <w:rFonts w:ascii="Book Antiqua" w:eastAsia="Times New Roman" w:hAnsi="Book Antiqua"/>
          <w:sz w:val="20"/>
          <w:szCs w:val="20"/>
        </w:rPr>
        <w:t>superannuation</w:t>
      </w:r>
      <w:proofErr w:type="gramEnd"/>
      <w:r w:rsidRPr="00EA2442">
        <w:rPr>
          <w:rFonts w:ascii="Book Antiqua" w:eastAsia="Times New Roman" w:hAnsi="Book Antiqua"/>
          <w:sz w:val="20"/>
          <w:szCs w:val="20"/>
        </w:rPr>
        <w:t xml:space="preserve"> statements are issued in accordance with prescribed timeframes.</w:t>
      </w:r>
    </w:p>
    <w:p w:rsidR="0032228A" w:rsidRDefault="0032228A" w:rsidP="00F3374F">
      <w:pPr>
        <w:pStyle w:val="SingleParagraph"/>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873D79" w:rsidTr="00873D79">
        <w:tc>
          <w:tcPr>
            <w:tcW w:w="7713" w:type="dxa"/>
            <w:shd w:val="clear" w:color="auto" w:fill="E6E6E6"/>
          </w:tcPr>
          <w:p w:rsidR="00873D79" w:rsidRDefault="00873D79" w:rsidP="00873D79">
            <w:pPr>
              <w:pStyle w:val="TableColumnHeadingLeft"/>
            </w:pPr>
            <w:r>
              <w:lastRenderedPageBreak/>
              <w:t>Programme 2.7: Australian Government Investment Funds</w:t>
            </w:r>
          </w:p>
        </w:tc>
      </w:tr>
    </w:tbl>
    <w:p w:rsidR="00873D79" w:rsidRPr="00FB3095" w:rsidRDefault="00873D79" w:rsidP="00873D79">
      <w:pPr>
        <w:pStyle w:val="NoSpacing"/>
        <w:rPr>
          <w:sz w:val="16"/>
        </w:rPr>
      </w:pPr>
    </w:p>
    <w:p w:rsidR="00FB3095" w:rsidRPr="00793F50" w:rsidRDefault="00FB3095" w:rsidP="00C619FE">
      <w:pPr>
        <w:pStyle w:val="Heading5"/>
        <w:spacing w:before="20" w:after="0"/>
      </w:pPr>
      <w:r w:rsidRPr="00793F50">
        <w:t>Programme 2.7 Objective</w:t>
      </w:r>
    </w:p>
    <w:p w:rsidR="00FB3095" w:rsidRPr="00AF5179" w:rsidRDefault="00FB3095" w:rsidP="00FB3095">
      <w:pPr>
        <w:pStyle w:val="TableTextLeft"/>
        <w:spacing w:before="0" w:after="0"/>
        <w:rPr>
          <w:highlight w:val="yellow"/>
        </w:rPr>
      </w:pPr>
    </w:p>
    <w:p w:rsidR="00FB3095" w:rsidRPr="00AF5179" w:rsidRDefault="00FB3095" w:rsidP="00FB3095">
      <w:pPr>
        <w:spacing w:after="120"/>
      </w:pPr>
      <w:r w:rsidRPr="00AF5179">
        <w:t xml:space="preserve">This programme contributes to the outcome through providing advice on investment mandates and governance </w:t>
      </w:r>
      <w:r w:rsidRPr="00AF5179">
        <w:rPr>
          <w:lang w:eastAsia="en-US"/>
        </w:rPr>
        <w:t>arrangements</w:t>
      </w:r>
      <w:r w:rsidRPr="00AF5179">
        <w:t xml:space="preserve"> for the government</w:t>
      </w:r>
      <w:r w:rsidR="00D87624">
        <w:t>’s</w:t>
      </w:r>
      <w:r w:rsidRPr="00AF5179">
        <w:t xml:space="preserve"> Investment Funds.  This includes advice on credit of amounts to the Funds and debits for payments from the Funds.  The Funds are:</w:t>
      </w:r>
    </w:p>
    <w:p w:rsidR="00FB3095" w:rsidRPr="00AF5179" w:rsidRDefault="00FB3095"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spellStart"/>
      <w:r w:rsidRPr="00AF5179">
        <w:rPr>
          <w:rFonts w:ascii="Book Antiqua" w:hAnsi="Book Antiqua"/>
          <w:sz w:val="20"/>
          <w:szCs w:val="20"/>
        </w:rPr>
        <w:t>DisabilityCare</w:t>
      </w:r>
      <w:proofErr w:type="spellEnd"/>
      <w:r w:rsidRPr="00AF5179">
        <w:rPr>
          <w:rFonts w:ascii="Book Antiqua" w:hAnsi="Book Antiqua"/>
          <w:sz w:val="20"/>
          <w:szCs w:val="20"/>
        </w:rPr>
        <w:t xml:space="preserve"> Australia Fund (DCAF).</w:t>
      </w:r>
    </w:p>
    <w:p w:rsidR="00CE645E" w:rsidRPr="008B4A0F" w:rsidRDefault="00CE645E" w:rsidP="00CE645E">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8B4A0F">
        <w:rPr>
          <w:rFonts w:ascii="Book Antiqua" w:hAnsi="Book Antiqua"/>
          <w:sz w:val="20"/>
          <w:szCs w:val="20"/>
        </w:rPr>
        <w:t>Asset Recycling Fund (ARF);</w:t>
      </w:r>
    </w:p>
    <w:p w:rsidR="00841A85" w:rsidRDefault="00FB3095"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Medical Research Future Fu</w:t>
      </w:r>
      <w:r w:rsidR="00C619FE">
        <w:rPr>
          <w:rFonts w:ascii="Book Antiqua" w:hAnsi="Book Antiqua"/>
          <w:sz w:val="20"/>
          <w:szCs w:val="20"/>
        </w:rPr>
        <w:t>nd (MRFF);</w:t>
      </w:r>
    </w:p>
    <w:p w:rsidR="00C619FE" w:rsidRPr="00C619FE" w:rsidRDefault="00C619FE" w:rsidP="00C619FE">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Building Australia Fund (BAF);</w:t>
      </w:r>
    </w:p>
    <w:p w:rsidR="00C619FE" w:rsidRDefault="00C619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Education Investment Fund (EIF); and</w:t>
      </w:r>
    </w:p>
    <w:p w:rsidR="00C619FE" w:rsidRDefault="00C619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Health and Hospitals Fund (HHF).</w:t>
      </w:r>
    </w:p>
    <w:p w:rsidR="00A96FFE" w:rsidRPr="00A96FFE" w:rsidRDefault="00A96FFE" w:rsidP="00C619FE">
      <w:pPr>
        <w:autoSpaceDE w:val="0"/>
        <w:autoSpaceDN w:val="0"/>
        <w:spacing w:after="0" w:line="240" w:lineRule="auto"/>
      </w:pPr>
      <w:r w:rsidRPr="008B4A0F">
        <w:t xml:space="preserve">The ARF and MRFF are subject to the passage of legislation. The </w:t>
      </w:r>
      <w:r w:rsidR="00CE645E" w:rsidRPr="008B4A0F">
        <w:t>BAF, EIF and HHF</w:t>
      </w:r>
      <w:r>
        <w:t xml:space="preserve"> will be closed, subject to the passage of legislation.</w:t>
      </w:r>
    </w:p>
    <w:p w:rsidR="00FB3095" w:rsidRDefault="00FB3095" w:rsidP="00FB3095">
      <w:pPr>
        <w:pStyle w:val="NoSpacing"/>
      </w:pPr>
    </w:p>
    <w:p w:rsidR="00FB3095" w:rsidRPr="00793F50" w:rsidRDefault="00FB3095" w:rsidP="00C619FE">
      <w:pPr>
        <w:spacing w:before="60" w:after="0" w:line="240" w:lineRule="auto"/>
        <w:jc w:val="left"/>
        <w:rPr>
          <w:rFonts w:ascii="Arial" w:hAnsi="Arial" w:cs="Arial"/>
          <w:b/>
        </w:rPr>
      </w:pPr>
      <w:r w:rsidRPr="00793F50">
        <w:rPr>
          <w:rFonts w:ascii="Arial" w:hAnsi="Arial" w:cs="Arial"/>
          <w:b/>
        </w:rPr>
        <w:t xml:space="preserve">Linked to:  </w:t>
      </w:r>
    </w:p>
    <w:p w:rsidR="00FB3095" w:rsidRPr="00AF5179" w:rsidRDefault="00FB3095" w:rsidP="00FB3095">
      <w:pPr>
        <w:pStyle w:val="TableTextLeft"/>
        <w:spacing w:before="0" w:after="0"/>
      </w:pPr>
    </w:p>
    <w:p w:rsidR="00FB3095" w:rsidRDefault="00FB3095" w:rsidP="00FB3095">
      <w:pPr>
        <w:pStyle w:val="NoSpacing"/>
      </w:pPr>
      <w:r w:rsidRPr="00FB3095">
        <w:t>The advice provided by Finance is complemented by the work of the Future Fund Management Agency, which supports and advises the Future Fund Board of Guardians in its task of investing the assets of the Investment Funds, and implements the Board’s investment decisions.</w:t>
      </w:r>
    </w:p>
    <w:p w:rsidR="00FB3095" w:rsidRDefault="00FB3095" w:rsidP="00FB3095">
      <w:pPr>
        <w:pStyle w:val="NoSpacing"/>
      </w:pPr>
    </w:p>
    <w:p w:rsidR="00CE645E" w:rsidRDefault="00CE645E">
      <w:pPr>
        <w:spacing w:after="0" w:line="240" w:lineRule="auto"/>
        <w:jc w:val="left"/>
        <w:rPr>
          <w:rFonts w:ascii="Arial" w:hAnsi="Arial" w:cs="Arial"/>
          <w:b/>
        </w:rPr>
      </w:pPr>
      <w:r>
        <w:br w:type="page"/>
      </w:r>
    </w:p>
    <w:p w:rsidR="00FB3095" w:rsidRPr="00793F50" w:rsidRDefault="00FB3095" w:rsidP="00C619FE">
      <w:pPr>
        <w:pStyle w:val="Heading5"/>
        <w:spacing w:before="0"/>
      </w:pPr>
      <w:r w:rsidRPr="00793F50">
        <w:lastRenderedPageBreak/>
        <w:t>Programme 2.7 Expenses</w:t>
      </w:r>
    </w:p>
    <w:tbl>
      <w:tblPr>
        <w:tblW w:w="7140" w:type="dxa"/>
        <w:tblInd w:w="93" w:type="dxa"/>
        <w:tblLook w:val="04A0"/>
      </w:tblPr>
      <w:tblGrid>
        <w:gridCol w:w="2800"/>
        <w:gridCol w:w="928"/>
        <w:gridCol w:w="820"/>
        <w:gridCol w:w="928"/>
        <w:gridCol w:w="928"/>
        <w:gridCol w:w="928"/>
      </w:tblGrid>
      <w:tr w:rsidR="00C5570B" w:rsidRPr="00C5570B" w:rsidTr="00C5570B">
        <w:trPr>
          <w:trHeight w:val="225"/>
        </w:trPr>
        <w:tc>
          <w:tcPr>
            <w:tcW w:w="280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28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8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8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8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28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2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Special account expenses: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roofErr w:type="spellStart"/>
            <w:r w:rsidRPr="00C5570B">
              <w:rPr>
                <w:rFonts w:ascii="Arial" w:hAnsi="Arial" w:cs="Arial"/>
                <w:sz w:val="16"/>
                <w:szCs w:val="16"/>
              </w:rPr>
              <w:t>DisabilityCare</w:t>
            </w:r>
            <w:proofErr w:type="spellEnd"/>
            <w:r w:rsidRPr="00C5570B">
              <w:rPr>
                <w:rFonts w:ascii="Arial" w:hAnsi="Arial" w:cs="Arial"/>
                <w:sz w:val="16"/>
                <w:szCs w:val="16"/>
              </w:rPr>
              <w:t xml:space="preserve"> Australia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1</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655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69,892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188,968</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323,981</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1,814,546</w:t>
            </w: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Asset Recycling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w:t>
            </w:r>
            <w:r w:rsidRPr="00C5570B">
              <w:rPr>
                <w:rFonts w:ascii="Arial" w:hAnsi="Arial" w:cs="Arial"/>
                <w:sz w:val="16"/>
                <w:szCs w:val="16"/>
                <w:vertAlign w:val="superscript"/>
              </w:rPr>
              <w:t xml:space="preserve"> 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3,619</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2,620,497</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2,639,202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1,904,405</w:t>
            </w: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Medical Research Future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Fund Special Account</w:t>
            </w:r>
            <w:r w:rsidRPr="00C5570B">
              <w:rPr>
                <w:rFonts w:ascii="Arial" w:hAnsi="Arial" w:cs="Arial"/>
                <w:sz w:val="16"/>
                <w:szCs w:val="16"/>
                <w:vertAlign w:val="superscript"/>
              </w:rPr>
              <w:t xml:space="preserve"> 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11,716</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56,770</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136,169</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233,773</w:t>
            </w: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Building Australia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w:t>
            </w:r>
            <w:r w:rsidRPr="00C5570B">
              <w:rPr>
                <w:rFonts w:ascii="Arial" w:hAnsi="Arial" w:cs="Arial"/>
                <w:sz w:val="16"/>
                <w:szCs w:val="16"/>
                <w:vertAlign w:val="superscript"/>
              </w:rPr>
              <w:t xml:space="preserve"> 3</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187,969</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56,086</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Education Investment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w:t>
            </w:r>
            <w:r w:rsidRPr="00C5570B">
              <w:rPr>
                <w:rFonts w:ascii="Arial" w:hAnsi="Arial" w:cs="Arial"/>
                <w:sz w:val="16"/>
                <w:szCs w:val="16"/>
                <w:vertAlign w:val="superscript"/>
              </w:rPr>
              <w:t xml:space="preserve"> 3</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217,723</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38,754</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Health and Hospitals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w:t>
            </w:r>
            <w:r w:rsidRPr="00C5570B">
              <w:rPr>
                <w:rFonts w:ascii="Arial" w:hAnsi="Arial" w:cs="Arial"/>
                <w:sz w:val="16"/>
                <w:szCs w:val="16"/>
                <w:vertAlign w:val="superscript"/>
              </w:rPr>
              <w:t xml:space="preserve"> 4</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721,850</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35,327</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80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800" w:type="dxa"/>
            <w:tcBorders>
              <w:top w:val="nil"/>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1,128,197</w:t>
            </w:r>
          </w:p>
        </w:tc>
        <w:tc>
          <w:tcPr>
            <w:tcW w:w="82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215,394</w:t>
            </w:r>
          </w:p>
        </w:tc>
        <w:tc>
          <w:tcPr>
            <w:tcW w:w="8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2,866,235</w:t>
            </w:r>
          </w:p>
        </w:tc>
        <w:tc>
          <w:tcPr>
            <w:tcW w:w="8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3,099,352</w:t>
            </w:r>
          </w:p>
        </w:tc>
        <w:tc>
          <w:tcPr>
            <w:tcW w:w="8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3,952,724</w:t>
            </w:r>
          </w:p>
        </w:tc>
      </w:tr>
    </w:tbl>
    <w:p w:rsidR="00873D79" w:rsidRPr="00126187" w:rsidRDefault="00873D79" w:rsidP="00126187">
      <w:pPr>
        <w:pStyle w:val="TableGraphic"/>
        <w:rPr>
          <w:sz w:val="6"/>
          <w:szCs w:val="6"/>
        </w:rPr>
      </w:pPr>
    </w:p>
    <w:p w:rsidR="00ED468F" w:rsidRPr="00126187" w:rsidRDefault="00ED468F" w:rsidP="00ED468F">
      <w:pPr>
        <w:pStyle w:val="TableGraphic"/>
        <w:rPr>
          <w:sz w:val="6"/>
          <w:szCs w:val="6"/>
        </w:rPr>
      </w:pPr>
    </w:p>
    <w:p w:rsidR="008B4A0F" w:rsidRPr="00ED468F" w:rsidRDefault="008B4A0F" w:rsidP="00ED468F">
      <w:pPr>
        <w:pStyle w:val="ListParagraph"/>
        <w:numPr>
          <w:ilvl w:val="0"/>
          <w:numId w:val="23"/>
        </w:numPr>
        <w:spacing w:after="60" w:line="240" w:lineRule="auto"/>
        <w:ind w:left="425" w:hanging="425"/>
        <w:contextualSpacing w:val="0"/>
        <w:jc w:val="both"/>
        <w:outlineLvl w:val="6"/>
        <w:rPr>
          <w:rFonts w:ascii="Arial" w:eastAsia="Times New Roman" w:hAnsi="Arial" w:cs="Arial"/>
          <w:sz w:val="15"/>
          <w:szCs w:val="15"/>
          <w:lang w:val="en-AU" w:eastAsia="en-AU"/>
        </w:rPr>
      </w:pPr>
      <w:r w:rsidRPr="00ED468F">
        <w:rPr>
          <w:rFonts w:ascii="Arial" w:eastAsia="Times New Roman" w:hAnsi="Arial" w:cs="Arial"/>
          <w:sz w:val="15"/>
          <w:szCs w:val="15"/>
          <w:lang w:val="en-AU" w:eastAsia="en-AU"/>
        </w:rPr>
        <w:t xml:space="preserve">More information on the </w:t>
      </w:r>
      <w:proofErr w:type="spellStart"/>
      <w:r w:rsidRPr="00ED468F">
        <w:rPr>
          <w:rFonts w:ascii="Arial" w:eastAsia="Times New Roman" w:hAnsi="Arial" w:cs="Arial"/>
          <w:sz w:val="15"/>
          <w:szCs w:val="15"/>
          <w:lang w:val="en-AU" w:eastAsia="en-AU"/>
        </w:rPr>
        <w:t>DisabilityCare</w:t>
      </w:r>
      <w:proofErr w:type="spellEnd"/>
      <w:r w:rsidRPr="00ED468F">
        <w:rPr>
          <w:rFonts w:ascii="Arial" w:eastAsia="Times New Roman" w:hAnsi="Arial" w:cs="Arial"/>
          <w:sz w:val="15"/>
          <w:szCs w:val="15"/>
          <w:lang w:val="en-AU" w:eastAsia="en-AU"/>
        </w:rPr>
        <w:t xml:space="preserve"> Australia Fund can be found in Table 3.1.2.1.</w:t>
      </w:r>
    </w:p>
    <w:p w:rsidR="00126187" w:rsidRDefault="00DF2CE5" w:rsidP="00CC3220">
      <w:pPr>
        <w:pStyle w:val="ListParagraph"/>
        <w:numPr>
          <w:ilvl w:val="0"/>
          <w:numId w:val="23"/>
        </w:numPr>
        <w:spacing w:after="60" w:line="240" w:lineRule="auto"/>
        <w:ind w:left="425" w:hanging="425"/>
        <w:contextualSpacing w:val="0"/>
        <w:jc w:val="both"/>
        <w:outlineLvl w:val="6"/>
        <w:rPr>
          <w:rFonts w:ascii="Arial" w:eastAsia="Times New Roman" w:hAnsi="Arial" w:cs="Arial"/>
          <w:sz w:val="15"/>
          <w:szCs w:val="15"/>
          <w:lang w:val="en-AU" w:eastAsia="en-AU"/>
        </w:rPr>
      </w:pPr>
      <w:r w:rsidRPr="00C273A1">
        <w:rPr>
          <w:rFonts w:ascii="Arial" w:eastAsia="Times New Roman" w:hAnsi="Arial" w:cs="Arial"/>
          <w:sz w:val="15"/>
          <w:szCs w:val="15"/>
          <w:lang w:val="en-AU" w:eastAsia="en-AU"/>
        </w:rPr>
        <w:t>The Asset Recycling Fund and</w:t>
      </w:r>
      <w:r w:rsidRPr="00DF2CE5">
        <w:rPr>
          <w:rFonts w:ascii="Arial" w:eastAsia="Times New Roman" w:hAnsi="Arial" w:cs="Arial"/>
          <w:sz w:val="15"/>
          <w:szCs w:val="15"/>
          <w:lang w:val="en-AU" w:eastAsia="en-AU"/>
        </w:rPr>
        <w:t xml:space="preserve"> the Medical Research Future Fund are subject to the passage of legislation.</w:t>
      </w:r>
      <w:r w:rsidR="008B4A0F">
        <w:rPr>
          <w:rFonts w:ascii="Arial" w:eastAsia="Times New Roman" w:hAnsi="Arial" w:cs="Arial"/>
          <w:sz w:val="15"/>
          <w:szCs w:val="15"/>
          <w:lang w:val="en-AU" w:eastAsia="en-AU"/>
        </w:rPr>
        <w:t xml:space="preserve"> More information on:</w:t>
      </w:r>
    </w:p>
    <w:p w:rsidR="008B4A0F" w:rsidRPr="00C273A1" w:rsidRDefault="008B4A0F" w:rsidP="008B4A0F">
      <w:pPr>
        <w:pStyle w:val="ListParagraph"/>
        <w:numPr>
          <w:ilvl w:val="0"/>
          <w:numId w:val="15"/>
        </w:numPr>
        <w:spacing w:after="60" w:line="240" w:lineRule="auto"/>
        <w:ind w:left="1134" w:hanging="425"/>
        <w:contextualSpacing w:val="0"/>
        <w:outlineLvl w:val="6"/>
        <w:rPr>
          <w:rFonts w:ascii="Arial" w:hAnsi="Arial" w:cs="Arial"/>
          <w:sz w:val="15"/>
          <w:szCs w:val="15"/>
        </w:rPr>
      </w:pPr>
      <w:r w:rsidRPr="00C273A1">
        <w:rPr>
          <w:rFonts w:ascii="Arial" w:hAnsi="Arial" w:cs="Arial"/>
          <w:sz w:val="15"/>
          <w:szCs w:val="15"/>
        </w:rPr>
        <w:t>The Asset Recycling Fund can be found in Table 3.1.</w:t>
      </w:r>
      <w:r>
        <w:rPr>
          <w:rFonts w:ascii="Arial" w:hAnsi="Arial" w:cs="Arial"/>
          <w:sz w:val="15"/>
          <w:szCs w:val="15"/>
        </w:rPr>
        <w:t>2</w:t>
      </w:r>
      <w:r w:rsidRPr="00C273A1">
        <w:rPr>
          <w:rFonts w:ascii="Arial" w:hAnsi="Arial" w:cs="Arial"/>
          <w:sz w:val="15"/>
          <w:szCs w:val="15"/>
        </w:rPr>
        <w:t>.2; and</w:t>
      </w:r>
    </w:p>
    <w:p w:rsidR="008B4A0F" w:rsidRPr="00A37DF9" w:rsidRDefault="008B4A0F" w:rsidP="008B4A0F">
      <w:pPr>
        <w:pStyle w:val="ListParagraph"/>
        <w:numPr>
          <w:ilvl w:val="0"/>
          <w:numId w:val="15"/>
        </w:numPr>
        <w:spacing w:after="60" w:line="240" w:lineRule="auto"/>
        <w:ind w:left="1134" w:hanging="425"/>
        <w:contextualSpacing w:val="0"/>
        <w:outlineLvl w:val="6"/>
        <w:rPr>
          <w:rFonts w:ascii="Arial" w:hAnsi="Arial" w:cs="Arial"/>
          <w:sz w:val="15"/>
          <w:szCs w:val="15"/>
        </w:rPr>
      </w:pPr>
      <w:r w:rsidRPr="00A37DF9">
        <w:rPr>
          <w:rFonts w:ascii="Arial" w:hAnsi="Arial" w:cs="Arial"/>
          <w:sz w:val="15"/>
          <w:szCs w:val="15"/>
        </w:rPr>
        <w:t xml:space="preserve">The Medical Research </w:t>
      </w:r>
      <w:r w:rsidR="002039FE">
        <w:rPr>
          <w:rFonts w:ascii="Arial" w:hAnsi="Arial" w:cs="Arial"/>
          <w:sz w:val="15"/>
          <w:szCs w:val="15"/>
        </w:rPr>
        <w:t xml:space="preserve">Future </w:t>
      </w:r>
      <w:r w:rsidRPr="00A37DF9">
        <w:rPr>
          <w:rFonts w:ascii="Arial" w:hAnsi="Arial" w:cs="Arial"/>
          <w:sz w:val="15"/>
          <w:szCs w:val="15"/>
        </w:rPr>
        <w:t>Fund can be found in Table 3.1.</w:t>
      </w:r>
      <w:r>
        <w:rPr>
          <w:rFonts w:ascii="Arial" w:hAnsi="Arial" w:cs="Arial"/>
          <w:sz w:val="15"/>
          <w:szCs w:val="15"/>
        </w:rPr>
        <w:t>2</w:t>
      </w:r>
      <w:r w:rsidRPr="00A37DF9">
        <w:rPr>
          <w:rFonts w:ascii="Arial" w:hAnsi="Arial" w:cs="Arial"/>
          <w:sz w:val="15"/>
          <w:szCs w:val="15"/>
        </w:rPr>
        <w:t>.3.</w:t>
      </w:r>
    </w:p>
    <w:p w:rsidR="00793F50" w:rsidRDefault="00DF2CE5" w:rsidP="00C619FE">
      <w:pPr>
        <w:pStyle w:val="ListParagraph"/>
        <w:numPr>
          <w:ilvl w:val="0"/>
          <w:numId w:val="23"/>
        </w:numPr>
        <w:spacing w:after="60" w:line="240" w:lineRule="auto"/>
        <w:ind w:left="425" w:hanging="425"/>
        <w:contextualSpacing w:val="0"/>
        <w:jc w:val="both"/>
        <w:outlineLvl w:val="6"/>
        <w:rPr>
          <w:rFonts w:ascii="Arial" w:eastAsia="Times New Roman" w:hAnsi="Arial" w:cs="Arial"/>
          <w:sz w:val="15"/>
          <w:szCs w:val="15"/>
          <w:lang w:val="en-AU" w:eastAsia="en-AU"/>
        </w:rPr>
      </w:pPr>
      <w:r w:rsidRPr="00C619FE">
        <w:rPr>
          <w:rFonts w:ascii="Arial" w:eastAsia="Times New Roman" w:hAnsi="Arial" w:cs="Arial"/>
          <w:sz w:val="15"/>
          <w:szCs w:val="15"/>
          <w:lang w:val="en-AU" w:eastAsia="en-AU"/>
        </w:rPr>
        <w:t xml:space="preserve">The Building Australia Fund </w:t>
      </w:r>
      <w:r w:rsidR="00CE645E">
        <w:rPr>
          <w:rFonts w:ascii="Arial" w:eastAsia="Times New Roman" w:hAnsi="Arial" w:cs="Arial"/>
          <w:sz w:val="15"/>
          <w:szCs w:val="15"/>
          <w:lang w:val="en-AU" w:eastAsia="en-AU"/>
        </w:rPr>
        <w:t xml:space="preserve">and </w:t>
      </w:r>
      <w:r w:rsidRPr="00C619FE">
        <w:rPr>
          <w:rFonts w:ascii="Arial" w:eastAsia="Times New Roman" w:hAnsi="Arial" w:cs="Arial"/>
          <w:sz w:val="15"/>
          <w:szCs w:val="15"/>
          <w:lang w:val="en-AU" w:eastAsia="en-AU"/>
        </w:rPr>
        <w:t xml:space="preserve">Education Investment Fund will be closed by </w:t>
      </w:r>
      <w:r w:rsidR="00CE645E">
        <w:rPr>
          <w:rFonts w:ascii="Arial" w:eastAsia="Times New Roman" w:hAnsi="Arial" w:cs="Arial"/>
          <w:sz w:val="15"/>
          <w:szCs w:val="15"/>
          <w:lang w:val="en-AU" w:eastAsia="en-AU"/>
        </w:rPr>
        <w:t>3</w:t>
      </w:r>
      <w:r w:rsidRPr="00C619FE">
        <w:rPr>
          <w:rFonts w:ascii="Arial" w:eastAsia="Times New Roman" w:hAnsi="Arial" w:cs="Arial"/>
          <w:sz w:val="15"/>
          <w:szCs w:val="15"/>
          <w:lang w:val="en-AU" w:eastAsia="en-AU"/>
        </w:rPr>
        <w:t>1 </w:t>
      </w:r>
      <w:r w:rsidR="00CE645E">
        <w:rPr>
          <w:rFonts w:ascii="Arial" w:eastAsia="Times New Roman" w:hAnsi="Arial" w:cs="Arial"/>
          <w:sz w:val="15"/>
          <w:szCs w:val="15"/>
          <w:lang w:val="en-AU" w:eastAsia="en-AU"/>
        </w:rPr>
        <w:t>December </w:t>
      </w:r>
      <w:r w:rsidRPr="00C619FE">
        <w:rPr>
          <w:rFonts w:ascii="Arial" w:eastAsia="Times New Roman" w:hAnsi="Arial" w:cs="Arial"/>
          <w:sz w:val="15"/>
          <w:szCs w:val="15"/>
          <w:lang w:val="en-AU" w:eastAsia="en-AU"/>
        </w:rPr>
        <w:t>2015, subject to the passage of legislation.</w:t>
      </w:r>
      <w:r w:rsidR="008B4A0F">
        <w:rPr>
          <w:rFonts w:ascii="Arial" w:eastAsia="Times New Roman" w:hAnsi="Arial" w:cs="Arial"/>
          <w:sz w:val="15"/>
          <w:szCs w:val="15"/>
          <w:lang w:val="en-AU" w:eastAsia="en-AU"/>
        </w:rPr>
        <w:t xml:space="preserve"> More information on:</w:t>
      </w:r>
    </w:p>
    <w:p w:rsidR="008B4A0F" w:rsidRDefault="008B4A0F" w:rsidP="008B4A0F">
      <w:pPr>
        <w:pStyle w:val="ListParagraph"/>
        <w:numPr>
          <w:ilvl w:val="0"/>
          <w:numId w:val="14"/>
        </w:numPr>
        <w:spacing w:after="60" w:line="240" w:lineRule="auto"/>
        <w:ind w:left="1134" w:hanging="425"/>
        <w:contextualSpacing w:val="0"/>
        <w:outlineLvl w:val="6"/>
        <w:rPr>
          <w:rFonts w:ascii="Arial" w:hAnsi="Arial" w:cs="Arial"/>
          <w:sz w:val="15"/>
          <w:szCs w:val="15"/>
        </w:rPr>
      </w:pPr>
      <w:r w:rsidRPr="00A37DF9">
        <w:rPr>
          <w:rFonts w:ascii="Arial" w:hAnsi="Arial" w:cs="Arial"/>
          <w:sz w:val="15"/>
          <w:szCs w:val="15"/>
        </w:rPr>
        <w:t>The Building Australia Fund can be found in Table 3.1.</w:t>
      </w:r>
      <w:r>
        <w:rPr>
          <w:rFonts w:ascii="Arial" w:hAnsi="Arial" w:cs="Arial"/>
          <w:sz w:val="15"/>
          <w:szCs w:val="15"/>
        </w:rPr>
        <w:t>2</w:t>
      </w:r>
      <w:r w:rsidRPr="00A37DF9">
        <w:rPr>
          <w:rFonts w:ascii="Arial" w:hAnsi="Arial" w:cs="Arial"/>
          <w:sz w:val="15"/>
          <w:szCs w:val="15"/>
        </w:rPr>
        <w:t>.4;</w:t>
      </w:r>
      <w:r>
        <w:rPr>
          <w:rFonts w:ascii="Arial" w:hAnsi="Arial" w:cs="Arial"/>
          <w:sz w:val="15"/>
          <w:szCs w:val="15"/>
        </w:rPr>
        <w:t xml:space="preserve"> and</w:t>
      </w:r>
    </w:p>
    <w:p w:rsidR="008B4A0F" w:rsidRPr="008B4A0F" w:rsidRDefault="008B4A0F" w:rsidP="008B4A0F">
      <w:pPr>
        <w:pStyle w:val="ListParagraph"/>
        <w:numPr>
          <w:ilvl w:val="0"/>
          <w:numId w:val="14"/>
        </w:numPr>
        <w:spacing w:after="60" w:line="240" w:lineRule="auto"/>
        <w:ind w:left="1134" w:hanging="425"/>
        <w:contextualSpacing w:val="0"/>
        <w:outlineLvl w:val="6"/>
        <w:rPr>
          <w:rFonts w:ascii="Arial" w:hAnsi="Arial" w:cs="Arial"/>
          <w:sz w:val="15"/>
          <w:szCs w:val="15"/>
        </w:rPr>
      </w:pPr>
      <w:r>
        <w:rPr>
          <w:rFonts w:ascii="Arial" w:hAnsi="Arial" w:cs="Arial"/>
          <w:sz w:val="15"/>
          <w:szCs w:val="15"/>
        </w:rPr>
        <w:t>The Education Investment Fund can be found in Table 3.1.2.5.</w:t>
      </w:r>
    </w:p>
    <w:p w:rsidR="00B66467" w:rsidRDefault="00B66467" w:rsidP="00B66467">
      <w:pPr>
        <w:pStyle w:val="ListParagraph"/>
        <w:numPr>
          <w:ilvl w:val="0"/>
          <w:numId w:val="23"/>
        </w:numPr>
        <w:spacing w:after="60" w:line="240" w:lineRule="auto"/>
        <w:ind w:left="425" w:hanging="425"/>
        <w:contextualSpacing w:val="0"/>
        <w:jc w:val="both"/>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The Health and Hospitals Fund will be closed by 31 July 2015, subject to the passage of legislation.</w:t>
      </w:r>
      <w:r w:rsidR="008B4A0F">
        <w:rPr>
          <w:rFonts w:ascii="Arial" w:eastAsia="Times New Roman" w:hAnsi="Arial" w:cs="Arial"/>
          <w:sz w:val="15"/>
          <w:szCs w:val="15"/>
          <w:lang w:val="en-AU" w:eastAsia="en-AU"/>
        </w:rPr>
        <w:t xml:space="preserve"> More information on the Health and Hospitals Fund can be found in Table 3.1.2.6.</w:t>
      </w:r>
    </w:p>
    <w:p w:rsidR="00CE645E" w:rsidRDefault="00CE645E" w:rsidP="00C5570B">
      <w:pPr>
        <w:pStyle w:val="Heading5"/>
        <w:spacing w:before="0" w:after="0"/>
      </w:pPr>
    </w:p>
    <w:p w:rsidR="00FB3095" w:rsidRPr="00793F50" w:rsidRDefault="00FB3095" w:rsidP="00C5570B">
      <w:pPr>
        <w:pStyle w:val="Heading5"/>
        <w:spacing w:after="0"/>
      </w:pPr>
      <w:r w:rsidRPr="00793F50">
        <w:t xml:space="preserve">Programme 2.7 Deliverables  </w:t>
      </w:r>
    </w:p>
    <w:p w:rsidR="00FB3095" w:rsidRPr="009279E1" w:rsidRDefault="00FB3095" w:rsidP="00FB3095">
      <w:pPr>
        <w:pStyle w:val="TableTextLeft"/>
        <w:spacing w:before="0" w:after="0"/>
      </w:pPr>
    </w:p>
    <w:p w:rsidR="00670296" w:rsidRDefault="00FB3095" w:rsidP="00670296">
      <w:pPr>
        <w:spacing w:after="120"/>
      </w:pPr>
      <w:r>
        <w:t xml:space="preserve">The key deliverable for </w:t>
      </w:r>
      <w:r w:rsidR="00D13659">
        <w:t>this programme</w:t>
      </w:r>
      <w:r w:rsidR="00E60751">
        <w:t xml:space="preserve"> is:</w:t>
      </w:r>
    </w:p>
    <w:p w:rsidR="00FB3095" w:rsidRPr="00670296" w:rsidRDefault="00FB3095" w:rsidP="00670296">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670296">
        <w:rPr>
          <w:rFonts w:ascii="Book Antiqua" w:hAnsi="Book Antiqua"/>
          <w:sz w:val="20"/>
          <w:szCs w:val="20"/>
        </w:rPr>
        <w:t>providing</w:t>
      </w:r>
      <w:proofErr w:type="gramEnd"/>
      <w:r w:rsidRPr="00670296">
        <w:rPr>
          <w:rFonts w:ascii="Book Antiqua" w:hAnsi="Book Antiqua"/>
          <w:sz w:val="20"/>
          <w:szCs w:val="20"/>
        </w:rPr>
        <w:t xml:space="preserve"> policy advice to the government on the Australian Government Investment Funds, including investment mandates, governance matters, credits to and payments from the Funds.</w:t>
      </w:r>
    </w:p>
    <w:p w:rsidR="00FB3095" w:rsidRDefault="00FB3095" w:rsidP="00C5570B">
      <w:pPr>
        <w:pStyle w:val="NoSpacing"/>
      </w:pPr>
    </w:p>
    <w:p w:rsidR="00FB3095" w:rsidRPr="00793F50" w:rsidRDefault="00FB3095" w:rsidP="00C5570B">
      <w:pPr>
        <w:pStyle w:val="Heading5"/>
        <w:spacing w:after="0"/>
      </w:pPr>
      <w:r w:rsidRPr="00793F50">
        <w:t xml:space="preserve">Programme 2.7 Key Performance Indicators  </w:t>
      </w:r>
    </w:p>
    <w:p w:rsidR="00FB3095" w:rsidRPr="009279E1" w:rsidRDefault="00FB3095" w:rsidP="00FB3095">
      <w:pPr>
        <w:pStyle w:val="TableTextLeft"/>
        <w:spacing w:before="0" w:after="0"/>
      </w:pPr>
    </w:p>
    <w:p w:rsidR="00FB3095" w:rsidRPr="00EA2442" w:rsidRDefault="00FB3095" w:rsidP="00FB3095">
      <w:pPr>
        <w:spacing w:after="120"/>
        <w:rPr>
          <w:rFonts w:ascii="Calibri" w:hAnsi="Calibri"/>
        </w:rPr>
      </w:pPr>
      <w:r w:rsidRPr="00EA2442">
        <w:t xml:space="preserve">The key performance </w:t>
      </w:r>
      <w:r w:rsidR="00670296">
        <w:t>indicators</w:t>
      </w:r>
      <w:r w:rsidRPr="00EA2442">
        <w:t xml:space="preserve"> for </w:t>
      </w:r>
      <w:r w:rsidR="00D13659">
        <w:t>this programme</w:t>
      </w:r>
      <w:r w:rsidRPr="00EA2442">
        <w:t xml:space="preserve"> </w:t>
      </w:r>
      <w:r w:rsidR="00670296">
        <w:t>are</w:t>
      </w:r>
      <w:r w:rsidRPr="00EA2442">
        <w:t>:</w:t>
      </w:r>
    </w:p>
    <w:p w:rsidR="00A96FFE" w:rsidRPr="00EA2442" w:rsidRDefault="00A96F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A2442">
        <w:rPr>
          <w:rFonts w:ascii="Book Antiqua" w:hAnsi="Book Antiqua"/>
          <w:sz w:val="20"/>
          <w:szCs w:val="20"/>
        </w:rPr>
        <w:t>advic</w:t>
      </w:r>
      <w:r w:rsidR="001E31A4">
        <w:rPr>
          <w:rFonts w:ascii="Book Antiqua" w:hAnsi="Book Antiqua"/>
          <w:sz w:val="20"/>
          <w:szCs w:val="20"/>
        </w:rPr>
        <w:t>e and analysis provided to the g</w:t>
      </w:r>
      <w:r w:rsidRPr="00EA2442">
        <w:rPr>
          <w:rFonts w:ascii="Book Antiqua" w:hAnsi="Book Antiqua"/>
          <w:sz w:val="20"/>
          <w:szCs w:val="20"/>
        </w:rPr>
        <w:t>overnment on the Australian Government Investment Funds</w:t>
      </w:r>
      <w:r w:rsidRPr="00EA2442" w:rsidDel="00753AF7">
        <w:rPr>
          <w:rFonts w:ascii="Book Antiqua" w:hAnsi="Book Antiqua"/>
          <w:sz w:val="20"/>
          <w:szCs w:val="20"/>
        </w:rPr>
        <w:t xml:space="preserve"> </w:t>
      </w:r>
      <w:r w:rsidRPr="00EA2442">
        <w:rPr>
          <w:rFonts w:ascii="Book Antiqua" w:hAnsi="Book Antiqua"/>
          <w:sz w:val="20"/>
          <w:szCs w:val="20"/>
        </w:rPr>
        <w:t>is provided in a timely manner, and is assessed by key stakeholders as high quality and robust and meeting their timeframes; and</w:t>
      </w:r>
    </w:p>
    <w:p w:rsidR="0032228A" w:rsidRPr="00375F30" w:rsidRDefault="00A96F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EA2442">
        <w:rPr>
          <w:rFonts w:ascii="Book Antiqua" w:hAnsi="Book Antiqua"/>
          <w:sz w:val="20"/>
          <w:szCs w:val="20"/>
        </w:rPr>
        <w:t>credits</w:t>
      </w:r>
      <w:proofErr w:type="gramEnd"/>
      <w:r w:rsidRPr="00EA2442">
        <w:rPr>
          <w:rFonts w:ascii="Book Antiqua" w:hAnsi="Book Antiqua"/>
          <w:sz w:val="20"/>
          <w:szCs w:val="20"/>
        </w:rPr>
        <w:t xml:space="preserve"> to and payments from the Funds are timely and consistent with legislation.</w:t>
      </w:r>
      <w:r w:rsidR="00946DA9" w:rsidRPr="00375F30">
        <w:rPr>
          <w:rFonts w:ascii="Book Antiqua" w:hAnsi="Book Antiqua"/>
          <w:sz w:val="20"/>
          <w:szCs w:val="20"/>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885B83" w:rsidTr="00885B83">
        <w:tc>
          <w:tcPr>
            <w:tcW w:w="7713" w:type="dxa"/>
            <w:shd w:val="clear" w:color="auto" w:fill="E6E6E6"/>
          </w:tcPr>
          <w:p w:rsidR="00885B83" w:rsidRPr="00160CDF" w:rsidRDefault="0032228A" w:rsidP="00160CDF">
            <w:pPr>
              <w:spacing w:before="120" w:after="120" w:line="240" w:lineRule="auto"/>
              <w:ind w:left="1559" w:hanging="1559"/>
              <w:rPr>
                <w:rFonts w:ascii="Arial" w:hAnsi="Arial" w:cs="Arial"/>
                <w:b/>
              </w:rPr>
            </w:pPr>
            <w:r>
              <w:lastRenderedPageBreak/>
              <w:br w:type="page"/>
            </w:r>
            <w:r w:rsidR="00A07DF7" w:rsidRPr="00160CDF">
              <w:rPr>
                <w:rFonts w:ascii="Arial" w:hAnsi="Arial" w:cs="Arial"/>
                <w:b/>
              </w:rPr>
              <w:t>Outcome 3</w:t>
            </w:r>
            <w:r w:rsidR="00A07DF7" w:rsidRPr="00160CDF">
              <w:rPr>
                <w:rFonts w:ascii="Arial" w:hAnsi="Arial" w:cs="Arial"/>
                <w:b/>
              </w:rPr>
              <w:tab/>
              <w:t>Support for Parliamentarians and others as required by the Australian Government through the delivery of, and advice on, entitlements and targeted assistance.</w:t>
            </w:r>
          </w:p>
        </w:tc>
      </w:tr>
    </w:tbl>
    <w:p w:rsidR="00885B83" w:rsidRDefault="00885B83" w:rsidP="00885B83">
      <w:pPr>
        <w:pStyle w:val="NoSpacing"/>
      </w:pPr>
    </w:p>
    <w:p w:rsidR="00885B83" w:rsidRDefault="00873D79" w:rsidP="00E453F8">
      <w:pPr>
        <w:pStyle w:val="Heading5"/>
      </w:pPr>
      <w:r w:rsidRPr="00793F50">
        <w:t>Outcome 3</w:t>
      </w:r>
      <w:r w:rsidR="00885B83" w:rsidRPr="00793F50">
        <w:t xml:space="preserve"> Strategy</w:t>
      </w:r>
    </w:p>
    <w:p w:rsidR="008972BD" w:rsidRPr="008972BD" w:rsidRDefault="008972BD" w:rsidP="008972BD">
      <w:pPr>
        <w:spacing w:after="0"/>
      </w:pPr>
    </w:p>
    <w:p w:rsidR="00A07DF7" w:rsidRDefault="00A07DF7" w:rsidP="00A07DF7">
      <w:pPr>
        <w:spacing w:after="120"/>
      </w:pPr>
      <w:r>
        <w:t xml:space="preserve">To achieve Outcome 3, Finance provides entitlements, advice and services to Ministers, Office-holders, Senators, Members, their staff and others as required by the </w:t>
      </w:r>
      <w:r w:rsidR="00F402E8">
        <w:t>Australian G</w:t>
      </w:r>
      <w:r>
        <w:t>overnment.</w:t>
      </w:r>
    </w:p>
    <w:p w:rsidR="00D31052" w:rsidRDefault="00D31052" w:rsidP="00793F50">
      <w:pPr>
        <w:pStyle w:val="NoSpacing"/>
      </w:pPr>
    </w:p>
    <w:p w:rsidR="00885B83" w:rsidRDefault="00885B83" w:rsidP="00E453F8">
      <w:pPr>
        <w:pStyle w:val="Heading5"/>
      </w:pPr>
      <w:r w:rsidRPr="00793F50">
        <w:t>Outcome Expense Statement</w:t>
      </w:r>
    </w:p>
    <w:p w:rsidR="008972BD" w:rsidRPr="008972BD" w:rsidRDefault="008972BD" w:rsidP="008972BD">
      <w:pPr>
        <w:spacing w:after="0"/>
      </w:pPr>
    </w:p>
    <w:p w:rsidR="00885B83" w:rsidRDefault="00130BB7" w:rsidP="00885B83">
      <w:r w:rsidRPr="00946DA9">
        <w:t>Table 2.</w:t>
      </w:r>
      <w:r w:rsidR="00946DA9" w:rsidRPr="00946DA9">
        <w:t>1.</w:t>
      </w:r>
      <w:r w:rsidRPr="00946DA9">
        <w:t>3</w:t>
      </w:r>
      <w:r w:rsidR="00885B83" w:rsidRPr="00946DA9">
        <w:t xml:space="preserve"> provides</w:t>
      </w:r>
      <w:r w:rsidR="00885B83">
        <w:t xml:space="preserve"> an overview of the total expenses for </w:t>
      </w:r>
      <w:r w:rsidR="00081A28">
        <w:t>Outcome 3</w:t>
      </w:r>
      <w:r w:rsidR="00873D79">
        <w:t>,</w:t>
      </w:r>
      <w:r w:rsidR="00885B83">
        <w:t xml:space="preserve"> by programme.</w:t>
      </w:r>
    </w:p>
    <w:p w:rsidR="00885B83" w:rsidRPr="00793F50" w:rsidRDefault="00885B83" w:rsidP="00E453F8">
      <w:pPr>
        <w:pStyle w:val="Heading5"/>
      </w:pPr>
      <w:r>
        <w:br w:type="page"/>
      </w:r>
      <w:r w:rsidR="00130BB7" w:rsidRPr="00793F50">
        <w:lastRenderedPageBreak/>
        <w:t>Table 2.</w:t>
      </w:r>
      <w:r w:rsidR="00946DA9" w:rsidRPr="00793F50">
        <w:t>1.</w:t>
      </w:r>
      <w:r w:rsidR="00130BB7" w:rsidRPr="00793F50">
        <w:t>3</w:t>
      </w:r>
      <w:r w:rsidRPr="00793F50">
        <w:t>: Budgete</w:t>
      </w:r>
      <w:r w:rsidR="00130BB7" w:rsidRPr="00793F50">
        <w:t>d Expenses for Outcome 3</w:t>
      </w:r>
    </w:p>
    <w:tbl>
      <w:tblPr>
        <w:tblW w:w="7060" w:type="dxa"/>
        <w:tblInd w:w="93" w:type="dxa"/>
        <w:tblLook w:val="04A0"/>
      </w:tblPr>
      <w:tblGrid>
        <w:gridCol w:w="4820"/>
        <w:gridCol w:w="1120"/>
        <w:gridCol w:w="1120"/>
      </w:tblGrid>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Outcome 3: Support for Parliamentarians and others as</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required by the Australian Government through the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delivery of, and advice on, entitlements and targeted</w:t>
            </w:r>
          </w:p>
        </w:tc>
        <w:tc>
          <w:tcPr>
            <w:tcW w:w="11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expenses</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roofErr w:type="gramStart"/>
            <w:r w:rsidRPr="00C5570B">
              <w:rPr>
                <w:rFonts w:ascii="Arial" w:hAnsi="Arial" w:cs="Arial"/>
                <w:b/>
                <w:bCs/>
                <w:color w:val="000000"/>
                <w:sz w:val="16"/>
                <w:szCs w:val="16"/>
              </w:rPr>
              <w:t>assistance</w:t>
            </w:r>
            <w:proofErr w:type="gramEnd"/>
            <w:r w:rsidRPr="00C5570B">
              <w:rPr>
                <w:rFonts w:ascii="Arial" w:hAnsi="Arial" w:cs="Arial"/>
                <w:b/>
                <w:bCs/>
                <w:color w:val="000000"/>
                <w:sz w:val="16"/>
                <w:szCs w:val="16"/>
              </w:rPr>
              <w: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11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12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3.1: Ministerial and Parliamentary Services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Ordinary annual services (Appropriation Bill No.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Electorate and ministerial support costs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270,452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271,927</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Australian Political Exchange Programme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877</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889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Commonwealth of Australia Constitution Act </w:t>
            </w:r>
            <w:r w:rsidRPr="00C5570B">
              <w:rPr>
                <w:rFonts w:ascii="Arial" w:hAnsi="Arial" w:cs="Arial"/>
                <w:sz w:val="16"/>
                <w:szCs w:val="16"/>
              </w:rPr>
              <w:t>(s66)</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4,825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Members of Parliament (Life Gold Pass) Act 2002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1,065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1,119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Parliamentary Entitlements Act 1990</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167,645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175,064</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8,825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Services to Senators, Members and their staff</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39,362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36,482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Car-with-driver and associated transport services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2,790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2,906</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2,633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2,690</w:t>
            </w:r>
          </w:p>
        </w:tc>
      </w:tr>
      <w:tr w:rsidR="00C5570B" w:rsidRPr="00C5570B" w:rsidTr="00C5570B">
        <w:trPr>
          <w:trHeight w:val="60"/>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3.1</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498,474</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505,554</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Outcome 3 Totals by appropriation type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Ordinary annual services (Appropriation Bill No.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271,329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272,816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173,535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181,008</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8,825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42,152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39,388</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2,633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2,690</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1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1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Total expenses for Outcome 3</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498,474</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505,554</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4"/>
                <w:szCs w:val="14"/>
              </w:rPr>
            </w:pPr>
          </w:p>
        </w:tc>
      </w:tr>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r>
      <w:tr w:rsidR="00C5570B" w:rsidRPr="00C5570B" w:rsidTr="00C5570B">
        <w:trPr>
          <w:trHeight w:val="225"/>
        </w:trPr>
        <w:tc>
          <w:tcPr>
            <w:tcW w:w="48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Average Staffing Level (number)</w:t>
            </w:r>
          </w:p>
        </w:tc>
        <w:tc>
          <w:tcPr>
            <w:tcW w:w="1120" w:type="dxa"/>
            <w:tcBorders>
              <w:top w:val="single" w:sz="4" w:space="0" w:color="000000"/>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244</w:t>
            </w:r>
          </w:p>
        </w:tc>
        <w:tc>
          <w:tcPr>
            <w:tcW w:w="1120" w:type="dxa"/>
            <w:tcBorders>
              <w:top w:val="single" w:sz="4" w:space="0" w:color="000000"/>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244</w:t>
            </w:r>
          </w:p>
        </w:tc>
      </w:tr>
    </w:tbl>
    <w:p w:rsidR="00652C4A" w:rsidRPr="00126187" w:rsidRDefault="00652C4A" w:rsidP="00652C4A">
      <w:pPr>
        <w:spacing w:after="0" w:line="240" w:lineRule="auto"/>
        <w:rPr>
          <w:sz w:val="6"/>
          <w:szCs w:val="6"/>
        </w:rPr>
      </w:pPr>
    </w:p>
    <w:p w:rsidR="004F5303" w:rsidRPr="000D2E3D" w:rsidRDefault="00C43756" w:rsidP="0003235D">
      <w:pPr>
        <w:pStyle w:val="ListParagraph"/>
        <w:numPr>
          <w:ilvl w:val="0"/>
          <w:numId w:val="24"/>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p w:rsidR="00B323BD" w:rsidRPr="000D2E3D" w:rsidRDefault="00B323BD" w:rsidP="00D55F66">
      <w:pPr>
        <w:pStyle w:val="ListParagraph"/>
        <w:numPr>
          <w:ilvl w:val="0"/>
          <w:numId w:val="24"/>
        </w:numPr>
        <w:spacing w:after="0" w:line="240" w:lineRule="auto"/>
        <w:ind w:left="426" w:hanging="426"/>
        <w:contextualSpacing w:val="0"/>
        <w:outlineLvl w:val="6"/>
        <w:rPr>
          <w:rFonts w:ascii="Arial" w:eastAsia="Times New Roman" w:hAnsi="Arial" w:cs="Arial"/>
          <w:sz w:val="15"/>
          <w:szCs w:val="15"/>
          <w:lang w:val="en-AU" w:eastAsia="en-AU"/>
        </w:rPr>
      </w:pPr>
      <w:r w:rsidRPr="000D2E3D">
        <w:rPr>
          <w:rFonts w:ascii="Arial" w:eastAsia="Times New Roman" w:hAnsi="Arial" w:cs="Arial"/>
          <w:sz w:val="15"/>
          <w:szCs w:val="15"/>
          <w:lang w:val="en-AU" w:eastAsia="en-AU"/>
        </w:rPr>
        <w:t xml:space="preserve">Departmental Appropriation combines ‘Ordinary annual services (Appropriation Bill No. 1)’ and </w:t>
      </w:r>
      <w:r w:rsidR="005E1EF1">
        <w:rPr>
          <w:rFonts w:ascii="Arial" w:eastAsia="Times New Roman" w:hAnsi="Arial" w:cs="Arial"/>
          <w:sz w:val="15"/>
          <w:szCs w:val="15"/>
          <w:lang w:val="en-AU" w:eastAsia="en-AU"/>
        </w:rPr>
        <w:t>‘s.74 Retained revenue receipts’</w:t>
      </w:r>
      <w:r w:rsidRPr="000D2E3D">
        <w:rPr>
          <w:rFonts w:ascii="Arial" w:eastAsia="Times New Roman" w:hAnsi="Arial" w:cs="Arial"/>
          <w:sz w:val="15"/>
          <w:szCs w:val="15"/>
          <w:lang w:val="en-AU" w:eastAsia="en-AU"/>
        </w:rPr>
        <w:t>.</w:t>
      </w:r>
    </w:p>
    <w:p w:rsidR="00126187" w:rsidRPr="00126187" w:rsidRDefault="00126187" w:rsidP="00126187">
      <w:pPr>
        <w:spacing w:after="0" w:line="240" w:lineRule="auto"/>
        <w:rPr>
          <w:rFonts w:ascii="Arial" w:hAnsi="Arial" w:cs="Arial"/>
          <w:sz w:val="16"/>
        </w:rPr>
      </w:pPr>
    </w:p>
    <w:p w:rsidR="00885B83" w:rsidRPr="0007657B" w:rsidRDefault="00885B83" w:rsidP="00885B83">
      <w:pPr>
        <w:pStyle w:val="Source"/>
        <w:rPr>
          <w:sz w:val="15"/>
          <w:szCs w:val="15"/>
        </w:rPr>
      </w:pPr>
      <w:r w:rsidRPr="0007657B">
        <w:rPr>
          <w:sz w:val="15"/>
          <w:szCs w:val="15"/>
        </w:rPr>
        <w:t>Note: Departmental appropriation splits and totals are indicative estimates and may change in the course of the budget year as government priorities change.</w:t>
      </w:r>
    </w:p>
    <w:p w:rsidR="00885B83" w:rsidRPr="005835E9" w:rsidRDefault="00885B83" w:rsidP="005835E9">
      <w:pPr>
        <w:spacing w:before="240" w:line="240" w:lineRule="auto"/>
        <w:jc w:val="left"/>
        <w:rPr>
          <w:rFonts w:ascii="Arial Bold" w:hAnsi="Arial Bold" w:cs="Arial"/>
          <w:b/>
          <w:smallCaps/>
          <w:sz w:val="26"/>
          <w:szCs w:val="26"/>
        </w:rPr>
      </w:pPr>
      <w:r>
        <w:br w:type="page"/>
      </w:r>
      <w:bookmarkStart w:id="34" w:name="_Toc416874475"/>
      <w:r w:rsidRPr="005835E9">
        <w:rPr>
          <w:rFonts w:ascii="Arial Bold" w:hAnsi="Arial Bold" w:cs="Arial"/>
          <w:b/>
          <w:smallCaps/>
          <w:sz w:val="26"/>
          <w:szCs w:val="26"/>
        </w:rPr>
        <w:lastRenderedPageBreak/>
        <w:t xml:space="preserve">Contributions to Outcome </w:t>
      </w:r>
      <w:r w:rsidR="00130BB7" w:rsidRPr="005835E9">
        <w:rPr>
          <w:rFonts w:ascii="Arial Bold" w:hAnsi="Arial Bold" w:cs="Arial"/>
          <w:b/>
          <w:smallCaps/>
          <w:sz w:val="26"/>
          <w:szCs w:val="26"/>
        </w:rPr>
        <w:t>3</w:t>
      </w:r>
      <w:bookmarkEnd w:id="3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885B83" w:rsidTr="00885B83">
        <w:tc>
          <w:tcPr>
            <w:tcW w:w="7713" w:type="dxa"/>
            <w:shd w:val="clear" w:color="auto" w:fill="E6E6E6"/>
          </w:tcPr>
          <w:p w:rsidR="00885B83" w:rsidRDefault="00130BB7" w:rsidP="00130BB7">
            <w:pPr>
              <w:pStyle w:val="TableColumnHeadingLeft"/>
            </w:pPr>
            <w:r>
              <w:t>Programme 3</w:t>
            </w:r>
            <w:r w:rsidR="00885B83">
              <w:t>.</w:t>
            </w:r>
            <w:r>
              <w:t>1</w:t>
            </w:r>
            <w:r w:rsidR="00885B83">
              <w:t xml:space="preserve">: </w:t>
            </w:r>
            <w:r>
              <w:t>Ministerial and Parliamentary Services</w:t>
            </w:r>
          </w:p>
        </w:tc>
      </w:tr>
    </w:tbl>
    <w:p w:rsidR="00885B83" w:rsidRDefault="00885B83" w:rsidP="00885B83">
      <w:pPr>
        <w:pStyle w:val="NoSpacing"/>
      </w:pPr>
    </w:p>
    <w:p w:rsidR="00FB3095" w:rsidRPr="00793F50" w:rsidRDefault="00FB3095" w:rsidP="00E453F8">
      <w:pPr>
        <w:pStyle w:val="Heading5"/>
      </w:pPr>
      <w:r w:rsidRPr="00793F50">
        <w:t>Programme 3.1 Objective</w:t>
      </w:r>
    </w:p>
    <w:p w:rsidR="00FB3095" w:rsidRPr="00DB4F1B" w:rsidRDefault="00FB3095" w:rsidP="00FB3095">
      <w:pPr>
        <w:spacing w:after="0" w:line="240" w:lineRule="auto"/>
      </w:pPr>
    </w:p>
    <w:p w:rsidR="00215932" w:rsidRPr="00654A5B" w:rsidRDefault="00215932" w:rsidP="00215932">
      <w:pPr>
        <w:spacing w:after="120"/>
      </w:pPr>
      <w:r w:rsidRPr="00654A5B">
        <w:t xml:space="preserve">This programme </w:t>
      </w:r>
      <w:r w:rsidRPr="00654A5B">
        <w:rPr>
          <w:rFonts w:eastAsiaTheme="majorEastAsia"/>
        </w:rPr>
        <w:t>contributes</w:t>
      </w:r>
      <w:r w:rsidRPr="00654A5B">
        <w:t xml:space="preserve"> to the outcome through </w:t>
      </w:r>
      <w:r>
        <w:t xml:space="preserve">the provision of </w:t>
      </w:r>
      <w:r w:rsidRPr="00654A5B">
        <w:t xml:space="preserve">advice on, access to and payment of </w:t>
      </w:r>
      <w:r>
        <w:t>parliamentary and post</w:t>
      </w:r>
      <w:r w:rsidR="0007657B">
        <w:t>-</w:t>
      </w:r>
      <w:r>
        <w:t xml:space="preserve">parliamentary </w:t>
      </w:r>
      <w:r w:rsidRPr="00654A5B">
        <w:t xml:space="preserve">entitlements </w:t>
      </w:r>
      <w:r>
        <w:t>and</w:t>
      </w:r>
      <w:r w:rsidRPr="00654A5B">
        <w:t xml:space="preserve"> targeted assistance to </w:t>
      </w:r>
      <w:proofErr w:type="spellStart"/>
      <w:r>
        <w:t>entitlees</w:t>
      </w:r>
      <w:proofErr w:type="spellEnd"/>
      <w:r w:rsidRPr="00654A5B">
        <w:t>.</w:t>
      </w:r>
    </w:p>
    <w:p w:rsidR="00215932" w:rsidRPr="00654A5B" w:rsidRDefault="00215932" w:rsidP="00215932">
      <w:pPr>
        <w:spacing w:after="120"/>
      </w:pPr>
      <w:r w:rsidRPr="00654A5B">
        <w:t xml:space="preserve">The range of </w:t>
      </w:r>
      <w:r w:rsidRPr="00654A5B">
        <w:rPr>
          <w:rFonts w:eastAsiaTheme="majorEastAsia"/>
        </w:rPr>
        <w:t>services</w:t>
      </w:r>
      <w:r>
        <w:rPr>
          <w:rFonts w:eastAsiaTheme="majorEastAsia"/>
        </w:rPr>
        <w:t xml:space="preserve">, </w:t>
      </w:r>
      <w:r w:rsidRPr="00654A5B">
        <w:t xml:space="preserve">facilities </w:t>
      </w:r>
      <w:r>
        <w:t xml:space="preserve">and assistance </w:t>
      </w:r>
      <w:r w:rsidRPr="00654A5B">
        <w:t>provided include</w:t>
      </w:r>
      <w:r>
        <w:t>s</w:t>
      </w:r>
      <w:r w:rsidRPr="00654A5B">
        <w:t>:</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c</w:t>
      </w:r>
      <w:r w:rsidR="00215932" w:rsidRPr="00424DC1">
        <w:rPr>
          <w:rFonts w:ascii="Book Antiqua" w:hAnsi="Book Antiqua"/>
          <w:sz w:val="20"/>
          <w:szCs w:val="20"/>
        </w:rPr>
        <w:t>entral service centre for provision of advice and support to clients and stakeholders;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rovision of third party provider contracts for access to entitlements;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roperty and office facilities management;</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t</w:t>
      </w:r>
      <w:r w:rsidR="00536008">
        <w:rPr>
          <w:rFonts w:ascii="Book Antiqua" w:hAnsi="Book Antiqua"/>
          <w:sz w:val="20"/>
          <w:szCs w:val="20"/>
        </w:rPr>
        <w:t>ravel services</w:t>
      </w:r>
      <w:r w:rsidR="00215932" w:rsidRPr="00424DC1">
        <w:rPr>
          <w:rFonts w:ascii="Book Antiqua" w:hAnsi="Book Antiqua"/>
          <w:sz w:val="20"/>
          <w:szCs w:val="20"/>
        </w:rPr>
        <w:t>;</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e</w:t>
      </w:r>
      <w:r w:rsidR="00215932" w:rsidRPr="00424DC1">
        <w:rPr>
          <w:rFonts w:ascii="Book Antiqua" w:hAnsi="Book Antiqua"/>
          <w:sz w:val="20"/>
          <w:szCs w:val="20"/>
        </w:rPr>
        <w:t xml:space="preserve">mployment and personnel-services; </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 xml:space="preserve">ayment and reporting of parliamentary and </w:t>
      </w:r>
      <w:r w:rsidR="0007657B">
        <w:rPr>
          <w:rFonts w:ascii="Book Antiqua" w:hAnsi="Book Antiqua"/>
          <w:sz w:val="20"/>
          <w:szCs w:val="20"/>
        </w:rPr>
        <w:t>post-parliamentary</w:t>
      </w:r>
      <w:r w:rsidR="00215932" w:rsidRPr="00424DC1">
        <w:rPr>
          <w:rFonts w:ascii="Book Antiqua" w:hAnsi="Book Antiqua"/>
          <w:sz w:val="20"/>
          <w:szCs w:val="20"/>
        </w:rPr>
        <w:t xml:space="preserve"> entitlement expenditure;</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m</w:t>
      </w:r>
      <w:r w:rsidR="00215932" w:rsidRPr="00424DC1">
        <w:rPr>
          <w:rFonts w:ascii="Book Antiqua" w:hAnsi="Book Antiqua"/>
          <w:sz w:val="20"/>
          <w:szCs w:val="20"/>
        </w:rPr>
        <w:t xml:space="preserve">anagement of the Commonwealth Parliament Offices and the Ministerial Wing of Parliament House; </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c</w:t>
      </w:r>
      <w:r w:rsidR="00215932" w:rsidRPr="00424DC1">
        <w:rPr>
          <w:rFonts w:ascii="Book Antiqua" w:hAnsi="Book Antiqua"/>
          <w:sz w:val="20"/>
          <w:szCs w:val="20"/>
        </w:rPr>
        <w:t>ar-with-driver services and related ground transport services; the Australian Political Exchange Programme;</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Australian Political Parties for Democracy Programme;</w:t>
      </w:r>
      <w:r w:rsidR="00F402E8" w:rsidRPr="00424DC1">
        <w:rPr>
          <w:rFonts w:ascii="Book Antiqua" w:hAnsi="Book Antiqua"/>
          <w:sz w:val="20"/>
          <w:szCs w:val="20"/>
        </w:rPr>
        <w:t xml:space="preserve"> and</w:t>
      </w:r>
    </w:p>
    <w:p w:rsidR="00FB3095"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m</w:t>
      </w:r>
      <w:r w:rsidR="00215932" w:rsidRPr="00424DC1">
        <w:rPr>
          <w:rFonts w:ascii="Book Antiqua" w:hAnsi="Book Antiqua"/>
          <w:sz w:val="20"/>
          <w:szCs w:val="20"/>
        </w:rPr>
        <w:t>inisterial</w:t>
      </w:r>
      <w:proofErr w:type="gramEnd"/>
      <w:r w:rsidR="00215932" w:rsidRPr="00424DC1">
        <w:rPr>
          <w:rFonts w:ascii="Book Antiqua" w:hAnsi="Book Antiqua"/>
          <w:sz w:val="20"/>
          <w:szCs w:val="20"/>
        </w:rPr>
        <w:t xml:space="preserve"> salaries.</w:t>
      </w:r>
    </w:p>
    <w:p w:rsidR="00215932" w:rsidRPr="00215932" w:rsidRDefault="00215932" w:rsidP="002B2687">
      <w:pPr>
        <w:pStyle w:val="TOC9"/>
        <w:rPr>
          <w:lang w:val="en-US" w:eastAsia="en-US"/>
        </w:rPr>
      </w:pPr>
    </w:p>
    <w:p w:rsidR="00215932" w:rsidRDefault="00215932">
      <w:pPr>
        <w:spacing w:after="0" w:line="240" w:lineRule="auto"/>
        <w:jc w:val="left"/>
        <w:rPr>
          <w:rFonts w:ascii="Arial" w:hAnsi="Arial" w:cs="Arial"/>
          <w:b/>
        </w:rPr>
      </w:pPr>
      <w:r>
        <w:br w:type="page"/>
      </w:r>
    </w:p>
    <w:p w:rsidR="00FB3095" w:rsidRPr="00793F50" w:rsidRDefault="00FB3095" w:rsidP="00E453F8">
      <w:pPr>
        <w:pStyle w:val="Heading5"/>
      </w:pPr>
      <w:r w:rsidRPr="00793F50">
        <w:lastRenderedPageBreak/>
        <w:t>Programme 3.1 Expenses</w:t>
      </w:r>
    </w:p>
    <w:tbl>
      <w:tblPr>
        <w:tblW w:w="7260" w:type="dxa"/>
        <w:tblInd w:w="93" w:type="dxa"/>
        <w:tblLook w:val="04A0"/>
      </w:tblPr>
      <w:tblGrid>
        <w:gridCol w:w="3240"/>
        <w:gridCol w:w="928"/>
        <w:gridCol w:w="880"/>
        <w:gridCol w:w="821"/>
        <w:gridCol w:w="821"/>
        <w:gridCol w:w="821"/>
      </w:tblGrid>
      <w:tr w:rsidR="00C5570B" w:rsidRPr="00C5570B" w:rsidTr="00C5570B">
        <w:trPr>
          <w:trHeight w:val="225"/>
        </w:trPr>
        <w:tc>
          <w:tcPr>
            <w:tcW w:w="324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8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8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8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administered expenses:</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Electorate and ministerial support costs</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270,452</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271,927</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275,942</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277,283</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278,445</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Australian Political Exchange Programme</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877</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889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904</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919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934</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the Budget year</w:t>
            </w:r>
            <w:r w:rsidRPr="00C5570B">
              <w:rPr>
                <w:rFonts w:ascii="Arial" w:hAnsi="Arial" w:cs="Arial"/>
                <w:sz w:val="16"/>
                <w:szCs w:val="16"/>
                <w:vertAlign w:val="superscript"/>
              </w:rPr>
              <w:t xml:space="preserve"> 1</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8,825</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9,652</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9,657</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9,658</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9,654</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Special appropriations expenses:</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i/>
                <w:iCs/>
                <w:sz w:val="16"/>
                <w:szCs w:val="16"/>
              </w:rPr>
            </w:pPr>
            <w:r w:rsidRPr="00C5570B">
              <w:rPr>
                <w:rFonts w:ascii="Arial" w:hAnsi="Arial" w:cs="Arial"/>
                <w:i/>
                <w:iCs/>
                <w:sz w:val="16"/>
                <w:szCs w:val="16"/>
              </w:rPr>
              <w:t>Commonwealth of Australia Constitution</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Act</w:t>
            </w:r>
            <w:r w:rsidRPr="00C5570B">
              <w:rPr>
                <w:rFonts w:ascii="Arial" w:hAnsi="Arial" w:cs="Arial"/>
                <w:sz w:val="16"/>
                <w:szCs w:val="16"/>
              </w:rPr>
              <w:t xml:space="preserve"> (s66)</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i/>
                <w:iCs/>
                <w:sz w:val="16"/>
                <w:szCs w:val="16"/>
              </w:rPr>
            </w:pPr>
            <w:r w:rsidRPr="00C5570B">
              <w:rPr>
                <w:rFonts w:ascii="Arial" w:hAnsi="Arial" w:cs="Arial"/>
                <w:i/>
                <w:iCs/>
                <w:sz w:val="16"/>
                <w:szCs w:val="16"/>
              </w:rPr>
              <w:t>Members of Parliament (Life Gold Pass)</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Act 2002</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1,065</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1,119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1,170</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1,062</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1,079</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i/>
                <w:iCs/>
                <w:sz w:val="16"/>
                <w:szCs w:val="16"/>
              </w:rPr>
            </w:pPr>
            <w:r w:rsidRPr="00C5570B">
              <w:rPr>
                <w:rFonts w:ascii="Arial" w:hAnsi="Arial" w:cs="Arial"/>
                <w:i/>
                <w:iCs/>
                <w:sz w:val="16"/>
                <w:szCs w:val="16"/>
              </w:rPr>
              <w:t>Parliamentary Entitlements Act 1990</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167,645</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175,064</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176,696</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174,499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177,277</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departmental expenses:</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Services to Senators, Members and</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their staff</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39,362</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36,482</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35,973</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36,428</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36,697</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Car-with-driver and associated transport</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services</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2,790</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2,906</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2,863</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2,899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2,921</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the Budget year</w:t>
            </w:r>
            <w:r w:rsidRPr="00C5570B">
              <w:rPr>
                <w:rFonts w:ascii="Arial" w:hAnsi="Arial" w:cs="Arial"/>
                <w:sz w:val="16"/>
                <w:szCs w:val="16"/>
                <w:vertAlign w:val="superscript"/>
              </w:rPr>
              <w:t xml:space="preserve"> 1 </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2,633</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2,690</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2,739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2,759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2,759</w:t>
            </w:r>
          </w:p>
        </w:tc>
      </w:tr>
      <w:tr w:rsidR="00C5570B" w:rsidRPr="00C5570B" w:rsidTr="00C5570B">
        <w:trPr>
          <w:trHeight w:val="60"/>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498,474</w:t>
            </w:r>
          </w:p>
        </w:tc>
        <w:tc>
          <w:tcPr>
            <w:tcW w:w="880" w:type="dxa"/>
            <w:tcBorders>
              <w:top w:val="single" w:sz="4" w:space="0" w:color="auto"/>
              <w:left w:val="nil"/>
              <w:bottom w:val="single" w:sz="4" w:space="0" w:color="000000"/>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505,554</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510,769</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510,332</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514,591</w:t>
            </w:r>
          </w:p>
        </w:tc>
      </w:tr>
    </w:tbl>
    <w:p w:rsidR="00126187" w:rsidRPr="00126187" w:rsidRDefault="00126187" w:rsidP="00126187">
      <w:pPr>
        <w:spacing w:after="0" w:line="240" w:lineRule="auto"/>
        <w:rPr>
          <w:sz w:val="6"/>
          <w:szCs w:val="6"/>
        </w:rPr>
      </w:pPr>
    </w:p>
    <w:p w:rsidR="00126187" w:rsidRPr="004F5303" w:rsidRDefault="00C43756" w:rsidP="0003235D">
      <w:pPr>
        <w:pStyle w:val="ListParagraph"/>
        <w:numPr>
          <w:ilvl w:val="0"/>
          <w:numId w:val="25"/>
        </w:numPr>
        <w:spacing w:after="60" w:line="240" w:lineRule="auto"/>
        <w:ind w:left="426" w:hanging="426"/>
        <w:outlineLvl w:val="6"/>
        <w:rPr>
          <w:rFonts w:ascii="Arial" w:hAnsi="Arial" w:cs="Arial"/>
          <w:sz w:val="15"/>
          <w:szCs w:val="15"/>
        </w:rPr>
      </w:pPr>
      <w:r>
        <w:rPr>
          <w:rFonts w:ascii="Arial" w:hAnsi="Arial" w:cs="Arial"/>
          <w:sz w:val="15"/>
          <w:szCs w:val="15"/>
        </w:rPr>
        <w:t>‘Expenses not requiring appropriation in the Budget year’ is made up of Depreciation Expenses and Amortisation Expenses.</w:t>
      </w:r>
    </w:p>
    <w:p w:rsidR="00FB3095" w:rsidRDefault="00FB3095" w:rsidP="00FB3095">
      <w:pPr>
        <w:spacing w:after="0"/>
        <w:rPr>
          <w:highlight w:val="yellow"/>
        </w:rPr>
      </w:pPr>
    </w:p>
    <w:p w:rsidR="006E4366" w:rsidRDefault="006E4366">
      <w:pPr>
        <w:spacing w:after="0" w:line="240" w:lineRule="auto"/>
        <w:jc w:val="left"/>
        <w:rPr>
          <w:rFonts w:ascii="Arial" w:hAnsi="Arial"/>
          <w:b/>
        </w:rPr>
      </w:pPr>
      <w:r>
        <w:br w:type="page"/>
      </w:r>
    </w:p>
    <w:p w:rsidR="00FB3095" w:rsidRPr="00793F50" w:rsidRDefault="00FB3095" w:rsidP="00E453F8">
      <w:pPr>
        <w:pStyle w:val="Heading5"/>
      </w:pPr>
      <w:r w:rsidRPr="00793F50">
        <w:lastRenderedPageBreak/>
        <w:t>Programme 3.1 Deliverables</w:t>
      </w:r>
    </w:p>
    <w:p w:rsidR="00FB3095" w:rsidRPr="00A07DF7" w:rsidRDefault="00FB3095" w:rsidP="008972BD">
      <w:pPr>
        <w:pStyle w:val="TableTextLeft"/>
        <w:spacing w:before="0" w:after="0"/>
      </w:pPr>
    </w:p>
    <w:p w:rsidR="00FB3095" w:rsidRPr="00A07DF7" w:rsidRDefault="00FB3095" w:rsidP="00375F30">
      <w:pPr>
        <w:spacing w:after="120"/>
      </w:pPr>
      <w:r w:rsidRPr="00A07DF7">
        <w:t xml:space="preserve">The key deliverables for </w:t>
      </w:r>
      <w:r w:rsidR="00D13659">
        <w:t>this programme</w:t>
      </w:r>
      <w:r w:rsidRPr="00A07DF7">
        <w:t xml:space="preserve"> are:</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m</w:t>
      </w:r>
      <w:r w:rsidR="00215932" w:rsidRPr="00424DC1">
        <w:rPr>
          <w:rFonts w:ascii="Book Antiqua" w:hAnsi="Book Antiqua"/>
          <w:sz w:val="20"/>
          <w:szCs w:val="20"/>
        </w:rPr>
        <w:t>anagement of contracted services to deliver effective and efficient parliamentary and post parliamentary entitlements (entitlements);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rovision of advice and support relating to entitlements;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rovision of work, health and safety advice and support to clients and stakeholders;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ayment of financial accounts relating to entitlement expenditure;</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m</w:t>
      </w:r>
      <w:r w:rsidR="00215932" w:rsidRPr="00424DC1">
        <w:rPr>
          <w:rFonts w:ascii="Book Antiqua" w:hAnsi="Book Antiqua"/>
          <w:sz w:val="20"/>
          <w:szCs w:val="20"/>
        </w:rPr>
        <w:t xml:space="preserve">anagement and maintenance of the </w:t>
      </w:r>
      <w:r w:rsidR="00215932" w:rsidRPr="00E95103">
        <w:rPr>
          <w:rFonts w:ascii="Book Antiqua" w:hAnsi="Book Antiqua"/>
          <w:i/>
          <w:sz w:val="20"/>
          <w:szCs w:val="20"/>
        </w:rPr>
        <w:t>Members of Parliament (Staff) Act 1984</w:t>
      </w:r>
      <w:r w:rsidR="00215932" w:rsidRPr="00424DC1">
        <w:rPr>
          <w:rFonts w:ascii="Book Antiqua" w:hAnsi="Book Antiqua"/>
          <w:sz w:val="20"/>
          <w:szCs w:val="20"/>
        </w:rPr>
        <w:t xml:space="preserve"> employment framework;</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r</w:t>
      </w:r>
      <w:r w:rsidR="00215932" w:rsidRPr="00424DC1">
        <w:rPr>
          <w:rFonts w:ascii="Book Antiqua" w:hAnsi="Book Antiqua"/>
          <w:sz w:val="20"/>
          <w:szCs w:val="20"/>
        </w:rPr>
        <w:t>eporting the expenditure of entitlements;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w:t>
      </w:r>
      <w:r w:rsidR="00215932" w:rsidRPr="00424DC1">
        <w:rPr>
          <w:rFonts w:ascii="Book Antiqua" w:hAnsi="Book Antiqua"/>
          <w:sz w:val="20"/>
          <w:szCs w:val="20"/>
        </w:rPr>
        <w:t>udit and checking the use of entitlements;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 xml:space="preserve">rovision of client and event transport (car-with-driver) and associated ground transport services; </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rovision and maintenance of property and facilities relating to entitlement; and</w:t>
      </w:r>
    </w:p>
    <w:p w:rsidR="00FB3095" w:rsidRDefault="00791C4A" w:rsidP="002B2687">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m</w:t>
      </w:r>
      <w:r w:rsidR="00215932" w:rsidRPr="00424DC1">
        <w:rPr>
          <w:rFonts w:ascii="Book Antiqua" w:hAnsi="Book Antiqua"/>
          <w:sz w:val="20"/>
          <w:szCs w:val="20"/>
        </w:rPr>
        <w:t>anagement</w:t>
      </w:r>
      <w:proofErr w:type="gramEnd"/>
      <w:r w:rsidR="00215932" w:rsidRPr="00424DC1">
        <w:rPr>
          <w:rFonts w:ascii="Book Antiqua" w:hAnsi="Book Antiqua"/>
          <w:sz w:val="20"/>
          <w:szCs w:val="20"/>
        </w:rPr>
        <w:t xml:space="preserve"> and support of the approved Political Party Programmes within the entitlement framework.</w:t>
      </w:r>
    </w:p>
    <w:p w:rsidR="002B2687" w:rsidRPr="002B2687" w:rsidRDefault="002B2687" w:rsidP="002B2687">
      <w:pPr>
        <w:pStyle w:val="TOC9"/>
        <w:rPr>
          <w:lang w:val="en-US" w:eastAsia="en-US"/>
        </w:rPr>
      </w:pPr>
    </w:p>
    <w:p w:rsidR="00FB3095" w:rsidRPr="00793F50" w:rsidRDefault="00FB3095" w:rsidP="00E453F8">
      <w:pPr>
        <w:pStyle w:val="Heading5"/>
      </w:pPr>
      <w:r w:rsidRPr="00793F50">
        <w:t xml:space="preserve">Programme 3.1 Key Performance </w:t>
      </w:r>
      <w:r w:rsidR="002B2687">
        <w:t>Indicators</w:t>
      </w:r>
    </w:p>
    <w:p w:rsidR="00FB3095" w:rsidRPr="00A27727" w:rsidRDefault="00FB3095" w:rsidP="00FB3095">
      <w:pPr>
        <w:pStyle w:val="TableTextLeft"/>
        <w:spacing w:before="0" w:after="0"/>
        <w:rPr>
          <w:rFonts w:ascii="Book Antiqua" w:hAnsi="Book Antiqua"/>
          <w:sz w:val="20"/>
        </w:rPr>
      </w:pPr>
    </w:p>
    <w:p w:rsidR="00FB3095" w:rsidRPr="00A27727" w:rsidRDefault="00FB3095" w:rsidP="00375F30">
      <w:pPr>
        <w:spacing w:after="120"/>
      </w:pPr>
      <w:r w:rsidRPr="00A27727">
        <w:t xml:space="preserve">The key performance </w:t>
      </w:r>
      <w:r w:rsidR="002B2687">
        <w:t>indicators</w:t>
      </w:r>
      <w:r w:rsidRPr="00A27727">
        <w:t xml:space="preserve"> for </w:t>
      </w:r>
      <w:r w:rsidR="00D13659">
        <w:t>this programme</w:t>
      </w:r>
      <w:r w:rsidRPr="00A27727">
        <w:t xml:space="preserve"> </w:t>
      </w:r>
      <w:r w:rsidR="002B2687">
        <w:t>are</w:t>
      </w:r>
      <w:r w:rsidRPr="00A27727">
        <w:t>:</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93% of client contacts are acknowledged within 24 hours and responded to within agreed timeframes;</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95% of payments (including payroll) are made within agreed timeframes;</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 xml:space="preserve">100% of office establishment and relocation projects are delivered within their approved budget; </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100% of Monthly Management Reports are distributed by the 15th of each month; and</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99% of COMCAR reservations are completed without service failure.</w:t>
      </w:r>
    </w:p>
    <w:p w:rsidR="006E4366" w:rsidRPr="00215932" w:rsidRDefault="006E4366" w:rsidP="00215932">
      <w:pPr>
        <w:autoSpaceDE w:val="0"/>
        <w:autoSpaceDN w:val="0"/>
        <w:spacing w:after="120" w:line="240" w:lineRule="auto"/>
        <w:ind w:left="210"/>
      </w:pPr>
      <w:bookmarkStart w:id="35" w:name="_Toc190682315"/>
      <w:bookmarkStart w:id="36" w:name="_Toc190682532"/>
      <w:bookmarkEnd w:id="26"/>
      <w:bookmarkEnd w:id="27"/>
    </w:p>
    <w:p w:rsidR="0014790A" w:rsidRPr="006E4366" w:rsidRDefault="002329C3" w:rsidP="00731EA2">
      <w:pPr>
        <w:pStyle w:val="Heading3"/>
      </w:pPr>
      <w:r>
        <w:br w:type="page"/>
      </w:r>
      <w:bookmarkStart w:id="37" w:name="_Toc418003406"/>
      <w:r w:rsidR="005F3436" w:rsidRPr="006E4366">
        <w:lastRenderedPageBreak/>
        <w:t xml:space="preserve">Section 3: Explanatory </w:t>
      </w:r>
      <w:r w:rsidR="00F24C64" w:rsidRPr="006E4366">
        <w:t xml:space="preserve">Tables </w:t>
      </w:r>
      <w:r w:rsidR="005F3436" w:rsidRPr="006E4366">
        <w:t xml:space="preserve">and </w:t>
      </w:r>
      <w:r w:rsidR="00F24C64" w:rsidRPr="006E4366">
        <w:t>B</w:t>
      </w:r>
      <w:r w:rsidR="005F3436" w:rsidRPr="006E4366">
        <w:t xml:space="preserve">udgeted </w:t>
      </w:r>
      <w:r w:rsidR="00F24C64" w:rsidRPr="006E4366">
        <w:t>F</w:t>
      </w:r>
      <w:r w:rsidR="005F3436" w:rsidRPr="006E4366">
        <w:t xml:space="preserve">inancial </w:t>
      </w:r>
      <w:r w:rsidR="00F24C64" w:rsidRPr="006E4366">
        <w:t>S</w:t>
      </w:r>
      <w:r w:rsidR="005F3436" w:rsidRPr="006E4366">
        <w:t>tatements</w:t>
      </w:r>
      <w:bookmarkEnd w:id="35"/>
      <w:bookmarkEnd w:id="36"/>
      <w:bookmarkEnd w:id="37"/>
    </w:p>
    <w:p w:rsidR="0027614D" w:rsidRDefault="00CF5085" w:rsidP="0027614D">
      <w:r>
        <w:t>Section 3</w:t>
      </w:r>
      <w:r w:rsidR="0027614D">
        <w:t xml:space="preserve"> presents </w:t>
      </w:r>
      <w:r w:rsidR="009B1BB7">
        <w:t xml:space="preserve">explanatory tables and </w:t>
      </w:r>
      <w:r w:rsidR="0027614D">
        <w:t>budgeted financial statements which provide a comprehensive snapshot of</w:t>
      </w:r>
      <w:r w:rsidR="001B03CC">
        <w:t xml:space="preserve"> entity </w:t>
      </w:r>
      <w:r w:rsidR="0027614D">
        <w:t xml:space="preserve">finances for the </w:t>
      </w:r>
      <w:r w:rsidR="00475EAF">
        <w:t>201</w:t>
      </w:r>
      <w:r w:rsidR="004F4624">
        <w:t>5</w:t>
      </w:r>
      <w:r w:rsidR="00475EAF">
        <w:t>-1</w:t>
      </w:r>
      <w:r w:rsidR="004F4624">
        <w:t>6</w:t>
      </w:r>
      <w:r w:rsidR="00F3510E">
        <w:rPr>
          <w:color w:val="00B050"/>
        </w:rPr>
        <w:t xml:space="preserve"> </w:t>
      </w:r>
      <w:r w:rsidR="0027614D">
        <w:t xml:space="preserve">budget </w:t>
      </w:r>
      <w:proofErr w:type="gramStart"/>
      <w:r w:rsidR="0027614D">
        <w:t>year</w:t>
      </w:r>
      <w:proofErr w:type="gramEnd"/>
      <w:r w:rsidR="00F3510E">
        <w:t>.</w:t>
      </w:r>
      <w:r w:rsidR="0027614D">
        <w:t xml:space="preserve"> It explains how budget plans are incorporated into the financial statements and provides further details of </w:t>
      </w:r>
      <w:r w:rsidR="008A5F01">
        <w:t xml:space="preserve">the reconciliation between </w:t>
      </w:r>
      <w:r w:rsidR="00C11F2F">
        <w:t xml:space="preserve">appropriations and </w:t>
      </w:r>
      <w:r w:rsidR="00E121DD">
        <w:t>programme</w:t>
      </w:r>
      <w:r w:rsidR="00C11F2F">
        <w:t xml:space="preserve"> expenses</w:t>
      </w:r>
      <w:r w:rsidR="008A5F01">
        <w:t xml:space="preserve">, </w:t>
      </w:r>
      <w:r w:rsidR="0027614D">
        <w:t>movements in administered funds</w:t>
      </w:r>
      <w:r>
        <w:t xml:space="preserve">, special accounts and </w:t>
      </w:r>
      <w:r w:rsidR="0027614D">
        <w:t>government indigenous expenditure.</w:t>
      </w:r>
    </w:p>
    <w:p w:rsidR="0027614D" w:rsidRDefault="003932E3" w:rsidP="008D2DD0">
      <w:pPr>
        <w:pStyle w:val="Heading4"/>
      </w:pPr>
      <w:bookmarkStart w:id="38" w:name="_Toc190682316"/>
      <w:bookmarkStart w:id="39" w:name="_Toc190682533"/>
      <w:bookmarkStart w:id="40" w:name="_Toc416874476"/>
      <w:bookmarkStart w:id="41" w:name="_Toc418003407"/>
      <w:r>
        <w:t>3.1</w:t>
      </w:r>
      <w:r>
        <w:tab/>
        <w:t>Explanatory T</w:t>
      </w:r>
      <w:r w:rsidR="0027614D">
        <w:t>ables</w:t>
      </w:r>
      <w:bookmarkEnd w:id="38"/>
      <w:bookmarkEnd w:id="39"/>
      <w:bookmarkEnd w:id="40"/>
      <w:bookmarkEnd w:id="41"/>
    </w:p>
    <w:p w:rsidR="0027614D" w:rsidRPr="00731EA2" w:rsidRDefault="0027614D" w:rsidP="00731EA2">
      <w:pPr>
        <w:tabs>
          <w:tab w:val="left" w:pos="709"/>
        </w:tabs>
        <w:spacing w:before="240" w:line="240" w:lineRule="auto"/>
        <w:jc w:val="left"/>
        <w:rPr>
          <w:rFonts w:ascii="Arial Bold" w:hAnsi="Arial Bold" w:cs="Arial"/>
          <w:b/>
          <w:smallCaps/>
          <w:sz w:val="26"/>
          <w:szCs w:val="26"/>
        </w:rPr>
      </w:pPr>
      <w:bookmarkStart w:id="42" w:name="_Toc416874477"/>
      <w:r w:rsidRPr="00731EA2">
        <w:rPr>
          <w:rFonts w:ascii="Arial Bold" w:hAnsi="Arial Bold" w:cs="Arial"/>
          <w:b/>
          <w:smallCaps/>
          <w:sz w:val="26"/>
          <w:szCs w:val="26"/>
        </w:rPr>
        <w:t>3.1.</w:t>
      </w:r>
      <w:r w:rsidR="00812741" w:rsidRPr="00731EA2">
        <w:rPr>
          <w:rFonts w:ascii="Arial Bold" w:hAnsi="Arial Bold" w:cs="Arial"/>
          <w:b/>
          <w:smallCaps/>
          <w:sz w:val="26"/>
          <w:szCs w:val="26"/>
        </w:rPr>
        <w:t>1</w:t>
      </w:r>
      <w:r w:rsidRPr="00731EA2">
        <w:rPr>
          <w:rFonts w:ascii="Arial Bold" w:hAnsi="Arial Bold" w:cs="Arial"/>
          <w:b/>
          <w:smallCaps/>
          <w:sz w:val="26"/>
          <w:szCs w:val="26"/>
        </w:rPr>
        <w:tab/>
        <w:t xml:space="preserve">Movement of </w:t>
      </w:r>
      <w:r w:rsidR="00F24C64" w:rsidRPr="00731EA2">
        <w:rPr>
          <w:rFonts w:ascii="Arial Bold" w:hAnsi="Arial Bold" w:cs="Arial"/>
          <w:b/>
          <w:smallCaps/>
          <w:sz w:val="26"/>
          <w:szCs w:val="26"/>
        </w:rPr>
        <w:t>A</w:t>
      </w:r>
      <w:r w:rsidRPr="00731EA2">
        <w:rPr>
          <w:rFonts w:ascii="Arial Bold" w:hAnsi="Arial Bold" w:cs="Arial"/>
          <w:b/>
          <w:smallCaps/>
          <w:sz w:val="26"/>
          <w:szCs w:val="26"/>
        </w:rPr>
        <w:t xml:space="preserve">dministered </w:t>
      </w:r>
      <w:r w:rsidR="00F24C64" w:rsidRPr="00731EA2">
        <w:rPr>
          <w:rFonts w:ascii="Arial Bold" w:hAnsi="Arial Bold" w:cs="Arial"/>
          <w:b/>
          <w:smallCaps/>
          <w:sz w:val="26"/>
          <w:szCs w:val="26"/>
        </w:rPr>
        <w:t>F</w:t>
      </w:r>
      <w:r w:rsidRPr="00731EA2">
        <w:rPr>
          <w:rFonts w:ascii="Arial Bold" w:hAnsi="Arial Bold" w:cs="Arial"/>
          <w:b/>
          <w:smallCaps/>
          <w:sz w:val="26"/>
          <w:szCs w:val="26"/>
        </w:rPr>
        <w:t xml:space="preserve">unds </w:t>
      </w:r>
      <w:r w:rsidR="00F24C64" w:rsidRPr="00731EA2">
        <w:rPr>
          <w:rFonts w:ascii="Arial Bold" w:hAnsi="Arial Bold" w:cs="Arial"/>
          <w:b/>
          <w:smallCaps/>
          <w:sz w:val="26"/>
          <w:szCs w:val="26"/>
        </w:rPr>
        <w:t>B</w:t>
      </w:r>
      <w:r w:rsidRPr="00731EA2">
        <w:rPr>
          <w:rFonts w:ascii="Arial Bold" w:hAnsi="Arial Bold" w:cs="Arial"/>
          <w:b/>
          <w:smallCaps/>
          <w:sz w:val="26"/>
          <w:szCs w:val="26"/>
        </w:rPr>
        <w:t xml:space="preserve">etween </w:t>
      </w:r>
      <w:r w:rsidR="00F24C64" w:rsidRPr="00731EA2">
        <w:rPr>
          <w:rFonts w:ascii="Arial Bold" w:hAnsi="Arial Bold" w:cs="Arial"/>
          <w:b/>
          <w:smallCaps/>
          <w:sz w:val="26"/>
          <w:szCs w:val="26"/>
        </w:rPr>
        <w:t>Y</w:t>
      </w:r>
      <w:r w:rsidRPr="00731EA2">
        <w:rPr>
          <w:rFonts w:ascii="Arial Bold" w:hAnsi="Arial Bold" w:cs="Arial"/>
          <w:b/>
          <w:smallCaps/>
          <w:sz w:val="26"/>
          <w:szCs w:val="26"/>
        </w:rPr>
        <w:t>ears</w:t>
      </w:r>
      <w:bookmarkEnd w:id="42"/>
    </w:p>
    <w:p w:rsidR="00060890" w:rsidRPr="00E4238F" w:rsidRDefault="00E4238F" w:rsidP="00E4238F">
      <w:r>
        <w:t>Table 3.1.1 is not included as there is no movement of administered funds between years.</w:t>
      </w:r>
    </w:p>
    <w:p w:rsidR="0014790A" w:rsidRPr="00731EA2" w:rsidRDefault="00574E9E" w:rsidP="00731EA2">
      <w:pPr>
        <w:tabs>
          <w:tab w:val="left" w:pos="709"/>
        </w:tabs>
        <w:spacing w:before="240" w:line="240" w:lineRule="auto"/>
        <w:jc w:val="left"/>
        <w:rPr>
          <w:rFonts w:ascii="Arial Bold" w:hAnsi="Arial Bold" w:cs="Arial"/>
          <w:b/>
          <w:smallCaps/>
          <w:sz w:val="26"/>
          <w:szCs w:val="26"/>
        </w:rPr>
      </w:pPr>
      <w:bookmarkStart w:id="43" w:name="_Toc416874478"/>
      <w:r w:rsidRPr="00731EA2">
        <w:rPr>
          <w:rFonts w:ascii="Arial Bold" w:hAnsi="Arial Bold" w:cs="Arial"/>
          <w:b/>
          <w:smallCaps/>
          <w:sz w:val="26"/>
          <w:szCs w:val="26"/>
        </w:rPr>
        <w:t>3.1.</w:t>
      </w:r>
      <w:r w:rsidR="00812741" w:rsidRPr="00731EA2">
        <w:rPr>
          <w:rFonts w:ascii="Arial Bold" w:hAnsi="Arial Bold" w:cs="Arial"/>
          <w:b/>
          <w:smallCaps/>
          <w:sz w:val="26"/>
          <w:szCs w:val="26"/>
        </w:rPr>
        <w:t>2</w:t>
      </w:r>
      <w:r w:rsidRPr="00731EA2">
        <w:rPr>
          <w:rFonts w:ascii="Arial Bold" w:hAnsi="Arial Bold" w:cs="Arial"/>
          <w:b/>
          <w:smallCaps/>
          <w:sz w:val="26"/>
          <w:szCs w:val="26"/>
        </w:rPr>
        <w:tab/>
        <w:t>Special Accounts</w:t>
      </w:r>
      <w:bookmarkEnd w:id="43"/>
    </w:p>
    <w:p w:rsidR="00574E9E" w:rsidRDefault="00574E9E" w:rsidP="00574E9E">
      <w:r>
        <w:t xml:space="preserve">Special </w:t>
      </w:r>
      <w:r w:rsidR="00521860">
        <w:t>A</w:t>
      </w:r>
      <w:r>
        <w:t xml:space="preserve">ccounts provide a means to set aside and record amounts used for specified purposes. Special Accounts can be created by a Finance Minister’s Determination under </w:t>
      </w:r>
      <w:r w:rsidR="00474918">
        <w:t>section 78 of the</w:t>
      </w:r>
      <w:r>
        <w:t xml:space="preserve"> </w:t>
      </w:r>
      <w:r w:rsidR="00474918">
        <w:t>PGPA</w:t>
      </w:r>
      <w:r w:rsidR="00495C39" w:rsidRPr="00DA28A8">
        <w:t xml:space="preserve"> Act</w:t>
      </w:r>
      <w:r w:rsidR="00CF5085">
        <w:rPr>
          <w:i/>
        </w:rPr>
        <w:t xml:space="preserve"> </w:t>
      </w:r>
      <w:r w:rsidR="00CF5085">
        <w:t>or under separate enabling legislation</w:t>
      </w:r>
      <w:r w:rsidR="00474918">
        <w:t xml:space="preserve"> (section 80 of the PGPA Act refers)</w:t>
      </w:r>
      <w:r>
        <w:t>. Table 3.1.</w:t>
      </w:r>
      <w:r w:rsidR="009D3665">
        <w:t>2</w:t>
      </w:r>
      <w:r>
        <w:t xml:space="preserve"> shows the expected additions (receipts) and reductions (paym</w:t>
      </w:r>
      <w:r w:rsidR="00E4238F">
        <w:t>ents) for each account used by the Department of Finance.</w:t>
      </w:r>
    </w:p>
    <w:p w:rsidR="002A7ECF" w:rsidRDefault="002A7ECF">
      <w:pPr>
        <w:spacing w:after="0" w:line="240" w:lineRule="auto"/>
        <w:jc w:val="left"/>
        <w:rPr>
          <w:rFonts w:ascii="Arial" w:hAnsi="Arial"/>
          <w:b/>
        </w:rPr>
      </w:pPr>
      <w:r>
        <w:br w:type="page"/>
      </w:r>
    </w:p>
    <w:p w:rsidR="00574E9E" w:rsidRPr="00793F50" w:rsidRDefault="00574E9E" w:rsidP="00E453F8">
      <w:pPr>
        <w:pStyle w:val="Heading5"/>
      </w:pPr>
      <w:r w:rsidRPr="00793F50">
        <w:lastRenderedPageBreak/>
        <w:t>Table 3.1.</w:t>
      </w:r>
      <w:r w:rsidR="00812741" w:rsidRPr="00793F50">
        <w:t>2</w:t>
      </w:r>
      <w:r w:rsidRPr="00793F50">
        <w:t xml:space="preserve">: Estimates of Special Account </w:t>
      </w:r>
      <w:r w:rsidR="001F3CF9" w:rsidRPr="00793F50">
        <w:t>F</w:t>
      </w:r>
      <w:r w:rsidRPr="00793F50">
        <w:t xml:space="preserve">lows and </w:t>
      </w:r>
      <w:r w:rsidR="001F3CF9" w:rsidRPr="00793F50">
        <w:t>B</w:t>
      </w:r>
      <w:r w:rsidRPr="00793F50">
        <w:t>alances</w:t>
      </w:r>
    </w:p>
    <w:tbl>
      <w:tblPr>
        <w:tblW w:w="8160" w:type="dxa"/>
        <w:tblInd w:w="93" w:type="dxa"/>
        <w:tblLook w:val="04A0"/>
      </w:tblPr>
      <w:tblGrid>
        <w:gridCol w:w="2420"/>
        <w:gridCol w:w="880"/>
        <w:gridCol w:w="880"/>
        <w:gridCol w:w="1017"/>
        <w:gridCol w:w="1124"/>
        <w:gridCol w:w="1180"/>
        <w:gridCol w:w="840"/>
      </w:tblGrid>
      <w:tr w:rsidR="00C5570B" w:rsidRPr="00C5570B" w:rsidTr="00C5570B">
        <w:trPr>
          <w:trHeight w:val="225"/>
        </w:trPr>
        <w:tc>
          <w:tcPr>
            <w:tcW w:w="24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Opening</w:t>
            </w:r>
          </w:p>
        </w:tc>
        <w:tc>
          <w:tcPr>
            <w:tcW w:w="9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4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18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84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Closing</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balance</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Receipts</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Payments</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Adjustments</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balance</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2015-16</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2015-16</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2015-16</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2015-16</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2015-16</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2014-15</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2014-15</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2014-15</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2014-15</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2014-15</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Outcome</w:t>
            </w:r>
          </w:p>
        </w:tc>
        <w:tc>
          <w:tcPr>
            <w:tcW w:w="88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92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04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18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4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roofErr w:type="spellStart"/>
            <w:r w:rsidRPr="00C5570B">
              <w:rPr>
                <w:rFonts w:ascii="Arial" w:hAnsi="Arial" w:cs="Arial"/>
                <w:sz w:val="16"/>
                <w:szCs w:val="16"/>
              </w:rPr>
              <w:t>DisabilityCare</w:t>
            </w:r>
            <w:proofErr w:type="spellEnd"/>
            <w:r w:rsidRPr="00C5570B">
              <w:rPr>
                <w:rFonts w:ascii="Arial" w:hAnsi="Arial" w:cs="Arial"/>
                <w:sz w:val="16"/>
                <w:szCs w:val="16"/>
              </w:rPr>
              <w:t xml:space="preserve"> Australia</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4,150,214</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(4,150,214)</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Fund Special Account </w:t>
            </w:r>
            <w:r w:rsidRPr="00C5570B">
              <w:rPr>
                <w:rFonts w:ascii="Arial" w:hAnsi="Arial" w:cs="Arial"/>
                <w:sz w:val="16"/>
                <w:szCs w:val="16"/>
                <w:vertAlign w:val="superscript"/>
              </w:rPr>
              <w:t>1</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2,898,225</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(2,898,225)</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Asset Recycling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6,848,464</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(6,848,464)</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Medical Research Future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3,503,528</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(3,503,528)</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Building Australia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3,719,408</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(3,719,408)</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3</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289,111</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(289,111)</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Education Investment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3,794,554</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(3,794,554)</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3</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321,449</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(321,449)</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Health and Hospitals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1,515,742</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(1,515,742)</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3</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774,214</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(774,214)</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Services for Other Entities and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330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Trust Monies Special Account</w:t>
            </w:r>
            <w:r w:rsidRPr="00C5570B">
              <w:rPr>
                <w:rFonts w:ascii="Arial" w:hAnsi="Arial" w:cs="Arial"/>
                <w:sz w:val="16"/>
                <w:szCs w:val="16"/>
                <w:vertAlign w:val="superscript"/>
              </w:rPr>
              <w:t xml:space="preserve"> 4</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Business Services Special</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6,157</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6,157</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Account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687</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5,470</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6,157</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roofErr w:type="spellStart"/>
            <w:r w:rsidRPr="00C5570B">
              <w:rPr>
                <w:rFonts w:ascii="Arial" w:hAnsi="Arial" w:cs="Arial"/>
                <w:sz w:val="16"/>
                <w:szCs w:val="16"/>
              </w:rPr>
              <w:t>Comcover</w:t>
            </w:r>
            <w:proofErr w:type="spellEnd"/>
            <w:r w:rsidRPr="00C5570B">
              <w:rPr>
                <w:rFonts w:ascii="Arial" w:hAnsi="Arial" w:cs="Arial"/>
                <w:sz w:val="16"/>
                <w:szCs w:val="16"/>
              </w:rPr>
              <w:t xml:space="preserve"> Special Account</w:t>
            </w:r>
            <w:r w:rsidRPr="00C5570B">
              <w:rPr>
                <w:rFonts w:ascii="Arial" w:hAnsi="Arial" w:cs="Arial"/>
                <w:sz w:val="16"/>
                <w:szCs w:val="16"/>
                <w:vertAlign w:val="superscript"/>
              </w:rPr>
              <w:t xml:space="preserve"> 5</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357,326</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136,101</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(143,730)</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349,697</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360,673</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110,468</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(113,815)</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357,326</w:t>
            </w:r>
          </w:p>
        </w:tc>
      </w:tr>
      <w:tr w:rsidR="00C5570B" w:rsidRPr="00C5570B" w:rsidTr="00C5570B">
        <w:trPr>
          <w:trHeight w:val="6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Coordinated Procurement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44,184</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117,785</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(120,852)</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41,117</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Contracting Special Account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48,378</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123,660</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(127,854)</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44,184</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Property Special Account</w:t>
            </w:r>
            <w:r w:rsidRPr="00C5570B">
              <w:rPr>
                <w:rFonts w:ascii="Arial" w:hAnsi="Arial" w:cs="Arial"/>
                <w:sz w:val="16"/>
                <w:szCs w:val="16"/>
                <w:vertAlign w:val="superscript"/>
              </w:rPr>
              <w:t xml:space="preserve"> 6</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109,570</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109,570</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280,386</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131,121</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(66,387)</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(345,120)</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Property Special Account 2014</w:t>
            </w:r>
            <w:r w:rsidRPr="00C5570B">
              <w:rPr>
                <w:rFonts w:ascii="Arial" w:hAnsi="Arial" w:cs="Arial"/>
                <w:sz w:val="16"/>
                <w:szCs w:val="16"/>
                <w:vertAlign w:val="superscript"/>
              </w:rPr>
              <w:t xml:space="preserve"> 6</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231,481</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157,775</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(275,511)</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113,745</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103,982</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(217,621)</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345,120</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231,481</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special accounts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color w:val="000000"/>
                <w:sz w:val="16"/>
                <w:szCs w:val="16"/>
              </w:rPr>
            </w:pPr>
            <w:r w:rsidRPr="00C5570B">
              <w:rPr>
                <w:rFonts w:ascii="Arial" w:hAnsi="Arial" w:cs="Arial"/>
                <w:b/>
                <w:bCs/>
                <w:color w:val="000000"/>
                <w:sz w:val="16"/>
                <w:szCs w:val="16"/>
              </w:rPr>
              <w:t>2015-16 Budget estimate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8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639,148</w:t>
            </w:r>
          </w:p>
        </w:tc>
        <w:tc>
          <w:tcPr>
            <w:tcW w:w="9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24,053,141</w:t>
            </w:r>
          </w:p>
        </w:tc>
        <w:tc>
          <w:tcPr>
            <w:tcW w:w="104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(24,072,003)</w:t>
            </w:r>
          </w:p>
        </w:tc>
        <w:tc>
          <w:tcPr>
            <w:tcW w:w="118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620,286</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sz w:val="16"/>
                <w:szCs w:val="16"/>
              </w:rPr>
            </w:pPr>
            <w:r w:rsidRPr="00C5570B">
              <w:rPr>
                <w:rFonts w:ascii="Arial" w:hAnsi="Arial" w:cs="Arial"/>
                <w:i/>
                <w:iCs/>
                <w:sz w:val="16"/>
                <w:szCs w:val="16"/>
              </w:rPr>
              <w:t>Total special accounts</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r w:rsidRPr="00C5570B">
              <w:rPr>
                <w:rFonts w:ascii="Arial" w:hAnsi="Arial" w:cs="Arial"/>
                <w:i/>
                <w:iCs/>
                <w:color w:val="000000"/>
                <w:sz w:val="16"/>
                <w:szCs w:val="16"/>
              </w:rPr>
              <w:t> </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r w:rsidRPr="00C5570B">
              <w:rPr>
                <w:rFonts w:ascii="Arial" w:hAnsi="Arial" w:cs="Arial"/>
                <w:i/>
                <w:iCs/>
                <w:color w:val="000000"/>
                <w:sz w:val="16"/>
                <w:szCs w:val="16"/>
              </w:rPr>
              <w:t> </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r w:rsidRPr="00C5570B">
              <w:rPr>
                <w:rFonts w:ascii="Arial" w:hAnsi="Arial" w:cs="Arial"/>
                <w:i/>
                <w:iCs/>
                <w:color w:val="000000"/>
                <w:sz w:val="16"/>
                <w:szCs w:val="16"/>
              </w:rPr>
              <w:t> </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r w:rsidRPr="00C5570B">
              <w:rPr>
                <w:rFonts w:ascii="Arial" w:hAnsi="Arial" w:cs="Arial"/>
                <w:i/>
                <w:iCs/>
                <w:color w:val="000000"/>
                <w:sz w:val="16"/>
                <w:szCs w:val="16"/>
              </w:rPr>
              <w:t> </w:t>
            </w:r>
          </w:p>
        </w:tc>
      </w:tr>
      <w:tr w:rsidR="00C5570B" w:rsidRPr="00C5570B" w:rsidTr="00C5570B">
        <w:trPr>
          <w:trHeight w:val="225"/>
        </w:trPr>
        <w:tc>
          <w:tcPr>
            <w:tcW w:w="24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i/>
                <w:iCs/>
                <w:color w:val="000000"/>
                <w:sz w:val="16"/>
                <w:szCs w:val="16"/>
              </w:rPr>
            </w:pPr>
            <w:r w:rsidRPr="00C5570B">
              <w:rPr>
                <w:rFonts w:ascii="Arial" w:hAnsi="Arial" w:cs="Arial"/>
                <w:i/>
                <w:iCs/>
                <w:color w:val="000000"/>
                <w:sz w:val="16"/>
                <w:szCs w:val="16"/>
              </w:rPr>
              <w:t>2014-15 estimated actual</w:t>
            </w:r>
          </w:p>
        </w:tc>
        <w:tc>
          <w:tcPr>
            <w:tcW w:w="88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r w:rsidRPr="00C5570B">
              <w:rPr>
                <w:rFonts w:ascii="Arial" w:hAnsi="Arial" w:cs="Arial"/>
                <w:i/>
                <w:iCs/>
                <w:color w:val="000000"/>
                <w:sz w:val="16"/>
                <w:szCs w:val="16"/>
              </w:rPr>
              <w:t> </w:t>
            </w:r>
          </w:p>
        </w:tc>
        <w:tc>
          <w:tcPr>
            <w:tcW w:w="88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690,124</w:t>
            </w:r>
          </w:p>
        </w:tc>
        <w:tc>
          <w:tcPr>
            <w:tcW w:w="9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4,757,700</w:t>
            </w:r>
          </w:p>
        </w:tc>
        <w:tc>
          <w:tcPr>
            <w:tcW w:w="104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(4,808,676)</w:t>
            </w:r>
          </w:p>
        </w:tc>
        <w:tc>
          <w:tcPr>
            <w:tcW w:w="118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639,148</w:t>
            </w:r>
          </w:p>
        </w:tc>
      </w:tr>
    </w:tbl>
    <w:p w:rsidR="002A7ECF" w:rsidRPr="004637B1" w:rsidRDefault="002A7ECF" w:rsidP="002A7ECF">
      <w:pPr>
        <w:spacing w:after="0" w:line="240" w:lineRule="auto"/>
        <w:rPr>
          <w:sz w:val="6"/>
        </w:rPr>
      </w:pPr>
    </w:p>
    <w:p w:rsidR="004637B1" w:rsidRPr="00BF6570" w:rsidRDefault="004637B1"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sidRPr="00BF6570">
        <w:rPr>
          <w:rFonts w:ascii="Arial" w:eastAsia="Times New Roman" w:hAnsi="Arial" w:cs="Arial"/>
          <w:sz w:val="15"/>
          <w:szCs w:val="15"/>
          <w:lang w:val="en-AU" w:eastAsia="en-AU"/>
        </w:rPr>
        <w:t xml:space="preserve">The </w:t>
      </w:r>
      <w:proofErr w:type="spellStart"/>
      <w:r w:rsidRPr="00BF6570">
        <w:rPr>
          <w:rFonts w:ascii="Arial" w:eastAsia="Times New Roman" w:hAnsi="Arial" w:cs="Arial"/>
          <w:sz w:val="15"/>
          <w:szCs w:val="15"/>
          <w:lang w:val="en-AU" w:eastAsia="en-AU"/>
        </w:rPr>
        <w:t>DisabilityCare</w:t>
      </w:r>
      <w:proofErr w:type="spellEnd"/>
      <w:r w:rsidRPr="00BF6570">
        <w:rPr>
          <w:rFonts w:ascii="Arial" w:eastAsia="Times New Roman" w:hAnsi="Arial" w:cs="Arial"/>
          <w:sz w:val="15"/>
          <w:szCs w:val="15"/>
          <w:lang w:val="en-AU" w:eastAsia="en-AU"/>
        </w:rPr>
        <w:t xml:space="preserve"> Australia Fund has been established for holding and investing the additional Medicare </w:t>
      </w:r>
      <w:r w:rsidR="008B4A0F">
        <w:rPr>
          <w:rFonts w:ascii="Arial" w:eastAsia="Times New Roman" w:hAnsi="Arial" w:cs="Arial"/>
          <w:sz w:val="15"/>
          <w:szCs w:val="15"/>
          <w:lang w:val="en-AU" w:eastAsia="en-AU"/>
        </w:rPr>
        <w:t>L</w:t>
      </w:r>
      <w:r w:rsidRPr="00BF6570">
        <w:rPr>
          <w:rFonts w:ascii="Arial" w:eastAsia="Times New Roman" w:hAnsi="Arial" w:cs="Arial"/>
          <w:sz w:val="15"/>
          <w:szCs w:val="15"/>
          <w:lang w:val="en-AU" w:eastAsia="en-AU"/>
        </w:rPr>
        <w:t>evy proceeds for the purpose of making payments to reimburse the Commonwealth and the States and Territories for costs incurred in relation to the National Disability Insurance Scheme</w:t>
      </w:r>
      <w:r w:rsidR="00B240AA">
        <w:rPr>
          <w:rFonts w:ascii="Arial" w:eastAsia="Times New Roman" w:hAnsi="Arial" w:cs="Arial"/>
          <w:sz w:val="15"/>
          <w:szCs w:val="15"/>
          <w:lang w:val="en-AU" w:eastAsia="en-AU"/>
        </w:rPr>
        <w:t xml:space="preserve"> (NDIS)</w:t>
      </w:r>
      <w:r w:rsidRPr="00BF6570">
        <w:rPr>
          <w:rFonts w:ascii="Arial" w:eastAsia="Times New Roman" w:hAnsi="Arial" w:cs="Arial"/>
          <w:sz w:val="15"/>
          <w:szCs w:val="15"/>
          <w:lang w:val="en-AU" w:eastAsia="en-AU"/>
        </w:rPr>
        <w:t xml:space="preserve">. More information on the </w:t>
      </w:r>
      <w:proofErr w:type="spellStart"/>
      <w:r w:rsidRPr="00BF6570">
        <w:rPr>
          <w:rFonts w:ascii="Arial" w:eastAsia="Times New Roman" w:hAnsi="Arial" w:cs="Arial"/>
          <w:sz w:val="15"/>
          <w:szCs w:val="15"/>
          <w:lang w:val="en-AU" w:eastAsia="en-AU"/>
        </w:rPr>
        <w:t>DisabilityCare</w:t>
      </w:r>
      <w:proofErr w:type="spellEnd"/>
      <w:r w:rsidRPr="00BF6570">
        <w:rPr>
          <w:rFonts w:ascii="Arial" w:eastAsia="Times New Roman" w:hAnsi="Arial" w:cs="Arial"/>
          <w:sz w:val="15"/>
          <w:szCs w:val="15"/>
          <w:lang w:val="en-AU" w:eastAsia="en-AU"/>
        </w:rPr>
        <w:t xml:space="preserve"> Australia Fund can be found in Table 3.1.</w:t>
      </w:r>
      <w:r w:rsidR="00C273A1">
        <w:rPr>
          <w:rFonts w:ascii="Arial" w:eastAsia="Times New Roman" w:hAnsi="Arial" w:cs="Arial"/>
          <w:sz w:val="15"/>
          <w:szCs w:val="15"/>
          <w:lang w:val="en-AU" w:eastAsia="en-AU"/>
        </w:rPr>
        <w:t>2</w:t>
      </w:r>
      <w:r w:rsidRPr="00BF6570">
        <w:rPr>
          <w:rFonts w:ascii="Arial" w:eastAsia="Times New Roman" w:hAnsi="Arial" w:cs="Arial"/>
          <w:sz w:val="15"/>
          <w:szCs w:val="15"/>
          <w:lang w:val="en-AU" w:eastAsia="en-AU"/>
        </w:rPr>
        <w:t>.1.</w:t>
      </w:r>
    </w:p>
    <w:p w:rsidR="004637B1" w:rsidRPr="00C273A1" w:rsidRDefault="004637B1"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sidRPr="00C273A1">
        <w:rPr>
          <w:rFonts w:ascii="Arial" w:eastAsia="Times New Roman" w:hAnsi="Arial" w:cs="Arial"/>
          <w:sz w:val="15"/>
          <w:szCs w:val="15"/>
          <w:lang w:val="en-AU" w:eastAsia="en-AU"/>
        </w:rPr>
        <w:t xml:space="preserve">The Asset Recycling Fund and Medical Research Future Fund </w:t>
      </w:r>
      <w:r w:rsidR="000212E6">
        <w:rPr>
          <w:rFonts w:ascii="Arial" w:eastAsia="Times New Roman" w:hAnsi="Arial" w:cs="Arial"/>
          <w:sz w:val="15"/>
          <w:szCs w:val="15"/>
          <w:lang w:val="en-AU" w:eastAsia="en-AU"/>
        </w:rPr>
        <w:t xml:space="preserve">Special Accounts </w:t>
      </w:r>
      <w:r w:rsidRPr="00C273A1">
        <w:rPr>
          <w:rFonts w:ascii="Arial" w:eastAsia="Times New Roman" w:hAnsi="Arial" w:cs="Arial"/>
          <w:sz w:val="15"/>
          <w:szCs w:val="15"/>
          <w:lang w:val="en-AU" w:eastAsia="en-AU"/>
        </w:rPr>
        <w:t>are subject to the passage of legislation</w:t>
      </w:r>
      <w:r w:rsidR="00536008">
        <w:rPr>
          <w:rFonts w:ascii="Arial" w:eastAsia="Times New Roman" w:hAnsi="Arial" w:cs="Arial"/>
          <w:sz w:val="15"/>
          <w:szCs w:val="15"/>
          <w:lang w:val="en-AU" w:eastAsia="en-AU"/>
        </w:rPr>
        <w:t>, and are therefore not included in Budget Paper 4</w:t>
      </w:r>
      <w:r w:rsidRPr="00C273A1">
        <w:rPr>
          <w:rFonts w:ascii="Arial" w:eastAsia="Times New Roman" w:hAnsi="Arial" w:cs="Arial"/>
          <w:sz w:val="15"/>
          <w:szCs w:val="15"/>
          <w:lang w:val="en-AU" w:eastAsia="en-AU"/>
        </w:rPr>
        <w:t>. More information on:</w:t>
      </w:r>
    </w:p>
    <w:p w:rsidR="004637B1" w:rsidRPr="00C273A1" w:rsidRDefault="004637B1" w:rsidP="00BF6570">
      <w:pPr>
        <w:pStyle w:val="ListParagraph"/>
        <w:numPr>
          <w:ilvl w:val="0"/>
          <w:numId w:val="15"/>
        </w:numPr>
        <w:spacing w:after="20" w:line="240" w:lineRule="auto"/>
        <w:ind w:left="1134" w:hanging="425"/>
        <w:contextualSpacing w:val="0"/>
        <w:outlineLvl w:val="6"/>
        <w:rPr>
          <w:rFonts w:ascii="Arial" w:hAnsi="Arial" w:cs="Arial"/>
          <w:sz w:val="15"/>
          <w:szCs w:val="15"/>
        </w:rPr>
      </w:pPr>
      <w:r w:rsidRPr="00C273A1">
        <w:rPr>
          <w:rFonts w:ascii="Arial" w:hAnsi="Arial" w:cs="Arial"/>
          <w:sz w:val="15"/>
          <w:szCs w:val="15"/>
        </w:rPr>
        <w:t>The Asset Recycling Fund can be found in Table 3.1.</w:t>
      </w:r>
      <w:r w:rsidR="00C273A1">
        <w:rPr>
          <w:rFonts w:ascii="Arial" w:hAnsi="Arial" w:cs="Arial"/>
          <w:sz w:val="15"/>
          <w:szCs w:val="15"/>
        </w:rPr>
        <w:t>2</w:t>
      </w:r>
      <w:r w:rsidRPr="00C273A1">
        <w:rPr>
          <w:rFonts w:ascii="Arial" w:hAnsi="Arial" w:cs="Arial"/>
          <w:sz w:val="15"/>
          <w:szCs w:val="15"/>
        </w:rPr>
        <w:t>.2; and</w:t>
      </w:r>
    </w:p>
    <w:p w:rsidR="004637B1" w:rsidRPr="00A37DF9" w:rsidRDefault="004637B1" w:rsidP="00BF6570">
      <w:pPr>
        <w:pStyle w:val="ListParagraph"/>
        <w:numPr>
          <w:ilvl w:val="0"/>
          <w:numId w:val="15"/>
        </w:numPr>
        <w:spacing w:after="20" w:line="240" w:lineRule="auto"/>
        <w:ind w:left="1134" w:hanging="425"/>
        <w:contextualSpacing w:val="0"/>
        <w:outlineLvl w:val="6"/>
        <w:rPr>
          <w:rFonts w:ascii="Arial" w:hAnsi="Arial" w:cs="Arial"/>
          <w:sz w:val="15"/>
          <w:szCs w:val="15"/>
        </w:rPr>
      </w:pPr>
      <w:r w:rsidRPr="00A37DF9">
        <w:rPr>
          <w:rFonts w:ascii="Arial" w:hAnsi="Arial" w:cs="Arial"/>
          <w:sz w:val="15"/>
          <w:szCs w:val="15"/>
        </w:rPr>
        <w:t xml:space="preserve">The Medical Research </w:t>
      </w:r>
      <w:r w:rsidR="002039FE">
        <w:rPr>
          <w:rFonts w:ascii="Arial" w:hAnsi="Arial" w:cs="Arial"/>
          <w:sz w:val="15"/>
          <w:szCs w:val="15"/>
        </w:rPr>
        <w:t xml:space="preserve">Future </w:t>
      </w:r>
      <w:r w:rsidRPr="00A37DF9">
        <w:rPr>
          <w:rFonts w:ascii="Arial" w:hAnsi="Arial" w:cs="Arial"/>
          <w:sz w:val="15"/>
          <w:szCs w:val="15"/>
        </w:rPr>
        <w:t>Fund can be found in Table 3.1.</w:t>
      </w:r>
      <w:r w:rsidR="00C273A1">
        <w:rPr>
          <w:rFonts w:ascii="Arial" w:hAnsi="Arial" w:cs="Arial"/>
          <w:sz w:val="15"/>
          <w:szCs w:val="15"/>
        </w:rPr>
        <w:t>2</w:t>
      </w:r>
      <w:r w:rsidRPr="00A37DF9">
        <w:rPr>
          <w:rFonts w:ascii="Arial" w:hAnsi="Arial" w:cs="Arial"/>
          <w:sz w:val="15"/>
          <w:szCs w:val="15"/>
        </w:rPr>
        <w:t>.3.</w:t>
      </w:r>
    </w:p>
    <w:p w:rsidR="004637B1" w:rsidRPr="00BF6570" w:rsidRDefault="000212E6"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These</w:t>
      </w:r>
      <w:r w:rsidR="004637B1" w:rsidRPr="00BF6570">
        <w:rPr>
          <w:rFonts w:ascii="Arial" w:eastAsia="Times New Roman" w:hAnsi="Arial" w:cs="Arial"/>
          <w:sz w:val="15"/>
          <w:szCs w:val="15"/>
          <w:lang w:val="en-AU" w:eastAsia="en-AU"/>
        </w:rPr>
        <w:t xml:space="preserve"> Special Accounts form part of the Nation</w:t>
      </w:r>
      <w:r w:rsidR="008B4A0F">
        <w:rPr>
          <w:rFonts w:ascii="Arial" w:eastAsia="Times New Roman" w:hAnsi="Arial" w:cs="Arial"/>
          <w:sz w:val="15"/>
          <w:szCs w:val="15"/>
          <w:lang w:val="en-AU" w:eastAsia="en-AU"/>
        </w:rPr>
        <w:t>-b</w:t>
      </w:r>
      <w:r w:rsidR="004637B1" w:rsidRPr="00BF6570">
        <w:rPr>
          <w:rFonts w:ascii="Arial" w:eastAsia="Times New Roman" w:hAnsi="Arial" w:cs="Arial"/>
          <w:sz w:val="15"/>
          <w:szCs w:val="15"/>
          <w:lang w:val="en-AU" w:eastAsia="en-AU"/>
        </w:rPr>
        <w:t>uilding Funds. More information on:</w:t>
      </w:r>
    </w:p>
    <w:p w:rsidR="004637B1" w:rsidRPr="00A37DF9" w:rsidRDefault="004637B1" w:rsidP="00BF6570">
      <w:pPr>
        <w:pStyle w:val="ListParagraph"/>
        <w:numPr>
          <w:ilvl w:val="0"/>
          <w:numId w:val="14"/>
        </w:numPr>
        <w:spacing w:after="20" w:line="240" w:lineRule="auto"/>
        <w:ind w:left="1134" w:hanging="425"/>
        <w:contextualSpacing w:val="0"/>
        <w:outlineLvl w:val="6"/>
        <w:rPr>
          <w:rFonts w:ascii="Arial" w:hAnsi="Arial" w:cs="Arial"/>
          <w:sz w:val="15"/>
          <w:szCs w:val="15"/>
        </w:rPr>
      </w:pPr>
      <w:r w:rsidRPr="00A37DF9">
        <w:rPr>
          <w:rFonts w:ascii="Arial" w:hAnsi="Arial" w:cs="Arial"/>
          <w:sz w:val="15"/>
          <w:szCs w:val="15"/>
        </w:rPr>
        <w:t>The Building Australia Fund can be found in Table 3.1.</w:t>
      </w:r>
      <w:r w:rsidR="00C273A1">
        <w:rPr>
          <w:rFonts w:ascii="Arial" w:hAnsi="Arial" w:cs="Arial"/>
          <w:sz w:val="15"/>
          <w:szCs w:val="15"/>
        </w:rPr>
        <w:t>2</w:t>
      </w:r>
      <w:r w:rsidRPr="00A37DF9">
        <w:rPr>
          <w:rFonts w:ascii="Arial" w:hAnsi="Arial" w:cs="Arial"/>
          <w:sz w:val="15"/>
          <w:szCs w:val="15"/>
        </w:rPr>
        <w:t xml:space="preserve">.4; </w:t>
      </w:r>
    </w:p>
    <w:p w:rsidR="004637B1" w:rsidRPr="00A37DF9" w:rsidRDefault="004637B1" w:rsidP="00BF6570">
      <w:pPr>
        <w:pStyle w:val="ListParagraph"/>
        <w:numPr>
          <w:ilvl w:val="0"/>
          <w:numId w:val="14"/>
        </w:numPr>
        <w:spacing w:after="20" w:line="240" w:lineRule="auto"/>
        <w:ind w:left="1134" w:hanging="425"/>
        <w:contextualSpacing w:val="0"/>
        <w:outlineLvl w:val="6"/>
        <w:rPr>
          <w:rFonts w:ascii="Arial" w:hAnsi="Arial" w:cs="Arial"/>
          <w:sz w:val="15"/>
          <w:szCs w:val="15"/>
        </w:rPr>
      </w:pPr>
      <w:r w:rsidRPr="00A37DF9">
        <w:rPr>
          <w:rFonts w:ascii="Arial" w:hAnsi="Arial" w:cs="Arial"/>
          <w:sz w:val="15"/>
          <w:szCs w:val="15"/>
        </w:rPr>
        <w:t>The Education Investment Fund can be found in Table 3.1.</w:t>
      </w:r>
      <w:r w:rsidR="00C273A1">
        <w:rPr>
          <w:rFonts w:ascii="Arial" w:hAnsi="Arial" w:cs="Arial"/>
          <w:sz w:val="15"/>
          <w:szCs w:val="15"/>
        </w:rPr>
        <w:t>2</w:t>
      </w:r>
      <w:r w:rsidRPr="00A37DF9">
        <w:rPr>
          <w:rFonts w:ascii="Arial" w:hAnsi="Arial" w:cs="Arial"/>
          <w:sz w:val="15"/>
          <w:szCs w:val="15"/>
        </w:rPr>
        <w:t xml:space="preserve">.5; and </w:t>
      </w:r>
    </w:p>
    <w:p w:rsidR="004637B1" w:rsidRPr="00A37DF9" w:rsidRDefault="004637B1" w:rsidP="00BF6570">
      <w:pPr>
        <w:pStyle w:val="ListParagraph"/>
        <w:numPr>
          <w:ilvl w:val="0"/>
          <w:numId w:val="14"/>
        </w:numPr>
        <w:spacing w:after="20" w:line="240" w:lineRule="auto"/>
        <w:ind w:left="1134" w:hanging="425"/>
        <w:contextualSpacing w:val="0"/>
        <w:outlineLvl w:val="6"/>
        <w:rPr>
          <w:rFonts w:ascii="Arial" w:hAnsi="Arial" w:cs="Arial"/>
          <w:sz w:val="15"/>
          <w:szCs w:val="15"/>
        </w:rPr>
      </w:pPr>
      <w:r w:rsidRPr="00A37DF9">
        <w:rPr>
          <w:rFonts w:ascii="Arial" w:hAnsi="Arial" w:cs="Arial"/>
          <w:sz w:val="15"/>
          <w:szCs w:val="15"/>
        </w:rPr>
        <w:t>The Health and Hospitals Fund can be found in Table 3.1.</w:t>
      </w:r>
      <w:r w:rsidR="00C273A1">
        <w:rPr>
          <w:rFonts w:ascii="Arial" w:hAnsi="Arial" w:cs="Arial"/>
          <w:sz w:val="15"/>
          <w:szCs w:val="15"/>
        </w:rPr>
        <w:t>2</w:t>
      </w:r>
      <w:r w:rsidRPr="00A37DF9">
        <w:rPr>
          <w:rFonts w:ascii="Arial" w:hAnsi="Arial" w:cs="Arial"/>
          <w:sz w:val="15"/>
          <w:szCs w:val="15"/>
        </w:rPr>
        <w:t>.6.</w:t>
      </w:r>
    </w:p>
    <w:p w:rsidR="004637B1" w:rsidRPr="00BF6570" w:rsidRDefault="004637B1"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sidRPr="00BF6570">
        <w:rPr>
          <w:rFonts w:ascii="Arial" w:eastAsia="Times New Roman" w:hAnsi="Arial" w:cs="Arial"/>
          <w:sz w:val="15"/>
          <w:szCs w:val="15"/>
          <w:lang w:val="en-AU" w:eastAsia="en-AU"/>
        </w:rPr>
        <w:t>Represents monies held in trust for other persons and is therefore not included in Finance’s estimates. Budget and forward estimates are not included as future transactions cannot be anticipated</w:t>
      </w:r>
    </w:p>
    <w:p w:rsidR="004637B1" w:rsidRPr="00BF6570" w:rsidRDefault="004637B1"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sidRPr="00BF6570">
        <w:rPr>
          <w:rFonts w:ascii="Arial" w:eastAsia="Times New Roman" w:hAnsi="Arial" w:cs="Arial"/>
          <w:sz w:val="15"/>
          <w:szCs w:val="15"/>
          <w:lang w:val="en-AU" w:eastAsia="en-AU"/>
        </w:rPr>
        <w:t xml:space="preserve">Interest Equivalency Payment for </w:t>
      </w:r>
      <w:proofErr w:type="spellStart"/>
      <w:r w:rsidRPr="00BF6570">
        <w:rPr>
          <w:rFonts w:ascii="Arial" w:eastAsia="Times New Roman" w:hAnsi="Arial" w:cs="Arial"/>
          <w:sz w:val="15"/>
          <w:szCs w:val="15"/>
          <w:lang w:val="en-AU" w:eastAsia="en-AU"/>
        </w:rPr>
        <w:t>Comcover</w:t>
      </w:r>
      <w:proofErr w:type="spellEnd"/>
      <w:r w:rsidRPr="00BF6570">
        <w:rPr>
          <w:rFonts w:ascii="Arial" w:eastAsia="Times New Roman" w:hAnsi="Arial" w:cs="Arial"/>
          <w:sz w:val="15"/>
          <w:szCs w:val="15"/>
          <w:lang w:val="en-AU" w:eastAsia="en-AU"/>
        </w:rPr>
        <w:t xml:space="preserve"> </w:t>
      </w:r>
      <w:r w:rsidR="00C3662D">
        <w:rPr>
          <w:rFonts w:ascii="Arial" w:eastAsia="Times New Roman" w:hAnsi="Arial" w:cs="Arial"/>
          <w:sz w:val="15"/>
          <w:szCs w:val="15"/>
          <w:lang w:val="en-AU" w:eastAsia="en-AU"/>
        </w:rPr>
        <w:t>in</w:t>
      </w:r>
      <w:r w:rsidRPr="00BF6570">
        <w:rPr>
          <w:rFonts w:ascii="Arial" w:eastAsia="Times New Roman" w:hAnsi="Arial" w:cs="Arial"/>
          <w:sz w:val="15"/>
          <w:szCs w:val="15"/>
          <w:lang w:val="en-AU" w:eastAsia="en-AU"/>
        </w:rPr>
        <w:t>creases from $</w:t>
      </w:r>
      <w:r w:rsidR="00C3662D">
        <w:rPr>
          <w:rFonts w:ascii="Arial" w:eastAsia="Times New Roman" w:hAnsi="Arial" w:cs="Arial"/>
          <w:sz w:val="15"/>
          <w:szCs w:val="15"/>
          <w:lang w:val="en-AU" w:eastAsia="en-AU"/>
        </w:rPr>
        <w:t>9.1</w:t>
      </w:r>
      <w:r w:rsidRPr="00BF6570">
        <w:rPr>
          <w:rFonts w:ascii="Arial" w:eastAsia="Times New Roman" w:hAnsi="Arial" w:cs="Arial"/>
          <w:sz w:val="15"/>
          <w:szCs w:val="15"/>
          <w:lang w:val="en-AU" w:eastAsia="en-AU"/>
        </w:rPr>
        <w:t>m (2014</w:t>
      </w:r>
      <w:r w:rsidR="00C3662D">
        <w:rPr>
          <w:rFonts w:ascii="Arial" w:eastAsia="Times New Roman" w:hAnsi="Arial" w:cs="Arial"/>
          <w:sz w:val="15"/>
          <w:szCs w:val="15"/>
          <w:lang w:val="en-AU" w:eastAsia="en-AU"/>
        </w:rPr>
        <w:t>-15</w:t>
      </w:r>
      <w:r w:rsidRPr="00BF6570">
        <w:rPr>
          <w:rFonts w:ascii="Arial" w:eastAsia="Times New Roman" w:hAnsi="Arial" w:cs="Arial"/>
          <w:sz w:val="15"/>
          <w:szCs w:val="15"/>
          <w:lang w:val="en-AU" w:eastAsia="en-AU"/>
        </w:rPr>
        <w:t>) to $</w:t>
      </w:r>
      <w:r w:rsidR="00C3662D">
        <w:rPr>
          <w:rFonts w:ascii="Arial" w:eastAsia="Times New Roman" w:hAnsi="Arial" w:cs="Arial"/>
          <w:sz w:val="15"/>
          <w:szCs w:val="15"/>
          <w:lang w:val="en-AU" w:eastAsia="en-AU"/>
        </w:rPr>
        <w:t>10.2</w:t>
      </w:r>
      <w:r w:rsidRPr="00BF6570">
        <w:rPr>
          <w:rFonts w:ascii="Arial" w:eastAsia="Times New Roman" w:hAnsi="Arial" w:cs="Arial"/>
          <w:sz w:val="15"/>
          <w:szCs w:val="15"/>
          <w:lang w:val="en-AU" w:eastAsia="en-AU"/>
        </w:rPr>
        <w:t>m (201</w:t>
      </w:r>
      <w:r w:rsidR="00C3662D">
        <w:rPr>
          <w:rFonts w:ascii="Arial" w:eastAsia="Times New Roman" w:hAnsi="Arial" w:cs="Arial"/>
          <w:sz w:val="15"/>
          <w:szCs w:val="15"/>
          <w:lang w:val="en-AU" w:eastAsia="en-AU"/>
        </w:rPr>
        <w:t>5-16</w:t>
      </w:r>
      <w:r w:rsidRPr="00BF6570">
        <w:rPr>
          <w:rFonts w:ascii="Arial" w:eastAsia="Times New Roman" w:hAnsi="Arial" w:cs="Arial"/>
          <w:sz w:val="15"/>
          <w:szCs w:val="15"/>
          <w:lang w:val="en-AU" w:eastAsia="en-AU"/>
        </w:rPr>
        <w:t>).</w:t>
      </w:r>
    </w:p>
    <w:p w:rsidR="004637B1" w:rsidRPr="00BF6570" w:rsidRDefault="004637B1"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sidRPr="00BF6570">
        <w:rPr>
          <w:rFonts w:ascii="Arial" w:eastAsia="Times New Roman" w:hAnsi="Arial" w:cs="Arial"/>
          <w:sz w:val="15"/>
          <w:szCs w:val="15"/>
          <w:lang w:val="en-AU" w:eastAsia="en-AU"/>
        </w:rPr>
        <w:t>The Property Special Account 2014 replaces the former Property Special Account 2000/15, which was repealed on 17 October 2014.</w:t>
      </w:r>
    </w:p>
    <w:p w:rsidR="004637B1" w:rsidRPr="00A37DF9" w:rsidRDefault="004637B1" w:rsidP="00806E4B">
      <w:pPr>
        <w:spacing w:after="20" w:line="240" w:lineRule="auto"/>
        <w:rPr>
          <w:rFonts w:ascii="Arial" w:hAnsi="Arial"/>
          <w:b/>
          <w:smallCaps/>
          <w:sz w:val="15"/>
          <w:szCs w:val="15"/>
        </w:rPr>
      </w:pPr>
      <w:r w:rsidRPr="00A37DF9">
        <w:rPr>
          <w:rFonts w:ascii="Arial" w:hAnsi="Arial" w:cs="Arial"/>
          <w:sz w:val="15"/>
          <w:szCs w:val="15"/>
        </w:rPr>
        <w:t>The Lands Acquisition Account (</w:t>
      </w:r>
      <w:r w:rsidRPr="00A37DF9">
        <w:rPr>
          <w:rFonts w:ascii="Arial" w:hAnsi="Arial" w:cs="Arial"/>
          <w:i/>
          <w:sz w:val="15"/>
          <w:szCs w:val="15"/>
        </w:rPr>
        <w:t>Lands Acquisition Act 1989</w:t>
      </w:r>
      <w:r w:rsidRPr="000212E6">
        <w:rPr>
          <w:rFonts w:ascii="Arial" w:hAnsi="Arial" w:cs="Arial"/>
          <w:sz w:val="15"/>
          <w:szCs w:val="15"/>
        </w:rPr>
        <w:t>)</w:t>
      </w:r>
      <w:r w:rsidRPr="00A37DF9">
        <w:rPr>
          <w:rFonts w:ascii="Arial" w:hAnsi="Arial" w:cs="Arial"/>
          <w:sz w:val="15"/>
          <w:szCs w:val="15"/>
        </w:rPr>
        <w:t xml:space="preserve"> has not been included in the table as it is not currently active.</w:t>
      </w:r>
      <w:r w:rsidRPr="00A37DF9">
        <w:rPr>
          <w:sz w:val="15"/>
          <w:szCs w:val="15"/>
        </w:rPr>
        <w:br w:type="page"/>
      </w:r>
    </w:p>
    <w:p w:rsidR="00E4238F" w:rsidRPr="00793F50" w:rsidRDefault="00E4238F" w:rsidP="00E453F8">
      <w:pPr>
        <w:pStyle w:val="Heading5"/>
      </w:pPr>
      <w:r w:rsidRPr="00793F50">
        <w:lastRenderedPageBreak/>
        <w:t xml:space="preserve">Table 3.1.2.1: </w:t>
      </w:r>
      <w:proofErr w:type="spellStart"/>
      <w:r w:rsidRPr="00793F50">
        <w:t>DisabilityCare</w:t>
      </w:r>
      <w:proofErr w:type="spellEnd"/>
      <w:r w:rsidRPr="00793F50">
        <w:t xml:space="preserve"> Australia Fund (DCAF) - Estimates of Fund Balances</w:t>
      </w:r>
    </w:p>
    <w:tbl>
      <w:tblPr>
        <w:tblW w:w="8180" w:type="dxa"/>
        <w:tblInd w:w="93" w:type="dxa"/>
        <w:tblLook w:val="04A0"/>
      </w:tblPr>
      <w:tblGrid>
        <w:gridCol w:w="2260"/>
        <w:gridCol w:w="866"/>
        <w:gridCol w:w="1060"/>
        <w:gridCol w:w="1000"/>
        <w:gridCol w:w="1035"/>
        <w:gridCol w:w="1035"/>
        <w:gridCol w:w="1035"/>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proofErr w:type="spellStart"/>
            <w:r w:rsidRPr="00C5570B">
              <w:rPr>
                <w:rFonts w:ascii="Arial" w:hAnsi="Arial" w:cs="Arial"/>
                <w:b/>
                <w:bCs/>
                <w:sz w:val="16"/>
                <w:szCs w:val="16"/>
              </w:rPr>
              <w:t>DisabilityCare</w:t>
            </w:r>
            <w:proofErr w:type="spellEnd"/>
            <w:r w:rsidRPr="00C5570B">
              <w:rPr>
                <w:rFonts w:ascii="Arial" w:hAnsi="Arial" w:cs="Arial"/>
                <w:b/>
                <w:bCs/>
                <w:sz w:val="16"/>
                <w:szCs w:val="16"/>
              </w:rPr>
              <w:t xml:space="preserve"> Australia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 xml:space="preserve">Fund </w:t>
            </w:r>
            <w:r w:rsidRPr="00C5570B">
              <w:rPr>
                <w:rFonts w:ascii="Arial" w:hAnsi="Arial" w:cs="Arial"/>
                <w:b/>
                <w:bCs/>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2,134,649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5,107,461</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6,863,672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6,119,534</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Additional Medicare Levy - Equity</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2,486,250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3,449,500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3,677,000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3,855,250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4,055,000</w:t>
            </w: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33,820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117,908</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183,583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189,610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93,575</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(655)</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(1,710)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(2,660)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(2,745)</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(1,352)</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reimburse accounts for</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roofErr w:type="spellStart"/>
            <w:r w:rsidRPr="00C5570B">
              <w:rPr>
                <w:rFonts w:ascii="Arial" w:hAnsi="Arial" w:cs="Arial"/>
                <w:sz w:val="16"/>
                <w:szCs w:val="16"/>
              </w:rPr>
              <w:t>DisabilityCare</w:t>
            </w:r>
            <w:proofErr w:type="spellEnd"/>
            <w:r w:rsidRPr="00C5570B">
              <w:rPr>
                <w:rFonts w:ascii="Arial" w:hAnsi="Arial" w:cs="Arial"/>
                <w:sz w:val="16"/>
                <w:szCs w:val="16"/>
              </w:rPr>
              <w:t xml:space="preserve"> Australia expenditure </w:t>
            </w:r>
            <w:r w:rsidRPr="00C5570B">
              <w:rPr>
                <w:rFonts w:ascii="Arial" w:hAnsi="Arial" w:cs="Arial"/>
                <w:sz w:val="16"/>
                <w:szCs w:val="16"/>
                <w:vertAlign w:val="superscript"/>
              </w:rPr>
              <w:t>2</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Commonwealth - Equity</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(384,766)</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(524,704)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(1,915,404)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(4,465,017)</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(7,101,026)</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States and Territories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 Expense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(68,182)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(186,308)</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(321,236)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(1,813,195)</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2,134,649</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5,107,461</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6,863,672</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6,119,534</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1,352,536</w:t>
            </w:r>
          </w:p>
        </w:tc>
      </w:tr>
    </w:tbl>
    <w:p w:rsidR="00F26509" w:rsidRPr="00F26509" w:rsidRDefault="00F26509" w:rsidP="00F26509">
      <w:pPr>
        <w:spacing w:after="0" w:line="240" w:lineRule="auto"/>
        <w:rPr>
          <w:sz w:val="6"/>
        </w:rPr>
      </w:pPr>
    </w:p>
    <w:p w:rsidR="00824C6B" w:rsidRPr="00A37DF9" w:rsidRDefault="00824C6B" w:rsidP="0003235D">
      <w:pPr>
        <w:pStyle w:val="ListParagraph"/>
        <w:numPr>
          <w:ilvl w:val="0"/>
          <w:numId w:val="34"/>
        </w:numPr>
        <w:spacing w:before="60" w:after="60" w:line="240" w:lineRule="auto"/>
        <w:ind w:left="426" w:hanging="426"/>
        <w:contextualSpacing w:val="0"/>
        <w:outlineLvl w:val="6"/>
        <w:rPr>
          <w:rFonts w:ascii="Arial" w:hAnsi="Arial" w:cs="Arial"/>
          <w:sz w:val="15"/>
          <w:szCs w:val="15"/>
        </w:rPr>
      </w:pPr>
      <w:r w:rsidRPr="00A37DF9">
        <w:rPr>
          <w:rFonts w:ascii="Arial" w:hAnsi="Arial" w:cs="Arial"/>
          <w:sz w:val="15"/>
          <w:szCs w:val="15"/>
        </w:rPr>
        <w:t xml:space="preserve">The DCAF consists of the DCAF Special Account and investments of the DCAF. The investments are managed by the Future Fund Board of Guardians. The special account is used to record all transactions relating to the DCAF, including interest and Medicare </w:t>
      </w:r>
      <w:r w:rsidR="00B240AA">
        <w:rPr>
          <w:rFonts w:ascii="Arial" w:hAnsi="Arial" w:cs="Arial"/>
          <w:sz w:val="15"/>
          <w:szCs w:val="15"/>
        </w:rPr>
        <w:t>L</w:t>
      </w:r>
      <w:r w:rsidRPr="00A37DF9">
        <w:rPr>
          <w:rFonts w:ascii="Arial" w:hAnsi="Arial" w:cs="Arial"/>
          <w:sz w:val="15"/>
          <w:szCs w:val="15"/>
        </w:rPr>
        <w:t>evy proceeds received and payments.</w:t>
      </w:r>
    </w:p>
    <w:p w:rsidR="00824C6B" w:rsidRDefault="00B240AA" w:rsidP="0003235D">
      <w:pPr>
        <w:pStyle w:val="ListParagraph"/>
        <w:numPr>
          <w:ilvl w:val="0"/>
          <w:numId w:val="34"/>
        </w:numPr>
        <w:spacing w:before="60" w:after="60" w:line="240" w:lineRule="auto"/>
        <w:ind w:left="426" w:hanging="426"/>
        <w:contextualSpacing w:val="0"/>
        <w:outlineLvl w:val="6"/>
        <w:rPr>
          <w:rFonts w:ascii="Arial" w:hAnsi="Arial" w:cs="Arial"/>
          <w:sz w:val="15"/>
          <w:szCs w:val="15"/>
        </w:rPr>
      </w:pPr>
      <w:r>
        <w:rPr>
          <w:rFonts w:ascii="Arial" w:hAnsi="Arial" w:cs="Arial"/>
          <w:sz w:val="15"/>
          <w:szCs w:val="15"/>
        </w:rPr>
        <w:t>The transfers relate to reimbursing the Commonwealth and the States and Territories for the costs of the operations of the National Disability Insurance Scheme (NDIS).</w:t>
      </w:r>
    </w:p>
    <w:p w:rsidR="00B240AA" w:rsidRPr="00B240AA" w:rsidRDefault="00B240AA" w:rsidP="00B240AA">
      <w:pPr>
        <w:pStyle w:val="TOC9"/>
        <w:rPr>
          <w:lang w:val="en-US" w:eastAsia="en-US"/>
        </w:rPr>
      </w:pPr>
    </w:p>
    <w:p w:rsidR="00E4238F" w:rsidRPr="00793F50" w:rsidRDefault="00824C6B" w:rsidP="00E453F8">
      <w:pPr>
        <w:pStyle w:val="Heading5"/>
      </w:pPr>
      <w:r>
        <w:br w:type="page"/>
      </w:r>
      <w:r w:rsidR="00E4238F" w:rsidRPr="00C273A1">
        <w:lastRenderedPageBreak/>
        <w:t>Table 3.1.2.2: Asset Recycling Fund (ARF) - Estimates of Fund Balances</w:t>
      </w:r>
    </w:p>
    <w:tbl>
      <w:tblPr>
        <w:tblW w:w="8180" w:type="dxa"/>
        <w:tblInd w:w="93" w:type="dxa"/>
        <w:tblLook w:val="04A0"/>
      </w:tblPr>
      <w:tblGrid>
        <w:gridCol w:w="2260"/>
        <w:gridCol w:w="866"/>
        <w:gridCol w:w="1060"/>
        <w:gridCol w:w="1035"/>
        <w:gridCol w:w="1035"/>
        <w:gridCol w:w="1035"/>
        <w:gridCol w:w="1035"/>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Asset Recycling Fund </w:t>
            </w:r>
            <w:r w:rsidRPr="00C5570B">
              <w:rPr>
                <w:rFonts w:ascii="Arial" w:hAnsi="Arial" w:cs="Arial"/>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6,851,413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10,258,822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7,898,947</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Investment credits </w:t>
            </w:r>
            <w:r w:rsidRPr="00C5570B">
              <w:rPr>
                <w:rFonts w:ascii="Arial" w:hAnsi="Arial" w:cs="Arial"/>
                <w:sz w:val="16"/>
                <w:szCs w:val="16"/>
                <w:vertAlign w:val="superscript"/>
              </w:rPr>
              <w:t>2</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6,753,169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5,678,699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101,863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349,207</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279,327</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216,774</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(3,619)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(12,136)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(9,672)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(7,515)</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Portfolio Special</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accounts for project payments </w:t>
            </w:r>
            <w:r w:rsidRPr="00C5570B">
              <w:rPr>
                <w:rFonts w:ascii="Arial" w:hAnsi="Arial" w:cs="Arial"/>
                <w:sz w:val="16"/>
                <w:szCs w:val="16"/>
                <w:vertAlign w:val="superscript"/>
              </w:rPr>
              <w:t>3</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COAG Reform Fund</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(2,608,361)</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(2,629,530)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(1,896,890)</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6,851,413</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10,258,822</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7,898,947</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6,211,316</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r>
      <w:tr w:rsidR="00C5570B" w:rsidRPr="00C5570B" w:rsidTr="00C5570B">
        <w:trPr>
          <w:trHeight w:val="225"/>
        </w:trPr>
        <w:tc>
          <w:tcPr>
            <w:tcW w:w="3060" w:type="dxa"/>
            <w:gridSpan w:val="2"/>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Payments to be made through</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color w:val="000000"/>
                <w:sz w:val="16"/>
                <w:szCs w:val="16"/>
              </w:rPr>
            </w:pPr>
            <w:r w:rsidRPr="00C5570B">
              <w:rPr>
                <w:rFonts w:ascii="Arial" w:hAnsi="Arial" w:cs="Arial"/>
                <w:b/>
                <w:bCs/>
                <w:color w:val="000000"/>
                <w:sz w:val="16"/>
                <w:szCs w:val="16"/>
              </w:rPr>
              <w:t>other appropriation</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color w:val="000000"/>
                <w:sz w:val="16"/>
                <w:szCs w:val="16"/>
              </w:rPr>
            </w:pPr>
            <w:r w:rsidRPr="00C5570B">
              <w:rPr>
                <w:rFonts w:ascii="Arial" w:hAnsi="Arial" w:cs="Arial"/>
                <w:b/>
                <w:bCs/>
                <w:color w:val="000000"/>
                <w:sz w:val="16"/>
                <w:szCs w:val="16"/>
              </w:rPr>
              <w:t xml:space="preserve">mechanisms </w:t>
            </w:r>
            <w:r w:rsidRPr="00C5570B">
              <w:rPr>
                <w:rFonts w:ascii="Arial" w:hAnsi="Arial" w:cs="Arial"/>
                <w:b/>
                <w:bCs/>
                <w:color w:val="000000"/>
                <w:sz w:val="16"/>
                <w:szCs w:val="16"/>
                <w:vertAlign w:val="superscript"/>
              </w:rPr>
              <w:t>4</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color w:val="000000"/>
                <w:sz w:val="16"/>
                <w:szCs w:val="16"/>
              </w:rPr>
            </w:pPr>
            <w:r w:rsidRPr="00C5570B">
              <w:rPr>
                <w:rFonts w:ascii="Arial" w:hAnsi="Arial" w:cs="Arial"/>
                <w:color w:val="000000"/>
                <w:sz w:val="16"/>
                <w:szCs w:val="16"/>
              </w:rPr>
              <w:t xml:space="preserve">Infrastructure Growth Package - </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color w:val="000000"/>
                <w:sz w:val="16"/>
                <w:szCs w:val="16"/>
              </w:rPr>
            </w:pPr>
            <w:r w:rsidRPr="00C5570B">
              <w:rPr>
                <w:rFonts w:ascii="Arial" w:hAnsi="Arial" w:cs="Arial"/>
                <w:color w:val="000000"/>
                <w:sz w:val="16"/>
                <w:szCs w:val="16"/>
              </w:rPr>
              <w:t>New Investments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(1,088,199)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color w:val="000000"/>
                <w:sz w:val="16"/>
                <w:szCs w:val="16"/>
              </w:rPr>
            </w:pPr>
            <w:r w:rsidRPr="00C5570B">
              <w:rPr>
                <w:rFonts w:ascii="Arial" w:hAnsi="Arial" w:cs="Arial"/>
                <w:color w:val="000000"/>
                <w:sz w:val="16"/>
                <w:szCs w:val="16"/>
              </w:rPr>
              <w:t xml:space="preserve">Infrastructure Growth Package - </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color w:val="000000"/>
                <w:sz w:val="16"/>
                <w:szCs w:val="16"/>
              </w:rPr>
            </w:pPr>
            <w:r w:rsidRPr="00C5570B">
              <w:rPr>
                <w:rFonts w:ascii="Arial" w:hAnsi="Arial" w:cs="Arial"/>
                <w:color w:val="000000"/>
                <w:sz w:val="16"/>
                <w:szCs w:val="16"/>
              </w:rPr>
              <w:t>Asset Recycling Initiative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(1,028,000)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Total</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(2,116,199)</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r>
    </w:tbl>
    <w:p w:rsidR="00F26509" w:rsidRPr="00F26509" w:rsidRDefault="00F26509" w:rsidP="00F26509">
      <w:pPr>
        <w:spacing w:after="0" w:line="240" w:lineRule="auto"/>
        <w:rPr>
          <w:sz w:val="6"/>
        </w:rPr>
      </w:pPr>
    </w:p>
    <w:p w:rsidR="00B5762D" w:rsidRPr="00A37DF9" w:rsidRDefault="00B5762D" w:rsidP="0003235D">
      <w:pPr>
        <w:pStyle w:val="ListParagraph"/>
        <w:numPr>
          <w:ilvl w:val="0"/>
          <w:numId w:val="35"/>
        </w:numPr>
        <w:spacing w:before="60" w:after="60" w:line="240" w:lineRule="auto"/>
        <w:ind w:left="426" w:hanging="426"/>
        <w:contextualSpacing w:val="0"/>
        <w:outlineLvl w:val="6"/>
        <w:rPr>
          <w:rFonts w:ascii="Arial" w:hAnsi="Arial" w:cs="Arial"/>
          <w:sz w:val="15"/>
          <w:szCs w:val="15"/>
        </w:rPr>
      </w:pPr>
      <w:r w:rsidRPr="00A37DF9">
        <w:rPr>
          <w:rFonts w:ascii="Arial" w:hAnsi="Arial" w:cs="Arial"/>
          <w:sz w:val="15"/>
          <w:szCs w:val="15"/>
        </w:rPr>
        <w:t>The ARF consists of the ARF Special Account and investments of the ARF. The investments will be managed by the Future Fund Board of Guardians. The special account will be used to record all transactions relating to the ARF, including interest received and payments.</w:t>
      </w:r>
    </w:p>
    <w:p w:rsidR="00B5762D" w:rsidRPr="00A37DF9" w:rsidRDefault="00282943" w:rsidP="0003235D">
      <w:pPr>
        <w:pStyle w:val="ListParagraph"/>
        <w:numPr>
          <w:ilvl w:val="0"/>
          <w:numId w:val="35"/>
        </w:numPr>
        <w:spacing w:before="60" w:after="60" w:line="240" w:lineRule="auto"/>
        <w:ind w:left="426" w:hanging="426"/>
        <w:contextualSpacing w:val="0"/>
        <w:outlineLvl w:val="6"/>
        <w:rPr>
          <w:rFonts w:ascii="Arial" w:hAnsi="Arial" w:cs="Arial"/>
          <w:sz w:val="15"/>
          <w:szCs w:val="15"/>
        </w:rPr>
      </w:pPr>
      <w:r>
        <w:rPr>
          <w:rFonts w:ascii="Arial" w:hAnsi="Arial" w:cs="Arial"/>
          <w:sz w:val="15"/>
          <w:szCs w:val="15"/>
        </w:rPr>
        <w:t xml:space="preserve">Credits consist of uncommitted funds from the Building Australia Fund (BAF) and Education Investment Fund (EIF) transferred as at 1 January 2016 and the proceeds from the sale of </w:t>
      </w:r>
      <w:proofErr w:type="spellStart"/>
      <w:r>
        <w:rPr>
          <w:rFonts w:ascii="Arial" w:hAnsi="Arial" w:cs="Arial"/>
          <w:sz w:val="15"/>
          <w:szCs w:val="15"/>
        </w:rPr>
        <w:t>Medibank</w:t>
      </w:r>
      <w:proofErr w:type="spellEnd"/>
      <w:r>
        <w:rPr>
          <w:rFonts w:ascii="Arial" w:hAnsi="Arial" w:cs="Arial"/>
          <w:sz w:val="15"/>
          <w:szCs w:val="15"/>
        </w:rPr>
        <w:t xml:space="preserve"> Private transferred as at 1</w:t>
      </w:r>
      <w:r w:rsidR="007A00A5">
        <w:rPr>
          <w:rFonts w:ascii="Arial" w:hAnsi="Arial" w:cs="Arial"/>
          <w:sz w:val="15"/>
          <w:szCs w:val="15"/>
        </w:rPr>
        <w:t> </w:t>
      </w:r>
      <w:r>
        <w:rPr>
          <w:rFonts w:ascii="Arial" w:hAnsi="Arial" w:cs="Arial"/>
          <w:sz w:val="15"/>
          <w:szCs w:val="15"/>
        </w:rPr>
        <w:t>July</w:t>
      </w:r>
      <w:r w:rsidR="007A00A5">
        <w:rPr>
          <w:rFonts w:ascii="Arial" w:hAnsi="Arial" w:cs="Arial"/>
          <w:sz w:val="15"/>
          <w:szCs w:val="15"/>
        </w:rPr>
        <w:t> </w:t>
      </w:r>
      <w:r>
        <w:rPr>
          <w:rFonts w:ascii="Arial" w:hAnsi="Arial" w:cs="Arial"/>
          <w:sz w:val="15"/>
          <w:szCs w:val="15"/>
        </w:rPr>
        <w:t>2016.</w:t>
      </w:r>
      <w:r w:rsidR="00B5762D" w:rsidRPr="00A37DF9">
        <w:rPr>
          <w:rFonts w:ascii="Arial" w:hAnsi="Arial" w:cs="Arial"/>
          <w:sz w:val="15"/>
          <w:szCs w:val="15"/>
        </w:rPr>
        <w:t xml:space="preserve"> </w:t>
      </w:r>
      <w:r>
        <w:rPr>
          <w:rFonts w:ascii="Arial" w:hAnsi="Arial" w:cs="Arial"/>
          <w:sz w:val="15"/>
          <w:szCs w:val="15"/>
        </w:rPr>
        <w:t xml:space="preserve">Further contributions to the ARF will consist of sale proceeds from </w:t>
      </w:r>
      <w:proofErr w:type="spellStart"/>
      <w:r>
        <w:rPr>
          <w:rFonts w:ascii="Arial" w:hAnsi="Arial" w:cs="Arial"/>
          <w:sz w:val="15"/>
          <w:szCs w:val="15"/>
        </w:rPr>
        <w:t>privati</w:t>
      </w:r>
      <w:r w:rsidR="00842B06">
        <w:rPr>
          <w:rFonts w:ascii="Arial" w:hAnsi="Arial" w:cs="Arial"/>
          <w:sz w:val="15"/>
          <w:szCs w:val="15"/>
        </w:rPr>
        <w:t>s</w:t>
      </w:r>
      <w:r>
        <w:rPr>
          <w:rFonts w:ascii="Arial" w:hAnsi="Arial" w:cs="Arial"/>
          <w:sz w:val="15"/>
          <w:szCs w:val="15"/>
        </w:rPr>
        <w:t>ations</w:t>
      </w:r>
      <w:proofErr w:type="spellEnd"/>
      <w:r>
        <w:rPr>
          <w:rFonts w:ascii="Arial" w:hAnsi="Arial" w:cs="Arial"/>
          <w:sz w:val="15"/>
          <w:szCs w:val="15"/>
        </w:rPr>
        <w:t>.</w:t>
      </w:r>
    </w:p>
    <w:p w:rsidR="00274835" w:rsidRDefault="00274835" w:rsidP="0003235D">
      <w:pPr>
        <w:pStyle w:val="ListParagraph"/>
        <w:numPr>
          <w:ilvl w:val="0"/>
          <w:numId w:val="35"/>
        </w:numPr>
        <w:spacing w:before="60" w:after="60" w:line="240" w:lineRule="auto"/>
        <w:ind w:left="426" w:hanging="426"/>
        <w:contextualSpacing w:val="0"/>
        <w:outlineLvl w:val="6"/>
        <w:rPr>
          <w:rFonts w:ascii="Arial" w:hAnsi="Arial" w:cs="Arial"/>
          <w:sz w:val="15"/>
          <w:szCs w:val="15"/>
        </w:rPr>
      </w:pPr>
      <w:r w:rsidRPr="00A37DF9">
        <w:rPr>
          <w:rFonts w:ascii="Arial" w:hAnsi="Arial" w:cs="Arial"/>
          <w:sz w:val="15"/>
          <w:szCs w:val="15"/>
        </w:rPr>
        <w:t>The transfers relate to projects approved as at the time of the Budget.</w:t>
      </w:r>
    </w:p>
    <w:p w:rsidR="00B5762D" w:rsidRPr="00A37DF9" w:rsidRDefault="007E3CB0" w:rsidP="0003235D">
      <w:pPr>
        <w:pStyle w:val="ListParagraph"/>
        <w:numPr>
          <w:ilvl w:val="0"/>
          <w:numId w:val="35"/>
        </w:numPr>
        <w:spacing w:before="60" w:after="60" w:line="240" w:lineRule="auto"/>
        <w:ind w:left="426" w:hanging="426"/>
        <w:contextualSpacing w:val="0"/>
        <w:outlineLvl w:val="6"/>
        <w:rPr>
          <w:rFonts w:ascii="Arial" w:hAnsi="Arial" w:cs="Arial"/>
          <w:sz w:val="15"/>
          <w:szCs w:val="15"/>
        </w:rPr>
      </w:pPr>
      <w:r>
        <w:rPr>
          <w:rFonts w:ascii="Arial" w:hAnsi="Arial" w:cs="Arial"/>
          <w:sz w:val="15"/>
          <w:szCs w:val="15"/>
        </w:rPr>
        <w:t>Pending the establishment of the ARF, the government will provide funding of $2.</w:t>
      </w:r>
      <w:r w:rsidR="00716A45">
        <w:rPr>
          <w:rFonts w:ascii="Arial" w:hAnsi="Arial" w:cs="Arial"/>
          <w:sz w:val="15"/>
          <w:szCs w:val="15"/>
        </w:rPr>
        <w:t>1</w:t>
      </w:r>
      <w:r>
        <w:rPr>
          <w:rFonts w:ascii="Arial" w:hAnsi="Arial" w:cs="Arial"/>
          <w:sz w:val="15"/>
          <w:szCs w:val="15"/>
        </w:rPr>
        <w:t xml:space="preserve"> billion in 2015-16 </w:t>
      </w:r>
      <w:r w:rsidR="002039FE">
        <w:rPr>
          <w:rFonts w:ascii="Arial" w:hAnsi="Arial" w:cs="Arial"/>
          <w:sz w:val="15"/>
          <w:szCs w:val="15"/>
        </w:rPr>
        <w:t>through</w:t>
      </w:r>
      <w:r>
        <w:rPr>
          <w:rFonts w:ascii="Arial" w:hAnsi="Arial" w:cs="Arial"/>
          <w:sz w:val="15"/>
          <w:szCs w:val="15"/>
        </w:rPr>
        <w:t xml:space="preserve"> the Treasury and Infrastructure portfolios </w:t>
      </w:r>
      <w:r w:rsidR="002039FE">
        <w:rPr>
          <w:rFonts w:ascii="Arial" w:hAnsi="Arial" w:cs="Arial"/>
          <w:sz w:val="15"/>
          <w:szCs w:val="15"/>
        </w:rPr>
        <w:t>using</w:t>
      </w:r>
      <w:r>
        <w:rPr>
          <w:rFonts w:ascii="Arial" w:hAnsi="Arial" w:cs="Arial"/>
          <w:sz w:val="15"/>
          <w:szCs w:val="15"/>
        </w:rPr>
        <w:t xml:space="preserve"> existing appropriation mechanisms. Payments from 2016-17 onwards will be made from the ARF Infrastructure Portfolio Special Account or the COAG Reform Fund Special Account.</w:t>
      </w:r>
    </w:p>
    <w:p w:rsidR="00E4238F" w:rsidRPr="00793F50" w:rsidRDefault="00824C6B" w:rsidP="00E453F8">
      <w:pPr>
        <w:pStyle w:val="Heading5"/>
      </w:pPr>
      <w:r>
        <w:br w:type="page"/>
      </w:r>
      <w:r w:rsidR="00E4238F" w:rsidRPr="00793F50">
        <w:lastRenderedPageBreak/>
        <w:t>Table 3.1.2.3: Medical Research Future Fund (MRFF) - Estimates of Fund Balances</w:t>
      </w:r>
    </w:p>
    <w:tbl>
      <w:tblPr>
        <w:tblW w:w="8180" w:type="dxa"/>
        <w:tblInd w:w="93" w:type="dxa"/>
        <w:tblLook w:val="04A0"/>
      </w:tblPr>
      <w:tblGrid>
        <w:gridCol w:w="2260"/>
        <w:gridCol w:w="866"/>
        <w:gridCol w:w="1060"/>
        <w:gridCol w:w="1000"/>
        <w:gridCol w:w="1020"/>
        <w:gridCol w:w="1020"/>
        <w:gridCol w:w="1020"/>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Medical Research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 xml:space="preserve">Future Fund </w:t>
            </w:r>
            <w:r w:rsidRPr="00C5570B">
              <w:rPr>
                <w:rFonts w:ascii="Arial" w:hAnsi="Arial" w:cs="Arial"/>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3,487,312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5,760,906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9,392,116</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Investment credits </w:t>
            </w:r>
            <w:r w:rsidRPr="00C5570B">
              <w:rPr>
                <w:rFonts w:ascii="Arial" w:hAnsi="Arial" w:cs="Arial"/>
                <w:sz w:val="16"/>
                <w:szCs w:val="16"/>
                <w:vertAlign w:val="superscript"/>
              </w:rPr>
              <w:t>2</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3,426,864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2,181,611</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3,511,727</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4,777,648</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72,164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148,753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255,652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450,862</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(1,716)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(3,538)</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(5,829)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(9,515)</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Portfolio Special</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accounts for project payments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 xml:space="preserve">MRFF Health Portfolio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(10,000)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(53,232)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(130,340)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(224,258)</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3,487,312</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5,760,906</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9,392,116</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14,386,853</w:t>
            </w:r>
          </w:p>
        </w:tc>
      </w:tr>
    </w:tbl>
    <w:p w:rsidR="00F26509" w:rsidRPr="00F26509" w:rsidRDefault="00F26509" w:rsidP="00F26509">
      <w:pPr>
        <w:spacing w:after="0" w:line="240" w:lineRule="auto"/>
        <w:rPr>
          <w:sz w:val="6"/>
        </w:rPr>
      </w:pPr>
    </w:p>
    <w:p w:rsidR="004E1701" w:rsidRPr="00A37DF9" w:rsidRDefault="004E1701" w:rsidP="0003235D">
      <w:pPr>
        <w:pStyle w:val="ListParagraph"/>
        <w:numPr>
          <w:ilvl w:val="0"/>
          <w:numId w:val="36"/>
        </w:numPr>
        <w:spacing w:before="60" w:after="60" w:line="240" w:lineRule="auto"/>
        <w:ind w:left="426" w:hanging="426"/>
        <w:contextualSpacing w:val="0"/>
        <w:outlineLvl w:val="6"/>
        <w:rPr>
          <w:rFonts w:ascii="Arial" w:hAnsi="Arial" w:cs="Arial"/>
          <w:sz w:val="15"/>
          <w:szCs w:val="15"/>
        </w:rPr>
      </w:pPr>
      <w:r w:rsidRPr="00A37DF9">
        <w:rPr>
          <w:rFonts w:ascii="Arial" w:hAnsi="Arial" w:cs="Arial"/>
          <w:sz w:val="15"/>
          <w:szCs w:val="15"/>
        </w:rPr>
        <w:t>The MRFF consists of the MRFF Special Account and investments of the MRFF. The investments will be managed by the Future Fund Board of Guardians. The special account will be used to record all transactions relating to the MRFF, including interest received and payments.</w:t>
      </w:r>
    </w:p>
    <w:p w:rsidR="004E1701" w:rsidRPr="00A37DF9" w:rsidRDefault="008C2495" w:rsidP="0003235D">
      <w:pPr>
        <w:pStyle w:val="ListParagraph"/>
        <w:numPr>
          <w:ilvl w:val="0"/>
          <w:numId w:val="36"/>
        </w:numPr>
        <w:spacing w:before="60" w:after="60" w:line="240" w:lineRule="auto"/>
        <w:ind w:left="426" w:hanging="426"/>
        <w:contextualSpacing w:val="0"/>
        <w:outlineLvl w:val="6"/>
        <w:rPr>
          <w:rFonts w:ascii="Arial" w:hAnsi="Arial" w:cs="Arial"/>
          <w:sz w:val="15"/>
          <w:szCs w:val="15"/>
        </w:rPr>
      </w:pPr>
      <w:r w:rsidRPr="008C2495">
        <w:rPr>
          <w:rFonts w:ascii="Arial" w:hAnsi="Arial" w:cs="Arial"/>
          <w:sz w:val="15"/>
          <w:szCs w:val="15"/>
        </w:rPr>
        <w:t>Credits consist of uncommitted funds from the Health and Hospitals Fund (HHF) transferred as at 1</w:t>
      </w:r>
      <w:r>
        <w:rPr>
          <w:rFonts w:ascii="Arial" w:hAnsi="Arial" w:cs="Arial"/>
          <w:sz w:val="15"/>
          <w:szCs w:val="15"/>
        </w:rPr>
        <w:t> </w:t>
      </w:r>
      <w:r w:rsidRPr="008C2495">
        <w:rPr>
          <w:rFonts w:ascii="Arial" w:hAnsi="Arial" w:cs="Arial"/>
          <w:sz w:val="15"/>
          <w:szCs w:val="15"/>
        </w:rPr>
        <w:t>August</w:t>
      </w:r>
      <w:r>
        <w:rPr>
          <w:rFonts w:ascii="Arial" w:hAnsi="Arial" w:cs="Arial"/>
          <w:sz w:val="15"/>
          <w:szCs w:val="15"/>
        </w:rPr>
        <w:t> </w:t>
      </w:r>
      <w:r w:rsidRPr="008C2495">
        <w:rPr>
          <w:rFonts w:ascii="Arial" w:hAnsi="Arial" w:cs="Arial"/>
          <w:sz w:val="15"/>
          <w:szCs w:val="15"/>
        </w:rPr>
        <w:t>2015, plus further contributions consisting of amounts equivalent to the estimated value of health function savings published in the 2014-15 Budget and the 2014-15 MYEFO measure, ‘A strong and sustainable Medicare’, until the capital value of the MRFF reaches $20 billion.</w:t>
      </w:r>
    </w:p>
    <w:p w:rsidR="00E4238F" w:rsidRPr="00A37DF9" w:rsidRDefault="00824C6B" w:rsidP="00E453F8">
      <w:pPr>
        <w:pStyle w:val="Heading5"/>
      </w:pPr>
      <w:r w:rsidRPr="004E1701">
        <w:br w:type="page"/>
      </w:r>
      <w:r w:rsidR="00E4238F" w:rsidRPr="00A37DF9">
        <w:lastRenderedPageBreak/>
        <w:t>Table 3.1.2.4: Building Australia Fund (BAF) - Estimates of Fund Balances</w:t>
      </w:r>
    </w:p>
    <w:tbl>
      <w:tblPr>
        <w:tblW w:w="8180" w:type="dxa"/>
        <w:tblInd w:w="93" w:type="dxa"/>
        <w:tblLook w:val="04A0"/>
      </w:tblPr>
      <w:tblGrid>
        <w:gridCol w:w="2260"/>
        <w:gridCol w:w="866"/>
        <w:gridCol w:w="1060"/>
        <w:gridCol w:w="1035"/>
        <w:gridCol w:w="1020"/>
        <w:gridCol w:w="1020"/>
        <w:gridCol w:w="1020"/>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Building Australia Fund </w:t>
            </w:r>
            <w:r w:rsidRPr="00C5570B">
              <w:rPr>
                <w:rFonts w:ascii="Arial" w:hAnsi="Arial" w:cs="Arial"/>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FF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color w:val="FF0000"/>
                <w:sz w:val="16"/>
                <w:szCs w:val="16"/>
              </w:rPr>
            </w:pPr>
            <w:r w:rsidRPr="00C5570B">
              <w:rPr>
                <w:rFonts w:ascii="Arial" w:hAnsi="Arial" w:cs="Arial"/>
                <w:color w:val="FF0000"/>
                <w:sz w:val="16"/>
                <w:szCs w:val="16"/>
              </w:rPr>
              <w:t> </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color w:val="FF0000"/>
                <w:sz w:val="16"/>
                <w:szCs w:val="16"/>
              </w:rPr>
            </w:pPr>
            <w:r w:rsidRPr="00C5570B">
              <w:rPr>
                <w:rFonts w:ascii="Arial" w:hAnsi="Arial" w:cs="Arial"/>
                <w:color w:val="FF0000"/>
                <w:sz w:val="16"/>
                <w:szCs w:val="16"/>
              </w:rPr>
              <w:t> </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r w:rsidRPr="00C5570B">
              <w:rPr>
                <w:rFonts w:ascii="Arial" w:hAnsi="Arial" w:cs="Arial"/>
                <w:i/>
                <w:iCs/>
                <w:color w:val="FF0000"/>
                <w:sz w:val="16"/>
                <w:szCs w:val="16"/>
              </w:rPr>
              <w:t> </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r w:rsidRPr="00C5570B">
              <w:rPr>
                <w:rFonts w:ascii="Arial" w:hAnsi="Arial" w:cs="Arial"/>
                <w:i/>
                <w:iCs/>
                <w:color w:val="FF0000"/>
                <w:sz w:val="16"/>
                <w:szCs w:val="16"/>
              </w:rPr>
              <w:t> </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3,691,510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3,616,414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r w:rsidRPr="00C5570B">
              <w:rPr>
                <w:rFonts w:ascii="Arial" w:hAnsi="Arial" w:cs="Arial"/>
                <w:i/>
                <w:iCs/>
                <w:color w:val="FF0000"/>
                <w:sz w:val="16"/>
                <w:szCs w:val="16"/>
              </w:rPr>
              <w:t> </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r w:rsidRPr="00C5570B">
              <w:rPr>
                <w:rFonts w:ascii="Arial" w:hAnsi="Arial" w:cs="Arial"/>
                <w:i/>
                <w:iCs/>
                <w:color w:val="FF0000"/>
                <w:sz w:val="16"/>
                <w:szCs w:val="16"/>
              </w:rPr>
              <w:t> </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FF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color w:val="FF0000"/>
                <w:sz w:val="16"/>
                <w:szCs w:val="16"/>
              </w:rPr>
            </w:pPr>
            <w:r w:rsidRPr="00C5570B">
              <w:rPr>
                <w:rFonts w:ascii="Arial" w:hAnsi="Arial" w:cs="Arial"/>
                <w:color w:val="FF0000"/>
                <w:sz w:val="16"/>
                <w:szCs w:val="16"/>
              </w:rPr>
              <w:t> </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color w:val="FF0000"/>
                <w:sz w:val="16"/>
                <w:szCs w:val="16"/>
              </w:rPr>
            </w:pPr>
            <w:r w:rsidRPr="00C5570B">
              <w:rPr>
                <w:rFonts w:ascii="Arial" w:hAnsi="Arial" w:cs="Arial"/>
                <w:color w:val="FF0000"/>
                <w:sz w:val="16"/>
                <w:szCs w:val="16"/>
              </w:rPr>
              <w:t> </w:t>
            </w: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112,873</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54,207</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(3,289)</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(1,626)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Portfolio Special</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accounts for project payments </w:t>
            </w:r>
            <w:r w:rsidRPr="00C5570B">
              <w:rPr>
                <w:rFonts w:ascii="Arial" w:hAnsi="Arial" w:cs="Arial"/>
                <w:sz w:val="16"/>
                <w:szCs w:val="16"/>
                <w:vertAlign w:val="superscript"/>
              </w:rPr>
              <w:t>2</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BAF Infrastructure Portfolio</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(184,680)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(54,460)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Closure: Transfer to Consolidated</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Revenue Fund - Equity</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i/>
                <w:iCs/>
                <w:sz w:val="16"/>
                <w:szCs w:val="16"/>
              </w:rPr>
            </w:pPr>
            <w:r w:rsidRPr="00C5570B">
              <w:rPr>
                <w:rFonts w:ascii="Arial" w:hAnsi="Arial" w:cs="Arial"/>
                <w:i/>
                <w:iCs/>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(3,614,535)</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i/>
                <w:iCs/>
                <w:sz w:val="16"/>
                <w:szCs w:val="16"/>
              </w:rPr>
            </w:pPr>
            <w:r w:rsidRPr="00C5570B">
              <w:rPr>
                <w:rFonts w:ascii="Arial" w:hAnsi="Arial" w:cs="Arial"/>
                <w:i/>
                <w:iCs/>
                <w:sz w:val="16"/>
                <w:szCs w:val="16"/>
              </w:rPr>
              <w:t>-</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i/>
                <w:iCs/>
                <w:sz w:val="16"/>
                <w:szCs w:val="16"/>
              </w:rPr>
            </w:pPr>
            <w:r w:rsidRPr="00C5570B">
              <w:rPr>
                <w:rFonts w:ascii="Arial" w:hAnsi="Arial" w:cs="Arial"/>
                <w:i/>
                <w:iCs/>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sz w:val="16"/>
                <w:szCs w:val="16"/>
              </w:rPr>
            </w:pPr>
            <w:r w:rsidRPr="00C5570B">
              <w:rPr>
                <w:rFonts w:ascii="Arial" w:hAnsi="Arial" w:cs="Arial"/>
                <w:i/>
                <w:iCs/>
                <w:sz w:val="16"/>
                <w:szCs w:val="16"/>
              </w:rPr>
              <w:t> </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sz w:val="16"/>
                <w:szCs w:val="16"/>
              </w:rPr>
            </w:pPr>
            <w:r w:rsidRPr="00C5570B">
              <w:rPr>
                <w:rFonts w:ascii="Arial" w:hAnsi="Arial" w:cs="Arial"/>
                <w:i/>
                <w:iCs/>
                <w:sz w:val="16"/>
                <w:szCs w:val="16"/>
              </w:rPr>
              <w:t> </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sz w:val="16"/>
                <w:szCs w:val="16"/>
              </w:rPr>
            </w:pPr>
            <w:r w:rsidRPr="00C5570B">
              <w:rPr>
                <w:rFonts w:ascii="Arial" w:hAnsi="Arial" w:cs="Arial"/>
                <w:i/>
                <w:iCs/>
                <w:sz w:val="16"/>
                <w:szCs w:val="16"/>
              </w:rPr>
              <w:t> </w:t>
            </w: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3,616,414</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r>
    </w:tbl>
    <w:p w:rsidR="00F26509" w:rsidRPr="00F26509" w:rsidRDefault="00F26509" w:rsidP="00F26509">
      <w:pPr>
        <w:spacing w:after="0" w:line="240" w:lineRule="auto"/>
        <w:rPr>
          <w:sz w:val="6"/>
        </w:rPr>
      </w:pPr>
    </w:p>
    <w:p w:rsidR="000E212B" w:rsidRDefault="000E212B" w:rsidP="00A37DF9">
      <w:pPr>
        <w:pStyle w:val="ListParagraph"/>
        <w:numPr>
          <w:ilvl w:val="0"/>
          <w:numId w:val="37"/>
        </w:numPr>
        <w:spacing w:before="60" w:after="60" w:line="240" w:lineRule="auto"/>
        <w:ind w:left="426" w:hanging="426"/>
        <w:contextualSpacing w:val="0"/>
        <w:outlineLvl w:val="6"/>
        <w:rPr>
          <w:rFonts w:ascii="Arial" w:hAnsi="Arial" w:cs="Arial"/>
          <w:sz w:val="15"/>
          <w:szCs w:val="15"/>
        </w:rPr>
      </w:pPr>
      <w:r w:rsidRPr="000E212B">
        <w:rPr>
          <w:rFonts w:ascii="Arial" w:hAnsi="Arial" w:cs="Arial"/>
          <w:sz w:val="15"/>
          <w:szCs w:val="15"/>
        </w:rPr>
        <w:t xml:space="preserve">The </w:t>
      </w:r>
      <w:r>
        <w:rPr>
          <w:rFonts w:ascii="Arial" w:hAnsi="Arial" w:cs="Arial"/>
          <w:sz w:val="15"/>
          <w:szCs w:val="15"/>
        </w:rPr>
        <w:t>BAF</w:t>
      </w:r>
      <w:r w:rsidRPr="000E212B">
        <w:rPr>
          <w:rFonts w:ascii="Arial" w:hAnsi="Arial" w:cs="Arial"/>
          <w:sz w:val="15"/>
          <w:szCs w:val="15"/>
        </w:rPr>
        <w:t xml:space="preserve"> consists of the </w:t>
      </w:r>
      <w:r>
        <w:rPr>
          <w:rFonts w:ascii="Arial" w:hAnsi="Arial" w:cs="Arial"/>
          <w:sz w:val="15"/>
          <w:szCs w:val="15"/>
        </w:rPr>
        <w:t>BAF</w:t>
      </w:r>
      <w:r w:rsidRPr="000E212B">
        <w:rPr>
          <w:rFonts w:ascii="Arial" w:hAnsi="Arial" w:cs="Arial"/>
          <w:sz w:val="15"/>
          <w:szCs w:val="15"/>
        </w:rPr>
        <w:t xml:space="preserve"> Special Account and investments of the </w:t>
      </w:r>
      <w:r>
        <w:rPr>
          <w:rFonts w:ascii="Arial" w:hAnsi="Arial" w:cs="Arial"/>
          <w:sz w:val="15"/>
          <w:szCs w:val="15"/>
        </w:rPr>
        <w:t>BAF</w:t>
      </w:r>
      <w:r w:rsidRPr="000E212B">
        <w:rPr>
          <w:rFonts w:ascii="Arial" w:hAnsi="Arial" w:cs="Arial"/>
          <w:sz w:val="15"/>
          <w:szCs w:val="15"/>
        </w:rPr>
        <w:t xml:space="preserve">. The investments are managed by the Future Fund Board of Guardians. The special account is used to record all transactions relating to the </w:t>
      </w:r>
      <w:r>
        <w:rPr>
          <w:rFonts w:ascii="Arial" w:hAnsi="Arial" w:cs="Arial"/>
          <w:sz w:val="15"/>
          <w:szCs w:val="15"/>
        </w:rPr>
        <w:t>BAF</w:t>
      </w:r>
      <w:r w:rsidRPr="000E212B">
        <w:rPr>
          <w:rFonts w:ascii="Arial" w:hAnsi="Arial" w:cs="Arial"/>
          <w:sz w:val="15"/>
          <w:szCs w:val="15"/>
        </w:rPr>
        <w:t xml:space="preserve">, including interest received and payments.  The </w:t>
      </w:r>
      <w:r>
        <w:rPr>
          <w:rFonts w:ascii="Arial" w:hAnsi="Arial" w:cs="Arial"/>
          <w:sz w:val="15"/>
          <w:szCs w:val="15"/>
        </w:rPr>
        <w:t>BAF</w:t>
      </w:r>
      <w:r w:rsidRPr="000E212B">
        <w:rPr>
          <w:rFonts w:ascii="Arial" w:hAnsi="Arial" w:cs="Arial"/>
          <w:sz w:val="15"/>
          <w:szCs w:val="15"/>
        </w:rPr>
        <w:t xml:space="preserve"> will continue to pay existing commitments until it is abolished by 31 December 2015 through a repeal of the </w:t>
      </w:r>
      <w:r w:rsidRPr="000E212B">
        <w:rPr>
          <w:rFonts w:ascii="Arial" w:hAnsi="Arial" w:cs="Arial"/>
          <w:i/>
          <w:sz w:val="15"/>
          <w:szCs w:val="15"/>
        </w:rPr>
        <w:t>Nation-building Funds Act 2008</w:t>
      </w:r>
      <w:r>
        <w:rPr>
          <w:rFonts w:ascii="Arial" w:hAnsi="Arial" w:cs="Arial"/>
          <w:sz w:val="15"/>
          <w:szCs w:val="15"/>
        </w:rPr>
        <w:t>, and r</w:t>
      </w:r>
      <w:r w:rsidRPr="000E212B">
        <w:rPr>
          <w:rFonts w:ascii="Arial" w:hAnsi="Arial" w:cs="Arial"/>
          <w:sz w:val="15"/>
          <w:szCs w:val="15"/>
        </w:rPr>
        <w:t>emaining funds will be transferred to the Consolidated Revenue Fund</w:t>
      </w:r>
      <w:r>
        <w:rPr>
          <w:rFonts w:ascii="Arial" w:hAnsi="Arial" w:cs="Arial"/>
          <w:sz w:val="15"/>
          <w:szCs w:val="15"/>
        </w:rPr>
        <w:t xml:space="preserve"> (CRF)</w:t>
      </w:r>
      <w:r w:rsidRPr="000E212B">
        <w:rPr>
          <w:rFonts w:ascii="Arial" w:hAnsi="Arial" w:cs="Arial"/>
          <w:sz w:val="15"/>
          <w:szCs w:val="15"/>
        </w:rPr>
        <w:t>. After the fund is abolished, commit</w:t>
      </w:r>
      <w:r>
        <w:rPr>
          <w:rFonts w:ascii="Arial" w:hAnsi="Arial" w:cs="Arial"/>
          <w:sz w:val="15"/>
          <w:szCs w:val="15"/>
        </w:rPr>
        <w:t>ted funds</w:t>
      </w:r>
      <w:r w:rsidRPr="000E212B">
        <w:rPr>
          <w:rFonts w:ascii="Arial" w:hAnsi="Arial" w:cs="Arial"/>
          <w:sz w:val="15"/>
          <w:szCs w:val="15"/>
        </w:rPr>
        <w:t xml:space="preserve"> will continue to be paid from the </w:t>
      </w:r>
      <w:r>
        <w:rPr>
          <w:rFonts w:ascii="Arial" w:hAnsi="Arial" w:cs="Arial"/>
          <w:sz w:val="15"/>
          <w:szCs w:val="15"/>
        </w:rPr>
        <w:t>CRF</w:t>
      </w:r>
      <w:r w:rsidRPr="000E212B">
        <w:rPr>
          <w:rFonts w:ascii="Arial" w:hAnsi="Arial" w:cs="Arial"/>
          <w:sz w:val="15"/>
          <w:szCs w:val="15"/>
        </w:rPr>
        <w:t xml:space="preserve"> and administered by the </w:t>
      </w:r>
      <w:r w:rsidRPr="000400ED">
        <w:rPr>
          <w:rFonts w:ascii="Arial" w:hAnsi="Arial" w:cs="Arial"/>
          <w:sz w:val="15"/>
          <w:szCs w:val="15"/>
        </w:rPr>
        <w:t>Department of Infrastructure and Regional Development</w:t>
      </w:r>
      <w:r w:rsidRPr="000E212B">
        <w:rPr>
          <w:rFonts w:ascii="Arial" w:hAnsi="Arial" w:cs="Arial"/>
          <w:sz w:val="15"/>
          <w:szCs w:val="15"/>
        </w:rPr>
        <w:t xml:space="preserve">. </w:t>
      </w:r>
      <w:r>
        <w:rPr>
          <w:rFonts w:ascii="Arial" w:hAnsi="Arial" w:cs="Arial"/>
          <w:sz w:val="15"/>
          <w:szCs w:val="15"/>
        </w:rPr>
        <w:t>U</w:t>
      </w:r>
      <w:r w:rsidRPr="000E212B">
        <w:rPr>
          <w:rFonts w:ascii="Arial" w:hAnsi="Arial" w:cs="Arial"/>
          <w:sz w:val="15"/>
          <w:szCs w:val="15"/>
        </w:rPr>
        <w:t xml:space="preserve">ncommitted funds will be transferred </w:t>
      </w:r>
      <w:r w:rsidR="007A00A5">
        <w:rPr>
          <w:rFonts w:ascii="Arial" w:hAnsi="Arial" w:cs="Arial"/>
          <w:sz w:val="15"/>
          <w:szCs w:val="15"/>
        </w:rPr>
        <w:t xml:space="preserve">from the CRF </w:t>
      </w:r>
      <w:r w:rsidRPr="000E212B">
        <w:rPr>
          <w:rFonts w:ascii="Arial" w:hAnsi="Arial" w:cs="Arial"/>
          <w:sz w:val="15"/>
          <w:szCs w:val="15"/>
        </w:rPr>
        <w:t xml:space="preserve">to the </w:t>
      </w:r>
      <w:r>
        <w:rPr>
          <w:rFonts w:ascii="Arial" w:hAnsi="Arial" w:cs="Arial"/>
          <w:sz w:val="15"/>
          <w:szCs w:val="15"/>
        </w:rPr>
        <w:t xml:space="preserve">Asset Recycling Fund (ARF) </w:t>
      </w:r>
      <w:r w:rsidR="00444D99">
        <w:rPr>
          <w:rFonts w:ascii="Arial" w:hAnsi="Arial" w:cs="Arial"/>
          <w:sz w:val="15"/>
          <w:szCs w:val="15"/>
        </w:rPr>
        <w:t>on</w:t>
      </w:r>
      <w:r w:rsidRPr="000E212B">
        <w:rPr>
          <w:rFonts w:ascii="Arial" w:hAnsi="Arial" w:cs="Arial"/>
          <w:sz w:val="15"/>
          <w:szCs w:val="15"/>
        </w:rPr>
        <w:t xml:space="preserve"> </w:t>
      </w:r>
      <w:r w:rsidR="00444D99">
        <w:rPr>
          <w:rFonts w:ascii="Arial" w:hAnsi="Arial" w:cs="Arial"/>
          <w:sz w:val="15"/>
          <w:szCs w:val="15"/>
        </w:rPr>
        <w:t>1 </w:t>
      </w:r>
      <w:r>
        <w:rPr>
          <w:rFonts w:ascii="Arial" w:hAnsi="Arial" w:cs="Arial"/>
          <w:sz w:val="15"/>
          <w:szCs w:val="15"/>
        </w:rPr>
        <w:t>January</w:t>
      </w:r>
      <w:r w:rsidR="00444D99">
        <w:rPr>
          <w:rFonts w:ascii="Arial" w:hAnsi="Arial" w:cs="Arial"/>
          <w:sz w:val="15"/>
          <w:szCs w:val="15"/>
        </w:rPr>
        <w:t> </w:t>
      </w:r>
      <w:r>
        <w:rPr>
          <w:rFonts w:ascii="Arial" w:hAnsi="Arial" w:cs="Arial"/>
          <w:sz w:val="15"/>
          <w:szCs w:val="15"/>
        </w:rPr>
        <w:t>2016</w:t>
      </w:r>
      <w:r w:rsidRPr="000E212B">
        <w:rPr>
          <w:rFonts w:ascii="Arial" w:hAnsi="Arial" w:cs="Arial"/>
          <w:sz w:val="15"/>
          <w:szCs w:val="15"/>
        </w:rPr>
        <w:t>.</w:t>
      </w:r>
      <w:r w:rsidR="004E1701" w:rsidRPr="000400ED">
        <w:rPr>
          <w:rFonts w:ascii="Arial" w:hAnsi="Arial" w:cs="Arial"/>
          <w:sz w:val="15"/>
          <w:szCs w:val="15"/>
        </w:rPr>
        <w:t xml:space="preserve"> </w:t>
      </w:r>
    </w:p>
    <w:p w:rsidR="004E1701" w:rsidRPr="000400ED" w:rsidRDefault="004E1701" w:rsidP="00A37DF9">
      <w:pPr>
        <w:pStyle w:val="ListParagraph"/>
        <w:numPr>
          <w:ilvl w:val="0"/>
          <w:numId w:val="37"/>
        </w:numPr>
        <w:spacing w:before="60" w:after="60" w:line="240" w:lineRule="auto"/>
        <w:ind w:left="426" w:hanging="426"/>
        <w:contextualSpacing w:val="0"/>
        <w:outlineLvl w:val="6"/>
        <w:rPr>
          <w:rFonts w:ascii="Arial" w:hAnsi="Arial" w:cs="Arial"/>
          <w:sz w:val="15"/>
          <w:szCs w:val="15"/>
        </w:rPr>
      </w:pPr>
      <w:r w:rsidRPr="000400ED">
        <w:rPr>
          <w:rFonts w:ascii="Arial" w:hAnsi="Arial" w:cs="Arial"/>
          <w:sz w:val="15"/>
          <w:szCs w:val="15"/>
        </w:rPr>
        <w:t>The transfers relate to projects approved as at the time of the Budget. Amounts to be paid to the States and Territories may be transferred, through the relevant BAF Portfolio Special Account, to the COAG Reform Fund Special Account. Amounts also include payments classified as equity transfers in the budgeted financial statements.</w:t>
      </w:r>
    </w:p>
    <w:p w:rsidR="00E4238F" w:rsidRPr="00793F50" w:rsidRDefault="004E1701" w:rsidP="00E453F8">
      <w:pPr>
        <w:pStyle w:val="Heading5"/>
      </w:pPr>
      <w:r w:rsidRPr="002E65EA">
        <w:br w:type="page"/>
      </w:r>
      <w:r w:rsidR="00E4238F" w:rsidRPr="00793F50">
        <w:lastRenderedPageBreak/>
        <w:t>Table 3.1.2.5: Education Investment Fund (EIF) - Estimates of Fund Balances</w:t>
      </w:r>
    </w:p>
    <w:tbl>
      <w:tblPr>
        <w:tblW w:w="8180" w:type="dxa"/>
        <w:tblInd w:w="93" w:type="dxa"/>
        <w:tblLook w:val="04A0"/>
      </w:tblPr>
      <w:tblGrid>
        <w:gridCol w:w="2260"/>
        <w:gridCol w:w="866"/>
        <w:gridCol w:w="1060"/>
        <w:gridCol w:w="1035"/>
        <w:gridCol w:w="1020"/>
        <w:gridCol w:w="1020"/>
        <w:gridCol w:w="1020"/>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Education Investment</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 xml:space="preserve">Fund </w:t>
            </w:r>
            <w:r w:rsidRPr="00C5570B">
              <w:rPr>
                <w:rFonts w:ascii="Arial" w:hAnsi="Arial" w:cs="Arial"/>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3,796,756</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3,689,238</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114,205</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55,429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(4,310)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(2,126)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Portfolio Special</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accounts for project payments </w:t>
            </w:r>
            <w:r w:rsidRPr="00C5570B">
              <w:rPr>
                <w:rFonts w:ascii="Arial" w:hAnsi="Arial" w:cs="Arial"/>
                <w:sz w:val="16"/>
                <w:szCs w:val="16"/>
                <w:vertAlign w:val="superscript"/>
              </w:rPr>
              <w:t>2</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EIF Education Portfolio</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(142,463)</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(36,628)</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EIF Research Portfolio</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(70,950)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EIF Research Portfolio</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Equity</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(4,000)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Closure: Transfer to Consolidated</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Revenue Fund - Equity</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(3,705,913)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3,689,238</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r>
    </w:tbl>
    <w:p w:rsidR="00F26509" w:rsidRPr="00F26509" w:rsidRDefault="00F26509" w:rsidP="00F26509">
      <w:pPr>
        <w:spacing w:after="0" w:line="240" w:lineRule="auto"/>
        <w:rPr>
          <w:sz w:val="6"/>
        </w:rPr>
      </w:pPr>
    </w:p>
    <w:p w:rsidR="000400ED" w:rsidRPr="000E212B" w:rsidRDefault="004E1701" w:rsidP="00A37DF9">
      <w:pPr>
        <w:pStyle w:val="ListParagraph"/>
        <w:numPr>
          <w:ilvl w:val="0"/>
          <w:numId w:val="38"/>
        </w:numPr>
        <w:spacing w:before="60" w:after="60" w:line="240" w:lineRule="auto"/>
        <w:ind w:left="426" w:hanging="426"/>
        <w:contextualSpacing w:val="0"/>
        <w:outlineLvl w:val="6"/>
        <w:rPr>
          <w:rFonts w:ascii="Arial" w:hAnsi="Arial" w:cs="Arial"/>
          <w:sz w:val="15"/>
          <w:szCs w:val="15"/>
        </w:rPr>
      </w:pPr>
      <w:r w:rsidRPr="000E212B">
        <w:rPr>
          <w:rFonts w:ascii="Arial" w:hAnsi="Arial" w:cs="Arial"/>
          <w:sz w:val="15"/>
          <w:szCs w:val="15"/>
        </w:rPr>
        <w:t xml:space="preserve">The EIF consists of the EIF Special Account and investments of the EIF. The investments are managed by the Future Fund Board of Guardians. The special account is used to record all transactions relating to the EIF, including interest received and payments.  </w:t>
      </w:r>
      <w:r w:rsidR="000E212B" w:rsidRPr="000E212B">
        <w:rPr>
          <w:rFonts w:ascii="Arial" w:hAnsi="Arial" w:cs="Arial"/>
          <w:sz w:val="15"/>
          <w:szCs w:val="15"/>
        </w:rPr>
        <w:t xml:space="preserve">The EIF will continue to pay existing commitments until it is abolished by 31 December 2015 through a repeal of the </w:t>
      </w:r>
      <w:r w:rsidR="000E212B" w:rsidRPr="000E212B">
        <w:rPr>
          <w:rFonts w:ascii="Arial" w:hAnsi="Arial" w:cs="Arial"/>
          <w:i/>
          <w:sz w:val="15"/>
          <w:szCs w:val="15"/>
        </w:rPr>
        <w:t>Nation-building Funds Act 2008</w:t>
      </w:r>
      <w:r w:rsidR="000E212B">
        <w:rPr>
          <w:rFonts w:ascii="Arial" w:hAnsi="Arial" w:cs="Arial"/>
          <w:sz w:val="15"/>
          <w:szCs w:val="15"/>
        </w:rPr>
        <w:t>, and r</w:t>
      </w:r>
      <w:r w:rsidR="000E212B" w:rsidRPr="000E212B">
        <w:rPr>
          <w:rFonts w:ascii="Arial" w:hAnsi="Arial" w:cs="Arial"/>
          <w:sz w:val="15"/>
          <w:szCs w:val="15"/>
        </w:rPr>
        <w:t>emaining funds will be transferred to the Consolidated Revenue Fund</w:t>
      </w:r>
      <w:r w:rsidR="000E212B">
        <w:rPr>
          <w:rFonts w:ascii="Arial" w:hAnsi="Arial" w:cs="Arial"/>
          <w:sz w:val="15"/>
          <w:szCs w:val="15"/>
        </w:rPr>
        <w:t xml:space="preserve"> (CRF)</w:t>
      </w:r>
      <w:r w:rsidR="000E212B" w:rsidRPr="000E212B">
        <w:rPr>
          <w:rFonts w:ascii="Arial" w:hAnsi="Arial" w:cs="Arial"/>
          <w:sz w:val="15"/>
          <w:szCs w:val="15"/>
        </w:rPr>
        <w:t>. After the fund is abolished, commit</w:t>
      </w:r>
      <w:r w:rsidR="000E212B">
        <w:rPr>
          <w:rFonts w:ascii="Arial" w:hAnsi="Arial" w:cs="Arial"/>
          <w:sz w:val="15"/>
          <w:szCs w:val="15"/>
        </w:rPr>
        <w:t>ted funds</w:t>
      </w:r>
      <w:r w:rsidR="000E212B" w:rsidRPr="000E212B">
        <w:rPr>
          <w:rFonts w:ascii="Arial" w:hAnsi="Arial" w:cs="Arial"/>
          <w:sz w:val="15"/>
          <w:szCs w:val="15"/>
        </w:rPr>
        <w:t xml:space="preserve"> will continue to be paid from the </w:t>
      </w:r>
      <w:r w:rsidR="000E212B">
        <w:rPr>
          <w:rFonts w:ascii="Arial" w:hAnsi="Arial" w:cs="Arial"/>
          <w:sz w:val="15"/>
          <w:szCs w:val="15"/>
        </w:rPr>
        <w:t>CRF</w:t>
      </w:r>
      <w:r w:rsidR="000E212B" w:rsidRPr="000E212B">
        <w:rPr>
          <w:rFonts w:ascii="Arial" w:hAnsi="Arial" w:cs="Arial"/>
          <w:sz w:val="15"/>
          <w:szCs w:val="15"/>
        </w:rPr>
        <w:t xml:space="preserve"> and administered by the Department of Education. </w:t>
      </w:r>
      <w:r w:rsidR="000E212B">
        <w:rPr>
          <w:rFonts w:ascii="Arial" w:hAnsi="Arial" w:cs="Arial"/>
          <w:sz w:val="15"/>
          <w:szCs w:val="15"/>
        </w:rPr>
        <w:t>U</w:t>
      </w:r>
      <w:r w:rsidRPr="000E212B">
        <w:rPr>
          <w:rFonts w:ascii="Arial" w:hAnsi="Arial" w:cs="Arial"/>
          <w:sz w:val="15"/>
          <w:szCs w:val="15"/>
        </w:rPr>
        <w:t xml:space="preserve">ncommitted funds will be transferred </w:t>
      </w:r>
      <w:r w:rsidR="007A00A5">
        <w:rPr>
          <w:rFonts w:ascii="Arial" w:hAnsi="Arial" w:cs="Arial"/>
          <w:sz w:val="15"/>
          <w:szCs w:val="15"/>
        </w:rPr>
        <w:t xml:space="preserve">from the CRF </w:t>
      </w:r>
      <w:r w:rsidRPr="000E212B">
        <w:rPr>
          <w:rFonts w:ascii="Arial" w:hAnsi="Arial" w:cs="Arial"/>
          <w:sz w:val="15"/>
          <w:szCs w:val="15"/>
        </w:rPr>
        <w:t xml:space="preserve">to the </w:t>
      </w:r>
      <w:r w:rsidR="000E212B">
        <w:rPr>
          <w:rFonts w:ascii="Arial" w:hAnsi="Arial" w:cs="Arial"/>
          <w:sz w:val="15"/>
          <w:szCs w:val="15"/>
        </w:rPr>
        <w:t xml:space="preserve">Asset Recycling Fund (ARF) </w:t>
      </w:r>
      <w:r w:rsidR="00444D99">
        <w:rPr>
          <w:rFonts w:ascii="Arial" w:hAnsi="Arial" w:cs="Arial"/>
          <w:sz w:val="15"/>
          <w:szCs w:val="15"/>
        </w:rPr>
        <w:t>on 1 </w:t>
      </w:r>
      <w:r w:rsidR="000E212B">
        <w:rPr>
          <w:rFonts w:ascii="Arial" w:hAnsi="Arial" w:cs="Arial"/>
          <w:sz w:val="15"/>
          <w:szCs w:val="15"/>
        </w:rPr>
        <w:t>January</w:t>
      </w:r>
      <w:r w:rsidR="00444D99">
        <w:rPr>
          <w:rFonts w:ascii="Arial" w:hAnsi="Arial" w:cs="Arial"/>
          <w:sz w:val="15"/>
          <w:szCs w:val="15"/>
        </w:rPr>
        <w:t> </w:t>
      </w:r>
      <w:r w:rsidR="000E212B">
        <w:rPr>
          <w:rFonts w:ascii="Arial" w:hAnsi="Arial" w:cs="Arial"/>
          <w:sz w:val="15"/>
          <w:szCs w:val="15"/>
        </w:rPr>
        <w:t>2016</w:t>
      </w:r>
      <w:r w:rsidR="00444D99">
        <w:rPr>
          <w:rFonts w:ascii="Arial" w:hAnsi="Arial" w:cs="Arial"/>
          <w:sz w:val="15"/>
          <w:szCs w:val="15"/>
        </w:rPr>
        <w:t>.</w:t>
      </w:r>
    </w:p>
    <w:p w:rsidR="004E1701" w:rsidRPr="000400ED" w:rsidRDefault="004E1701" w:rsidP="00A37DF9">
      <w:pPr>
        <w:pStyle w:val="ListParagraph"/>
        <w:numPr>
          <w:ilvl w:val="0"/>
          <w:numId w:val="38"/>
        </w:numPr>
        <w:spacing w:before="60" w:after="60" w:line="240" w:lineRule="auto"/>
        <w:ind w:left="426" w:hanging="426"/>
        <w:contextualSpacing w:val="0"/>
        <w:outlineLvl w:val="6"/>
        <w:rPr>
          <w:rFonts w:ascii="Arial" w:hAnsi="Arial" w:cs="Arial"/>
          <w:sz w:val="15"/>
          <w:szCs w:val="15"/>
        </w:rPr>
      </w:pPr>
      <w:r w:rsidRPr="000400ED">
        <w:rPr>
          <w:rFonts w:ascii="Arial" w:hAnsi="Arial" w:cs="Arial"/>
          <w:sz w:val="15"/>
          <w:szCs w:val="15"/>
        </w:rPr>
        <w:t>The transfers relate to projects approved as at the time of Budget. Amounts to be paid to the States and Territories may be transferred, through the relevant EIF Portfolio Special Account, to the COAG Reform Fund Special Account. Amounts also include payments classified as equity transfers in the budgeted financial statements.</w:t>
      </w:r>
    </w:p>
    <w:p w:rsidR="00E4238F" w:rsidRPr="00793F50" w:rsidRDefault="00824C6B" w:rsidP="00E453F8">
      <w:pPr>
        <w:pStyle w:val="Heading5"/>
      </w:pPr>
      <w:r>
        <w:br w:type="page"/>
      </w:r>
      <w:r w:rsidR="00E4238F" w:rsidRPr="00793F50">
        <w:lastRenderedPageBreak/>
        <w:t xml:space="preserve">Table 3.1.2.6: </w:t>
      </w:r>
      <w:r w:rsidRPr="00793F50">
        <w:t>Health and Hospitals</w:t>
      </w:r>
      <w:r w:rsidR="00E4238F" w:rsidRPr="00793F50">
        <w:t xml:space="preserve"> Fund (</w:t>
      </w:r>
      <w:r w:rsidRPr="00793F50">
        <w:t>HH</w:t>
      </w:r>
      <w:r w:rsidR="00E4238F" w:rsidRPr="00793F50">
        <w:t>F) - Estimates of Fund Balances</w:t>
      </w:r>
    </w:p>
    <w:tbl>
      <w:tblPr>
        <w:tblW w:w="8180" w:type="dxa"/>
        <w:tblInd w:w="93" w:type="dxa"/>
        <w:tblLook w:val="04A0"/>
      </w:tblPr>
      <w:tblGrid>
        <w:gridCol w:w="2260"/>
        <w:gridCol w:w="866"/>
        <w:gridCol w:w="1060"/>
        <w:gridCol w:w="1035"/>
        <w:gridCol w:w="1020"/>
        <w:gridCol w:w="1020"/>
        <w:gridCol w:w="1020"/>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Health and Hospitals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 xml:space="preserve">Fund </w:t>
            </w:r>
            <w:r w:rsidRPr="00C5570B">
              <w:rPr>
                <w:rFonts w:ascii="Arial" w:hAnsi="Arial" w:cs="Arial"/>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2,169,532</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1,507,981</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60,299</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4,085</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(2,048)</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(153)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Portfolio Special</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accounts for project payments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 xml:space="preserve">HHF Health Portfolio </w:t>
            </w:r>
            <w:r w:rsidRPr="00C5570B">
              <w:rPr>
                <w:rFonts w:ascii="Arial" w:hAnsi="Arial" w:cs="Arial"/>
                <w:sz w:val="16"/>
                <w:szCs w:val="16"/>
                <w:vertAlign w:val="superscript"/>
              </w:rPr>
              <w:t>2</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(719,802)</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(35,174)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Closure: Transfer to Consolidated</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Revenue Fund - Equity</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(1,476,739)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400" w:firstLine="64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1,507,982</w:t>
            </w:r>
          </w:p>
        </w:tc>
        <w:tc>
          <w:tcPr>
            <w:tcW w:w="1000" w:type="dxa"/>
            <w:tcBorders>
              <w:top w:val="single" w:sz="4" w:space="0" w:color="auto"/>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r>
    </w:tbl>
    <w:p w:rsidR="00F26509" w:rsidRPr="00F26509" w:rsidRDefault="00F26509" w:rsidP="00F26509">
      <w:pPr>
        <w:spacing w:after="0" w:line="240" w:lineRule="auto"/>
        <w:rPr>
          <w:sz w:val="6"/>
        </w:rPr>
      </w:pPr>
    </w:p>
    <w:p w:rsidR="000E212B" w:rsidRDefault="000E212B" w:rsidP="00A37DF9">
      <w:pPr>
        <w:pStyle w:val="ListParagraph"/>
        <w:numPr>
          <w:ilvl w:val="0"/>
          <w:numId w:val="39"/>
        </w:numPr>
        <w:spacing w:before="60" w:after="60" w:line="240" w:lineRule="auto"/>
        <w:ind w:left="426" w:hanging="426"/>
        <w:contextualSpacing w:val="0"/>
        <w:outlineLvl w:val="6"/>
        <w:rPr>
          <w:rFonts w:ascii="Arial" w:hAnsi="Arial" w:cs="Arial"/>
          <w:sz w:val="15"/>
          <w:szCs w:val="15"/>
        </w:rPr>
      </w:pPr>
      <w:r w:rsidRPr="000E212B">
        <w:rPr>
          <w:rFonts w:ascii="Arial" w:hAnsi="Arial" w:cs="Arial"/>
          <w:sz w:val="15"/>
          <w:szCs w:val="15"/>
        </w:rPr>
        <w:t xml:space="preserve">The </w:t>
      </w:r>
      <w:r>
        <w:rPr>
          <w:rFonts w:ascii="Arial" w:hAnsi="Arial" w:cs="Arial"/>
          <w:sz w:val="15"/>
          <w:szCs w:val="15"/>
        </w:rPr>
        <w:t>HHF</w:t>
      </w:r>
      <w:r w:rsidRPr="000E212B">
        <w:rPr>
          <w:rFonts w:ascii="Arial" w:hAnsi="Arial" w:cs="Arial"/>
          <w:sz w:val="15"/>
          <w:szCs w:val="15"/>
        </w:rPr>
        <w:t xml:space="preserve"> consists of the </w:t>
      </w:r>
      <w:r>
        <w:rPr>
          <w:rFonts w:ascii="Arial" w:hAnsi="Arial" w:cs="Arial"/>
          <w:sz w:val="15"/>
          <w:szCs w:val="15"/>
        </w:rPr>
        <w:t>HHF</w:t>
      </w:r>
      <w:r w:rsidRPr="000E212B">
        <w:rPr>
          <w:rFonts w:ascii="Arial" w:hAnsi="Arial" w:cs="Arial"/>
          <w:sz w:val="15"/>
          <w:szCs w:val="15"/>
        </w:rPr>
        <w:t xml:space="preserve"> Special Account and investments of the </w:t>
      </w:r>
      <w:r>
        <w:rPr>
          <w:rFonts w:ascii="Arial" w:hAnsi="Arial" w:cs="Arial"/>
          <w:sz w:val="15"/>
          <w:szCs w:val="15"/>
        </w:rPr>
        <w:t>HHF</w:t>
      </w:r>
      <w:r w:rsidRPr="000E212B">
        <w:rPr>
          <w:rFonts w:ascii="Arial" w:hAnsi="Arial" w:cs="Arial"/>
          <w:sz w:val="15"/>
          <w:szCs w:val="15"/>
        </w:rPr>
        <w:t xml:space="preserve">. The investments are managed by the Future Fund Board of Guardians. The special account is used to record all transactions relating to the </w:t>
      </w:r>
      <w:r>
        <w:rPr>
          <w:rFonts w:ascii="Arial" w:hAnsi="Arial" w:cs="Arial"/>
          <w:sz w:val="15"/>
          <w:szCs w:val="15"/>
        </w:rPr>
        <w:t>HHF</w:t>
      </w:r>
      <w:r w:rsidRPr="000E212B">
        <w:rPr>
          <w:rFonts w:ascii="Arial" w:hAnsi="Arial" w:cs="Arial"/>
          <w:sz w:val="15"/>
          <w:szCs w:val="15"/>
        </w:rPr>
        <w:t xml:space="preserve">, including interest received and payments.  The </w:t>
      </w:r>
      <w:r>
        <w:rPr>
          <w:rFonts w:ascii="Arial" w:hAnsi="Arial" w:cs="Arial"/>
          <w:sz w:val="15"/>
          <w:szCs w:val="15"/>
        </w:rPr>
        <w:t>HHF</w:t>
      </w:r>
      <w:r w:rsidRPr="000E212B">
        <w:rPr>
          <w:rFonts w:ascii="Arial" w:hAnsi="Arial" w:cs="Arial"/>
          <w:sz w:val="15"/>
          <w:szCs w:val="15"/>
        </w:rPr>
        <w:t xml:space="preserve"> will continue to pay existing commitments until it is abolished by 31 </w:t>
      </w:r>
      <w:r>
        <w:rPr>
          <w:rFonts w:ascii="Arial" w:hAnsi="Arial" w:cs="Arial"/>
          <w:sz w:val="15"/>
          <w:szCs w:val="15"/>
        </w:rPr>
        <w:t>July</w:t>
      </w:r>
      <w:r w:rsidRPr="000E212B">
        <w:rPr>
          <w:rFonts w:ascii="Arial" w:hAnsi="Arial" w:cs="Arial"/>
          <w:sz w:val="15"/>
          <w:szCs w:val="15"/>
        </w:rPr>
        <w:t xml:space="preserve"> 2015 through a repeal of the </w:t>
      </w:r>
      <w:r w:rsidRPr="000E212B">
        <w:rPr>
          <w:rFonts w:ascii="Arial" w:hAnsi="Arial" w:cs="Arial"/>
          <w:i/>
          <w:sz w:val="15"/>
          <w:szCs w:val="15"/>
        </w:rPr>
        <w:t>Nation-building Funds Act 2008</w:t>
      </w:r>
      <w:r>
        <w:rPr>
          <w:rFonts w:ascii="Arial" w:hAnsi="Arial" w:cs="Arial"/>
          <w:sz w:val="15"/>
          <w:szCs w:val="15"/>
        </w:rPr>
        <w:t>, and r</w:t>
      </w:r>
      <w:r w:rsidRPr="000E212B">
        <w:rPr>
          <w:rFonts w:ascii="Arial" w:hAnsi="Arial" w:cs="Arial"/>
          <w:sz w:val="15"/>
          <w:szCs w:val="15"/>
        </w:rPr>
        <w:t>emaining funds will be transferred to the Consolidated Revenue Fund</w:t>
      </w:r>
      <w:r>
        <w:rPr>
          <w:rFonts w:ascii="Arial" w:hAnsi="Arial" w:cs="Arial"/>
          <w:sz w:val="15"/>
          <w:szCs w:val="15"/>
        </w:rPr>
        <w:t xml:space="preserve"> (CRF)</w:t>
      </w:r>
      <w:r w:rsidRPr="000E212B">
        <w:rPr>
          <w:rFonts w:ascii="Arial" w:hAnsi="Arial" w:cs="Arial"/>
          <w:sz w:val="15"/>
          <w:szCs w:val="15"/>
        </w:rPr>
        <w:t>. After the fund is abolished, commit</w:t>
      </w:r>
      <w:r>
        <w:rPr>
          <w:rFonts w:ascii="Arial" w:hAnsi="Arial" w:cs="Arial"/>
          <w:sz w:val="15"/>
          <w:szCs w:val="15"/>
        </w:rPr>
        <w:t>ted funds</w:t>
      </w:r>
      <w:r w:rsidRPr="000E212B">
        <w:rPr>
          <w:rFonts w:ascii="Arial" w:hAnsi="Arial" w:cs="Arial"/>
          <w:sz w:val="15"/>
          <w:szCs w:val="15"/>
        </w:rPr>
        <w:t xml:space="preserve"> will continue to be paid from the </w:t>
      </w:r>
      <w:r>
        <w:rPr>
          <w:rFonts w:ascii="Arial" w:hAnsi="Arial" w:cs="Arial"/>
          <w:sz w:val="15"/>
          <w:szCs w:val="15"/>
        </w:rPr>
        <w:t>CRF</w:t>
      </w:r>
      <w:r w:rsidRPr="000E212B">
        <w:rPr>
          <w:rFonts w:ascii="Arial" w:hAnsi="Arial" w:cs="Arial"/>
          <w:sz w:val="15"/>
          <w:szCs w:val="15"/>
        </w:rPr>
        <w:t xml:space="preserve"> and administered by the Department of </w:t>
      </w:r>
      <w:r>
        <w:rPr>
          <w:rFonts w:ascii="Arial" w:hAnsi="Arial" w:cs="Arial"/>
          <w:sz w:val="15"/>
          <w:szCs w:val="15"/>
        </w:rPr>
        <w:t>Health</w:t>
      </w:r>
      <w:r w:rsidRPr="000E212B">
        <w:rPr>
          <w:rFonts w:ascii="Arial" w:hAnsi="Arial" w:cs="Arial"/>
          <w:sz w:val="15"/>
          <w:szCs w:val="15"/>
        </w:rPr>
        <w:t xml:space="preserve">. </w:t>
      </w:r>
      <w:r>
        <w:rPr>
          <w:rFonts w:ascii="Arial" w:hAnsi="Arial" w:cs="Arial"/>
          <w:sz w:val="15"/>
          <w:szCs w:val="15"/>
        </w:rPr>
        <w:t>U</w:t>
      </w:r>
      <w:r w:rsidRPr="000E212B">
        <w:rPr>
          <w:rFonts w:ascii="Arial" w:hAnsi="Arial" w:cs="Arial"/>
          <w:sz w:val="15"/>
          <w:szCs w:val="15"/>
        </w:rPr>
        <w:t xml:space="preserve">ncommitted funds will be transferred </w:t>
      </w:r>
      <w:r w:rsidR="007A00A5">
        <w:rPr>
          <w:rFonts w:ascii="Arial" w:hAnsi="Arial" w:cs="Arial"/>
          <w:sz w:val="15"/>
          <w:szCs w:val="15"/>
        </w:rPr>
        <w:t xml:space="preserve">from the CRF </w:t>
      </w:r>
      <w:r w:rsidRPr="000E212B">
        <w:rPr>
          <w:rFonts w:ascii="Arial" w:hAnsi="Arial" w:cs="Arial"/>
          <w:sz w:val="15"/>
          <w:szCs w:val="15"/>
        </w:rPr>
        <w:t xml:space="preserve">to the </w:t>
      </w:r>
      <w:r>
        <w:rPr>
          <w:rFonts w:ascii="Arial" w:hAnsi="Arial" w:cs="Arial"/>
          <w:sz w:val="15"/>
          <w:szCs w:val="15"/>
        </w:rPr>
        <w:t xml:space="preserve">Medical Research Future Fund (MRFF) </w:t>
      </w:r>
      <w:r w:rsidR="00444D99">
        <w:rPr>
          <w:rFonts w:ascii="Arial" w:hAnsi="Arial" w:cs="Arial"/>
          <w:sz w:val="15"/>
          <w:szCs w:val="15"/>
        </w:rPr>
        <w:t>o</w:t>
      </w:r>
      <w:r w:rsidRPr="000E212B">
        <w:rPr>
          <w:rFonts w:ascii="Arial" w:hAnsi="Arial" w:cs="Arial"/>
          <w:sz w:val="15"/>
          <w:szCs w:val="15"/>
        </w:rPr>
        <w:t xml:space="preserve">n </w:t>
      </w:r>
      <w:r w:rsidR="00444D99">
        <w:rPr>
          <w:rFonts w:ascii="Arial" w:hAnsi="Arial" w:cs="Arial"/>
          <w:sz w:val="15"/>
          <w:szCs w:val="15"/>
        </w:rPr>
        <w:t>1 </w:t>
      </w:r>
      <w:r>
        <w:rPr>
          <w:rFonts w:ascii="Arial" w:hAnsi="Arial" w:cs="Arial"/>
          <w:sz w:val="15"/>
          <w:szCs w:val="15"/>
        </w:rPr>
        <w:t>August</w:t>
      </w:r>
      <w:r w:rsidR="00444D99">
        <w:rPr>
          <w:rFonts w:ascii="Arial" w:hAnsi="Arial" w:cs="Arial"/>
          <w:sz w:val="15"/>
          <w:szCs w:val="15"/>
        </w:rPr>
        <w:t> </w:t>
      </w:r>
      <w:r>
        <w:rPr>
          <w:rFonts w:ascii="Arial" w:hAnsi="Arial" w:cs="Arial"/>
          <w:sz w:val="15"/>
          <w:szCs w:val="15"/>
        </w:rPr>
        <w:t>2015</w:t>
      </w:r>
      <w:r w:rsidRPr="000E212B">
        <w:rPr>
          <w:rFonts w:ascii="Arial" w:hAnsi="Arial" w:cs="Arial"/>
          <w:sz w:val="15"/>
          <w:szCs w:val="15"/>
        </w:rPr>
        <w:t>.</w:t>
      </w:r>
    </w:p>
    <w:p w:rsidR="000400ED" w:rsidRDefault="004E1701" w:rsidP="00A37DF9">
      <w:pPr>
        <w:pStyle w:val="ListParagraph"/>
        <w:numPr>
          <w:ilvl w:val="0"/>
          <w:numId w:val="39"/>
        </w:numPr>
        <w:spacing w:before="60" w:after="60" w:line="240" w:lineRule="auto"/>
        <w:ind w:left="426" w:hanging="426"/>
        <w:contextualSpacing w:val="0"/>
        <w:outlineLvl w:val="6"/>
        <w:rPr>
          <w:rFonts w:ascii="Arial" w:hAnsi="Arial" w:cs="Arial"/>
          <w:sz w:val="15"/>
          <w:szCs w:val="15"/>
        </w:rPr>
      </w:pPr>
      <w:r w:rsidRPr="000400ED">
        <w:rPr>
          <w:rFonts w:ascii="Arial" w:hAnsi="Arial" w:cs="Arial"/>
          <w:sz w:val="15"/>
          <w:szCs w:val="15"/>
        </w:rPr>
        <w:t>The transfers relate to projects approved as at the time of the Budget. Amounts to be paid to the States and Territories may be transferred, through the HHF Health Portfolio Special Account, to the COAG Reform Fund Special Account.</w:t>
      </w:r>
    </w:p>
    <w:p w:rsidR="00E4238F" w:rsidRPr="00C273A1" w:rsidRDefault="00824C6B" w:rsidP="009C23DA">
      <w:pPr>
        <w:pStyle w:val="ExampleText0"/>
        <w:rPr>
          <w:color w:val="auto"/>
        </w:rPr>
      </w:pPr>
      <w:r>
        <w:br w:type="page"/>
      </w:r>
    </w:p>
    <w:p w:rsidR="00B04964" w:rsidRPr="00351283" w:rsidRDefault="00B04964" w:rsidP="00351283">
      <w:pPr>
        <w:tabs>
          <w:tab w:val="left" w:pos="709"/>
        </w:tabs>
        <w:spacing w:before="240" w:line="240" w:lineRule="auto"/>
        <w:jc w:val="left"/>
        <w:rPr>
          <w:rFonts w:ascii="Arial Bold" w:hAnsi="Arial Bold" w:cs="Arial"/>
          <w:b/>
          <w:smallCaps/>
          <w:sz w:val="26"/>
          <w:szCs w:val="26"/>
        </w:rPr>
      </w:pPr>
      <w:bookmarkStart w:id="44" w:name="_Toc416874479"/>
      <w:r w:rsidRPr="00351283">
        <w:rPr>
          <w:rFonts w:ascii="Arial Bold" w:hAnsi="Arial Bold" w:cs="Arial"/>
          <w:b/>
          <w:smallCaps/>
          <w:sz w:val="26"/>
          <w:szCs w:val="26"/>
        </w:rPr>
        <w:lastRenderedPageBreak/>
        <w:t>3.1.</w:t>
      </w:r>
      <w:r w:rsidR="00812741" w:rsidRPr="00351283">
        <w:rPr>
          <w:rFonts w:ascii="Arial Bold" w:hAnsi="Arial Bold" w:cs="Arial"/>
          <w:b/>
          <w:smallCaps/>
          <w:sz w:val="26"/>
          <w:szCs w:val="26"/>
        </w:rPr>
        <w:t>3</w:t>
      </w:r>
      <w:r w:rsidRPr="00351283">
        <w:rPr>
          <w:rFonts w:ascii="Arial Bold" w:hAnsi="Arial Bold" w:cs="Arial"/>
          <w:b/>
          <w:smallCaps/>
          <w:sz w:val="26"/>
          <w:szCs w:val="26"/>
        </w:rPr>
        <w:tab/>
        <w:t>Australian Government Indigenous Expenditure</w:t>
      </w:r>
      <w:bookmarkEnd w:id="44"/>
    </w:p>
    <w:p w:rsidR="004E1701" w:rsidRPr="002D2D6B" w:rsidRDefault="00F3255F" w:rsidP="004E1701">
      <w:pPr>
        <w:pStyle w:val="ExampleText0"/>
        <w:rPr>
          <w:color w:val="auto"/>
        </w:rPr>
      </w:pPr>
      <w:proofErr w:type="gramStart"/>
      <w:r w:rsidRPr="004E1701">
        <w:rPr>
          <w:i w:val="0"/>
          <w:color w:val="auto"/>
        </w:rPr>
        <w:t xml:space="preserve">The </w:t>
      </w:r>
      <w:r w:rsidR="00475EAF" w:rsidRPr="004E1701">
        <w:rPr>
          <w:i w:val="0"/>
          <w:color w:val="auto"/>
        </w:rPr>
        <w:t>201</w:t>
      </w:r>
      <w:r w:rsidR="00CE7933" w:rsidRPr="004E1701">
        <w:rPr>
          <w:i w:val="0"/>
          <w:color w:val="auto"/>
        </w:rPr>
        <w:t>5</w:t>
      </w:r>
      <w:r w:rsidR="00475EAF" w:rsidRPr="004E1701">
        <w:rPr>
          <w:i w:val="0"/>
          <w:color w:val="auto"/>
        </w:rPr>
        <w:t>-1</w:t>
      </w:r>
      <w:r w:rsidR="00CE7933" w:rsidRPr="004E1701">
        <w:rPr>
          <w:i w:val="0"/>
          <w:color w:val="auto"/>
        </w:rPr>
        <w:t>6</w:t>
      </w:r>
      <w:r w:rsidR="006F3C6F" w:rsidRPr="004E1701">
        <w:rPr>
          <w:i w:val="0"/>
          <w:color w:val="auto"/>
        </w:rPr>
        <w:t xml:space="preserve"> Australian Government Indigenous Statement</w:t>
      </w:r>
      <w:proofErr w:type="gramEnd"/>
      <w:r w:rsidR="006F3C6F" w:rsidRPr="004E1701">
        <w:rPr>
          <w:i w:val="0"/>
          <w:color w:val="auto"/>
        </w:rPr>
        <w:t xml:space="preserve"> is not applicable because </w:t>
      </w:r>
      <w:r w:rsidR="004E1701" w:rsidRPr="004E1701">
        <w:rPr>
          <w:i w:val="0"/>
          <w:color w:val="auto"/>
        </w:rPr>
        <w:t xml:space="preserve">the Department of Finance </w:t>
      </w:r>
      <w:r w:rsidR="006F3C6F" w:rsidRPr="004E1701">
        <w:rPr>
          <w:i w:val="0"/>
          <w:color w:val="auto"/>
        </w:rPr>
        <w:t xml:space="preserve">has no </w:t>
      </w:r>
      <w:r w:rsidR="002D2D6B">
        <w:rPr>
          <w:i w:val="0"/>
          <w:color w:val="auto"/>
        </w:rPr>
        <w:t>i</w:t>
      </w:r>
      <w:r w:rsidR="006F3C6F" w:rsidRPr="004E1701">
        <w:rPr>
          <w:i w:val="0"/>
          <w:color w:val="auto"/>
        </w:rPr>
        <w:t>ndigenous</w:t>
      </w:r>
      <w:r w:rsidR="002D2D6B">
        <w:rPr>
          <w:i w:val="0"/>
          <w:color w:val="auto"/>
        </w:rPr>
        <w:t>-</w:t>
      </w:r>
      <w:r w:rsidR="006F3C6F" w:rsidRPr="004E1701">
        <w:rPr>
          <w:i w:val="0"/>
          <w:color w:val="auto"/>
        </w:rPr>
        <w:t xml:space="preserve">specific </w:t>
      </w:r>
      <w:r w:rsidR="00FE0781" w:rsidRPr="004E1701">
        <w:rPr>
          <w:i w:val="0"/>
          <w:color w:val="auto"/>
        </w:rPr>
        <w:t>expenses.</w:t>
      </w:r>
    </w:p>
    <w:p w:rsidR="00581D30" w:rsidRPr="009C23DA" w:rsidRDefault="00581D30" w:rsidP="00FD1B30">
      <w:pPr>
        <w:pStyle w:val="TableGraphic"/>
      </w:pPr>
    </w:p>
    <w:p w:rsidR="00E4582E" w:rsidRPr="0003235D" w:rsidRDefault="000A24C4" w:rsidP="0003235D">
      <w:pPr>
        <w:pStyle w:val="Heading4"/>
        <w:spacing w:before="0"/>
      </w:pPr>
      <w:r>
        <w:br w:type="page"/>
      </w:r>
      <w:bookmarkStart w:id="45" w:name="_Toc190682317"/>
      <w:bookmarkStart w:id="46" w:name="_Toc418003408"/>
      <w:r w:rsidR="004E1701" w:rsidRPr="0003235D">
        <w:lastRenderedPageBreak/>
        <w:t>3.2</w:t>
      </w:r>
      <w:r w:rsidR="004E1701" w:rsidRPr="0003235D">
        <w:tab/>
        <w:t>Budgeted F</w:t>
      </w:r>
      <w:r w:rsidR="00E4582E" w:rsidRPr="0003235D">
        <w:t xml:space="preserve">inancial </w:t>
      </w:r>
      <w:r w:rsidR="004E1701" w:rsidRPr="0003235D">
        <w:t>S</w:t>
      </w:r>
      <w:r w:rsidR="00E4582E" w:rsidRPr="0003235D">
        <w:t>tatements</w:t>
      </w:r>
      <w:bookmarkEnd w:id="45"/>
      <w:bookmarkEnd w:id="46"/>
    </w:p>
    <w:p w:rsidR="00400B2A" w:rsidRPr="000400ED" w:rsidRDefault="00400B2A" w:rsidP="00351283">
      <w:pPr>
        <w:tabs>
          <w:tab w:val="left" w:pos="709"/>
        </w:tabs>
        <w:spacing w:before="240" w:line="240" w:lineRule="auto"/>
        <w:jc w:val="left"/>
        <w:rPr>
          <w:rFonts w:ascii="Arial Bold" w:hAnsi="Arial Bold" w:cs="Arial"/>
          <w:b/>
          <w:smallCaps/>
          <w:sz w:val="26"/>
          <w:szCs w:val="26"/>
        </w:rPr>
      </w:pPr>
      <w:bookmarkStart w:id="47" w:name="_Toc416874480"/>
      <w:r w:rsidRPr="00351283">
        <w:rPr>
          <w:rFonts w:ascii="Arial Bold" w:hAnsi="Arial Bold" w:cs="Arial"/>
          <w:b/>
          <w:smallCaps/>
          <w:sz w:val="26"/>
          <w:szCs w:val="26"/>
        </w:rPr>
        <w:t>3.2.1</w:t>
      </w:r>
      <w:r w:rsidRPr="00351283">
        <w:rPr>
          <w:rFonts w:ascii="Arial Bold" w:hAnsi="Arial Bold" w:cs="Arial"/>
          <w:b/>
          <w:smallCaps/>
          <w:sz w:val="26"/>
          <w:szCs w:val="26"/>
        </w:rPr>
        <w:tab/>
        <w:t xml:space="preserve">Differences in </w:t>
      </w:r>
      <w:r w:rsidR="00D64BE6">
        <w:rPr>
          <w:rFonts w:ascii="Arial Bold" w:hAnsi="Arial Bold" w:cs="Arial"/>
          <w:b/>
          <w:smallCaps/>
          <w:sz w:val="26"/>
          <w:szCs w:val="26"/>
        </w:rPr>
        <w:t>Entity</w:t>
      </w:r>
      <w:r w:rsidRPr="00351283">
        <w:rPr>
          <w:rFonts w:ascii="Arial Bold" w:hAnsi="Arial Bold" w:cs="Arial"/>
          <w:b/>
          <w:smallCaps/>
          <w:sz w:val="26"/>
          <w:szCs w:val="26"/>
        </w:rPr>
        <w:t xml:space="preserve"> Resourcing and Financial </w:t>
      </w:r>
      <w:r w:rsidRPr="000400ED">
        <w:rPr>
          <w:rFonts w:ascii="Arial Bold" w:hAnsi="Arial Bold" w:cs="Arial"/>
          <w:b/>
          <w:smallCaps/>
          <w:sz w:val="26"/>
          <w:szCs w:val="26"/>
        </w:rPr>
        <w:t>Statements</w:t>
      </w:r>
      <w:bookmarkEnd w:id="47"/>
    </w:p>
    <w:p w:rsidR="00400B2A" w:rsidRPr="000400ED" w:rsidRDefault="00400B2A" w:rsidP="00400B2A">
      <w:pPr>
        <w:pStyle w:val="ExampleText0"/>
        <w:rPr>
          <w:i w:val="0"/>
          <w:color w:val="auto"/>
        </w:rPr>
      </w:pPr>
      <w:r w:rsidRPr="000400ED">
        <w:rPr>
          <w:i w:val="0"/>
          <w:color w:val="auto"/>
        </w:rPr>
        <w:t xml:space="preserve">No material differences exist between </w:t>
      </w:r>
      <w:r w:rsidR="00D64BE6">
        <w:rPr>
          <w:i w:val="0"/>
          <w:color w:val="auto"/>
        </w:rPr>
        <w:t>entity</w:t>
      </w:r>
      <w:r w:rsidRPr="000400ED">
        <w:rPr>
          <w:i w:val="0"/>
          <w:color w:val="auto"/>
        </w:rPr>
        <w:t xml:space="preserve"> resourcing and the financial statements.</w:t>
      </w:r>
    </w:p>
    <w:p w:rsidR="00400B2A" w:rsidRPr="000400ED" w:rsidRDefault="00400B2A" w:rsidP="00351283">
      <w:pPr>
        <w:tabs>
          <w:tab w:val="left" w:pos="709"/>
        </w:tabs>
        <w:spacing w:before="240" w:line="240" w:lineRule="auto"/>
        <w:jc w:val="left"/>
        <w:rPr>
          <w:rFonts w:ascii="Arial Bold" w:hAnsi="Arial Bold" w:cs="Arial"/>
          <w:b/>
          <w:smallCaps/>
          <w:sz w:val="26"/>
          <w:szCs w:val="26"/>
        </w:rPr>
      </w:pPr>
      <w:bookmarkStart w:id="48" w:name="_Toc416874481"/>
      <w:r w:rsidRPr="000400ED">
        <w:rPr>
          <w:rFonts w:ascii="Arial Bold" w:hAnsi="Arial Bold" w:cs="Arial"/>
          <w:b/>
          <w:smallCaps/>
          <w:sz w:val="26"/>
          <w:szCs w:val="26"/>
        </w:rPr>
        <w:t>3.2.2</w:t>
      </w:r>
      <w:r w:rsidRPr="000400ED">
        <w:rPr>
          <w:rFonts w:ascii="Arial Bold" w:hAnsi="Arial Bold" w:cs="Arial"/>
          <w:b/>
          <w:smallCaps/>
          <w:sz w:val="26"/>
          <w:szCs w:val="26"/>
        </w:rPr>
        <w:tab/>
        <w:t>Analysis of Budgeted Financial Statements</w:t>
      </w:r>
      <w:bookmarkEnd w:id="48"/>
    </w:p>
    <w:p w:rsidR="00400B2A" w:rsidRPr="000400ED" w:rsidRDefault="00400B2A" w:rsidP="005835E9">
      <w:pPr>
        <w:pStyle w:val="Heading6"/>
        <w:rPr>
          <w:b/>
          <w:bCs w:val="0"/>
          <w:sz w:val="22"/>
          <w:szCs w:val="20"/>
        </w:rPr>
      </w:pPr>
      <w:r w:rsidRPr="000400ED">
        <w:rPr>
          <w:b/>
          <w:bCs w:val="0"/>
          <w:sz w:val="22"/>
          <w:szCs w:val="20"/>
        </w:rPr>
        <w:t>Budgeted Statement of Comprehensive Income - Departmental</w:t>
      </w:r>
    </w:p>
    <w:p w:rsidR="00400B2A" w:rsidRPr="000400ED" w:rsidRDefault="000400ED" w:rsidP="00400B2A">
      <w:pPr>
        <w:pStyle w:val="Heading6"/>
        <w:rPr>
          <w:b/>
          <w:bCs w:val="0"/>
          <w:sz w:val="22"/>
          <w:szCs w:val="20"/>
        </w:rPr>
      </w:pPr>
      <w:r w:rsidRPr="000400ED">
        <w:rPr>
          <w:b/>
          <w:bCs w:val="0"/>
          <w:sz w:val="22"/>
          <w:szCs w:val="20"/>
        </w:rPr>
        <w:t>2014-15</w:t>
      </w:r>
    </w:p>
    <w:p w:rsidR="00400B2A" w:rsidRPr="000400ED" w:rsidRDefault="00400B2A" w:rsidP="00400B2A">
      <w:r w:rsidRPr="000400ED">
        <w:t>Finance is forecasting expenses of $</w:t>
      </w:r>
      <w:r w:rsidR="000400ED" w:rsidRPr="000400ED">
        <w:t>663.2</w:t>
      </w:r>
      <w:r w:rsidRPr="000400ED">
        <w:t xml:space="preserve"> million in </w:t>
      </w:r>
      <w:r w:rsidR="000400ED" w:rsidRPr="000400ED">
        <w:t>2014-15</w:t>
      </w:r>
      <w:r w:rsidRPr="000400ED">
        <w:t>, an increase of $8.</w:t>
      </w:r>
      <w:r w:rsidR="000400ED" w:rsidRPr="000400ED">
        <w:t>5</w:t>
      </w:r>
      <w:r w:rsidRPr="000400ED">
        <w:t> million from expenditure forecast in the 201</w:t>
      </w:r>
      <w:r w:rsidR="000400ED" w:rsidRPr="000400ED">
        <w:t>4-15</w:t>
      </w:r>
      <w:r w:rsidRPr="000400ED">
        <w:t xml:space="preserve"> Additional Estimates. This change is primarily due to an increase in coordinated procurement expenses through increased </w:t>
      </w:r>
      <w:r w:rsidR="00D64BE6">
        <w:t>entity</w:t>
      </w:r>
      <w:r w:rsidRPr="000400ED">
        <w:t xml:space="preserve"> engagement in procurements</w:t>
      </w:r>
      <w:r w:rsidR="000400ED" w:rsidRPr="000400ED">
        <w:t>.</w:t>
      </w:r>
    </w:p>
    <w:p w:rsidR="00400B2A" w:rsidRPr="000400ED" w:rsidRDefault="00400B2A" w:rsidP="00400B2A">
      <w:r w:rsidRPr="000400ED">
        <w:t>Finance is forecasting total own source income of $</w:t>
      </w:r>
      <w:r w:rsidR="000400ED" w:rsidRPr="000400ED">
        <w:t>338.2</w:t>
      </w:r>
      <w:r w:rsidRPr="000400ED">
        <w:t xml:space="preserve"> million, a</w:t>
      </w:r>
      <w:r w:rsidR="000400ED" w:rsidRPr="000400ED">
        <w:t>n increase</w:t>
      </w:r>
      <w:r w:rsidRPr="000400ED">
        <w:t xml:space="preserve"> of </w:t>
      </w:r>
      <w:r w:rsidRPr="000400ED">
        <w:br/>
        <w:t>$</w:t>
      </w:r>
      <w:r w:rsidR="000400ED" w:rsidRPr="000400ED">
        <w:t>10.6</w:t>
      </w:r>
      <w:r w:rsidRPr="000400ED">
        <w:t> million from own source income forecast in the 2014</w:t>
      </w:r>
      <w:r w:rsidR="000400ED" w:rsidRPr="000400ED">
        <w:t>-15</w:t>
      </w:r>
      <w:r w:rsidRPr="000400ED">
        <w:t xml:space="preserve"> Additional Estimates. This is primarily due to increase</w:t>
      </w:r>
      <w:r w:rsidR="000400ED" w:rsidRPr="000400ED">
        <w:t>d</w:t>
      </w:r>
      <w:r w:rsidRPr="000400ED">
        <w:t xml:space="preserve"> coordinated procurement revenue through increased </w:t>
      </w:r>
      <w:r w:rsidR="00D64BE6">
        <w:t>entity</w:t>
      </w:r>
      <w:r w:rsidRPr="000400ED">
        <w:t xml:space="preserve"> engagement in procurements.</w:t>
      </w:r>
    </w:p>
    <w:p w:rsidR="00400B2A" w:rsidRPr="000400ED" w:rsidRDefault="00400B2A" w:rsidP="00400B2A">
      <w:pPr>
        <w:pStyle w:val="Heading6"/>
        <w:rPr>
          <w:b/>
          <w:bCs w:val="0"/>
          <w:sz w:val="22"/>
          <w:szCs w:val="20"/>
        </w:rPr>
      </w:pPr>
      <w:r w:rsidRPr="000400ED">
        <w:rPr>
          <w:b/>
          <w:bCs w:val="0"/>
          <w:sz w:val="22"/>
          <w:szCs w:val="20"/>
        </w:rPr>
        <w:t>201</w:t>
      </w:r>
      <w:r w:rsidR="000400ED" w:rsidRPr="000400ED">
        <w:rPr>
          <w:b/>
          <w:bCs w:val="0"/>
          <w:sz w:val="22"/>
          <w:szCs w:val="20"/>
        </w:rPr>
        <w:t>5-16</w:t>
      </w:r>
    </w:p>
    <w:p w:rsidR="00400B2A" w:rsidRDefault="00400B2A" w:rsidP="00536008">
      <w:r w:rsidRPr="000400ED">
        <w:t>Finance is budgeting for a surplus of $</w:t>
      </w:r>
      <w:r w:rsidR="006D774D">
        <w:t>15.</w:t>
      </w:r>
      <w:r w:rsidR="00D23FB7">
        <w:t>1</w:t>
      </w:r>
      <w:r w:rsidRPr="000400ED">
        <w:t xml:space="preserve"> million, a </w:t>
      </w:r>
      <w:r w:rsidR="006D774D">
        <w:t>de</w:t>
      </w:r>
      <w:r w:rsidR="000400ED" w:rsidRPr="000400ED">
        <w:t>crease</w:t>
      </w:r>
      <w:r w:rsidRPr="000400ED">
        <w:t xml:space="preserve"> of $</w:t>
      </w:r>
      <w:r w:rsidR="006D774D">
        <w:t>11.</w:t>
      </w:r>
      <w:r w:rsidR="00D23FB7">
        <w:t>8</w:t>
      </w:r>
      <w:r w:rsidRPr="000400ED">
        <w:t xml:space="preserve"> million from the surplus of $</w:t>
      </w:r>
      <w:r w:rsidR="006D774D">
        <w:t>26.9</w:t>
      </w:r>
      <w:r w:rsidRPr="000400ED">
        <w:t xml:space="preserve"> million forecast in the 201</w:t>
      </w:r>
      <w:r w:rsidR="000400ED" w:rsidRPr="000400ED">
        <w:t>4-15</w:t>
      </w:r>
      <w:r w:rsidRPr="000400ED">
        <w:t xml:space="preserve"> Additional Estimates. This is due primarily to </w:t>
      </w:r>
      <w:r w:rsidR="006D774D">
        <w:t>revisions in special account estimates.</w:t>
      </w:r>
    </w:p>
    <w:p w:rsidR="00536008" w:rsidRPr="000400ED" w:rsidRDefault="00536008" w:rsidP="00536008">
      <w:pPr>
        <w:spacing w:after="0"/>
      </w:pPr>
    </w:p>
    <w:p w:rsidR="00400B2A" w:rsidRPr="000400ED" w:rsidRDefault="00400B2A" w:rsidP="00400B2A">
      <w:pPr>
        <w:pStyle w:val="Heading6"/>
        <w:rPr>
          <w:b/>
          <w:bCs w:val="0"/>
          <w:sz w:val="22"/>
          <w:szCs w:val="20"/>
        </w:rPr>
      </w:pPr>
      <w:r w:rsidRPr="000400ED">
        <w:rPr>
          <w:b/>
          <w:bCs w:val="0"/>
          <w:sz w:val="22"/>
          <w:szCs w:val="20"/>
        </w:rPr>
        <w:t>Budgeted Balance Sheet - Departmental</w:t>
      </w:r>
    </w:p>
    <w:p w:rsidR="00400B2A" w:rsidRPr="000400ED" w:rsidRDefault="00400B2A" w:rsidP="00400B2A">
      <w:r w:rsidRPr="000400ED">
        <w:t>The budgeted net asset position as at 30 June 201</w:t>
      </w:r>
      <w:r w:rsidR="000400ED" w:rsidRPr="000400ED">
        <w:t>6</w:t>
      </w:r>
      <w:r w:rsidRPr="000400ED">
        <w:t xml:space="preserve"> of $</w:t>
      </w:r>
      <w:r w:rsidR="006D774D">
        <w:t>2,112.7</w:t>
      </w:r>
      <w:r w:rsidRPr="000400ED">
        <w:t xml:space="preserve"> million represents a</w:t>
      </w:r>
      <w:r w:rsidR="000400ED" w:rsidRPr="000400ED">
        <w:t>n</w:t>
      </w:r>
      <w:r w:rsidRPr="000400ED">
        <w:t xml:space="preserve"> </w:t>
      </w:r>
      <w:r w:rsidR="000400ED" w:rsidRPr="000400ED">
        <w:t>increase</w:t>
      </w:r>
      <w:r w:rsidRPr="000400ED">
        <w:t xml:space="preserve"> of $</w:t>
      </w:r>
      <w:r w:rsidR="006D774D">
        <w:t>65.5</w:t>
      </w:r>
      <w:r w:rsidRPr="000400ED">
        <w:t xml:space="preserve"> million from that forecast in the 2014</w:t>
      </w:r>
      <w:r w:rsidR="000400ED" w:rsidRPr="000400ED">
        <w:t>-15</w:t>
      </w:r>
      <w:r w:rsidRPr="000400ED">
        <w:t xml:space="preserve"> Additional Estimates. This is primarily due to </w:t>
      </w:r>
      <w:r w:rsidR="000400ED" w:rsidRPr="000400ED">
        <w:t>new capital measures</w:t>
      </w:r>
      <w:r w:rsidRPr="000400ED">
        <w:t>.</w:t>
      </w:r>
    </w:p>
    <w:p w:rsidR="00400B2A" w:rsidRPr="00400B2A" w:rsidRDefault="00400B2A" w:rsidP="00400B2A">
      <w:pPr>
        <w:rPr>
          <w:highlight w:val="yellow"/>
        </w:rPr>
      </w:pPr>
    </w:p>
    <w:p w:rsidR="00400B2A" w:rsidRPr="00686315" w:rsidRDefault="00400B2A" w:rsidP="00400B2A">
      <w:pPr>
        <w:pStyle w:val="Heading6"/>
      </w:pPr>
      <w:r w:rsidRPr="00400B2A">
        <w:rPr>
          <w:highlight w:val="yellow"/>
        </w:rPr>
        <w:br w:type="page"/>
      </w:r>
      <w:r w:rsidRPr="00686315">
        <w:rPr>
          <w:b/>
          <w:bCs w:val="0"/>
          <w:sz w:val="22"/>
          <w:szCs w:val="20"/>
        </w:rPr>
        <w:lastRenderedPageBreak/>
        <w:t>Schedule of Administered Activity</w:t>
      </w:r>
    </w:p>
    <w:p w:rsidR="00400B2A" w:rsidRPr="00686315" w:rsidRDefault="00400B2A" w:rsidP="00400B2A">
      <w:pPr>
        <w:pStyle w:val="Heading6"/>
        <w:rPr>
          <w:b/>
          <w:bCs w:val="0"/>
          <w:sz w:val="22"/>
          <w:szCs w:val="20"/>
        </w:rPr>
      </w:pPr>
      <w:r w:rsidRPr="00686315">
        <w:rPr>
          <w:b/>
          <w:bCs w:val="0"/>
          <w:sz w:val="22"/>
          <w:szCs w:val="20"/>
        </w:rPr>
        <w:t>Budgeted Schedule of Comprehensive Income - Administered</w:t>
      </w:r>
    </w:p>
    <w:p w:rsidR="00400B2A" w:rsidRPr="00686315" w:rsidRDefault="00400B2A" w:rsidP="00400B2A">
      <w:pPr>
        <w:pStyle w:val="Heading6"/>
        <w:rPr>
          <w:b/>
          <w:bCs w:val="0"/>
          <w:sz w:val="22"/>
          <w:szCs w:val="20"/>
        </w:rPr>
      </w:pPr>
      <w:r w:rsidRPr="00686315">
        <w:rPr>
          <w:b/>
          <w:bCs w:val="0"/>
          <w:sz w:val="22"/>
          <w:szCs w:val="20"/>
        </w:rPr>
        <w:t>201</w:t>
      </w:r>
      <w:r w:rsidR="000400ED" w:rsidRPr="00686315">
        <w:rPr>
          <w:b/>
          <w:bCs w:val="0"/>
          <w:sz w:val="22"/>
          <w:szCs w:val="20"/>
        </w:rPr>
        <w:t>4-15</w:t>
      </w:r>
    </w:p>
    <w:p w:rsidR="00400B2A" w:rsidRPr="00686315" w:rsidRDefault="00400B2A" w:rsidP="00400B2A">
      <w:r w:rsidRPr="00686315">
        <w:t>Estimated administered income for 201</w:t>
      </w:r>
      <w:r w:rsidR="000400ED" w:rsidRPr="00686315">
        <w:t>4-15</w:t>
      </w:r>
      <w:r w:rsidRPr="00686315">
        <w:t xml:space="preserve"> has </w:t>
      </w:r>
      <w:r w:rsidR="000400ED" w:rsidRPr="00686315">
        <w:t>decreased</w:t>
      </w:r>
      <w:r w:rsidRPr="00686315">
        <w:t xml:space="preserve"> to $</w:t>
      </w:r>
      <w:r w:rsidR="006D774D">
        <w:t>7,640.7</w:t>
      </w:r>
      <w:r w:rsidRPr="00686315">
        <w:t xml:space="preserve"> million from the $</w:t>
      </w:r>
      <w:r w:rsidR="000400ED" w:rsidRPr="00686315">
        <w:t>7</w:t>
      </w:r>
      <w:r w:rsidR="006D774D">
        <w:t>,</w:t>
      </w:r>
      <w:r w:rsidR="000400ED" w:rsidRPr="00686315">
        <w:t>674.3</w:t>
      </w:r>
      <w:r w:rsidRPr="00686315">
        <w:t xml:space="preserve"> million reported in the 201</w:t>
      </w:r>
      <w:r w:rsidR="000400ED" w:rsidRPr="00686315">
        <w:t>4-15</w:t>
      </w:r>
      <w:r w:rsidRPr="00686315">
        <w:t xml:space="preserve"> Additional Estimates. This is primarily due to revisions </w:t>
      </w:r>
      <w:r w:rsidR="000400ED" w:rsidRPr="00686315">
        <w:t>in superannuation contributions and earnings on the Australian Government Investment Funds.</w:t>
      </w:r>
    </w:p>
    <w:p w:rsidR="00400B2A" w:rsidRPr="00686315" w:rsidRDefault="00400B2A" w:rsidP="00400B2A">
      <w:r w:rsidRPr="00686315">
        <w:t>Estimated administered expenses for 201</w:t>
      </w:r>
      <w:r w:rsidR="000400ED" w:rsidRPr="00686315">
        <w:t>4-15</w:t>
      </w:r>
      <w:r w:rsidRPr="00686315">
        <w:t xml:space="preserve"> have </w:t>
      </w:r>
      <w:r w:rsidR="00686315" w:rsidRPr="00686315">
        <w:t>decreased</w:t>
      </w:r>
      <w:r w:rsidRPr="00686315">
        <w:t xml:space="preserve"> to $</w:t>
      </w:r>
      <w:r w:rsidR="00D23FB7">
        <w:t>10,227.8</w:t>
      </w:r>
      <w:r w:rsidRPr="00686315">
        <w:t> million from the $</w:t>
      </w:r>
      <w:r w:rsidR="00686315" w:rsidRPr="00686315">
        <w:t>10,549.5</w:t>
      </w:r>
      <w:r w:rsidRPr="00686315">
        <w:t xml:space="preserve"> million reported in the 201</w:t>
      </w:r>
      <w:r w:rsidR="00686315" w:rsidRPr="00686315">
        <w:t>4-15</w:t>
      </w:r>
      <w:r w:rsidRPr="00686315">
        <w:t xml:space="preserve"> Additional Estimates. This is primarily due to </w:t>
      </w:r>
      <w:r w:rsidR="00686315" w:rsidRPr="00686315">
        <w:t xml:space="preserve">decreases </w:t>
      </w:r>
      <w:r w:rsidRPr="00686315">
        <w:t>in distributions from the Investment Funds due to movement of funds decisions.</w:t>
      </w:r>
    </w:p>
    <w:p w:rsidR="00400B2A" w:rsidRPr="00686315" w:rsidRDefault="00400B2A" w:rsidP="00400B2A">
      <w:pPr>
        <w:pStyle w:val="Heading6"/>
        <w:rPr>
          <w:b/>
          <w:bCs w:val="0"/>
          <w:sz w:val="22"/>
          <w:szCs w:val="20"/>
        </w:rPr>
      </w:pPr>
      <w:r w:rsidRPr="00686315">
        <w:rPr>
          <w:b/>
          <w:bCs w:val="0"/>
          <w:sz w:val="22"/>
          <w:szCs w:val="20"/>
        </w:rPr>
        <w:t>201</w:t>
      </w:r>
      <w:r w:rsidR="00686315" w:rsidRPr="00686315">
        <w:rPr>
          <w:b/>
          <w:bCs w:val="0"/>
          <w:sz w:val="22"/>
          <w:szCs w:val="20"/>
        </w:rPr>
        <w:t>5-16</w:t>
      </w:r>
    </w:p>
    <w:p w:rsidR="00400B2A" w:rsidRPr="00686315" w:rsidRDefault="00400B2A" w:rsidP="00400B2A">
      <w:r w:rsidRPr="00686315">
        <w:t>Finance is budgeting for administered income of $</w:t>
      </w:r>
      <w:r w:rsidR="00D23FB7">
        <w:t>1,906.1</w:t>
      </w:r>
      <w:r w:rsidRPr="00686315">
        <w:t xml:space="preserve"> million in 201</w:t>
      </w:r>
      <w:r w:rsidR="00686315" w:rsidRPr="00686315">
        <w:t>5-16</w:t>
      </w:r>
      <w:r w:rsidRPr="00686315">
        <w:t xml:space="preserve">, a </w:t>
      </w:r>
      <w:r w:rsidR="00686315" w:rsidRPr="00686315">
        <w:t>decrease</w:t>
      </w:r>
      <w:r w:rsidRPr="00686315">
        <w:t xml:space="preserve"> from the $</w:t>
      </w:r>
      <w:r w:rsidR="00686315" w:rsidRPr="00686315">
        <w:t>2,003.1</w:t>
      </w:r>
      <w:r w:rsidRPr="00686315">
        <w:t xml:space="preserve"> million budgeted for in the 201</w:t>
      </w:r>
      <w:r w:rsidR="00686315" w:rsidRPr="00686315">
        <w:t>4-15</w:t>
      </w:r>
      <w:r w:rsidRPr="00686315">
        <w:t xml:space="preserve"> Additional Estimates. </w:t>
      </w:r>
      <w:r w:rsidR="006D774D">
        <w:t>This is primarily due to revisions in estimated earnings on the Australian Government Investment Funds.</w:t>
      </w:r>
    </w:p>
    <w:p w:rsidR="00400B2A" w:rsidRPr="00686315" w:rsidRDefault="00400B2A" w:rsidP="00400B2A">
      <w:r w:rsidRPr="00686315">
        <w:t>Finance is budgeting for administered expenses of $</w:t>
      </w:r>
      <w:r w:rsidR="00D23FB7">
        <w:t>8,879.1</w:t>
      </w:r>
      <w:r w:rsidRPr="00686315">
        <w:t xml:space="preserve"> million in 201</w:t>
      </w:r>
      <w:r w:rsidR="00686315" w:rsidRPr="00686315">
        <w:t>5-16</w:t>
      </w:r>
      <w:r w:rsidRPr="00686315">
        <w:t>, a</w:t>
      </w:r>
      <w:r w:rsidR="00686315" w:rsidRPr="00686315">
        <w:t xml:space="preserve"> decrease</w:t>
      </w:r>
      <w:r w:rsidRPr="00686315">
        <w:t xml:space="preserve"> from the $</w:t>
      </w:r>
      <w:r w:rsidR="00686315" w:rsidRPr="00686315">
        <w:t>10,766.9</w:t>
      </w:r>
      <w:r w:rsidRPr="00686315">
        <w:t xml:space="preserve"> million budgeted for in the 2014</w:t>
      </w:r>
      <w:r w:rsidR="00686315" w:rsidRPr="00686315">
        <w:t>-15</w:t>
      </w:r>
      <w:r w:rsidRPr="00686315">
        <w:t xml:space="preserve"> Additional Estimates. </w:t>
      </w:r>
      <w:r w:rsidR="006D774D">
        <w:t>This is primarily due to revisions in estimated expenses on the Australian Government Investment Funds.</w:t>
      </w:r>
    </w:p>
    <w:p w:rsidR="00CC3220" w:rsidRPr="00686315" w:rsidRDefault="00CC3220" w:rsidP="00536008">
      <w:pPr>
        <w:pStyle w:val="Heading6"/>
        <w:spacing w:after="0"/>
        <w:rPr>
          <w:b/>
          <w:bCs w:val="0"/>
          <w:sz w:val="22"/>
          <w:szCs w:val="20"/>
        </w:rPr>
      </w:pPr>
    </w:p>
    <w:p w:rsidR="00400B2A" w:rsidRPr="00686315" w:rsidRDefault="00400B2A" w:rsidP="00400B2A">
      <w:pPr>
        <w:pStyle w:val="Heading6"/>
        <w:rPr>
          <w:b/>
          <w:bCs w:val="0"/>
          <w:sz w:val="22"/>
          <w:szCs w:val="20"/>
        </w:rPr>
      </w:pPr>
      <w:r w:rsidRPr="00686315">
        <w:rPr>
          <w:b/>
          <w:bCs w:val="0"/>
          <w:sz w:val="22"/>
          <w:szCs w:val="20"/>
        </w:rPr>
        <w:t xml:space="preserve">Budgeted Schedule of Assets and Liabilities - Administered </w:t>
      </w:r>
    </w:p>
    <w:p w:rsidR="00400B2A" w:rsidRPr="00686315" w:rsidRDefault="00400B2A" w:rsidP="00400B2A">
      <w:r w:rsidRPr="00686315">
        <w:t>Administered assets are budgeted to total $</w:t>
      </w:r>
      <w:r w:rsidR="006D774D">
        <w:t>16,169.6</w:t>
      </w:r>
      <w:r w:rsidRPr="00686315">
        <w:t xml:space="preserve"> million by 30 June 201</w:t>
      </w:r>
      <w:r w:rsidR="00686315" w:rsidRPr="00686315">
        <w:t>6</w:t>
      </w:r>
      <w:r w:rsidRPr="00686315">
        <w:t>, down from $</w:t>
      </w:r>
      <w:r w:rsidR="00686315" w:rsidRPr="00686315">
        <w:t>19,634.0</w:t>
      </w:r>
      <w:r w:rsidRPr="00686315">
        <w:t xml:space="preserve"> million estimated in the 2014</w:t>
      </w:r>
      <w:r w:rsidR="00686315" w:rsidRPr="00686315">
        <w:t>-15</w:t>
      </w:r>
      <w:r w:rsidRPr="00686315">
        <w:t xml:space="preserve"> Additional Estimates. </w:t>
      </w:r>
      <w:r w:rsidR="006D774D">
        <w:t>This is due to revisions in estimates on the Australian Government Investment Funds.</w:t>
      </w:r>
    </w:p>
    <w:p w:rsidR="00400B2A" w:rsidRPr="00686315" w:rsidRDefault="00400B2A" w:rsidP="00400B2A">
      <w:r w:rsidRPr="00686315">
        <w:t>Administered liabilities are estimated to total $</w:t>
      </w:r>
      <w:r w:rsidR="00686315" w:rsidRPr="00686315">
        <w:t>111,5</w:t>
      </w:r>
      <w:r w:rsidR="006D774D">
        <w:t>09.5</w:t>
      </w:r>
      <w:r w:rsidRPr="00686315">
        <w:t xml:space="preserve"> million by 30 June 201</w:t>
      </w:r>
      <w:r w:rsidR="00686315" w:rsidRPr="00686315">
        <w:t>6</w:t>
      </w:r>
      <w:r w:rsidRPr="00686315">
        <w:t>, up from $</w:t>
      </w:r>
      <w:r w:rsidR="00686315" w:rsidRPr="00686315">
        <w:t>107,298.6</w:t>
      </w:r>
      <w:r w:rsidRPr="00686315">
        <w:t xml:space="preserve"> million estimated in the 201</w:t>
      </w:r>
      <w:r w:rsidR="00686315" w:rsidRPr="00686315">
        <w:t>4-15</w:t>
      </w:r>
      <w:r w:rsidRPr="00686315">
        <w:t xml:space="preserve"> Additional Estimates primarily due to revisions in superannuation estimates.</w:t>
      </w:r>
    </w:p>
    <w:p w:rsidR="00E4582E" w:rsidRPr="00351283" w:rsidRDefault="000A6897" w:rsidP="00351283">
      <w:pPr>
        <w:tabs>
          <w:tab w:val="left" w:pos="709"/>
        </w:tabs>
        <w:spacing w:before="240" w:line="240" w:lineRule="auto"/>
        <w:jc w:val="left"/>
        <w:rPr>
          <w:rFonts w:ascii="Arial Bold" w:hAnsi="Arial Bold" w:cs="Arial"/>
          <w:b/>
          <w:smallCaps/>
          <w:sz w:val="26"/>
          <w:szCs w:val="26"/>
        </w:rPr>
      </w:pPr>
      <w:r>
        <w:br w:type="page"/>
      </w:r>
      <w:bookmarkStart w:id="49" w:name="_Toc416874482"/>
      <w:r w:rsidR="00E4582E" w:rsidRPr="00351283">
        <w:rPr>
          <w:rFonts w:ascii="Arial Bold" w:hAnsi="Arial Bold" w:cs="Arial"/>
          <w:b/>
          <w:smallCaps/>
          <w:sz w:val="26"/>
          <w:szCs w:val="26"/>
        </w:rPr>
        <w:lastRenderedPageBreak/>
        <w:t>3.2.3</w:t>
      </w:r>
      <w:r w:rsidR="005F29CD" w:rsidRPr="00351283">
        <w:rPr>
          <w:rFonts w:ascii="Arial Bold" w:hAnsi="Arial Bold" w:cs="Arial"/>
          <w:b/>
          <w:smallCaps/>
          <w:sz w:val="26"/>
          <w:szCs w:val="26"/>
        </w:rPr>
        <w:tab/>
      </w:r>
      <w:r w:rsidR="00E4582E" w:rsidRPr="00351283">
        <w:rPr>
          <w:rFonts w:ascii="Arial Bold" w:hAnsi="Arial Bold" w:cs="Arial"/>
          <w:b/>
          <w:smallCaps/>
          <w:sz w:val="26"/>
          <w:szCs w:val="26"/>
        </w:rPr>
        <w:t xml:space="preserve">Budgeted </w:t>
      </w:r>
      <w:r w:rsidR="00C53EF2" w:rsidRPr="00351283">
        <w:rPr>
          <w:rFonts w:ascii="Arial Bold" w:hAnsi="Arial Bold" w:cs="Arial"/>
          <w:b/>
          <w:smallCaps/>
          <w:sz w:val="26"/>
          <w:szCs w:val="26"/>
        </w:rPr>
        <w:t>F</w:t>
      </w:r>
      <w:r w:rsidR="00E4582E" w:rsidRPr="00351283">
        <w:rPr>
          <w:rFonts w:ascii="Arial Bold" w:hAnsi="Arial Bold" w:cs="Arial"/>
          <w:b/>
          <w:smallCaps/>
          <w:sz w:val="26"/>
          <w:szCs w:val="26"/>
        </w:rPr>
        <w:t xml:space="preserve">inancial </w:t>
      </w:r>
      <w:r w:rsidR="00C53EF2" w:rsidRPr="00351283">
        <w:rPr>
          <w:rFonts w:ascii="Arial Bold" w:hAnsi="Arial Bold" w:cs="Arial"/>
          <w:b/>
          <w:smallCaps/>
          <w:sz w:val="26"/>
          <w:szCs w:val="26"/>
        </w:rPr>
        <w:t>S</w:t>
      </w:r>
      <w:r w:rsidR="001352EE" w:rsidRPr="00351283">
        <w:rPr>
          <w:rFonts w:ascii="Arial Bold" w:hAnsi="Arial Bold" w:cs="Arial"/>
          <w:b/>
          <w:smallCaps/>
          <w:sz w:val="26"/>
          <w:szCs w:val="26"/>
        </w:rPr>
        <w:t>tatements T</w:t>
      </w:r>
      <w:r w:rsidR="00E4582E" w:rsidRPr="00351283">
        <w:rPr>
          <w:rFonts w:ascii="Arial Bold" w:hAnsi="Arial Bold" w:cs="Arial"/>
          <w:b/>
          <w:smallCaps/>
          <w:sz w:val="26"/>
          <w:szCs w:val="26"/>
        </w:rPr>
        <w:t>ables</w:t>
      </w:r>
      <w:bookmarkEnd w:id="49"/>
    </w:p>
    <w:p w:rsidR="00B00AF9" w:rsidRDefault="00E855E0" w:rsidP="00E453F8">
      <w:pPr>
        <w:pStyle w:val="Heading5"/>
      </w:pPr>
      <w:bookmarkStart w:id="50" w:name="OLE_LINK4"/>
      <w:r w:rsidRPr="00793F50">
        <w:t>Table 3.2.1</w:t>
      </w:r>
      <w:r w:rsidR="001352EE" w:rsidRPr="00793F50">
        <w:t>:</w:t>
      </w:r>
      <w:r w:rsidRPr="00793F50">
        <w:t xml:space="preserve"> </w:t>
      </w:r>
      <w:r w:rsidR="00B00AF9">
        <w:t xml:space="preserve">Budgeted Comprehensive Income Statement – </w:t>
      </w:r>
      <w:proofErr w:type="gramStart"/>
      <w:r w:rsidR="00B00AF9">
        <w:t>Departmental</w:t>
      </w:r>
      <w:proofErr w:type="gramEnd"/>
      <w:r w:rsidR="00B00AF9">
        <w:br/>
        <w:t>(showing Net Cost of Services)</w:t>
      </w:r>
      <w:r w:rsidR="00B00AF9">
        <w:br/>
        <w:t>for the period ended 30 June</w:t>
      </w:r>
    </w:p>
    <w:tbl>
      <w:tblPr>
        <w:tblW w:w="7060" w:type="dxa"/>
        <w:tblInd w:w="93" w:type="dxa"/>
        <w:tblLook w:val="04A0"/>
      </w:tblPr>
      <w:tblGrid>
        <w:gridCol w:w="2960"/>
        <w:gridCol w:w="928"/>
        <w:gridCol w:w="821"/>
        <w:gridCol w:w="821"/>
        <w:gridCol w:w="821"/>
        <w:gridCol w:w="821"/>
      </w:tblGrid>
      <w:tr w:rsidR="00792BB2" w:rsidRPr="00792BB2" w:rsidTr="00792BB2">
        <w:trPr>
          <w:trHeight w:val="225"/>
        </w:trPr>
        <w:tc>
          <w:tcPr>
            <w:tcW w:w="2960" w:type="dxa"/>
            <w:tcBorders>
              <w:top w:val="single" w:sz="4" w:space="0" w:color="auto"/>
              <w:left w:val="nil"/>
              <w:bottom w:val="nil"/>
              <w:right w:val="nil"/>
            </w:tcBorders>
            <w:shd w:val="clear" w:color="auto" w:fill="auto"/>
            <w:noWrap/>
            <w:vAlign w:val="bottom"/>
            <w:hideMark/>
          </w:tcPr>
          <w:bookmarkEnd w:id="50"/>
          <w:p w:rsidR="00792BB2" w:rsidRPr="00792BB2" w:rsidRDefault="00792BB2" w:rsidP="00792BB2">
            <w:pPr>
              <w:spacing w:after="0" w:line="240" w:lineRule="auto"/>
              <w:jc w:val="left"/>
              <w:rPr>
                <w:rFonts w:ascii="Arial" w:hAnsi="Arial" w:cs="Arial"/>
                <w:sz w:val="16"/>
                <w:szCs w:val="16"/>
              </w:rPr>
            </w:pPr>
            <w:r w:rsidRPr="00792BB2">
              <w:rPr>
                <w:rFonts w:ascii="Arial" w:hAnsi="Arial" w:cs="Arial"/>
                <w:sz w:val="16"/>
                <w:szCs w:val="16"/>
              </w:rPr>
              <w:t> </w:t>
            </w:r>
          </w:p>
        </w:tc>
        <w:tc>
          <w:tcPr>
            <w:tcW w:w="820" w:type="dxa"/>
            <w:tcBorders>
              <w:top w:val="single" w:sz="4" w:space="0" w:color="auto"/>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Estimated</w:t>
            </w:r>
          </w:p>
        </w:tc>
        <w:tc>
          <w:tcPr>
            <w:tcW w:w="820" w:type="dxa"/>
            <w:tcBorders>
              <w:top w:val="single" w:sz="4" w:space="0" w:color="auto"/>
              <w:left w:val="nil"/>
              <w:bottom w:val="nil"/>
              <w:right w:val="nil"/>
            </w:tcBorders>
            <w:shd w:val="clear" w:color="000000" w:fill="E6E6E6"/>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Budget</w:t>
            </w:r>
          </w:p>
        </w:tc>
        <w:tc>
          <w:tcPr>
            <w:tcW w:w="820" w:type="dxa"/>
            <w:tcBorders>
              <w:top w:val="single" w:sz="4" w:space="0" w:color="auto"/>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Forward</w:t>
            </w:r>
          </w:p>
        </w:tc>
        <w:tc>
          <w:tcPr>
            <w:tcW w:w="820" w:type="dxa"/>
            <w:tcBorders>
              <w:top w:val="single" w:sz="4" w:space="0" w:color="auto"/>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Forward</w:t>
            </w:r>
          </w:p>
        </w:tc>
        <w:tc>
          <w:tcPr>
            <w:tcW w:w="820" w:type="dxa"/>
            <w:tcBorders>
              <w:top w:val="single" w:sz="4" w:space="0" w:color="auto"/>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Forward</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actual</w:t>
            </w:r>
          </w:p>
        </w:tc>
        <w:tc>
          <w:tcPr>
            <w:tcW w:w="820" w:type="dxa"/>
            <w:tcBorders>
              <w:top w:val="nil"/>
              <w:left w:val="nil"/>
              <w:bottom w:val="nil"/>
              <w:right w:val="nil"/>
            </w:tcBorders>
            <w:shd w:val="clear" w:color="000000" w:fill="E6E6E6"/>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estimate</w:t>
            </w:r>
          </w:p>
        </w:tc>
      </w:tr>
      <w:tr w:rsidR="00792BB2" w:rsidRPr="00792BB2" w:rsidTr="00792BB2">
        <w:trPr>
          <w:trHeight w:val="225"/>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FFFFFF"/>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2014-15</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2015-16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2016-17</w:t>
            </w:r>
          </w:p>
        </w:tc>
        <w:tc>
          <w:tcPr>
            <w:tcW w:w="820" w:type="dxa"/>
            <w:tcBorders>
              <w:top w:val="nil"/>
              <w:left w:val="nil"/>
              <w:bottom w:val="nil"/>
              <w:right w:val="nil"/>
            </w:tcBorders>
            <w:shd w:val="clear" w:color="000000" w:fill="FFFFFF"/>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2017-18</w:t>
            </w:r>
          </w:p>
        </w:tc>
        <w:tc>
          <w:tcPr>
            <w:tcW w:w="820" w:type="dxa"/>
            <w:tcBorders>
              <w:top w:val="nil"/>
              <w:left w:val="nil"/>
              <w:bottom w:val="nil"/>
              <w:right w:val="nil"/>
            </w:tcBorders>
            <w:shd w:val="clear" w:color="000000" w:fill="FFFFFF"/>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2018-19</w:t>
            </w:r>
          </w:p>
        </w:tc>
      </w:tr>
      <w:tr w:rsidR="00792BB2" w:rsidRPr="00792BB2" w:rsidTr="00792BB2">
        <w:trPr>
          <w:trHeight w:val="225"/>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b/>
                <w:bCs/>
                <w:sz w:val="16"/>
                <w:szCs w:val="16"/>
              </w:rPr>
            </w:pPr>
          </w:p>
        </w:tc>
        <w:tc>
          <w:tcPr>
            <w:tcW w:w="820" w:type="dxa"/>
            <w:tcBorders>
              <w:top w:val="nil"/>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$'000</w:t>
            </w:r>
          </w:p>
        </w:tc>
        <w:tc>
          <w:tcPr>
            <w:tcW w:w="820" w:type="dxa"/>
            <w:tcBorders>
              <w:top w:val="nil"/>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$'000</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EXPENSES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Employee benefits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174,166</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173,550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170,919</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171,100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168,388</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Suppliers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353,220</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255,154</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221,367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205,848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209,140</w:t>
            </w:r>
          </w:p>
        </w:tc>
      </w:tr>
      <w:tr w:rsidR="00792BB2" w:rsidRPr="00792BB2" w:rsidTr="00792BB2">
        <w:trPr>
          <w:trHeight w:val="240"/>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Depreciation and amortisation</w:t>
            </w:r>
            <w:r w:rsidRPr="00792BB2">
              <w:rPr>
                <w:rFonts w:ascii="Arial" w:hAnsi="Arial" w:cs="Arial"/>
                <w:sz w:val="16"/>
                <w:szCs w:val="16"/>
                <w:vertAlign w:val="superscript"/>
              </w:rPr>
              <w:t xml:space="preserve"> 1</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23,733</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32,345</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33,064</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33,818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34,611</w:t>
            </w:r>
          </w:p>
        </w:tc>
      </w:tr>
      <w:tr w:rsidR="00792BB2" w:rsidRPr="00792BB2" w:rsidTr="00792BB2">
        <w:trPr>
          <w:trHeight w:val="240"/>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Net losses from asset sales</w:t>
            </w:r>
            <w:r w:rsidRPr="00792BB2">
              <w:rPr>
                <w:rFonts w:ascii="Arial" w:hAnsi="Arial" w:cs="Arial"/>
                <w:sz w:val="16"/>
                <w:szCs w:val="16"/>
                <w:vertAlign w:val="superscript"/>
              </w:rPr>
              <w:t xml:space="preserve"> 2</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423</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1,190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1,047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Insurance claims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104,003</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130,167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131,370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134,783</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138,156</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Other expenses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7,611</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7,611</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7,611</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7,611</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7,611</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Total expenses</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663,156</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600,017</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565,378</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553,160</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557,906</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 xml:space="preserve">LESS: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OWN-SOURCE INCOME</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Own-source revenue</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Rendering of services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138,953</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138,624</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124,018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113,009</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104,030</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Insurance premiums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102,866</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126,990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133,278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138,328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141,782</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Rental income</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81,882</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84,383</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84,981</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86,972</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88,862</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Other revenue</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10,970</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6,900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5,700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5,700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5,700</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Total own-source revenue</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334,671</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356,897</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347,977</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344,009</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340,374</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ind w:firstLineChars="100" w:firstLine="160"/>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Gains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Gains on valuation of</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300" w:firstLine="480"/>
              <w:jc w:val="left"/>
              <w:rPr>
                <w:rFonts w:ascii="Arial" w:hAnsi="Arial" w:cs="Arial"/>
                <w:sz w:val="16"/>
                <w:szCs w:val="16"/>
              </w:rPr>
            </w:pPr>
            <w:r w:rsidRPr="00792BB2">
              <w:rPr>
                <w:rFonts w:ascii="Arial" w:hAnsi="Arial" w:cs="Arial"/>
                <w:sz w:val="16"/>
                <w:szCs w:val="16"/>
              </w:rPr>
              <w:t>investment property</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2,127</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3,316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2,666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828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1,292</w:t>
            </w:r>
          </w:p>
        </w:tc>
      </w:tr>
      <w:tr w:rsidR="00792BB2" w:rsidRPr="00792BB2" w:rsidTr="00792BB2">
        <w:trPr>
          <w:trHeight w:val="240"/>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Other gains</w:t>
            </w:r>
            <w:r w:rsidRPr="00792BB2">
              <w:rPr>
                <w:rFonts w:ascii="Arial" w:hAnsi="Arial" w:cs="Arial"/>
                <w:sz w:val="16"/>
                <w:szCs w:val="16"/>
                <w:vertAlign w:val="superscript"/>
              </w:rPr>
              <w:t xml:space="preserve"> 3</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Total gains</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3,513</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4,702</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4,052</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2,214</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2,678</w:t>
            </w:r>
          </w:p>
        </w:tc>
      </w:tr>
      <w:tr w:rsidR="00792BB2" w:rsidRPr="00792BB2" w:rsidTr="00792BB2">
        <w:trPr>
          <w:trHeight w:val="60"/>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Total own-source income</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338,184</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361,599</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352,029</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346,223</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343,052</w:t>
            </w:r>
          </w:p>
        </w:tc>
      </w:tr>
      <w:tr w:rsidR="00792BB2" w:rsidRPr="00792BB2" w:rsidTr="00792BB2">
        <w:trPr>
          <w:trHeight w:val="60"/>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Net cost of (contribution by)</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color w:val="000000"/>
                <w:sz w:val="16"/>
                <w:szCs w:val="16"/>
              </w:rPr>
            </w:pPr>
            <w:r w:rsidRPr="00792BB2">
              <w:rPr>
                <w:rFonts w:ascii="Arial" w:hAnsi="Arial" w:cs="Arial"/>
                <w:b/>
                <w:bCs/>
                <w:color w:val="000000"/>
                <w:sz w:val="16"/>
                <w:szCs w:val="16"/>
              </w:rPr>
              <w:t>services</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324,972</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238,418</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213,349</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206,937</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214,854</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sz w:val="16"/>
                <w:szCs w:val="16"/>
              </w:rPr>
            </w:pPr>
            <w:r w:rsidRPr="00792BB2">
              <w:rPr>
                <w:rFonts w:ascii="Arial" w:hAnsi="Arial" w:cs="Arial"/>
                <w:sz w:val="16"/>
                <w:szCs w:val="16"/>
              </w:rPr>
              <w:t>Revenue from government</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388,552</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257,970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246,817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243,837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248,509</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Surplus (Deficit) before income tax</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63,580</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19,552</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33,468</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36,900</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33,655</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sz w:val="16"/>
                <w:szCs w:val="16"/>
              </w:rPr>
            </w:pPr>
            <w:r w:rsidRPr="00792BB2">
              <w:rPr>
                <w:rFonts w:ascii="Arial" w:hAnsi="Arial" w:cs="Arial"/>
                <w:sz w:val="16"/>
                <w:szCs w:val="16"/>
              </w:rPr>
              <w:t>Income tax expense</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4,417</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4,417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4,417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4,417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4,417</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Surplus (Deficit) after income tax</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59,163</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15,135</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29,051</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32,483</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29,238</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3780" w:type="dxa"/>
            <w:gridSpan w:val="2"/>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Total comprehensive income (loss)</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 xml:space="preserve">attributable to the Australian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single" w:sz="4" w:space="0" w:color="auto"/>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Government</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59,163</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15,135</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29,051</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32,483</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29,238</w:t>
            </w:r>
          </w:p>
        </w:tc>
      </w:tr>
    </w:tbl>
    <w:p w:rsidR="00ED468F" w:rsidRPr="00DD06D6" w:rsidRDefault="00ED468F" w:rsidP="0015261C">
      <w:pPr>
        <w:spacing w:after="0" w:line="240" w:lineRule="auto"/>
        <w:rPr>
          <w:sz w:val="6"/>
          <w:szCs w:val="6"/>
        </w:rPr>
      </w:pPr>
    </w:p>
    <w:p w:rsidR="0015261C" w:rsidRPr="0015261C" w:rsidRDefault="0015261C" w:rsidP="0015261C">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2A7ECF" w:rsidRDefault="002A7ECF">
      <w:pPr>
        <w:spacing w:after="0" w:line="240" w:lineRule="auto"/>
        <w:jc w:val="left"/>
      </w:pPr>
      <w:r>
        <w:br w:type="page"/>
      </w:r>
    </w:p>
    <w:p w:rsidR="002A7ECF" w:rsidRPr="002A7ECF" w:rsidRDefault="002A7ECF" w:rsidP="002A7ECF">
      <w:pPr>
        <w:spacing w:after="0" w:line="240" w:lineRule="auto"/>
        <w:rPr>
          <w:rFonts w:ascii="Arial" w:hAnsi="Arial" w:cs="Arial"/>
          <w:b/>
        </w:rPr>
      </w:pPr>
      <w:r w:rsidRPr="002A7ECF">
        <w:rPr>
          <w:rFonts w:ascii="Arial" w:hAnsi="Arial" w:cs="Arial"/>
          <w:b/>
        </w:rPr>
        <w:lastRenderedPageBreak/>
        <w:t>Note: Impact of Net Cash Appropriation Arrangements</w:t>
      </w:r>
    </w:p>
    <w:tbl>
      <w:tblPr>
        <w:tblW w:w="7060" w:type="dxa"/>
        <w:tblInd w:w="93" w:type="dxa"/>
        <w:tblLook w:val="04A0"/>
      </w:tblPr>
      <w:tblGrid>
        <w:gridCol w:w="2960"/>
        <w:gridCol w:w="820"/>
        <w:gridCol w:w="820"/>
        <w:gridCol w:w="820"/>
        <w:gridCol w:w="820"/>
        <w:gridCol w:w="820"/>
      </w:tblGrid>
      <w:tr w:rsidR="006E66F8" w:rsidRPr="006E66F8" w:rsidTr="006E66F8">
        <w:trPr>
          <w:trHeight w:val="225"/>
        </w:trPr>
        <w:tc>
          <w:tcPr>
            <w:tcW w:w="2960" w:type="dxa"/>
            <w:tcBorders>
              <w:top w:val="single" w:sz="4" w:space="0" w:color="auto"/>
              <w:left w:val="nil"/>
              <w:bottom w:val="nil"/>
              <w:right w:val="nil"/>
            </w:tcBorders>
            <w:shd w:val="clear" w:color="auto" w:fill="auto"/>
            <w:noWrap/>
            <w:vAlign w:val="bottom"/>
            <w:hideMark/>
          </w:tcPr>
          <w:p w:rsidR="006E66F8" w:rsidRPr="006E66F8" w:rsidRDefault="006E66F8" w:rsidP="006E66F8">
            <w:pPr>
              <w:spacing w:after="0" w:line="240" w:lineRule="auto"/>
              <w:jc w:val="left"/>
              <w:rPr>
                <w:rFonts w:ascii="Arial" w:hAnsi="Arial" w:cs="Arial"/>
                <w:sz w:val="16"/>
                <w:szCs w:val="16"/>
              </w:rPr>
            </w:pPr>
            <w:r w:rsidRPr="006E66F8">
              <w:rPr>
                <w:rFonts w:ascii="Arial" w:hAnsi="Arial" w:cs="Arial"/>
                <w:sz w:val="16"/>
                <w:szCs w:val="16"/>
              </w:rPr>
              <w:t> </w:t>
            </w:r>
          </w:p>
        </w:tc>
        <w:tc>
          <w:tcPr>
            <w:tcW w:w="820" w:type="dxa"/>
            <w:tcBorders>
              <w:top w:val="single" w:sz="4" w:space="0" w:color="auto"/>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2014-15</w:t>
            </w:r>
          </w:p>
        </w:tc>
        <w:tc>
          <w:tcPr>
            <w:tcW w:w="820" w:type="dxa"/>
            <w:tcBorders>
              <w:top w:val="single" w:sz="4" w:space="0" w:color="auto"/>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2015-16</w:t>
            </w:r>
          </w:p>
        </w:tc>
        <w:tc>
          <w:tcPr>
            <w:tcW w:w="820" w:type="dxa"/>
            <w:tcBorders>
              <w:top w:val="single" w:sz="4" w:space="0" w:color="auto"/>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2016-17</w:t>
            </w:r>
          </w:p>
        </w:tc>
        <w:tc>
          <w:tcPr>
            <w:tcW w:w="820" w:type="dxa"/>
            <w:tcBorders>
              <w:top w:val="single" w:sz="4" w:space="0" w:color="auto"/>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2017-18</w:t>
            </w:r>
          </w:p>
        </w:tc>
        <w:tc>
          <w:tcPr>
            <w:tcW w:w="820" w:type="dxa"/>
            <w:tcBorders>
              <w:top w:val="single" w:sz="4" w:space="0" w:color="auto"/>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2018-19</w:t>
            </w:r>
          </w:p>
        </w:tc>
      </w:tr>
      <w:tr w:rsidR="006E66F8" w:rsidRPr="006E66F8" w:rsidTr="006E66F8">
        <w:trPr>
          <w:trHeight w:val="225"/>
        </w:trPr>
        <w:tc>
          <w:tcPr>
            <w:tcW w:w="296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left"/>
              <w:rPr>
                <w:rFonts w:ascii="Arial" w:hAnsi="Arial" w:cs="Arial"/>
                <w:sz w:val="16"/>
                <w:szCs w:val="16"/>
              </w:rPr>
            </w:pPr>
          </w:p>
        </w:tc>
        <w:tc>
          <w:tcPr>
            <w:tcW w:w="82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2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2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2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 xml:space="preserve">Total Comprehensive Income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 xml:space="preserve">(loss) </w:t>
            </w:r>
            <w:r w:rsidRPr="006E66F8">
              <w:rPr>
                <w:rFonts w:ascii="Arial" w:hAnsi="Arial" w:cs="Arial"/>
                <w:b/>
                <w:bCs/>
                <w:sz w:val="16"/>
                <w:szCs w:val="16"/>
              </w:rPr>
              <w:t>including</w:t>
            </w:r>
            <w:r w:rsidRPr="006E66F8">
              <w:rPr>
                <w:rFonts w:ascii="Arial" w:hAnsi="Arial" w:cs="Arial"/>
                <w:b/>
                <w:bCs/>
                <w:color w:val="000000"/>
                <w:sz w:val="16"/>
                <w:szCs w:val="16"/>
              </w:rPr>
              <w:t xml:space="preserve"> depreciation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amortisation expenses</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previously funded through</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revenue appropriations</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71,396</w:t>
            </w:r>
          </w:p>
        </w:tc>
        <w:tc>
          <w:tcPr>
            <w:tcW w:w="82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34,959</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48,875</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52,307</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49,062</w:t>
            </w:r>
          </w:p>
        </w:tc>
      </w:tr>
      <w:tr w:rsidR="006E66F8" w:rsidRPr="006E66F8" w:rsidTr="006E66F8">
        <w:trPr>
          <w:trHeight w:val="60"/>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sz w:val="16"/>
                <w:szCs w:val="16"/>
              </w:rPr>
              <w:t>less</w:t>
            </w:r>
            <w:r w:rsidRPr="006E66F8">
              <w:rPr>
                <w:rFonts w:ascii="Arial" w:hAnsi="Arial" w:cs="Arial"/>
                <w:color w:val="000000"/>
                <w:sz w:val="16"/>
                <w:szCs w:val="16"/>
              </w:rPr>
              <w:t xml:space="preserve"> depreciation/amortisation</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 xml:space="preserve">expenses previously funded through </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40"/>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revenue appropriations</w:t>
            </w:r>
            <w:r w:rsidRPr="006E66F8">
              <w:rPr>
                <w:rFonts w:ascii="Arial" w:hAnsi="Arial" w:cs="Arial"/>
                <w:color w:val="000000"/>
                <w:sz w:val="16"/>
                <w:szCs w:val="16"/>
                <w:vertAlign w:val="superscript"/>
              </w:rPr>
              <w:t xml:space="preserve"> 1</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12,233</w:t>
            </w:r>
          </w:p>
        </w:tc>
        <w:tc>
          <w:tcPr>
            <w:tcW w:w="82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19,824</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19,824</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19,824</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19,824</w:t>
            </w:r>
          </w:p>
        </w:tc>
      </w:tr>
      <w:tr w:rsidR="006E66F8" w:rsidRPr="006E66F8" w:rsidTr="006E66F8">
        <w:trPr>
          <w:trHeight w:val="60"/>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Calibri" w:hAnsi="Calibri"/>
                <w:color w:val="000000"/>
                <w:sz w:val="22"/>
                <w:szCs w:val="22"/>
              </w:rPr>
            </w:pPr>
          </w:p>
        </w:tc>
        <w:tc>
          <w:tcPr>
            <w:tcW w:w="82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Calibri" w:hAnsi="Calibri"/>
                <w:color w:val="000000"/>
                <w:sz w:val="22"/>
                <w:szCs w:val="22"/>
              </w:rPr>
            </w:pPr>
            <w:r w:rsidRPr="006E66F8">
              <w:rPr>
                <w:rFonts w:ascii="Calibri" w:hAnsi="Calibri"/>
                <w:color w:val="000000"/>
                <w:sz w:val="22"/>
                <w:szCs w:val="22"/>
              </w:rPr>
              <w:t> </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Calibri" w:hAnsi="Calibri"/>
                <w:color w:val="000000"/>
                <w:sz w:val="22"/>
                <w:szCs w:val="22"/>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 xml:space="preserve">Total Comprehensive Income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(loss) - as per the Statement of</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25"/>
        </w:trPr>
        <w:tc>
          <w:tcPr>
            <w:tcW w:w="296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Comprehensive Income</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59,163</w:t>
            </w:r>
          </w:p>
        </w:tc>
        <w:tc>
          <w:tcPr>
            <w:tcW w:w="82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15,135</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29,051</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32,483</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29,238</w:t>
            </w:r>
          </w:p>
        </w:tc>
      </w:tr>
    </w:tbl>
    <w:p w:rsidR="00ED468F" w:rsidRPr="009B1965" w:rsidRDefault="00ED468F" w:rsidP="00BF6570">
      <w:pPr>
        <w:spacing w:after="0" w:line="240" w:lineRule="auto"/>
        <w:rPr>
          <w:sz w:val="6"/>
          <w:szCs w:val="6"/>
          <w:highlight w:val="yellow"/>
        </w:rPr>
      </w:pPr>
    </w:p>
    <w:p w:rsidR="00E4582E" w:rsidRDefault="00E4582E" w:rsidP="0015261C">
      <w:pPr>
        <w:pStyle w:val="Source"/>
      </w:pPr>
      <w:proofErr w:type="gramStart"/>
      <w:r w:rsidRPr="009B1965">
        <w:t>Prepared on Australian Accounting Standards basis.</w:t>
      </w:r>
      <w:proofErr w:type="gramEnd"/>
    </w:p>
    <w:p w:rsidR="009B1965" w:rsidRPr="00DD06D6" w:rsidRDefault="009B1965" w:rsidP="00DD06D6">
      <w:pPr>
        <w:pStyle w:val="SingleParagraph"/>
        <w:spacing w:line="240" w:lineRule="auto"/>
        <w:rPr>
          <w:sz w:val="16"/>
        </w:rPr>
      </w:pPr>
    </w:p>
    <w:p w:rsidR="009B1965" w:rsidRPr="005D0DDF" w:rsidRDefault="009B1965" w:rsidP="0003235D">
      <w:pPr>
        <w:pStyle w:val="ListParagraph"/>
        <w:numPr>
          <w:ilvl w:val="0"/>
          <w:numId w:val="27"/>
        </w:numPr>
        <w:spacing w:after="60" w:line="240" w:lineRule="auto"/>
        <w:ind w:left="425" w:hanging="425"/>
        <w:contextualSpacing w:val="0"/>
        <w:outlineLvl w:val="6"/>
        <w:rPr>
          <w:rFonts w:ascii="Arial" w:hAnsi="Arial" w:cs="Arial"/>
          <w:sz w:val="15"/>
          <w:szCs w:val="15"/>
        </w:rPr>
      </w:pPr>
      <w:r w:rsidRPr="005D0DDF">
        <w:rPr>
          <w:rFonts w:ascii="Arial" w:hAnsi="Arial" w:cs="Arial"/>
          <w:sz w:val="15"/>
          <w:szCs w:val="15"/>
        </w:rPr>
        <w:t xml:space="preserve">Depreciation and amortisation expenses highlighted under </w:t>
      </w:r>
      <w:r w:rsidR="005D079F">
        <w:rPr>
          <w:rFonts w:ascii="Arial" w:hAnsi="Arial" w:cs="Arial"/>
          <w:sz w:val="15"/>
          <w:szCs w:val="15"/>
        </w:rPr>
        <w:t>‘</w:t>
      </w:r>
      <w:r w:rsidRPr="005D0DDF">
        <w:rPr>
          <w:rFonts w:ascii="Arial" w:hAnsi="Arial" w:cs="Arial"/>
          <w:sz w:val="15"/>
          <w:szCs w:val="15"/>
        </w:rPr>
        <w:t>Expenses</w:t>
      </w:r>
      <w:r w:rsidR="005D079F">
        <w:rPr>
          <w:rFonts w:ascii="Arial" w:hAnsi="Arial" w:cs="Arial"/>
          <w:sz w:val="15"/>
          <w:szCs w:val="15"/>
        </w:rPr>
        <w:t>’</w:t>
      </w:r>
      <w:r w:rsidRPr="005D0DDF">
        <w:rPr>
          <w:rFonts w:ascii="Arial" w:hAnsi="Arial" w:cs="Arial"/>
          <w:sz w:val="15"/>
          <w:szCs w:val="15"/>
        </w:rPr>
        <w:t xml:space="preserve"> represents total depreciation and amortisation expenses for Finance. The “non-appropriated” depreciation and amortisation figure at the bottom of this table is net of depreciation expenses associated with Finance’s property portfolio and wholly contained within the Property Special Account.</w:t>
      </w:r>
    </w:p>
    <w:p w:rsidR="00A16646" w:rsidRPr="00A16646" w:rsidRDefault="009B1965" w:rsidP="00A16646">
      <w:pPr>
        <w:pStyle w:val="ListParagraph"/>
        <w:numPr>
          <w:ilvl w:val="0"/>
          <w:numId w:val="27"/>
        </w:numPr>
        <w:spacing w:before="60" w:after="60" w:line="240" w:lineRule="auto"/>
        <w:ind w:left="425" w:hanging="425"/>
        <w:contextualSpacing w:val="0"/>
        <w:outlineLvl w:val="6"/>
        <w:rPr>
          <w:rFonts w:ascii="Arial" w:hAnsi="Arial" w:cs="Arial"/>
          <w:sz w:val="15"/>
          <w:szCs w:val="15"/>
        </w:rPr>
      </w:pPr>
      <w:r w:rsidRPr="005D0DDF">
        <w:rPr>
          <w:rFonts w:ascii="Arial" w:hAnsi="Arial" w:cs="Arial"/>
          <w:sz w:val="15"/>
          <w:szCs w:val="15"/>
        </w:rPr>
        <w:t xml:space="preserve">Represents the net gain/loss from the </w:t>
      </w:r>
      <w:r w:rsidR="00536008">
        <w:rPr>
          <w:rFonts w:ascii="Arial" w:hAnsi="Arial" w:cs="Arial"/>
          <w:sz w:val="15"/>
          <w:szCs w:val="15"/>
        </w:rPr>
        <w:t>g</w:t>
      </w:r>
      <w:r w:rsidRPr="005D0DDF">
        <w:rPr>
          <w:rFonts w:ascii="Arial" w:hAnsi="Arial" w:cs="Arial"/>
          <w:sz w:val="15"/>
          <w:szCs w:val="15"/>
        </w:rPr>
        <w:t xml:space="preserve">overnment’s non-Defence </w:t>
      </w:r>
      <w:r w:rsidR="005D079F">
        <w:rPr>
          <w:rFonts w:ascii="Arial" w:hAnsi="Arial" w:cs="Arial"/>
          <w:sz w:val="15"/>
          <w:szCs w:val="15"/>
        </w:rPr>
        <w:t>P</w:t>
      </w:r>
      <w:r w:rsidRPr="005D0DDF">
        <w:rPr>
          <w:rFonts w:ascii="Arial" w:hAnsi="Arial" w:cs="Arial"/>
          <w:sz w:val="15"/>
          <w:szCs w:val="15"/>
        </w:rPr>
        <w:t xml:space="preserve">roperty </w:t>
      </w:r>
      <w:r w:rsidR="005D079F">
        <w:rPr>
          <w:rFonts w:ascii="Arial" w:hAnsi="Arial" w:cs="Arial"/>
          <w:sz w:val="15"/>
          <w:szCs w:val="15"/>
        </w:rPr>
        <w:t>D</w:t>
      </w:r>
      <w:r w:rsidRPr="005D0DDF">
        <w:rPr>
          <w:rFonts w:ascii="Arial" w:hAnsi="Arial" w:cs="Arial"/>
          <w:sz w:val="15"/>
          <w:szCs w:val="15"/>
        </w:rPr>
        <w:t xml:space="preserve">ivestment </w:t>
      </w:r>
      <w:r w:rsidR="005D079F">
        <w:rPr>
          <w:rFonts w:ascii="Arial" w:hAnsi="Arial" w:cs="Arial"/>
          <w:sz w:val="15"/>
          <w:szCs w:val="15"/>
        </w:rPr>
        <w:t>P</w:t>
      </w:r>
      <w:r w:rsidRPr="005D0DDF">
        <w:rPr>
          <w:rFonts w:ascii="Arial" w:hAnsi="Arial" w:cs="Arial"/>
          <w:sz w:val="15"/>
          <w:szCs w:val="15"/>
        </w:rPr>
        <w:t>rogramme within Australia</w:t>
      </w:r>
      <w:r w:rsidR="00A16646">
        <w:rPr>
          <w:rFonts w:ascii="Arial" w:hAnsi="Arial" w:cs="Arial"/>
          <w:sz w:val="15"/>
          <w:szCs w:val="15"/>
        </w:rPr>
        <w:t>.</w:t>
      </w:r>
    </w:p>
    <w:p w:rsidR="00A16646" w:rsidRPr="00A16646" w:rsidRDefault="00A16646" w:rsidP="00A16646">
      <w:pPr>
        <w:pStyle w:val="ListParagraph"/>
        <w:numPr>
          <w:ilvl w:val="0"/>
          <w:numId w:val="27"/>
        </w:numPr>
        <w:spacing w:before="60" w:after="60" w:line="240" w:lineRule="auto"/>
        <w:ind w:left="425" w:hanging="425"/>
        <w:contextualSpacing w:val="0"/>
        <w:outlineLvl w:val="6"/>
        <w:rPr>
          <w:rFonts w:ascii="Arial" w:hAnsi="Arial" w:cs="Arial"/>
          <w:sz w:val="15"/>
          <w:szCs w:val="15"/>
        </w:rPr>
      </w:pPr>
      <w:r>
        <w:rPr>
          <w:rFonts w:ascii="Arial" w:hAnsi="Arial" w:cs="Arial"/>
          <w:sz w:val="15"/>
          <w:szCs w:val="15"/>
        </w:rPr>
        <w:t>Other gains represent resources received free of charge for Financial Statement Audit Services from the Australian National Audit Office (ANAO).</w:t>
      </w:r>
    </w:p>
    <w:p w:rsidR="009B1965" w:rsidRDefault="009B1965" w:rsidP="00E4582E">
      <w:pPr>
        <w:pStyle w:val="Source"/>
      </w:pPr>
    </w:p>
    <w:p w:rsidR="00586535" w:rsidRDefault="00586535" w:rsidP="00E4582E">
      <w:pPr>
        <w:pStyle w:val="Source"/>
      </w:pPr>
    </w:p>
    <w:p w:rsidR="00B00AF9" w:rsidRDefault="000A24C4" w:rsidP="00E453F8">
      <w:pPr>
        <w:pStyle w:val="Heading5"/>
      </w:pPr>
      <w:r>
        <w:br w:type="page"/>
      </w:r>
      <w:bookmarkStart w:id="51" w:name="OLE_LINK5"/>
      <w:r w:rsidR="00525AB1" w:rsidRPr="00793F50">
        <w:lastRenderedPageBreak/>
        <w:t xml:space="preserve">Table 3.2.2: </w:t>
      </w:r>
      <w:r w:rsidR="00B00AF9">
        <w:t>Budgeted Balance Sheet – Departmental</w:t>
      </w:r>
      <w:r w:rsidR="00B00AF9">
        <w:br/>
        <w:t>as at 30 June</w:t>
      </w:r>
    </w:p>
    <w:tbl>
      <w:tblPr>
        <w:tblW w:w="7320" w:type="dxa"/>
        <w:tblInd w:w="93" w:type="dxa"/>
        <w:tblLook w:val="04A0"/>
      </w:tblPr>
      <w:tblGrid>
        <w:gridCol w:w="2620"/>
        <w:gridCol w:w="940"/>
        <w:gridCol w:w="940"/>
        <w:gridCol w:w="940"/>
        <w:gridCol w:w="940"/>
        <w:gridCol w:w="940"/>
      </w:tblGrid>
      <w:tr w:rsidR="006E66F8" w:rsidRPr="006E66F8" w:rsidTr="006E66F8">
        <w:trPr>
          <w:trHeight w:val="225"/>
        </w:trPr>
        <w:tc>
          <w:tcPr>
            <w:tcW w:w="2620" w:type="dxa"/>
            <w:tcBorders>
              <w:top w:val="single" w:sz="4" w:space="0" w:color="000000"/>
              <w:left w:val="nil"/>
              <w:bottom w:val="nil"/>
              <w:right w:val="nil"/>
            </w:tcBorders>
            <w:shd w:val="clear" w:color="auto" w:fill="auto"/>
            <w:noWrap/>
            <w:vAlign w:val="center"/>
            <w:hideMark/>
          </w:tcPr>
          <w:bookmarkEnd w:id="51"/>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color w:val="000000"/>
                <w:sz w:val="16"/>
                <w:szCs w:val="16"/>
              </w:rPr>
              <w:t> </w:t>
            </w:r>
          </w:p>
        </w:tc>
        <w:tc>
          <w:tcPr>
            <w:tcW w:w="9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Estimated</w:t>
            </w:r>
          </w:p>
        </w:tc>
        <w:tc>
          <w:tcPr>
            <w:tcW w:w="940" w:type="dxa"/>
            <w:tcBorders>
              <w:top w:val="single" w:sz="4" w:space="0" w:color="000000"/>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Budget</w:t>
            </w:r>
          </w:p>
        </w:tc>
        <w:tc>
          <w:tcPr>
            <w:tcW w:w="9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9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9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actual</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000000" w:fill="FFFFFF"/>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2014-15</w:t>
            </w:r>
          </w:p>
        </w:tc>
        <w:tc>
          <w:tcPr>
            <w:tcW w:w="94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2015-16</w:t>
            </w:r>
          </w:p>
        </w:tc>
        <w:tc>
          <w:tcPr>
            <w:tcW w:w="94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2016-17</w:t>
            </w:r>
          </w:p>
        </w:tc>
        <w:tc>
          <w:tcPr>
            <w:tcW w:w="940" w:type="dxa"/>
            <w:tcBorders>
              <w:top w:val="nil"/>
              <w:left w:val="nil"/>
              <w:bottom w:val="nil"/>
              <w:right w:val="nil"/>
            </w:tcBorders>
            <w:shd w:val="clear" w:color="000000" w:fill="FFFFFF"/>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2017-18</w:t>
            </w:r>
          </w:p>
        </w:tc>
        <w:tc>
          <w:tcPr>
            <w:tcW w:w="940" w:type="dxa"/>
            <w:tcBorders>
              <w:top w:val="nil"/>
              <w:left w:val="nil"/>
              <w:bottom w:val="nil"/>
              <w:right w:val="nil"/>
            </w:tcBorders>
            <w:shd w:val="clear" w:color="000000" w:fill="FFFFFF"/>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2018-19</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ASSETS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Financial assets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4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 xml:space="preserve">Cash </w:t>
            </w:r>
            <w:r w:rsidRPr="006E66F8">
              <w:rPr>
                <w:rFonts w:ascii="Arial" w:hAnsi="Arial" w:cs="Arial"/>
                <w:sz w:val="16"/>
                <w:szCs w:val="16"/>
              </w:rPr>
              <w:t>and cash equivalents</w:t>
            </w:r>
            <w:r w:rsidRPr="006E66F8">
              <w:rPr>
                <w:rFonts w:ascii="Arial" w:hAnsi="Arial" w:cs="Arial"/>
                <w:sz w:val="16"/>
                <w:szCs w:val="16"/>
                <w:vertAlign w:val="superscript"/>
              </w:rPr>
              <w:t xml:space="preserve"> 1</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r>
      <w:tr w:rsidR="006E66F8" w:rsidRPr="006E66F8" w:rsidTr="006E66F8">
        <w:trPr>
          <w:trHeight w:val="24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sz w:val="16"/>
                <w:szCs w:val="16"/>
              </w:rPr>
            </w:pPr>
            <w:r w:rsidRPr="006E66F8">
              <w:rPr>
                <w:rFonts w:ascii="Arial" w:hAnsi="Arial" w:cs="Arial"/>
                <w:sz w:val="16"/>
                <w:szCs w:val="16"/>
              </w:rPr>
              <w:t>Trade and other receivables</w:t>
            </w:r>
            <w:r w:rsidRPr="006E66F8">
              <w:rPr>
                <w:rFonts w:ascii="Arial" w:hAnsi="Arial" w:cs="Arial"/>
                <w:sz w:val="16"/>
                <w:szCs w:val="16"/>
                <w:vertAlign w:val="superscript"/>
              </w:rPr>
              <w:t xml:space="preserve"> 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813,677</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761,183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772,369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796,752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824,530</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Other financial assets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14,663</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14,663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14,663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14,663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14,663</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financial assets</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833,340</w:t>
            </w:r>
          </w:p>
        </w:tc>
        <w:tc>
          <w:tcPr>
            <w:tcW w:w="94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780,846</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792,032</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816,415</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844,193</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Non-financial assets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4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Land and buildings</w:t>
            </w:r>
            <w:r w:rsidRPr="006E66F8">
              <w:rPr>
                <w:rFonts w:ascii="Arial" w:hAnsi="Arial" w:cs="Arial"/>
                <w:color w:val="000000"/>
                <w:sz w:val="16"/>
                <w:szCs w:val="16"/>
                <w:vertAlign w:val="superscript"/>
              </w:rPr>
              <w:t xml:space="preserve"> 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1,248,189</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1,092,970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1,111,580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1,098,529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1,078,965</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Property, plant and equipment</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22,170</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39,787</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58,216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68,155</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72,294</w:t>
            </w:r>
          </w:p>
        </w:tc>
      </w:tr>
      <w:tr w:rsidR="006E66F8" w:rsidRPr="006E66F8" w:rsidTr="006E66F8">
        <w:trPr>
          <w:trHeight w:val="24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Investment property</w:t>
            </w:r>
            <w:r w:rsidRPr="006E66F8">
              <w:rPr>
                <w:rFonts w:ascii="Arial" w:hAnsi="Arial" w:cs="Arial"/>
                <w:color w:val="000000"/>
                <w:sz w:val="16"/>
                <w:szCs w:val="16"/>
                <w:vertAlign w:val="superscript"/>
              </w:rPr>
              <w:t xml:space="preserve"> 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664,074</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672,786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675,452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676,280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677,572</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Intangibles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81,119</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105,326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112,825</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116,351</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119,718</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Other non-financial assets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11,000</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11,000</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non-financial assets</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2,026,552</w:t>
            </w:r>
          </w:p>
        </w:tc>
        <w:tc>
          <w:tcPr>
            <w:tcW w:w="94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1,921,869</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1,969,073</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1,970,315</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1,959,549</w:t>
            </w:r>
          </w:p>
        </w:tc>
      </w:tr>
      <w:tr w:rsidR="006E66F8" w:rsidRPr="006E66F8" w:rsidTr="006E66F8">
        <w:trPr>
          <w:trHeight w:val="6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assets</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2,859,892</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2,702,715</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2,761,105</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2,786,730</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2,803,742</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LIABILITIES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Payables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Suppliers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88,803</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95,351</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101,899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108,447</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114,995</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Unearned revenue</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69,742</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69,742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69,742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69,742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69,742</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Return of equity</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10,359</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10,359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10,359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10,359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10,359</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Other payables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2,912</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3,679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4,446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5,213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5,980</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payables</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171,816</w:t>
            </w:r>
          </w:p>
        </w:tc>
        <w:tc>
          <w:tcPr>
            <w:tcW w:w="94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179,131</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186,446</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193,761</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201,076</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Provisions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Employee provisions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61,229</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63,067</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65,499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67,931</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70,363</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Outstanding insurance claims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336,726</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336,726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336,726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336,726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336,726</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Other provisions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23,106</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11,106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7,606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7,606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7,606</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provisions</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421,061</w:t>
            </w:r>
          </w:p>
        </w:tc>
        <w:tc>
          <w:tcPr>
            <w:tcW w:w="94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410,899</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409,831</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412,263</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414,695</w:t>
            </w:r>
          </w:p>
        </w:tc>
      </w:tr>
      <w:tr w:rsidR="006E66F8" w:rsidRPr="006E66F8" w:rsidTr="006E66F8">
        <w:trPr>
          <w:trHeight w:val="6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liabilities</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592,877</w:t>
            </w:r>
          </w:p>
        </w:tc>
        <w:tc>
          <w:tcPr>
            <w:tcW w:w="940" w:type="dxa"/>
            <w:tcBorders>
              <w:top w:val="nil"/>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590,030</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596,277</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606,024</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615,771</w:t>
            </w:r>
          </w:p>
        </w:tc>
      </w:tr>
      <w:tr w:rsidR="006E66F8" w:rsidRPr="006E66F8" w:rsidTr="006E66F8">
        <w:trPr>
          <w:trHeight w:val="6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sz w:val="16"/>
                <w:szCs w:val="16"/>
              </w:rPr>
            </w:pPr>
            <w:r w:rsidRPr="006E66F8">
              <w:rPr>
                <w:rFonts w:ascii="Arial" w:hAnsi="Arial" w:cs="Arial"/>
                <w:b/>
                <w:bCs/>
                <w:sz w:val="16"/>
                <w:szCs w:val="16"/>
              </w:rPr>
              <w:t>Net assets</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2,267,015</w:t>
            </w:r>
          </w:p>
        </w:tc>
        <w:tc>
          <w:tcPr>
            <w:tcW w:w="940" w:type="dxa"/>
            <w:tcBorders>
              <w:top w:val="nil"/>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2,112,685</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2,164,828</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2,180,706</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2,187,971</w:t>
            </w:r>
          </w:p>
        </w:tc>
      </w:tr>
      <w:tr w:rsidR="006E66F8" w:rsidRPr="006E66F8" w:rsidTr="006E66F8">
        <w:trPr>
          <w:trHeight w:val="24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EQUITY</w:t>
            </w:r>
            <w:r w:rsidRPr="006E66F8">
              <w:rPr>
                <w:rFonts w:ascii="Arial" w:hAnsi="Arial" w:cs="Arial"/>
                <w:b/>
                <w:bCs/>
                <w:color w:val="000000"/>
                <w:sz w:val="16"/>
                <w:szCs w:val="16"/>
                <w:vertAlign w:val="superscript"/>
              </w:rPr>
              <w:t xml:space="preserve"> 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Contributed equity</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1,888,616</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1,718,557</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1,741,649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1,725,044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1,703,071</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Reserves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Retained surplus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(accumulated deficit)</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242,715</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258,444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287,495</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319,978</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349,216</w:t>
            </w:r>
          </w:p>
        </w:tc>
      </w:tr>
      <w:tr w:rsidR="006E66F8" w:rsidRPr="006E66F8" w:rsidTr="006E66F8">
        <w:trPr>
          <w:trHeight w:val="225"/>
        </w:trPr>
        <w:tc>
          <w:tcPr>
            <w:tcW w:w="262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equity</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2,267,015</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2,112,685</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2,164,828</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2,180,706</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2,187,971</w:t>
            </w:r>
          </w:p>
        </w:tc>
      </w:tr>
    </w:tbl>
    <w:p w:rsidR="00ED468F" w:rsidRPr="0015261C" w:rsidRDefault="00ED468F" w:rsidP="001D6BD6">
      <w:pPr>
        <w:spacing w:after="0" w:line="240" w:lineRule="auto"/>
        <w:rPr>
          <w:sz w:val="6"/>
          <w:szCs w:val="6"/>
        </w:rPr>
      </w:pPr>
    </w:p>
    <w:p w:rsidR="00E4582E" w:rsidRDefault="00E4582E" w:rsidP="0015261C">
      <w:pPr>
        <w:pStyle w:val="Source"/>
      </w:pPr>
      <w:proofErr w:type="gramStart"/>
      <w:r>
        <w:t>Prepared on Australian Accounting Standards basis.</w:t>
      </w:r>
      <w:proofErr w:type="gramEnd"/>
    </w:p>
    <w:p w:rsidR="0061675B" w:rsidRDefault="0061675B" w:rsidP="0061675B">
      <w:pPr>
        <w:pStyle w:val="NoSpacing"/>
      </w:pPr>
    </w:p>
    <w:p w:rsidR="005D079F" w:rsidRDefault="005D079F" w:rsidP="005D079F">
      <w:pPr>
        <w:pStyle w:val="ListParagraph"/>
        <w:numPr>
          <w:ilvl w:val="0"/>
          <w:numId w:val="65"/>
        </w:numPr>
        <w:spacing w:after="60" w:line="240" w:lineRule="auto"/>
        <w:ind w:left="425" w:hanging="425"/>
        <w:contextualSpacing w:val="0"/>
        <w:outlineLvl w:val="6"/>
        <w:rPr>
          <w:rFonts w:ascii="Arial" w:hAnsi="Arial" w:cs="Arial"/>
          <w:sz w:val="15"/>
          <w:szCs w:val="15"/>
        </w:rPr>
      </w:pPr>
      <w:r>
        <w:rPr>
          <w:rFonts w:ascii="Arial" w:hAnsi="Arial" w:cs="Arial"/>
          <w:sz w:val="15"/>
          <w:szCs w:val="15"/>
        </w:rPr>
        <w:t>The departmental cash balance is maintained at $5m. Cash in excess of this balance is returned to the Official Public Account (OPA), recorded as a receivable and drawn down as required.</w:t>
      </w:r>
    </w:p>
    <w:p w:rsidR="005D079F" w:rsidRDefault="00983267" w:rsidP="005D079F">
      <w:pPr>
        <w:pStyle w:val="ListParagraph"/>
        <w:numPr>
          <w:ilvl w:val="0"/>
          <w:numId w:val="65"/>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Primarily </w:t>
      </w:r>
      <w:r w:rsidR="00E11210">
        <w:rPr>
          <w:rFonts w:ascii="Arial" w:hAnsi="Arial" w:cs="Arial"/>
          <w:sz w:val="15"/>
          <w:szCs w:val="15"/>
        </w:rPr>
        <w:t>represents appropriation receivable (including capital appropriation) and the Special Accounts.</w:t>
      </w:r>
    </w:p>
    <w:p w:rsidR="005D079F" w:rsidRDefault="00E11210" w:rsidP="005D079F">
      <w:pPr>
        <w:pStyle w:val="ListParagraph"/>
        <w:numPr>
          <w:ilvl w:val="0"/>
          <w:numId w:val="65"/>
        </w:numPr>
        <w:spacing w:after="60" w:line="240" w:lineRule="auto"/>
        <w:ind w:left="425" w:hanging="425"/>
        <w:contextualSpacing w:val="0"/>
        <w:outlineLvl w:val="6"/>
        <w:rPr>
          <w:rFonts w:ascii="Arial" w:hAnsi="Arial" w:cs="Arial"/>
          <w:sz w:val="15"/>
          <w:szCs w:val="15"/>
        </w:rPr>
      </w:pPr>
      <w:r>
        <w:rPr>
          <w:rFonts w:ascii="Arial" w:hAnsi="Arial" w:cs="Arial"/>
          <w:sz w:val="15"/>
          <w:szCs w:val="15"/>
        </w:rPr>
        <w:t>Primarily represents properties in the Australian Government’s non</w:t>
      </w:r>
      <w:r>
        <w:rPr>
          <w:rFonts w:ascii="Arial" w:hAnsi="Arial" w:cs="Arial"/>
          <w:sz w:val="15"/>
          <w:szCs w:val="15"/>
        </w:rPr>
        <w:noBreakHyphen/>
      </w:r>
      <w:proofErr w:type="spellStart"/>
      <w:r>
        <w:rPr>
          <w:rFonts w:ascii="Arial" w:hAnsi="Arial" w:cs="Arial"/>
          <w:sz w:val="15"/>
          <w:szCs w:val="15"/>
        </w:rPr>
        <w:t>Defence</w:t>
      </w:r>
      <w:proofErr w:type="spellEnd"/>
      <w:r>
        <w:rPr>
          <w:rFonts w:ascii="Arial" w:hAnsi="Arial" w:cs="Arial"/>
          <w:sz w:val="15"/>
          <w:szCs w:val="15"/>
        </w:rPr>
        <w:t xml:space="preserve"> property portfolio.</w:t>
      </w:r>
    </w:p>
    <w:p w:rsidR="005D079F" w:rsidRDefault="00E11210" w:rsidP="005D079F">
      <w:pPr>
        <w:pStyle w:val="ListParagraph"/>
        <w:numPr>
          <w:ilvl w:val="0"/>
          <w:numId w:val="65"/>
        </w:numPr>
        <w:spacing w:after="60" w:line="240" w:lineRule="auto"/>
        <w:ind w:left="425" w:hanging="425"/>
        <w:contextualSpacing w:val="0"/>
        <w:outlineLvl w:val="6"/>
        <w:rPr>
          <w:rFonts w:ascii="Arial" w:hAnsi="Arial" w:cs="Arial"/>
          <w:sz w:val="15"/>
          <w:szCs w:val="15"/>
        </w:rPr>
      </w:pPr>
      <w:r>
        <w:rPr>
          <w:rFonts w:ascii="Arial" w:hAnsi="Arial" w:cs="Arial"/>
          <w:sz w:val="15"/>
          <w:szCs w:val="15"/>
        </w:rPr>
        <w:t>Equity is the residual interest in assets after deduction of liabilities.</w:t>
      </w:r>
    </w:p>
    <w:p w:rsidR="005D079F" w:rsidRDefault="005D079F" w:rsidP="0061675B">
      <w:pPr>
        <w:pStyle w:val="NoSpacing"/>
      </w:pPr>
    </w:p>
    <w:p w:rsidR="00B00AF9" w:rsidRDefault="000A24C4" w:rsidP="00E453F8">
      <w:pPr>
        <w:pStyle w:val="Heading5"/>
      </w:pPr>
      <w:r>
        <w:br w:type="page"/>
      </w:r>
      <w:bookmarkStart w:id="52" w:name="OLE_LINK9"/>
      <w:r w:rsidR="00A80C87" w:rsidRPr="00793F50">
        <w:lastRenderedPageBreak/>
        <w:t>Table 3.2.3</w:t>
      </w:r>
      <w:r w:rsidR="00345CCD" w:rsidRPr="00793F50">
        <w:t xml:space="preserve">: </w:t>
      </w:r>
      <w:r w:rsidR="00B00AF9">
        <w:t>Budgeted Statement of Changes in Equity – Summary of Movement – Departmental</w:t>
      </w:r>
      <w:r w:rsidR="00B00AF9">
        <w:br/>
        <w:t>for the period ended 30 June 2016</w:t>
      </w:r>
    </w:p>
    <w:tbl>
      <w:tblPr>
        <w:tblW w:w="6900" w:type="dxa"/>
        <w:tblInd w:w="93" w:type="dxa"/>
        <w:tblLook w:val="04A0"/>
      </w:tblPr>
      <w:tblGrid>
        <w:gridCol w:w="3000"/>
        <w:gridCol w:w="880"/>
        <w:gridCol w:w="1020"/>
        <w:gridCol w:w="1060"/>
        <w:gridCol w:w="940"/>
      </w:tblGrid>
      <w:tr w:rsidR="006E66F8" w:rsidRPr="006E66F8" w:rsidTr="006E66F8">
        <w:trPr>
          <w:trHeight w:val="225"/>
        </w:trPr>
        <w:tc>
          <w:tcPr>
            <w:tcW w:w="3000" w:type="dxa"/>
            <w:tcBorders>
              <w:top w:val="single" w:sz="4" w:space="0" w:color="000000"/>
              <w:left w:val="nil"/>
              <w:bottom w:val="nil"/>
              <w:right w:val="nil"/>
            </w:tcBorders>
            <w:shd w:val="clear" w:color="auto" w:fill="auto"/>
            <w:noWrap/>
            <w:vAlign w:val="center"/>
            <w:hideMark/>
          </w:tcPr>
          <w:bookmarkEnd w:id="52"/>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Retained</w:t>
            </w:r>
          </w:p>
        </w:tc>
        <w:tc>
          <w:tcPr>
            <w:tcW w:w="102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Asset</w:t>
            </w:r>
          </w:p>
        </w:tc>
        <w:tc>
          <w:tcPr>
            <w:tcW w:w="106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Contributed</w:t>
            </w:r>
          </w:p>
        </w:tc>
        <w:tc>
          <w:tcPr>
            <w:tcW w:w="9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Total</w:t>
            </w: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earnings</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revaluation</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equity/</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equity</w:t>
            </w: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reserve</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capital</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102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106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r>
      <w:tr w:rsidR="006E66F8" w:rsidRPr="006E66F8" w:rsidTr="006E66F8">
        <w:trPr>
          <w:trHeight w:val="225"/>
        </w:trPr>
        <w:tc>
          <w:tcPr>
            <w:tcW w:w="3000" w:type="dxa"/>
            <w:tcBorders>
              <w:top w:val="nil"/>
              <w:left w:val="nil"/>
              <w:bottom w:val="nil"/>
              <w:right w:val="nil"/>
            </w:tcBorders>
            <w:shd w:val="clear" w:color="auto" w:fill="auto"/>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Opening balance as at 1 July 2015</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Balance carried forward from</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previous period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242,715</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1,888,616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2,267,015</w:t>
            </w:r>
          </w:p>
        </w:tc>
      </w:tr>
      <w:tr w:rsidR="006E66F8" w:rsidRPr="006E66F8" w:rsidTr="006E66F8">
        <w:trPr>
          <w:trHeight w:val="225"/>
        </w:trPr>
        <w:tc>
          <w:tcPr>
            <w:tcW w:w="3000" w:type="dxa"/>
            <w:tcBorders>
              <w:top w:val="nil"/>
              <w:left w:val="nil"/>
              <w:bottom w:val="nil"/>
              <w:right w:val="nil"/>
            </w:tcBorders>
            <w:shd w:val="clear" w:color="auto" w:fill="auto"/>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Adjusted opening balance</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242,715</w:t>
            </w:r>
          </w:p>
        </w:tc>
        <w:tc>
          <w:tcPr>
            <w:tcW w:w="102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135,684</w:t>
            </w:r>
          </w:p>
        </w:tc>
        <w:tc>
          <w:tcPr>
            <w:tcW w:w="106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1,888,616</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2,267,015</w:t>
            </w:r>
          </w:p>
        </w:tc>
      </w:tr>
      <w:tr w:rsidR="006E66F8" w:rsidRPr="006E66F8" w:rsidTr="006E66F8">
        <w:trPr>
          <w:trHeight w:val="60"/>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Comprehensive income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sz w:val="16"/>
                <w:szCs w:val="16"/>
              </w:rPr>
            </w:pPr>
            <w:r w:rsidRPr="006E66F8">
              <w:rPr>
                <w:rFonts w:ascii="Arial" w:hAnsi="Arial" w:cs="Arial"/>
                <w:sz w:val="16"/>
                <w:szCs w:val="16"/>
              </w:rPr>
              <w:t>Surplus (deficit) for the period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15,135</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15,135</w:t>
            </w:r>
          </w:p>
        </w:tc>
      </w:tr>
      <w:tr w:rsidR="006E66F8" w:rsidRPr="006E66F8" w:rsidTr="006E66F8">
        <w:trPr>
          <w:trHeight w:val="225"/>
        </w:trPr>
        <w:tc>
          <w:tcPr>
            <w:tcW w:w="3000" w:type="dxa"/>
            <w:tcBorders>
              <w:top w:val="nil"/>
              <w:left w:val="nil"/>
              <w:bottom w:val="nil"/>
              <w:right w:val="nil"/>
            </w:tcBorders>
            <w:shd w:val="clear" w:color="auto" w:fill="auto"/>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comprehensive income</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15,135</w:t>
            </w:r>
          </w:p>
        </w:tc>
        <w:tc>
          <w:tcPr>
            <w:tcW w:w="102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106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15,135</w:t>
            </w:r>
          </w:p>
        </w:tc>
      </w:tr>
      <w:tr w:rsidR="006E66F8" w:rsidRPr="006E66F8" w:rsidTr="006E66F8">
        <w:trPr>
          <w:trHeight w:val="60"/>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Transactions with owners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Distributions to owners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Returns of capital:</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300" w:firstLine="480"/>
              <w:jc w:val="left"/>
              <w:rPr>
                <w:rFonts w:ascii="Arial" w:hAnsi="Arial" w:cs="Arial"/>
                <w:color w:val="000000"/>
                <w:sz w:val="16"/>
                <w:szCs w:val="16"/>
              </w:rPr>
            </w:pPr>
            <w:r w:rsidRPr="006E66F8">
              <w:rPr>
                <w:rFonts w:ascii="Arial" w:hAnsi="Arial" w:cs="Arial"/>
                <w:color w:val="000000"/>
                <w:sz w:val="16"/>
                <w:szCs w:val="16"/>
              </w:rPr>
              <w:t>Returns of contributed equity</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(51,700)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(51,700)</w:t>
            </w: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Contributions by owners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40"/>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Equity Injection - appropriations</w:t>
            </w:r>
            <w:r w:rsidRPr="006E66F8">
              <w:rPr>
                <w:rFonts w:ascii="Arial" w:hAnsi="Arial" w:cs="Arial"/>
                <w:color w:val="000000"/>
                <w:sz w:val="16"/>
                <w:szCs w:val="16"/>
                <w:vertAlign w:val="superscript"/>
              </w:rPr>
              <w:t xml:space="preserve"> 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155,084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155,084</w:t>
            </w: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Departmental Capital Budget (DCB)</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10,924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10,924</w:t>
            </w:r>
          </w:p>
        </w:tc>
      </w:tr>
      <w:tr w:rsidR="006E66F8" w:rsidRPr="006E66F8" w:rsidTr="006E66F8">
        <w:trPr>
          <w:trHeight w:val="240"/>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Restructuring</w:t>
            </w:r>
            <w:r w:rsidRPr="006E66F8">
              <w:rPr>
                <w:rFonts w:ascii="Arial" w:hAnsi="Arial" w:cs="Arial"/>
                <w:color w:val="000000"/>
                <w:sz w:val="16"/>
                <w:szCs w:val="16"/>
                <w:vertAlign w:val="superscript"/>
              </w:rPr>
              <w:t xml:space="preserve"> 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594</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(284,367)</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(283,773)</w:t>
            </w: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Sub-total transactions with owners</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594</w:t>
            </w:r>
          </w:p>
        </w:tc>
        <w:tc>
          <w:tcPr>
            <w:tcW w:w="102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106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(170,059)</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(169,465)</w:t>
            </w:r>
          </w:p>
        </w:tc>
      </w:tr>
      <w:tr w:rsidR="006E66F8" w:rsidRPr="006E66F8" w:rsidTr="006E66F8">
        <w:trPr>
          <w:trHeight w:val="60"/>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Estimated closing balance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as at 30 June 2016</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258,444</w:t>
            </w:r>
          </w:p>
        </w:tc>
        <w:tc>
          <w:tcPr>
            <w:tcW w:w="10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135,684</w:t>
            </w:r>
          </w:p>
        </w:tc>
        <w:tc>
          <w:tcPr>
            <w:tcW w:w="106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1,718,557</w:t>
            </w:r>
          </w:p>
        </w:tc>
        <w:tc>
          <w:tcPr>
            <w:tcW w:w="94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2,112,685</w:t>
            </w:r>
          </w:p>
        </w:tc>
      </w:tr>
    </w:tbl>
    <w:p w:rsidR="001D6BD6" w:rsidRPr="0015261C" w:rsidRDefault="001D6BD6" w:rsidP="001D6BD6">
      <w:pPr>
        <w:spacing w:after="0" w:line="240" w:lineRule="auto"/>
        <w:rPr>
          <w:sz w:val="6"/>
          <w:szCs w:val="6"/>
        </w:rPr>
      </w:pPr>
    </w:p>
    <w:p w:rsidR="00345CCD" w:rsidRDefault="00345CCD" w:rsidP="00345CCD">
      <w:pPr>
        <w:pStyle w:val="Source"/>
      </w:pPr>
      <w:proofErr w:type="gramStart"/>
      <w:r>
        <w:t>Prepared on Australian Accounting Standards basis.</w:t>
      </w:r>
      <w:proofErr w:type="gramEnd"/>
    </w:p>
    <w:p w:rsidR="00E11210" w:rsidRDefault="00E11210" w:rsidP="00282943">
      <w:pPr>
        <w:pStyle w:val="Source"/>
      </w:pPr>
    </w:p>
    <w:p w:rsidR="00E11210" w:rsidRDefault="00E11210" w:rsidP="00E11210">
      <w:pPr>
        <w:pStyle w:val="ListParagraph"/>
        <w:numPr>
          <w:ilvl w:val="0"/>
          <w:numId w:val="66"/>
        </w:numPr>
        <w:spacing w:after="60" w:line="240" w:lineRule="auto"/>
        <w:ind w:left="425" w:hanging="425"/>
        <w:contextualSpacing w:val="0"/>
        <w:outlineLvl w:val="6"/>
        <w:rPr>
          <w:rFonts w:ascii="Arial" w:hAnsi="Arial" w:cs="Arial"/>
          <w:sz w:val="15"/>
          <w:szCs w:val="15"/>
        </w:rPr>
      </w:pPr>
      <w:r>
        <w:rPr>
          <w:rFonts w:ascii="Arial" w:hAnsi="Arial" w:cs="Arial"/>
          <w:sz w:val="15"/>
          <w:szCs w:val="15"/>
        </w:rPr>
        <w:t>Equity injections for construction and ICT projects.</w:t>
      </w:r>
    </w:p>
    <w:p w:rsidR="00E11210" w:rsidRDefault="00E11210" w:rsidP="00E11210">
      <w:pPr>
        <w:pStyle w:val="ListParagraph"/>
        <w:numPr>
          <w:ilvl w:val="0"/>
          <w:numId w:val="6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Represents transfers of assets </w:t>
      </w:r>
      <w:r w:rsidR="00A00CD4">
        <w:rPr>
          <w:rFonts w:ascii="Arial" w:hAnsi="Arial" w:cs="Arial"/>
          <w:sz w:val="15"/>
          <w:szCs w:val="15"/>
        </w:rPr>
        <w:t xml:space="preserve">and liabilities </w:t>
      </w:r>
      <w:r>
        <w:rPr>
          <w:rFonts w:ascii="Arial" w:hAnsi="Arial" w:cs="Arial"/>
          <w:sz w:val="15"/>
          <w:szCs w:val="15"/>
        </w:rPr>
        <w:t>to other government entities.</w:t>
      </w:r>
    </w:p>
    <w:p w:rsidR="00E11210" w:rsidRPr="005D079F" w:rsidRDefault="00E11210" w:rsidP="00E11210">
      <w:pPr>
        <w:pStyle w:val="TOC9"/>
        <w:rPr>
          <w:lang w:val="en-US" w:eastAsia="en-US"/>
        </w:rPr>
      </w:pPr>
    </w:p>
    <w:p w:rsidR="00B00AF9" w:rsidRDefault="000A24C4" w:rsidP="00E453F8">
      <w:pPr>
        <w:pStyle w:val="Heading5"/>
      </w:pPr>
      <w:r>
        <w:br w:type="page"/>
      </w:r>
      <w:bookmarkStart w:id="53" w:name="OLE_LINK10"/>
      <w:r w:rsidR="003D3DE6" w:rsidRPr="00793F50">
        <w:lastRenderedPageBreak/>
        <w:t xml:space="preserve">Table 3.2.4: </w:t>
      </w:r>
      <w:r w:rsidR="003D3DE6">
        <w:t>Budgeted Statement of Cash Flows – Departmental</w:t>
      </w:r>
      <w:r w:rsidR="003D3DE6">
        <w:br/>
        <w:t>for the period ended 30 June</w:t>
      </w:r>
    </w:p>
    <w:tbl>
      <w:tblPr>
        <w:tblW w:w="7240" w:type="dxa"/>
        <w:tblInd w:w="93" w:type="dxa"/>
        <w:tblLook w:val="04A0"/>
      </w:tblPr>
      <w:tblGrid>
        <w:gridCol w:w="2840"/>
        <w:gridCol w:w="928"/>
        <w:gridCol w:w="901"/>
        <w:gridCol w:w="880"/>
        <w:gridCol w:w="880"/>
        <w:gridCol w:w="880"/>
      </w:tblGrid>
      <w:tr w:rsidR="006E66F8" w:rsidRPr="006E66F8" w:rsidTr="006E66F8">
        <w:trPr>
          <w:trHeight w:val="225"/>
        </w:trPr>
        <w:tc>
          <w:tcPr>
            <w:tcW w:w="2840" w:type="dxa"/>
            <w:tcBorders>
              <w:top w:val="single" w:sz="4" w:space="0" w:color="000000"/>
              <w:left w:val="nil"/>
              <w:bottom w:val="nil"/>
              <w:right w:val="nil"/>
            </w:tcBorders>
            <w:shd w:val="clear" w:color="auto" w:fill="auto"/>
            <w:noWrap/>
            <w:vAlign w:val="center"/>
            <w:hideMark/>
          </w:tcPr>
          <w:bookmarkEnd w:id="53"/>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Estimated</w:t>
            </w:r>
          </w:p>
        </w:tc>
        <w:tc>
          <w:tcPr>
            <w:tcW w:w="880" w:type="dxa"/>
            <w:tcBorders>
              <w:top w:val="single" w:sz="4" w:space="0" w:color="000000"/>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Budget</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actual</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2014-15</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2015-16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2016-17</w:t>
            </w: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2018-19</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388,552</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257,970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246,817</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243,837</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248,509</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Rendering of services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220,567</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222,735</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208,727</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199,709</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192,620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Insurance premiums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102,866</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126,990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133,278</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138,328</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141,782</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Net transfers from OPA</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94,395</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37,956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10,970</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5,700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5,700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5,700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817,350</w:t>
            </w:r>
          </w:p>
        </w:tc>
        <w:tc>
          <w:tcPr>
            <w:tcW w:w="88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652,551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594,522</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587,574</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588,611</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176,599</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175,388</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173,351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173,532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170,820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359,770</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261,702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227,915</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212,396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215,688</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Insurance claims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104,003</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130,167</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131,370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134,783</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138,156</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Net transfers to OPA</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7,536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13,485</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16,880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647,983</w:t>
            </w:r>
          </w:p>
        </w:tc>
        <w:tc>
          <w:tcPr>
            <w:tcW w:w="88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574,868</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547,783</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541,807</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549,155</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Net cash from (used by)</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169,367</w:t>
            </w:r>
          </w:p>
        </w:tc>
        <w:tc>
          <w:tcPr>
            <w:tcW w:w="88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77,683</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46,739</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45,767</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39,456</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Proceeds from sales of assets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4,205</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16,719</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7,771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5,071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5,071</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4,205</w:t>
            </w:r>
          </w:p>
        </w:tc>
        <w:tc>
          <w:tcPr>
            <w:tcW w:w="88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16,719</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7,771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5,071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5,071</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Purchase of land and buildings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387,703</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158,392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39,625</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6,018</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298</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 xml:space="preserve">Purchase of property, plant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and equipment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25,738</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29,441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30,253</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21,763</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15,964</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Purchase of intangibles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14,399</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32,202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15,493</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11,522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11,364</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Purchase of investment properties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12,851</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5,396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440,691</w:t>
            </w:r>
          </w:p>
        </w:tc>
        <w:tc>
          <w:tcPr>
            <w:tcW w:w="88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225,431</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85,371</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39,303</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27,626</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 xml:space="preserve">Net cash from (used by)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investing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(436,486)</w:t>
            </w:r>
          </w:p>
        </w:tc>
        <w:tc>
          <w:tcPr>
            <w:tcW w:w="88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(208,712)</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(77,600)</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(34,232)</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(22,555)</w:t>
            </w:r>
          </w:p>
        </w:tc>
      </w:tr>
    </w:tbl>
    <w:p w:rsidR="00ED468F" w:rsidRDefault="00ED468F" w:rsidP="006C0FA2">
      <w:pPr>
        <w:spacing w:after="0" w:line="240" w:lineRule="auto"/>
        <w:rPr>
          <w:sz w:val="6"/>
          <w:szCs w:val="6"/>
        </w:rPr>
      </w:pPr>
    </w:p>
    <w:p w:rsidR="006C0FA2" w:rsidRPr="0015261C" w:rsidRDefault="006C0FA2" w:rsidP="006C0FA2">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AB77C4" w:rsidRPr="00AB77C4" w:rsidRDefault="00AB77C4" w:rsidP="006C0FA2">
      <w:pPr>
        <w:spacing w:after="0" w:line="240" w:lineRule="auto"/>
      </w:pPr>
      <w:r>
        <w:rPr>
          <w:sz w:val="6"/>
          <w:szCs w:val="6"/>
        </w:rPr>
        <w:br w:type="page"/>
      </w:r>
    </w:p>
    <w:p w:rsidR="00B00AF9" w:rsidRDefault="006C0FA2" w:rsidP="00E453F8">
      <w:pPr>
        <w:pStyle w:val="Heading5"/>
      </w:pPr>
      <w:r w:rsidRPr="00793F50">
        <w:lastRenderedPageBreak/>
        <w:t xml:space="preserve">Table 3.2.4: </w:t>
      </w:r>
      <w:r w:rsidR="00B00AF9">
        <w:t>Budgeted Statement of Cash Flows – Departmental</w:t>
      </w:r>
      <w:r w:rsidR="00B00AF9">
        <w:br/>
        <w:t>for the period ended 30 June (continued)</w:t>
      </w:r>
    </w:p>
    <w:tbl>
      <w:tblPr>
        <w:tblW w:w="7240" w:type="dxa"/>
        <w:tblInd w:w="93" w:type="dxa"/>
        <w:tblLook w:val="04A0"/>
      </w:tblPr>
      <w:tblGrid>
        <w:gridCol w:w="2840"/>
        <w:gridCol w:w="928"/>
        <w:gridCol w:w="880"/>
        <w:gridCol w:w="880"/>
        <w:gridCol w:w="880"/>
        <w:gridCol w:w="880"/>
      </w:tblGrid>
      <w:tr w:rsidR="006E66F8" w:rsidRPr="006E66F8" w:rsidTr="006E66F8">
        <w:trPr>
          <w:trHeight w:val="225"/>
        </w:trPr>
        <w:tc>
          <w:tcPr>
            <w:tcW w:w="28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Estimated</w:t>
            </w:r>
          </w:p>
        </w:tc>
        <w:tc>
          <w:tcPr>
            <w:tcW w:w="880" w:type="dxa"/>
            <w:tcBorders>
              <w:top w:val="single" w:sz="4" w:space="0" w:color="000000"/>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Budget</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actual</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2014-15</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2015-16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2016-17</w:t>
            </w: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2018-19</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288,579</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166,010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65,842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23,446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18,080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288,579</w:t>
            </w:r>
          </w:p>
        </w:tc>
        <w:tc>
          <w:tcPr>
            <w:tcW w:w="88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166,010</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65,842</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23,446</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18,080</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Capital repayments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25,760</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34,981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34,981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34,981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34,981</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25,760</w:t>
            </w:r>
          </w:p>
        </w:tc>
        <w:tc>
          <w:tcPr>
            <w:tcW w:w="88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34,981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34,981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34,981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34,981</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 xml:space="preserve">Net cash from (used by)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financing activities</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262,819</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131,029</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30,861</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(11,535)</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(16,901)</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Net increase (decrease)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in cash held</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(4,300)</w:t>
            </w:r>
          </w:p>
        </w:tc>
        <w:tc>
          <w:tcPr>
            <w:tcW w:w="88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color w:val="000000"/>
                <w:sz w:val="16"/>
                <w:szCs w:val="16"/>
              </w:rPr>
              <w:t>Cash and cash equivalents at the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9,300</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 xml:space="preserve">Cash and cash equivalents at the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r>
      <w:tr w:rsidR="006E66F8" w:rsidRPr="006E66F8" w:rsidTr="006E66F8">
        <w:trPr>
          <w:trHeight w:val="225"/>
        </w:trPr>
        <w:tc>
          <w:tcPr>
            <w:tcW w:w="28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end of the reporting period</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5,000</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5,000</w:t>
            </w:r>
          </w:p>
        </w:tc>
      </w:tr>
    </w:tbl>
    <w:p w:rsidR="00AB77C4" w:rsidRPr="0015261C" w:rsidRDefault="00AB77C4" w:rsidP="00AB77C4">
      <w:pPr>
        <w:spacing w:after="0" w:line="240" w:lineRule="auto"/>
        <w:rPr>
          <w:sz w:val="6"/>
          <w:szCs w:val="6"/>
        </w:rPr>
      </w:pPr>
    </w:p>
    <w:p w:rsidR="00AB77C4" w:rsidRDefault="00AB77C4" w:rsidP="00AB77C4">
      <w:pPr>
        <w:pStyle w:val="Source"/>
      </w:pPr>
      <w:proofErr w:type="gramStart"/>
      <w:r>
        <w:t>Prepared on Australian Accounting Standards basis.</w:t>
      </w:r>
      <w:proofErr w:type="gramEnd"/>
    </w:p>
    <w:p w:rsidR="006C0FA2" w:rsidRDefault="006C0FA2" w:rsidP="00AB77C4">
      <w:pPr>
        <w:pStyle w:val="Source"/>
      </w:pPr>
    </w:p>
    <w:p w:rsidR="008B4464" w:rsidRPr="00793F50" w:rsidRDefault="000A24C4" w:rsidP="00E453F8">
      <w:pPr>
        <w:pStyle w:val="Heading5"/>
      </w:pPr>
      <w:r>
        <w:br w:type="page"/>
      </w:r>
      <w:r w:rsidR="008B4464" w:rsidRPr="00793F50">
        <w:lastRenderedPageBreak/>
        <w:t xml:space="preserve">Table 3.2.5: </w:t>
      </w:r>
      <w:r w:rsidR="00B00AF9">
        <w:t>Capital Budget Statement – Departmental</w:t>
      </w:r>
      <w:r w:rsidR="008606A2" w:rsidRPr="00793F50">
        <w:br/>
        <w:t>for the period ended 30 June</w:t>
      </w:r>
    </w:p>
    <w:tbl>
      <w:tblPr>
        <w:tblW w:w="8160" w:type="dxa"/>
        <w:tblInd w:w="93" w:type="dxa"/>
        <w:tblLook w:val="04A0"/>
      </w:tblPr>
      <w:tblGrid>
        <w:gridCol w:w="3560"/>
        <w:gridCol w:w="928"/>
        <w:gridCol w:w="920"/>
        <w:gridCol w:w="920"/>
        <w:gridCol w:w="920"/>
        <w:gridCol w:w="920"/>
      </w:tblGrid>
      <w:tr w:rsidR="00511EBF" w:rsidRPr="00511EBF" w:rsidTr="00511EBF">
        <w:trPr>
          <w:trHeight w:val="225"/>
        </w:trPr>
        <w:tc>
          <w:tcPr>
            <w:tcW w:w="3560"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r w:rsidRPr="00511EBF">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Estimated</w:t>
            </w:r>
          </w:p>
        </w:tc>
        <w:tc>
          <w:tcPr>
            <w:tcW w:w="920" w:type="dxa"/>
            <w:tcBorders>
              <w:top w:val="single" w:sz="4" w:space="0" w:color="auto"/>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Budget</w:t>
            </w:r>
          </w:p>
        </w:tc>
        <w:tc>
          <w:tcPr>
            <w:tcW w:w="920" w:type="dxa"/>
            <w:tcBorders>
              <w:top w:val="single" w:sz="4" w:space="0" w:color="auto"/>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Forward</w:t>
            </w:r>
          </w:p>
        </w:tc>
        <w:tc>
          <w:tcPr>
            <w:tcW w:w="920" w:type="dxa"/>
            <w:tcBorders>
              <w:top w:val="single" w:sz="4" w:space="0" w:color="auto"/>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Forward</w:t>
            </w:r>
          </w:p>
        </w:tc>
        <w:tc>
          <w:tcPr>
            <w:tcW w:w="920" w:type="dxa"/>
            <w:tcBorders>
              <w:top w:val="single" w:sz="4" w:space="0" w:color="auto"/>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Forward</w:t>
            </w:r>
          </w:p>
        </w:tc>
      </w:tr>
      <w:tr w:rsidR="00511EBF" w:rsidRPr="00511EBF" w:rsidTr="00511EBF">
        <w:trPr>
          <w:trHeight w:val="225"/>
        </w:trPr>
        <w:tc>
          <w:tcPr>
            <w:tcW w:w="356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actual</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estimate</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estimate</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estimate</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estimate</w:t>
            </w:r>
          </w:p>
        </w:tc>
      </w:tr>
      <w:tr w:rsidR="00511EBF" w:rsidRPr="00511EBF" w:rsidTr="00511EBF">
        <w:trPr>
          <w:trHeight w:val="225"/>
        </w:trPr>
        <w:tc>
          <w:tcPr>
            <w:tcW w:w="356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20" w:type="dxa"/>
            <w:tcBorders>
              <w:top w:val="nil"/>
              <w:left w:val="nil"/>
              <w:bottom w:val="nil"/>
              <w:right w:val="nil"/>
            </w:tcBorders>
            <w:shd w:val="clear" w:color="000000" w:fill="FFFFFF"/>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2014-15</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2015-16</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2016-17</w:t>
            </w:r>
          </w:p>
        </w:tc>
        <w:tc>
          <w:tcPr>
            <w:tcW w:w="920" w:type="dxa"/>
            <w:tcBorders>
              <w:top w:val="nil"/>
              <w:left w:val="nil"/>
              <w:bottom w:val="nil"/>
              <w:right w:val="nil"/>
            </w:tcBorders>
            <w:shd w:val="clear" w:color="000000" w:fill="FFFFFF"/>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2017-18</w:t>
            </w:r>
          </w:p>
        </w:tc>
        <w:tc>
          <w:tcPr>
            <w:tcW w:w="920" w:type="dxa"/>
            <w:tcBorders>
              <w:top w:val="nil"/>
              <w:left w:val="nil"/>
              <w:bottom w:val="nil"/>
              <w:right w:val="nil"/>
            </w:tcBorders>
            <w:shd w:val="clear" w:color="000000" w:fill="FFFFFF"/>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2018-19</w:t>
            </w:r>
          </w:p>
        </w:tc>
      </w:tr>
      <w:tr w:rsidR="00511EBF" w:rsidRPr="00511EBF" w:rsidTr="00511EBF">
        <w:trPr>
          <w:trHeight w:val="225"/>
        </w:trPr>
        <w:tc>
          <w:tcPr>
            <w:tcW w:w="356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2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20" w:type="dxa"/>
            <w:tcBorders>
              <w:top w:val="nil"/>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2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2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2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NEW CAPITAL APPROPRIATIONS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Departmental Capital Budget (DCB) - Bill 1</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11,050</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10,926</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10,917</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11,104</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11,180</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Equity injections - Bill 2</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277,529</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155,084</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54,925</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12,342</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6,900</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Total new capital appropriations</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288,579</w:t>
            </w:r>
          </w:p>
        </w:tc>
        <w:tc>
          <w:tcPr>
            <w:tcW w:w="92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166,010</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65,842</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23,446</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18,080</w:t>
            </w:r>
          </w:p>
        </w:tc>
      </w:tr>
      <w:tr w:rsidR="00511EBF" w:rsidRPr="00511EBF" w:rsidTr="00511EBF">
        <w:trPr>
          <w:trHeight w:val="60"/>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sz w:val="16"/>
                <w:szCs w:val="16"/>
              </w:rPr>
            </w:pPr>
            <w:r w:rsidRPr="00511EBF">
              <w:rPr>
                <w:rFonts w:ascii="Arial" w:hAnsi="Arial" w:cs="Arial"/>
                <w:b/>
                <w:bCs/>
                <w:sz w:val="16"/>
                <w:szCs w:val="16"/>
              </w:rPr>
              <w:t>Provided for:</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Purchase of non-financial assets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288,579</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166,010</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65,842</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23,446</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18,080</w:t>
            </w:r>
          </w:p>
        </w:tc>
      </w:tr>
      <w:tr w:rsidR="00511EBF" w:rsidRPr="00511EBF" w:rsidTr="00511EBF">
        <w:trPr>
          <w:trHeight w:val="60"/>
        </w:trPr>
        <w:tc>
          <w:tcPr>
            <w:tcW w:w="356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ind w:firstLineChars="100" w:firstLine="160"/>
              <w:jc w:val="lef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PURCHASE OF NON-FINANCIAL</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sz w:val="16"/>
                <w:szCs w:val="16"/>
              </w:rPr>
            </w:pPr>
            <w:r w:rsidRPr="00511EBF">
              <w:rPr>
                <w:rFonts w:ascii="Arial" w:hAnsi="Arial" w:cs="Arial"/>
                <w:b/>
                <w:bCs/>
                <w:sz w:val="16"/>
                <w:szCs w:val="16"/>
              </w:rPr>
              <w:t>ASSETS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Funded by DCB</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11,050</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10,925</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10,917</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11,104</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11,179</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Funded by equity injections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409,086</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197,408</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57,658</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14,660</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7,071</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Funded internally from</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40"/>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departmental resources</w:t>
            </w:r>
            <w:r w:rsidRPr="00511EBF">
              <w:rPr>
                <w:rFonts w:ascii="Arial" w:hAnsi="Arial" w:cs="Arial"/>
                <w:sz w:val="16"/>
                <w:szCs w:val="16"/>
                <w:vertAlign w:val="superscript"/>
              </w:rPr>
              <w:t xml:space="preserve"> 1</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20,556</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17,098</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16,796</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13,538</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9,374</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TOTAL</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440,692</w:t>
            </w:r>
          </w:p>
        </w:tc>
        <w:tc>
          <w:tcPr>
            <w:tcW w:w="92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225,431</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85,371</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39,302</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27,624</w:t>
            </w:r>
          </w:p>
        </w:tc>
      </w:tr>
      <w:tr w:rsidR="00511EBF" w:rsidRPr="00511EBF" w:rsidTr="00511EBF">
        <w:trPr>
          <w:trHeight w:val="60"/>
        </w:trPr>
        <w:tc>
          <w:tcPr>
            <w:tcW w:w="356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RECONCILIATION OF CASH</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sz w:val="16"/>
                <w:szCs w:val="16"/>
              </w:rPr>
            </w:pPr>
            <w:r w:rsidRPr="00511EBF">
              <w:rPr>
                <w:rFonts w:ascii="Arial" w:hAnsi="Arial" w:cs="Arial"/>
                <w:b/>
                <w:bCs/>
                <w:sz w:val="16"/>
                <w:szCs w:val="16"/>
              </w:rPr>
              <w:t>USED TO ACQUIRE ASSETS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sz w:val="16"/>
                <w:szCs w:val="16"/>
              </w:rPr>
            </w:pPr>
            <w:r w:rsidRPr="00511EBF">
              <w:rPr>
                <w:rFonts w:ascii="Arial" w:hAnsi="Arial" w:cs="Arial"/>
                <w:b/>
                <w:bCs/>
                <w:sz w:val="16"/>
                <w:szCs w:val="16"/>
              </w:rPr>
              <w:t>TO ASSET MOVEMENT TABLE</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Calibri" w:hAnsi="Calibri"/>
                <w:sz w:val="22"/>
                <w:szCs w:val="22"/>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Calibri" w:hAnsi="Calibri"/>
                <w:sz w:val="22"/>
                <w:szCs w:val="22"/>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Calibri" w:hAnsi="Calibri"/>
                <w:sz w:val="22"/>
                <w:szCs w:val="22"/>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Calibri" w:hAnsi="Calibri"/>
                <w:sz w:val="22"/>
                <w:szCs w:val="22"/>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sz w:val="16"/>
                <w:szCs w:val="16"/>
              </w:rPr>
            </w:pPr>
            <w:r w:rsidRPr="00511EBF">
              <w:rPr>
                <w:rFonts w:ascii="Arial" w:hAnsi="Arial" w:cs="Arial"/>
                <w:sz w:val="16"/>
                <w:szCs w:val="16"/>
              </w:rPr>
              <w:t>Total asset additions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440,692</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225,431</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85,371</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39,302</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27,624</w:t>
            </w:r>
          </w:p>
        </w:tc>
      </w:tr>
      <w:tr w:rsidR="00511EBF" w:rsidRPr="00511EBF" w:rsidTr="00511EBF">
        <w:trPr>
          <w:trHeight w:val="60"/>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p>
        </w:tc>
      </w:tr>
      <w:tr w:rsidR="00511EBF" w:rsidRPr="00511EBF" w:rsidTr="00511EBF">
        <w:trPr>
          <w:trHeight w:val="225"/>
        </w:trPr>
        <w:tc>
          <w:tcPr>
            <w:tcW w:w="356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Total cash used to acquire assets</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440,692</w:t>
            </w:r>
          </w:p>
        </w:tc>
        <w:tc>
          <w:tcPr>
            <w:tcW w:w="92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225,431</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85,371</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39,302</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27,624</w:t>
            </w:r>
          </w:p>
        </w:tc>
      </w:tr>
    </w:tbl>
    <w:p w:rsidR="001D6BD6" w:rsidRPr="0015261C" w:rsidRDefault="001D6BD6" w:rsidP="001D6BD6">
      <w:pPr>
        <w:spacing w:after="0" w:line="240" w:lineRule="auto"/>
        <w:rPr>
          <w:sz w:val="6"/>
          <w:szCs w:val="6"/>
        </w:rPr>
      </w:pPr>
    </w:p>
    <w:p w:rsidR="00AB77C4" w:rsidRPr="00AB77C4" w:rsidRDefault="00AB77C4" w:rsidP="00AB77C4">
      <w:pPr>
        <w:spacing w:after="0" w:line="240" w:lineRule="auto"/>
        <w:outlineLvl w:val="6"/>
        <w:rPr>
          <w:rFonts w:ascii="Arial" w:hAnsi="Arial" w:cs="Arial"/>
          <w:sz w:val="16"/>
          <w:szCs w:val="16"/>
        </w:rPr>
      </w:pPr>
      <w:proofErr w:type="gramStart"/>
      <w:r w:rsidRPr="00AB77C4">
        <w:rPr>
          <w:rFonts w:ascii="Arial" w:hAnsi="Arial" w:cs="Arial"/>
          <w:sz w:val="16"/>
          <w:szCs w:val="16"/>
        </w:rPr>
        <w:t>Prepared on Australian Accounting Standards basis.</w:t>
      </w:r>
      <w:proofErr w:type="gramEnd"/>
    </w:p>
    <w:p w:rsidR="00AB77C4" w:rsidRPr="00DD06D6" w:rsidRDefault="00AB77C4" w:rsidP="00DD06D6">
      <w:pPr>
        <w:pStyle w:val="SingleParagraph"/>
        <w:spacing w:line="240" w:lineRule="auto"/>
        <w:rPr>
          <w:sz w:val="16"/>
        </w:rPr>
      </w:pPr>
    </w:p>
    <w:p w:rsidR="0015261C" w:rsidRPr="00CC3220" w:rsidRDefault="0015261C" w:rsidP="0003235D">
      <w:pPr>
        <w:pStyle w:val="ListParagraph"/>
        <w:numPr>
          <w:ilvl w:val="0"/>
          <w:numId w:val="28"/>
        </w:numPr>
        <w:spacing w:after="60" w:line="240" w:lineRule="auto"/>
        <w:ind w:left="426" w:hanging="426"/>
        <w:contextualSpacing w:val="0"/>
        <w:outlineLvl w:val="6"/>
        <w:rPr>
          <w:rFonts w:ascii="Arial" w:hAnsi="Arial" w:cs="Arial"/>
          <w:sz w:val="15"/>
          <w:szCs w:val="15"/>
        </w:rPr>
      </w:pPr>
      <w:r w:rsidRPr="00CC3220">
        <w:rPr>
          <w:rFonts w:ascii="Arial" w:hAnsi="Arial" w:cs="Arial"/>
          <w:sz w:val="15"/>
          <w:szCs w:val="15"/>
        </w:rPr>
        <w:t>Includes the following sources of funding:</w:t>
      </w:r>
    </w:p>
    <w:p w:rsidR="0015261C" w:rsidRPr="00CC3220" w:rsidRDefault="0015261C" w:rsidP="004C4DBD">
      <w:pPr>
        <w:pStyle w:val="ListParagraph"/>
        <w:numPr>
          <w:ilvl w:val="0"/>
          <w:numId w:val="15"/>
        </w:numPr>
        <w:spacing w:after="60" w:line="240" w:lineRule="auto"/>
        <w:ind w:left="1134" w:hanging="425"/>
        <w:contextualSpacing w:val="0"/>
        <w:outlineLvl w:val="6"/>
        <w:rPr>
          <w:rFonts w:ascii="Arial" w:hAnsi="Arial" w:cs="Arial"/>
          <w:sz w:val="15"/>
          <w:szCs w:val="15"/>
        </w:rPr>
      </w:pPr>
      <w:r w:rsidRPr="00CC3220">
        <w:rPr>
          <w:rFonts w:ascii="Arial" w:hAnsi="Arial" w:cs="Arial"/>
          <w:sz w:val="15"/>
          <w:szCs w:val="15"/>
        </w:rPr>
        <w:t>current and prior year annual appropriations; and</w:t>
      </w:r>
    </w:p>
    <w:p w:rsidR="0015261C" w:rsidRPr="00CC3220" w:rsidRDefault="0015261C" w:rsidP="004C4DBD">
      <w:pPr>
        <w:pStyle w:val="ListParagraph"/>
        <w:numPr>
          <w:ilvl w:val="0"/>
          <w:numId w:val="15"/>
        </w:numPr>
        <w:spacing w:after="60" w:line="240" w:lineRule="auto"/>
        <w:ind w:left="1134" w:hanging="425"/>
        <w:contextualSpacing w:val="0"/>
        <w:outlineLvl w:val="6"/>
        <w:rPr>
          <w:rFonts w:ascii="Arial" w:hAnsi="Arial" w:cs="Arial"/>
          <w:sz w:val="15"/>
          <w:szCs w:val="15"/>
        </w:rPr>
      </w:pPr>
      <w:proofErr w:type="gramStart"/>
      <w:r w:rsidRPr="00CC3220">
        <w:rPr>
          <w:rFonts w:ascii="Arial" w:hAnsi="Arial" w:cs="Arial"/>
          <w:sz w:val="15"/>
          <w:szCs w:val="15"/>
        </w:rPr>
        <w:t>funds</w:t>
      </w:r>
      <w:proofErr w:type="gramEnd"/>
      <w:r w:rsidRPr="00CC3220">
        <w:rPr>
          <w:rFonts w:ascii="Arial" w:hAnsi="Arial" w:cs="Arial"/>
          <w:sz w:val="15"/>
          <w:szCs w:val="15"/>
        </w:rPr>
        <w:t xml:space="preserve"> held in special accounts</w:t>
      </w:r>
      <w:r w:rsidR="00C706DE">
        <w:rPr>
          <w:rFonts w:ascii="Arial" w:hAnsi="Arial" w:cs="Arial"/>
          <w:sz w:val="15"/>
          <w:szCs w:val="15"/>
        </w:rPr>
        <w:t>.</w:t>
      </w:r>
    </w:p>
    <w:p w:rsidR="0015261C" w:rsidRPr="0015261C" w:rsidRDefault="0015261C" w:rsidP="0015261C">
      <w:pPr>
        <w:spacing w:before="60" w:after="60" w:line="240" w:lineRule="auto"/>
        <w:rPr>
          <w:rFonts w:ascii="Arial" w:hAnsi="Arial" w:cs="Arial"/>
          <w:sz w:val="16"/>
          <w:szCs w:val="16"/>
        </w:rPr>
      </w:pPr>
    </w:p>
    <w:p w:rsidR="00692DAB" w:rsidRPr="00692DAB" w:rsidRDefault="00692DAB" w:rsidP="00692DAB">
      <w:pPr>
        <w:pStyle w:val="Source"/>
        <w:rPr>
          <w:szCs w:val="16"/>
        </w:rPr>
      </w:pPr>
      <w:r>
        <w:br w:type="page"/>
      </w:r>
    </w:p>
    <w:p w:rsidR="00B00AF9" w:rsidRDefault="00CC4867" w:rsidP="00E453F8">
      <w:pPr>
        <w:pStyle w:val="Heading5"/>
      </w:pPr>
      <w:bookmarkStart w:id="54" w:name="OLE_LINK13"/>
      <w:r w:rsidRPr="00793F50">
        <w:lastRenderedPageBreak/>
        <w:t xml:space="preserve">Table 3.2.6: </w:t>
      </w:r>
      <w:r w:rsidR="00B00AF9">
        <w:t>Budgeted Statement of Asset Movements – Departmental</w:t>
      </w:r>
      <w:r w:rsidR="00B00AF9">
        <w:br/>
        <w:t>for the period ended 30 June 2016</w:t>
      </w:r>
    </w:p>
    <w:bookmarkEnd w:id="54"/>
    <w:tbl>
      <w:tblPr>
        <w:tblW w:w="8100" w:type="dxa"/>
        <w:tblInd w:w="93" w:type="dxa"/>
        <w:tblLook w:val="04A0"/>
      </w:tblPr>
      <w:tblGrid>
        <w:gridCol w:w="2380"/>
        <w:gridCol w:w="795"/>
        <w:gridCol w:w="919"/>
        <w:gridCol w:w="1000"/>
        <w:gridCol w:w="1045"/>
        <w:gridCol w:w="1021"/>
        <w:gridCol w:w="953"/>
      </w:tblGrid>
      <w:tr w:rsidR="00511EBF" w:rsidRPr="00511EBF" w:rsidTr="00511EBF">
        <w:trPr>
          <w:trHeight w:val="225"/>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5720" w:type="dxa"/>
            <w:gridSpan w:val="6"/>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center"/>
              <w:rPr>
                <w:rFonts w:ascii="Arial" w:hAnsi="Arial" w:cs="Arial"/>
                <w:b/>
                <w:bCs/>
                <w:sz w:val="16"/>
                <w:szCs w:val="16"/>
              </w:rPr>
            </w:pPr>
            <w:r w:rsidRPr="00511EBF">
              <w:rPr>
                <w:rFonts w:ascii="Arial" w:hAnsi="Arial" w:cs="Arial"/>
                <w:b/>
                <w:bCs/>
                <w:sz w:val="16"/>
                <w:szCs w:val="16"/>
              </w:rPr>
              <w:t>Asset Category</w:t>
            </w:r>
          </w:p>
        </w:tc>
      </w:tr>
      <w:tr w:rsidR="00511EBF" w:rsidRPr="00511EBF" w:rsidTr="00511EBF">
        <w:trPr>
          <w:trHeight w:val="225"/>
        </w:trPr>
        <w:tc>
          <w:tcPr>
            <w:tcW w:w="2380"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r w:rsidRPr="00511EBF">
              <w:rPr>
                <w:rFonts w:ascii="Arial" w:hAnsi="Arial" w:cs="Arial"/>
                <w:sz w:val="16"/>
                <w:szCs w:val="16"/>
              </w:rPr>
              <w:t> </w:t>
            </w:r>
          </w:p>
        </w:tc>
        <w:tc>
          <w:tcPr>
            <w:tcW w:w="782"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Land</w:t>
            </w:r>
          </w:p>
        </w:tc>
        <w:tc>
          <w:tcPr>
            <w:tcW w:w="919"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Buildings</w:t>
            </w:r>
          </w:p>
        </w:tc>
        <w:tc>
          <w:tcPr>
            <w:tcW w:w="1000"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Other</w:t>
            </w:r>
          </w:p>
        </w:tc>
        <w:tc>
          <w:tcPr>
            <w:tcW w:w="1045"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Investment</w:t>
            </w:r>
          </w:p>
        </w:tc>
        <w:tc>
          <w:tcPr>
            <w:tcW w:w="1021"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Computer</w:t>
            </w:r>
          </w:p>
        </w:tc>
        <w:tc>
          <w:tcPr>
            <w:tcW w:w="953"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Total</w:t>
            </w:r>
          </w:p>
        </w:tc>
      </w:tr>
      <w:tr w:rsidR="00511EBF" w:rsidRPr="00511EBF" w:rsidTr="00511EBF">
        <w:trPr>
          <w:trHeight w:val="225"/>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property,</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property</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software</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plant and</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and</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equipment</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intangibles</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19"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1000"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1045"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1021"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53"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As at 1 July 2015</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 xml:space="preserve">Gross book value </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336,333</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925,648</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38,222</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664,074</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130,732</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2,095,009</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Accumulated depreciation /</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amortisation and impairment</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(13,792)</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(16,052)</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(49,613)</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(79,457)</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Opening net book balance</w:t>
            </w:r>
          </w:p>
        </w:tc>
        <w:tc>
          <w:tcPr>
            <w:tcW w:w="782"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336,333</w:t>
            </w:r>
          </w:p>
        </w:tc>
        <w:tc>
          <w:tcPr>
            <w:tcW w:w="919"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911,856</w:t>
            </w:r>
          </w:p>
        </w:tc>
        <w:tc>
          <w:tcPr>
            <w:tcW w:w="1000"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22,170</w:t>
            </w:r>
          </w:p>
        </w:tc>
        <w:tc>
          <w:tcPr>
            <w:tcW w:w="1045"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664,074</w:t>
            </w:r>
          </w:p>
        </w:tc>
        <w:tc>
          <w:tcPr>
            <w:tcW w:w="1021"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81,119</w:t>
            </w:r>
          </w:p>
        </w:tc>
        <w:tc>
          <w:tcPr>
            <w:tcW w:w="953"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2,015,552</w:t>
            </w:r>
          </w:p>
        </w:tc>
      </w:tr>
      <w:tr w:rsidR="00511EBF" w:rsidRPr="00511EBF" w:rsidTr="00511EBF">
        <w:trPr>
          <w:trHeight w:val="60"/>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CAPITAL ASSET ADDITIONS</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sz w:val="16"/>
                <w:szCs w:val="16"/>
              </w:rPr>
            </w:pPr>
            <w:r w:rsidRPr="00511EBF">
              <w:rPr>
                <w:rFonts w:ascii="Arial" w:hAnsi="Arial" w:cs="Arial"/>
                <w:b/>
                <w:bCs/>
                <w:sz w:val="16"/>
                <w:szCs w:val="16"/>
              </w:rPr>
              <w:t>Estimated expenditure on</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162" w:type="dxa"/>
            <w:gridSpan w:val="2"/>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1"/>
              <w:jc w:val="left"/>
              <w:rPr>
                <w:rFonts w:ascii="Arial" w:hAnsi="Arial" w:cs="Arial"/>
                <w:b/>
                <w:bCs/>
                <w:sz w:val="16"/>
                <w:szCs w:val="16"/>
              </w:rPr>
            </w:pPr>
            <w:r w:rsidRPr="00511EBF">
              <w:rPr>
                <w:rFonts w:ascii="Arial" w:hAnsi="Arial" w:cs="Arial"/>
                <w:b/>
                <w:bCs/>
                <w:sz w:val="16"/>
                <w:szCs w:val="16"/>
              </w:rPr>
              <w:t>new or replacement assets</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By purchase / construction</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40"/>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 xml:space="preserve"> - appropriation equity</w:t>
            </w:r>
            <w:r w:rsidRPr="00511EBF">
              <w:rPr>
                <w:rFonts w:ascii="Arial" w:hAnsi="Arial" w:cs="Arial"/>
                <w:sz w:val="16"/>
                <w:szCs w:val="16"/>
                <w:vertAlign w:val="superscript"/>
              </w:rPr>
              <w:t xml:space="preserve"> 1</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158,392</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10,389</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5,396</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23,231</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197,408</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By purchase / construction</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 xml:space="preserve"> - appropriation ordinary</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40"/>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400" w:firstLine="640"/>
              <w:jc w:val="left"/>
              <w:rPr>
                <w:rFonts w:ascii="Arial" w:hAnsi="Arial" w:cs="Arial"/>
                <w:sz w:val="16"/>
                <w:szCs w:val="16"/>
              </w:rPr>
            </w:pPr>
            <w:r w:rsidRPr="00511EBF">
              <w:rPr>
                <w:rFonts w:ascii="Arial" w:hAnsi="Arial" w:cs="Arial"/>
                <w:sz w:val="16"/>
                <w:szCs w:val="16"/>
              </w:rPr>
              <w:t>annual services</w:t>
            </w:r>
            <w:r w:rsidRPr="00511EBF">
              <w:rPr>
                <w:rFonts w:ascii="Arial" w:hAnsi="Arial" w:cs="Arial"/>
                <w:sz w:val="16"/>
                <w:szCs w:val="16"/>
                <w:vertAlign w:val="superscript"/>
              </w:rPr>
              <w:t xml:space="preserve"> 2</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1,955</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8,971</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10,926</w:t>
            </w:r>
          </w:p>
        </w:tc>
      </w:tr>
      <w:tr w:rsidR="00511EBF" w:rsidRPr="00511EBF" w:rsidTr="00511EBF">
        <w:trPr>
          <w:trHeight w:val="240"/>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By purchase</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 xml:space="preserve"> - internally funded</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17,097</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17,097</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Total additions</w:t>
            </w:r>
          </w:p>
        </w:tc>
        <w:tc>
          <w:tcPr>
            <w:tcW w:w="782"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w:t>
            </w:r>
          </w:p>
        </w:tc>
        <w:tc>
          <w:tcPr>
            <w:tcW w:w="919"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158,392</w:t>
            </w:r>
          </w:p>
        </w:tc>
        <w:tc>
          <w:tcPr>
            <w:tcW w:w="1000"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29,441</w:t>
            </w:r>
          </w:p>
        </w:tc>
        <w:tc>
          <w:tcPr>
            <w:tcW w:w="1045"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5,396</w:t>
            </w:r>
          </w:p>
        </w:tc>
        <w:tc>
          <w:tcPr>
            <w:tcW w:w="1021"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32,202</w:t>
            </w:r>
          </w:p>
        </w:tc>
        <w:tc>
          <w:tcPr>
            <w:tcW w:w="953"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225,431</w:t>
            </w:r>
          </w:p>
        </w:tc>
      </w:tr>
      <w:tr w:rsidR="00511EBF" w:rsidRPr="00511EBF" w:rsidTr="00511EBF">
        <w:trPr>
          <w:trHeight w:val="60"/>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Other movements</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Assets transferred in (out)</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(284,367)</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(284,367)</w:t>
            </w:r>
          </w:p>
        </w:tc>
      </w:tr>
      <w:tr w:rsidR="00511EBF" w:rsidRPr="00511EBF" w:rsidTr="00511EBF">
        <w:trPr>
          <w:trHeight w:val="240"/>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Disposals</w:t>
            </w:r>
            <w:r w:rsidRPr="00511EBF">
              <w:rPr>
                <w:rFonts w:ascii="Arial" w:hAnsi="Arial" w:cs="Arial"/>
                <w:sz w:val="16"/>
                <w:szCs w:val="16"/>
                <w:vertAlign w:val="superscript"/>
              </w:rPr>
              <w:t xml:space="preserve"> 3</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(16,719)</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(16,719)</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Gains</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3,316</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3,316</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Depreciation /</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amortisation expense</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(12,525)</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(11,824)</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(7,996)</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(32,345)</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Total other movements</w:t>
            </w:r>
          </w:p>
        </w:tc>
        <w:tc>
          <w:tcPr>
            <w:tcW w:w="782"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w:t>
            </w:r>
          </w:p>
        </w:tc>
        <w:tc>
          <w:tcPr>
            <w:tcW w:w="919"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(313,611)</w:t>
            </w:r>
          </w:p>
        </w:tc>
        <w:tc>
          <w:tcPr>
            <w:tcW w:w="1000"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(11,824)</w:t>
            </w:r>
          </w:p>
        </w:tc>
        <w:tc>
          <w:tcPr>
            <w:tcW w:w="1045"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3,316</w:t>
            </w:r>
          </w:p>
        </w:tc>
        <w:tc>
          <w:tcPr>
            <w:tcW w:w="1021"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(7,996)</w:t>
            </w:r>
          </w:p>
        </w:tc>
        <w:tc>
          <w:tcPr>
            <w:tcW w:w="953"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(45,748)</w:t>
            </w:r>
          </w:p>
        </w:tc>
      </w:tr>
      <w:tr w:rsidR="00511EBF" w:rsidRPr="00511EBF" w:rsidTr="00511EBF">
        <w:trPr>
          <w:trHeight w:val="60"/>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As at 30 June 2016</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Gross book value</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336,333</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782,954</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67,663</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672,786</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162,934</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2,022,670</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Accumulated depreciation /</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amortisation and impairment</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(26,317)</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(27,876)</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(57,609)</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(111,802)</w:t>
            </w:r>
          </w:p>
        </w:tc>
      </w:tr>
      <w:tr w:rsidR="00511EBF" w:rsidRPr="00511EBF" w:rsidTr="00511EBF">
        <w:trPr>
          <w:trHeight w:val="225"/>
        </w:trPr>
        <w:tc>
          <w:tcPr>
            <w:tcW w:w="238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Closing net book balance</w:t>
            </w:r>
          </w:p>
        </w:tc>
        <w:tc>
          <w:tcPr>
            <w:tcW w:w="782"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336,333</w:t>
            </w:r>
          </w:p>
        </w:tc>
        <w:tc>
          <w:tcPr>
            <w:tcW w:w="919"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756,637</w:t>
            </w:r>
          </w:p>
        </w:tc>
        <w:tc>
          <w:tcPr>
            <w:tcW w:w="1000"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39,787</w:t>
            </w:r>
          </w:p>
        </w:tc>
        <w:tc>
          <w:tcPr>
            <w:tcW w:w="1045"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672,786</w:t>
            </w:r>
          </w:p>
        </w:tc>
        <w:tc>
          <w:tcPr>
            <w:tcW w:w="1021"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105,325</w:t>
            </w:r>
          </w:p>
        </w:tc>
        <w:tc>
          <w:tcPr>
            <w:tcW w:w="953"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1,910,868</w:t>
            </w:r>
          </w:p>
        </w:tc>
      </w:tr>
    </w:tbl>
    <w:p w:rsidR="001D6BD6" w:rsidRPr="00692DAB" w:rsidRDefault="001D6BD6" w:rsidP="001D6BD6">
      <w:pPr>
        <w:spacing w:after="0" w:line="240" w:lineRule="auto"/>
        <w:rPr>
          <w:sz w:val="6"/>
          <w:szCs w:val="6"/>
        </w:rPr>
      </w:pPr>
    </w:p>
    <w:p w:rsidR="00BF6570" w:rsidRPr="00BF6570" w:rsidRDefault="00BF6570" w:rsidP="00BF6570">
      <w:pPr>
        <w:pStyle w:val="Source"/>
      </w:pPr>
      <w:proofErr w:type="gramStart"/>
      <w:r w:rsidRPr="00AB77C4">
        <w:t>Prepared on Australian Accounting Standards basis.</w:t>
      </w:r>
      <w:proofErr w:type="gramEnd"/>
    </w:p>
    <w:p w:rsidR="00BF6570" w:rsidRPr="00DD06D6" w:rsidRDefault="00BF6570" w:rsidP="00DD06D6">
      <w:pPr>
        <w:pStyle w:val="SingleParagraph"/>
        <w:spacing w:line="240" w:lineRule="auto"/>
        <w:rPr>
          <w:sz w:val="16"/>
        </w:rPr>
      </w:pPr>
    </w:p>
    <w:p w:rsidR="00F20FF5" w:rsidRPr="00CC3220" w:rsidRDefault="00A27EF3" w:rsidP="00BF6570">
      <w:pPr>
        <w:pStyle w:val="ListParagraph"/>
        <w:numPr>
          <w:ilvl w:val="0"/>
          <w:numId w:val="62"/>
        </w:numPr>
        <w:spacing w:after="60" w:line="240" w:lineRule="auto"/>
        <w:ind w:left="426" w:hanging="426"/>
        <w:contextualSpacing w:val="0"/>
        <w:outlineLvl w:val="6"/>
        <w:rPr>
          <w:rFonts w:ascii="Arial" w:hAnsi="Arial" w:cs="Arial"/>
          <w:sz w:val="15"/>
          <w:szCs w:val="15"/>
        </w:rPr>
      </w:pPr>
      <w:r w:rsidRPr="00CC3220">
        <w:rPr>
          <w:rFonts w:ascii="Arial" w:hAnsi="Arial" w:cs="Arial"/>
          <w:sz w:val="15"/>
          <w:szCs w:val="15"/>
        </w:rPr>
        <w:t>‘</w:t>
      </w:r>
      <w:r w:rsidR="00F20FF5" w:rsidRPr="00CC3220">
        <w:rPr>
          <w:rFonts w:ascii="Arial" w:hAnsi="Arial" w:cs="Arial"/>
          <w:sz w:val="15"/>
          <w:szCs w:val="15"/>
        </w:rPr>
        <w:t>Appropriation equity</w:t>
      </w:r>
      <w:r w:rsidRPr="00CC3220">
        <w:rPr>
          <w:rFonts w:ascii="Arial" w:hAnsi="Arial" w:cs="Arial"/>
          <w:sz w:val="15"/>
          <w:szCs w:val="15"/>
        </w:rPr>
        <w:t>’</w:t>
      </w:r>
      <w:r w:rsidR="00F20FF5" w:rsidRPr="00CC3220">
        <w:rPr>
          <w:rFonts w:ascii="Arial" w:hAnsi="Arial" w:cs="Arial"/>
          <w:sz w:val="15"/>
          <w:szCs w:val="15"/>
        </w:rPr>
        <w:t xml:space="preserve"> refers to equity injections provided through Appropriation Bill (No.</w:t>
      </w:r>
      <w:r w:rsidRPr="00CC3220">
        <w:rPr>
          <w:rFonts w:ascii="Arial" w:hAnsi="Arial" w:cs="Arial"/>
          <w:sz w:val="15"/>
          <w:szCs w:val="15"/>
        </w:rPr>
        <w:t> </w:t>
      </w:r>
      <w:r w:rsidR="00F20FF5" w:rsidRPr="00CC3220">
        <w:rPr>
          <w:rFonts w:ascii="Arial" w:hAnsi="Arial" w:cs="Arial"/>
          <w:sz w:val="15"/>
          <w:szCs w:val="15"/>
        </w:rPr>
        <w:t>2) 2015</w:t>
      </w:r>
      <w:r w:rsidRPr="00CC3220">
        <w:rPr>
          <w:rFonts w:ascii="Arial" w:hAnsi="Arial" w:cs="Arial"/>
          <w:sz w:val="15"/>
          <w:szCs w:val="15"/>
        </w:rPr>
        <w:noBreakHyphen/>
      </w:r>
      <w:r w:rsidR="00AB77C4" w:rsidRPr="00CC3220">
        <w:rPr>
          <w:rFonts w:ascii="Arial" w:hAnsi="Arial" w:cs="Arial"/>
          <w:sz w:val="15"/>
          <w:szCs w:val="15"/>
        </w:rPr>
        <w:t>16</w:t>
      </w:r>
      <w:r w:rsidR="00F20FF5" w:rsidRPr="00CC3220">
        <w:rPr>
          <w:rFonts w:ascii="Arial" w:hAnsi="Arial" w:cs="Arial"/>
          <w:sz w:val="15"/>
          <w:szCs w:val="15"/>
        </w:rPr>
        <w:t>.</w:t>
      </w:r>
    </w:p>
    <w:p w:rsidR="00F20FF5" w:rsidRPr="00CC3220" w:rsidRDefault="00A27EF3" w:rsidP="00BF6570">
      <w:pPr>
        <w:pStyle w:val="ListParagraph"/>
        <w:numPr>
          <w:ilvl w:val="0"/>
          <w:numId w:val="62"/>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w:t>
      </w:r>
      <w:r w:rsidR="00F20FF5" w:rsidRPr="00CC3220">
        <w:rPr>
          <w:rFonts w:ascii="Arial" w:eastAsia="Times New Roman" w:hAnsi="Arial" w:cs="Arial"/>
          <w:sz w:val="15"/>
          <w:szCs w:val="15"/>
          <w:lang w:val="en-AU" w:eastAsia="en-AU"/>
        </w:rPr>
        <w:t>Appropriation ordinary annual services</w:t>
      </w:r>
      <w:r w:rsidRPr="00CC3220">
        <w:rPr>
          <w:rFonts w:ascii="Arial" w:eastAsia="Times New Roman" w:hAnsi="Arial" w:cs="Arial"/>
          <w:sz w:val="15"/>
          <w:szCs w:val="15"/>
          <w:lang w:val="en-AU" w:eastAsia="en-AU"/>
        </w:rPr>
        <w:t>’</w:t>
      </w:r>
      <w:r w:rsidR="00F20FF5" w:rsidRPr="00CC3220">
        <w:rPr>
          <w:rFonts w:ascii="Arial" w:eastAsia="Times New Roman" w:hAnsi="Arial" w:cs="Arial"/>
          <w:sz w:val="15"/>
          <w:szCs w:val="15"/>
          <w:lang w:val="en-AU" w:eastAsia="en-AU"/>
        </w:rPr>
        <w:t xml:space="preserve"> refers to funding provided through Appropriation Bill (No. 1) 2015-16 for </w:t>
      </w:r>
      <w:r w:rsidR="00E62F69">
        <w:rPr>
          <w:rFonts w:ascii="Arial" w:eastAsia="Times New Roman" w:hAnsi="Arial" w:cs="Arial"/>
          <w:sz w:val="15"/>
          <w:szCs w:val="15"/>
          <w:lang w:val="en-AU" w:eastAsia="en-AU"/>
        </w:rPr>
        <w:t>DCB</w:t>
      </w:r>
      <w:r w:rsidR="00AB77C4" w:rsidRPr="00CC3220">
        <w:rPr>
          <w:rFonts w:ascii="Arial" w:eastAsia="Times New Roman" w:hAnsi="Arial" w:cs="Arial"/>
          <w:sz w:val="15"/>
          <w:szCs w:val="15"/>
          <w:lang w:val="en-AU" w:eastAsia="en-AU"/>
        </w:rPr>
        <w:t xml:space="preserve"> and </w:t>
      </w:r>
      <w:r w:rsidR="00F20FF5" w:rsidRPr="00CC3220">
        <w:rPr>
          <w:rFonts w:ascii="Arial" w:eastAsia="Times New Roman" w:hAnsi="Arial" w:cs="Arial"/>
          <w:sz w:val="15"/>
          <w:szCs w:val="15"/>
          <w:lang w:val="en-AU" w:eastAsia="en-AU"/>
        </w:rPr>
        <w:t>other operational expenses.</w:t>
      </w:r>
    </w:p>
    <w:p w:rsidR="00F20FF5" w:rsidRPr="00CC3220" w:rsidRDefault="00F20FF5" w:rsidP="00BF6570">
      <w:pPr>
        <w:pStyle w:val="ListParagraph"/>
        <w:numPr>
          <w:ilvl w:val="0"/>
          <w:numId w:val="62"/>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Net proceeds may be returned to the OPA. </w:t>
      </w:r>
    </w:p>
    <w:p w:rsidR="00FD295C" w:rsidRDefault="00FD295C" w:rsidP="00FD295C">
      <w:pPr>
        <w:pStyle w:val="Source"/>
        <w:rPr>
          <w:highlight w:val="yellow"/>
        </w:rPr>
      </w:pPr>
    </w:p>
    <w:p w:rsidR="001D6BD6" w:rsidRPr="00AB77C4" w:rsidRDefault="001D6BD6" w:rsidP="00FD295C">
      <w:pPr>
        <w:pStyle w:val="Source"/>
      </w:pPr>
      <w:r w:rsidRPr="00AB77C4">
        <w:br w:type="page"/>
      </w:r>
    </w:p>
    <w:p w:rsidR="00B00AF9" w:rsidRDefault="00D30CBA" w:rsidP="00E453F8">
      <w:pPr>
        <w:pStyle w:val="Heading5"/>
      </w:pPr>
      <w:bookmarkStart w:id="55" w:name="OLE_LINK14"/>
      <w:r w:rsidRPr="00793F50">
        <w:lastRenderedPageBreak/>
        <w:t>Table 3.2.</w:t>
      </w:r>
      <w:r w:rsidR="00B93884" w:rsidRPr="00793F50">
        <w:t>7</w:t>
      </w:r>
      <w:r w:rsidRPr="00793F50">
        <w:t xml:space="preserve">: </w:t>
      </w:r>
      <w:r w:rsidR="00B00AF9">
        <w:t>Budgeted Schedule of Income and Expenses Administered on Behalf of the Government</w:t>
      </w:r>
      <w:r w:rsidR="00B00AF9">
        <w:br/>
        <w:t>for the period ended 30 June</w:t>
      </w:r>
    </w:p>
    <w:tbl>
      <w:tblPr>
        <w:tblW w:w="8288" w:type="dxa"/>
        <w:tblInd w:w="93" w:type="dxa"/>
        <w:tblLook w:val="04A0"/>
      </w:tblPr>
      <w:tblGrid>
        <w:gridCol w:w="2800"/>
        <w:gridCol w:w="1080"/>
        <w:gridCol w:w="1080"/>
        <w:gridCol w:w="1080"/>
        <w:gridCol w:w="1124"/>
        <w:gridCol w:w="1124"/>
      </w:tblGrid>
      <w:tr w:rsidR="00511EBF" w:rsidRPr="00511EBF" w:rsidTr="00511EBF">
        <w:trPr>
          <w:trHeight w:val="225"/>
        </w:trPr>
        <w:tc>
          <w:tcPr>
            <w:tcW w:w="2800" w:type="dxa"/>
            <w:tcBorders>
              <w:top w:val="single" w:sz="4" w:space="0" w:color="000000"/>
              <w:left w:val="nil"/>
              <w:bottom w:val="nil"/>
              <w:right w:val="nil"/>
            </w:tcBorders>
            <w:shd w:val="clear" w:color="auto" w:fill="auto"/>
            <w:noWrap/>
            <w:vAlign w:val="center"/>
            <w:hideMark/>
          </w:tcPr>
          <w:bookmarkEnd w:id="55"/>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single" w:sz="4" w:space="0" w:color="000000"/>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Estimated</w:t>
            </w:r>
          </w:p>
        </w:tc>
        <w:tc>
          <w:tcPr>
            <w:tcW w:w="1080" w:type="dxa"/>
            <w:tcBorders>
              <w:top w:val="single" w:sz="4" w:space="0" w:color="000000"/>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Budget</w:t>
            </w:r>
          </w:p>
        </w:tc>
        <w:tc>
          <w:tcPr>
            <w:tcW w:w="1080" w:type="dxa"/>
            <w:tcBorders>
              <w:top w:val="single" w:sz="4" w:space="0" w:color="000000"/>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Forward</w:t>
            </w:r>
          </w:p>
        </w:tc>
        <w:tc>
          <w:tcPr>
            <w:tcW w:w="1124" w:type="dxa"/>
            <w:tcBorders>
              <w:top w:val="single" w:sz="4" w:space="0" w:color="000000"/>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Forward</w:t>
            </w:r>
          </w:p>
        </w:tc>
        <w:tc>
          <w:tcPr>
            <w:tcW w:w="1124" w:type="dxa"/>
            <w:tcBorders>
              <w:top w:val="single" w:sz="4" w:space="0" w:color="000000"/>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Forward</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actual</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estimate</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estimate</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estimate</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estimate</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FFFFFF"/>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2014-15</w:t>
            </w:r>
          </w:p>
        </w:tc>
        <w:tc>
          <w:tcPr>
            <w:tcW w:w="1080" w:type="dxa"/>
            <w:tcBorders>
              <w:top w:val="nil"/>
              <w:left w:val="nil"/>
              <w:bottom w:val="nil"/>
              <w:right w:val="nil"/>
            </w:tcBorders>
            <w:shd w:val="clear" w:color="000000" w:fill="E6E6E6"/>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2015-16</w:t>
            </w:r>
          </w:p>
        </w:tc>
        <w:tc>
          <w:tcPr>
            <w:tcW w:w="10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2016-17</w:t>
            </w:r>
          </w:p>
        </w:tc>
        <w:tc>
          <w:tcPr>
            <w:tcW w:w="1124" w:type="dxa"/>
            <w:tcBorders>
              <w:top w:val="nil"/>
              <w:left w:val="nil"/>
              <w:bottom w:val="nil"/>
              <w:right w:val="nil"/>
            </w:tcBorders>
            <w:shd w:val="clear" w:color="000000" w:fill="FFFFFF"/>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2017-18</w:t>
            </w:r>
          </w:p>
        </w:tc>
        <w:tc>
          <w:tcPr>
            <w:tcW w:w="1124" w:type="dxa"/>
            <w:tcBorders>
              <w:top w:val="nil"/>
              <w:left w:val="nil"/>
              <w:bottom w:val="nil"/>
              <w:right w:val="nil"/>
            </w:tcBorders>
            <w:shd w:val="clear" w:color="000000" w:fill="FFFFFF"/>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2018-19</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single" w:sz="4" w:space="0" w:color="000000"/>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$'000</w:t>
            </w:r>
          </w:p>
        </w:tc>
        <w:tc>
          <w:tcPr>
            <w:tcW w:w="1080" w:type="dxa"/>
            <w:tcBorders>
              <w:top w:val="nil"/>
              <w:left w:val="nil"/>
              <w:bottom w:val="single" w:sz="4" w:space="0" w:color="000000"/>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$'000</w:t>
            </w:r>
          </w:p>
        </w:tc>
        <w:tc>
          <w:tcPr>
            <w:tcW w:w="1080" w:type="dxa"/>
            <w:tcBorders>
              <w:top w:val="nil"/>
              <w:left w:val="nil"/>
              <w:bottom w:val="single" w:sz="4" w:space="0" w:color="000000"/>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$'000</w:t>
            </w:r>
          </w:p>
        </w:tc>
        <w:tc>
          <w:tcPr>
            <w:tcW w:w="1124" w:type="dxa"/>
            <w:tcBorders>
              <w:top w:val="nil"/>
              <w:left w:val="nil"/>
              <w:bottom w:val="single" w:sz="4" w:space="0" w:color="000000"/>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$'000</w:t>
            </w:r>
          </w:p>
        </w:tc>
        <w:tc>
          <w:tcPr>
            <w:tcW w:w="1124" w:type="dxa"/>
            <w:tcBorders>
              <w:top w:val="nil"/>
              <w:left w:val="nil"/>
              <w:bottom w:val="single" w:sz="4" w:space="0" w:color="000000"/>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$'000</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EXPENSES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Employee benefits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237,298</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225,632</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228,123</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229,336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229,354</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Suppliers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213,637</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236,246</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246,856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244,607</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248,692</w:t>
            </w: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Superannuation</w:t>
            </w:r>
            <w:r w:rsidRPr="00511EBF">
              <w:rPr>
                <w:rFonts w:ascii="Arial" w:hAnsi="Arial" w:cs="Arial"/>
                <w:color w:val="000000"/>
                <w:sz w:val="16"/>
                <w:szCs w:val="16"/>
                <w:vertAlign w:val="superscript"/>
              </w:rPr>
              <w:t xml:space="preserve"> 1</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8,630,109</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8,186,603</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8,384,375</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8,578,451</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8,771,513</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 xml:space="preserve">Distribution from the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investment funds</w:t>
            </w:r>
            <w:r w:rsidRPr="00511EBF">
              <w:rPr>
                <w:rFonts w:ascii="Arial" w:hAnsi="Arial" w:cs="Arial"/>
                <w:color w:val="000000"/>
                <w:sz w:val="16"/>
                <w:szCs w:val="16"/>
                <w:vertAlign w:val="superscript"/>
              </w:rPr>
              <w:t xml:space="preserve"> 2</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1,117,894</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204,444</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2,847,900</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3,081,106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3,934,344</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Grants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2,894</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2,911</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2,927</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2,944</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2,960</w:t>
            </w:r>
          </w:p>
        </w:tc>
      </w:tr>
      <w:tr w:rsidR="00511EBF" w:rsidRPr="00511EBF" w:rsidTr="00511EBF">
        <w:trPr>
          <w:trHeight w:val="21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Depreciation and amortisation</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20,698</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20,689</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20,691</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20,691</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20,691</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Write-down and</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impairment of assets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106</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106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106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106</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Other expenses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5,257</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2,503</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2,457</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2,407</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2,345</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Total expenses</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10,227,789</w:t>
            </w:r>
          </w:p>
        </w:tc>
        <w:tc>
          <w:tcPr>
            <w:tcW w:w="108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8,879,134</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11,733,435</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12,159,648</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13,210,005</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LESS: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OWN-SOURCE INCOME</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Non-taxation revenue</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Rendering  of services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4,688</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4,688</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4,688</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4,688</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4,688</w:t>
            </w: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Interest and dividends</w:t>
            </w:r>
            <w:r w:rsidRPr="00511EBF">
              <w:rPr>
                <w:rFonts w:ascii="Arial" w:hAnsi="Arial" w:cs="Arial"/>
                <w:color w:val="000000"/>
                <w:sz w:val="16"/>
                <w:szCs w:val="16"/>
                <w:vertAlign w:val="superscript"/>
              </w:rPr>
              <w:t xml:space="preserve"> 3</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559,859</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398,457</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646,104</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684,155</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716,384</w:t>
            </w: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Superannuation contributions</w:t>
            </w:r>
            <w:r w:rsidRPr="00511EBF">
              <w:rPr>
                <w:rFonts w:ascii="Arial" w:hAnsi="Arial" w:cs="Arial"/>
                <w:color w:val="000000"/>
                <w:sz w:val="16"/>
                <w:szCs w:val="16"/>
                <w:vertAlign w:val="superscript"/>
              </w:rPr>
              <w:t xml:space="preserve"> 4</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1,428,717</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1,450,224</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1,395,475</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1,344,426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1,293,123</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Other revenue</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8,136</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8,136</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8,136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8,136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8,136</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Total non-taxation revenue</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2,001,400</w:t>
            </w:r>
          </w:p>
        </w:tc>
        <w:tc>
          <w:tcPr>
            <w:tcW w:w="108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1,861,505</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2,054,403</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2,041,405</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2,022,331</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Gains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Gains on sale of investments</w:t>
            </w:r>
            <w:r w:rsidRPr="00511EBF">
              <w:rPr>
                <w:rFonts w:ascii="Arial" w:hAnsi="Arial" w:cs="Arial"/>
                <w:color w:val="000000"/>
                <w:sz w:val="16"/>
                <w:szCs w:val="16"/>
                <w:vertAlign w:val="superscript"/>
              </w:rPr>
              <w:t xml:space="preserve"> 5</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1,678,998</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40,365</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67,954</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72,258</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75,921</w:t>
            </w: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Other gains</w:t>
            </w:r>
            <w:r w:rsidRPr="00511EBF">
              <w:rPr>
                <w:rFonts w:ascii="Arial" w:hAnsi="Arial" w:cs="Arial"/>
                <w:color w:val="000000"/>
                <w:sz w:val="16"/>
                <w:szCs w:val="16"/>
                <w:vertAlign w:val="superscript"/>
              </w:rPr>
              <w:t xml:space="preserve"> 5</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3,960,312</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4,198</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4,198</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4,198</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4,198</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Total gains</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5,639,310</w:t>
            </w:r>
          </w:p>
        </w:tc>
        <w:tc>
          <w:tcPr>
            <w:tcW w:w="108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44,563</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72,152</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76,456</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80,119</w:t>
            </w:r>
          </w:p>
        </w:tc>
      </w:tr>
      <w:tr w:rsidR="00511EBF" w:rsidRPr="00511EBF" w:rsidTr="00511EBF">
        <w:trPr>
          <w:trHeight w:val="6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Total own-sourced income</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administered on behalf of</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government</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7,640,710</w:t>
            </w:r>
          </w:p>
        </w:tc>
        <w:tc>
          <w:tcPr>
            <w:tcW w:w="108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1,906,068</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2,126,555</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2,117,861</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2,102,450</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Net cost of (contribution by)</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services</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2,587,079</w:t>
            </w:r>
          </w:p>
        </w:tc>
        <w:tc>
          <w:tcPr>
            <w:tcW w:w="108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6,973,066</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9,606,880</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10,041,787</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11,107,555</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Total comprehensive</w:t>
            </w:r>
          </w:p>
        </w:tc>
        <w:tc>
          <w:tcPr>
            <w:tcW w:w="108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 </w:t>
            </w:r>
          </w:p>
        </w:tc>
        <w:tc>
          <w:tcPr>
            <w:tcW w:w="1080" w:type="dxa"/>
            <w:tcBorders>
              <w:top w:val="nil"/>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 </w:t>
            </w:r>
          </w:p>
        </w:tc>
        <w:tc>
          <w:tcPr>
            <w:tcW w:w="108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 </w:t>
            </w:r>
          </w:p>
        </w:tc>
        <w:tc>
          <w:tcPr>
            <w:tcW w:w="1124"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 </w:t>
            </w:r>
          </w:p>
        </w:tc>
        <w:tc>
          <w:tcPr>
            <w:tcW w:w="1124"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 </w:t>
            </w:r>
          </w:p>
        </w:tc>
      </w:tr>
      <w:tr w:rsidR="00511EBF" w:rsidRPr="00511EBF" w:rsidTr="00511EBF">
        <w:trPr>
          <w:trHeight w:val="225"/>
        </w:trPr>
        <w:tc>
          <w:tcPr>
            <w:tcW w:w="280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income (loss)</w:t>
            </w:r>
          </w:p>
        </w:tc>
        <w:tc>
          <w:tcPr>
            <w:tcW w:w="108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(2,587,079)</w:t>
            </w:r>
          </w:p>
        </w:tc>
        <w:tc>
          <w:tcPr>
            <w:tcW w:w="1080" w:type="dxa"/>
            <w:tcBorders>
              <w:top w:val="nil"/>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(6,973,066)</w:t>
            </w:r>
          </w:p>
        </w:tc>
        <w:tc>
          <w:tcPr>
            <w:tcW w:w="108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(9,606,880)</w:t>
            </w:r>
          </w:p>
        </w:tc>
        <w:tc>
          <w:tcPr>
            <w:tcW w:w="1124"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(10,041,787)</w:t>
            </w:r>
          </w:p>
        </w:tc>
        <w:tc>
          <w:tcPr>
            <w:tcW w:w="1124"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(11,107,555)</w:t>
            </w:r>
          </w:p>
        </w:tc>
      </w:tr>
    </w:tbl>
    <w:p w:rsidR="00425D9F" w:rsidRPr="00692DAB" w:rsidRDefault="00425D9F" w:rsidP="00425D9F">
      <w:pPr>
        <w:spacing w:after="0" w:line="240" w:lineRule="auto"/>
        <w:rPr>
          <w:sz w:val="6"/>
          <w:szCs w:val="6"/>
        </w:rPr>
      </w:pPr>
    </w:p>
    <w:p w:rsidR="007A0BB9" w:rsidRDefault="007A0BB9" w:rsidP="007A0BB9">
      <w:pPr>
        <w:pStyle w:val="Source"/>
      </w:pPr>
      <w:proofErr w:type="gramStart"/>
      <w:r w:rsidRPr="00AB77C4">
        <w:t>Prepared on Australian Accounting Standards basis.</w:t>
      </w:r>
      <w:proofErr w:type="gramEnd"/>
    </w:p>
    <w:p w:rsidR="0061675B" w:rsidRPr="00DD06D6" w:rsidRDefault="0061675B" w:rsidP="00DD06D6">
      <w:pPr>
        <w:pStyle w:val="SingleParagraph"/>
        <w:spacing w:line="240" w:lineRule="auto"/>
        <w:rPr>
          <w:sz w:val="16"/>
        </w:rPr>
      </w:pPr>
    </w:p>
    <w:p w:rsidR="00A861B9" w:rsidRPr="00CC3220" w:rsidRDefault="00A861B9" w:rsidP="0003235D">
      <w:pPr>
        <w:pStyle w:val="ListParagraph"/>
        <w:numPr>
          <w:ilvl w:val="0"/>
          <w:numId w:val="29"/>
        </w:numPr>
        <w:spacing w:after="60" w:line="240" w:lineRule="auto"/>
        <w:ind w:left="426" w:hanging="426"/>
        <w:contextualSpacing w:val="0"/>
        <w:outlineLvl w:val="6"/>
        <w:rPr>
          <w:rFonts w:ascii="Arial" w:hAnsi="Arial" w:cs="Arial"/>
          <w:sz w:val="15"/>
          <w:szCs w:val="15"/>
        </w:rPr>
      </w:pPr>
      <w:r w:rsidRPr="00CC3220">
        <w:rPr>
          <w:rFonts w:ascii="Arial" w:hAnsi="Arial" w:cs="Arial"/>
          <w:sz w:val="15"/>
          <w:szCs w:val="15"/>
        </w:rPr>
        <w:t xml:space="preserve">The 2014-15 </w:t>
      </w:r>
      <w:proofErr w:type="gramStart"/>
      <w:r w:rsidRPr="00CC3220">
        <w:rPr>
          <w:rFonts w:ascii="Arial" w:hAnsi="Arial" w:cs="Arial"/>
          <w:sz w:val="15"/>
          <w:szCs w:val="15"/>
        </w:rPr>
        <w:t>estimate</w:t>
      </w:r>
      <w:proofErr w:type="gramEnd"/>
      <w:r w:rsidRPr="00CC3220">
        <w:rPr>
          <w:rFonts w:ascii="Arial" w:hAnsi="Arial" w:cs="Arial"/>
          <w:sz w:val="15"/>
          <w:szCs w:val="15"/>
        </w:rPr>
        <w:t xml:space="preserve"> is calculated using the discount rate based on the long-term government bond rate at the commencement of the financial year in accordance with accounting standards. Budget and </w:t>
      </w:r>
      <w:r w:rsidR="00536008">
        <w:rPr>
          <w:rFonts w:ascii="Arial" w:hAnsi="Arial" w:cs="Arial"/>
          <w:sz w:val="15"/>
          <w:szCs w:val="15"/>
        </w:rPr>
        <w:t>f</w:t>
      </w:r>
      <w:r w:rsidRPr="00CC3220">
        <w:rPr>
          <w:rFonts w:ascii="Arial" w:hAnsi="Arial" w:cs="Arial"/>
          <w:sz w:val="15"/>
          <w:szCs w:val="15"/>
        </w:rPr>
        <w:t>orward years are calculated using the discount rate applied in preparing the long-term cost reports.</w:t>
      </w:r>
    </w:p>
    <w:p w:rsidR="00A861B9" w:rsidRPr="00CC3220" w:rsidRDefault="00A861B9" w:rsidP="0003235D">
      <w:pPr>
        <w:pStyle w:val="ListParagraph"/>
        <w:numPr>
          <w:ilvl w:val="0"/>
          <w:numId w:val="29"/>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hAnsi="Arial" w:cs="Arial"/>
          <w:sz w:val="15"/>
          <w:szCs w:val="15"/>
        </w:rPr>
        <w:t>Expenses incurred from the Investment Funds represent estimates of expenses to be transferred from the</w:t>
      </w:r>
      <w:r w:rsidR="004E6716">
        <w:rPr>
          <w:rFonts w:ascii="Arial" w:hAnsi="Arial" w:cs="Arial"/>
          <w:sz w:val="15"/>
          <w:szCs w:val="15"/>
        </w:rPr>
        <w:t xml:space="preserve"> Australian Government Investment</w:t>
      </w:r>
      <w:r w:rsidRPr="00CC3220">
        <w:rPr>
          <w:rFonts w:ascii="Arial" w:hAnsi="Arial" w:cs="Arial"/>
          <w:sz w:val="15"/>
          <w:szCs w:val="15"/>
        </w:rPr>
        <w:t> Funds. This item includes expenses, but not equity payments.</w:t>
      </w:r>
      <w:r w:rsidR="004E6716">
        <w:rPr>
          <w:rFonts w:ascii="Arial" w:hAnsi="Arial" w:cs="Arial"/>
          <w:sz w:val="15"/>
          <w:szCs w:val="15"/>
        </w:rPr>
        <w:t xml:space="preserve"> </w:t>
      </w:r>
      <w:r w:rsidR="004E6716" w:rsidRPr="00CC3220">
        <w:rPr>
          <w:rFonts w:ascii="Arial" w:hAnsi="Arial" w:cs="Arial"/>
          <w:sz w:val="15"/>
          <w:szCs w:val="15"/>
        </w:rPr>
        <w:t>For more detail on each fund refer to Tables 3.1.2.1, 3.1.2.2, 3.1.2.3, 3.1.2.4, 3.1.2.5 and 3.1.2.6.</w:t>
      </w:r>
    </w:p>
    <w:p w:rsidR="00A861B9" w:rsidRPr="00CC3220" w:rsidRDefault="00A861B9" w:rsidP="0003235D">
      <w:pPr>
        <w:pStyle w:val="ListParagraph"/>
        <w:numPr>
          <w:ilvl w:val="0"/>
          <w:numId w:val="29"/>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hAnsi="Arial" w:cs="Arial"/>
          <w:sz w:val="15"/>
          <w:szCs w:val="15"/>
        </w:rPr>
        <w:t xml:space="preserve">Estimates of interest include interest earnings for the Australian Government Investment Funds. Dividend revenue represents revenue from </w:t>
      </w:r>
      <w:r w:rsidR="00353A8E" w:rsidRPr="00CC3220">
        <w:rPr>
          <w:rFonts w:ascii="Arial" w:hAnsi="Arial" w:cs="Arial"/>
          <w:sz w:val="15"/>
          <w:szCs w:val="15"/>
        </w:rPr>
        <w:t>corporate</w:t>
      </w:r>
      <w:r w:rsidRPr="00CC3220">
        <w:rPr>
          <w:rFonts w:ascii="Arial" w:hAnsi="Arial" w:cs="Arial"/>
          <w:sz w:val="15"/>
          <w:szCs w:val="15"/>
        </w:rPr>
        <w:t xml:space="preserve"> entities which are treated as administered receipts of the department.</w:t>
      </w:r>
    </w:p>
    <w:p w:rsidR="00A861B9" w:rsidRPr="00CC3220" w:rsidRDefault="00A861B9" w:rsidP="0003235D">
      <w:pPr>
        <w:pStyle w:val="ListParagraph"/>
        <w:numPr>
          <w:ilvl w:val="0"/>
          <w:numId w:val="29"/>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hAnsi="Arial" w:cs="Arial"/>
          <w:sz w:val="15"/>
          <w:szCs w:val="15"/>
        </w:rPr>
        <w:t>Principally CSS and PSS notional employer superannuation contributions.</w:t>
      </w:r>
    </w:p>
    <w:p w:rsidR="008606A2" w:rsidRPr="00CC3220" w:rsidRDefault="008606A2" w:rsidP="0003235D">
      <w:pPr>
        <w:pStyle w:val="ListParagraph"/>
        <w:numPr>
          <w:ilvl w:val="0"/>
          <w:numId w:val="29"/>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Amounts</w:t>
      </w:r>
      <w:r w:rsidR="00E6369F" w:rsidRPr="00CC3220">
        <w:rPr>
          <w:rFonts w:ascii="Arial" w:eastAsia="Times New Roman" w:hAnsi="Arial" w:cs="Arial"/>
          <w:sz w:val="15"/>
          <w:szCs w:val="15"/>
          <w:lang w:val="en-AU" w:eastAsia="en-AU"/>
        </w:rPr>
        <w:t xml:space="preserve"> in 2014-15 primarily represent </w:t>
      </w:r>
      <w:r w:rsidRPr="00CC3220">
        <w:rPr>
          <w:rFonts w:ascii="Arial" w:eastAsia="Times New Roman" w:hAnsi="Arial" w:cs="Arial"/>
          <w:sz w:val="15"/>
          <w:szCs w:val="15"/>
          <w:lang w:val="en-AU" w:eastAsia="en-AU"/>
        </w:rPr>
        <w:t xml:space="preserve">proceeds from sale of </w:t>
      </w:r>
      <w:proofErr w:type="spellStart"/>
      <w:r w:rsidRPr="00CC3220">
        <w:rPr>
          <w:rFonts w:ascii="Arial" w:eastAsia="Times New Roman" w:hAnsi="Arial" w:cs="Arial"/>
          <w:sz w:val="15"/>
          <w:szCs w:val="15"/>
          <w:lang w:val="en-AU" w:eastAsia="en-AU"/>
        </w:rPr>
        <w:t>Medibank</w:t>
      </w:r>
      <w:proofErr w:type="spellEnd"/>
      <w:r w:rsidRPr="00CC3220">
        <w:rPr>
          <w:rFonts w:ascii="Arial" w:eastAsia="Times New Roman" w:hAnsi="Arial" w:cs="Arial"/>
          <w:sz w:val="15"/>
          <w:szCs w:val="15"/>
          <w:lang w:val="en-AU" w:eastAsia="en-AU"/>
        </w:rPr>
        <w:t xml:space="preserve"> Private Ltd</w:t>
      </w:r>
    </w:p>
    <w:p w:rsidR="003D3DE6" w:rsidRDefault="000A24C4" w:rsidP="00E453F8">
      <w:pPr>
        <w:pStyle w:val="Heading5"/>
      </w:pPr>
      <w:r>
        <w:br w:type="page"/>
      </w:r>
      <w:bookmarkStart w:id="56" w:name="OLE_LINK15"/>
      <w:r w:rsidR="00D30CBA" w:rsidRPr="00793F50">
        <w:lastRenderedPageBreak/>
        <w:t>Table 3.2.</w:t>
      </w:r>
      <w:r w:rsidR="00B93884" w:rsidRPr="00793F50">
        <w:t>8</w:t>
      </w:r>
      <w:r w:rsidR="00D30CBA" w:rsidRPr="00793F50">
        <w:t xml:space="preserve">: </w:t>
      </w:r>
      <w:r w:rsidR="003D3DE6">
        <w:t>Budgeted Schedule of Assets and Liabilities Administered on Behalf of Government</w:t>
      </w:r>
      <w:r w:rsidR="003D3DE6">
        <w:br/>
        <w:t>as at 30 June</w:t>
      </w:r>
    </w:p>
    <w:tbl>
      <w:tblPr>
        <w:tblW w:w="8080" w:type="dxa"/>
        <w:tblInd w:w="93" w:type="dxa"/>
        <w:tblLook w:val="04A0"/>
      </w:tblPr>
      <w:tblGrid>
        <w:gridCol w:w="2580"/>
        <w:gridCol w:w="1124"/>
        <w:gridCol w:w="1124"/>
        <w:gridCol w:w="1124"/>
        <w:gridCol w:w="1124"/>
        <w:gridCol w:w="1124"/>
      </w:tblGrid>
      <w:tr w:rsidR="00EE455E" w:rsidRPr="00EE455E" w:rsidTr="00EE455E">
        <w:trPr>
          <w:trHeight w:val="225"/>
        </w:trPr>
        <w:tc>
          <w:tcPr>
            <w:tcW w:w="2580" w:type="dxa"/>
            <w:tcBorders>
              <w:top w:val="single" w:sz="4" w:space="0" w:color="000000"/>
              <w:left w:val="nil"/>
              <w:bottom w:val="nil"/>
              <w:right w:val="nil"/>
            </w:tcBorders>
            <w:shd w:val="clear" w:color="auto" w:fill="auto"/>
            <w:noWrap/>
            <w:vAlign w:val="center"/>
            <w:hideMark/>
          </w:tcPr>
          <w:bookmarkEnd w:id="56"/>
          <w:p w:rsidR="00EE455E" w:rsidRPr="00EE455E" w:rsidRDefault="00EE455E" w:rsidP="00EE455E">
            <w:pPr>
              <w:spacing w:after="0" w:line="240" w:lineRule="auto"/>
              <w:jc w:val="lef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Estimated</w:t>
            </w:r>
          </w:p>
        </w:tc>
        <w:tc>
          <w:tcPr>
            <w:tcW w:w="1100" w:type="dxa"/>
            <w:tcBorders>
              <w:top w:val="single" w:sz="4" w:space="0" w:color="auto"/>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Budget</w:t>
            </w:r>
          </w:p>
        </w:tc>
        <w:tc>
          <w:tcPr>
            <w:tcW w:w="110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10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10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actual</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2014-15</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2015-16</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2016-17</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2017-18</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2018-19</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10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100" w:type="dxa"/>
            <w:tcBorders>
              <w:top w:val="nil"/>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10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10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10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 xml:space="preserve">ASSETS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Financial assets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Trade and other receivables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162,883</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157,030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150,820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144,189</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137,218</w:t>
            </w:r>
          </w:p>
        </w:tc>
      </w:tr>
      <w:tr w:rsidR="00EE455E" w:rsidRPr="00EE455E" w:rsidTr="00EE455E">
        <w:trPr>
          <w:trHeight w:val="24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Investments</w:t>
            </w:r>
            <w:r w:rsidRPr="00EE455E">
              <w:rPr>
                <w:rFonts w:ascii="Arial" w:hAnsi="Arial" w:cs="Arial"/>
                <w:color w:val="000000"/>
                <w:sz w:val="16"/>
                <w:szCs w:val="16"/>
                <w:vertAlign w:val="superscript"/>
              </w:rPr>
              <w:t xml:space="preserve"> 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11,371,294</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15,867,945</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23,305,160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23,830,885</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22,370,994</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 financial assets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47,962</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47,962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47,962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47,962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47,962</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financial assets</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11,582,139</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16,072,937</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23,503,942</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24,023,036</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22,556,174</w:t>
            </w:r>
          </w:p>
        </w:tc>
      </w:tr>
      <w:tr w:rsidR="00EE455E" w:rsidRPr="00EE455E" w:rsidTr="00EE455E">
        <w:trPr>
          <w:trHeight w:val="6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Non-financial assets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Buildings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26,726</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26,152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25,499</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24,902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24,363</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Property, plant</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and equipment</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68,676</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64,384</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60,081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55,801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50,697</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Intangibles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2,491</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2,491</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 non-financial assets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3,615</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3,615</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3,615</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3,615</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3,615</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non-financial assets</w:t>
            </w:r>
          </w:p>
        </w:tc>
        <w:tc>
          <w:tcPr>
            <w:tcW w:w="1100" w:type="dxa"/>
            <w:tcBorders>
              <w:top w:val="single" w:sz="4" w:space="0" w:color="auto"/>
              <w:left w:val="nil"/>
              <w:bottom w:val="single" w:sz="4" w:space="0" w:color="auto"/>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101,508</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96,642</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91,686</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86,809</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81,166</w:t>
            </w:r>
          </w:p>
        </w:tc>
      </w:tr>
      <w:tr w:rsidR="00EE455E" w:rsidRPr="00EE455E" w:rsidTr="00EE455E">
        <w:trPr>
          <w:trHeight w:val="6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 xml:space="preserve">Total assets administered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on behalf of government</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11,683,647</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16,169,579</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23,595,628</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24,109,845</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22,637,340</w:t>
            </w:r>
          </w:p>
        </w:tc>
      </w:tr>
      <w:tr w:rsidR="00EE455E" w:rsidRPr="00EE455E" w:rsidTr="00EE455E">
        <w:trPr>
          <w:trHeight w:val="6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LIABILITIES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Payables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Suppliers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11,403</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11,403</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11,403</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11,403</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11,403</w:t>
            </w:r>
          </w:p>
        </w:tc>
      </w:tr>
      <w:tr w:rsidR="00EE455E" w:rsidRPr="00EE455E" w:rsidTr="00EE455E">
        <w:trPr>
          <w:trHeight w:val="24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 payables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15,900</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15,900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15,900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15,900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15,900</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payables</w:t>
            </w:r>
          </w:p>
        </w:tc>
        <w:tc>
          <w:tcPr>
            <w:tcW w:w="11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27,303</w:t>
            </w:r>
          </w:p>
        </w:tc>
        <w:tc>
          <w:tcPr>
            <w:tcW w:w="11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27,303</w:t>
            </w:r>
          </w:p>
        </w:tc>
        <w:tc>
          <w:tcPr>
            <w:tcW w:w="11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27,303</w:t>
            </w:r>
          </w:p>
        </w:tc>
        <w:tc>
          <w:tcPr>
            <w:tcW w:w="11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27,303</w:t>
            </w:r>
          </w:p>
        </w:tc>
        <w:tc>
          <w:tcPr>
            <w:tcW w:w="11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27,303</w:t>
            </w:r>
          </w:p>
        </w:tc>
      </w:tr>
      <w:tr w:rsidR="00EE455E" w:rsidRPr="00EE455E" w:rsidTr="00EE455E">
        <w:trPr>
          <w:trHeight w:val="6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Provisions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Employees</w:t>
            </w:r>
            <w:r w:rsidRPr="00EE455E">
              <w:rPr>
                <w:rFonts w:ascii="Arial" w:hAnsi="Arial" w:cs="Arial"/>
                <w:color w:val="000000"/>
                <w:sz w:val="16"/>
                <w:szCs w:val="16"/>
                <w:vertAlign w:val="superscript"/>
              </w:rPr>
              <w:t xml:space="preserve"> 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234,396</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234,396</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234,396</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234,396</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234,396</w:t>
            </w:r>
          </w:p>
        </w:tc>
      </w:tr>
      <w:tr w:rsidR="00EE455E" w:rsidRPr="00EE455E" w:rsidTr="00EE455E">
        <w:trPr>
          <w:trHeight w:val="24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Superannuation</w:t>
            </w:r>
            <w:r w:rsidRPr="00EE455E">
              <w:rPr>
                <w:rFonts w:ascii="Arial" w:hAnsi="Arial" w:cs="Arial"/>
                <w:color w:val="000000"/>
                <w:sz w:val="16"/>
                <w:szCs w:val="16"/>
                <w:vertAlign w:val="superscript"/>
              </w:rPr>
              <w:t xml:space="preserve"> 3</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107,507,091</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111,232,398</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114,931,416</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118,606,693</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122,241,154</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 provisions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16,110</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15,370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14,551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13,451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12,253</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provisions</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107,757,597</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111,482,164</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115,180,363</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118,854,540</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122,487,803</w:t>
            </w:r>
          </w:p>
        </w:tc>
      </w:tr>
      <w:tr w:rsidR="00EE455E" w:rsidRPr="00EE455E" w:rsidTr="00EE455E">
        <w:trPr>
          <w:trHeight w:val="6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liabilities administered</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on behalf of government</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107,784,900</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111,509,467</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115,207,666</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118,881,843</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122,515,106</w:t>
            </w:r>
          </w:p>
        </w:tc>
      </w:tr>
      <w:tr w:rsidR="00EE455E" w:rsidRPr="00EE455E" w:rsidTr="00EE455E">
        <w:trPr>
          <w:trHeight w:val="7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Net assets/(liabilities)</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(96,101,253)</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(95,339,888)</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(91,612,038)</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(94,771,998)</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(99,877,766)</w:t>
            </w:r>
          </w:p>
        </w:tc>
      </w:tr>
    </w:tbl>
    <w:p w:rsidR="001D6BD6" w:rsidRPr="00AB77C4" w:rsidRDefault="001D6BD6" w:rsidP="001D6BD6">
      <w:pPr>
        <w:spacing w:after="0" w:line="240" w:lineRule="auto"/>
        <w:rPr>
          <w:sz w:val="6"/>
          <w:szCs w:val="6"/>
        </w:rPr>
      </w:pPr>
    </w:p>
    <w:p w:rsidR="007A0BB9" w:rsidRDefault="007A0BB9" w:rsidP="00FD295C">
      <w:pPr>
        <w:pStyle w:val="Source"/>
        <w:spacing w:before="60"/>
      </w:pPr>
      <w:proofErr w:type="gramStart"/>
      <w:r w:rsidRPr="00AB77C4">
        <w:t>Prepared on Australian Accounting Standards basis.</w:t>
      </w:r>
      <w:proofErr w:type="gramEnd"/>
    </w:p>
    <w:p w:rsidR="0061675B" w:rsidRPr="00DD06D6" w:rsidRDefault="0061675B" w:rsidP="00DD06D6">
      <w:pPr>
        <w:pStyle w:val="SingleParagraph"/>
        <w:spacing w:line="240" w:lineRule="auto"/>
        <w:rPr>
          <w:sz w:val="16"/>
        </w:rPr>
      </w:pPr>
    </w:p>
    <w:p w:rsidR="005F0FCC" w:rsidRPr="00CC3220" w:rsidRDefault="005F0FCC" w:rsidP="0003235D">
      <w:pPr>
        <w:pStyle w:val="ListParagraph"/>
        <w:numPr>
          <w:ilvl w:val="0"/>
          <w:numId w:val="30"/>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Represents investments in the Australian Government Investment Funds. Also represented are investments in other government entities that are 100% owned by the Commonwealth and assets of former superannuation schemes administered by the Australian Government.</w:t>
      </w:r>
    </w:p>
    <w:p w:rsidR="005F0FCC" w:rsidRPr="00CC3220" w:rsidRDefault="005F0FCC" w:rsidP="0003235D">
      <w:pPr>
        <w:pStyle w:val="ListParagraph"/>
        <w:numPr>
          <w:ilvl w:val="0"/>
          <w:numId w:val="30"/>
        </w:numPr>
        <w:spacing w:after="60" w:line="240" w:lineRule="auto"/>
        <w:ind w:left="425" w:hanging="425"/>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Represents Life Gold Pass Holders liabilities and employee provisions for staff employed under the </w:t>
      </w:r>
      <w:proofErr w:type="spellStart"/>
      <w:r w:rsidRPr="00CC3220">
        <w:rPr>
          <w:rFonts w:ascii="Arial" w:eastAsia="Times New Roman" w:hAnsi="Arial" w:cs="Arial"/>
          <w:sz w:val="15"/>
          <w:szCs w:val="15"/>
          <w:lang w:val="en-AU" w:eastAsia="en-AU"/>
        </w:rPr>
        <w:t>MoP</w:t>
      </w:r>
      <w:proofErr w:type="spellEnd"/>
      <w:r w:rsidRPr="00CC3220">
        <w:rPr>
          <w:rFonts w:ascii="Arial" w:eastAsia="Times New Roman" w:hAnsi="Arial" w:cs="Arial"/>
          <w:sz w:val="15"/>
          <w:szCs w:val="15"/>
          <w:lang w:val="en-AU" w:eastAsia="en-AU"/>
        </w:rPr>
        <w:t>(S) Act.</w:t>
      </w:r>
    </w:p>
    <w:p w:rsidR="005F0FCC" w:rsidRPr="00CC3220" w:rsidRDefault="005F0FCC" w:rsidP="0003235D">
      <w:pPr>
        <w:pStyle w:val="ListParagraph"/>
        <w:numPr>
          <w:ilvl w:val="0"/>
          <w:numId w:val="30"/>
        </w:numPr>
        <w:spacing w:after="60" w:line="240" w:lineRule="auto"/>
        <w:ind w:left="425" w:hanging="425"/>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Represents the unfunded liabilities for the </w:t>
      </w:r>
      <w:r w:rsidR="00536008">
        <w:rPr>
          <w:rFonts w:ascii="Arial" w:eastAsia="Times New Roman" w:hAnsi="Arial" w:cs="Arial"/>
          <w:sz w:val="15"/>
          <w:szCs w:val="15"/>
          <w:lang w:val="en-AU" w:eastAsia="en-AU"/>
        </w:rPr>
        <w:t>g</w:t>
      </w:r>
      <w:r w:rsidRPr="00CC3220">
        <w:rPr>
          <w:rFonts w:ascii="Arial" w:eastAsia="Times New Roman" w:hAnsi="Arial" w:cs="Arial"/>
          <w:sz w:val="15"/>
          <w:szCs w:val="15"/>
          <w:lang w:val="en-AU" w:eastAsia="en-AU"/>
        </w:rPr>
        <w:t>overnment’s civilian superannuation schemes. The superannuation liabilities estimates are based on the Long Term Cost Report.</w:t>
      </w:r>
    </w:p>
    <w:p w:rsidR="003D3DE6" w:rsidRDefault="000A24C4" w:rsidP="00E453F8">
      <w:pPr>
        <w:pStyle w:val="Heading5"/>
      </w:pPr>
      <w:bookmarkStart w:id="57" w:name="OLE_LINK1"/>
      <w:r>
        <w:br w:type="page"/>
      </w:r>
      <w:bookmarkStart w:id="58" w:name="OLE_LINK16"/>
      <w:r w:rsidR="00C41D55" w:rsidRPr="00793F50">
        <w:lastRenderedPageBreak/>
        <w:t>Table 3.2.</w:t>
      </w:r>
      <w:r w:rsidR="00F81CE4" w:rsidRPr="00793F50">
        <w:t>9</w:t>
      </w:r>
      <w:r w:rsidR="00C41D55" w:rsidRPr="00793F50">
        <w:t xml:space="preserve">: </w:t>
      </w:r>
      <w:r w:rsidR="003D3DE6">
        <w:t>Budgeted Schedule of Administered Cash Flows</w:t>
      </w:r>
      <w:r w:rsidR="003D3DE6">
        <w:br/>
        <w:t>for the period ended 30 June</w:t>
      </w:r>
    </w:p>
    <w:tbl>
      <w:tblPr>
        <w:tblW w:w="7440" w:type="dxa"/>
        <w:tblInd w:w="87" w:type="dxa"/>
        <w:tblLook w:val="04A0"/>
      </w:tblPr>
      <w:tblGrid>
        <w:gridCol w:w="2440"/>
        <w:gridCol w:w="1035"/>
        <w:gridCol w:w="1035"/>
        <w:gridCol w:w="1035"/>
        <w:gridCol w:w="1035"/>
        <w:gridCol w:w="1035"/>
      </w:tblGrid>
      <w:tr w:rsidR="00EE455E" w:rsidRPr="00EE455E" w:rsidTr="00EE455E">
        <w:trPr>
          <w:trHeight w:val="225"/>
        </w:trPr>
        <w:tc>
          <w:tcPr>
            <w:tcW w:w="2440" w:type="dxa"/>
            <w:tcBorders>
              <w:top w:val="single" w:sz="4" w:space="0" w:color="000000"/>
              <w:left w:val="nil"/>
              <w:bottom w:val="nil"/>
              <w:right w:val="nil"/>
            </w:tcBorders>
            <w:shd w:val="clear" w:color="auto" w:fill="auto"/>
            <w:noWrap/>
            <w:vAlign w:val="center"/>
            <w:hideMark/>
          </w:tcPr>
          <w:bookmarkEnd w:id="58"/>
          <w:p w:rsidR="00EE455E" w:rsidRPr="00EE455E" w:rsidRDefault="00EE455E" w:rsidP="00EE455E">
            <w:pPr>
              <w:spacing w:after="0" w:line="240" w:lineRule="auto"/>
              <w:jc w:val="lef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Estimated</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Budget</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2014-15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2015-16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2016-17</w:t>
            </w:r>
          </w:p>
        </w:tc>
        <w:tc>
          <w:tcPr>
            <w:tcW w:w="100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2017-18</w:t>
            </w:r>
          </w:p>
        </w:tc>
        <w:tc>
          <w:tcPr>
            <w:tcW w:w="100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2018-19</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OPERATING ACTIVITIES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received</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Rendering of services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4,688</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4,688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4,688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4,688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4,688</w:t>
            </w: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Interest and dividends</w:t>
            </w:r>
            <w:r w:rsidRPr="00EE455E">
              <w:rPr>
                <w:rFonts w:ascii="Arial" w:hAnsi="Arial" w:cs="Arial"/>
                <w:color w:val="000000"/>
                <w:sz w:val="16"/>
                <w:szCs w:val="16"/>
                <w:vertAlign w:val="superscript"/>
              </w:rPr>
              <w:t xml:space="preserve"> 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554,378</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393,010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640,713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678,842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711,175</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Superannuation contributions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 employers</w:t>
            </w:r>
            <w:r w:rsidRPr="00EE455E">
              <w:rPr>
                <w:rFonts w:ascii="Arial" w:hAnsi="Arial" w:cs="Arial"/>
                <w:color w:val="000000"/>
                <w:sz w:val="16"/>
                <w:szCs w:val="16"/>
                <w:vertAlign w:val="superscript"/>
              </w:rPr>
              <w:t xml:space="preserve"> 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1,372,346</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1,460,215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1,500,258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1,445,194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1,389,848</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Superannuation funds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contributions</w:t>
            </w:r>
            <w:r w:rsidRPr="00EE455E">
              <w:rPr>
                <w:rFonts w:ascii="Arial" w:hAnsi="Arial" w:cs="Arial"/>
                <w:color w:val="000000"/>
                <w:sz w:val="16"/>
                <w:szCs w:val="16"/>
                <w:vertAlign w:val="superscript"/>
              </w:rPr>
              <w:t xml:space="preserve"> 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2,726,468</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1,988,218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2,146,768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2,263,053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2,436,663</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3,135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3,135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3,137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3,136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3,135</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received</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4,661,014</w:t>
            </w:r>
          </w:p>
        </w:tc>
        <w:tc>
          <w:tcPr>
            <w:tcW w:w="10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3,849,266</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4,295,564</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4,394,913</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4,545,509</w:t>
            </w:r>
          </w:p>
        </w:tc>
      </w:tr>
      <w:tr w:rsidR="00EE455E" w:rsidRPr="00EE455E" w:rsidTr="00EE455E">
        <w:trPr>
          <w:trHeight w:val="6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used</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Employees</w:t>
            </w:r>
            <w:r w:rsidRPr="00EE455E">
              <w:rPr>
                <w:rFonts w:ascii="Arial" w:hAnsi="Arial" w:cs="Arial"/>
                <w:sz w:val="16"/>
                <w:szCs w:val="16"/>
                <w:vertAlign w:val="superscript"/>
              </w:rPr>
              <w:t xml:space="preserve"> 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237,285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225,571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228,061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229,274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229,292</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Suppliers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213,415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235,973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246,582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244,331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248,416</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 xml:space="preserve">Distributions from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the investment funds</w:t>
            </w:r>
            <w:r w:rsidRPr="00EE455E">
              <w:rPr>
                <w:rFonts w:ascii="Arial" w:hAnsi="Arial" w:cs="Arial"/>
                <w:sz w:val="16"/>
                <w:szCs w:val="16"/>
                <w:vertAlign w:val="superscript"/>
              </w:rPr>
              <w:t xml:space="preserve"> 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1,117,894</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204,444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2,847,900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3,081,106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3,934,344</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Grants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694</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711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727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744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760</w:t>
            </w: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Superannuation</w:t>
            </w:r>
            <w:r w:rsidRPr="00EE455E">
              <w:rPr>
                <w:rFonts w:ascii="Arial" w:hAnsi="Arial" w:cs="Arial"/>
                <w:sz w:val="16"/>
                <w:szCs w:val="16"/>
                <w:vertAlign w:val="superscript"/>
              </w:rPr>
              <w:t xml:space="preserve"> 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6,379,934</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6,342,589</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6,505,620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6,792,321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7,145,124</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used</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7,949,222</w:t>
            </w:r>
          </w:p>
        </w:tc>
        <w:tc>
          <w:tcPr>
            <w:tcW w:w="10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7,009,288</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9,828,890</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10,347,776</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11,557,936</w:t>
            </w:r>
          </w:p>
        </w:tc>
      </w:tr>
      <w:tr w:rsidR="00EE455E" w:rsidRPr="00EE455E" w:rsidTr="00EE455E">
        <w:trPr>
          <w:trHeight w:val="6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 xml:space="preserve">Net cash from (used by)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operating activities</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(3,288,208)</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(3,160,022)</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(5,533,326)</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(5,952,863)</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(7,012,427)</w:t>
            </w:r>
          </w:p>
        </w:tc>
      </w:tr>
      <w:tr w:rsidR="00EE455E" w:rsidRPr="00EE455E" w:rsidTr="00EE455E">
        <w:trPr>
          <w:trHeight w:val="6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INVESTING ACTIVITIES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received</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 xml:space="preserve">Proceeds from sales of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investments</w:t>
            </w:r>
            <w:r w:rsidRPr="00EE455E">
              <w:rPr>
                <w:rFonts w:ascii="Arial" w:hAnsi="Arial" w:cs="Arial"/>
                <w:color w:val="000000"/>
                <w:sz w:val="16"/>
                <w:szCs w:val="16"/>
                <w:vertAlign w:val="superscript"/>
              </w:rPr>
              <w:t xml:space="preserve"> 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1,516,962</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9,537,286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4,781,638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7,564,369</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11,053,751</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Payments from sale of</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investments</w:t>
            </w:r>
            <w:r w:rsidRPr="00EE455E">
              <w:rPr>
                <w:rFonts w:ascii="Arial" w:hAnsi="Arial" w:cs="Arial"/>
                <w:color w:val="000000"/>
                <w:sz w:val="16"/>
                <w:szCs w:val="16"/>
                <w:vertAlign w:val="superscript"/>
              </w:rPr>
              <w:t xml:space="preserve"> 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5,678,699</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Repayments of</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advances and loans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11,728</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12,550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11,601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13,415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12,180</w:t>
            </w: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w:t>
            </w:r>
            <w:r w:rsidRPr="00EE455E">
              <w:rPr>
                <w:rFonts w:ascii="Arial" w:hAnsi="Arial" w:cs="Arial"/>
                <w:color w:val="000000"/>
                <w:sz w:val="16"/>
                <w:szCs w:val="16"/>
                <w:vertAlign w:val="superscript"/>
              </w:rPr>
              <w:t xml:space="preserve"> 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3,251,656</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received</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10,459,045</w:t>
            </w:r>
          </w:p>
        </w:tc>
        <w:tc>
          <w:tcPr>
            <w:tcW w:w="10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9,549,836</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4,793,239</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7,577,784</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11,065,931</w:t>
            </w:r>
          </w:p>
        </w:tc>
      </w:tr>
      <w:tr w:rsidR="00EE455E" w:rsidRPr="00EE455E" w:rsidTr="00EE455E">
        <w:trPr>
          <w:trHeight w:val="6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used</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Purchase of property, plant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and equipment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4,420</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4,311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4,302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4,325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3,501</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Purchase of buildings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12,162</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11,712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11,633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11,689</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11,747</w:t>
            </w: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Purchase of investments</w:t>
            </w:r>
            <w:r w:rsidRPr="00EE455E">
              <w:rPr>
                <w:rFonts w:ascii="Arial" w:hAnsi="Arial" w:cs="Arial"/>
                <w:color w:val="000000"/>
                <w:sz w:val="16"/>
                <w:szCs w:val="16"/>
                <w:vertAlign w:val="superscript"/>
              </w:rPr>
              <w:t xml:space="preserve"> 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2,766,035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13,994,622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12,150,699</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8,019,107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9,517,739</w:t>
            </w: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w:t>
            </w:r>
            <w:r w:rsidRPr="00EE455E">
              <w:rPr>
                <w:rFonts w:ascii="Arial" w:hAnsi="Arial" w:cs="Arial"/>
                <w:color w:val="000000"/>
                <w:sz w:val="16"/>
                <w:szCs w:val="16"/>
                <w:vertAlign w:val="superscript"/>
              </w:rPr>
              <w:t xml:space="preserve"> 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3,251,656</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used</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6,034,273</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14,010,645</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12,166,634</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8,035,121</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9,532,987</w:t>
            </w:r>
          </w:p>
        </w:tc>
      </w:tr>
      <w:tr w:rsidR="00EE455E" w:rsidRPr="00EE455E" w:rsidTr="00EE455E">
        <w:trPr>
          <w:trHeight w:val="6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 xml:space="preserve">Net cash from (used by)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r>
      <w:tr w:rsidR="00EE455E" w:rsidRPr="00EE455E" w:rsidTr="00EE455E">
        <w:trPr>
          <w:trHeight w:val="225"/>
        </w:trPr>
        <w:tc>
          <w:tcPr>
            <w:tcW w:w="244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investing activities</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4,424,772</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(4,460,809)</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(7,373,395)</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(457,337)</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1,532,944</w:t>
            </w:r>
          </w:p>
        </w:tc>
      </w:tr>
    </w:tbl>
    <w:p w:rsidR="0015261C" w:rsidRPr="0015261C" w:rsidRDefault="0015261C" w:rsidP="0015261C">
      <w:pPr>
        <w:spacing w:after="0" w:line="240" w:lineRule="auto"/>
        <w:rPr>
          <w:sz w:val="6"/>
          <w:szCs w:val="6"/>
        </w:rPr>
      </w:pPr>
    </w:p>
    <w:p w:rsidR="00FD295C" w:rsidRPr="00EE455E" w:rsidRDefault="0015261C" w:rsidP="00EE455E">
      <w:pPr>
        <w:spacing w:after="0" w:line="240" w:lineRule="auto"/>
        <w:jc w:val="right"/>
        <w:rPr>
          <w:rFonts w:ascii="Arial" w:hAnsi="Arial" w:cs="Arial"/>
          <w:i/>
          <w:sz w:val="16"/>
          <w:szCs w:val="15"/>
        </w:rPr>
      </w:pPr>
      <w:r w:rsidRPr="0015261C">
        <w:rPr>
          <w:rFonts w:ascii="Arial" w:hAnsi="Arial" w:cs="Arial"/>
          <w:i/>
          <w:sz w:val="16"/>
          <w:szCs w:val="15"/>
        </w:rPr>
        <w:t>Table continues on next page</w:t>
      </w:r>
      <w:bookmarkEnd w:id="57"/>
      <w:r w:rsidR="00FD295C">
        <w:br w:type="page"/>
      </w:r>
    </w:p>
    <w:p w:rsidR="00C41D55" w:rsidRPr="00793F50" w:rsidRDefault="003D3DE6" w:rsidP="00E453F8">
      <w:pPr>
        <w:pStyle w:val="Heading5"/>
      </w:pPr>
      <w:bookmarkStart w:id="59" w:name="OLE_LINK17"/>
      <w:r w:rsidRPr="00793F50">
        <w:lastRenderedPageBreak/>
        <w:t xml:space="preserve">Table 3.2.9: </w:t>
      </w:r>
      <w:r>
        <w:t>Budgeted Schedule of Administered Cash Flows</w:t>
      </w:r>
      <w:r>
        <w:br/>
        <w:t>for the period ended 30 June (continued)</w:t>
      </w:r>
    </w:p>
    <w:tbl>
      <w:tblPr>
        <w:tblW w:w="8000" w:type="dxa"/>
        <w:tblInd w:w="93" w:type="dxa"/>
        <w:tblLook w:val="04A0"/>
      </w:tblPr>
      <w:tblGrid>
        <w:gridCol w:w="2940"/>
        <w:gridCol w:w="1124"/>
        <w:gridCol w:w="1035"/>
        <w:gridCol w:w="1035"/>
        <w:gridCol w:w="1035"/>
        <w:gridCol w:w="1035"/>
      </w:tblGrid>
      <w:tr w:rsidR="00EE455E" w:rsidRPr="00EE455E" w:rsidTr="00EE455E">
        <w:trPr>
          <w:trHeight w:val="225"/>
        </w:trPr>
        <w:tc>
          <w:tcPr>
            <w:tcW w:w="2940" w:type="dxa"/>
            <w:tcBorders>
              <w:top w:val="single" w:sz="4" w:space="0" w:color="000000"/>
              <w:left w:val="nil"/>
              <w:bottom w:val="nil"/>
              <w:right w:val="nil"/>
            </w:tcBorders>
            <w:shd w:val="clear" w:color="auto" w:fill="auto"/>
            <w:noWrap/>
            <w:vAlign w:val="center"/>
            <w:hideMark/>
          </w:tcPr>
          <w:bookmarkEnd w:id="59"/>
          <w:p w:rsidR="00EE455E" w:rsidRPr="00EE455E" w:rsidRDefault="00EE455E" w:rsidP="00EE455E">
            <w:pPr>
              <w:spacing w:after="0" w:line="240" w:lineRule="auto"/>
              <w:jc w:val="left"/>
              <w:rPr>
                <w:rFonts w:ascii="Arial" w:hAnsi="Arial" w:cs="Arial"/>
                <w:color w:val="000000"/>
                <w:sz w:val="16"/>
                <w:szCs w:val="16"/>
              </w:rPr>
            </w:pPr>
            <w:r w:rsidRPr="00EE455E">
              <w:rPr>
                <w:rFonts w:ascii="Arial" w:hAnsi="Arial" w:cs="Arial"/>
                <w:color w:val="000000"/>
                <w:sz w:val="16"/>
                <w:szCs w:val="16"/>
              </w:rPr>
              <w:t> </w:t>
            </w:r>
          </w:p>
        </w:tc>
        <w:tc>
          <w:tcPr>
            <w:tcW w:w="106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Estimated</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Budget</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2014-15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2015-16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2016-17</w:t>
            </w:r>
          </w:p>
        </w:tc>
        <w:tc>
          <w:tcPr>
            <w:tcW w:w="100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2017-18</w:t>
            </w:r>
          </w:p>
        </w:tc>
        <w:tc>
          <w:tcPr>
            <w:tcW w:w="100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2018-19</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6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FINANCING ACTIVITIES</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received</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Contributions to the</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Investment Funds</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2,486,250</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13,629,533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11,537,310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7,366,977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8,832,648</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Appropriations</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 xml:space="preserve"> - contributed equity</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2,739,283</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2,000,170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2,158,719</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2,275,262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2,442,542</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received</w:t>
            </w:r>
          </w:p>
        </w:tc>
        <w:tc>
          <w:tcPr>
            <w:tcW w:w="106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5,225,533</w:t>
            </w:r>
          </w:p>
        </w:tc>
        <w:tc>
          <w:tcPr>
            <w:tcW w:w="10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15,629,703</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13,696,029</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9,642,239</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11,275,190</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used</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Distributions from</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the investment funds</w:t>
            </w:r>
            <w:r w:rsidRPr="00EE455E">
              <w:rPr>
                <w:rFonts w:ascii="Arial" w:hAnsi="Arial" w:cs="Arial"/>
                <w:color w:val="000000"/>
                <w:sz w:val="16"/>
                <w:szCs w:val="16"/>
                <w:vertAlign w:val="superscript"/>
              </w:rPr>
              <w:t xml:space="preserve"> 5</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388,766</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9,321,893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1,915,404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4,465,017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7,101,026</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used</w:t>
            </w:r>
          </w:p>
        </w:tc>
        <w:tc>
          <w:tcPr>
            <w:tcW w:w="106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388,766</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9,321,893</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1,915,404</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4,465,017</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7,101,026</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6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 xml:space="preserve">Net cash from (used by) </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financing activities</w:t>
            </w:r>
          </w:p>
        </w:tc>
        <w:tc>
          <w:tcPr>
            <w:tcW w:w="10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4,836,767</w:t>
            </w:r>
          </w:p>
        </w:tc>
        <w:tc>
          <w:tcPr>
            <w:tcW w:w="10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6,307,810</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11,780,625</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5,177,222</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4,174,164</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Net increase (decrease) in</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 xml:space="preserve"> cash held</w:t>
            </w:r>
          </w:p>
        </w:tc>
        <w:tc>
          <w:tcPr>
            <w:tcW w:w="10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5,973,331</w:t>
            </w:r>
          </w:p>
        </w:tc>
        <w:tc>
          <w:tcPr>
            <w:tcW w:w="10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(1,313,021)</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(1,126,096)</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(1,232,978)</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(1,305,319)</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Cash and cash equivalents at</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beginning of reporting period</w:t>
            </w:r>
            <w:r w:rsidRPr="00EE455E">
              <w:rPr>
                <w:rFonts w:ascii="Arial" w:hAnsi="Arial" w:cs="Arial"/>
                <w:color w:val="000000"/>
                <w:sz w:val="16"/>
                <w:szCs w:val="16"/>
                <w:vertAlign w:val="superscript"/>
              </w:rPr>
              <w:t xml:space="preserve"> 9</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4,920</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Cash from Official Public Account for:</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 Appropriations</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7,358,033</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4,817,491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4,827,648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4,997,183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5,185,960</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Cash to Official Public Account for:</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 Appropriations</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(13,336,284)</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(3,504,470)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(3,701,552)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(3,764,205)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(3,880,641)</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and cash equivalents at end</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of reporting period</w:t>
            </w:r>
          </w:p>
        </w:tc>
        <w:tc>
          <w:tcPr>
            <w:tcW w:w="106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w:t>
            </w:r>
          </w:p>
        </w:tc>
        <w:tc>
          <w:tcPr>
            <w:tcW w:w="10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w:t>
            </w:r>
          </w:p>
        </w:tc>
      </w:tr>
    </w:tbl>
    <w:p w:rsidR="005F0FCC" w:rsidRPr="00AB77C4" w:rsidRDefault="005F0FCC" w:rsidP="005F0FCC">
      <w:pPr>
        <w:spacing w:after="0" w:line="240" w:lineRule="auto"/>
        <w:rPr>
          <w:sz w:val="6"/>
          <w:szCs w:val="6"/>
        </w:rPr>
      </w:pPr>
    </w:p>
    <w:p w:rsidR="005F0FCC" w:rsidRDefault="005F0FCC" w:rsidP="005F0FCC">
      <w:pPr>
        <w:pStyle w:val="Source"/>
        <w:spacing w:before="60"/>
      </w:pPr>
      <w:proofErr w:type="gramStart"/>
      <w:r w:rsidRPr="00AB77C4">
        <w:t>Prepared on Australian Accounting Standards basis.</w:t>
      </w:r>
      <w:proofErr w:type="gramEnd"/>
    </w:p>
    <w:p w:rsidR="005F0FCC" w:rsidRPr="00DD06D6" w:rsidRDefault="005F0FCC" w:rsidP="00DD06D6">
      <w:pPr>
        <w:pStyle w:val="SingleParagraph"/>
        <w:spacing w:line="240" w:lineRule="auto"/>
        <w:rPr>
          <w:sz w:val="16"/>
        </w:rPr>
      </w:pPr>
    </w:p>
    <w:p w:rsidR="005F0FCC" w:rsidRPr="00CC3220" w:rsidRDefault="007565C3"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 xml:space="preserve">Estimates include interest earnings for the Australian Government Investment Funds. For more detail on the interest </w:t>
      </w:r>
      <w:proofErr w:type="spellStart"/>
      <w:r w:rsidRPr="00CC3220">
        <w:rPr>
          <w:rFonts w:ascii="Arial" w:hAnsi="Arial" w:cs="Arial"/>
          <w:sz w:val="15"/>
          <w:szCs w:val="15"/>
        </w:rPr>
        <w:t>es</w:t>
      </w:r>
      <w:r w:rsidR="00325FAE">
        <w:rPr>
          <w:rFonts w:ascii="Arial" w:hAnsi="Arial" w:cs="Arial"/>
          <w:sz w:val="15"/>
          <w:szCs w:val="15"/>
        </w:rPr>
        <w:t>k</w:t>
      </w:r>
      <w:r w:rsidRPr="00CC3220">
        <w:rPr>
          <w:rFonts w:ascii="Arial" w:hAnsi="Arial" w:cs="Arial"/>
          <w:sz w:val="15"/>
          <w:szCs w:val="15"/>
        </w:rPr>
        <w:t>timates</w:t>
      </w:r>
      <w:proofErr w:type="spellEnd"/>
      <w:r w:rsidRPr="00CC3220">
        <w:rPr>
          <w:rFonts w:ascii="Arial" w:hAnsi="Arial" w:cs="Arial"/>
          <w:sz w:val="15"/>
          <w:szCs w:val="15"/>
        </w:rPr>
        <w:t xml:space="preserve"> for each fund refer to Tables </w:t>
      </w:r>
      <w:r w:rsidR="00425D9F">
        <w:rPr>
          <w:rFonts w:ascii="Arial" w:hAnsi="Arial" w:cs="Arial"/>
          <w:sz w:val="15"/>
          <w:szCs w:val="15"/>
        </w:rPr>
        <w:t>3.1.2</w:t>
      </w:r>
      <w:r w:rsidRPr="00CC3220">
        <w:rPr>
          <w:rFonts w:ascii="Arial" w:hAnsi="Arial" w:cs="Arial"/>
          <w:sz w:val="15"/>
          <w:szCs w:val="15"/>
        </w:rPr>
        <w:t xml:space="preserve">.1, </w:t>
      </w:r>
      <w:r w:rsidR="00425D9F">
        <w:rPr>
          <w:rFonts w:ascii="Arial" w:hAnsi="Arial" w:cs="Arial"/>
          <w:sz w:val="15"/>
          <w:szCs w:val="15"/>
        </w:rPr>
        <w:t>3.1.2</w:t>
      </w:r>
      <w:r w:rsidRPr="00CC3220">
        <w:rPr>
          <w:rFonts w:ascii="Arial" w:hAnsi="Arial" w:cs="Arial"/>
          <w:sz w:val="15"/>
          <w:szCs w:val="15"/>
        </w:rPr>
        <w:t xml:space="preserve">.2, </w:t>
      </w:r>
      <w:r w:rsidR="00425D9F">
        <w:rPr>
          <w:rFonts w:ascii="Arial" w:hAnsi="Arial" w:cs="Arial"/>
          <w:sz w:val="15"/>
          <w:szCs w:val="15"/>
        </w:rPr>
        <w:t>3.1.2</w:t>
      </w:r>
      <w:r w:rsidRPr="00CC3220">
        <w:rPr>
          <w:rFonts w:ascii="Arial" w:hAnsi="Arial" w:cs="Arial"/>
          <w:sz w:val="15"/>
          <w:szCs w:val="15"/>
        </w:rPr>
        <w:t xml:space="preserve">.3, </w:t>
      </w:r>
      <w:r w:rsidR="00425D9F">
        <w:rPr>
          <w:rFonts w:ascii="Arial" w:hAnsi="Arial" w:cs="Arial"/>
          <w:sz w:val="15"/>
          <w:szCs w:val="15"/>
        </w:rPr>
        <w:t>3.1.2</w:t>
      </w:r>
      <w:r w:rsidRPr="00CC3220">
        <w:rPr>
          <w:rFonts w:ascii="Arial" w:hAnsi="Arial" w:cs="Arial"/>
          <w:sz w:val="15"/>
          <w:szCs w:val="15"/>
        </w:rPr>
        <w:t xml:space="preserve">.4, </w:t>
      </w:r>
      <w:r w:rsidR="00425D9F">
        <w:rPr>
          <w:rFonts w:ascii="Arial" w:hAnsi="Arial" w:cs="Arial"/>
          <w:sz w:val="15"/>
          <w:szCs w:val="15"/>
        </w:rPr>
        <w:t>3.1.2</w:t>
      </w:r>
      <w:r w:rsidRPr="00CC3220">
        <w:rPr>
          <w:rFonts w:ascii="Arial" w:hAnsi="Arial" w:cs="Arial"/>
          <w:sz w:val="15"/>
          <w:szCs w:val="15"/>
        </w:rPr>
        <w:t xml:space="preserve">.5 and </w:t>
      </w:r>
      <w:r w:rsidR="00425D9F">
        <w:rPr>
          <w:rFonts w:ascii="Arial" w:hAnsi="Arial" w:cs="Arial"/>
          <w:sz w:val="15"/>
          <w:szCs w:val="15"/>
        </w:rPr>
        <w:t>3.1.2</w:t>
      </w:r>
      <w:r w:rsidRPr="00CC3220">
        <w:rPr>
          <w:rFonts w:ascii="Arial" w:hAnsi="Arial" w:cs="Arial"/>
          <w:sz w:val="15"/>
          <w:szCs w:val="15"/>
        </w:rPr>
        <w:t>.6.</w:t>
      </w:r>
    </w:p>
    <w:p w:rsidR="005F0FCC" w:rsidRPr="00CC3220" w:rsidRDefault="007565C3"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Primarily represents the CSS and PSS notional employer contributions.</w:t>
      </w:r>
    </w:p>
    <w:p w:rsidR="007565C3" w:rsidRPr="00CC3220" w:rsidRDefault="007565C3"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Primarily represents offsets from the CSS and PSS funds and return of overpaid benefits.</w:t>
      </w:r>
    </w:p>
    <w:p w:rsidR="007565C3" w:rsidRPr="00CC3220" w:rsidRDefault="007565C3"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Represents expenditure on staff employed under the MOP(s) Act.</w:t>
      </w:r>
    </w:p>
    <w:p w:rsidR="007565C3" w:rsidRPr="00CC3220" w:rsidRDefault="003F4F9F"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w:t>
      </w:r>
      <w:r w:rsidR="007565C3" w:rsidRPr="00CC3220">
        <w:rPr>
          <w:rFonts w:ascii="Arial" w:hAnsi="Arial" w:cs="Arial"/>
          <w:sz w:val="15"/>
          <w:szCs w:val="15"/>
        </w:rPr>
        <w:t>Distributions from the Investment Funds</w:t>
      </w:r>
      <w:r w:rsidRPr="00CC3220">
        <w:rPr>
          <w:rFonts w:ascii="Arial" w:hAnsi="Arial" w:cs="Arial"/>
          <w:sz w:val="15"/>
          <w:szCs w:val="15"/>
        </w:rPr>
        <w:t>’</w:t>
      </w:r>
      <w:r w:rsidR="007565C3" w:rsidRPr="00CC3220">
        <w:rPr>
          <w:rFonts w:ascii="Arial" w:hAnsi="Arial" w:cs="Arial"/>
          <w:sz w:val="15"/>
          <w:szCs w:val="15"/>
        </w:rPr>
        <w:t xml:space="preserve"> </w:t>
      </w:r>
      <w:proofErr w:type="gramStart"/>
      <w:r w:rsidR="007565C3" w:rsidRPr="00CC3220">
        <w:rPr>
          <w:rFonts w:ascii="Arial" w:hAnsi="Arial" w:cs="Arial"/>
          <w:sz w:val="15"/>
          <w:szCs w:val="15"/>
        </w:rPr>
        <w:t>represents</w:t>
      </w:r>
      <w:proofErr w:type="gramEnd"/>
      <w:r w:rsidR="007565C3" w:rsidRPr="00CC3220">
        <w:rPr>
          <w:rFonts w:ascii="Arial" w:hAnsi="Arial" w:cs="Arial"/>
          <w:sz w:val="15"/>
          <w:szCs w:val="15"/>
        </w:rPr>
        <w:t xml:space="preserve"> estimates of cash payments from the Funds to other entities and the Consolidated Revenue Fund.</w:t>
      </w:r>
    </w:p>
    <w:p w:rsidR="007565C3" w:rsidRPr="00CC3220" w:rsidRDefault="005D2646"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 xml:space="preserve">Expenditure associated with unfunded liabilities for the </w:t>
      </w:r>
      <w:r w:rsidR="00536008">
        <w:rPr>
          <w:rFonts w:ascii="Arial" w:hAnsi="Arial" w:cs="Arial"/>
          <w:sz w:val="15"/>
          <w:szCs w:val="15"/>
        </w:rPr>
        <w:t>g</w:t>
      </w:r>
      <w:r w:rsidRPr="00CC3220">
        <w:rPr>
          <w:rFonts w:ascii="Arial" w:hAnsi="Arial" w:cs="Arial"/>
          <w:sz w:val="15"/>
          <w:szCs w:val="15"/>
        </w:rPr>
        <w:t>overnment’s civilian superannuation schemes.</w:t>
      </w:r>
    </w:p>
    <w:p w:rsidR="003F4F9F" w:rsidRPr="00CC3220" w:rsidRDefault="005D2646"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The 2014-15 figure relates to turnover of investments he</w:t>
      </w:r>
      <w:r w:rsidR="00FD284B">
        <w:rPr>
          <w:rFonts w:ascii="Arial" w:hAnsi="Arial" w:cs="Arial"/>
          <w:sz w:val="15"/>
          <w:szCs w:val="15"/>
        </w:rPr>
        <w:t>l</w:t>
      </w:r>
      <w:r w:rsidRPr="00CC3220">
        <w:rPr>
          <w:rFonts w:ascii="Arial" w:hAnsi="Arial" w:cs="Arial"/>
          <w:sz w:val="15"/>
          <w:szCs w:val="15"/>
        </w:rPr>
        <w:t xml:space="preserve">d relating to the </w:t>
      </w:r>
      <w:r w:rsidR="00F7451D">
        <w:rPr>
          <w:rFonts w:ascii="Arial" w:hAnsi="Arial" w:cs="Arial"/>
          <w:sz w:val="15"/>
          <w:szCs w:val="15"/>
        </w:rPr>
        <w:t>Australian G</w:t>
      </w:r>
      <w:r w:rsidRPr="00CC3220">
        <w:rPr>
          <w:rFonts w:ascii="Arial" w:hAnsi="Arial" w:cs="Arial"/>
          <w:sz w:val="15"/>
          <w:szCs w:val="15"/>
        </w:rPr>
        <w:t>overnment Investment Funds. Estimates from 2015-16 onwards do not include an estimate of the turnover as this is not possible to estimate.</w:t>
      </w:r>
    </w:p>
    <w:p w:rsidR="003F4F9F" w:rsidRPr="00CC3220" w:rsidRDefault="003F4F9F"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 xml:space="preserve">Amounts in 2014-15 relate to oversubscription on the </w:t>
      </w:r>
      <w:proofErr w:type="spellStart"/>
      <w:r w:rsidRPr="00CC3220">
        <w:rPr>
          <w:rFonts w:ascii="Arial" w:hAnsi="Arial" w:cs="Arial"/>
          <w:sz w:val="15"/>
          <w:szCs w:val="15"/>
        </w:rPr>
        <w:t>Medibank</w:t>
      </w:r>
      <w:proofErr w:type="spellEnd"/>
      <w:r w:rsidRPr="00CC3220">
        <w:rPr>
          <w:rFonts w:ascii="Arial" w:hAnsi="Arial" w:cs="Arial"/>
          <w:sz w:val="15"/>
          <w:szCs w:val="15"/>
        </w:rPr>
        <w:t xml:space="preserve"> Private sale.</w:t>
      </w:r>
    </w:p>
    <w:p w:rsidR="003F4F9F" w:rsidRPr="00CC3220" w:rsidRDefault="005D2646"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 xml:space="preserve">The 2014-15 figures for cash at the beginning and end of the reporting period excludes cash held in the </w:t>
      </w:r>
      <w:r w:rsidR="00425D9F">
        <w:rPr>
          <w:rFonts w:ascii="Arial" w:hAnsi="Arial" w:cs="Arial"/>
          <w:sz w:val="15"/>
          <w:szCs w:val="15"/>
        </w:rPr>
        <w:t>OPA</w:t>
      </w:r>
      <w:r w:rsidRPr="00CC3220">
        <w:rPr>
          <w:rFonts w:ascii="Arial" w:hAnsi="Arial" w:cs="Arial"/>
          <w:sz w:val="15"/>
          <w:szCs w:val="15"/>
        </w:rPr>
        <w:t xml:space="preserve"> as this is not included as part of our estimates.</w:t>
      </w:r>
    </w:p>
    <w:p w:rsidR="003D3DE6" w:rsidRDefault="000A24C4" w:rsidP="00E453F8">
      <w:pPr>
        <w:pStyle w:val="Heading5"/>
      </w:pPr>
      <w:r>
        <w:br w:type="page"/>
      </w:r>
      <w:bookmarkStart w:id="60" w:name="OLE_LINK18"/>
      <w:bookmarkStart w:id="61" w:name="OLE_LINK19"/>
      <w:r w:rsidR="00715A32" w:rsidRPr="00793F50">
        <w:lastRenderedPageBreak/>
        <w:t>Table 3.2.1</w:t>
      </w:r>
      <w:r w:rsidR="00F81CE4" w:rsidRPr="00793F50">
        <w:t>0</w:t>
      </w:r>
      <w:r w:rsidR="00715A32" w:rsidRPr="00793F50">
        <w:t xml:space="preserve">: </w:t>
      </w:r>
      <w:r w:rsidR="003D3DE6">
        <w:t>Schedule of Administered Capital Budget</w:t>
      </w:r>
      <w:r w:rsidR="003D3DE6">
        <w:br/>
        <w:t>for the period ended 30 June</w:t>
      </w:r>
    </w:p>
    <w:tbl>
      <w:tblPr>
        <w:tblW w:w="7520" w:type="dxa"/>
        <w:tblInd w:w="93" w:type="dxa"/>
        <w:tblLook w:val="04A0"/>
      </w:tblPr>
      <w:tblGrid>
        <w:gridCol w:w="2720"/>
        <w:gridCol w:w="960"/>
        <w:gridCol w:w="960"/>
        <w:gridCol w:w="960"/>
        <w:gridCol w:w="960"/>
        <w:gridCol w:w="960"/>
      </w:tblGrid>
      <w:tr w:rsidR="00EE455E" w:rsidRPr="00EE455E" w:rsidTr="00EE455E">
        <w:trPr>
          <w:trHeight w:val="225"/>
        </w:trPr>
        <w:tc>
          <w:tcPr>
            <w:tcW w:w="2720" w:type="dxa"/>
            <w:tcBorders>
              <w:top w:val="single" w:sz="4" w:space="0" w:color="auto"/>
              <w:left w:val="nil"/>
              <w:bottom w:val="nil"/>
              <w:right w:val="nil"/>
            </w:tcBorders>
            <w:shd w:val="clear" w:color="auto" w:fill="auto"/>
            <w:noWrap/>
            <w:vAlign w:val="bottom"/>
            <w:hideMark/>
          </w:tcPr>
          <w:bookmarkEnd w:id="60"/>
          <w:bookmarkEnd w:id="61"/>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Estimated</w:t>
            </w: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Budget</w:t>
            </w:r>
          </w:p>
        </w:tc>
        <w:tc>
          <w:tcPr>
            <w:tcW w:w="96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Forward</w:t>
            </w:r>
          </w:p>
        </w:tc>
        <w:tc>
          <w:tcPr>
            <w:tcW w:w="96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Forward</w:t>
            </w:r>
          </w:p>
        </w:tc>
        <w:tc>
          <w:tcPr>
            <w:tcW w:w="96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Forward</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actual</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2014-15</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2015-16</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2016-17</w:t>
            </w:r>
          </w:p>
        </w:tc>
        <w:tc>
          <w:tcPr>
            <w:tcW w:w="96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2017-18</w:t>
            </w:r>
          </w:p>
        </w:tc>
        <w:tc>
          <w:tcPr>
            <w:tcW w:w="96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2018-19</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6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96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96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96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NEW CAPITAL APPROPRIATIONS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Administered Capital Budget</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4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 xml:space="preserve"> (ACB) - Bill 1</w:t>
            </w:r>
            <w:r w:rsidRPr="00EE455E">
              <w:rPr>
                <w:rFonts w:ascii="Arial" w:hAnsi="Arial" w:cs="Arial"/>
                <w:sz w:val="16"/>
                <w:szCs w:val="16"/>
                <w:vertAlign w:val="superscript"/>
              </w:rPr>
              <w:t xml:space="preserve"> </w:t>
            </w:r>
            <w:proofErr w:type="spellStart"/>
            <w:r w:rsidRPr="00EE455E">
              <w:rPr>
                <w:rFonts w:ascii="Arial" w:hAnsi="Arial" w:cs="Arial"/>
                <w:sz w:val="16"/>
                <w:szCs w:val="16"/>
                <w:vertAlign w:val="superscript"/>
              </w:rPr>
              <w:t>1</w:t>
            </w:r>
            <w:proofErr w:type="spellEnd"/>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4,810</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4,832</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4,929</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5,008</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5,089</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Administered assets and</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4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liabilities - Bill 2</w:t>
            </w:r>
            <w:r w:rsidRPr="00EE455E">
              <w:rPr>
                <w:rFonts w:ascii="Arial" w:hAnsi="Arial" w:cs="Arial"/>
                <w:sz w:val="16"/>
                <w:szCs w:val="16"/>
                <w:vertAlign w:val="superscript"/>
              </w:rPr>
              <w:t xml:space="preserve"> </w:t>
            </w:r>
            <w:proofErr w:type="spellStart"/>
            <w:r w:rsidRPr="00EE455E">
              <w:rPr>
                <w:rFonts w:ascii="Arial" w:hAnsi="Arial" w:cs="Arial"/>
                <w:sz w:val="16"/>
                <w:szCs w:val="16"/>
                <w:vertAlign w:val="superscript"/>
              </w:rPr>
              <w:t>2</w:t>
            </w:r>
            <w:proofErr w:type="spellEnd"/>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1,556</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1,606</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1,684</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1,853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1,094</w:t>
            </w:r>
          </w:p>
        </w:tc>
      </w:tr>
      <w:tr w:rsidR="00EE455E" w:rsidRPr="00EE455E" w:rsidTr="00EE455E">
        <w:trPr>
          <w:trHeight w:val="24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Special capital appropriation</w:t>
            </w:r>
            <w:r w:rsidRPr="00EE455E">
              <w:rPr>
                <w:rFonts w:ascii="Arial" w:hAnsi="Arial" w:cs="Arial"/>
                <w:sz w:val="16"/>
                <w:szCs w:val="16"/>
                <w:vertAlign w:val="superscript"/>
              </w:rPr>
              <w:t xml:space="preserve"> 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2,722,008</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1,983,404</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2,141,963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2,258,258</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2,426,216</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 new capital appropriations</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2,728,374</w:t>
            </w:r>
          </w:p>
        </w:tc>
        <w:tc>
          <w:tcPr>
            <w:tcW w:w="96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1,989,842</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2,148,576</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2,265,119</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2,432,399</w:t>
            </w:r>
          </w:p>
        </w:tc>
      </w:tr>
      <w:tr w:rsidR="00EE455E" w:rsidRPr="00EE455E" w:rsidTr="00EE455E">
        <w:trPr>
          <w:trHeight w:val="6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Provided for:</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Purchase of non-financial assets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5,673</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5,695</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5,792</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5,871</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5,105</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Other Items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2,722,701</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1,984,147</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2,142,784</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2,259,248</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2,427,294</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Total Items</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2,728,374</w:t>
            </w: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1,989,842</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2,148,576</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2,265,119</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2,432,399</w:t>
            </w:r>
          </w:p>
        </w:tc>
      </w:tr>
      <w:tr w:rsidR="00EE455E" w:rsidRPr="00EE455E" w:rsidTr="00EE455E">
        <w:trPr>
          <w:trHeight w:val="6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PURCHASE OF NON-FINANCIAL</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ASSETS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Funded by ACB - Bill 1</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4,810</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4,832</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4,929</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5,008</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5,089</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Funded by Administered assets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and liabilities - Act 2</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863</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863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16</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Funded by special appropriations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10,909</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10,328</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10,143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10,143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10,143</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16,582</w:t>
            </w: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16,023</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15,935</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16,014</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15,248</w:t>
            </w:r>
          </w:p>
        </w:tc>
      </w:tr>
      <w:tr w:rsidR="00EE455E" w:rsidRPr="00EE455E" w:rsidTr="00EE455E">
        <w:trPr>
          <w:trHeight w:val="6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RECONCILIATION OF CASH</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USED TO ACQUIRE ASSETS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TO ASSET MOVEMENT TABLE</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r>
      <w:tr w:rsidR="00EE455E" w:rsidRPr="00EE455E" w:rsidTr="00EE455E">
        <w:trPr>
          <w:trHeight w:val="6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Total asset additions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16,582</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16,023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15,935</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16,014</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15,248</w:t>
            </w:r>
          </w:p>
        </w:tc>
      </w:tr>
      <w:tr w:rsidR="00EE455E" w:rsidRPr="00EE455E" w:rsidTr="00EE455E">
        <w:trPr>
          <w:trHeight w:val="6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 cash used to</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r>
      <w:tr w:rsidR="00EE455E" w:rsidRPr="00EE455E" w:rsidTr="00EE455E">
        <w:trPr>
          <w:trHeight w:val="225"/>
        </w:trPr>
        <w:tc>
          <w:tcPr>
            <w:tcW w:w="272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acquire assets</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16,582</w:t>
            </w:r>
          </w:p>
        </w:tc>
        <w:tc>
          <w:tcPr>
            <w:tcW w:w="96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16,023</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15,935</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16,014</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15,248</w:t>
            </w:r>
          </w:p>
        </w:tc>
      </w:tr>
    </w:tbl>
    <w:p w:rsidR="00085A71" w:rsidRPr="00AB77C4" w:rsidRDefault="00085A71" w:rsidP="002039FE">
      <w:pPr>
        <w:spacing w:after="0" w:line="240" w:lineRule="auto"/>
        <w:rPr>
          <w:sz w:val="6"/>
          <w:szCs w:val="6"/>
        </w:rPr>
      </w:pPr>
    </w:p>
    <w:p w:rsidR="00085A71" w:rsidRDefault="00085A71" w:rsidP="00085A71">
      <w:pPr>
        <w:pStyle w:val="Source"/>
        <w:spacing w:before="60"/>
      </w:pPr>
      <w:proofErr w:type="gramStart"/>
      <w:r w:rsidRPr="00AB77C4">
        <w:t>Prepared on Australian Accounting Standards basis.</w:t>
      </w:r>
      <w:proofErr w:type="gramEnd"/>
    </w:p>
    <w:p w:rsidR="00085A71" w:rsidRDefault="00085A71" w:rsidP="00085A71">
      <w:pPr>
        <w:pStyle w:val="SingleParagraph"/>
      </w:pPr>
    </w:p>
    <w:p w:rsidR="00085A71" w:rsidRPr="00CC3220" w:rsidRDefault="00085A71" w:rsidP="0003235D">
      <w:pPr>
        <w:pStyle w:val="ListParagraph"/>
        <w:numPr>
          <w:ilvl w:val="0"/>
          <w:numId w:val="32"/>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The ACB is used to fund the replacement of assets purchased through Administered Act 1 appropriations.</w:t>
      </w:r>
    </w:p>
    <w:p w:rsidR="00085A71" w:rsidRPr="00CC3220" w:rsidRDefault="00085A71" w:rsidP="0003235D">
      <w:pPr>
        <w:pStyle w:val="ListParagraph"/>
        <w:numPr>
          <w:ilvl w:val="0"/>
          <w:numId w:val="32"/>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Administered Assets and Liabilities includes a capital injection for Acts of Grace liabilities and an injection for capital works on ICON, which is offset through entity contributions that are returned to the budget.</w:t>
      </w:r>
    </w:p>
    <w:p w:rsidR="00085A71" w:rsidRPr="00CC3220" w:rsidRDefault="00085A71" w:rsidP="0003235D">
      <w:pPr>
        <w:pStyle w:val="ListParagraph"/>
        <w:numPr>
          <w:ilvl w:val="0"/>
          <w:numId w:val="32"/>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Represents appropriation to pay unfunded component of superannuation benefits under the PSS and CSS.</w:t>
      </w:r>
    </w:p>
    <w:p w:rsidR="00080F4F" w:rsidRDefault="00080F4F" w:rsidP="00085A71">
      <w:pPr>
        <w:spacing w:after="0" w:line="240" w:lineRule="auto"/>
      </w:pPr>
    </w:p>
    <w:p w:rsidR="00847B16" w:rsidRDefault="00847B16">
      <w:pPr>
        <w:spacing w:after="0" w:line="240" w:lineRule="auto"/>
        <w:jc w:val="left"/>
        <w:rPr>
          <w:rFonts w:ascii="Arial" w:hAnsi="Arial" w:cs="Arial"/>
          <w:b/>
        </w:rPr>
      </w:pPr>
      <w:r>
        <w:rPr>
          <w:rFonts w:cs="Arial"/>
          <w:bCs/>
          <w:iCs/>
        </w:rPr>
        <w:br w:type="page"/>
      </w:r>
    </w:p>
    <w:p w:rsidR="003D3DE6" w:rsidRDefault="00B93884" w:rsidP="00E453F8">
      <w:pPr>
        <w:pStyle w:val="Heading5"/>
      </w:pPr>
      <w:bookmarkStart w:id="62" w:name="OLE_LINK20"/>
      <w:r w:rsidRPr="00793F50">
        <w:lastRenderedPageBreak/>
        <w:t>Table 3.2.1</w:t>
      </w:r>
      <w:r w:rsidR="00F81CE4" w:rsidRPr="00793F50">
        <w:t>1</w:t>
      </w:r>
      <w:r w:rsidR="00CC4867" w:rsidRPr="00793F50">
        <w:t xml:space="preserve">: </w:t>
      </w:r>
      <w:r w:rsidR="003D3DE6">
        <w:t>Budgeted Schedule of Asset Movements – Administered</w:t>
      </w:r>
      <w:r w:rsidR="003D3DE6">
        <w:br/>
        <w:t>for the period ended 30 June 2016</w:t>
      </w:r>
    </w:p>
    <w:tbl>
      <w:tblPr>
        <w:tblW w:w="6940" w:type="dxa"/>
        <w:tblInd w:w="93" w:type="dxa"/>
        <w:tblLook w:val="04A0"/>
      </w:tblPr>
      <w:tblGrid>
        <w:gridCol w:w="3100"/>
        <w:gridCol w:w="880"/>
        <w:gridCol w:w="1240"/>
        <w:gridCol w:w="990"/>
        <w:gridCol w:w="820"/>
      </w:tblGrid>
      <w:tr w:rsidR="00EE455E" w:rsidRPr="00EE455E" w:rsidTr="00EE455E">
        <w:trPr>
          <w:trHeight w:val="210"/>
        </w:trPr>
        <w:tc>
          <w:tcPr>
            <w:tcW w:w="3100" w:type="dxa"/>
            <w:tcBorders>
              <w:top w:val="single" w:sz="4" w:space="0" w:color="auto"/>
              <w:left w:val="nil"/>
              <w:bottom w:val="nil"/>
              <w:right w:val="nil"/>
            </w:tcBorders>
            <w:shd w:val="clear" w:color="auto" w:fill="auto"/>
            <w:noWrap/>
            <w:vAlign w:val="bottom"/>
            <w:hideMark/>
          </w:tcPr>
          <w:bookmarkEnd w:id="62"/>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w:t>
            </w:r>
          </w:p>
        </w:tc>
        <w:tc>
          <w:tcPr>
            <w:tcW w:w="88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Buildings</w:t>
            </w:r>
          </w:p>
        </w:tc>
        <w:tc>
          <w:tcPr>
            <w:tcW w:w="124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Other property,</w:t>
            </w:r>
          </w:p>
        </w:tc>
        <w:tc>
          <w:tcPr>
            <w:tcW w:w="90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Intangibles</w:t>
            </w:r>
          </w:p>
        </w:tc>
        <w:tc>
          <w:tcPr>
            <w:tcW w:w="82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Total</w:t>
            </w:r>
          </w:p>
        </w:tc>
      </w:tr>
      <w:tr w:rsidR="00EE455E" w:rsidRPr="00EE455E" w:rsidTr="00EE455E">
        <w:trPr>
          <w:trHeight w:val="210"/>
        </w:trPr>
        <w:tc>
          <w:tcPr>
            <w:tcW w:w="3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plant and</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r>
      <w:tr w:rsidR="00EE455E" w:rsidRPr="00EE455E" w:rsidTr="00EE455E">
        <w:trPr>
          <w:trHeight w:val="210"/>
        </w:trPr>
        <w:tc>
          <w:tcPr>
            <w:tcW w:w="3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equipment</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124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90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As at 1 July 2015</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xml:space="preserve">Gross book value </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55,291</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79,820</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3,153</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138,264</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xml:space="preserve">Accumulated depreciation/amortisation </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and impairment</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(28,565)</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(11,144)</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(662)</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(40,371)</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Opening net book balance</w:t>
            </w:r>
          </w:p>
        </w:tc>
        <w:tc>
          <w:tcPr>
            <w:tcW w:w="88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26,726</w:t>
            </w:r>
          </w:p>
        </w:tc>
        <w:tc>
          <w:tcPr>
            <w:tcW w:w="124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68,676</w:t>
            </w:r>
          </w:p>
        </w:tc>
        <w:tc>
          <w:tcPr>
            <w:tcW w:w="9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2,491</w:t>
            </w:r>
          </w:p>
        </w:tc>
        <w:tc>
          <w:tcPr>
            <w:tcW w:w="82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97,893</w:t>
            </w:r>
          </w:p>
        </w:tc>
      </w:tr>
      <w:tr w:rsidR="00EE455E" w:rsidRPr="00EE455E" w:rsidTr="00EE455E">
        <w:trPr>
          <w:trHeight w:val="6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CAPITAL ASSET ADDITIONS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Estimated expenditure on</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1"/>
              <w:jc w:val="left"/>
              <w:rPr>
                <w:rFonts w:ascii="Arial" w:hAnsi="Arial" w:cs="Arial"/>
                <w:b/>
                <w:bCs/>
                <w:sz w:val="16"/>
                <w:szCs w:val="16"/>
              </w:rPr>
            </w:pPr>
            <w:r w:rsidRPr="00EE455E">
              <w:rPr>
                <w:rFonts w:ascii="Arial" w:hAnsi="Arial" w:cs="Arial"/>
                <w:b/>
                <w:bCs/>
                <w:sz w:val="16"/>
                <w:szCs w:val="16"/>
              </w:rPr>
              <w:t>new or replacement assets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By purchase - appropriation equity</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863</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863</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By purchase - appropriation ordinary</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3,440</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1,392</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4,832</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300" w:firstLine="480"/>
              <w:jc w:val="left"/>
              <w:rPr>
                <w:rFonts w:ascii="Arial" w:hAnsi="Arial" w:cs="Arial"/>
                <w:sz w:val="16"/>
                <w:szCs w:val="16"/>
              </w:rPr>
            </w:pPr>
            <w:r w:rsidRPr="00EE455E">
              <w:rPr>
                <w:rFonts w:ascii="Arial" w:hAnsi="Arial" w:cs="Arial"/>
                <w:sz w:val="16"/>
                <w:szCs w:val="16"/>
              </w:rPr>
              <w:t>annual services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By purchase - special appropriations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8,272</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2,056</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10,328</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Total additions</w:t>
            </w:r>
          </w:p>
        </w:tc>
        <w:tc>
          <w:tcPr>
            <w:tcW w:w="88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11,712</w:t>
            </w:r>
          </w:p>
        </w:tc>
        <w:tc>
          <w:tcPr>
            <w:tcW w:w="124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4,311</w:t>
            </w:r>
          </w:p>
        </w:tc>
        <w:tc>
          <w:tcPr>
            <w:tcW w:w="9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16,023</w:t>
            </w:r>
          </w:p>
        </w:tc>
      </w:tr>
      <w:tr w:rsidR="00EE455E" w:rsidRPr="00EE455E" w:rsidTr="00EE455E">
        <w:trPr>
          <w:trHeight w:val="6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Other movements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Depreciation/amortisation expense</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(12,086)</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(8,603)</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(20,689)</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Disposals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(200)</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(200)</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Total other movements</w:t>
            </w:r>
          </w:p>
        </w:tc>
        <w:tc>
          <w:tcPr>
            <w:tcW w:w="88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(12,286)</w:t>
            </w:r>
          </w:p>
        </w:tc>
        <w:tc>
          <w:tcPr>
            <w:tcW w:w="124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(8,603)</w:t>
            </w:r>
          </w:p>
        </w:tc>
        <w:tc>
          <w:tcPr>
            <w:tcW w:w="9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(20,889)</w:t>
            </w:r>
          </w:p>
        </w:tc>
      </w:tr>
      <w:tr w:rsidR="00EE455E" w:rsidRPr="00EE455E" w:rsidTr="00EE455E">
        <w:trPr>
          <w:trHeight w:val="6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As at 30 June 2016</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Gross book value</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66,803</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84,131</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3,153</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154,087</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Accumulated depreciation/amortisation</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and impairment</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(40,651)</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(19,747)</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(662)</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(61,060)</w:t>
            </w:r>
          </w:p>
        </w:tc>
      </w:tr>
      <w:tr w:rsidR="00EE455E" w:rsidRPr="00EE455E" w:rsidTr="00EE455E">
        <w:trPr>
          <w:trHeight w:val="210"/>
        </w:trPr>
        <w:tc>
          <w:tcPr>
            <w:tcW w:w="310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Closing net book balance</w:t>
            </w:r>
          </w:p>
        </w:tc>
        <w:tc>
          <w:tcPr>
            <w:tcW w:w="88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26,152</w:t>
            </w:r>
          </w:p>
        </w:tc>
        <w:tc>
          <w:tcPr>
            <w:tcW w:w="124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64,384</w:t>
            </w:r>
          </w:p>
        </w:tc>
        <w:tc>
          <w:tcPr>
            <w:tcW w:w="9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2,491</w:t>
            </w:r>
          </w:p>
        </w:tc>
        <w:tc>
          <w:tcPr>
            <w:tcW w:w="82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93,027</w:t>
            </w:r>
          </w:p>
        </w:tc>
      </w:tr>
    </w:tbl>
    <w:p w:rsidR="001D6BD6" w:rsidRPr="00085A71" w:rsidRDefault="001D6BD6" w:rsidP="001D6BD6">
      <w:pPr>
        <w:spacing w:after="0" w:line="240" w:lineRule="auto"/>
        <w:rPr>
          <w:sz w:val="6"/>
          <w:szCs w:val="6"/>
        </w:rPr>
      </w:pPr>
    </w:p>
    <w:p w:rsidR="00CC4867" w:rsidRDefault="00CC4867" w:rsidP="00CC4867">
      <w:pPr>
        <w:pStyle w:val="Source"/>
      </w:pPr>
      <w:proofErr w:type="gramStart"/>
      <w:r w:rsidRPr="00085A71">
        <w:t>Prepared on Australian Accounting Standards basis.</w:t>
      </w:r>
      <w:proofErr w:type="gramEnd"/>
    </w:p>
    <w:bookmarkEnd w:id="5"/>
    <w:p w:rsidR="0061675B" w:rsidRDefault="0061675B" w:rsidP="00F10D71">
      <w:pPr>
        <w:pStyle w:val="SingleParagraph"/>
      </w:pPr>
    </w:p>
    <w:sectPr w:rsidR="0061675B" w:rsidSect="00AA27AA">
      <w:headerReference w:type="even" r:id="rId12"/>
      <w:headerReference w:type="default" r:id="rId13"/>
      <w:headerReference w:type="first" r:id="rId14"/>
      <w:type w:val="oddPage"/>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75" w:rsidRDefault="00321575" w:rsidP="00C07DEC">
      <w:r>
        <w:separator/>
      </w:r>
    </w:p>
  </w:endnote>
  <w:endnote w:type="continuationSeparator" w:id="0">
    <w:p w:rsidR="00321575" w:rsidRDefault="00321575" w:rsidP="00C07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9C3A5D" w:rsidP="001808A4">
    <w:pPr>
      <w:pStyle w:val="Footer"/>
    </w:pPr>
    <w:fldSimple w:instr=" PAGE   \* MERGEFORMAT ">
      <w:r w:rsidR="00341079">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75" w:rsidRDefault="00321575" w:rsidP="00C07DEC">
      <w:r>
        <w:separator/>
      </w:r>
    </w:p>
  </w:footnote>
  <w:footnote w:type="continuationSeparator" w:id="0">
    <w:p w:rsidR="00321575" w:rsidRDefault="00321575" w:rsidP="00C07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5634C" w:rsidP="00361259">
    <w:pPr>
      <w:pStyle w:val="HeaderEven"/>
    </w:pPr>
    <w:r>
      <w:t>Finance Budget Statements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5634C" w:rsidP="00361259">
    <w:pPr>
      <w:pStyle w:val="HeaderOdd"/>
    </w:pPr>
    <w:r>
      <w:t>Finance Budget Statements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F10D71" w:rsidRDefault="00321575" w:rsidP="00F10D71">
    <w:pPr>
      <w:pStyle w:val="HeaderOd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32A"/>
    <w:multiLevelType w:val="hybridMultilevel"/>
    <w:tmpl w:val="15549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8F0871"/>
    <w:multiLevelType w:val="hybridMultilevel"/>
    <w:tmpl w:val="2F1A5AD4"/>
    <w:lvl w:ilvl="0" w:tplc="AB205F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20EA0"/>
    <w:multiLevelType w:val="singleLevel"/>
    <w:tmpl w:val="3982C1BE"/>
    <w:lvl w:ilvl="0">
      <w:start w:val="1"/>
      <w:numFmt w:val="bullet"/>
      <w:lvlRestart w:val="0"/>
      <w:lvlText w:val="•"/>
      <w:lvlJc w:val="left"/>
      <w:pPr>
        <w:tabs>
          <w:tab w:val="num" w:pos="284"/>
        </w:tabs>
        <w:ind w:left="284" w:hanging="284"/>
      </w:pPr>
      <w:rPr>
        <w:b w:val="0"/>
        <w:i w:val="0"/>
        <w:color w:val="000000"/>
      </w:rPr>
    </w:lvl>
  </w:abstractNum>
  <w:abstractNum w:abstractNumId="3">
    <w:nsid w:val="04862A55"/>
    <w:multiLevelType w:val="hybridMultilevel"/>
    <w:tmpl w:val="94C23C9A"/>
    <w:lvl w:ilvl="0" w:tplc="A0A085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E16BE4"/>
    <w:multiLevelType w:val="hybridMultilevel"/>
    <w:tmpl w:val="A6AA4530"/>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A102D9"/>
    <w:multiLevelType w:val="hybridMultilevel"/>
    <w:tmpl w:val="C36C9B0E"/>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934D57"/>
    <w:multiLevelType w:val="hybridMultilevel"/>
    <w:tmpl w:val="84D2EA4A"/>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nsid w:val="10DD14C3"/>
    <w:multiLevelType w:val="hybridMultilevel"/>
    <w:tmpl w:val="48600C24"/>
    <w:lvl w:ilvl="0" w:tplc="40348D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943BA1"/>
    <w:multiLevelType w:val="hybridMultilevel"/>
    <w:tmpl w:val="8A78BCBC"/>
    <w:lvl w:ilvl="0" w:tplc="FD0C50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A3F16A7"/>
    <w:multiLevelType w:val="hybridMultilevel"/>
    <w:tmpl w:val="7F5EDCBE"/>
    <w:lvl w:ilvl="0" w:tplc="0B4220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EB0CD5"/>
    <w:multiLevelType w:val="hybridMultilevel"/>
    <w:tmpl w:val="0FEC347A"/>
    <w:lvl w:ilvl="0" w:tplc="A5343F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EB74B8"/>
    <w:multiLevelType w:val="hybridMultilevel"/>
    <w:tmpl w:val="350C8036"/>
    <w:lvl w:ilvl="0" w:tplc="3B4AFF1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3BA4584"/>
    <w:multiLevelType w:val="hybridMultilevel"/>
    <w:tmpl w:val="1CD807EC"/>
    <w:lvl w:ilvl="0" w:tplc="7B54D7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247475"/>
    <w:multiLevelType w:val="hybridMultilevel"/>
    <w:tmpl w:val="DC8212C0"/>
    <w:name w:val="ExampleTextBullet22"/>
    <w:lvl w:ilvl="0" w:tplc="50B806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746F3E"/>
    <w:multiLevelType w:val="hybridMultilevel"/>
    <w:tmpl w:val="C2A245AE"/>
    <w:lvl w:ilvl="0" w:tplc="F29C03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E957F0"/>
    <w:multiLevelType w:val="hybridMultilevel"/>
    <w:tmpl w:val="9C120D5E"/>
    <w:lvl w:ilvl="0" w:tplc="84CC24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F8E0765"/>
    <w:multiLevelType w:val="hybridMultilevel"/>
    <w:tmpl w:val="BE7E5F22"/>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1">
    <w:nsid w:val="302D74E7"/>
    <w:multiLevelType w:val="hybridMultilevel"/>
    <w:tmpl w:val="2DEACDAE"/>
    <w:lvl w:ilvl="0" w:tplc="1BF6F5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2A4314"/>
    <w:multiLevelType w:val="hybridMultilevel"/>
    <w:tmpl w:val="2B22443C"/>
    <w:lvl w:ilvl="0" w:tplc="ECECB1F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62906D9"/>
    <w:multiLevelType w:val="hybridMultilevel"/>
    <w:tmpl w:val="DAC2D4A0"/>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nsid w:val="37014FF1"/>
    <w:multiLevelType w:val="hybridMultilevel"/>
    <w:tmpl w:val="D1E61152"/>
    <w:name w:val="ExampleTextBullet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70878E0"/>
    <w:multiLevelType w:val="hybridMultilevel"/>
    <w:tmpl w:val="0D420116"/>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7">
    <w:nsid w:val="3C222161"/>
    <w:multiLevelType w:val="hybridMultilevel"/>
    <w:tmpl w:val="86ECB460"/>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8">
    <w:nsid w:val="3EDD6DF2"/>
    <w:multiLevelType w:val="hybridMultilevel"/>
    <w:tmpl w:val="45F09C68"/>
    <w:lvl w:ilvl="0" w:tplc="883870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F4B727F"/>
    <w:multiLevelType w:val="hybridMultilevel"/>
    <w:tmpl w:val="954C28A0"/>
    <w:lvl w:ilvl="0" w:tplc="95D488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nsid w:val="45CC754B"/>
    <w:multiLevelType w:val="hybridMultilevel"/>
    <w:tmpl w:val="079EB120"/>
    <w:lvl w:ilvl="0" w:tplc="0C090001">
      <w:start w:val="1"/>
      <w:numFmt w:val="bullet"/>
      <w:lvlText w:val=""/>
      <w:lvlJc w:val="left"/>
      <w:pPr>
        <w:ind w:left="720" w:hanging="360"/>
      </w:pPr>
      <w:rPr>
        <w:rFonts w:ascii="Symbol" w:hAnsi="Symbol" w:hint="default"/>
      </w:rPr>
    </w:lvl>
    <w:lvl w:ilvl="1" w:tplc="578E577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564150"/>
    <w:multiLevelType w:val="hybridMultilevel"/>
    <w:tmpl w:val="C6900AF8"/>
    <w:lvl w:ilvl="0" w:tplc="9DDA58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9C24F51"/>
    <w:multiLevelType w:val="hybridMultilevel"/>
    <w:tmpl w:val="262A807C"/>
    <w:lvl w:ilvl="0" w:tplc="EFB240A2">
      <w:start w:val="1"/>
      <w:numFmt w:val="decimal"/>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nsid w:val="4B7054EE"/>
    <w:multiLevelType w:val="hybridMultilevel"/>
    <w:tmpl w:val="D980A9E0"/>
    <w:lvl w:ilvl="0" w:tplc="0C090001">
      <w:start w:val="1"/>
      <w:numFmt w:val="bullet"/>
      <w:lvlText w:val=""/>
      <w:lvlJc w:val="left"/>
      <w:pPr>
        <w:ind w:left="360" w:hanging="360"/>
      </w:pPr>
      <w:rPr>
        <w:rFonts w:ascii="Symbol" w:hAnsi="Symbol" w:hint="default"/>
      </w:rPr>
    </w:lvl>
    <w:lvl w:ilvl="1" w:tplc="578E5778">
      <w:start w:val="1"/>
      <w:numFmt w:val="bullet"/>
      <w:lvlText w:val="–"/>
      <w:lvlJc w:val="left"/>
      <w:pPr>
        <w:ind w:left="1080" w:hanging="360"/>
      </w:pPr>
      <w:rPr>
        <w:rFonts w:ascii="Calibri" w:hAnsi="Calibri"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4BFB18B6"/>
    <w:multiLevelType w:val="hybridMultilevel"/>
    <w:tmpl w:val="6ECE2E7C"/>
    <w:lvl w:ilvl="0" w:tplc="AEB6F9B0">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4E6D6539"/>
    <w:multiLevelType w:val="hybridMultilevel"/>
    <w:tmpl w:val="0F6ADBCA"/>
    <w:lvl w:ilvl="0" w:tplc="D056F1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ED91490"/>
    <w:multiLevelType w:val="hybridMultilevel"/>
    <w:tmpl w:val="097ADF56"/>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8">
    <w:nsid w:val="4F1523DD"/>
    <w:multiLevelType w:val="hybridMultilevel"/>
    <w:tmpl w:val="1414B70E"/>
    <w:lvl w:ilvl="0" w:tplc="1F94FB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F397C02"/>
    <w:multiLevelType w:val="hybridMultilevel"/>
    <w:tmpl w:val="48BA5450"/>
    <w:lvl w:ilvl="0" w:tplc="578E5778">
      <w:start w:val="1"/>
      <w:numFmt w:val="bullet"/>
      <w:lvlText w:val="–"/>
      <w:lvlJc w:val="left"/>
      <w:pPr>
        <w:ind w:left="1080" w:hanging="360"/>
      </w:pPr>
      <w:rPr>
        <w:rFonts w:ascii="Calibri" w:hAnsi="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nsid w:val="4FCE6513"/>
    <w:multiLevelType w:val="hybridMultilevel"/>
    <w:tmpl w:val="9A9E0B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1E57F69"/>
    <w:multiLevelType w:val="hybridMultilevel"/>
    <w:tmpl w:val="8B4420C4"/>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39A0997"/>
    <w:multiLevelType w:val="hybridMultilevel"/>
    <w:tmpl w:val="4C98DB40"/>
    <w:lvl w:ilvl="0" w:tplc="D2D84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4BF626B"/>
    <w:multiLevelType w:val="hybridMultilevel"/>
    <w:tmpl w:val="FDD0A484"/>
    <w:lvl w:ilvl="0" w:tplc="01E276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66766B5"/>
    <w:multiLevelType w:val="hybridMultilevel"/>
    <w:tmpl w:val="02C6CCEC"/>
    <w:lvl w:ilvl="0" w:tplc="ECECB1FA">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5">
    <w:nsid w:val="56D87015"/>
    <w:multiLevelType w:val="hybridMultilevel"/>
    <w:tmpl w:val="46B85734"/>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nsid w:val="5A467DDE"/>
    <w:multiLevelType w:val="hybridMultilevel"/>
    <w:tmpl w:val="65E680EE"/>
    <w:lvl w:ilvl="0" w:tplc="ECECB1FA">
      <w:start w:val="1"/>
      <w:numFmt w:val="bullet"/>
      <w:lvlText w:val=""/>
      <w:lvlJc w:val="left"/>
      <w:pPr>
        <w:tabs>
          <w:tab w:val="num" w:pos="360"/>
        </w:tabs>
        <w:ind w:left="360" w:hanging="360"/>
      </w:pPr>
      <w:rPr>
        <w:rFonts w:ascii="Symbol" w:hAnsi="Symbol" w:hint="default"/>
      </w:rPr>
    </w:lvl>
    <w:lvl w:ilvl="1" w:tplc="0C090019">
      <w:start w:val="8250"/>
      <w:numFmt w:val="bullet"/>
      <w:lvlText w:val="-"/>
      <w:lvlJc w:val="left"/>
      <w:pPr>
        <w:tabs>
          <w:tab w:val="num" w:pos="1080"/>
        </w:tabs>
        <w:ind w:left="1080" w:hanging="360"/>
      </w:pPr>
      <w:rPr>
        <w:rFonts w:ascii="Arial" w:eastAsia="Times New Roman" w:hAnsi="Arial" w:hint="default"/>
      </w:rPr>
    </w:lvl>
    <w:lvl w:ilvl="2" w:tplc="0C09001B" w:tentative="1">
      <w:start w:val="1"/>
      <w:numFmt w:val="bullet"/>
      <w:lvlText w:val=""/>
      <w:lvlJc w:val="left"/>
      <w:pPr>
        <w:tabs>
          <w:tab w:val="num" w:pos="1800"/>
        </w:tabs>
        <w:ind w:left="1800" w:hanging="360"/>
      </w:pPr>
      <w:rPr>
        <w:rFonts w:ascii="Wingdings" w:hAnsi="Wingdings" w:hint="default"/>
      </w:rPr>
    </w:lvl>
    <w:lvl w:ilvl="3" w:tplc="0C09000F" w:tentative="1">
      <w:start w:val="1"/>
      <w:numFmt w:val="bullet"/>
      <w:lvlText w:val=""/>
      <w:lvlJc w:val="left"/>
      <w:pPr>
        <w:tabs>
          <w:tab w:val="num" w:pos="2520"/>
        </w:tabs>
        <w:ind w:left="2520" w:hanging="360"/>
      </w:pPr>
      <w:rPr>
        <w:rFonts w:ascii="Symbol" w:hAnsi="Symbol" w:hint="default"/>
      </w:rPr>
    </w:lvl>
    <w:lvl w:ilvl="4" w:tplc="0C090019" w:tentative="1">
      <w:start w:val="1"/>
      <w:numFmt w:val="bullet"/>
      <w:lvlText w:val="o"/>
      <w:lvlJc w:val="left"/>
      <w:pPr>
        <w:tabs>
          <w:tab w:val="num" w:pos="3240"/>
        </w:tabs>
        <w:ind w:left="3240" w:hanging="360"/>
      </w:pPr>
      <w:rPr>
        <w:rFonts w:ascii="Courier New" w:hAnsi="Courier New" w:hint="default"/>
      </w:rPr>
    </w:lvl>
    <w:lvl w:ilvl="5" w:tplc="0C09001B" w:tentative="1">
      <w:start w:val="1"/>
      <w:numFmt w:val="bullet"/>
      <w:lvlText w:val=""/>
      <w:lvlJc w:val="left"/>
      <w:pPr>
        <w:tabs>
          <w:tab w:val="num" w:pos="3960"/>
        </w:tabs>
        <w:ind w:left="3960" w:hanging="360"/>
      </w:pPr>
      <w:rPr>
        <w:rFonts w:ascii="Wingdings" w:hAnsi="Wingdings" w:hint="default"/>
      </w:rPr>
    </w:lvl>
    <w:lvl w:ilvl="6" w:tplc="0C09000F" w:tentative="1">
      <w:start w:val="1"/>
      <w:numFmt w:val="bullet"/>
      <w:lvlText w:val=""/>
      <w:lvlJc w:val="left"/>
      <w:pPr>
        <w:tabs>
          <w:tab w:val="num" w:pos="4680"/>
        </w:tabs>
        <w:ind w:left="4680" w:hanging="360"/>
      </w:pPr>
      <w:rPr>
        <w:rFonts w:ascii="Symbol" w:hAnsi="Symbol" w:hint="default"/>
      </w:rPr>
    </w:lvl>
    <w:lvl w:ilvl="7" w:tplc="0C090019" w:tentative="1">
      <w:start w:val="1"/>
      <w:numFmt w:val="bullet"/>
      <w:lvlText w:val="o"/>
      <w:lvlJc w:val="left"/>
      <w:pPr>
        <w:tabs>
          <w:tab w:val="num" w:pos="5400"/>
        </w:tabs>
        <w:ind w:left="5400" w:hanging="360"/>
      </w:pPr>
      <w:rPr>
        <w:rFonts w:ascii="Courier New" w:hAnsi="Courier New" w:hint="default"/>
      </w:rPr>
    </w:lvl>
    <w:lvl w:ilvl="8" w:tplc="0C09001B" w:tentative="1">
      <w:start w:val="1"/>
      <w:numFmt w:val="bullet"/>
      <w:lvlText w:val=""/>
      <w:lvlJc w:val="left"/>
      <w:pPr>
        <w:tabs>
          <w:tab w:val="num" w:pos="6120"/>
        </w:tabs>
        <w:ind w:left="6120" w:hanging="360"/>
      </w:pPr>
      <w:rPr>
        <w:rFonts w:ascii="Wingdings" w:hAnsi="Wingdings" w:hint="default"/>
      </w:rPr>
    </w:lvl>
  </w:abstractNum>
  <w:abstractNum w:abstractNumId="48">
    <w:nsid w:val="638B1F33"/>
    <w:multiLevelType w:val="hybridMultilevel"/>
    <w:tmpl w:val="F91EBB54"/>
    <w:lvl w:ilvl="0" w:tplc="A1C8137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59E325D"/>
    <w:multiLevelType w:val="hybridMultilevel"/>
    <w:tmpl w:val="CFD0DCA4"/>
    <w:lvl w:ilvl="0" w:tplc="8F7C1108">
      <w:start w:val="1"/>
      <w:numFmt w:val="decimal"/>
      <w:lvlText w:val="%1."/>
      <w:lvlJc w:val="left"/>
      <w:pPr>
        <w:ind w:left="763" w:hanging="360"/>
      </w:pPr>
      <w:rPr>
        <w:rFonts w:hint="default"/>
      </w:r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50">
    <w:nsid w:val="661B73FA"/>
    <w:multiLevelType w:val="hybridMultilevel"/>
    <w:tmpl w:val="F4F883B2"/>
    <w:lvl w:ilvl="0" w:tplc="B94C22A8">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nsid w:val="674A4487"/>
    <w:multiLevelType w:val="hybridMultilevel"/>
    <w:tmpl w:val="5E02F696"/>
    <w:lvl w:ilvl="0" w:tplc="AC70D3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3">
    <w:nsid w:val="6B6957C0"/>
    <w:multiLevelType w:val="hybridMultilevel"/>
    <w:tmpl w:val="359E449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4">
    <w:nsid w:val="6BBD6F4D"/>
    <w:multiLevelType w:val="hybridMultilevel"/>
    <w:tmpl w:val="121622A2"/>
    <w:lvl w:ilvl="0" w:tplc="C6A89C1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CA23F04"/>
    <w:multiLevelType w:val="hybridMultilevel"/>
    <w:tmpl w:val="554233E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nsid w:val="700422E7"/>
    <w:multiLevelType w:val="hybridMultilevel"/>
    <w:tmpl w:val="426CA626"/>
    <w:lvl w:ilvl="0" w:tplc="F926E2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0A77720"/>
    <w:multiLevelType w:val="hybridMultilevel"/>
    <w:tmpl w:val="B7604D42"/>
    <w:lvl w:ilvl="0" w:tplc="F2B6BA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14E01C1"/>
    <w:multiLevelType w:val="hybridMultilevel"/>
    <w:tmpl w:val="0C2A1A7A"/>
    <w:lvl w:ilvl="0" w:tplc="5874F1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3A85323"/>
    <w:multiLevelType w:val="hybridMultilevel"/>
    <w:tmpl w:val="3626DD48"/>
    <w:lvl w:ilvl="0" w:tplc="052490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45707A6"/>
    <w:multiLevelType w:val="hybridMultilevel"/>
    <w:tmpl w:val="327877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2">
    <w:nsid w:val="756E4F5B"/>
    <w:multiLevelType w:val="hybridMultilevel"/>
    <w:tmpl w:val="529C952E"/>
    <w:lvl w:ilvl="0" w:tplc="9D38DF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653321C"/>
    <w:multiLevelType w:val="hybridMultilevel"/>
    <w:tmpl w:val="1EFC2F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8343153"/>
    <w:multiLevelType w:val="hybridMultilevel"/>
    <w:tmpl w:val="0FA80DFC"/>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9712557"/>
    <w:multiLevelType w:val="hybridMultilevel"/>
    <w:tmpl w:val="6D2C8C94"/>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6">
    <w:nsid w:val="7E042717"/>
    <w:multiLevelType w:val="hybridMultilevel"/>
    <w:tmpl w:val="AEC06842"/>
    <w:lvl w:ilvl="0" w:tplc="5A84F3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E1B1954"/>
    <w:multiLevelType w:val="hybridMultilevel"/>
    <w:tmpl w:val="E362C9AE"/>
    <w:lvl w:ilvl="0" w:tplc="BCEC27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F61056A"/>
    <w:multiLevelType w:val="hybridMultilevel"/>
    <w:tmpl w:val="AF783F22"/>
    <w:lvl w:ilvl="0" w:tplc="4C6644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8"/>
  </w:num>
  <w:num w:numId="3">
    <w:abstractNumId w:val="52"/>
  </w:num>
  <w:num w:numId="4">
    <w:abstractNumId w:val="26"/>
    <w:lvlOverride w:ilvl="0">
      <w:startOverride w:val="1"/>
    </w:lvlOverride>
  </w:num>
  <w:num w:numId="5">
    <w:abstractNumId w:val="61"/>
  </w:num>
  <w:num w:numId="6">
    <w:abstractNumId w:val="19"/>
  </w:num>
  <w:num w:numId="7">
    <w:abstractNumId w:val="46"/>
  </w:num>
  <w:num w:numId="8">
    <w:abstractNumId w:val="6"/>
  </w:num>
  <w:num w:numId="9">
    <w:abstractNumId w:val="53"/>
  </w:num>
  <w:num w:numId="1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5"/>
  </w:num>
  <w:num w:numId="15">
    <w:abstractNumId w:val="50"/>
  </w:num>
  <w:num w:numId="16">
    <w:abstractNumId w:val="17"/>
  </w:num>
  <w:num w:numId="17">
    <w:abstractNumId w:val="45"/>
  </w:num>
  <w:num w:numId="18">
    <w:abstractNumId w:val="21"/>
  </w:num>
  <w:num w:numId="19">
    <w:abstractNumId w:val="64"/>
  </w:num>
  <w:num w:numId="20">
    <w:abstractNumId w:val="4"/>
  </w:num>
  <w:num w:numId="21">
    <w:abstractNumId w:val="12"/>
  </w:num>
  <w:num w:numId="22">
    <w:abstractNumId w:val="32"/>
  </w:num>
  <w:num w:numId="23">
    <w:abstractNumId w:val="33"/>
  </w:num>
  <w:num w:numId="24">
    <w:abstractNumId w:val="3"/>
  </w:num>
  <w:num w:numId="25">
    <w:abstractNumId w:val="49"/>
  </w:num>
  <w:num w:numId="26">
    <w:abstractNumId w:val="10"/>
  </w:num>
  <w:num w:numId="27">
    <w:abstractNumId w:val="11"/>
  </w:num>
  <w:num w:numId="28">
    <w:abstractNumId w:val="48"/>
  </w:num>
  <w:num w:numId="29">
    <w:abstractNumId w:val="68"/>
  </w:num>
  <w:num w:numId="30">
    <w:abstractNumId w:val="67"/>
  </w:num>
  <w:num w:numId="31">
    <w:abstractNumId w:val="15"/>
  </w:num>
  <w:num w:numId="32">
    <w:abstractNumId w:val="28"/>
  </w:num>
  <w:num w:numId="33">
    <w:abstractNumId w:val="36"/>
  </w:num>
  <w:num w:numId="34">
    <w:abstractNumId w:val="59"/>
  </w:num>
  <w:num w:numId="35">
    <w:abstractNumId w:val="56"/>
  </w:num>
  <w:num w:numId="36">
    <w:abstractNumId w:val="7"/>
  </w:num>
  <w:num w:numId="37">
    <w:abstractNumId w:val="41"/>
  </w:num>
  <w:num w:numId="38">
    <w:abstractNumId w:val="25"/>
  </w:num>
  <w:num w:numId="39">
    <w:abstractNumId w:val="5"/>
  </w:num>
  <w:num w:numId="40">
    <w:abstractNumId w:val="44"/>
  </w:num>
  <w:num w:numId="41">
    <w:abstractNumId w:val="2"/>
  </w:num>
  <w:num w:numId="42">
    <w:abstractNumId w:val="37"/>
  </w:num>
  <w:num w:numId="43">
    <w:abstractNumId w:val="23"/>
  </w:num>
  <w:num w:numId="44">
    <w:abstractNumId w:val="27"/>
  </w:num>
  <w:num w:numId="45">
    <w:abstractNumId w:val="20"/>
  </w:num>
  <w:num w:numId="46">
    <w:abstractNumId w:val="65"/>
  </w:num>
  <w:num w:numId="47">
    <w:abstractNumId w:val="54"/>
  </w:num>
  <w:num w:numId="48">
    <w:abstractNumId w:val="47"/>
  </w:num>
  <w:num w:numId="49">
    <w:abstractNumId w:val="60"/>
  </w:num>
  <w:num w:numId="50">
    <w:abstractNumId w:val="40"/>
  </w:num>
  <w:num w:numId="51">
    <w:abstractNumId w:val="42"/>
  </w:num>
  <w:num w:numId="52">
    <w:abstractNumId w:val="38"/>
  </w:num>
  <w:num w:numId="53">
    <w:abstractNumId w:val="22"/>
  </w:num>
  <w:num w:numId="54">
    <w:abstractNumId w:val="51"/>
  </w:num>
  <w:num w:numId="55">
    <w:abstractNumId w:val="0"/>
  </w:num>
  <w:num w:numId="56">
    <w:abstractNumId w:val="18"/>
  </w:num>
  <w:num w:numId="57">
    <w:abstractNumId w:val="57"/>
  </w:num>
  <w:num w:numId="58">
    <w:abstractNumId w:val="43"/>
  </w:num>
  <w:num w:numId="59">
    <w:abstractNumId w:val="63"/>
  </w:num>
  <w:num w:numId="60">
    <w:abstractNumId w:val="66"/>
  </w:num>
  <w:num w:numId="61">
    <w:abstractNumId w:val="62"/>
  </w:num>
  <w:num w:numId="62">
    <w:abstractNumId w:val="29"/>
  </w:num>
  <w:num w:numId="63">
    <w:abstractNumId w:val="13"/>
  </w:num>
  <w:num w:numId="64">
    <w:abstractNumId w:val="31"/>
  </w:num>
  <w:num w:numId="65">
    <w:abstractNumId w:val="1"/>
  </w:num>
  <w:num w:numId="66">
    <w:abstractNumId w:val="58"/>
  </w:num>
  <w:num w:numId="67">
    <w:abstractNumId w:val="5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attachedTemplate r:id="rId1"/>
  <w:stylePaneFormatFilter w:val="3001"/>
  <w:defaultTabStop w:val="567"/>
  <w:evenAndOddHeaders/>
  <w:drawingGridHorizontalSpacing w:val="100"/>
  <w:displayHorizontalDrawingGridEvery w:val="2"/>
  <w:noPunctuationKerning/>
  <w:characterSpacingControl w:val="doNotCompress"/>
  <w:hdrShapeDefaults>
    <o:shapedefaults v:ext="edit" spidmax="131073"/>
  </w:hdrShapeDefaults>
  <w:footnotePr>
    <w:footnote w:id="-1"/>
    <w:footnote w:id="0"/>
  </w:footnotePr>
  <w:endnotePr>
    <w:endnote w:id="-1"/>
    <w:endnote w:id="0"/>
  </w:endnotePr>
  <w:compat/>
  <w:rsids>
    <w:rsidRoot w:val="0010657F"/>
    <w:rsid w:val="000000C3"/>
    <w:rsid w:val="00003AC4"/>
    <w:rsid w:val="00006AE4"/>
    <w:rsid w:val="0000711B"/>
    <w:rsid w:val="00007ECB"/>
    <w:rsid w:val="00012BB0"/>
    <w:rsid w:val="00013D25"/>
    <w:rsid w:val="0001438C"/>
    <w:rsid w:val="00016D95"/>
    <w:rsid w:val="00017619"/>
    <w:rsid w:val="000212E6"/>
    <w:rsid w:val="0002139C"/>
    <w:rsid w:val="000216A7"/>
    <w:rsid w:val="00021DA6"/>
    <w:rsid w:val="000220B0"/>
    <w:rsid w:val="000260CB"/>
    <w:rsid w:val="000300D7"/>
    <w:rsid w:val="00030FDA"/>
    <w:rsid w:val="00031C46"/>
    <w:rsid w:val="0003235D"/>
    <w:rsid w:val="00032AAF"/>
    <w:rsid w:val="00036095"/>
    <w:rsid w:val="000364F3"/>
    <w:rsid w:val="000369AC"/>
    <w:rsid w:val="0003724F"/>
    <w:rsid w:val="000373CB"/>
    <w:rsid w:val="000400ED"/>
    <w:rsid w:val="000413D4"/>
    <w:rsid w:val="00042FDD"/>
    <w:rsid w:val="00043832"/>
    <w:rsid w:val="00044568"/>
    <w:rsid w:val="00045667"/>
    <w:rsid w:val="00050182"/>
    <w:rsid w:val="00050630"/>
    <w:rsid w:val="00052423"/>
    <w:rsid w:val="00054A04"/>
    <w:rsid w:val="00054CC3"/>
    <w:rsid w:val="0005600E"/>
    <w:rsid w:val="00056260"/>
    <w:rsid w:val="0005722F"/>
    <w:rsid w:val="00060890"/>
    <w:rsid w:val="00063C44"/>
    <w:rsid w:val="00063CE1"/>
    <w:rsid w:val="00065053"/>
    <w:rsid w:val="000655E4"/>
    <w:rsid w:val="000656AD"/>
    <w:rsid w:val="00065C71"/>
    <w:rsid w:val="00065EBA"/>
    <w:rsid w:val="00067B6F"/>
    <w:rsid w:val="00067E1D"/>
    <w:rsid w:val="0007064C"/>
    <w:rsid w:val="000712EE"/>
    <w:rsid w:val="000725C0"/>
    <w:rsid w:val="00072EB6"/>
    <w:rsid w:val="00074CE6"/>
    <w:rsid w:val="0007657B"/>
    <w:rsid w:val="00077277"/>
    <w:rsid w:val="0007743A"/>
    <w:rsid w:val="00077BAC"/>
    <w:rsid w:val="00080069"/>
    <w:rsid w:val="00080D8B"/>
    <w:rsid w:val="00080F4F"/>
    <w:rsid w:val="00081A28"/>
    <w:rsid w:val="00082159"/>
    <w:rsid w:val="0008449F"/>
    <w:rsid w:val="00085732"/>
    <w:rsid w:val="00085A71"/>
    <w:rsid w:val="0009050F"/>
    <w:rsid w:val="000924A7"/>
    <w:rsid w:val="00094B28"/>
    <w:rsid w:val="00096DEE"/>
    <w:rsid w:val="00097063"/>
    <w:rsid w:val="000A08A5"/>
    <w:rsid w:val="000A10F5"/>
    <w:rsid w:val="000A1558"/>
    <w:rsid w:val="000A19AA"/>
    <w:rsid w:val="000A1A89"/>
    <w:rsid w:val="000A1C91"/>
    <w:rsid w:val="000A24C4"/>
    <w:rsid w:val="000A345B"/>
    <w:rsid w:val="000A372A"/>
    <w:rsid w:val="000A395D"/>
    <w:rsid w:val="000A56A5"/>
    <w:rsid w:val="000A5C86"/>
    <w:rsid w:val="000A6897"/>
    <w:rsid w:val="000A6DBE"/>
    <w:rsid w:val="000B0302"/>
    <w:rsid w:val="000B1FC4"/>
    <w:rsid w:val="000B2404"/>
    <w:rsid w:val="000B2C78"/>
    <w:rsid w:val="000B36D8"/>
    <w:rsid w:val="000B3B7D"/>
    <w:rsid w:val="000B6F18"/>
    <w:rsid w:val="000C19EF"/>
    <w:rsid w:val="000C1AC9"/>
    <w:rsid w:val="000C2D7D"/>
    <w:rsid w:val="000C3B86"/>
    <w:rsid w:val="000C6FB8"/>
    <w:rsid w:val="000C7C76"/>
    <w:rsid w:val="000D084B"/>
    <w:rsid w:val="000D13E5"/>
    <w:rsid w:val="000D1617"/>
    <w:rsid w:val="000D2B76"/>
    <w:rsid w:val="000D2E3D"/>
    <w:rsid w:val="000D43DE"/>
    <w:rsid w:val="000D58A1"/>
    <w:rsid w:val="000D644C"/>
    <w:rsid w:val="000D6EDF"/>
    <w:rsid w:val="000E0A85"/>
    <w:rsid w:val="000E212B"/>
    <w:rsid w:val="000E68E3"/>
    <w:rsid w:val="000E6DDB"/>
    <w:rsid w:val="000E74A6"/>
    <w:rsid w:val="000E7A66"/>
    <w:rsid w:val="000F03B1"/>
    <w:rsid w:val="000F08AE"/>
    <w:rsid w:val="000F2D33"/>
    <w:rsid w:val="000F43F4"/>
    <w:rsid w:val="000F440E"/>
    <w:rsid w:val="000F5468"/>
    <w:rsid w:val="000F6647"/>
    <w:rsid w:val="000F73B7"/>
    <w:rsid w:val="000F7E7B"/>
    <w:rsid w:val="001002F8"/>
    <w:rsid w:val="00102650"/>
    <w:rsid w:val="00102654"/>
    <w:rsid w:val="001028CC"/>
    <w:rsid w:val="001045F9"/>
    <w:rsid w:val="0010472B"/>
    <w:rsid w:val="0010657F"/>
    <w:rsid w:val="00112D0F"/>
    <w:rsid w:val="00112D24"/>
    <w:rsid w:val="001133E0"/>
    <w:rsid w:val="00115DE5"/>
    <w:rsid w:val="001163D6"/>
    <w:rsid w:val="0011726A"/>
    <w:rsid w:val="0012022D"/>
    <w:rsid w:val="00120B5E"/>
    <w:rsid w:val="00121EB0"/>
    <w:rsid w:val="0012228D"/>
    <w:rsid w:val="00123514"/>
    <w:rsid w:val="00123925"/>
    <w:rsid w:val="00126187"/>
    <w:rsid w:val="00126641"/>
    <w:rsid w:val="001270E3"/>
    <w:rsid w:val="00130BB7"/>
    <w:rsid w:val="00133D3A"/>
    <w:rsid w:val="001352EE"/>
    <w:rsid w:val="00135505"/>
    <w:rsid w:val="00136827"/>
    <w:rsid w:val="001375D4"/>
    <w:rsid w:val="0014131A"/>
    <w:rsid w:val="001433DB"/>
    <w:rsid w:val="00143E88"/>
    <w:rsid w:val="001455D8"/>
    <w:rsid w:val="00147347"/>
    <w:rsid w:val="0014790A"/>
    <w:rsid w:val="00151A81"/>
    <w:rsid w:val="00151ABB"/>
    <w:rsid w:val="00151ADA"/>
    <w:rsid w:val="0015261C"/>
    <w:rsid w:val="00153C7F"/>
    <w:rsid w:val="00154447"/>
    <w:rsid w:val="00154F5B"/>
    <w:rsid w:val="00155DA6"/>
    <w:rsid w:val="00160CDF"/>
    <w:rsid w:val="00161DAC"/>
    <w:rsid w:val="00162B55"/>
    <w:rsid w:val="00162D8B"/>
    <w:rsid w:val="0016371C"/>
    <w:rsid w:val="001638E9"/>
    <w:rsid w:val="001648FA"/>
    <w:rsid w:val="00165824"/>
    <w:rsid w:val="00167749"/>
    <w:rsid w:val="001677A5"/>
    <w:rsid w:val="00171A85"/>
    <w:rsid w:val="00174565"/>
    <w:rsid w:val="00175BB3"/>
    <w:rsid w:val="00177A9A"/>
    <w:rsid w:val="001808A4"/>
    <w:rsid w:val="00180CBF"/>
    <w:rsid w:val="001815A5"/>
    <w:rsid w:val="00186850"/>
    <w:rsid w:val="0018704C"/>
    <w:rsid w:val="001904A5"/>
    <w:rsid w:val="0019199B"/>
    <w:rsid w:val="001923C8"/>
    <w:rsid w:val="001939FF"/>
    <w:rsid w:val="00194DE8"/>
    <w:rsid w:val="00197990"/>
    <w:rsid w:val="001A004D"/>
    <w:rsid w:val="001A0106"/>
    <w:rsid w:val="001A02CB"/>
    <w:rsid w:val="001A11DB"/>
    <w:rsid w:val="001A2458"/>
    <w:rsid w:val="001A33F4"/>
    <w:rsid w:val="001A4F7C"/>
    <w:rsid w:val="001A6256"/>
    <w:rsid w:val="001A789B"/>
    <w:rsid w:val="001B03CC"/>
    <w:rsid w:val="001B05E5"/>
    <w:rsid w:val="001B0C75"/>
    <w:rsid w:val="001B44C2"/>
    <w:rsid w:val="001B659F"/>
    <w:rsid w:val="001B712D"/>
    <w:rsid w:val="001B7399"/>
    <w:rsid w:val="001B7655"/>
    <w:rsid w:val="001B7F09"/>
    <w:rsid w:val="001C1166"/>
    <w:rsid w:val="001C261E"/>
    <w:rsid w:val="001C3AC7"/>
    <w:rsid w:val="001C67C2"/>
    <w:rsid w:val="001C7B78"/>
    <w:rsid w:val="001D0BA6"/>
    <w:rsid w:val="001D1942"/>
    <w:rsid w:val="001D1DDB"/>
    <w:rsid w:val="001D53EA"/>
    <w:rsid w:val="001D5C5B"/>
    <w:rsid w:val="001D6BD6"/>
    <w:rsid w:val="001D6F7C"/>
    <w:rsid w:val="001E12A5"/>
    <w:rsid w:val="001E1EDB"/>
    <w:rsid w:val="001E31A4"/>
    <w:rsid w:val="001E3A18"/>
    <w:rsid w:val="001E717D"/>
    <w:rsid w:val="001E71F5"/>
    <w:rsid w:val="001E7D86"/>
    <w:rsid w:val="001F25B8"/>
    <w:rsid w:val="001F377B"/>
    <w:rsid w:val="001F3CF9"/>
    <w:rsid w:val="001F55E5"/>
    <w:rsid w:val="001F5CB9"/>
    <w:rsid w:val="00200DC3"/>
    <w:rsid w:val="002039FE"/>
    <w:rsid w:val="002050B0"/>
    <w:rsid w:val="0020514C"/>
    <w:rsid w:val="00205D80"/>
    <w:rsid w:val="0021093F"/>
    <w:rsid w:val="00211FFE"/>
    <w:rsid w:val="002133CA"/>
    <w:rsid w:val="00213CAF"/>
    <w:rsid w:val="00213E2E"/>
    <w:rsid w:val="00215783"/>
    <w:rsid w:val="00215932"/>
    <w:rsid w:val="0021644B"/>
    <w:rsid w:val="00216DC9"/>
    <w:rsid w:val="00217BAC"/>
    <w:rsid w:val="00217CA0"/>
    <w:rsid w:val="002202EB"/>
    <w:rsid w:val="00220FCF"/>
    <w:rsid w:val="002213AD"/>
    <w:rsid w:val="00221705"/>
    <w:rsid w:val="002329C3"/>
    <w:rsid w:val="002332AE"/>
    <w:rsid w:val="002333C2"/>
    <w:rsid w:val="00233676"/>
    <w:rsid w:val="00234040"/>
    <w:rsid w:val="00241245"/>
    <w:rsid w:val="00244D22"/>
    <w:rsid w:val="00246C09"/>
    <w:rsid w:val="00247262"/>
    <w:rsid w:val="002535FB"/>
    <w:rsid w:val="00255DCB"/>
    <w:rsid w:val="0025616B"/>
    <w:rsid w:val="00257FF4"/>
    <w:rsid w:val="002608CE"/>
    <w:rsid w:val="00260E55"/>
    <w:rsid w:val="0026279C"/>
    <w:rsid w:val="00262CD3"/>
    <w:rsid w:val="00265289"/>
    <w:rsid w:val="00266613"/>
    <w:rsid w:val="00266FE9"/>
    <w:rsid w:val="00272396"/>
    <w:rsid w:val="00274835"/>
    <w:rsid w:val="0027614D"/>
    <w:rsid w:val="00276DA6"/>
    <w:rsid w:val="00281CF6"/>
    <w:rsid w:val="00282943"/>
    <w:rsid w:val="0028359B"/>
    <w:rsid w:val="00285622"/>
    <w:rsid w:val="002857FE"/>
    <w:rsid w:val="00292D6A"/>
    <w:rsid w:val="0029312A"/>
    <w:rsid w:val="0029325C"/>
    <w:rsid w:val="00293B2D"/>
    <w:rsid w:val="002960B7"/>
    <w:rsid w:val="00297824"/>
    <w:rsid w:val="002A153F"/>
    <w:rsid w:val="002A40DC"/>
    <w:rsid w:val="002A5329"/>
    <w:rsid w:val="002A59CE"/>
    <w:rsid w:val="002A5C2D"/>
    <w:rsid w:val="002A61E5"/>
    <w:rsid w:val="002A7ECF"/>
    <w:rsid w:val="002A7FC8"/>
    <w:rsid w:val="002B0A81"/>
    <w:rsid w:val="002B1CE7"/>
    <w:rsid w:val="002B2687"/>
    <w:rsid w:val="002B2F0F"/>
    <w:rsid w:val="002B595D"/>
    <w:rsid w:val="002B5B7B"/>
    <w:rsid w:val="002B5F6A"/>
    <w:rsid w:val="002B6962"/>
    <w:rsid w:val="002B779E"/>
    <w:rsid w:val="002B7D6F"/>
    <w:rsid w:val="002B7D78"/>
    <w:rsid w:val="002C0552"/>
    <w:rsid w:val="002C1787"/>
    <w:rsid w:val="002C22ED"/>
    <w:rsid w:val="002C25D0"/>
    <w:rsid w:val="002C280B"/>
    <w:rsid w:val="002C2DB0"/>
    <w:rsid w:val="002C5D97"/>
    <w:rsid w:val="002C7455"/>
    <w:rsid w:val="002C75B0"/>
    <w:rsid w:val="002C7703"/>
    <w:rsid w:val="002C7A63"/>
    <w:rsid w:val="002C7E06"/>
    <w:rsid w:val="002D0153"/>
    <w:rsid w:val="002D26C3"/>
    <w:rsid w:val="002D2D6B"/>
    <w:rsid w:val="002D403A"/>
    <w:rsid w:val="002D4262"/>
    <w:rsid w:val="002E005F"/>
    <w:rsid w:val="002E043C"/>
    <w:rsid w:val="002E1064"/>
    <w:rsid w:val="002E323F"/>
    <w:rsid w:val="002E63D2"/>
    <w:rsid w:val="002E661C"/>
    <w:rsid w:val="002E7E5B"/>
    <w:rsid w:val="002E7F19"/>
    <w:rsid w:val="002F1B12"/>
    <w:rsid w:val="002F1F60"/>
    <w:rsid w:val="002F591B"/>
    <w:rsid w:val="002F5C83"/>
    <w:rsid w:val="002F6F14"/>
    <w:rsid w:val="00300013"/>
    <w:rsid w:val="003006F8"/>
    <w:rsid w:val="00300BF2"/>
    <w:rsid w:val="003027C1"/>
    <w:rsid w:val="00305718"/>
    <w:rsid w:val="00305EC5"/>
    <w:rsid w:val="003077B8"/>
    <w:rsid w:val="003111F8"/>
    <w:rsid w:val="0031204A"/>
    <w:rsid w:val="0031272B"/>
    <w:rsid w:val="00314C5F"/>
    <w:rsid w:val="00315435"/>
    <w:rsid w:val="00317218"/>
    <w:rsid w:val="0032038C"/>
    <w:rsid w:val="00321575"/>
    <w:rsid w:val="0032228A"/>
    <w:rsid w:val="00322BC3"/>
    <w:rsid w:val="00325C5E"/>
    <w:rsid w:val="00325FAE"/>
    <w:rsid w:val="0032738E"/>
    <w:rsid w:val="00331C5F"/>
    <w:rsid w:val="00332007"/>
    <w:rsid w:val="00333074"/>
    <w:rsid w:val="00333223"/>
    <w:rsid w:val="00337F82"/>
    <w:rsid w:val="00340640"/>
    <w:rsid w:val="00341079"/>
    <w:rsid w:val="003435D6"/>
    <w:rsid w:val="003458E0"/>
    <w:rsid w:val="00345CCD"/>
    <w:rsid w:val="003511CE"/>
    <w:rsid w:val="00351283"/>
    <w:rsid w:val="00351909"/>
    <w:rsid w:val="00352BE0"/>
    <w:rsid w:val="0035333E"/>
    <w:rsid w:val="003538F0"/>
    <w:rsid w:val="00353A8E"/>
    <w:rsid w:val="003553DE"/>
    <w:rsid w:val="0035634C"/>
    <w:rsid w:val="00356E4B"/>
    <w:rsid w:val="00357DAE"/>
    <w:rsid w:val="00361259"/>
    <w:rsid w:val="00361429"/>
    <w:rsid w:val="003705BF"/>
    <w:rsid w:val="00370935"/>
    <w:rsid w:val="00375E52"/>
    <w:rsid w:val="00375F30"/>
    <w:rsid w:val="00382234"/>
    <w:rsid w:val="00386352"/>
    <w:rsid w:val="0038672F"/>
    <w:rsid w:val="00386BC9"/>
    <w:rsid w:val="00386F24"/>
    <w:rsid w:val="0039053D"/>
    <w:rsid w:val="00391152"/>
    <w:rsid w:val="00392767"/>
    <w:rsid w:val="003932E3"/>
    <w:rsid w:val="0039449C"/>
    <w:rsid w:val="003A0290"/>
    <w:rsid w:val="003A165B"/>
    <w:rsid w:val="003A43F4"/>
    <w:rsid w:val="003A4EAC"/>
    <w:rsid w:val="003B0D03"/>
    <w:rsid w:val="003B1F0A"/>
    <w:rsid w:val="003B1FE6"/>
    <w:rsid w:val="003B2C1F"/>
    <w:rsid w:val="003B5533"/>
    <w:rsid w:val="003B57DC"/>
    <w:rsid w:val="003B5A85"/>
    <w:rsid w:val="003B6D75"/>
    <w:rsid w:val="003B71EE"/>
    <w:rsid w:val="003B7621"/>
    <w:rsid w:val="003C13A6"/>
    <w:rsid w:val="003C1EB4"/>
    <w:rsid w:val="003C279A"/>
    <w:rsid w:val="003C2C1E"/>
    <w:rsid w:val="003C54F5"/>
    <w:rsid w:val="003D032D"/>
    <w:rsid w:val="003D0CBF"/>
    <w:rsid w:val="003D0E0D"/>
    <w:rsid w:val="003D1E47"/>
    <w:rsid w:val="003D22AE"/>
    <w:rsid w:val="003D2716"/>
    <w:rsid w:val="003D3C14"/>
    <w:rsid w:val="003D3DE6"/>
    <w:rsid w:val="003D4557"/>
    <w:rsid w:val="003D543D"/>
    <w:rsid w:val="003D59FD"/>
    <w:rsid w:val="003E08CF"/>
    <w:rsid w:val="003E0A7E"/>
    <w:rsid w:val="003E10B8"/>
    <w:rsid w:val="003E110F"/>
    <w:rsid w:val="003E122D"/>
    <w:rsid w:val="003E13F5"/>
    <w:rsid w:val="003E36EE"/>
    <w:rsid w:val="003E4ACA"/>
    <w:rsid w:val="003E4E15"/>
    <w:rsid w:val="003E5AE8"/>
    <w:rsid w:val="003E5DDA"/>
    <w:rsid w:val="003F07EE"/>
    <w:rsid w:val="003F09A6"/>
    <w:rsid w:val="003F29F2"/>
    <w:rsid w:val="003F3BFC"/>
    <w:rsid w:val="003F47DF"/>
    <w:rsid w:val="003F4F9F"/>
    <w:rsid w:val="00400B2A"/>
    <w:rsid w:val="004011A7"/>
    <w:rsid w:val="0040272D"/>
    <w:rsid w:val="00405E90"/>
    <w:rsid w:val="004065CE"/>
    <w:rsid w:val="004105DD"/>
    <w:rsid w:val="00410DCE"/>
    <w:rsid w:val="0041429D"/>
    <w:rsid w:val="00414E1F"/>
    <w:rsid w:val="00415543"/>
    <w:rsid w:val="0041765C"/>
    <w:rsid w:val="00420837"/>
    <w:rsid w:val="00420AAC"/>
    <w:rsid w:val="00421EEC"/>
    <w:rsid w:val="00422933"/>
    <w:rsid w:val="00422F4B"/>
    <w:rsid w:val="004248B4"/>
    <w:rsid w:val="00424C66"/>
    <w:rsid w:val="00424DC1"/>
    <w:rsid w:val="0042526D"/>
    <w:rsid w:val="004254A2"/>
    <w:rsid w:val="00425D9F"/>
    <w:rsid w:val="00426D71"/>
    <w:rsid w:val="00430256"/>
    <w:rsid w:val="00431BF1"/>
    <w:rsid w:val="004342F8"/>
    <w:rsid w:val="0043440D"/>
    <w:rsid w:val="00434A2F"/>
    <w:rsid w:val="00436F7B"/>
    <w:rsid w:val="00437283"/>
    <w:rsid w:val="004372D6"/>
    <w:rsid w:val="0044083A"/>
    <w:rsid w:val="004408FA"/>
    <w:rsid w:val="004413CA"/>
    <w:rsid w:val="004414FB"/>
    <w:rsid w:val="0044245C"/>
    <w:rsid w:val="00444D99"/>
    <w:rsid w:val="00451501"/>
    <w:rsid w:val="004528D0"/>
    <w:rsid w:val="00454564"/>
    <w:rsid w:val="0045480C"/>
    <w:rsid w:val="004562E5"/>
    <w:rsid w:val="00457BC3"/>
    <w:rsid w:val="0046034D"/>
    <w:rsid w:val="00462272"/>
    <w:rsid w:val="004637B1"/>
    <w:rsid w:val="0046390C"/>
    <w:rsid w:val="00463944"/>
    <w:rsid w:val="00465D4E"/>
    <w:rsid w:val="004669C1"/>
    <w:rsid w:val="00467BDD"/>
    <w:rsid w:val="00467EB6"/>
    <w:rsid w:val="004717F6"/>
    <w:rsid w:val="0047481E"/>
    <w:rsid w:val="00474918"/>
    <w:rsid w:val="00475EAF"/>
    <w:rsid w:val="004815F8"/>
    <w:rsid w:val="00481E32"/>
    <w:rsid w:val="004831ED"/>
    <w:rsid w:val="00483228"/>
    <w:rsid w:val="004836A7"/>
    <w:rsid w:val="004847B4"/>
    <w:rsid w:val="00484921"/>
    <w:rsid w:val="00486614"/>
    <w:rsid w:val="00487E11"/>
    <w:rsid w:val="00487FB8"/>
    <w:rsid w:val="004919D4"/>
    <w:rsid w:val="00491D42"/>
    <w:rsid w:val="00491FB2"/>
    <w:rsid w:val="0049212C"/>
    <w:rsid w:val="00494152"/>
    <w:rsid w:val="0049416D"/>
    <w:rsid w:val="00495C39"/>
    <w:rsid w:val="004A0301"/>
    <w:rsid w:val="004A1224"/>
    <w:rsid w:val="004A247B"/>
    <w:rsid w:val="004A28C5"/>
    <w:rsid w:val="004A4284"/>
    <w:rsid w:val="004A4F0B"/>
    <w:rsid w:val="004A660C"/>
    <w:rsid w:val="004A6B44"/>
    <w:rsid w:val="004B0B19"/>
    <w:rsid w:val="004B0CF6"/>
    <w:rsid w:val="004B247D"/>
    <w:rsid w:val="004B37A7"/>
    <w:rsid w:val="004B4426"/>
    <w:rsid w:val="004B5F2A"/>
    <w:rsid w:val="004B66F1"/>
    <w:rsid w:val="004B74B2"/>
    <w:rsid w:val="004C07FE"/>
    <w:rsid w:val="004C1399"/>
    <w:rsid w:val="004C2A17"/>
    <w:rsid w:val="004C2C7A"/>
    <w:rsid w:val="004C4DBD"/>
    <w:rsid w:val="004C5507"/>
    <w:rsid w:val="004D134B"/>
    <w:rsid w:val="004D1E1A"/>
    <w:rsid w:val="004D23A9"/>
    <w:rsid w:val="004D29F5"/>
    <w:rsid w:val="004D2F90"/>
    <w:rsid w:val="004D657B"/>
    <w:rsid w:val="004D7804"/>
    <w:rsid w:val="004E1701"/>
    <w:rsid w:val="004E2825"/>
    <w:rsid w:val="004E3079"/>
    <w:rsid w:val="004E36EF"/>
    <w:rsid w:val="004E62E4"/>
    <w:rsid w:val="004E6716"/>
    <w:rsid w:val="004F0E90"/>
    <w:rsid w:val="004F0F5B"/>
    <w:rsid w:val="004F1756"/>
    <w:rsid w:val="004F19AC"/>
    <w:rsid w:val="004F22B8"/>
    <w:rsid w:val="004F2437"/>
    <w:rsid w:val="004F4624"/>
    <w:rsid w:val="004F5303"/>
    <w:rsid w:val="004F5573"/>
    <w:rsid w:val="004F634F"/>
    <w:rsid w:val="0050141B"/>
    <w:rsid w:val="005018E0"/>
    <w:rsid w:val="00502638"/>
    <w:rsid w:val="005029BC"/>
    <w:rsid w:val="005041F8"/>
    <w:rsid w:val="005048E3"/>
    <w:rsid w:val="00505A77"/>
    <w:rsid w:val="00505CB3"/>
    <w:rsid w:val="00506EB0"/>
    <w:rsid w:val="0050798C"/>
    <w:rsid w:val="00511EBF"/>
    <w:rsid w:val="00512143"/>
    <w:rsid w:val="00512B95"/>
    <w:rsid w:val="005136CD"/>
    <w:rsid w:val="00514F30"/>
    <w:rsid w:val="00521860"/>
    <w:rsid w:val="00521898"/>
    <w:rsid w:val="005222CC"/>
    <w:rsid w:val="00522379"/>
    <w:rsid w:val="00522622"/>
    <w:rsid w:val="00525AB1"/>
    <w:rsid w:val="00527492"/>
    <w:rsid w:val="005277F5"/>
    <w:rsid w:val="005310C1"/>
    <w:rsid w:val="00532994"/>
    <w:rsid w:val="005329BE"/>
    <w:rsid w:val="00533515"/>
    <w:rsid w:val="00534AC0"/>
    <w:rsid w:val="00535557"/>
    <w:rsid w:val="00536008"/>
    <w:rsid w:val="0053606A"/>
    <w:rsid w:val="005369C0"/>
    <w:rsid w:val="005401D5"/>
    <w:rsid w:val="00540D82"/>
    <w:rsid w:val="00541254"/>
    <w:rsid w:val="00541723"/>
    <w:rsid w:val="00542BA5"/>
    <w:rsid w:val="00547EB8"/>
    <w:rsid w:val="00552FC2"/>
    <w:rsid w:val="00553C63"/>
    <w:rsid w:val="00553DA2"/>
    <w:rsid w:val="00554D88"/>
    <w:rsid w:val="00555623"/>
    <w:rsid w:val="005562DC"/>
    <w:rsid w:val="00556725"/>
    <w:rsid w:val="00557A85"/>
    <w:rsid w:val="005606B5"/>
    <w:rsid w:val="00562BAD"/>
    <w:rsid w:val="00564D41"/>
    <w:rsid w:val="00565C86"/>
    <w:rsid w:val="00566181"/>
    <w:rsid w:val="005708BD"/>
    <w:rsid w:val="00574906"/>
    <w:rsid w:val="00574E9E"/>
    <w:rsid w:val="005752BC"/>
    <w:rsid w:val="0057622F"/>
    <w:rsid w:val="00576693"/>
    <w:rsid w:val="00577958"/>
    <w:rsid w:val="00577977"/>
    <w:rsid w:val="00581821"/>
    <w:rsid w:val="00581D30"/>
    <w:rsid w:val="005835E9"/>
    <w:rsid w:val="00584245"/>
    <w:rsid w:val="00584D80"/>
    <w:rsid w:val="00586535"/>
    <w:rsid w:val="00586BB5"/>
    <w:rsid w:val="00586DFB"/>
    <w:rsid w:val="005905BC"/>
    <w:rsid w:val="00590B75"/>
    <w:rsid w:val="00590DAA"/>
    <w:rsid w:val="00592349"/>
    <w:rsid w:val="00595E46"/>
    <w:rsid w:val="00596F3F"/>
    <w:rsid w:val="00597EEF"/>
    <w:rsid w:val="005A0A02"/>
    <w:rsid w:val="005A1C4E"/>
    <w:rsid w:val="005A3678"/>
    <w:rsid w:val="005A4A1A"/>
    <w:rsid w:val="005A61D3"/>
    <w:rsid w:val="005A7E70"/>
    <w:rsid w:val="005B1B3E"/>
    <w:rsid w:val="005B40E8"/>
    <w:rsid w:val="005B4B12"/>
    <w:rsid w:val="005B6DAA"/>
    <w:rsid w:val="005B70AB"/>
    <w:rsid w:val="005B7314"/>
    <w:rsid w:val="005B7D8B"/>
    <w:rsid w:val="005B7E9B"/>
    <w:rsid w:val="005C03F6"/>
    <w:rsid w:val="005C0475"/>
    <w:rsid w:val="005C04F7"/>
    <w:rsid w:val="005C1569"/>
    <w:rsid w:val="005C25DC"/>
    <w:rsid w:val="005C4604"/>
    <w:rsid w:val="005C4BEE"/>
    <w:rsid w:val="005C6E74"/>
    <w:rsid w:val="005C781C"/>
    <w:rsid w:val="005C7B76"/>
    <w:rsid w:val="005D079F"/>
    <w:rsid w:val="005D2646"/>
    <w:rsid w:val="005D7A35"/>
    <w:rsid w:val="005E034F"/>
    <w:rsid w:val="005E09A7"/>
    <w:rsid w:val="005E11DF"/>
    <w:rsid w:val="005E198B"/>
    <w:rsid w:val="005E19D9"/>
    <w:rsid w:val="005E1D35"/>
    <w:rsid w:val="005E1EF1"/>
    <w:rsid w:val="005E2A31"/>
    <w:rsid w:val="005E442F"/>
    <w:rsid w:val="005E483D"/>
    <w:rsid w:val="005E490E"/>
    <w:rsid w:val="005E61D8"/>
    <w:rsid w:val="005E7E2C"/>
    <w:rsid w:val="005F0FCC"/>
    <w:rsid w:val="005F18F5"/>
    <w:rsid w:val="005F29CD"/>
    <w:rsid w:val="005F3175"/>
    <w:rsid w:val="005F3436"/>
    <w:rsid w:val="005F4471"/>
    <w:rsid w:val="005F4730"/>
    <w:rsid w:val="005F57D8"/>
    <w:rsid w:val="005F5AD5"/>
    <w:rsid w:val="005F642B"/>
    <w:rsid w:val="005F67FC"/>
    <w:rsid w:val="005F7877"/>
    <w:rsid w:val="006026E1"/>
    <w:rsid w:val="00603A90"/>
    <w:rsid w:val="00605DEB"/>
    <w:rsid w:val="006065BF"/>
    <w:rsid w:val="006070EA"/>
    <w:rsid w:val="0060749D"/>
    <w:rsid w:val="00607ABE"/>
    <w:rsid w:val="00607F53"/>
    <w:rsid w:val="00610267"/>
    <w:rsid w:val="006103D0"/>
    <w:rsid w:val="00611EAE"/>
    <w:rsid w:val="0061364A"/>
    <w:rsid w:val="00613BEA"/>
    <w:rsid w:val="0061402C"/>
    <w:rsid w:val="0061595F"/>
    <w:rsid w:val="00616179"/>
    <w:rsid w:val="0061675B"/>
    <w:rsid w:val="0062052B"/>
    <w:rsid w:val="00621A86"/>
    <w:rsid w:val="00622990"/>
    <w:rsid w:val="00623401"/>
    <w:rsid w:val="00623629"/>
    <w:rsid w:val="00625C40"/>
    <w:rsid w:val="00627E7C"/>
    <w:rsid w:val="00631369"/>
    <w:rsid w:val="006315B3"/>
    <w:rsid w:val="00632481"/>
    <w:rsid w:val="0063262D"/>
    <w:rsid w:val="00633500"/>
    <w:rsid w:val="00637BBD"/>
    <w:rsid w:val="00640D17"/>
    <w:rsid w:val="00642768"/>
    <w:rsid w:val="00642C8C"/>
    <w:rsid w:val="00643BA4"/>
    <w:rsid w:val="00646ACE"/>
    <w:rsid w:val="006474C0"/>
    <w:rsid w:val="00647927"/>
    <w:rsid w:val="00652B9B"/>
    <w:rsid w:val="00652C4A"/>
    <w:rsid w:val="00653743"/>
    <w:rsid w:val="00653DD9"/>
    <w:rsid w:val="00654E6A"/>
    <w:rsid w:val="006562A1"/>
    <w:rsid w:val="006575F3"/>
    <w:rsid w:val="006602B5"/>
    <w:rsid w:val="00660871"/>
    <w:rsid w:val="00662AF4"/>
    <w:rsid w:val="006636AA"/>
    <w:rsid w:val="00664E08"/>
    <w:rsid w:val="00665B4C"/>
    <w:rsid w:val="0066774D"/>
    <w:rsid w:val="00667F42"/>
    <w:rsid w:val="0067020F"/>
    <w:rsid w:val="00670296"/>
    <w:rsid w:val="00671284"/>
    <w:rsid w:val="00671734"/>
    <w:rsid w:val="006727FC"/>
    <w:rsid w:val="00673906"/>
    <w:rsid w:val="00676E5B"/>
    <w:rsid w:val="00677D6B"/>
    <w:rsid w:val="00680795"/>
    <w:rsid w:val="00681733"/>
    <w:rsid w:val="00682713"/>
    <w:rsid w:val="0068277F"/>
    <w:rsid w:val="00683005"/>
    <w:rsid w:val="00683579"/>
    <w:rsid w:val="00684545"/>
    <w:rsid w:val="0068522C"/>
    <w:rsid w:val="006854CE"/>
    <w:rsid w:val="00686315"/>
    <w:rsid w:val="00686B72"/>
    <w:rsid w:val="0068790B"/>
    <w:rsid w:val="00691689"/>
    <w:rsid w:val="00692DAB"/>
    <w:rsid w:val="00694104"/>
    <w:rsid w:val="006941DD"/>
    <w:rsid w:val="0069466B"/>
    <w:rsid w:val="00697CAE"/>
    <w:rsid w:val="006A2615"/>
    <w:rsid w:val="006A5866"/>
    <w:rsid w:val="006A5CE2"/>
    <w:rsid w:val="006A5E77"/>
    <w:rsid w:val="006B0F54"/>
    <w:rsid w:val="006B415B"/>
    <w:rsid w:val="006B4C95"/>
    <w:rsid w:val="006B4CBA"/>
    <w:rsid w:val="006C0FA2"/>
    <w:rsid w:val="006C2E46"/>
    <w:rsid w:val="006C4E45"/>
    <w:rsid w:val="006C5090"/>
    <w:rsid w:val="006C5EE1"/>
    <w:rsid w:val="006C61B1"/>
    <w:rsid w:val="006C74D9"/>
    <w:rsid w:val="006C7DA9"/>
    <w:rsid w:val="006D0669"/>
    <w:rsid w:val="006D2660"/>
    <w:rsid w:val="006D3771"/>
    <w:rsid w:val="006D440A"/>
    <w:rsid w:val="006D5647"/>
    <w:rsid w:val="006D592F"/>
    <w:rsid w:val="006D62BE"/>
    <w:rsid w:val="006D774D"/>
    <w:rsid w:val="006D77F0"/>
    <w:rsid w:val="006D7B71"/>
    <w:rsid w:val="006E0006"/>
    <w:rsid w:val="006E04BB"/>
    <w:rsid w:val="006E0DF6"/>
    <w:rsid w:val="006E1BDE"/>
    <w:rsid w:val="006E336C"/>
    <w:rsid w:val="006E3B9E"/>
    <w:rsid w:val="006E4366"/>
    <w:rsid w:val="006E4A27"/>
    <w:rsid w:val="006E5384"/>
    <w:rsid w:val="006E5828"/>
    <w:rsid w:val="006E628D"/>
    <w:rsid w:val="006E66F8"/>
    <w:rsid w:val="006E6BB9"/>
    <w:rsid w:val="006E784F"/>
    <w:rsid w:val="006F0B4F"/>
    <w:rsid w:val="006F2DF3"/>
    <w:rsid w:val="006F2DF9"/>
    <w:rsid w:val="006F3C6F"/>
    <w:rsid w:val="006F41C6"/>
    <w:rsid w:val="006F5ADE"/>
    <w:rsid w:val="006F5DD9"/>
    <w:rsid w:val="006F6FA2"/>
    <w:rsid w:val="007001D0"/>
    <w:rsid w:val="00700CE3"/>
    <w:rsid w:val="00701397"/>
    <w:rsid w:val="00701498"/>
    <w:rsid w:val="00701E70"/>
    <w:rsid w:val="00702A49"/>
    <w:rsid w:val="00704F47"/>
    <w:rsid w:val="00706479"/>
    <w:rsid w:val="00706879"/>
    <w:rsid w:val="007070B6"/>
    <w:rsid w:val="007072C2"/>
    <w:rsid w:val="0070746B"/>
    <w:rsid w:val="007075CA"/>
    <w:rsid w:val="00707FA4"/>
    <w:rsid w:val="007108C4"/>
    <w:rsid w:val="0071151E"/>
    <w:rsid w:val="0071482B"/>
    <w:rsid w:val="00714B5C"/>
    <w:rsid w:val="00714C8F"/>
    <w:rsid w:val="00715A32"/>
    <w:rsid w:val="00716A45"/>
    <w:rsid w:val="00716F57"/>
    <w:rsid w:val="00721409"/>
    <w:rsid w:val="007221A2"/>
    <w:rsid w:val="00722928"/>
    <w:rsid w:val="00722935"/>
    <w:rsid w:val="0072335F"/>
    <w:rsid w:val="00726933"/>
    <w:rsid w:val="007273D5"/>
    <w:rsid w:val="00727815"/>
    <w:rsid w:val="00730E31"/>
    <w:rsid w:val="00731EA2"/>
    <w:rsid w:val="00734E06"/>
    <w:rsid w:val="00735CE3"/>
    <w:rsid w:val="00736E9D"/>
    <w:rsid w:val="007373FA"/>
    <w:rsid w:val="007377B7"/>
    <w:rsid w:val="0074063F"/>
    <w:rsid w:val="00740EF1"/>
    <w:rsid w:val="00744256"/>
    <w:rsid w:val="00744DBD"/>
    <w:rsid w:val="00745398"/>
    <w:rsid w:val="00747C87"/>
    <w:rsid w:val="007561F0"/>
    <w:rsid w:val="007565C3"/>
    <w:rsid w:val="00756632"/>
    <w:rsid w:val="0075754A"/>
    <w:rsid w:val="00760554"/>
    <w:rsid w:val="0076083D"/>
    <w:rsid w:val="00761DC2"/>
    <w:rsid w:val="00762B1E"/>
    <w:rsid w:val="00763D3B"/>
    <w:rsid w:val="00764742"/>
    <w:rsid w:val="007651E7"/>
    <w:rsid w:val="00766434"/>
    <w:rsid w:val="00770E10"/>
    <w:rsid w:val="00771E5C"/>
    <w:rsid w:val="00772107"/>
    <w:rsid w:val="00774A83"/>
    <w:rsid w:val="00775146"/>
    <w:rsid w:val="0077566D"/>
    <w:rsid w:val="00776097"/>
    <w:rsid w:val="007766A5"/>
    <w:rsid w:val="00776CA1"/>
    <w:rsid w:val="00776E39"/>
    <w:rsid w:val="0078016D"/>
    <w:rsid w:val="00781A4A"/>
    <w:rsid w:val="00782098"/>
    <w:rsid w:val="0078297B"/>
    <w:rsid w:val="00782A6D"/>
    <w:rsid w:val="00784161"/>
    <w:rsid w:val="00786D0B"/>
    <w:rsid w:val="00790033"/>
    <w:rsid w:val="00790E9B"/>
    <w:rsid w:val="007917E7"/>
    <w:rsid w:val="00791C4A"/>
    <w:rsid w:val="007927C6"/>
    <w:rsid w:val="00792BB2"/>
    <w:rsid w:val="0079348E"/>
    <w:rsid w:val="00793F50"/>
    <w:rsid w:val="0079405B"/>
    <w:rsid w:val="00795822"/>
    <w:rsid w:val="00795D94"/>
    <w:rsid w:val="007978DB"/>
    <w:rsid w:val="007A00A5"/>
    <w:rsid w:val="007A03ED"/>
    <w:rsid w:val="007A05F4"/>
    <w:rsid w:val="007A0BB9"/>
    <w:rsid w:val="007A0F02"/>
    <w:rsid w:val="007A1D73"/>
    <w:rsid w:val="007A3DAA"/>
    <w:rsid w:val="007A4023"/>
    <w:rsid w:val="007A5A94"/>
    <w:rsid w:val="007A6C47"/>
    <w:rsid w:val="007A7333"/>
    <w:rsid w:val="007B347F"/>
    <w:rsid w:val="007B5A98"/>
    <w:rsid w:val="007B5E30"/>
    <w:rsid w:val="007C2270"/>
    <w:rsid w:val="007C27D4"/>
    <w:rsid w:val="007C31AE"/>
    <w:rsid w:val="007C32E0"/>
    <w:rsid w:val="007C4CCE"/>
    <w:rsid w:val="007C570A"/>
    <w:rsid w:val="007C7D49"/>
    <w:rsid w:val="007D1630"/>
    <w:rsid w:val="007D1D99"/>
    <w:rsid w:val="007D4D2A"/>
    <w:rsid w:val="007D763D"/>
    <w:rsid w:val="007E00B1"/>
    <w:rsid w:val="007E0749"/>
    <w:rsid w:val="007E2F87"/>
    <w:rsid w:val="007E334F"/>
    <w:rsid w:val="007E3CB0"/>
    <w:rsid w:val="007E5D39"/>
    <w:rsid w:val="007E66C8"/>
    <w:rsid w:val="007E67BD"/>
    <w:rsid w:val="007E6BBD"/>
    <w:rsid w:val="007F06E1"/>
    <w:rsid w:val="007F517F"/>
    <w:rsid w:val="007F6391"/>
    <w:rsid w:val="007F6FB8"/>
    <w:rsid w:val="007F76FF"/>
    <w:rsid w:val="00801491"/>
    <w:rsid w:val="008015A7"/>
    <w:rsid w:val="00803099"/>
    <w:rsid w:val="00806E4B"/>
    <w:rsid w:val="0081066B"/>
    <w:rsid w:val="00810809"/>
    <w:rsid w:val="00812350"/>
    <w:rsid w:val="00812741"/>
    <w:rsid w:val="008128E3"/>
    <w:rsid w:val="00815871"/>
    <w:rsid w:val="00821789"/>
    <w:rsid w:val="0082180B"/>
    <w:rsid w:val="00824C6B"/>
    <w:rsid w:val="00825D4F"/>
    <w:rsid w:val="008260ED"/>
    <w:rsid w:val="00830017"/>
    <w:rsid w:val="00830DC9"/>
    <w:rsid w:val="00831A3F"/>
    <w:rsid w:val="00833A6A"/>
    <w:rsid w:val="00833E2F"/>
    <w:rsid w:val="008368F3"/>
    <w:rsid w:val="008400A8"/>
    <w:rsid w:val="0084156A"/>
    <w:rsid w:val="00841A85"/>
    <w:rsid w:val="00842297"/>
    <w:rsid w:val="008427B1"/>
    <w:rsid w:val="00842B06"/>
    <w:rsid w:val="008444ED"/>
    <w:rsid w:val="008449FF"/>
    <w:rsid w:val="0084601D"/>
    <w:rsid w:val="00846C73"/>
    <w:rsid w:val="00847B16"/>
    <w:rsid w:val="00847E0C"/>
    <w:rsid w:val="00850C6E"/>
    <w:rsid w:val="0085161D"/>
    <w:rsid w:val="0085349F"/>
    <w:rsid w:val="00855597"/>
    <w:rsid w:val="00855780"/>
    <w:rsid w:val="00856178"/>
    <w:rsid w:val="00856C69"/>
    <w:rsid w:val="008570AB"/>
    <w:rsid w:val="008606A2"/>
    <w:rsid w:val="00861C8E"/>
    <w:rsid w:val="00862545"/>
    <w:rsid w:val="0086273D"/>
    <w:rsid w:val="0086444C"/>
    <w:rsid w:val="00865A76"/>
    <w:rsid w:val="008667E8"/>
    <w:rsid w:val="0086730B"/>
    <w:rsid w:val="008679E6"/>
    <w:rsid w:val="00867A0F"/>
    <w:rsid w:val="00871811"/>
    <w:rsid w:val="00872C20"/>
    <w:rsid w:val="00872E1F"/>
    <w:rsid w:val="00873942"/>
    <w:rsid w:val="00873D79"/>
    <w:rsid w:val="00880558"/>
    <w:rsid w:val="00883DAF"/>
    <w:rsid w:val="00885B83"/>
    <w:rsid w:val="00885DA2"/>
    <w:rsid w:val="00886342"/>
    <w:rsid w:val="008875DE"/>
    <w:rsid w:val="00887C08"/>
    <w:rsid w:val="0089092F"/>
    <w:rsid w:val="00896FF4"/>
    <w:rsid w:val="008972BD"/>
    <w:rsid w:val="008A0E85"/>
    <w:rsid w:val="008A1DDE"/>
    <w:rsid w:val="008A1EDC"/>
    <w:rsid w:val="008A2E5A"/>
    <w:rsid w:val="008A371D"/>
    <w:rsid w:val="008A4FE2"/>
    <w:rsid w:val="008A5443"/>
    <w:rsid w:val="008A55A8"/>
    <w:rsid w:val="008A5F01"/>
    <w:rsid w:val="008A6B66"/>
    <w:rsid w:val="008B0969"/>
    <w:rsid w:val="008B11D0"/>
    <w:rsid w:val="008B15C4"/>
    <w:rsid w:val="008B4464"/>
    <w:rsid w:val="008B4692"/>
    <w:rsid w:val="008B4A0F"/>
    <w:rsid w:val="008B4BF2"/>
    <w:rsid w:val="008B56E5"/>
    <w:rsid w:val="008B5AFD"/>
    <w:rsid w:val="008B6650"/>
    <w:rsid w:val="008B7A4E"/>
    <w:rsid w:val="008C1506"/>
    <w:rsid w:val="008C2495"/>
    <w:rsid w:val="008C2D30"/>
    <w:rsid w:val="008C2E11"/>
    <w:rsid w:val="008C73DE"/>
    <w:rsid w:val="008C77F7"/>
    <w:rsid w:val="008D0AE4"/>
    <w:rsid w:val="008D1916"/>
    <w:rsid w:val="008D1B0D"/>
    <w:rsid w:val="008D2DD0"/>
    <w:rsid w:val="008D2F52"/>
    <w:rsid w:val="008D6B57"/>
    <w:rsid w:val="008D74C3"/>
    <w:rsid w:val="008D7DFC"/>
    <w:rsid w:val="008E00FD"/>
    <w:rsid w:val="008E09AC"/>
    <w:rsid w:val="008E16E7"/>
    <w:rsid w:val="008E33EA"/>
    <w:rsid w:val="008E4180"/>
    <w:rsid w:val="008E5722"/>
    <w:rsid w:val="008E5F84"/>
    <w:rsid w:val="008E6A1B"/>
    <w:rsid w:val="008F0EA9"/>
    <w:rsid w:val="008F1B1E"/>
    <w:rsid w:val="008F411D"/>
    <w:rsid w:val="008F4D31"/>
    <w:rsid w:val="008F5FF0"/>
    <w:rsid w:val="008F61F2"/>
    <w:rsid w:val="008F63BC"/>
    <w:rsid w:val="008F7F78"/>
    <w:rsid w:val="00900316"/>
    <w:rsid w:val="0090122A"/>
    <w:rsid w:val="00901F17"/>
    <w:rsid w:val="0090394F"/>
    <w:rsid w:val="00904728"/>
    <w:rsid w:val="009054D3"/>
    <w:rsid w:val="00907B9D"/>
    <w:rsid w:val="00910CFA"/>
    <w:rsid w:val="009125D2"/>
    <w:rsid w:val="00915E3F"/>
    <w:rsid w:val="00916C8B"/>
    <w:rsid w:val="00922344"/>
    <w:rsid w:val="0092273F"/>
    <w:rsid w:val="009238F1"/>
    <w:rsid w:val="009249B4"/>
    <w:rsid w:val="00926D0F"/>
    <w:rsid w:val="009279E1"/>
    <w:rsid w:val="00933783"/>
    <w:rsid w:val="00934A5A"/>
    <w:rsid w:val="00935E14"/>
    <w:rsid w:val="009410E0"/>
    <w:rsid w:val="00942454"/>
    <w:rsid w:val="009444B1"/>
    <w:rsid w:val="009467C6"/>
    <w:rsid w:val="00946DA9"/>
    <w:rsid w:val="00951035"/>
    <w:rsid w:val="00951BD3"/>
    <w:rsid w:val="00957310"/>
    <w:rsid w:val="0095750D"/>
    <w:rsid w:val="00962B8F"/>
    <w:rsid w:val="00964464"/>
    <w:rsid w:val="009654CB"/>
    <w:rsid w:val="00965665"/>
    <w:rsid w:val="00966D4F"/>
    <w:rsid w:val="0097192E"/>
    <w:rsid w:val="00971F52"/>
    <w:rsid w:val="0097202E"/>
    <w:rsid w:val="00972E0B"/>
    <w:rsid w:val="009748F0"/>
    <w:rsid w:val="00974A7C"/>
    <w:rsid w:val="0097587B"/>
    <w:rsid w:val="009766FE"/>
    <w:rsid w:val="00977715"/>
    <w:rsid w:val="00980439"/>
    <w:rsid w:val="00982444"/>
    <w:rsid w:val="00982BA7"/>
    <w:rsid w:val="00982D92"/>
    <w:rsid w:val="00982F10"/>
    <w:rsid w:val="00983267"/>
    <w:rsid w:val="009834A0"/>
    <w:rsid w:val="009843A8"/>
    <w:rsid w:val="00984993"/>
    <w:rsid w:val="00992500"/>
    <w:rsid w:val="00992F61"/>
    <w:rsid w:val="0099496C"/>
    <w:rsid w:val="00995831"/>
    <w:rsid w:val="00996569"/>
    <w:rsid w:val="00997EC1"/>
    <w:rsid w:val="009A057B"/>
    <w:rsid w:val="009A06F0"/>
    <w:rsid w:val="009A14DE"/>
    <w:rsid w:val="009A2105"/>
    <w:rsid w:val="009A5B8E"/>
    <w:rsid w:val="009A7BC2"/>
    <w:rsid w:val="009B1897"/>
    <w:rsid w:val="009B1965"/>
    <w:rsid w:val="009B1BB7"/>
    <w:rsid w:val="009B48D4"/>
    <w:rsid w:val="009C0992"/>
    <w:rsid w:val="009C0C48"/>
    <w:rsid w:val="009C1830"/>
    <w:rsid w:val="009C23DA"/>
    <w:rsid w:val="009C24B3"/>
    <w:rsid w:val="009C2C09"/>
    <w:rsid w:val="009C2E5A"/>
    <w:rsid w:val="009C347A"/>
    <w:rsid w:val="009C3A5D"/>
    <w:rsid w:val="009C6214"/>
    <w:rsid w:val="009C7B18"/>
    <w:rsid w:val="009C7D55"/>
    <w:rsid w:val="009C7F52"/>
    <w:rsid w:val="009D07F2"/>
    <w:rsid w:val="009D1884"/>
    <w:rsid w:val="009D24A3"/>
    <w:rsid w:val="009D3312"/>
    <w:rsid w:val="009D3665"/>
    <w:rsid w:val="009D3C84"/>
    <w:rsid w:val="009D4B65"/>
    <w:rsid w:val="009D6969"/>
    <w:rsid w:val="009D7470"/>
    <w:rsid w:val="009D7A58"/>
    <w:rsid w:val="009E0CED"/>
    <w:rsid w:val="009E17A2"/>
    <w:rsid w:val="009E2D23"/>
    <w:rsid w:val="009E3E96"/>
    <w:rsid w:val="009E4043"/>
    <w:rsid w:val="009E43C1"/>
    <w:rsid w:val="009E4CB8"/>
    <w:rsid w:val="009E5BF2"/>
    <w:rsid w:val="009F3BA0"/>
    <w:rsid w:val="009F3F5D"/>
    <w:rsid w:val="009F4CB9"/>
    <w:rsid w:val="009F573D"/>
    <w:rsid w:val="00A00CD4"/>
    <w:rsid w:val="00A00FC6"/>
    <w:rsid w:val="00A01C02"/>
    <w:rsid w:val="00A0324F"/>
    <w:rsid w:val="00A038D1"/>
    <w:rsid w:val="00A05113"/>
    <w:rsid w:val="00A054DC"/>
    <w:rsid w:val="00A05A73"/>
    <w:rsid w:val="00A0659C"/>
    <w:rsid w:val="00A069AE"/>
    <w:rsid w:val="00A06F13"/>
    <w:rsid w:val="00A07DF7"/>
    <w:rsid w:val="00A10389"/>
    <w:rsid w:val="00A1133E"/>
    <w:rsid w:val="00A11888"/>
    <w:rsid w:val="00A11E62"/>
    <w:rsid w:val="00A11E8F"/>
    <w:rsid w:val="00A12369"/>
    <w:rsid w:val="00A14357"/>
    <w:rsid w:val="00A147BF"/>
    <w:rsid w:val="00A1524F"/>
    <w:rsid w:val="00A15E63"/>
    <w:rsid w:val="00A16646"/>
    <w:rsid w:val="00A17672"/>
    <w:rsid w:val="00A20E56"/>
    <w:rsid w:val="00A23BC2"/>
    <w:rsid w:val="00A27727"/>
    <w:rsid w:val="00A279AC"/>
    <w:rsid w:val="00A27EF3"/>
    <w:rsid w:val="00A30C5D"/>
    <w:rsid w:val="00A310F1"/>
    <w:rsid w:val="00A31D1D"/>
    <w:rsid w:val="00A35FAA"/>
    <w:rsid w:val="00A37DF9"/>
    <w:rsid w:val="00A40163"/>
    <w:rsid w:val="00A409BC"/>
    <w:rsid w:val="00A42F6D"/>
    <w:rsid w:val="00A442CD"/>
    <w:rsid w:val="00A44612"/>
    <w:rsid w:val="00A44720"/>
    <w:rsid w:val="00A51337"/>
    <w:rsid w:val="00A540A5"/>
    <w:rsid w:val="00A54248"/>
    <w:rsid w:val="00A55B6F"/>
    <w:rsid w:val="00A61F1C"/>
    <w:rsid w:val="00A6388E"/>
    <w:rsid w:val="00A675CB"/>
    <w:rsid w:val="00A70398"/>
    <w:rsid w:val="00A709AD"/>
    <w:rsid w:val="00A733CB"/>
    <w:rsid w:val="00A73816"/>
    <w:rsid w:val="00A751AD"/>
    <w:rsid w:val="00A775CF"/>
    <w:rsid w:val="00A77853"/>
    <w:rsid w:val="00A77A5F"/>
    <w:rsid w:val="00A77FAF"/>
    <w:rsid w:val="00A8009B"/>
    <w:rsid w:val="00A80C87"/>
    <w:rsid w:val="00A8425B"/>
    <w:rsid w:val="00A84503"/>
    <w:rsid w:val="00A861B9"/>
    <w:rsid w:val="00A8653B"/>
    <w:rsid w:val="00A86CDB"/>
    <w:rsid w:val="00A8782F"/>
    <w:rsid w:val="00A9167D"/>
    <w:rsid w:val="00A92D25"/>
    <w:rsid w:val="00A94689"/>
    <w:rsid w:val="00A94DDB"/>
    <w:rsid w:val="00A96FFE"/>
    <w:rsid w:val="00AA27AA"/>
    <w:rsid w:val="00AA2DF3"/>
    <w:rsid w:val="00AA50BC"/>
    <w:rsid w:val="00AB07F2"/>
    <w:rsid w:val="00AB24E7"/>
    <w:rsid w:val="00AB3237"/>
    <w:rsid w:val="00AB3A2D"/>
    <w:rsid w:val="00AB5C7E"/>
    <w:rsid w:val="00AB75AE"/>
    <w:rsid w:val="00AB76EC"/>
    <w:rsid w:val="00AB77C4"/>
    <w:rsid w:val="00AB7933"/>
    <w:rsid w:val="00AC13C9"/>
    <w:rsid w:val="00AC2792"/>
    <w:rsid w:val="00AC3CF0"/>
    <w:rsid w:val="00AC3D18"/>
    <w:rsid w:val="00AD10CF"/>
    <w:rsid w:val="00AD35EA"/>
    <w:rsid w:val="00AD3BC7"/>
    <w:rsid w:val="00AD562E"/>
    <w:rsid w:val="00AD5B1B"/>
    <w:rsid w:val="00AD6259"/>
    <w:rsid w:val="00AE1674"/>
    <w:rsid w:val="00AE1D75"/>
    <w:rsid w:val="00AE2459"/>
    <w:rsid w:val="00AE29C2"/>
    <w:rsid w:val="00AE3D23"/>
    <w:rsid w:val="00AE41BB"/>
    <w:rsid w:val="00AE4EC8"/>
    <w:rsid w:val="00AE563A"/>
    <w:rsid w:val="00AE5D9F"/>
    <w:rsid w:val="00AE5F15"/>
    <w:rsid w:val="00AE61C0"/>
    <w:rsid w:val="00AE76C9"/>
    <w:rsid w:val="00AF0C7E"/>
    <w:rsid w:val="00AF0EB2"/>
    <w:rsid w:val="00AF2791"/>
    <w:rsid w:val="00AF32F0"/>
    <w:rsid w:val="00AF3811"/>
    <w:rsid w:val="00AF418D"/>
    <w:rsid w:val="00AF5179"/>
    <w:rsid w:val="00AF560E"/>
    <w:rsid w:val="00AF6220"/>
    <w:rsid w:val="00AF70EE"/>
    <w:rsid w:val="00AF7618"/>
    <w:rsid w:val="00B00AF9"/>
    <w:rsid w:val="00B00B01"/>
    <w:rsid w:val="00B04550"/>
    <w:rsid w:val="00B04964"/>
    <w:rsid w:val="00B06F40"/>
    <w:rsid w:val="00B10605"/>
    <w:rsid w:val="00B10F95"/>
    <w:rsid w:val="00B10FCF"/>
    <w:rsid w:val="00B12331"/>
    <w:rsid w:val="00B1274F"/>
    <w:rsid w:val="00B15B71"/>
    <w:rsid w:val="00B2087D"/>
    <w:rsid w:val="00B21941"/>
    <w:rsid w:val="00B21EB4"/>
    <w:rsid w:val="00B22202"/>
    <w:rsid w:val="00B240AA"/>
    <w:rsid w:val="00B26C44"/>
    <w:rsid w:val="00B27820"/>
    <w:rsid w:val="00B30944"/>
    <w:rsid w:val="00B323BD"/>
    <w:rsid w:val="00B33F4D"/>
    <w:rsid w:val="00B37148"/>
    <w:rsid w:val="00B42B56"/>
    <w:rsid w:val="00B455C0"/>
    <w:rsid w:val="00B460B5"/>
    <w:rsid w:val="00B47240"/>
    <w:rsid w:val="00B47F4C"/>
    <w:rsid w:val="00B51526"/>
    <w:rsid w:val="00B523E2"/>
    <w:rsid w:val="00B5762D"/>
    <w:rsid w:val="00B60F6F"/>
    <w:rsid w:val="00B61A52"/>
    <w:rsid w:val="00B6230B"/>
    <w:rsid w:val="00B6389E"/>
    <w:rsid w:val="00B64DE4"/>
    <w:rsid w:val="00B66467"/>
    <w:rsid w:val="00B71222"/>
    <w:rsid w:val="00B7262F"/>
    <w:rsid w:val="00B7358B"/>
    <w:rsid w:val="00B7388C"/>
    <w:rsid w:val="00B73E0D"/>
    <w:rsid w:val="00B77593"/>
    <w:rsid w:val="00B830A1"/>
    <w:rsid w:val="00B83705"/>
    <w:rsid w:val="00B83CA0"/>
    <w:rsid w:val="00B84243"/>
    <w:rsid w:val="00B85C34"/>
    <w:rsid w:val="00B8742F"/>
    <w:rsid w:val="00B876C0"/>
    <w:rsid w:val="00B93884"/>
    <w:rsid w:val="00B94A65"/>
    <w:rsid w:val="00B94ADF"/>
    <w:rsid w:val="00B94FB4"/>
    <w:rsid w:val="00B95D2D"/>
    <w:rsid w:val="00B9676C"/>
    <w:rsid w:val="00BA0966"/>
    <w:rsid w:val="00BA0F2F"/>
    <w:rsid w:val="00BA379F"/>
    <w:rsid w:val="00BA4411"/>
    <w:rsid w:val="00BA6777"/>
    <w:rsid w:val="00BA6813"/>
    <w:rsid w:val="00BB19A7"/>
    <w:rsid w:val="00BB2A98"/>
    <w:rsid w:val="00BB3AB5"/>
    <w:rsid w:val="00BB3DA8"/>
    <w:rsid w:val="00BB498B"/>
    <w:rsid w:val="00BB6D23"/>
    <w:rsid w:val="00BB721D"/>
    <w:rsid w:val="00BB7455"/>
    <w:rsid w:val="00BC17FB"/>
    <w:rsid w:val="00BC2C65"/>
    <w:rsid w:val="00BC3CAB"/>
    <w:rsid w:val="00BC42CE"/>
    <w:rsid w:val="00BC6702"/>
    <w:rsid w:val="00BD210E"/>
    <w:rsid w:val="00BD304D"/>
    <w:rsid w:val="00BE70B3"/>
    <w:rsid w:val="00BE7D58"/>
    <w:rsid w:val="00BF0270"/>
    <w:rsid w:val="00BF0E14"/>
    <w:rsid w:val="00BF11BF"/>
    <w:rsid w:val="00BF164E"/>
    <w:rsid w:val="00BF2148"/>
    <w:rsid w:val="00BF23C3"/>
    <w:rsid w:val="00BF263F"/>
    <w:rsid w:val="00BF3E50"/>
    <w:rsid w:val="00BF6570"/>
    <w:rsid w:val="00BF6D42"/>
    <w:rsid w:val="00BF7ED9"/>
    <w:rsid w:val="00C00AA5"/>
    <w:rsid w:val="00C07DEC"/>
    <w:rsid w:val="00C1005F"/>
    <w:rsid w:val="00C107D2"/>
    <w:rsid w:val="00C11F05"/>
    <w:rsid w:val="00C11F2F"/>
    <w:rsid w:val="00C12D0A"/>
    <w:rsid w:val="00C12DE9"/>
    <w:rsid w:val="00C15DEF"/>
    <w:rsid w:val="00C17158"/>
    <w:rsid w:val="00C17A51"/>
    <w:rsid w:val="00C20E76"/>
    <w:rsid w:val="00C23647"/>
    <w:rsid w:val="00C24021"/>
    <w:rsid w:val="00C2476F"/>
    <w:rsid w:val="00C2641F"/>
    <w:rsid w:val="00C273A1"/>
    <w:rsid w:val="00C3009E"/>
    <w:rsid w:val="00C31E81"/>
    <w:rsid w:val="00C3239B"/>
    <w:rsid w:val="00C3324A"/>
    <w:rsid w:val="00C336DD"/>
    <w:rsid w:val="00C34390"/>
    <w:rsid w:val="00C34C59"/>
    <w:rsid w:val="00C359BA"/>
    <w:rsid w:val="00C35E53"/>
    <w:rsid w:val="00C3662D"/>
    <w:rsid w:val="00C36775"/>
    <w:rsid w:val="00C406CE"/>
    <w:rsid w:val="00C41219"/>
    <w:rsid w:val="00C41D55"/>
    <w:rsid w:val="00C420C5"/>
    <w:rsid w:val="00C428E6"/>
    <w:rsid w:val="00C42D37"/>
    <w:rsid w:val="00C431A3"/>
    <w:rsid w:val="00C43756"/>
    <w:rsid w:val="00C44BE3"/>
    <w:rsid w:val="00C44C1D"/>
    <w:rsid w:val="00C5028C"/>
    <w:rsid w:val="00C51C07"/>
    <w:rsid w:val="00C53EF2"/>
    <w:rsid w:val="00C5570B"/>
    <w:rsid w:val="00C55846"/>
    <w:rsid w:val="00C57082"/>
    <w:rsid w:val="00C605F4"/>
    <w:rsid w:val="00C615E5"/>
    <w:rsid w:val="00C619FE"/>
    <w:rsid w:val="00C62A49"/>
    <w:rsid w:val="00C6305B"/>
    <w:rsid w:val="00C63C1F"/>
    <w:rsid w:val="00C63ED7"/>
    <w:rsid w:val="00C706DE"/>
    <w:rsid w:val="00C74126"/>
    <w:rsid w:val="00C74C39"/>
    <w:rsid w:val="00C74DA9"/>
    <w:rsid w:val="00C7638D"/>
    <w:rsid w:val="00C763EA"/>
    <w:rsid w:val="00C771EB"/>
    <w:rsid w:val="00C8049D"/>
    <w:rsid w:val="00C81254"/>
    <w:rsid w:val="00C85E77"/>
    <w:rsid w:val="00C8748F"/>
    <w:rsid w:val="00C87FB8"/>
    <w:rsid w:val="00C91CF4"/>
    <w:rsid w:val="00C92123"/>
    <w:rsid w:val="00C94229"/>
    <w:rsid w:val="00C95596"/>
    <w:rsid w:val="00C95850"/>
    <w:rsid w:val="00C95B85"/>
    <w:rsid w:val="00C97F24"/>
    <w:rsid w:val="00CA0B5E"/>
    <w:rsid w:val="00CA0F4F"/>
    <w:rsid w:val="00CA17B1"/>
    <w:rsid w:val="00CA2A47"/>
    <w:rsid w:val="00CA3214"/>
    <w:rsid w:val="00CA450E"/>
    <w:rsid w:val="00CA4819"/>
    <w:rsid w:val="00CA600B"/>
    <w:rsid w:val="00CA709C"/>
    <w:rsid w:val="00CB00D4"/>
    <w:rsid w:val="00CB1F59"/>
    <w:rsid w:val="00CB54F0"/>
    <w:rsid w:val="00CB5C31"/>
    <w:rsid w:val="00CB62C0"/>
    <w:rsid w:val="00CB795F"/>
    <w:rsid w:val="00CC0486"/>
    <w:rsid w:val="00CC0B67"/>
    <w:rsid w:val="00CC3220"/>
    <w:rsid w:val="00CC453E"/>
    <w:rsid w:val="00CC4867"/>
    <w:rsid w:val="00CC5AB0"/>
    <w:rsid w:val="00CC63D5"/>
    <w:rsid w:val="00CC7C89"/>
    <w:rsid w:val="00CC7ED8"/>
    <w:rsid w:val="00CC7F08"/>
    <w:rsid w:val="00CD1BF3"/>
    <w:rsid w:val="00CD2C4A"/>
    <w:rsid w:val="00CD3382"/>
    <w:rsid w:val="00CD7118"/>
    <w:rsid w:val="00CE0085"/>
    <w:rsid w:val="00CE0472"/>
    <w:rsid w:val="00CE2C1A"/>
    <w:rsid w:val="00CE3F53"/>
    <w:rsid w:val="00CE4134"/>
    <w:rsid w:val="00CE4FC8"/>
    <w:rsid w:val="00CE558E"/>
    <w:rsid w:val="00CE5EC0"/>
    <w:rsid w:val="00CE645E"/>
    <w:rsid w:val="00CE7933"/>
    <w:rsid w:val="00CF2C6F"/>
    <w:rsid w:val="00CF4131"/>
    <w:rsid w:val="00CF5085"/>
    <w:rsid w:val="00CF5391"/>
    <w:rsid w:val="00CF6028"/>
    <w:rsid w:val="00CF6796"/>
    <w:rsid w:val="00D00382"/>
    <w:rsid w:val="00D0086A"/>
    <w:rsid w:val="00D02C37"/>
    <w:rsid w:val="00D02EF1"/>
    <w:rsid w:val="00D05719"/>
    <w:rsid w:val="00D076E9"/>
    <w:rsid w:val="00D07A8D"/>
    <w:rsid w:val="00D1024D"/>
    <w:rsid w:val="00D120BF"/>
    <w:rsid w:val="00D13536"/>
    <w:rsid w:val="00D13659"/>
    <w:rsid w:val="00D143EC"/>
    <w:rsid w:val="00D1515D"/>
    <w:rsid w:val="00D1545C"/>
    <w:rsid w:val="00D15ACB"/>
    <w:rsid w:val="00D1741D"/>
    <w:rsid w:val="00D174C3"/>
    <w:rsid w:val="00D17D15"/>
    <w:rsid w:val="00D17E55"/>
    <w:rsid w:val="00D2179B"/>
    <w:rsid w:val="00D22699"/>
    <w:rsid w:val="00D2316C"/>
    <w:rsid w:val="00D23FB7"/>
    <w:rsid w:val="00D24FF4"/>
    <w:rsid w:val="00D30A84"/>
    <w:rsid w:val="00D30CBA"/>
    <w:rsid w:val="00D31052"/>
    <w:rsid w:val="00D323B5"/>
    <w:rsid w:val="00D327B7"/>
    <w:rsid w:val="00D36333"/>
    <w:rsid w:val="00D37C36"/>
    <w:rsid w:val="00D42454"/>
    <w:rsid w:val="00D428B3"/>
    <w:rsid w:val="00D44D21"/>
    <w:rsid w:val="00D46A7B"/>
    <w:rsid w:val="00D503B7"/>
    <w:rsid w:val="00D50C9B"/>
    <w:rsid w:val="00D52FA6"/>
    <w:rsid w:val="00D5385C"/>
    <w:rsid w:val="00D5491C"/>
    <w:rsid w:val="00D549BF"/>
    <w:rsid w:val="00D551E1"/>
    <w:rsid w:val="00D55763"/>
    <w:rsid w:val="00D55F66"/>
    <w:rsid w:val="00D5708A"/>
    <w:rsid w:val="00D576B5"/>
    <w:rsid w:val="00D57849"/>
    <w:rsid w:val="00D60439"/>
    <w:rsid w:val="00D6199A"/>
    <w:rsid w:val="00D64BE6"/>
    <w:rsid w:val="00D6661E"/>
    <w:rsid w:val="00D66692"/>
    <w:rsid w:val="00D7026C"/>
    <w:rsid w:val="00D70EB2"/>
    <w:rsid w:val="00D715EF"/>
    <w:rsid w:val="00D75924"/>
    <w:rsid w:val="00D75DD0"/>
    <w:rsid w:val="00D7602E"/>
    <w:rsid w:val="00D76996"/>
    <w:rsid w:val="00D83B82"/>
    <w:rsid w:val="00D846C2"/>
    <w:rsid w:val="00D85D3F"/>
    <w:rsid w:val="00D87479"/>
    <w:rsid w:val="00D87624"/>
    <w:rsid w:val="00D9150D"/>
    <w:rsid w:val="00D91854"/>
    <w:rsid w:val="00D92B42"/>
    <w:rsid w:val="00D951E1"/>
    <w:rsid w:val="00D961F2"/>
    <w:rsid w:val="00D97687"/>
    <w:rsid w:val="00D9775E"/>
    <w:rsid w:val="00DA07D8"/>
    <w:rsid w:val="00DA1610"/>
    <w:rsid w:val="00DA1A11"/>
    <w:rsid w:val="00DA1BEF"/>
    <w:rsid w:val="00DA28A8"/>
    <w:rsid w:val="00DA2BCA"/>
    <w:rsid w:val="00DA3143"/>
    <w:rsid w:val="00DA4EAE"/>
    <w:rsid w:val="00DA6854"/>
    <w:rsid w:val="00DA6D4F"/>
    <w:rsid w:val="00DA6FB4"/>
    <w:rsid w:val="00DA7AC3"/>
    <w:rsid w:val="00DB10A8"/>
    <w:rsid w:val="00DB4C98"/>
    <w:rsid w:val="00DB4F1B"/>
    <w:rsid w:val="00DB50EA"/>
    <w:rsid w:val="00DB584E"/>
    <w:rsid w:val="00DB69D9"/>
    <w:rsid w:val="00DC235D"/>
    <w:rsid w:val="00DC32EC"/>
    <w:rsid w:val="00DC39E1"/>
    <w:rsid w:val="00DC4099"/>
    <w:rsid w:val="00DC4790"/>
    <w:rsid w:val="00DC6737"/>
    <w:rsid w:val="00DD06D6"/>
    <w:rsid w:val="00DD0BA0"/>
    <w:rsid w:val="00DD7648"/>
    <w:rsid w:val="00DD7B40"/>
    <w:rsid w:val="00DE117E"/>
    <w:rsid w:val="00DE1987"/>
    <w:rsid w:val="00DE25CC"/>
    <w:rsid w:val="00DE36CF"/>
    <w:rsid w:val="00DE42BA"/>
    <w:rsid w:val="00DE50C2"/>
    <w:rsid w:val="00DE566F"/>
    <w:rsid w:val="00DE5DF9"/>
    <w:rsid w:val="00DE5E0C"/>
    <w:rsid w:val="00DE60EA"/>
    <w:rsid w:val="00DF0728"/>
    <w:rsid w:val="00DF1ADC"/>
    <w:rsid w:val="00DF2249"/>
    <w:rsid w:val="00DF2CE5"/>
    <w:rsid w:val="00DF30D5"/>
    <w:rsid w:val="00DF363A"/>
    <w:rsid w:val="00DF4173"/>
    <w:rsid w:val="00DF61C8"/>
    <w:rsid w:val="00DF6323"/>
    <w:rsid w:val="00DF6B26"/>
    <w:rsid w:val="00DF744E"/>
    <w:rsid w:val="00E00258"/>
    <w:rsid w:val="00E01B7C"/>
    <w:rsid w:val="00E01F36"/>
    <w:rsid w:val="00E054BA"/>
    <w:rsid w:val="00E05967"/>
    <w:rsid w:val="00E06F9F"/>
    <w:rsid w:val="00E07E24"/>
    <w:rsid w:val="00E10D3F"/>
    <w:rsid w:val="00E11210"/>
    <w:rsid w:val="00E11D2F"/>
    <w:rsid w:val="00E121DD"/>
    <w:rsid w:val="00E1675C"/>
    <w:rsid w:val="00E16977"/>
    <w:rsid w:val="00E16BE1"/>
    <w:rsid w:val="00E17DAB"/>
    <w:rsid w:val="00E20628"/>
    <w:rsid w:val="00E2103B"/>
    <w:rsid w:val="00E22A07"/>
    <w:rsid w:val="00E26003"/>
    <w:rsid w:val="00E27319"/>
    <w:rsid w:val="00E273FF"/>
    <w:rsid w:val="00E27B91"/>
    <w:rsid w:val="00E30FE2"/>
    <w:rsid w:val="00E37BA9"/>
    <w:rsid w:val="00E4238F"/>
    <w:rsid w:val="00E42411"/>
    <w:rsid w:val="00E42C8A"/>
    <w:rsid w:val="00E43965"/>
    <w:rsid w:val="00E43E3B"/>
    <w:rsid w:val="00E4452C"/>
    <w:rsid w:val="00E453F8"/>
    <w:rsid w:val="00E4582E"/>
    <w:rsid w:val="00E46611"/>
    <w:rsid w:val="00E46AB8"/>
    <w:rsid w:val="00E473B3"/>
    <w:rsid w:val="00E5330F"/>
    <w:rsid w:val="00E54185"/>
    <w:rsid w:val="00E55ABA"/>
    <w:rsid w:val="00E5728A"/>
    <w:rsid w:val="00E60751"/>
    <w:rsid w:val="00E6169B"/>
    <w:rsid w:val="00E62B36"/>
    <w:rsid w:val="00E62DF5"/>
    <w:rsid w:val="00E62F69"/>
    <w:rsid w:val="00E6369F"/>
    <w:rsid w:val="00E647C8"/>
    <w:rsid w:val="00E672CB"/>
    <w:rsid w:val="00E70F0A"/>
    <w:rsid w:val="00E715E7"/>
    <w:rsid w:val="00E71F0F"/>
    <w:rsid w:val="00E731D7"/>
    <w:rsid w:val="00E74ACE"/>
    <w:rsid w:val="00E77C06"/>
    <w:rsid w:val="00E77DB8"/>
    <w:rsid w:val="00E81A64"/>
    <w:rsid w:val="00E831F7"/>
    <w:rsid w:val="00E835D7"/>
    <w:rsid w:val="00E855E0"/>
    <w:rsid w:val="00E860B7"/>
    <w:rsid w:val="00E86259"/>
    <w:rsid w:val="00E8780D"/>
    <w:rsid w:val="00E9358B"/>
    <w:rsid w:val="00E95103"/>
    <w:rsid w:val="00E956B3"/>
    <w:rsid w:val="00E95DB8"/>
    <w:rsid w:val="00E95E3B"/>
    <w:rsid w:val="00E971BB"/>
    <w:rsid w:val="00E97527"/>
    <w:rsid w:val="00EA2442"/>
    <w:rsid w:val="00EA5A9E"/>
    <w:rsid w:val="00EA6556"/>
    <w:rsid w:val="00EA6842"/>
    <w:rsid w:val="00EB063E"/>
    <w:rsid w:val="00EB068F"/>
    <w:rsid w:val="00EB4C26"/>
    <w:rsid w:val="00EB5127"/>
    <w:rsid w:val="00EB53F2"/>
    <w:rsid w:val="00EB7803"/>
    <w:rsid w:val="00EC0295"/>
    <w:rsid w:val="00EC0454"/>
    <w:rsid w:val="00EC19FA"/>
    <w:rsid w:val="00EC5F86"/>
    <w:rsid w:val="00ED0940"/>
    <w:rsid w:val="00ED25CE"/>
    <w:rsid w:val="00ED3A55"/>
    <w:rsid w:val="00ED402C"/>
    <w:rsid w:val="00ED468F"/>
    <w:rsid w:val="00ED6D9F"/>
    <w:rsid w:val="00EE0ACF"/>
    <w:rsid w:val="00EE37DE"/>
    <w:rsid w:val="00EE3E7F"/>
    <w:rsid w:val="00EE455E"/>
    <w:rsid w:val="00EE67C5"/>
    <w:rsid w:val="00EE788D"/>
    <w:rsid w:val="00EF18EF"/>
    <w:rsid w:val="00EF2A15"/>
    <w:rsid w:val="00EF3070"/>
    <w:rsid w:val="00EF4031"/>
    <w:rsid w:val="00EF6BDC"/>
    <w:rsid w:val="00F00728"/>
    <w:rsid w:val="00F01FF7"/>
    <w:rsid w:val="00F05784"/>
    <w:rsid w:val="00F05908"/>
    <w:rsid w:val="00F1076B"/>
    <w:rsid w:val="00F10D71"/>
    <w:rsid w:val="00F11B9B"/>
    <w:rsid w:val="00F11D20"/>
    <w:rsid w:val="00F120D0"/>
    <w:rsid w:val="00F13E0D"/>
    <w:rsid w:val="00F14467"/>
    <w:rsid w:val="00F20B6E"/>
    <w:rsid w:val="00F20FF5"/>
    <w:rsid w:val="00F248EC"/>
    <w:rsid w:val="00F24BCF"/>
    <w:rsid w:val="00F24C64"/>
    <w:rsid w:val="00F2639B"/>
    <w:rsid w:val="00F26509"/>
    <w:rsid w:val="00F276EE"/>
    <w:rsid w:val="00F31355"/>
    <w:rsid w:val="00F3255F"/>
    <w:rsid w:val="00F3374F"/>
    <w:rsid w:val="00F3510E"/>
    <w:rsid w:val="00F357F3"/>
    <w:rsid w:val="00F35B8D"/>
    <w:rsid w:val="00F373DC"/>
    <w:rsid w:val="00F37EF3"/>
    <w:rsid w:val="00F402E8"/>
    <w:rsid w:val="00F403D6"/>
    <w:rsid w:val="00F40782"/>
    <w:rsid w:val="00F42204"/>
    <w:rsid w:val="00F422EF"/>
    <w:rsid w:val="00F42894"/>
    <w:rsid w:val="00F45CF2"/>
    <w:rsid w:val="00F4743F"/>
    <w:rsid w:val="00F47B25"/>
    <w:rsid w:val="00F5077E"/>
    <w:rsid w:val="00F51346"/>
    <w:rsid w:val="00F5199A"/>
    <w:rsid w:val="00F5235B"/>
    <w:rsid w:val="00F54947"/>
    <w:rsid w:val="00F5495A"/>
    <w:rsid w:val="00F54F7B"/>
    <w:rsid w:val="00F560DC"/>
    <w:rsid w:val="00F56916"/>
    <w:rsid w:val="00F56AD0"/>
    <w:rsid w:val="00F56CB1"/>
    <w:rsid w:val="00F613E9"/>
    <w:rsid w:val="00F625D0"/>
    <w:rsid w:val="00F63F85"/>
    <w:rsid w:val="00F65819"/>
    <w:rsid w:val="00F66863"/>
    <w:rsid w:val="00F66DAA"/>
    <w:rsid w:val="00F71182"/>
    <w:rsid w:val="00F72D23"/>
    <w:rsid w:val="00F73E47"/>
    <w:rsid w:val="00F7451D"/>
    <w:rsid w:val="00F74CB0"/>
    <w:rsid w:val="00F75495"/>
    <w:rsid w:val="00F765EB"/>
    <w:rsid w:val="00F81CE4"/>
    <w:rsid w:val="00F82354"/>
    <w:rsid w:val="00F8498C"/>
    <w:rsid w:val="00F8673B"/>
    <w:rsid w:val="00F868E5"/>
    <w:rsid w:val="00F90159"/>
    <w:rsid w:val="00F908F8"/>
    <w:rsid w:val="00F91491"/>
    <w:rsid w:val="00F92442"/>
    <w:rsid w:val="00F926C8"/>
    <w:rsid w:val="00F97C22"/>
    <w:rsid w:val="00F97D2D"/>
    <w:rsid w:val="00FA05A4"/>
    <w:rsid w:val="00FA0BA3"/>
    <w:rsid w:val="00FA0C92"/>
    <w:rsid w:val="00FA30C2"/>
    <w:rsid w:val="00FA4191"/>
    <w:rsid w:val="00FA63B6"/>
    <w:rsid w:val="00FA7135"/>
    <w:rsid w:val="00FA784C"/>
    <w:rsid w:val="00FB06E1"/>
    <w:rsid w:val="00FB0CA2"/>
    <w:rsid w:val="00FB3095"/>
    <w:rsid w:val="00FB6912"/>
    <w:rsid w:val="00FC00DD"/>
    <w:rsid w:val="00FC1247"/>
    <w:rsid w:val="00FC1C66"/>
    <w:rsid w:val="00FC3CD4"/>
    <w:rsid w:val="00FC5E1E"/>
    <w:rsid w:val="00FC68BF"/>
    <w:rsid w:val="00FC7CAC"/>
    <w:rsid w:val="00FD14D0"/>
    <w:rsid w:val="00FD1B30"/>
    <w:rsid w:val="00FD284B"/>
    <w:rsid w:val="00FD295C"/>
    <w:rsid w:val="00FD3D3E"/>
    <w:rsid w:val="00FD5051"/>
    <w:rsid w:val="00FD5438"/>
    <w:rsid w:val="00FD5958"/>
    <w:rsid w:val="00FD5A0F"/>
    <w:rsid w:val="00FD756D"/>
    <w:rsid w:val="00FD7972"/>
    <w:rsid w:val="00FE059A"/>
    <w:rsid w:val="00FE0781"/>
    <w:rsid w:val="00FE29AF"/>
    <w:rsid w:val="00FE3181"/>
    <w:rsid w:val="00FE54AE"/>
    <w:rsid w:val="00FF2339"/>
    <w:rsid w:val="00FF2430"/>
    <w:rsid w:val="00FF26B9"/>
    <w:rsid w:val="00FF33AA"/>
    <w:rsid w:val="00FF371D"/>
    <w:rsid w:val="00FF637D"/>
    <w:rsid w:val="00FF64CF"/>
    <w:rsid w:val="00FF6B5D"/>
    <w:rsid w:val="00FF76AC"/>
    <w:rsid w:val="00FF7C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F86"/>
    <w:pPr>
      <w:spacing w:after="240" w:line="260" w:lineRule="exact"/>
      <w:jc w:val="both"/>
    </w:pPr>
    <w:rPr>
      <w:rFonts w:ascii="Book Antiqua" w:hAnsi="Book Antiqua"/>
    </w:rPr>
  </w:style>
  <w:style w:type="paragraph" w:styleId="Heading1">
    <w:name w:val="heading 1"/>
    <w:basedOn w:val="HeadingBase"/>
    <w:next w:val="Normal"/>
    <w:qFormat/>
    <w:rsid w:val="00B1274F"/>
    <w:pPr>
      <w:keepNext w:val="0"/>
      <w:jc w:val="center"/>
      <w:outlineLvl w:val="0"/>
    </w:pPr>
    <w:rPr>
      <w:b/>
      <w:smallCaps/>
      <w:kern w:val="28"/>
      <w:sz w:val="52"/>
    </w:rPr>
  </w:style>
  <w:style w:type="paragraph" w:styleId="Heading2">
    <w:name w:val="heading 2"/>
    <w:basedOn w:val="HeadingBase"/>
    <w:next w:val="Normal"/>
    <w:qFormat/>
    <w:rsid w:val="004F1756"/>
    <w:pPr>
      <w:keepNext w:val="0"/>
      <w:spacing w:after="360"/>
      <w:jc w:val="center"/>
      <w:outlineLvl w:val="1"/>
    </w:pPr>
    <w:rPr>
      <w:rFonts w:ascii="Arial Bold" w:hAnsi="Arial Bold" w:cs="Arial"/>
      <w:b/>
      <w:smallCaps/>
      <w:sz w:val="34"/>
      <w:szCs w:val="34"/>
    </w:rPr>
  </w:style>
  <w:style w:type="paragraph" w:styleId="Heading3">
    <w:name w:val="heading 3"/>
    <w:basedOn w:val="HeadingBase"/>
    <w:next w:val="Normal"/>
    <w:link w:val="Heading3Char"/>
    <w:qFormat/>
    <w:rsid w:val="008D2DD0"/>
    <w:pPr>
      <w:keepNext w:val="0"/>
      <w:tabs>
        <w:tab w:val="left" w:pos="709"/>
      </w:tabs>
      <w:spacing w:after="240"/>
      <w:outlineLvl w:val="2"/>
    </w:pPr>
    <w:rPr>
      <w:rFonts w:cs="Arial"/>
      <w:sz w:val="30"/>
      <w:szCs w:val="30"/>
    </w:rPr>
  </w:style>
  <w:style w:type="paragraph" w:styleId="Heading4">
    <w:name w:val="heading 4"/>
    <w:basedOn w:val="HeadingBase"/>
    <w:next w:val="Normal"/>
    <w:qFormat/>
    <w:rsid w:val="008D2DD0"/>
    <w:pPr>
      <w:keepNext w:val="0"/>
      <w:tabs>
        <w:tab w:val="left" w:pos="709"/>
      </w:tabs>
      <w:spacing w:before="240" w:after="240"/>
      <w:outlineLvl w:val="3"/>
    </w:pPr>
    <w:rPr>
      <w:rFonts w:cs="Arial"/>
      <w:b/>
      <w:smallCaps/>
      <w:sz w:val="26"/>
    </w:rPr>
  </w:style>
  <w:style w:type="paragraph" w:styleId="Heading5">
    <w:name w:val="heading 5"/>
    <w:basedOn w:val="HeadingBase"/>
    <w:next w:val="Normal"/>
    <w:link w:val="Heading5Char"/>
    <w:qFormat/>
    <w:rsid w:val="00E453F8"/>
    <w:pPr>
      <w:keepNext w:val="0"/>
      <w:spacing w:before="120" w:after="60"/>
      <w:outlineLvl w:val="4"/>
    </w:pPr>
    <w:rPr>
      <w:rFonts w:cs="Arial"/>
      <w:b/>
      <w:sz w:val="20"/>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6"/>
    <w:next w:val="Normal"/>
    <w:qFormat/>
    <w:rsid w:val="00A37DF9"/>
    <w:pPr>
      <w:keepNext w:val="0"/>
      <w:outlineLvl w:val="6"/>
    </w:pPr>
    <w:rPr>
      <w:b/>
      <w:bCs w:val="0"/>
      <w:sz w:val="22"/>
      <w:szCs w:val="20"/>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Department"/>
    <w:qFormat/>
    <w:rsid w:val="005B4B12"/>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2B2687"/>
    <w:pPr>
      <w:spacing w:after="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link w:val="TableTextBulletChar"/>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style>
  <w:style w:type="paragraph" w:styleId="ListParagraph">
    <w:name w:val="List Paragraph"/>
    <w:aliases w:val="NFP GP Bulleted List,List Paragraph1,Recommendation"/>
    <w:basedOn w:val="Normal"/>
    <w:next w:val="TOC9"/>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D2DD0"/>
    <w:rPr>
      <w:rFonts w:ascii="Arial" w:hAnsi="Arial" w:cs="Arial"/>
      <w:sz w:val="30"/>
      <w:szCs w:val="30"/>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paragraph" w:styleId="BodyText">
    <w:name w:val="Body Text"/>
    <w:basedOn w:val="Normal"/>
    <w:link w:val="BodyTextChar"/>
    <w:uiPriority w:val="99"/>
    <w:rsid w:val="004B66F1"/>
    <w:pPr>
      <w:spacing w:after="120"/>
    </w:pPr>
  </w:style>
  <w:style w:type="character" w:customStyle="1" w:styleId="BodyTextChar">
    <w:name w:val="Body Text Char"/>
    <w:basedOn w:val="DefaultParagraphFont"/>
    <w:link w:val="BodyText"/>
    <w:uiPriority w:val="99"/>
    <w:rsid w:val="004B66F1"/>
    <w:rPr>
      <w:rFonts w:ascii="Book Antiqua" w:hAnsi="Book Antiqua"/>
    </w:rPr>
  </w:style>
  <w:style w:type="character" w:customStyle="1" w:styleId="Heading5Char">
    <w:name w:val="Heading 5 Char"/>
    <w:basedOn w:val="DefaultParagraphFont"/>
    <w:link w:val="Heading5"/>
    <w:rsid w:val="00E453F8"/>
    <w:rPr>
      <w:rFonts w:ascii="Arial" w:hAnsi="Arial" w:cs="Arial"/>
      <w:b/>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872C20"/>
    <w:rPr>
      <w:rFonts w:ascii="Calibri" w:eastAsia="Calibri" w:hAnsi="Calibri"/>
      <w:sz w:val="22"/>
      <w:szCs w:val="22"/>
      <w:lang w:val="en-US" w:eastAsia="en-US"/>
    </w:rPr>
  </w:style>
  <w:style w:type="paragraph" w:customStyle="1" w:styleId="HeadingMin">
    <w:name w:val="HeadingMin"/>
    <w:basedOn w:val="Normal"/>
    <w:rsid w:val="000D084B"/>
    <w:pPr>
      <w:spacing w:after="0" w:line="240" w:lineRule="auto"/>
      <w:jc w:val="center"/>
    </w:pPr>
    <w:rPr>
      <w:rFonts w:ascii="Arial" w:hAnsi="Arial"/>
      <w:caps/>
      <w:spacing w:val="20"/>
      <w:sz w:val="40"/>
      <w:szCs w:val="24"/>
    </w:rPr>
  </w:style>
  <w:style w:type="paragraph" w:customStyle="1" w:styleId="HeadingOffice">
    <w:name w:val="HeadingOffice"/>
    <w:basedOn w:val="Normal"/>
    <w:rsid w:val="000D084B"/>
    <w:pPr>
      <w:spacing w:after="0" w:line="240" w:lineRule="auto"/>
      <w:jc w:val="center"/>
    </w:pPr>
    <w:rPr>
      <w:rFonts w:ascii="Arial" w:hAnsi="Arial"/>
      <w:spacing w:val="10"/>
      <w:sz w:val="28"/>
      <w:szCs w:val="24"/>
    </w:rPr>
  </w:style>
  <w:style w:type="character" w:customStyle="1" w:styleId="FooterChar">
    <w:name w:val="Footer Char"/>
    <w:basedOn w:val="DefaultParagraphFont"/>
    <w:link w:val="Footer"/>
    <w:uiPriority w:val="99"/>
    <w:rsid w:val="008A2E5A"/>
    <w:rPr>
      <w:rFonts w:ascii="Arial" w:hAnsi="Arial"/>
    </w:rPr>
  </w:style>
  <w:style w:type="character" w:styleId="Emphasis">
    <w:name w:val="Emphasis"/>
    <w:uiPriority w:val="20"/>
    <w:qFormat/>
    <w:rsid w:val="00901F17"/>
    <w:rPr>
      <w:i/>
      <w:iCs/>
    </w:rPr>
  </w:style>
  <w:style w:type="character" w:customStyle="1" w:styleId="TableTextBulletChar">
    <w:name w:val="Table Text Bullet Char"/>
    <w:link w:val="TableTextBullet"/>
    <w:rsid w:val="00A00FC6"/>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7875667">
      <w:bodyDiv w:val="1"/>
      <w:marLeft w:val="0"/>
      <w:marRight w:val="0"/>
      <w:marTop w:val="0"/>
      <w:marBottom w:val="0"/>
      <w:divBdr>
        <w:top w:val="none" w:sz="0" w:space="0" w:color="auto"/>
        <w:left w:val="none" w:sz="0" w:space="0" w:color="auto"/>
        <w:bottom w:val="none" w:sz="0" w:space="0" w:color="auto"/>
        <w:right w:val="none" w:sz="0" w:space="0" w:color="auto"/>
      </w:divBdr>
    </w:div>
    <w:div w:id="15931586">
      <w:bodyDiv w:val="1"/>
      <w:marLeft w:val="0"/>
      <w:marRight w:val="0"/>
      <w:marTop w:val="0"/>
      <w:marBottom w:val="0"/>
      <w:divBdr>
        <w:top w:val="none" w:sz="0" w:space="0" w:color="auto"/>
        <w:left w:val="none" w:sz="0" w:space="0" w:color="auto"/>
        <w:bottom w:val="none" w:sz="0" w:space="0" w:color="auto"/>
        <w:right w:val="none" w:sz="0" w:space="0" w:color="auto"/>
      </w:divBdr>
    </w:div>
    <w:div w:id="16733247">
      <w:bodyDiv w:val="1"/>
      <w:marLeft w:val="0"/>
      <w:marRight w:val="0"/>
      <w:marTop w:val="0"/>
      <w:marBottom w:val="0"/>
      <w:divBdr>
        <w:top w:val="none" w:sz="0" w:space="0" w:color="auto"/>
        <w:left w:val="none" w:sz="0" w:space="0" w:color="auto"/>
        <w:bottom w:val="none" w:sz="0" w:space="0" w:color="auto"/>
        <w:right w:val="none" w:sz="0" w:space="0" w:color="auto"/>
      </w:divBdr>
    </w:div>
    <w:div w:id="48113810">
      <w:bodyDiv w:val="1"/>
      <w:marLeft w:val="0"/>
      <w:marRight w:val="0"/>
      <w:marTop w:val="0"/>
      <w:marBottom w:val="0"/>
      <w:divBdr>
        <w:top w:val="none" w:sz="0" w:space="0" w:color="auto"/>
        <w:left w:val="none" w:sz="0" w:space="0" w:color="auto"/>
        <w:bottom w:val="none" w:sz="0" w:space="0" w:color="auto"/>
        <w:right w:val="none" w:sz="0" w:space="0" w:color="auto"/>
      </w:divBdr>
    </w:div>
    <w:div w:id="78797736">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972225">
      <w:bodyDiv w:val="1"/>
      <w:marLeft w:val="0"/>
      <w:marRight w:val="0"/>
      <w:marTop w:val="0"/>
      <w:marBottom w:val="0"/>
      <w:divBdr>
        <w:top w:val="none" w:sz="0" w:space="0" w:color="auto"/>
        <w:left w:val="none" w:sz="0" w:space="0" w:color="auto"/>
        <w:bottom w:val="none" w:sz="0" w:space="0" w:color="auto"/>
        <w:right w:val="none" w:sz="0" w:space="0" w:color="auto"/>
      </w:divBdr>
    </w:div>
    <w:div w:id="106852591">
      <w:bodyDiv w:val="1"/>
      <w:marLeft w:val="0"/>
      <w:marRight w:val="0"/>
      <w:marTop w:val="0"/>
      <w:marBottom w:val="0"/>
      <w:divBdr>
        <w:top w:val="none" w:sz="0" w:space="0" w:color="auto"/>
        <w:left w:val="none" w:sz="0" w:space="0" w:color="auto"/>
        <w:bottom w:val="none" w:sz="0" w:space="0" w:color="auto"/>
        <w:right w:val="none" w:sz="0" w:space="0" w:color="auto"/>
      </w:divBdr>
    </w:div>
    <w:div w:id="14327813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1843573">
      <w:bodyDiv w:val="1"/>
      <w:marLeft w:val="0"/>
      <w:marRight w:val="0"/>
      <w:marTop w:val="0"/>
      <w:marBottom w:val="0"/>
      <w:divBdr>
        <w:top w:val="none" w:sz="0" w:space="0" w:color="auto"/>
        <w:left w:val="none" w:sz="0" w:space="0" w:color="auto"/>
        <w:bottom w:val="none" w:sz="0" w:space="0" w:color="auto"/>
        <w:right w:val="none" w:sz="0" w:space="0" w:color="auto"/>
      </w:divBdr>
    </w:div>
    <w:div w:id="207227727">
      <w:bodyDiv w:val="1"/>
      <w:marLeft w:val="0"/>
      <w:marRight w:val="0"/>
      <w:marTop w:val="0"/>
      <w:marBottom w:val="0"/>
      <w:divBdr>
        <w:top w:val="none" w:sz="0" w:space="0" w:color="auto"/>
        <w:left w:val="none" w:sz="0" w:space="0" w:color="auto"/>
        <w:bottom w:val="none" w:sz="0" w:space="0" w:color="auto"/>
        <w:right w:val="none" w:sz="0" w:space="0" w:color="auto"/>
      </w:divBdr>
    </w:div>
    <w:div w:id="213665568">
      <w:bodyDiv w:val="1"/>
      <w:marLeft w:val="0"/>
      <w:marRight w:val="0"/>
      <w:marTop w:val="0"/>
      <w:marBottom w:val="0"/>
      <w:divBdr>
        <w:top w:val="none" w:sz="0" w:space="0" w:color="auto"/>
        <w:left w:val="none" w:sz="0" w:space="0" w:color="auto"/>
        <w:bottom w:val="none" w:sz="0" w:space="0" w:color="auto"/>
        <w:right w:val="none" w:sz="0" w:space="0" w:color="auto"/>
      </w:divBdr>
    </w:div>
    <w:div w:id="21701794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3053582">
      <w:bodyDiv w:val="1"/>
      <w:marLeft w:val="0"/>
      <w:marRight w:val="0"/>
      <w:marTop w:val="0"/>
      <w:marBottom w:val="0"/>
      <w:divBdr>
        <w:top w:val="none" w:sz="0" w:space="0" w:color="auto"/>
        <w:left w:val="none" w:sz="0" w:space="0" w:color="auto"/>
        <w:bottom w:val="none" w:sz="0" w:space="0" w:color="auto"/>
        <w:right w:val="none" w:sz="0" w:space="0" w:color="auto"/>
      </w:divBdr>
    </w:div>
    <w:div w:id="237981028">
      <w:bodyDiv w:val="1"/>
      <w:marLeft w:val="0"/>
      <w:marRight w:val="0"/>
      <w:marTop w:val="0"/>
      <w:marBottom w:val="0"/>
      <w:divBdr>
        <w:top w:val="none" w:sz="0" w:space="0" w:color="auto"/>
        <w:left w:val="none" w:sz="0" w:space="0" w:color="auto"/>
        <w:bottom w:val="none" w:sz="0" w:space="0" w:color="auto"/>
        <w:right w:val="none" w:sz="0" w:space="0" w:color="auto"/>
      </w:divBdr>
    </w:div>
    <w:div w:id="239025080">
      <w:bodyDiv w:val="1"/>
      <w:marLeft w:val="0"/>
      <w:marRight w:val="0"/>
      <w:marTop w:val="0"/>
      <w:marBottom w:val="0"/>
      <w:divBdr>
        <w:top w:val="none" w:sz="0" w:space="0" w:color="auto"/>
        <w:left w:val="none" w:sz="0" w:space="0" w:color="auto"/>
        <w:bottom w:val="none" w:sz="0" w:space="0" w:color="auto"/>
        <w:right w:val="none" w:sz="0" w:space="0" w:color="auto"/>
      </w:divBdr>
    </w:div>
    <w:div w:id="241648202">
      <w:bodyDiv w:val="1"/>
      <w:marLeft w:val="0"/>
      <w:marRight w:val="0"/>
      <w:marTop w:val="0"/>
      <w:marBottom w:val="0"/>
      <w:divBdr>
        <w:top w:val="none" w:sz="0" w:space="0" w:color="auto"/>
        <w:left w:val="none" w:sz="0" w:space="0" w:color="auto"/>
        <w:bottom w:val="none" w:sz="0" w:space="0" w:color="auto"/>
        <w:right w:val="none" w:sz="0" w:space="0" w:color="auto"/>
      </w:divBdr>
    </w:div>
    <w:div w:id="252863759">
      <w:bodyDiv w:val="1"/>
      <w:marLeft w:val="0"/>
      <w:marRight w:val="0"/>
      <w:marTop w:val="0"/>
      <w:marBottom w:val="0"/>
      <w:divBdr>
        <w:top w:val="none" w:sz="0" w:space="0" w:color="auto"/>
        <w:left w:val="none" w:sz="0" w:space="0" w:color="auto"/>
        <w:bottom w:val="none" w:sz="0" w:space="0" w:color="auto"/>
        <w:right w:val="none" w:sz="0" w:space="0" w:color="auto"/>
      </w:divBdr>
    </w:div>
    <w:div w:id="290673867">
      <w:bodyDiv w:val="1"/>
      <w:marLeft w:val="0"/>
      <w:marRight w:val="0"/>
      <w:marTop w:val="0"/>
      <w:marBottom w:val="0"/>
      <w:divBdr>
        <w:top w:val="none" w:sz="0" w:space="0" w:color="auto"/>
        <w:left w:val="none" w:sz="0" w:space="0" w:color="auto"/>
        <w:bottom w:val="none" w:sz="0" w:space="0" w:color="auto"/>
        <w:right w:val="none" w:sz="0" w:space="0" w:color="auto"/>
      </w:divBdr>
    </w:div>
    <w:div w:id="29742010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426179">
      <w:bodyDiv w:val="1"/>
      <w:marLeft w:val="0"/>
      <w:marRight w:val="0"/>
      <w:marTop w:val="0"/>
      <w:marBottom w:val="0"/>
      <w:divBdr>
        <w:top w:val="none" w:sz="0" w:space="0" w:color="auto"/>
        <w:left w:val="none" w:sz="0" w:space="0" w:color="auto"/>
        <w:bottom w:val="none" w:sz="0" w:space="0" w:color="auto"/>
        <w:right w:val="none" w:sz="0" w:space="0" w:color="auto"/>
      </w:divBdr>
    </w:div>
    <w:div w:id="311255637">
      <w:bodyDiv w:val="1"/>
      <w:marLeft w:val="0"/>
      <w:marRight w:val="0"/>
      <w:marTop w:val="0"/>
      <w:marBottom w:val="0"/>
      <w:divBdr>
        <w:top w:val="none" w:sz="0" w:space="0" w:color="auto"/>
        <w:left w:val="none" w:sz="0" w:space="0" w:color="auto"/>
        <w:bottom w:val="none" w:sz="0" w:space="0" w:color="auto"/>
        <w:right w:val="none" w:sz="0" w:space="0" w:color="auto"/>
      </w:divBdr>
    </w:div>
    <w:div w:id="32501408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1057944">
      <w:bodyDiv w:val="1"/>
      <w:marLeft w:val="0"/>
      <w:marRight w:val="0"/>
      <w:marTop w:val="0"/>
      <w:marBottom w:val="0"/>
      <w:divBdr>
        <w:top w:val="none" w:sz="0" w:space="0" w:color="auto"/>
        <w:left w:val="none" w:sz="0" w:space="0" w:color="auto"/>
        <w:bottom w:val="none" w:sz="0" w:space="0" w:color="auto"/>
        <w:right w:val="none" w:sz="0" w:space="0" w:color="auto"/>
      </w:divBdr>
    </w:div>
    <w:div w:id="343243777">
      <w:bodyDiv w:val="1"/>
      <w:marLeft w:val="0"/>
      <w:marRight w:val="0"/>
      <w:marTop w:val="0"/>
      <w:marBottom w:val="0"/>
      <w:divBdr>
        <w:top w:val="none" w:sz="0" w:space="0" w:color="auto"/>
        <w:left w:val="none" w:sz="0" w:space="0" w:color="auto"/>
        <w:bottom w:val="none" w:sz="0" w:space="0" w:color="auto"/>
        <w:right w:val="none" w:sz="0" w:space="0" w:color="auto"/>
      </w:divBdr>
    </w:div>
    <w:div w:id="343440689">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7068224">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737272">
      <w:bodyDiv w:val="1"/>
      <w:marLeft w:val="0"/>
      <w:marRight w:val="0"/>
      <w:marTop w:val="0"/>
      <w:marBottom w:val="0"/>
      <w:divBdr>
        <w:top w:val="none" w:sz="0" w:space="0" w:color="auto"/>
        <w:left w:val="none" w:sz="0" w:space="0" w:color="auto"/>
        <w:bottom w:val="none" w:sz="0" w:space="0" w:color="auto"/>
        <w:right w:val="none" w:sz="0" w:space="0" w:color="auto"/>
      </w:divBdr>
    </w:div>
    <w:div w:id="382027844">
      <w:bodyDiv w:val="1"/>
      <w:marLeft w:val="0"/>
      <w:marRight w:val="0"/>
      <w:marTop w:val="0"/>
      <w:marBottom w:val="0"/>
      <w:divBdr>
        <w:top w:val="none" w:sz="0" w:space="0" w:color="auto"/>
        <w:left w:val="none" w:sz="0" w:space="0" w:color="auto"/>
        <w:bottom w:val="none" w:sz="0" w:space="0" w:color="auto"/>
        <w:right w:val="none" w:sz="0" w:space="0" w:color="auto"/>
      </w:divBdr>
    </w:div>
    <w:div w:id="390882456">
      <w:bodyDiv w:val="1"/>
      <w:marLeft w:val="0"/>
      <w:marRight w:val="0"/>
      <w:marTop w:val="0"/>
      <w:marBottom w:val="0"/>
      <w:divBdr>
        <w:top w:val="none" w:sz="0" w:space="0" w:color="auto"/>
        <w:left w:val="none" w:sz="0" w:space="0" w:color="auto"/>
        <w:bottom w:val="none" w:sz="0" w:space="0" w:color="auto"/>
        <w:right w:val="none" w:sz="0" w:space="0" w:color="auto"/>
      </w:divBdr>
    </w:div>
    <w:div w:id="394358723">
      <w:bodyDiv w:val="1"/>
      <w:marLeft w:val="0"/>
      <w:marRight w:val="0"/>
      <w:marTop w:val="0"/>
      <w:marBottom w:val="0"/>
      <w:divBdr>
        <w:top w:val="none" w:sz="0" w:space="0" w:color="auto"/>
        <w:left w:val="none" w:sz="0" w:space="0" w:color="auto"/>
        <w:bottom w:val="none" w:sz="0" w:space="0" w:color="auto"/>
        <w:right w:val="none" w:sz="0" w:space="0" w:color="auto"/>
      </w:divBdr>
    </w:div>
    <w:div w:id="396251118">
      <w:bodyDiv w:val="1"/>
      <w:marLeft w:val="0"/>
      <w:marRight w:val="0"/>
      <w:marTop w:val="0"/>
      <w:marBottom w:val="0"/>
      <w:divBdr>
        <w:top w:val="none" w:sz="0" w:space="0" w:color="auto"/>
        <w:left w:val="none" w:sz="0" w:space="0" w:color="auto"/>
        <w:bottom w:val="none" w:sz="0" w:space="0" w:color="auto"/>
        <w:right w:val="none" w:sz="0" w:space="0" w:color="auto"/>
      </w:divBdr>
    </w:div>
    <w:div w:id="428895462">
      <w:bodyDiv w:val="1"/>
      <w:marLeft w:val="0"/>
      <w:marRight w:val="0"/>
      <w:marTop w:val="0"/>
      <w:marBottom w:val="0"/>
      <w:divBdr>
        <w:top w:val="none" w:sz="0" w:space="0" w:color="auto"/>
        <w:left w:val="none" w:sz="0" w:space="0" w:color="auto"/>
        <w:bottom w:val="none" w:sz="0" w:space="0" w:color="auto"/>
        <w:right w:val="none" w:sz="0" w:space="0" w:color="auto"/>
      </w:divBdr>
    </w:div>
    <w:div w:id="446698882">
      <w:bodyDiv w:val="1"/>
      <w:marLeft w:val="0"/>
      <w:marRight w:val="0"/>
      <w:marTop w:val="0"/>
      <w:marBottom w:val="0"/>
      <w:divBdr>
        <w:top w:val="none" w:sz="0" w:space="0" w:color="auto"/>
        <w:left w:val="none" w:sz="0" w:space="0" w:color="auto"/>
        <w:bottom w:val="none" w:sz="0" w:space="0" w:color="auto"/>
        <w:right w:val="none" w:sz="0" w:space="0" w:color="auto"/>
      </w:divBdr>
    </w:div>
    <w:div w:id="44770116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5102728">
      <w:bodyDiv w:val="1"/>
      <w:marLeft w:val="0"/>
      <w:marRight w:val="0"/>
      <w:marTop w:val="0"/>
      <w:marBottom w:val="0"/>
      <w:divBdr>
        <w:top w:val="none" w:sz="0" w:space="0" w:color="auto"/>
        <w:left w:val="none" w:sz="0" w:space="0" w:color="auto"/>
        <w:bottom w:val="none" w:sz="0" w:space="0" w:color="auto"/>
        <w:right w:val="none" w:sz="0" w:space="0" w:color="auto"/>
      </w:divBdr>
    </w:div>
    <w:div w:id="49129045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8721086">
      <w:bodyDiv w:val="1"/>
      <w:marLeft w:val="0"/>
      <w:marRight w:val="0"/>
      <w:marTop w:val="0"/>
      <w:marBottom w:val="0"/>
      <w:divBdr>
        <w:top w:val="none" w:sz="0" w:space="0" w:color="auto"/>
        <w:left w:val="none" w:sz="0" w:space="0" w:color="auto"/>
        <w:bottom w:val="none" w:sz="0" w:space="0" w:color="auto"/>
        <w:right w:val="none" w:sz="0" w:space="0" w:color="auto"/>
      </w:divBdr>
    </w:div>
    <w:div w:id="534193809">
      <w:bodyDiv w:val="1"/>
      <w:marLeft w:val="0"/>
      <w:marRight w:val="0"/>
      <w:marTop w:val="0"/>
      <w:marBottom w:val="0"/>
      <w:divBdr>
        <w:top w:val="none" w:sz="0" w:space="0" w:color="auto"/>
        <w:left w:val="none" w:sz="0" w:space="0" w:color="auto"/>
        <w:bottom w:val="none" w:sz="0" w:space="0" w:color="auto"/>
        <w:right w:val="none" w:sz="0" w:space="0" w:color="auto"/>
      </w:divBdr>
    </w:div>
    <w:div w:id="566108423">
      <w:bodyDiv w:val="1"/>
      <w:marLeft w:val="0"/>
      <w:marRight w:val="0"/>
      <w:marTop w:val="0"/>
      <w:marBottom w:val="0"/>
      <w:divBdr>
        <w:top w:val="none" w:sz="0" w:space="0" w:color="auto"/>
        <w:left w:val="none" w:sz="0" w:space="0" w:color="auto"/>
        <w:bottom w:val="none" w:sz="0" w:space="0" w:color="auto"/>
        <w:right w:val="none" w:sz="0" w:space="0" w:color="auto"/>
      </w:divBdr>
    </w:div>
    <w:div w:id="5745863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4001">
      <w:bodyDiv w:val="1"/>
      <w:marLeft w:val="0"/>
      <w:marRight w:val="0"/>
      <w:marTop w:val="0"/>
      <w:marBottom w:val="0"/>
      <w:divBdr>
        <w:top w:val="none" w:sz="0" w:space="0" w:color="auto"/>
        <w:left w:val="none" w:sz="0" w:space="0" w:color="auto"/>
        <w:bottom w:val="none" w:sz="0" w:space="0" w:color="auto"/>
        <w:right w:val="none" w:sz="0" w:space="0" w:color="auto"/>
      </w:divBdr>
    </w:div>
    <w:div w:id="617493845">
      <w:bodyDiv w:val="1"/>
      <w:marLeft w:val="0"/>
      <w:marRight w:val="0"/>
      <w:marTop w:val="0"/>
      <w:marBottom w:val="0"/>
      <w:divBdr>
        <w:top w:val="none" w:sz="0" w:space="0" w:color="auto"/>
        <w:left w:val="none" w:sz="0" w:space="0" w:color="auto"/>
        <w:bottom w:val="none" w:sz="0" w:space="0" w:color="auto"/>
        <w:right w:val="none" w:sz="0" w:space="0" w:color="auto"/>
      </w:divBdr>
    </w:div>
    <w:div w:id="618336174">
      <w:bodyDiv w:val="1"/>
      <w:marLeft w:val="0"/>
      <w:marRight w:val="0"/>
      <w:marTop w:val="0"/>
      <w:marBottom w:val="0"/>
      <w:divBdr>
        <w:top w:val="none" w:sz="0" w:space="0" w:color="auto"/>
        <w:left w:val="none" w:sz="0" w:space="0" w:color="auto"/>
        <w:bottom w:val="none" w:sz="0" w:space="0" w:color="auto"/>
        <w:right w:val="none" w:sz="0" w:space="0" w:color="auto"/>
      </w:divBdr>
    </w:div>
    <w:div w:id="632951924">
      <w:bodyDiv w:val="1"/>
      <w:marLeft w:val="0"/>
      <w:marRight w:val="0"/>
      <w:marTop w:val="0"/>
      <w:marBottom w:val="0"/>
      <w:divBdr>
        <w:top w:val="none" w:sz="0" w:space="0" w:color="auto"/>
        <w:left w:val="none" w:sz="0" w:space="0" w:color="auto"/>
        <w:bottom w:val="none" w:sz="0" w:space="0" w:color="auto"/>
        <w:right w:val="none" w:sz="0" w:space="0" w:color="auto"/>
      </w:divBdr>
    </w:div>
    <w:div w:id="644940959">
      <w:bodyDiv w:val="1"/>
      <w:marLeft w:val="0"/>
      <w:marRight w:val="0"/>
      <w:marTop w:val="0"/>
      <w:marBottom w:val="0"/>
      <w:divBdr>
        <w:top w:val="none" w:sz="0" w:space="0" w:color="auto"/>
        <w:left w:val="none" w:sz="0" w:space="0" w:color="auto"/>
        <w:bottom w:val="none" w:sz="0" w:space="0" w:color="auto"/>
        <w:right w:val="none" w:sz="0" w:space="0" w:color="auto"/>
      </w:divBdr>
    </w:div>
    <w:div w:id="648747730">
      <w:bodyDiv w:val="1"/>
      <w:marLeft w:val="0"/>
      <w:marRight w:val="0"/>
      <w:marTop w:val="0"/>
      <w:marBottom w:val="0"/>
      <w:divBdr>
        <w:top w:val="none" w:sz="0" w:space="0" w:color="auto"/>
        <w:left w:val="none" w:sz="0" w:space="0" w:color="auto"/>
        <w:bottom w:val="none" w:sz="0" w:space="0" w:color="auto"/>
        <w:right w:val="none" w:sz="0" w:space="0" w:color="auto"/>
      </w:divBdr>
    </w:div>
    <w:div w:id="678387635">
      <w:bodyDiv w:val="1"/>
      <w:marLeft w:val="0"/>
      <w:marRight w:val="0"/>
      <w:marTop w:val="0"/>
      <w:marBottom w:val="0"/>
      <w:divBdr>
        <w:top w:val="none" w:sz="0" w:space="0" w:color="auto"/>
        <w:left w:val="none" w:sz="0" w:space="0" w:color="auto"/>
        <w:bottom w:val="none" w:sz="0" w:space="0" w:color="auto"/>
        <w:right w:val="none" w:sz="0" w:space="0" w:color="auto"/>
      </w:divBdr>
    </w:div>
    <w:div w:id="703362902">
      <w:bodyDiv w:val="1"/>
      <w:marLeft w:val="0"/>
      <w:marRight w:val="0"/>
      <w:marTop w:val="0"/>
      <w:marBottom w:val="0"/>
      <w:divBdr>
        <w:top w:val="none" w:sz="0" w:space="0" w:color="auto"/>
        <w:left w:val="none" w:sz="0" w:space="0" w:color="auto"/>
        <w:bottom w:val="none" w:sz="0" w:space="0" w:color="auto"/>
        <w:right w:val="none" w:sz="0" w:space="0" w:color="auto"/>
      </w:divBdr>
    </w:div>
    <w:div w:id="723219266">
      <w:bodyDiv w:val="1"/>
      <w:marLeft w:val="0"/>
      <w:marRight w:val="0"/>
      <w:marTop w:val="0"/>
      <w:marBottom w:val="0"/>
      <w:divBdr>
        <w:top w:val="none" w:sz="0" w:space="0" w:color="auto"/>
        <w:left w:val="none" w:sz="0" w:space="0" w:color="auto"/>
        <w:bottom w:val="none" w:sz="0" w:space="0" w:color="auto"/>
        <w:right w:val="none" w:sz="0" w:space="0" w:color="auto"/>
      </w:divBdr>
    </w:div>
    <w:div w:id="724182765">
      <w:bodyDiv w:val="1"/>
      <w:marLeft w:val="0"/>
      <w:marRight w:val="0"/>
      <w:marTop w:val="0"/>
      <w:marBottom w:val="0"/>
      <w:divBdr>
        <w:top w:val="none" w:sz="0" w:space="0" w:color="auto"/>
        <w:left w:val="none" w:sz="0" w:space="0" w:color="auto"/>
        <w:bottom w:val="none" w:sz="0" w:space="0" w:color="auto"/>
        <w:right w:val="none" w:sz="0" w:space="0" w:color="auto"/>
      </w:divBdr>
    </w:div>
    <w:div w:id="730663296">
      <w:bodyDiv w:val="1"/>
      <w:marLeft w:val="0"/>
      <w:marRight w:val="0"/>
      <w:marTop w:val="0"/>
      <w:marBottom w:val="0"/>
      <w:divBdr>
        <w:top w:val="none" w:sz="0" w:space="0" w:color="auto"/>
        <w:left w:val="none" w:sz="0" w:space="0" w:color="auto"/>
        <w:bottom w:val="none" w:sz="0" w:space="0" w:color="auto"/>
        <w:right w:val="none" w:sz="0" w:space="0" w:color="auto"/>
      </w:divBdr>
    </w:div>
    <w:div w:id="745349109">
      <w:bodyDiv w:val="1"/>
      <w:marLeft w:val="0"/>
      <w:marRight w:val="0"/>
      <w:marTop w:val="0"/>
      <w:marBottom w:val="0"/>
      <w:divBdr>
        <w:top w:val="none" w:sz="0" w:space="0" w:color="auto"/>
        <w:left w:val="none" w:sz="0" w:space="0" w:color="auto"/>
        <w:bottom w:val="none" w:sz="0" w:space="0" w:color="auto"/>
        <w:right w:val="none" w:sz="0" w:space="0" w:color="auto"/>
      </w:divBdr>
    </w:div>
    <w:div w:id="772212723">
      <w:bodyDiv w:val="1"/>
      <w:marLeft w:val="0"/>
      <w:marRight w:val="0"/>
      <w:marTop w:val="0"/>
      <w:marBottom w:val="0"/>
      <w:divBdr>
        <w:top w:val="none" w:sz="0" w:space="0" w:color="auto"/>
        <w:left w:val="none" w:sz="0" w:space="0" w:color="auto"/>
        <w:bottom w:val="none" w:sz="0" w:space="0" w:color="auto"/>
        <w:right w:val="none" w:sz="0" w:space="0" w:color="auto"/>
      </w:divBdr>
    </w:div>
    <w:div w:id="774053512">
      <w:bodyDiv w:val="1"/>
      <w:marLeft w:val="0"/>
      <w:marRight w:val="0"/>
      <w:marTop w:val="0"/>
      <w:marBottom w:val="0"/>
      <w:divBdr>
        <w:top w:val="none" w:sz="0" w:space="0" w:color="auto"/>
        <w:left w:val="none" w:sz="0" w:space="0" w:color="auto"/>
        <w:bottom w:val="none" w:sz="0" w:space="0" w:color="auto"/>
        <w:right w:val="none" w:sz="0" w:space="0" w:color="auto"/>
      </w:divBdr>
    </w:div>
    <w:div w:id="777217173">
      <w:bodyDiv w:val="1"/>
      <w:marLeft w:val="0"/>
      <w:marRight w:val="0"/>
      <w:marTop w:val="0"/>
      <w:marBottom w:val="0"/>
      <w:divBdr>
        <w:top w:val="none" w:sz="0" w:space="0" w:color="auto"/>
        <w:left w:val="none" w:sz="0" w:space="0" w:color="auto"/>
        <w:bottom w:val="none" w:sz="0" w:space="0" w:color="auto"/>
        <w:right w:val="none" w:sz="0" w:space="0" w:color="auto"/>
      </w:divBdr>
    </w:div>
    <w:div w:id="789474855">
      <w:bodyDiv w:val="1"/>
      <w:marLeft w:val="0"/>
      <w:marRight w:val="0"/>
      <w:marTop w:val="0"/>
      <w:marBottom w:val="0"/>
      <w:divBdr>
        <w:top w:val="none" w:sz="0" w:space="0" w:color="auto"/>
        <w:left w:val="none" w:sz="0" w:space="0" w:color="auto"/>
        <w:bottom w:val="none" w:sz="0" w:space="0" w:color="auto"/>
        <w:right w:val="none" w:sz="0" w:space="0" w:color="auto"/>
      </w:divBdr>
    </w:div>
    <w:div w:id="791821132">
      <w:bodyDiv w:val="1"/>
      <w:marLeft w:val="0"/>
      <w:marRight w:val="0"/>
      <w:marTop w:val="0"/>
      <w:marBottom w:val="0"/>
      <w:divBdr>
        <w:top w:val="none" w:sz="0" w:space="0" w:color="auto"/>
        <w:left w:val="none" w:sz="0" w:space="0" w:color="auto"/>
        <w:bottom w:val="none" w:sz="0" w:space="0" w:color="auto"/>
        <w:right w:val="none" w:sz="0" w:space="0" w:color="auto"/>
      </w:divBdr>
    </w:div>
    <w:div w:id="797917482">
      <w:bodyDiv w:val="1"/>
      <w:marLeft w:val="0"/>
      <w:marRight w:val="0"/>
      <w:marTop w:val="0"/>
      <w:marBottom w:val="0"/>
      <w:divBdr>
        <w:top w:val="none" w:sz="0" w:space="0" w:color="auto"/>
        <w:left w:val="none" w:sz="0" w:space="0" w:color="auto"/>
        <w:bottom w:val="none" w:sz="0" w:space="0" w:color="auto"/>
        <w:right w:val="none" w:sz="0" w:space="0" w:color="auto"/>
      </w:divBdr>
    </w:div>
    <w:div w:id="824853926">
      <w:bodyDiv w:val="1"/>
      <w:marLeft w:val="0"/>
      <w:marRight w:val="0"/>
      <w:marTop w:val="0"/>
      <w:marBottom w:val="0"/>
      <w:divBdr>
        <w:top w:val="none" w:sz="0" w:space="0" w:color="auto"/>
        <w:left w:val="none" w:sz="0" w:space="0" w:color="auto"/>
        <w:bottom w:val="none" w:sz="0" w:space="0" w:color="auto"/>
        <w:right w:val="none" w:sz="0" w:space="0" w:color="auto"/>
      </w:divBdr>
    </w:div>
    <w:div w:id="829053857">
      <w:bodyDiv w:val="1"/>
      <w:marLeft w:val="0"/>
      <w:marRight w:val="0"/>
      <w:marTop w:val="0"/>
      <w:marBottom w:val="0"/>
      <w:divBdr>
        <w:top w:val="none" w:sz="0" w:space="0" w:color="auto"/>
        <w:left w:val="none" w:sz="0" w:space="0" w:color="auto"/>
        <w:bottom w:val="none" w:sz="0" w:space="0" w:color="auto"/>
        <w:right w:val="none" w:sz="0" w:space="0" w:color="auto"/>
      </w:divBdr>
    </w:div>
    <w:div w:id="832257572">
      <w:bodyDiv w:val="1"/>
      <w:marLeft w:val="0"/>
      <w:marRight w:val="0"/>
      <w:marTop w:val="0"/>
      <w:marBottom w:val="0"/>
      <w:divBdr>
        <w:top w:val="none" w:sz="0" w:space="0" w:color="auto"/>
        <w:left w:val="none" w:sz="0" w:space="0" w:color="auto"/>
        <w:bottom w:val="none" w:sz="0" w:space="0" w:color="auto"/>
        <w:right w:val="none" w:sz="0" w:space="0" w:color="auto"/>
      </w:divBdr>
    </w:div>
    <w:div w:id="836267157">
      <w:bodyDiv w:val="1"/>
      <w:marLeft w:val="0"/>
      <w:marRight w:val="0"/>
      <w:marTop w:val="0"/>
      <w:marBottom w:val="0"/>
      <w:divBdr>
        <w:top w:val="none" w:sz="0" w:space="0" w:color="auto"/>
        <w:left w:val="none" w:sz="0" w:space="0" w:color="auto"/>
        <w:bottom w:val="none" w:sz="0" w:space="0" w:color="auto"/>
        <w:right w:val="none" w:sz="0" w:space="0" w:color="auto"/>
      </w:divBdr>
    </w:div>
    <w:div w:id="84096956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75580475">
      <w:bodyDiv w:val="1"/>
      <w:marLeft w:val="0"/>
      <w:marRight w:val="0"/>
      <w:marTop w:val="0"/>
      <w:marBottom w:val="0"/>
      <w:divBdr>
        <w:top w:val="none" w:sz="0" w:space="0" w:color="auto"/>
        <w:left w:val="none" w:sz="0" w:space="0" w:color="auto"/>
        <w:bottom w:val="none" w:sz="0" w:space="0" w:color="auto"/>
        <w:right w:val="none" w:sz="0" w:space="0" w:color="auto"/>
      </w:divBdr>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7690765">
      <w:bodyDiv w:val="1"/>
      <w:marLeft w:val="0"/>
      <w:marRight w:val="0"/>
      <w:marTop w:val="0"/>
      <w:marBottom w:val="0"/>
      <w:divBdr>
        <w:top w:val="none" w:sz="0" w:space="0" w:color="auto"/>
        <w:left w:val="none" w:sz="0" w:space="0" w:color="auto"/>
        <w:bottom w:val="none" w:sz="0" w:space="0" w:color="auto"/>
        <w:right w:val="none" w:sz="0" w:space="0" w:color="auto"/>
      </w:divBdr>
    </w:div>
    <w:div w:id="899824175">
      <w:bodyDiv w:val="1"/>
      <w:marLeft w:val="0"/>
      <w:marRight w:val="0"/>
      <w:marTop w:val="0"/>
      <w:marBottom w:val="0"/>
      <w:divBdr>
        <w:top w:val="none" w:sz="0" w:space="0" w:color="auto"/>
        <w:left w:val="none" w:sz="0" w:space="0" w:color="auto"/>
        <w:bottom w:val="none" w:sz="0" w:space="0" w:color="auto"/>
        <w:right w:val="none" w:sz="0" w:space="0" w:color="auto"/>
      </w:divBdr>
    </w:div>
    <w:div w:id="90954001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292888">
      <w:bodyDiv w:val="1"/>
      <w:marLeft w:val="0"/>
      <w:marRight w:val="0"/>
      <w:marTop w:val="0"/>
      <w:marBottom w:val="0"/>
      <w:divBdr>
        <w:top w:val="none" w:sz="0" w:space="0" w:color="auto"/>
        <w:left w:val="none" w:sz="0" w:space="0" w:color="auto"/>
        <w:bottom w:val="none" w:sz="0" w:space="0" w:color="auto"/>
        <w:right w:val="none" w:sz="0" w:space="0" w:color="auto"/>
      </w:divBdr>
    </w:div>
    <w:div w:id="919364728">
      <w:bodyDiv w:val="1"/>
      <w:marLeft w:val="0"/>
      <w:marRight w:val="0"/>
      <w:marTop w:val="0"/>
      <w:marBottom w:val="0"/>
      <w:divBdr>
        <w:top w:val="none" w:sz="0" w:space="0" w:color="auto"/>
        <w:left w:val="none" w:sz="0" w:space="0" w:color="auto"/>
        <w:bottom w:val="none" w:sz="0" w:space="0" w:color="auto"/>
        <w:right w:val="none" w:sz="0" w:space="0" w:color="auto"/>
      </w:divBdr>
    </w:div>
    <w:div w:id="925845560">
      <w:bodyDiv w:val="1"/>
      <w:marLeft w:val="0"/>
      <w:marRight w:val="0"/>
      <w:marTop w:val="0"/>
      <w:marBottom w:val="0"/>
      <w:divBdr>
        <w:top w:val="none" w:sz="0" w:space="0" w:color="auto"/>
        <w:left w:val="none" w:sz="0" w:space="0" w:color="auto"/>
        <w:bottom w:val="none" w:sz="0" w:space="0" w:color="auto"/>
        <w:right w:val="none" w:sz="0" w:space="0" w:color="auto"/>
      </w:divBdr>
    </w:div>
    <w:div w:id="936786190">
      <w:bodyDiv w:val="1"/>
      <w:marLeft w:val="0"/>
      <w:marRight w:val="0"/>
      <w:marTop w:val="0"/>
      <w:marBottom w:val="0"/>
      <w:divBdr>
        <w:top w:val="none" w:sz="0" w:space="0" w:color="auto"/>
        <w:left w:val="none" w:sz="0" w:space="0" w:color="auto"/>
        <w:bottom w:val="none" w:sz="0" w:space="0" w:color="auto"/>
        <w:right w:val="none" w:sz="0" w:space="0" w:color="auto"/>
      </w:divBdr>
    </w:div>
    <w:div w:id="963345780">
      <w:bodyDiv w:val="1"/>
      <w:marLeft w:val="0"/>
      <w:marRight w:val="0"/>
      <w:marTop w:val="0"/>
      <w:marBottom w:val="0"/>
      <w:divBdr>
        <w:top w:val="none" w:sz="0" w:space="0" w:color="auto"/>
        <w:left w:val="none" w:sz="0" w:space="0" w:color="auto"/>
        <w:bottom w:val="none" w:sz="0" w:space="0" w:color="auto"/>
        <w:right w:val="none" w:sz="0" w:space="0" w:color="auto"/>
      </w:divBdr>
    </w:div>
    <w:div w:id="9774883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4698093">
      <w:bodyDiv w:val="1"/>
      <w:marLeft w:val="0"/>
      <w:marRight w:val="0"/>
      <w:marTop w:val="0"/>
      <w:marBottom w:val="0"/>
      <w:divBdr>
        <w:top w:val="none" w:sz="0" w:space="0" w:color="auto"/>
        <w:left w:val="none" w:sz="0" w:space="0" w:color="auto"/>
        <w:bottom w:val="none" w:sz="0" w:space="0" w:color="auto"/>
        <w:right w:val="none" w:sz="0" w:space="0" w:color="auto"/>
      </w:divBdr>
    </w:div>
    <w:div w:id="984898352">
      <w:bodyDiv w:val="1"/>
      <w:marLeft w:val="0"/>
      <w:marRight w:val="0"/>
      <w:marTop w:val="0"/>
      <w:marBottom w:val="0"/>
      <w:divBdr>
        <w:top w:val="none" w:sz="0" w:space="0" w:color="auto"/>
        <w:left w:val="none" w:sz="0" w:space="0" w:color="auto"/>
        <w:bottom w:val="none" w:sz="0" w:space="0" w:color="auto"/>
        <w:right w:val="none" w:sz="0" w:space="0" w:color="auto"/>
      </w:divBdr>
    </w:div>
    <w:div w:id="990451712">
      <w:bodyDiv w:val="1"/>
      <w:marLeft w:val="0"/>
      <w:marRight w:val="0"/>
      <w:marTop w:val="0"/>
      <w:marBottom w:val="0"/>
      <w:divBdr>
        <w:top w:val="none" w:sz="0" w:space="0" w:color="auto"/>
        <w:left w:val="none" w:sz="0" w:space="0" w:color="auto"/>
        <w:bottom w:val="none" w:sz="0" w:space="0" w:color="auto"/>
        <w:right w:val="none" w:sz="0" w:space="0" w:color="auto"/>
      </w:divBdr>
    </w:div>
    <w:div w:id="99222140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7776255">
      <w:bodyDiv w:val="1"/>
      <w:marLeft w:val="0"/>
      <w:marRight w:val="0"/>
      <w:marTop w:val="0"/>
      <w:marBottom w:val="0"/>
      <w:divBdr>
        <w:top w:val="none" w:sz="0" w:space="0" w:color="auto"/>
        <w:left w:val="none" w:sz="0" w:space="0" w:color="auto"/>
        <w:bottom w:val="none" w:sz="0" w:space="0" w:color="auto"/>
        <w:right w:val="none" w:sz="0" w:space="0" w:color="auto"/>
      </w:divBdr>
    </w:div>
    <w:div w:id="104413900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2190243">
      <w:bodyDiv w:val="1"/>
      <w:marLeft w:val="0"/>
      <w:marRight w:val="0"/>
      <w:marTop w:val="0"/>
      <w:marBottom w:val="0"/>
      <w:divBdr>
        <w:top w:val="none" w:sz="0" w:space="0" w:color="auto"/>
        <w:left w:val="none" w:sz="0" w:space="0" w:color="auto"/>
        <w:bottom w:val="none" w:sz="0" w:space="0" w:color="auto"/>
        <w:right w:val="none" w:sz="0" w:space="0" w:color="auto"/>
      </w:divBdr>
    </w:div>
    <w:div w:id="1056123638">
      <w:bodyDiv w:val="1"/>
      <w:marLeft w:val="0"/>
      <w:marRight w:val="0"/>
      <w:marTop w:val="0"/>
      <w:marBottom w:val="0"/>
      <w:divBdr>
        <w:top w:val="none" w:sz="0" w:space="0" w:color="auto"/>
        <w:left w:val="none" w:sz="0" w:space="0" w:color="auto"/>
        <w:bottom w:val="none" w:sz="0" w:space="0" w:color="auto"/>
        <w:right w:val="none" w:sz="0" w:space="0" w:color="auto"/>
      </w:divBdr>
    </w:div>
    <w:div w:id="1062365761">
      <w:bodyDiv w:val="1"/>
      <w:marLeft w:val="0"/>
      <w:marRight w:val="0"/>
      <w:marTop w:val="0"/>
      <w:marBottom w:val="0"/>
      <w:divBdr>
        <w:top w:val="none" w:sz="0" w:space="0" w:color="auto"/>
        <w:left w:val="none" w:sz="0" w:space="0" w:color="auto"/>
        <w:bottom w:val="none" w:sz="0" w:space="0" w:color="auto"/>
        <w:right w:val="none" w:sz="0" w:space="0" w:color="auto"/>
      </w:divBdr>
    </w:div>
    <w:div w:id="107408634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3361244">
      <w:bodyDiv w:val="1"/>
      <w:marLeft w:val="0"/>
      <w:marRight w:val="0"/>
      <w:marTop w:val="0"/>
      <w:marBottom w:val="0"/>
      <w:divBdr>
        <w:top w:val="none" w:sz="0" w:space="0" w:color="auto"/>
        <w:left w:val="none" w:sz="0" w:space="0" w:color="auto"/>
        <w:bottom w:val="none" w:sz="0" w:space="0" w:color="auto"/>
        <w:right w:val="none" w:sz="0" w:space="0" w:color="auto"/>
      </w:divBdr>
    </w:div>
    <w:div w:id="1100447612">
      <w:bodyDiv w:val="1"/>
      <w:marLeft w:val="0"/>
      <w:marRight w:val="0"/>
      <w:marTop w:val="0"/>
      <w:marBottom w:val="0"/>
      <w:divBdr>
        <w:top w:val="none" w:sz="0" w:space="0" w:color="auto"/>
        <w:left w:val="none" w:sz="0" w:space="0" w:color="auto"/>
        <w:bottom w:val="none" w:sz="0" w:space="0" w:color="auto"/>
        <w:right w:val="none" w:sz="0" w:space="0" w:color="auto"/>
      </w:divBdr>
    </w:div>
    <w:div w:id="1103185173">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432118">
      <w:bodyDiv w:val="1"/>
      <w:marLeft w:val="0"/>
      <w:marRight w:val="0"/>
      <w:marTop w:val="0"/>
      <w:marBottom w:val="0"/>
      <w:divBdr>
        <w:top w:val="none" w:sz="0" w:space="0" w:color="auto"/>
        <w:left w:val="none" w:sz="0" w:space="0" w:color="auto"/>
        <w:bottom w:val="none" w:sz="0" w:space="0" w:color="auto"/>
        <w:right w:val="none" w:sz="0" w:space="0" w:color="auto"/>
      </w:divBdr>
    </w:div>
    <w:div w:id="1110780823">
      <w:bodyDiv w:val="1"/>
      <w:marLeft w:val="0"/>
      <w:marRight w:val="0"/>
      <w:marTop w:val="0"/>
      <w:marBottom w:val="0"/>
      <w:divBdr>
        <w:top w:val="none" w:sz="0" w:space="0" w:color="auto"/>
        <w:left w:val="none" w:sz="0" w:space="0" w:color="auto"/>
        <w:bottom w:val="none" w:sz="0" w:space="0" w:color="auto"/>
        <w:right w:val="none" w:sz="0" w:space="0" w:color="auto"/>
      </w:divBdr>
    </w:div>
    <w:div w:id="1164323700">
      <w:bodyDiv w:val="1"/>
      <w:marLeft w:val="0"/>
      <w:marRight w:val="0"/>
      <w:marTop w:val="0"/>
      <w:marBottom w:val="0"/>
      <w:divBdr>
        <w:top w:val="none" w:sz="0" w:space="0" w:color="auto"/>
        <w:left w:val="none" w:sz="0" w:space="0" w:color="auto"/>
        <w:bottom w:val="none" w:sz="0" w:space="0" w:color="auto"/>
        <w:right w:val="none" w:sz="0" w:space="0" w:color="auto"/>
      </w:divBdr>
    </w:div>
    <w:div w:id="1181579606">
      <w:bodyDiv w:val="1"/>
      <w:marLeft w:val="0"/>
      <w:marRight w:val="0"/>
      <w:marTop w:val="0"/>
      <w:marBottom w:val="0"/>
      <w:divBdr>
        <w:top w:val="none" w:sz="0" w:space="0" w:color="auto"/>
        <w:left w:val="none" w:sz="0" w:space="0" w:color="auto"/>
        <w:bottom w:val="none" w:sz="0" w:space="0" w:color="auto"/>
        <w:right w:val="none" w:sz="0" w:space="0" w:color="auto"/>
      </w:divBdr>
    </w:div>
    <w:div w:id="1185705930">
      <w:bodyDiv w:val="1"/>
      <w:marLeft w:val="0"/>
      <w:marRight w:val="0"/>
      <w:marTop w:val="0"/>
      <w:marBottom w:val="0"/>
      <w:divBdr>
        <w:top w:val="none" w:sz="0" w:space="0" w:color="auto"/>
        <w:left w:val="none" w:sz="0" w:space="0" w:color="auto"/>
        <w:bottom w:val="none" w:sz="0" w:space="0" w:color="auto"/>
        <w:right w:val="none" w:sz="0" w:space="0" w:color="auto"/>
      </w:divBdr>
    </w:div>
    <w:div w:id="1199506917">
      <w:bodyDiv w:val="1"/>
      <w:marLeft w:val="0"/>
      <w:marRight w:val="0"/>
      <w:marTop w:val="0"/>
      <w:marBottom w:val="0"/>
      <w:divBdr>
        <w:top w:val="none" w:sz="0" w:space="0" w:color="auto"/>
        <w:left w:val="none" w:sz="0" w:space="0" w:color="auto"/>
        <w:bottom w:val="none" w:sz="0" w:space="0" w:color="auto"/>
        <w:right w:val="none" w:sz="0" w:space="0" w:color="auto"/>
      </w:divBdr>
    </w:div>
    <w:div w:id="1210799703">
      <w:bodyDiv w:val="1"/>
      <w:marLeft w:val="0"/>
      <w:marRight w:val="0"/>
      <w:marTop w:val="0"/>
      <w:marBottom w:val="0"/>
      <w:divBdr>
        <w:top w:val="none" w:sz="0" w:space="0" w:color="auto"/>
        <w:left w:val="none" w:sz="0" w:space="0" w:color="auto"/>
        <w:bottom w:val="none" w:sz="0" w:space="0" w:color="auto"/>
        <w:right w:val="none" w:sz="0" w:space="0" w:color="auto"/>
      </w:divBdr>
    </w:div>
    <w:div w:id="121982443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57736">
      <w:bodyDiv w:val="1"/>
      <w:marLeft w:val="0"/>
      <w:marRight w:val="0"/>
      <w:marTop w:val="0"/>
      <w:marBottom w:val="0"/>
      <w:divBdr>
        <w:top w:val="none" w:sz="0" w:space="0" w:color="auto"/>
        <w:left w:val="none" w:sz="0" w:space="0" w:color="auto"/>
        <w:bottom w:val="none" w:sz="0" w:space="0" w:color="auto"/>
        <w:right w:val="none" w:sz="0" w:space="0" w:color="auto"/>
      </w:divBdr>
    </w:div>
    <w:div w:id="1272123707">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1131160">
      <w:bodyDiv w:val="1"/>
      <w:marLeft w:val="0"/>
      <w:marRight w:val="0"/>
      <w:marTop w:val="0"/>
      <w:marBottom w:val="0"/>
      <w:divBdr>
        <w:top w:val="none" w:sz="0" w:space="0" w:color="auto"/>
        <w:left w:val="none" w:sz="0" w:space="0" w:color="auto"/>
        <w:bottom w:val="none" w:sz="0" w:space="0" w:color="auto"/>
        <w:right w:val="none" w:sz="0" w:space="0" w:color="auto"/>
      </w:divBdr>
    </w:div>
    <w:div w:id="1296910193">
      <w:bodyDiv w:val="1"/>
      <w:marLeft w:val="0"/>
      <w:marRight w:val="0"/>
      <w:marTop w:val="0"/>
      <w:marBottom w:val="0"/>
      <w:divBdr>
        <w:top w:val="none" w:sz="0" w:space="0" w:color="auto"/>
        <w:left w:val="none" w:sz="0" w:space="0" w:color="auto"/>
        <w:bottom w:val="none" w:sz="0" w:space="0" w:color="auto"/>
        <w:right w:val="none" w:sz="0" w:space="0" w:color="auto"/>
      </w:divBdr>
    </w:div>
    <w:div w:id="1312829037">
      <w:bodyDiv w:val="1"/>
      <w:marLeft w:val="0"/>
      <w:marRight w:val="0"/>
      <w:marTop w:val="0"/>
      <w:marBottom w:val="0"/>
      <w:divBdr>
        <w:top w:val="none" w:sz="0" w:space="0" w:color="auto"/>
        <w:left w:val="none" w:sz="0" w:space="0" w:color="auto"/>
        <w:bottom w:val="none" w:sz="0" w:space="0" w:color="auto"/>
        <w:right w:val="none" w:sz="0" w:space="0" w:color="auto"/>
      </w:divBdr>
    </w:div>
    <w:div w:id="1317413136">
      <w:bodyDiv w:val="1"/>
      <w:marLeft w:val="0"/>
      <w:marRight w:val="0"/>
      <w:marTop w:val="0"/>
      <w:marBottom w:val="0"/>
      <w:divBdr>
        <w:top w:val="none" w:sz="0" w:space="0" w:color="auto"/>
        <w:left w:val="none" w:sz="0" w:space="0" w:color="auto"/>
        <w:bottom w:val="none" w:sz="0" w:space="0" w:color="auto"/>
        <w:right w:val="none" w:sz="0" w:space="0" w:color="auto"/>
      </w:divBdr>
    </w:div>
    <w:div w:id="1324309605">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4838905">
      <w:bodyDiv w:val="1"/>
      <w:marLeft w:val="0"/>
      <w:marRight w:val="0"/>
      <w:marTop w:val="0"/>
      <w:marBottom w:val="0"/>
      <w:divBdr>
        <w:top w:val="none" w:sz="0" w:space="0" w:color="auto"/>
        <w:left w:val="none" w:sz="0" w:space="0" w:color="auto"/>
        <w:bottom w:val="none" w:sz="0" w:space="0" w:color="auto"/>
        <w:right w:val="none" w:sz="0" w:space="0" w:color="auto"/>
      </w:divBdr>
    </w:div>
    <w:div w:id="1362900391">
      <w:bodyDiv w:val="1"/>
      <w:marLeft w:val="0"/>
      <w:marRight w:val="0"/>
      <w:marTop w:val="0"/>
      <w:marBottom w:val="0"/>
      <w:divBdr>
        <w:top w:val="none" w:sz="0" w:space="0" w:color="auto"/>
        <w:left w:val="none" w:sz="0" w:space="0" w:color="auto"/>
        <w:bottom w:val="none" w:sz="0" w:space="0" w:color="auto"/>
        <w:right w:val="none" w:sz="0" w:space="0" w:color="auto"/>
      </w:divBdr>
    </w:div>
    <w:div w:id="1378968206">
      <w:bodyDiv w:val="1"/>
      <w:marLeft w:val="0"/>
      <w:marRight w:val="0"/>
      <w:marTop w:val="0"/>
      <w:marBottom w:val="0"/>
      <w:divBdr>
        <w:top w:val="none" w:sz="0" w:space="0" w:color="auto"/>
        <w:left w:val="none" w:sz="0" w:space="0" w:color="auto"/>
        <w:bottom w:val="none" w:sz="0" w:space="0" w:color="auto"/>
        <w:right w:val="none" w:sz="0" w:space="0" w:color="auto"/>
      </w:divBdr>
    </w:div>
    <w:div w:id="1395465096">
      <w:bodyDiv w:val="1"/>
      <w:marLeft w:val="0"/>
      <w:marRight w:val="0"/>
      <w:marTop w:val="0"/>
      <w:marBottom w:val="0"/>
      <w:divBdr>
        <w:top w:val="none" w:sz="0" w:space="0" w:color="auto"/>
        <w:left w:val="none" w:sz="0" w:space="0" w:color="auto"/>
        <w:bottom w:val="none" w:sz="0" w:space="0" w:color="auto"/>
        <w:right w:val="none" w:sz="0" w:space="0" w:color="auto"/>
      </w:divBdr>
    </w:div>
    <w:div w:id="1395468470">
      <w:bodyDiv w:val="1"/>
      <w:marLeft w:val="0"/>
      <w:marRight w:val="0"/>
      <w:marTop w:val="0"/>
      <w:marBottom w:val="0"/>
      <w:divBdr>
        <w:top w:val="none" w:sz="0" w:space="0" w:color="auto"/>
        <w:left w:val="none" w:sz="0" w:space="0" w:color="auto"/>
        <w:bottom w:val="none" w:sz="0" w:space="0" w:color="auto"/>
        <w:right w:val="none" w:sz="0" w:space="0" w:color="auto"/>
      </w:divBdr>
    </w:div>
    <w:div w:id="1397432449">
      <w:bodyDiv w:val="1"/>
      <w:marLeft w:val="0"/>
      <w:marRight w:val="0"/>
      <w:marTop w:val="0"/>
      <w:marBottom w:val="0"/>
      <w:divBdr>
        <w:top w:val="none" w:sz="0" w:space="0" w:color="auto"/>
        <w:left w:val="none" w:sz="0" w:space="0" w:color="auto"/>
        <w:bottom w:val="none" w:sz="0" w:space="0" w:color="auto"/>
        <w:right w:val="none" w:sz="0" w:space="0" w:color="auto"/>
      </w:divBdr>
    </w:div>
    <w:div w:id="1399743993">
      <w:bodyDiv w:val="1"/>
      <w:marLeft w:val="0"/>
      <w:marRight w:val="0"/>
      <w:marTop w:val="0"/>
      <w:marBottom w:val="0"/>
      <w:divBdr>
        <w:top w:val="none" w:sz="0" w:space="0" w:color="auto"/>
        <w:left w:val="none" w:sz="0" w:space="0" w:color="auto"/>
        <w:bottom w:val="none" w:sz="0" w:space="0" w:color="auto"/>
        <w:right w:val="none" w:sz="0" w:space="0" w:color="auto"/>
      </w:divBdr>
    </w:div>
    <w:div w:id="1401513398">
      <w:bodyDiv w:val="1"/>
      <w:marLeft w:val="0"/>
      <w:marRight w:val="0"/>
      <w:marTop w:val="0"/>
      <w:marBottom w:val="0"/>
      <w:divBdr>
        <w:top w:val="none" w:sz="0" w:space="0" w:color="auto"/>
        <w:left w:val="none" w:sz="0" w:space="0" w:color="auto"/>
        <w:bottom w:val="none" w:sz="0" w:space="0" w:color="auto"/>
        <w:right w:val="none" w:sz="0" w:space="0" w:color="auto"/>
      </w:divBdr>
    </w:div>
    <w:div w:id="1404568474">
      <w:bodyDiv w:val="1"/>
      <w:marLeft w:val="0"/>
      <w:marRight w:val="0"/>
      <w:marTop w:val="0"/>
      <w:marBottom w:val="0"/>
      <w:divBdr>
        <w:top w:val="none" w:sz="0" w:space="0" w:color="auto"/>
        <w:left w:val="none" w:sz="0" w:space="0" w:color="auto"/>
        <w:bottom w:val="none" w:sz="0" w:space="0" w:color="auto"/>
        <w:right w:val="none" w:sz="0" w:space="0" w:color="auto"/>
      </w:divBdr>
    </w:div>
    <w:div w:id="1411973387">
      <w:bodyDiv w:val="1"/>
      <w:marLeft w:val="0"/>
      <w:marRight w:val="0"/>
      <w:marTop w:val="0"/>
      <w:marBottom w:val="0"/>
      <w:divBdr>
        <w:top w:val="none" w:sz="0" w:space="0" w:color="auto"/>
        <w:left w:val="none" w:sz="0" w:space="0" w:color="auto"/>
        <w:bottom w:val="none" w:sz="0" w:space="0" w:color="auto"/>
        <w:right w:val="none" w:sz="0" w:space="0" w:color="auto"/>
      </w:divBdr>
    </w:div>
    <w:div w:id="1421832819">
      <w:bodyDiv w:val="1"/>
      <w:marLeft w:val="0"/>
      <w:marRight w:val="0"/>
      <w:marTop w:val="0"/>
      <w:marBottom w:val="0"/>
      <w:divBdr>
        <w:top w:val="none" w:sz="0" w:space="0" w:color="auto"/>
        <w:left w:val="none" w:sz="0" w:space="0" w:color="auto"/>
        <w:bottom w:val="none" w:sz="0" w:space="0" w:color="auto"/>
        <w:right w:val="none" w:sz="0" w:space="0" w:color="auto"/>
      </w:divBdr>
    </w:div>
    <w:div w:id="1429080940">
      <w:bodyDiv w:val="1"/>
      <w:marLeft w:val="0"/>
      <w:marRight w:val="0"/>
      <w:marTop w:val="0"/>
      <w:marBottom w:val="0"/>
      <w:divBdr>
        <w:top w:val="none" w:sz="0" w:space="0" w:color="auto"/>
        <w:left w:val="none" w:sz="0" w:space="0" w:color="auto"/>
        <w:bottom w:val="none" w:sz="0" w:space="0" w:color="auto"/>
        <w:right w:val="none" w:sz="0" w:space="0" w:color="auto"/>
      </w:divBdr>
    </w:div>
    <w:div w:id="1432973697">
      <w:bodyDiv w:val="1"/>
      <w:marLeft w:val="0"/>
      <w:marRight w:val="0"/>
      <w:marTop w:val="0"/>
      <w:marBottom w:val="0"/>
      <w:divBdr>
        <w:top w:val="none" w:sz="0" w:space="0" w:color="auto"/>
        <w:left w:val="none" w:sz="0" w:space="0" w:color="auto"/>
        <w:bottom w:val="none" w:sz="0" w:space="0" w:color="auto"/>
        <w:right w:val="none" w:sz="0" w:space="0" w:color="auto"/>
      </w:divBdr>
    </w:div>
    <w:div w:id="1439177112">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1169380">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8055013">
      <w:bodyDiv w:val="1"/>
      <w:marLeft w:val="0"/>
      <w:marRight w:val="0"/>
      <w:marTop w:val="0"/>
      <w:marBottom w:val="0"/>
      <w:divBdr>
        <w:top w:val="none" w:sz="0" w:space="0" w:color="auto"/>
        <w:left w:val="none" w:sz="0" w:space="0" w:color="auto"/>
        <w:bottom w:val="none" w:sz="0" w:space="0" w:color="auto"/>
        <w:right w:val="none" w:sz="0" w:space="0" w:color="auto"/>
      </w:divBdr>
    </w:div>
    <w:div w:id="1510440250">
      <w:bodyDiv w:val="1"/>
      <w:marLeft w:val="0"/>
      <w:marRight w:val="0"/>
      <w:marTop w:val="0"/>
      <w:marBottom w:val="0"/>
      <w:divBdr>
        <w:top w:val="none" w:sz="0" w:space="0" w:color="auto"/>
        <w:left w:val="none" w:sz="0" w:space="0" w:color="auto"/>
        <w:bottom w:val="none" w:sz="0" w:space="0" w:color="auto"/>
        <w:right w:val="none" w:sz="0" w:space="0" w:color="auto"/>
      </w:divBdr>
    </w:div>
    <w:div w:id="1524394747">
      <w:bodyDiv w:val="1"/>
      <w:marLeft w:val="0"/>
      <w:marRight w:val="0"/>
      <w:marTop w:val="0"/>
      <w:marBottom w:val="0"/>
      <w:divBdr>
        <w:top w:val="none" w:sz="0" w:space="0" w:color="auto"/>
        <w:left w:val="none" w:sz="0" w:space="0" w:color="auto"/>
        <w:bottom w:val="none" w:sz="0" w:space="0" w:color="auto"/>
        <w:right w:val="none" w:sz="0" w:space="0" w:color="auto"/>
      </w:divBdr>
    </w:div>
    <w:div w:id="1526669910">
      <w:bodyDiv w:val="1"/>
      <w:marLeft w:val="0"/>
      <w:marRight w:val="0"/>
      <w:marTop w:val="0"/>
      <w:marBottom w:val="0"/>
      <w:divBdr>
        <w:top w:val="none" w:sz="0" w:space="0" w:color="auto"/>
        <w:left w:val="none" w:sz="0" w:space="0" w:color="auto"/>
        <w:bottom w:val="none" w:sz="0" w:space="0" w:color="auto"/>
        <w:right w:val="none" w:sz="0" w:space="0" w:color="auto"/>
      </w:divBdr>
    </w:div>
    <w:div w:id="1548641194">
      <w:bodyDiv w:val="1"/>
      <w:marLeft w:val="0"/>
      <w:marRight w:val="0"/>
      <w:marTop w:val="0"/>
      <w:marBottom w:val="0"/>
      <w:divBdr>
        <w:top w:val="none" w:sz="0" w:space="0" w:color="auto"/>
        <w:left w:val="none" w:sz="0" w:space="0" w:color="auto"/>
        <w:bottom w:val="none" w:sz="0" w:space="0" w:color="auto"/>
        <w:right w:val="none" w:sz="0" w:space="0" w:color="auto"/>
      </w:divBdr>
    </w:div>
    <w:div w:id="1549877733">
      <w:bodyDiv w:val="1"/>
      <w:marLeft w:val="0"/>
      <w:marRight w:val="0"/>
      <w:marTop w:val="0"/>
      <w:marBottom w:val="0"/>
      <w:divBdr>
        <w:top w:val="none" w:sz="0" w:space="0" w:color="auto"/>
        <w:left w:val="none" w:sz="0" w:space="0" w:color="auto"/>
        <w:bottom w:val="none" w:sz="0" w:space="0" w:color="auto"/>
        <w:right w:val="none" w:sz="0" w:space="0" w:color="auto"/>
      </w:divBdr>
    </w:div>
    <w:div w:id="1576281255">
      <w:bodyDiv w:val="1"/>
      <w:marLeft w:val="0"/>
      <w:marRight w:val="0"/>
      <w:marTop w:val="0"/>
      <w:marBottom w:val="0"/>
      <w:divBdr>
        <w:top w:val="none" w:sz="0" w:space="0" w:color="auto"/>
        <w:left w:val="none" w:sz="0" w:space="0" w:color="auto"/>
        <w:bottom w:val="none" w:sz="0" w:space="0" w:color="auto"/>
        <w:right w:val="none" w:sz="0" w:space="0" w:color="auto"/>
      </w:divBdr>
    </w:div>
    <w:div w:id="1595431698">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0143621">
      <w:bodyDiv w:val="1"/>
      <w:marLeft w:val="0"/>
      <w:marRight w:val="0"/>
      <w:marTop w:val="0"/>
      <w:marBottom w:val="0"/>
      <w:divBdr>
        <w:top w:val="none" w:sz="0" w:space="0" w:color="auto"/>
        <w:left w:val="none" w:sz="0" w:space="0" w:color="auto"/>
        <w:bottom w:val="none" w:sz="0" w:space="0" w:color="auto"/>
        <w:right w:val="none" w:sz="0" w:space="0" w:color="auto"/>
      </w:divBdr>
    </w:div>
    <w:div w:id="161004155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5690348">
      <w:bodyDiv w:val="1"/>
      <w:marLeft w:val="0"/>
      <w:marRight w:val="0"/>
      <w:marTop w:val="0"/>
      <w:marBottom w:val="0"/>
      <w:divBdr>
        <w:top w:val="none" w:sz="0" w:space="0" w:color="auto"/>
        <w:left w:val="none" w:sz="0" w:space="0" w:color="auto"/>
        <w:bottom w:val="none" w:sz="0" w:space="0" w:color="auto"/>
        <w:right w:val="none" w:sz="0" w:space="0" w:color="auto"/>
      </w:divBdr>
    </w:div>
    <w:div w:id="1632709773">
      <w:bodyDiv w:val="1"/>
      <w:marLeft w:val="0"/>
      <w:marRight w:val="0"/>
      <w:marTop w:val="0"/>
      <w:marBottom w:val="0"/>
      <w:divBdr>
        <w:top w:val="none" w:sz="0" w:space="0" w:color="auto"/>
        <w:left w:val="none" w:sz="0" w:space="0" w:color="auto"/>
        <w:bottom w:val="none" w:sz="0" w:space="0" w:color="auto"/>
        <w:right w:val="none" w:sz="0" w:space="0" w:color="auto"/>
      </w:divBdr>
    </w:div>
    <w:div w:id="1654603893">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6928369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8139331">
      <w:bodyDiv w:val="1"/>
      <w:marLeft w:val="0"/>
      <w:marRight w:val="0"/>
      <w:marTop w:val="0"/>
      <w:marBottom w:val="0"/>
      <w:divBdr>
        <w:top w:val="none" w:sz="0" w:space="0" w:color="auto"/>
        <w:left w:val="none" w:sz="0" w:space="0" w:color="auto"/>
        <w:bottom w:val="none" w:sz="0" w:space="0" w:color="auto"/>
        <w:right w:val="none" w:sz="0" w:space="0" w:color="auto"/>
      </w:divBdr>
    </w:div>
    <w:div w:id="1715538144">
      <w:bodyDiv w:val="1"/>
      <w:marLeft w:val="0"/>
      <w:marRight w:val="0"/>
      <w:marTop w:val="0"/>
      <w:marBottom w:val="0"/>
      <w:divBdr>
        <w:top w:val="none" w:sz="0" w:space="0" w:color="auto"/>
        <w:left w:val="none" w:sz="0" w:space="0" w:color="auto"/>
        <w:bottom w:val="none" w:sz="0" w:space="0" w:color="auto"/>
        <w:right w:val="none" w:sz="0" w:space="0" w:color="auto"/>
      </w:divBdr>
    </w:div>
    <w:div w:id="1716344956">
      <w:bodyDiv w:val="1"/>
      <w:marLeft w:val="0"/>
      <w:marRight w:val="0"/>
      <w:marTop w:val="0"/>
      <w:marBottom w:val="0"/>
      <w:divBdr>
        <w:top w:val="none" w:sz="0" w:space="0" w:color="auto"/>
        <w:left w:val="none" w:sz="0" w:space="0" w:color="auto"/>
        <w:bottom w:val="none" w:sz="0" w:space="0" w:color="auto"/>
        <w:right w:val="none" w:sz="0" w:space="0" w:color="auto"/>
      </w:divBdr>
    </w:div>
    <w:div w:id="1726102860">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5319658">
      <w:bodyDiv w:val="1"/>
      <w:marLeft w:val="0"/>
      <w:marRight w:val="0"/>
      <w:marTop w:val="0"/>
      <w:marBottom w:val="0"/>
      <w:divBdr>
        <w:top w:val="none" w:sz="0" w:space="0" w:color="auto"/>
        <w:left w:val="none" w:sz="0" w:space="0" w:color="auto"/>
        <w:bottom w:val="none" w:sz="0" w:space="0" w:color="auto"/>
        <w:right w:val="none" w:sz="0" w:space="0" w:color="auto"/>
      </w:divBdr>
    </w:div>
    <w:div w:id="175577855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3061957">
      <w:bodyDiv w:val="1"/>
      <w:marLeft w:val="0"/>
      <w:marRight w:val="0"/>
      <w:marTop w:val="0"/>
      <w:marBottom w:val="0"/>
      <w:divBdr>
        <w:top w:val="none" w:sz="0" w:space="0" w:color="auto"/>
        <w:left w:val="none" w:sz="0" w:space="0" w:color="auto"/>
        <w:bottom w:val="none" w:sz="0" w:space="0" w:color="auto"/>
        <w:right w:val="none" w:sz="0" w:space="0" w:color="auto"/>
      </w:divBdr>
    </w:div>
    <w:div w:id="1778986960">
      <w:bodyDiv w:val="1"/>
      <w:marLeft w:val="0"/>
      <w:marRight w:val="0"/>
      <w:marTop w:val="0"/>
      <w:marBottom w:val="0"/>
      <w:divBdr>
        <w:top w:val="none" w:sz="0" w:space="0" w:color="auto"/>
        <w:left w:val="none" w:sz="0" w:space="0" w:color="auto"/>
        <w:bottom w:val="none" w:sz="0" w:space="0" w:color="auto"/>
        <w:right w:val="none" w:sz="0" w:space="0" w:color="auto"/>
      </w:divBdr>
    </w:div>
    <w:div w:id="1782609666">
      <w:bodyDiv w:val="1"/>
      <w:marLeft w:val="0"/>
      <w:marRight w:val="0"/>
      <w:marTop w:val="0"/>
      <w:marBottom w:val="0"/>
      <w:divBdr>
        <w:top w:val="none" w:sz="0" w:space="0" w:color="auto"/>
        <w:left w:val="none" w:sz="0" w:space="0" w:color="auto"/>
        <w:bottom w:val="none" w:sz="0" w:space="0" w:color="auto"/>
        <w:right w:val="none" w:sz="0" w:space="0" w:color="auto"/>
      </w:divBdr>
    </w:div>
    <w:div w:id="1794054718">
      <w:bodyDiv w:val="1"/>
      <w:marLeft w:val="0"/>
      <w:marRight w:val="0"/>
      <w:marTop w:val="0"/>
      <w:marBottom w:val="0"/>
      <w:divBdr>
        <w:top w:val="none" w:sz="0" w:space="0" w:color="auto"/>
        <w:left w:val="none" w:sz="0" w:space="0" w:color="auto"/>
        <w:bottom w:val="none" w:sz="0" w:space="0" w:color="auto"/>
        <w:right w:val="none" w:sz="0" w:space="0" w:color="auto"/>
      </w:divBdr>
    </w:div>
    <w:div w:id="1802334598">
      <w:bodyDiv w:val="1"/>
      <w:marLeft w:val="0"/>
      <w:marRight w:val="0"/>
      <w:marTop w:val="0"/>
      <w:marBottom w:val="0"/>
      <w:divBdr>
        <w:top w:val="none" w:sz="0" w:space="0" w:color="auto"/>
        <w:left w:val="none" w:sz="0" w:space="0" w:color="auto"/>
        <w:bottom w:val="none" w:sz="0" w:space="0" w:color="auto"/>
        <w:right w:val="none" w:sz="0" w:space="0" w:color="auto"/>
      </w:divBdr>
    </w:div>
    <w:div w:id="1805001545">
      <w:bodyDiv w:val="1"/>
      <w:marLeft w:val="0"/>
      <w:marRight w:val="0"/>
      <w:marTop w:val="0"/>
      <w:marBottom w:val="0"/>
      <w:divBdr>
        <w:top w:val="none" w:sz="0" w:space="0" w:color="auto"/>
        <w:left w:val="none" w:sz="0" w:space="0" w:color="auto"/>
        <w:bottom w:val="none" w:sz="0" w:space="0" w:color="auto"/>
        <w:right w:val="none" w:sz="0" w:space="0" w:color="auto"/>
      </w:divBdr>
    </w:div>
    <w:div w:id="1810971409">
      <w:bodyDiv w:val="1"/>
      <w:marLeft w:val="0"/>
      <w:marRight w:val="0"/>
      <w:marTop w:val="0"/>
      <w:marBottom w:val="0"/>
      <w:divBdr>
        <w:top w:val="none" w:sz="0" w:space="0" w:color="auto"/>
        <w:left w:val="none" w:sz="0" w:space="0" w:color="auto"/>
        <w:bottom w:val="none" w:sz="0" w:space="0" w:color="auto"/>
        <w:right w:val="none" w:sz="0" w:space="0" w:color="auto"/>
      </w:divBdr>
    </w:div>
    <w:div w:id="181575324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5298291">
      <w:bodyDiv w:val="1"/>
      <w:marLeft w:val="0"/>
      <w:marRight w:val="0"/>
      <w:marTop w:val="0"/>
      <w:marBottom w:val="0"/>
      <w:divBdr>
        <w:top w:val="none" w:sz="0" w:space="0" w:color="auto"/>
        <w:left w:val="none" w:sz="0" w:space="0" w:color="auto"/>
        <w:bottom w:val="none" w:sz="0" w:space="0" w:color="auto"/>
        <w:right w:val="none" w:sz="0" w:space="0" w:color="auto"/>
      </w:divBdr>
    </w:div>
    <w:div w:id="1835949292">
      <w:bodyDiv w:val="1"/>
      <w:marLeft w:val="0"/>
      <w:marRight w:val="0"/>
      <w:marTop w:val="0"/>
      <w:marBottom w:val="0"/>
      <w:divBdr>
        <w:top w:val="none" w:sz="0" w:space="0" w:color="auto"/>
        <w:left w:val="none" w:sz="0" w:space="0" w:color="auto"/>
        <w:bottom w:val="none" w:sz="0" w:space="0" w:color="auto"/>
        <w:right w:val="none" w:sz="0" w:space="0" w:color="auto"/>
      </w:divBdr>
    </w:div>
    <w:div w:id="1840920729">
      <w:bodyDiv w:val="1"/>
      <w:marLeft w:val="0"/>
      <w:marRight w:val="0"/>
      <w:marTop w:val="0"/>
      <w:marBottom w:val="0"/>
      <w:divBdr>
        <w:top w:val="none" w:sz="0" w:space="0" w:color="auto"/>
        <w:left w:val="none" w:sz="0" w:space="0" w:color="auto"/>
        <w:bottom w:val="none" w:sz="0" w:space="0" w:color="auto"/>
        <w:right w:val="none" w:sz="0" w:space="0" w:color="auto"/>
      </w:divBdr>
    </w:div>
    <w:div w:id="1898512696">
      <w:bodyDiv w:val="1"/>
      <w:marLeft w:val="0"/>
      <w:marRight w:val="0"/>
      <w:marTop w:val="0"/>
      <w:marBottom w:val="0"/>
      <w:divBdr>
        <w:top w:val="none" w:sz="0" w:space="0" w:color="auto"/>
        <w:left w:val="none" w:sz="0" w:space="0" w:color="auto"/>
        <w:bottom w:val="none" w:sz="0" w:space="0" w:color="auto"/>
        <w:right w:val="none" w:sz="0" w:space="0" w:color="auto"/>
      </w:divBdr>
    </w:div>
    <w:div w:id="1902206599">
      <w:bodyDiv w:val="1"/>
      <w:marLeft w:val="0"/>
      <w:marRight w:val="0"/>
      <w:marTop w:val="0"/>
      <w:marBottom w:val="0"/>
      <w:divBdr>
        <w:top w:val="none" w:sz="0" w:space="0" w:color="auto"/>
        <w:left w:val="none" w:sz="0" w:space="0" w:color="auto"/>
        <w:bottom w:val="none" w:sz="0" w:space="0" w:color="auto"/>
        <w:right w:val="none" w:sz="0" w:space="0" w:color="auto"/>
      </w:divBdr>
    </w:div>
    <w:div w:id="1912353544">
      <w:bodyDiv w:val="1"/>
      <w:marLeft w:val="0"/>
      <w:marRight w:val="0"/>
      <w:marTop w:val="0"/>
      <w:marBottom w:val="0"/>
      <w:divBdr>
        <w:top w:val="none" w:sz="0" w:space="0" w:color="auto"/>
        <w:left w:val="none" w:sz="0" w:space="0" w:color="auto"/>
        <w:bottom w:val="none" w:sz="0" w:space="0" w:color="auto"/>
        <w:right w:val="none" w:sz="0" w:space="0" w:color="auto"/>
      </w:divBdr>
    </w:div>
    <w:div w:id="192245003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4707915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0013469">
      <w:bodyDiv w:val="1"/>
      <w:marLeft w:val="0"/>
      <w:marRight w:val="0"/>
      <w:marTop w:val="0"/>
      <w:marBottom w:val="0"/>
      <w:divBdr>
        <w:top w:val="none" w:sz="0" w:space="0" w:color="auto"/>
        <w:left w:val="none" w:sz="0" w:space="0" w:color="auto"/>
        <w:bottom w:val="none" w:sz="0" w:space="0" w:color="auto"/>
        <w:right w:val="none" w:sz="0" w:space="0" w:color="auto"/>
      </w:divBdr>
    </w:div>
    <w:div w:id="1977489381">
      <w:bodyDiv w:val="1"/>
      <w:marLeft w:val="0"/>
      <w:marRight w:val="0"/>
      <w:marTop w:val="0"/>
      <w:marBottom w:val="0"/>
      <w:divBdr>
        <w:top w:val="none" w:sz="0" w:space="0" w:color="auto"/>
        <w:left w:val="none" w:sz="0" w:space="0" w:color="auto"/>
        <w:bottom w:val="none" w:sz="0" w:space="0" w:color="auto"/>
        <w:right w:val="none" w:sz="0" w:space="0" w:color="auto"/>
      </w:divBdr>
    </w:div>
    <w:div w:id="1987319697">
      <w:bodyDiv w:val="1"/>
      <w:marLeft w:val="0"/>
      <w:marRight w:val="0"/>
      <w:marTop w:val="0"/>
      <w:marBottom w:val="0"/>
      <w:divBdr>
        <w:top w:val="none" w:sz="0" w:space="0" w:color="auto"/>
        <w:left w:val="none" w:sz="0" w:space="0" w:color="auto"/>
        <w:bottom w:val="none" w:sz="0" w:space="0" w:color="auto"/>
        <w:right w:val="none" w:sz="0" w:space="0" w:color="auto"/>
      </w:divBdr>
    </w:div>
    <w:div w:id="2004506403">
      <w:bodyDiv w:val="1"/>
      <w:marLeft w:val="0"/>
      <w:marRight w:val="0"/>
      <w:marTop w:val="0"/>
      <w:marBottom w:val="0"/>
      <w:divBdr>
        <w:top w:val="none" w:sz="0" w:space="0" w:color="auto"/>
        <w:left w:val="none" w:sz="0" w:space="0" w:color="auto"/>
        <w:bottom w:val="none" w:sz="0" w:space="0" w:color="auto"/>
        <w:right w:val="none" w:sz="0" w:space="0" w:color="auto"/>
      </w:divBdr>
    </w:div>
    <w:div w:id="2014260160">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4886892">
      <w:bodyDiv w:val="1"/>
      <w:marLeft w:val="0"/>
      <w:marRight w:val="0"/>
      <w:marTop w:val="0"/>
      <w:marBottom w:val="0"/>
      <w:divBdr>
        <w:top w:val="none" w:sz="0" w:space="0" w:color="auto"/>
        <w:left w:val="none" w:sz="0" w:space="0" w:color="auto"/>
        <w:bottom w:val="none" w:sz="0" w:space="0" w:color="auto"/>
        <w:right w:val="none" w:sz="0" w:space="0" w:color="auto"/>
      </w:divBdr>
    </w:div>
    <w:div w:id="2113432833">
      <w:bodyDiv w:val="1"/>
      <w:marLeft w:val="0"/>
      <w:marRight w:val="0"/>
      <w:marTop w:val="0"/>
      <w:marBottom w:val="0"/>
      <w:divBdr>
        <w:top w:val="none" w:sz="0" w:space="0" w:color="auto"/>
        <w:left w:val="none" w:sz="0" w:space="0" w:color="auto"/>
        <w:bottom w:val="none" w:sz="0" w:space="0" w:color="auto"/>
        <w:right w:val="none" w:sz="0" w:space="0" w:color="auto"/>
      </w:divBdr>
    </w:div>
    <w:div w:id="2128773007">
      <w:bodyDiv w:val="1"/>
      <w:marLeft w:val="0"/>
      <w:marRight w:val="0"/>
      <w:marTop w:val="0"/>
      <w:marBottom w:val="0"/>
      <w:divBdr>
        <w:top w:val="none" w:sz="0" w:space="0" w:color="auto"/>
        <w:left w:val="none" w:sz="0" w:space="0" w:color="auto"/>
        <w:bottom w:val="none" w:sz="0" w:space="0" w:color="auto"/>
        <w:right w:val="none" w:sz="0" w:space="0" w:color="auto"/>
      </w:divBdr>
    </w:div>
    <w:div w:id="2129473502">
      <w:bodyDiv w:val="1"/>
      <w:marLeft w:val="0"/>
      <w:marRight w:val="0"/>
      <w:marTop w:val="0"/>
      <w:marBottom w:val="0"/>
      <w:divBdr>
        <w:top w:val="none" w:sz="0" w:space="0" w:color="auto"/>
        <w:left w:val="none" w:sz="0" w:space="0" w:color="auto"/>
        <w:bottom w:val="none" w:sz="0" w:space="0" w:color="auto"/>
        <w:right w:val="none" w:sz="0" w:space="0" w:color="auto"/>
      </w:divBdr>
    </w:div>
    <w:div w:id="2138257639">
      <w:bodyDiv w:val="1"/>
      <w:marLeft w:val="0"/>
      <w:marRight w:val="0"/>
      <w:marTop w:val="0"/>
      <w:marBottom w:val="0"/>
      <w:divBdr>
        <w:top w:val="none" w:sz="0" w:space="0" w:color="auto"/>
        <w:left w:val="none" w:sz="0" w:space="0" w:color="auto"/>
        <w:bottom w:val="none" w:sz="0" w:space="0" w:color="auto"/>
        <w:right w:val="none" w:sz="0" w:space="0" w:color="auto"/>
      </w:divBdr>
    </w:div>
    <w:div w:id="2141919428">
      <w:bodyDiv w:val="1"/>
      <w:marLeft w:val="0"/>
      <w:marRight w:val="0"/>
      <w:marTop w:val="0"/>
      <w:marBottom w:val="0"/>
      <w:divBdr>
        <w:top w:val="none" w:sz="0" w:space="0" w:color="auto"/>
        <w:left w:val="none" w:sz="0" w:space="0" w:color="auto"/>
        <w:bottom w:val="none" w:sz="0" w:space="0" w:color="auto"/>
        <w:right w:val="none" w:sz="0" w:space="0" w:color="auto"/>
      </w:divBdr>
    </w:div>
    <w:div w:id="214650805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2.xml><?xml version="1.0" encoding="utf-8"?>
<ds:datastoreItem xmlns:ds="http://schemas.openxmlformats.org/officeDocument/2006/customXml" ds:itemID="{DCAAD487-7B05-4006-9773-9B152961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4C3886-6B48-46FD-9173-50D31267B297}">
  <ds:schemaRefs>
    <ds:schemaRef ds:uri="http://schemas.microsoft.com/office/2006/metadata/properties"/>
    <ds:schemaRef ds:uri="92f8bd56-8465-45fb-84ac-454baa360449"/>
  </ds:schemaRefs>
</ds:datastoreItem>
</file>

<file path=customXml/itemProps4.xml><?xml version="1.0" encoding="utf-8"?>
<ds:datastoreItem xmlns:ds="http://schemas.openxmlformats.org/officeDocument/2006/customXml" ds:itemID="{DAA8F26A-B929-4D34-9E0C-B58CB654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3</TotalTime>
  <Pages>73</Pages>
  <Words>14982</Words>
  <Characters>95940</Characters>
  <Application>Microsoft Office Word</Application>
  <DocSecurity>0</DocSecurity>
  <Lines>799</Lines>
  <Paragraphs>221</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110701</CharactersWithSpaces>
  <SharedDoc>false</SharedDoc>
  <HLinks>
    <vt:vector size="24" baseType="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lastModifiedBy>Brendan Palazzi</cp:lastModifiedBy>
  <cp:revision>5</cp:revision>
  <cp:lastPrinted>2015-05-10T07:11:00Z</cp:lastPrinted>
  <dcterms:created xsi:type="dcterms:W3CDTF">2015-05-12T06:13:00Z</dcterms:created>
  <dcterms:modified xsi:type="dcterms:W3CDTF">2015-05-12T06:17:00Z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